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E6B6C" w14:textId="38CC7182" w:rsidR="006478E7" w:rsidRPr="00490FBB" w:rsidRDefault="006478E7" w:rsidP="006478E7">
      <w:pPr>
        <w:spacing w:before="120" w:after="120" w:line="312" w:lineRule="auto"/>
        <w:jc w:val="center"/>
      </w:pPr>
    </w:p>
    <w:p w14:paraId="50B6D781" w14:textId="735BF249" w:rsidR="006478E7" w:rsidRPr="00D009EF" w:rsidRDefault="00BB0FFB" w:rsidP="00BB0FFB">
      <w:pPr>
        <w:pStyle w:val="Heading10"/>
        <w:spacing w:before="2880"/>
        <w:jc w:val="center"/>
        <w:rPr>
          <w:sz w:val="48"/>
          <w:szCs w:val="48"/>
        </w:rPr>
      </w:pPr>
      <w:r w:rsidRPr="5C75A766">
        <w:rPr>
          <w:sz w:val="48"/>
          <w:szCs w:val="48"/>
        </w:rPr>
        <w:t xml:space="preserve">MSAC </w:t>
      </w:r>
      <w:r w:rsidR="006478E7" w:rsidRPr="00D009EF">
        <w:rPr>
          <w:sz w:val="48"/>
          <w:szCs w:val="48"/>
        </w:rPr>
        <w:t xml:space="preserve">Application </w:t>
      </w:r>
      <w:r w:rsidR="5C9FDFC0" w:rsidRPr="00D009EF">
        <w:rPr>
          <w:sz w:val="48"/>
          <w:szCs w:val="48"/>
        </w:rPr>
        <w:t>1739</w:t>
      </w:r>
    </w:p>
    <w:p w14:paraId="6CD0A121" w14:textId="525B9705" w:rsidR="39E1BB6C" w:rsidRPr="00D009EF" w:rsidRDefault="1E2C2F97" w:rsidP="5C75A766">
      <w:pPr>
        <w:pStyle w:val="Heading10"/>
        <w:jc w:val="center"/>
        <w:rPr>
          <w:color w:val="548DD4"/>
          <w:sz w:val="48"/>
          <w:szCs w:val="48"/>
        </w:rPr>
      </w:pPr>
      <w:r w:rsidRPr="00D009EF">
        <w:rPr>
          <w:color w:val="548DD4"/>
          <w:sz w:val="48"/>
          <w:szCs w:val="48"/>
        </w:rPr>
        <w:t xml:space="preserve">Percutaneous Electrical Nerve Stimulation (PENS) </w:t>
      </w:r>
      <w:r w:rsidR="00D2372C">
        <w:rPr>
          <w:color w:val="548DD4"/>
          <w:sz w:val="48"/>
          <w:szCs w:val="48"/>
        </w:rPr>
        <w:t>t</w:t>
      </w:r>
      <w:r w:rsidRPr="00D009EF">
        <w:rPr>
          <w:color w:val="548DD4"/>
          <w:sz w:val="48"/>
          <w:szCs w:val="48"/>
        </w:rPr>
        <w:t xml:space="preserve">herapy for </w:t>
      </w:r>
      <w:r w:rsidR="00D2372C">
        <w:rPr>
          <w:color w:val="548DD4"/>
          <w:sz w:val="48"/>
          <w:szCs w:val="48"/>
        </w:rPr>
        <w:t>c</w:t>
      </w:r>
      <w:r w:rsidRPr="00D009EF">
        <w:rPr>
          <w:color w:val="548DD4"/>
          <w:sz w:val="48"/>
          <w:szCs w:val="48"/>
        </w:rPr>
        <w:t>hronic</w:t>
      </w:r>
      <w:r w:rsidR="23BFA0CE" w:rsidRPr="00D009EF">
        <w:rPr>
          <w:color w:val="548DD4"/>
          <w:sz w:val="48"/>
          <w:szCs w:val="48"/>
        </w:rPr>
        <w:t xml:space="preserve"> </w:t>
      </w:r>
      <w:r w:rsidR="00D2372C">
        <w:rPr>
          <w:color w:val="548DD4"/>
          <w:sz w:val="48"/>
          <w:szCs w:val="48"/>
        </w:rPr>
        <w:t>n</w:t>
      </w:r>
      <w:r w:rsidRPr="00D009EF">
        <w:rPr>
          <w:color w:val="548DD4"/>
          <w:sz w:val="48"/>
          <w:szCs w:val="48"/>
        </w:rPr>
        <w:t xml:space="preserve">europathic </w:t>
      </w:r>
      <w:r w:rsidR="00D2372C">
        <w:rPr>
          <w:color w:val="548DD4"/>
          <w:sz w:val="48"/>
          <w:szCs w:val="48"/>
        </w:rPr>
        <w:t>p</w:t>
      </w:r>
      <w:r w:rsidRPr="00D009EF">
        <w:rPr>
          <w:color w:val="548DD4"/>
          <w:sz w:val="48"/>
          <w:szCs w:val="48"/>
        </w:rPr>
        <w:t>ain</w:t>
      </w:r>
    </w:p>
    <w:p w14:paraId="23900CA0" w14:textId="3E51EB5F" w:rsidR="006478E7" w:rsidRPr="00490FBB" w:rsidRDefault="006478E7" w:rsidP="00BB0FFB">
      <w:pPr>
        <w:pStyle w:val="Heading1"/>
      </w:pPr>
      <w:r w:rsidRPr="00490FBB">
        <w:t>PICO Confirmation</w:t>
      </w:r>
      <w:r w:rsidRPr="00490FBB">
        <w:br w:type="page"/>
      </w:r>
    </w:p>
    <w:p w14:paraId="219312C8" w14:textId="3546743A" w:rsidR="006478E7" w:rsidRPr="00E86054" w:rsidRDefault="006478E7" w:rsidP="00D272C8">
      <w:pPr>
        <w:pStyle w:val="Heading2"/>
        <w:rPr>
          <w:sz w:val="28"/>
          <w:szCs w:val="24"/>
        </w:rPr>
      </w:pPr>
      <w:r w:rsidRPr="00E86054">
        <w:rPr>
          <w:sz w:val="28"/>
          <w:szCs w:val="24"/>
        </w:rPr>
        <w:lastRenderedPageBreak/>
        <w:t>Summary of PI</w:t>
      </w:r>
      <w:r w:rsidR="00235B21" w:rsidRPr="00E86054">
        <w:rPr>
          <w:sz w:val="28"/>
          <w:szCs w:val="24"/>
        </w:rPr>
        <w:t xml:space="preserve">CO/PPICO criteria to define </w:t>
      </w:r>
      <w:r w:rsidRPr="00E86054">
        <w:rPr>
          <w:sz w:val="28"/>
          <w:szCs w:val="24"/>
        </w:rPr>
        <w:t>question(s) to be addressed in an Assessment Report to the Medical Services Advisory Committee (MSAC)</w:t>
      </w:r>
      <w:r w:rsidR="007A07B6" w:rsidRPr="00E86054">
        <w:rPr>
          <w:sz w:val="28"/>
          <w:szCs w:val="24"/>
        </w:rPr>
        <w:t>.</w:t>
      </w:r>
    </w:p>
    <w:p w14:paraId="224459F3" w14:textId="72AF96B3" w:rsidR="00D52956" w:rsidRDefault="00C5460E" w:rsidP="00C812F3">
      <w:pPr>
        <w:pStyle w:val="Caption"/>
        <w:spacing w:before="240"/>
      </w:pPr>
      <w:bookmarkStart w:id="0" w:name="_Ref69732155"/>
      <w:r>
        <w:t xml:space="preserve">Table </w:t>
      </w:r>
      <w:r w:rsidR="003E248E">
        <w:t>1</w:t>
      </w:r>
      <w:r w:rsidR="003E248E">
        <w:tab/>
      </w:r>
      <w:r w:rsidR="47486507">
        <w:t xml:space="preserve">PICO for </w:t>
      </w:r>
      <w:r w:rsidR="55BB56FF">
        <w:t xml:space="preserve">Percutaneous Electrical Nerve Stimulation (PENS) therapy </w:t>
      </w:r>
      <w:r w:rsidR="47486507">
        <w:t xml:space="preserve">in </w:t>
      </w:r>
      <w:r w:rsidR="58DD640B">
        <w:t>patients with chronic</w:t>
      </w:r>
      <w:r w:rsidR="121B839A">
        <w:t xml:space="preserve"> </w:t>
      </w:r>
      <w:r w:rsidR="58DD640B">
        <w:t>neuropathic pain</w:t>
      </w:r>
      <w:r w:rsidR="47486507">
        <w:t xml:space="preserve"> </w:t>
      </w:r>
      <w:bookmarkEnd w:id="0"/>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922"/>
        <w:gridCol w:w="7639"/>
      </w:tblGrid>
      <w:tr w:rsidR="006478E7" w:rsidRPr="00490FBB" w14:paraId="2A509B30" w14:textId="77777777" w:rsidTr="1629003B">
        <w:trPr>
          <w:trHeight w:val="372"/>
          <w:tblHeader/>
        </w:trPr>
        <w:tc>
          <w:tcPr>
            <w:tcW w:w="1005" w:type="pc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333B8A35" w14:textId="77777777" w:rsidR="006478E7" w:rsidRPr="00D009EF" w:rsidRDefault="006478E7" w:rsidP="00F36EBA">
            <w:pPr>
              <w:pStyle w:val="TableText0"/>
              <w:rPr>
                <w:b/>
                <w:bCs/>
              </w:rPr>
            </w:pPr>
            <w:bookmarkStart w:id="1" w:name="Title_Table1" w:colFirst="0" w:colLast="0"/>
            <w:r w:rsidRPr="00D009EF">
              <w:rPr>
                <w:b/>
                <w:bCs/>
              </w:rPr>
              <w:t>Component</w:t>
            </w:r>
          </w:p>
        </w:tc>
        <w:tc>
          <w:tcPr>
            <w:tcW w:w="3995" w:type="pct"/>
            <w:tcBorders>
              <w:top w:val="single" w:sz="8" w:space="0" w:color="auto"/>
              <w:left w:val="single" w:sz="4" w:space="0" w:color="auto"/>
              <w:bottom w:val="single" w:sz="8" w:space="0" w:color="auto"/>
              <w:right w:val="single" w:sz="8" w:space="0" w:color="auto"/>
            </w:tcBorders>
            <w:shd w:val="clear" w:color="auto" w:fill="D9D9D9" w:themeFill="background1" w:themeFillShade="D9"/>
            <w:vAlign w:val="center"/>
            <w:hideMark/>
          </w:tcPr>
          <w:p w14:paraId="0E31DF4F" w14:textId="77777777" w:rsidR="006478E7" w:rsidRPr="00D009EF" w:rsidRDefault="006478E7" w:rsidP="00F36EBA">
            <w:pPr>
              <w:pStyle w:val="TableText0"/>
              <w:rPr>
                <w:b/>
                <w:bCs/>
              </w:rPr>
            </w:pPr>
            <w:r w:rsidRPr="00D009EF">
              <w:rPr>
                <w:b/>
                <w:bCs/>
              </w:rPr>
              <w:t>Description</w:t>
            </w:r>
          </w:p>
        </w:tc>
      </w:tr>
      <w:bookmarkEnd w:id="1"/>
      <w:tr w:rsidR="006478E7" w:rsidRPr="00490FBB" w14:paraId="78E0BB65" w14:textId="77777777" w:rsidTr="1629003B">
        <w:tc>
          <w:tcPr>
            <w:tcW w:w="1005" w:type="pct"/>
            <w:tcBorders>
              <w:top w:val="single" w:sz="8" w:space="0" w:color="auto"/>
              <w:left w:val="single" w:sz="8" w:space="0" w:color="auto"/>
              <w:bottom w:val="single" w:sz="4" w:space="0" w:color="auto"/>
              <w:right w:val="single" w:sz="4" w:space="0" w:color="auto"/>
            </w:tcBorders>
            <w:hideMark/>
          </w:tcPr>
          <w:p w14:paraId="715E50D5" w14:textId="74EB4863" w:rsidR="006478E7" w:rsidRPr="00490FBB" w:rsidRDefault="00F660E8" w:rsidP="00F36EBA">
            <w:pPr>
              <w:pStyle w:val="TableText0"/>
              <w:rPr>
                <w:rFonts w:cs="Arial"/>
              </w:rPr>
            </w:pPr>
            <w:r>
              <w:rPr>
                <w:rFonts w:cs="Arial"/>
              </w:rPr>
              <w:t>Population</w:t>
            </w:r>
          </w:p>
        </w:tc>
        <w:tc>
          <w:tcPr>
            <w:tcW w:w="3995" w:type="pct"/>
            <w:tcBorders>
              <w:top w:val="single" w:sz="8" w:space="0" w:color="auto"/>
              <w:left w:val="single" w:sz="4" w:space="0" w:color="auto"/>
              <w:bottom w:val="single" w:sz="4" w:space="0" w:color="auto"/>
              <w:right w:val="single" w:sz="8" w:space="0" w:color="auto"/>
            </w:tcBorders>
            <w:hideMark/>
          </w:tcPr>
          <w:p w14:paraId="4A4FF7C2" w14:textId="53749BDF" w:rsidR="006478E7" w:rsidRPr="00D52956" w:rsidRDefault="447CE423" w:rsidP="00F36EBA">
            <w:pPr>
              <w:pStyle w:val="TableText0"/>
            </w:pPr>
            <w:r w:rsidRPr="736D4F2E">
              <w:rPr>
                <w:color w:val="000000" w:themeColor="text1"/>
              </w:rPr>
              <w:t xml:space="preserve">Patients with </w:t>
            </w:r>
            <w:r w:rsidR="2405222F" w:rsidRPr="736D4F2E">
              <w:rPr>
                <w:color w:val="000000" w:themeColor="text1"/>
              </w:rPr>
              <w:t>c</w:t>
            </w:r>
            <w:r w:rsidR="09499B62" w:rsidRPr="736D4F2E">
              <w:rPr>
                <w:color w:val="000000" w:themeColor="text1"/>
              </w:rPr>
              <w:t>hronic peripheral neuropathic pain</w:t>
            </w:r>
            <w:r w:rsidR="0B344513">
              <w:t xml:space="preserve"> </w:t>
            </w:r>
            <w:r w:rsidR="0B344513" w:rsidRPr="736D4F2E">
              <w:rPr>
                <w:color w:val="000000" w:themeColor="text1"/>
              </w:rPr>
              <w:t xml:space="preserve">for at least 3 months that does not </w:t>
            </w:r>
            <w:r w:rsidR="4F498DAC" w:rsidRPr="736D4F2E">
              <w:rPr>
                <w:i/>
                <w:iCs/>
                <w:color w:val="000000" w:themeColor="text1"/>
              </w:rPr>
              <w:t xml:space="preserve">adequately </w:t>
            </w:r>
            <w:r w:rsidR="0B344513" w:rsidRPr="736D4F2E">
              <w:rPr>
                <w:color w:val="000000" w:themeColor="text1"/>
              </w:rPr>
              <w:t xml:space="preserve">respond to </w:t>
            </w:r>
            <w:r w:rsidR="0B344513" w:rsidRPr="007211C1">
              <w:rPr>
                <w:iCs/>
                <w:color w:val="000000" w:themeColor="text1"/>
              </w:rPr>
              <w:t>non-invasive</w:t>
            </w:r>
            <w:r w:rsidR="0B344513" w:rsidRPr="736D4F2E">
              <w:rPr>
                <w:color w:val="000000" w:themeColor="text1"/>
              </w:rPr>
              <w:t xml:space="preserve"> standard treatment such as, physical, psychological and/or pharmacological therapies</w:t>
            </w:r>
          </w:p>
        </w:tc>
      </w:tr>
      <w:tr w:rsidR="00446986" w:rsidRPr="00490FBB" w14:paraId="276C93FB" w14:textId="77777777" w:rsidTr="1629003B">
        <w:tc>
          <w:tcPr>
            <w:tcW w:w="1005" w:type="pct"/>
            <w:tcBorders>
              <w:top w:val="single" w:sz="4" w:space="0" w:color="auto"/>
              <w:left w:val="single" w:sz="8" w:space="0" w:color="auto"/>
              <w:bottom w:val="single" w:sz="4" w:space="0" w:color="auto"/>
              <w:right w:val="single" w:sz="4" w:space="0" w:color="auto"/>
            </w:tcBorders>
          </w:tcPr>
          <w:p w14:paraId="7FA76B8B" w14:textId="2CC602E5" w:rsidR="00446986" w:rsidRDefault="00446986" w:rsidP="00446986">
            <w:pPr>
              <w:pStyle w:val="TableText0"/>
              <w:rPr>
                <w:rFonts w:cs="Arial"/>
              </w:rPr>
            </w:pPr>
            <w:r>
              <w:rPr>
                <w:rFonts w:cs="Arial"/>
              </w:rPr>
              <w:t>Prior test</w:t>
            </w:r>
          </w:p>
        </w:tc>
        <w:tc>
          <w:tcPr>
            <w:tcW w:w="3995" w:type="pct"/>
            <w:tcBorders>
              <w:top w:val="single" w:sz="4" w:space="0" w:color="auto"/>
              <w:left w:val="single" w:sz="4" w:space="0" w:color="auto"/>
              <w:bottom w:val="single" w:sz="4" w:space="0" w:color="auto"/>
              <w:right w:val="single" w:sz="8" w:space="0" w:color="auto"/>
            </w:tcBorders>
          </w:tcPr>
          <w:p w14:paraId="54D5C17C" w14:textId="4369E541" w:rsidR="00446986" w:rsidRPr="736D4F2E" w:rsidRDefault="00446986" w:rsidP="00446986">
            <w:pPr>
              <w:pStyle w:val="TableText0"/>
              <w:rPr>
                <w:color w:val="000000" w:themeColor="text1"/>
              </w:rPr>
            </w:pPr>
            <w:r>
              <w:rPr>
                <w:rFonts w:eastAsia="Calibri" w:cs="Arial"/>
              </w:rPr>
              <w:t>Local anaesthetic block identification of the peripheral nerve(s) amenable to treatment using PENS, radiofrequency ablation or peripheral nerve stimulation</w:t>
            </w:r>
          </w:p>
        </w:tc>
      </w:tr>
      <w:tr w:rsidR="006478E7" w:rsidRPr="00490FBB" w14:paraId="654E13A9" w14:textId="77777777" w:rsidTr="1629003B">
        <w:tc>
          <w:tcPr>
            <w:tcW w:w="1005" w:type="pct"/>
            <w:tcBorders>
              <w:top w:val="single" w:sz="4" w:space="0" w:color="auto"/>
              <w:left w:val="single" w:sz="8" w:space="0" w:color="auto"/>
              <w:bottom w:val="single" w:sz="4" w:space="0" w:color="auto"/>
              <w:right w:val="single" w:sz="4" w:space="0" w:color="auto"/>
            </w:tcBorders>
            <w:hideMark/>
          </w:tcPr>
          <w:p w14:paraId="5BF0C211" w14:textId="77777777" w:rsidR="006478E7" w:rsidRPr="00490FBB" w:rsidRDefault="006478E7" w:rsidP="00F36EBA">
            <w:pPr>
              <w:pStyle w:val="TableText0"/>
              <w:rPr>
                <w:rFonts w:cs="Arial"/>
              </w:rPr>
            </w:pPr>
            <w:r w:rsidRPr="00490FBB">
              <w:rPr>
                <w:rFonts w:cs="Arial"/>
              </w:rPr>
              <w:t>Intervention</w:t>
            </w:r>
          </w:p>
        </w:tc>
        <w:tc>
          <w:tcPr>
            <w:tcW w:w="3995" w:type="pct"/>
            <w:tcBorders>
              <w:top w:val="single" w:sz="4" w:space="0" w:color="auto"/>
              <w:left w:val="single" w:sz="4" w:space="0" w:color="auto"/>
              <w:bottom w:val="single" w:sz="4" w:space="0" w:color="auto"/>
              <w:right w:val="single" w:sz="8" w:space="0" w:color="auto"/>
            </w:tcBorders>
            <w:hideMark/>
          </w:tcPr>
          <w:p w14:paraId="516BD629" w14:textId="541A7C41" w:rsidR="00560F4A" w:rsidRPr="00CA0476" w:rsidRDefault="00560F4A" w:rsidP="00F36EBA">
            <w:pPr>
              <w:pStyle w:val="TableText0"/>
              <w:rPr>
                <w:rFonts w:eastAsia="Calibri" w:cs="Arial"/>
              </w:rPr>
            </w:pPr>
            <w:r w:rsidRPr="007529E6">
              <w:rPr>
                <w:rFonts w:eastAsia="Calibri" w:cs="Arial"/>
              </w:rPr>
              <w:t>Percutaneous Electrical Nerve Stimulation (PENS) therapy</w:t>
            </w:r>
            <w:r w:rsidR="00A13AD7">
              <w:t xml:space="preserve"> </w:t>
            </w:r>
            <w:r w:rsidR="00A13AD7" w:rsidRPr="007211C1">
              <w:rPr>
                <w:rFonts w:eastAsia="Calibri" w:cs="Arial"/>
              </w:rPr>
              <w:t>administered by a post specialised pain physician, conducted in an operating room with ultrasound guidance, using 1 or 2 21-g</w:t>
            </w:r>
            <w:r w:rsidR="00F01182">
              <w:rPr>
                <w:rFonts w:eastAsia="Calibri" w:cs="Arial"/>
              </w:rPr>
              <w:t>au</w:t>
            </w:r>
            <w:r w:rsidR="00A13AD7" w:rsidRPr="007211C1">
              <w:rPr>
                <w:rFonts w:eastAsia="Calibri" w:cs="Arial"/>
              </w:rPr>
              <w:t>ge needle probes, targeting a</w:t>
            </w:r>
            <w:r w:rsidR="00B341E4" w:rsidRPr="007211C1">
              <w:rPr>
                <w:rFonts w:eastAsia="Calibri" w:cs="Arial"/>
              </w:rPr>
              <w:t>n identifiable</w:t>
            </w:r>
            <w:r w:rsidR="00A13AD7" w:rsidRPr="007211C1">
              <w:rPr>
                <w:rFonts w:eastAsia="Calibri" w:cs="Arial"/>
              </w:rPr>
              <w:t xml:space="preserve"> peripheral nerve</w:t>
            </w:r>
            <w:r w:rsidR="00B341E4" w:rsidRPr="007211C1">
              <w:rPr>
                <w:rFonts w:eastAsia="Calibri" w:cs="Arial"/>
              </w:rPr>
              <w:t xml:space="preserve"> (s)</w:t>
            </w:r>
            <w:r w:rsidR="00A13AD7" w:rsidRPr="007211C1">
              <w:rPr>
                <w:rFonts w:eastAsia="Calibri" w:cs="Arial"/>
              </w:rPr>
              <w:t xml:space="preserve">, </w:t>
            </w:r>
            <w:r w:rsidR="00A13AD7" w:rsidRPr="000A7E9D">
              <w:rPr>
                <w:rFonts w:eastAsia="Calibri" w:cs="Arial"/>
              </w:rPr>
              <w:t xml:space="preserve">up to </w:t>
            </w:r>
            <w:r w:rsidR="000A7E9D" w:rsidRPr="000A7E9D">
              <w:rPr>
                <w:rFonts w:eastAsia="Calibri" w:cs="Arial"/>
              </w:rPr>
              <w:t>2</w:t>
            </w:r>
            <w:r w:rsidR="00A13AD7" w:rsidRPr="000A7E9D">
              <w:rPr>
                <w:rFonts w:eastAsia="Calibri" w:cs="Arial"/>
              </w:rPr>
              <w:t xml:space="preserve"> times per year.</w:t>
            </w:r>
          </w:p>
          <w:p w14:paraId="3E51DB12" w14:textId="72ED6CB8" w:rsidR="006478E7" w:rsidRPr="00DC4AFE" w:rsidRDefault="14C80751" w:rsidP="00F36EBA">
            <w:pPr>
              <w:pStyle w:val="TableText0"/>
              <w:rPr>
                <w:highlight w:val="green"/>
              </w:rPr>
            </w:pPr>
            <w:r w:rsidRPr="007211C1">
              <w:t>Other types of PENS</w:t>
            </w:r>
            <w:r w:rsidR="7DE52EB8" w:rsidRPr="007211C1">
              <w:t xml:space="preserve"> that exist in the literature</w:t>
            </w:r>
            <w:r w:rsidRPr="007211C1">
              <w:t xml:space="preserve"> such as electro-</w:t>
            </w:r>
            <w:r w:rsidR="3059889D" w:rsidRPr="007211C1">
              <w:t>acupuncture</w:t>
            </w:r>
            <w:r w:rsidRPr="007211C1">
              <w:t xml:space="preserve"> ar</w:t>
            </w:r>
            <w:r w:rsidR="344593A4" w:rsidRPr="007211C1">
              <w:t>e not the focus of this application</w:t>
            </w:r>
            <w:r w:rsidR="00224756" w:rsidRPr="007211C1">
              <w:t xml:space="preserve"> as intended by the applicant</w:t>
            </w:r>
            <w:r w:rsidR="344593A4" w:rsidRPr="007211C1">
              <w:t>.</w:t>
            </w:r>
            <w:r w:rsidR="757B8C0C" w:rsidRPr="00CA0476">
              <w:t xml:space="preserve"> </w:t>
            </w:r>
          </w:p>
        </w:tc>
      </w:tr>
      <w:tr w:rsidR="006478E7" w:rsidRPr="00490FBB" w14:paraId="1F5647C3" w14:textId="77777777" w:rsidTr="1629003B">
        <w:tc>
          <w:tcPr>
            <w:tcW w:w="1005" w:type="pct"/>
            <w:tcBorders>
              <w:top w:val="single" w:sz="4" w:space="0" w:color="auto"/>
              <w:left w:val="single" w:sz="8" w:space="0" w:color="auto"/>
              <w:bottom w:val="single" w:sz="4" w:space="0" w:color="auto"/>
              <w:right w:val="single" w:sz="4" w:space="0" w:color="auto"/>
            </w:tcBorders>
            <w:hideMark/>
          </w:tcPr>
          <w:p w14:paraId="7F55173A" w14:textId="7A7FAF58" w:rsidR="006478E7" w:rsidRPr="00490FBB" w:rsidRDefault="006478E7" w:rsidP="00F36EBA">
            <w:pPr>
              <w:pStyle w:val="TableText0"/>
              <w:rPr>
                <w:u w:val="single"/>
              </w:rPr>
            </w:pPr>
            <w:r w:rsidRPr="00490FBB">
              <w:rPr>
                <w:rFonts w:cs="Arial"/>
              </w:rPr>
              <w:t>Comparator</w:t>
            </w:r>
            <w:r w:rsidR="00D83062">
              <w:rPr>
                <w:rFonts w:cs="Arial"/>
              </w:rPr>
              <w:t>/s</w:t>
            </w:r>
          </w:p>
        </w:tc>
        <w:tc>
          <w:tcPr>
            <w:tcW w:w="3995" w:type="pct"/>
            <w:tcBorders>
              <w:top w:val="single" w:sz="4" w:space="0" w:color="auto"/>
              <w:left w:val="single" w:sz="4" w:space="0" w:color="auto"/>
              <w:bottom w:val="single" w:sz="4" w:space="0" w:color="auto"/>
              <w:right w:val="single" w:sz="8" w:space="0" w:color="auto"/>
            </w:tcBorders>
            <w:hideMark/>
          </w:tcPr>
          <w:p w14:paraId="0CC3647D" w14:textId="1A06B3AC" w:rsidR="00FC28DB" w:rsidRPr="00BC5544" w:rsidRDefault="337E1F60" w:rsidP="00F36EBA">
            <w:pPr>
              <w:pStyle w:val="TableText0"/>
              <w:rPr>
                <w:u w:val="single"/>
              </w:rPr>
            </w:pPr>
            <w:r w:rsidRPr="2891237F">
              <w:rPr>
                <w:u w:val="single"/>
              </w:rPr>
              <w:t>Non-invasive</w:t>
            </w:r>
            <w:r w:rsidR="64AC4221" w:rsidRPr="2891237F">
              <w:rPr>
                <w:u w:val="single"/>
              </w:rPr>
              <w:t xml:space="preserve"> standard care</w:t>
            </w:r>
          </w:p>
          <w:p w14:paraId="121F0CBC" w14:textId="56DFF616" w:rsidR="00FC28DB" w:rsidRDefault="42B5FD52" w:rsidP="00F36EBA">
            <w:pPr>
              <w:pStyle w:val="TableText0"/>
              <w:rPr>
                <w:u w:val="single"/>
              </w:rPr>
            </w:pPr>
            <w:r>
              <w:t>Pharmaceutical management such as pregabalin, aspirin, paracetamol, non-steroidal anti-inflammatory drugs (NSAIDs), antidepressants and anti-epileptics</w:t>
            </w:r>
            <w:r w:rsidR="4888E1E6">
              <w:t>.</w:t>
            </w:r>
            <w:r>
              <w:t xml:space="preserve"> </w:t>
            </w:r>
            <w:r w:rsidR="4888E1E6">
              <w:t>A m</w:t>
            </w:r>
            <w:r>
              <w:t xml:space="preserve">ultidisciplinary suite of complementary therapies </w:t>
            </w:r>
            <w:r w:rsidR="4888E1E6">
              <w:t>that</w:t>
            </w:r>
            <w:r>
              <w:t xml:space="preserve"> can include non-medicinal therapies such as counselling, exercise, acupuncture, relaxation techniques and psychological treatment</w:t>
            </w:r>
            <w:r w:rsidR="4888E1E6">
              <w:t>.</w:t>
            </w:r>
          </w:p>
          <w:p w14:paraId="69EB4D62" w14:textId="5B9FD166" w:rsidR="00BC5544" w:rsidRPr="00AF583D" w:rsidRDefault="70C83E98" w:rsidP="00F36EBA">
            <w:pPr>
              <w:pStyle w:val="TableText0"/>
            </w:pPr>
            <w:bookmarkStart w:id="2" w:name="_Hlk129250330"/>
            <w:r w:rsidRPr="00AF583D">
              <w:t>TENS</w:t>
            </w:r>
            <w:r w:rsidR="5C30A9FD" w:rsidRPr="00AF583D">
              <w:t xml:space="preserve"> (Transcutaneous Electrical Nerve Stimulation)</w:t>
            </w:r>
            <w:r w:rsidR="71955663" w:rsidRPr="00AF583D">
              <w:t xml:space="preserve"> </w:t>
            </w:r>
            <w:bookmarkEnd w:id="2"/>
            <w:r w:rsidR="00D009EF">
              <w:t xml:space="preserve">which </w:t>
            </w:r>
            <w:r w:rsidR="71955663" w:rsidRPr="00AF583D">
              <w:t xml:space="preserve">uses electrodes placed onto the skin of the patient to apply a gentle electrical current through the </w:t>
            </w:r>
            <w:r w:rsidR="53E9876D" w:rsidRPr="00AF583D">
              <w:t>skin towards the affected nerv</w:t>
            </w:r>
            <w:r w:rsidR="1416C099" w:rsidRPr="00AF583D">
              <w:t>e.</w:t>
            </w:r>
          </w:p>
          <w:p w14:paraId="6FBA1B2F" w14:textId="172ED517" w:rsidR="00BC5544" w:rsidRDefault="309D9729" w:rsidP="00F36EBA">
            <w:pPr>
              <w:pStyle w:val="TableText0"/>
              <w:rPr>
                <w:u w:val="single"/>
              </w:rPr>
            </w:pPr>
            <w:r w:rsidRPr="736D4F2E">
              <w:rPr>
                <w:u w:val="single"/>
              </w:rPr>
              <w:t>Implantable</w:t>
            </w:r>
            <w:r w:rsidR="42B5FD52" w:rsidRPr="736D4F2E">
              <w:rPr>
                <w:u w:val="single"/>
              </w:rPr>
              <w:t xml:space="preserve"> </w:t>
            </w:r>
            <w:r w:rsidR="7C4BDFDF" w:rsidRPr="736D4F2E">
              <w:rPr>
                <w:u w:val="single"/>
              </w:rPr>
              <w:t xml:space="preserve">peripheral nerve stimulation </w:t>
            </w:r>
            <w:r w:rsidR="5E6EC536" w:rsidRPr="736D4F2E">
              <w:rPr>
                <w:u w:val="single"/>
              </w:rPr>
              <w:t>(MBS Items 39134 &amp; 39138)</w:t>
            </w:r>
          </w:p>
          <w:p w14:paraId="05C42EFD" w14:textId="44B764D9" w:rsidR="00560F4A" w:rsidRPr="005753AA" w:rsidRDefault="00CE7F33" w:rsidP="00F36EBA">
            <w:pPr>
              <w:pStyle w:val="TableText0"/>
              <w:rPr>
                <w:rFonts w:eastAsia="Calibri" w:cs="Arial"/>
              </w:rPr>
            </w:pPr>
            <w:r>
              <w:t>Subcut</w:t>
            </w:r>
            <w:r w:rsidR="0080057B">
              <w:t>an</w:t>
            </w:r>
            <w:r>
              <w:t>eous i</w:t>
            </w:r>
            <w:r w:rsidR="00D938CB">
              <w:t xml:space="preserve">mplantable peripheral nerve stimulation </w:t>
            </w:r>
            <w:r w:rsidR="00D009EF">
              <w:rPr>
                <w:rFonts w:eastAsia="Calibri" w:cs="Arial"/>
              </w:rPr>
              <w:t>which involve</w:t>
            </w:r>
            <w:r w:rsidR="00394BAD">
              <w:rPr>
                <w:rFonts w:eastAsia="Calibri" w:cs="Arial"/>
              </w:rPr>
              <w:t>s</w:t>
            </w:r>
            <w:r w:rsidR="00D009EF">
              <w:rPr>
                <w:rFonts w:eastAsia="Calibri" w:cs="Arial"/>
              </w:rPr>
              <w:t xml:space="preserve"> </w:t>
            </w:r>
            <w:r w:rsidR="1558B3EE" w:rsidRPr="2891237F">
              <w:rPr>
                <w:rFonts w:eastAsia="Calibri" w:cs="Arial"/>
              </w:rPr>
              <w:t>placement and connection of extension wires to epidural or peripheral nerve electrodes</w:t>
            </w:r>
            <w:r w:rsidR="337E1F60" w:rsidRPr="2891237F">
              <w:rPr>
                <w:rFonts w:eastAsia="Calibri" w:cs="Arial"/>
              </w:rPr>
              <w:t>.</w:t>
            </w:r>
          </w:p>
          <w:p w14:paraId="60824A96" w14:textId="410F9743" w:rsidR="00A9248A" w:rsidRPr="009812EB" w:rsidRDefault="6284ADC3" w:rsidP="00F36EBA">
            <w:pPr>
              <w:pStyle w:val="TableText0"/>
              <w:rPr>
                <w:rFonts w:eastAsia="Calibri" w:cs="Arial"/>
              </w:rPr>
            </w:pPr>
            <w:r w:rsidRPr="2891237F">
              <w:rPr>
                <w:rFonts w:eastAsia="Calibri" w:cs="Arial"/>
              </w:rPr>
              <w:t>Peripheral nerve lead or leads, surgical placement of, including intraoperative test stimulation</w:t>
            </w:r>
            <w:r w:rsidR="00DC4AFE">
              <w:rPr>
                <w:rFonts w:eastAsia="Calibri" w:cs="Arial"/>
              </w:rPr>
              <w:t>,</w:t>
            </w:r>
            <w:r w:rsidRPr="2891237F">
              <w:rPr>
                <w:rFonts w:eastAsia="Calibri" w:cs="Arial"/>
              </w:rPr>
              <w:t xml:space="preserve"> where the leads are intended to remain in situ long term</w:t>
            </w:r>
            <w:r w:rsidR="337E1F60" w:rsidRPr="2891237F">
              <w:rPr>
                <w:rFonts w:eastAsia="Calibri" w:cs="Arial"/>
              </w:rPr>
              <w:t>.</w:t>
            </w:r>
          </w:p>
          <w:p w14:paraId="1D91D8E3" w14:textId="00137C9A" w:rsidR="009812EB" w:rsidRPr="007211C1" w:rsidRDefault="6FC7AC89" w:rsidP="736D4F2E">
            <w:pPr>
              <w:pStyle w:val="TableText0"/>
              <w:rPr>
                <w:rFonts w:eastAsia="Calibri" w:cs="Arial"/>
              </w:rPr>
            </w:pPr>
            <w:r w:rsidRPr="007211C1">
              <w:rPr>
                <w:rFonts w:eastAsia="Calibri" w:cs="Arial"/>
                <w:u w:val="single"/>
              </w:rPr>
              <w:t>Radiofrequency ablation</w:t>
            </w:r>
            <w:r w:rsidR="7EB66A3B" w:rsidRPr="007211C1">
              <w:rPr>
                <w:rFonts w:eastAsia="Calibri" w:cs="Arial"/>
                <w:u w:val="single"/>
              </w:rPr>
              <w:t>/Pulsed radiofrequency</w:t>
            </w:r>
            <w:r w:rsidRPr="007211C1">
              <w:rPr>
                <w:rFonts w:eastAsia="Calibri" w:cs="Arial"/>
                <w:u w:val="single"/>
              </w:rPr>
              <w:t xml:space="preserve"> </w:t>
            </w:r>
            <w:r w:rsidR="3139E223" w:rsidRPr="007211C1">
              <w:rPr>
                <w:rFonts w:eastAsia="Calibri" w:cs="Arial"/>
                <w:u w:val="single"/>
              </w:rPr>
              <w:t xml:space="preserve">(MBS item </w:t>
            </w:r>
            <w:r w:rsidR="00D9BBFF" w:rsidRPr="007211C1">
              <w:rPr>
                <w:rFonts w:eastAsia="Calibri" w:cs="Arial"/>
                <w:u w:val="single"/>
              </w:rPr>
              <w:t>39323</w:t>
            </w:r>
            <w:r w:rsidR="3139E223" w:rsidRPr="007211C1">
              <w:rPr>
                <w:rFonts w:eastAsia="Calibri" w:cs="Arial"/>
                <w:u w:val="single"/>
              </w:rPr>
              <w:t>)</w:t>
            </w:r>
            <w:r w:rsidR="3139E223" w:rsidRPr="007211C1">
              <w:rPr>
                <w:rFonts w:eastAsia="Calibri" w:cs="Arial"/>
              </w:rPr>
              <w:t xml:space="preserve"> </w:t>
            </w:r>
          </w:p>
          <w:p w14:paraId="7E690E4B" w14:textId="1C21C858" w:rsidR="006478E7" w:rsidRPr="00BC5544" w:rsidRDefault="68940A60" w:rsidP="736D4F2E">
            <w:pPr>
              <w:pStyle w:val="TableText0"/>
              <w:rPr>
                <w:i/>
                <w:iCs/>
                <w:highlight w:val="green"/>
              </w:rPr>
            </w:pPr>
            <w:r w:rsidRPr="007211C1">
              <w:t>A</w:t>
            </w:r>
            <w:r w:rsidR="6B36E460" w:rsidRPr="007211C1">
              <w:t xml:space="preserve"> </w:t>
            </w:r>
            <w:r w:rsidR="4FB4E589" w:rsidRPr="007211C1">
              <w:t>minimally invasive</w:t>
            </w:r>
            <w:r w:rsidR="71D87B1A" w:rsidRPr="007211C1">
              <w:t xml:space="preserve"> percutaneous</w:t>
            </w:r>
            <w:r w:rsidR="4FB4E589" w:rsidRPr="007211C1">
              <w:t xml:space="preserve"> procedure using </w:t>
            </w:r>
            <w:r w:rsidR="7C4BDFDF" w:rsidRPr="007211C1">
              <w:t xml:space="preserve">a </w:t>
            </w:r>
            <w:r w:rsidR="71D87B1A" w:rsidRPr="007211C1">
              <w:t xml:space="preserve">catheter probe to apply a </w:t>
            </w:r>
            <w:r w:rsidR="6B36E460" w:rsidRPr="007211C1">
              <w:t xml:space="preserve">high-frequency current </w:t>
            </w:r>
            <w:r w:rsidRPr="007211C1">
              <w:t>to</w:t>
            </w:r>
            <w:r w:rsidR="71D87B1A" w:rsidRPr="007211C1">
              <w:t xml:space="preserve"> denervate a specific peripheral </w:t>
            </w:r>
            <w:r w:rsidR="6B36E460" w:rsidRPr="007211C1">
              <w:t>nerve</w:t>
            </w:r>
            <w:r w:rsidR="3C89633D" w:rsidRPr="007211C1">
              <w:t xml:space="preserve">. </w:t>
            </w:r>
            <w:r w:rsidR="00383275" w:rsidRPr="007211C1">
              <w:t xml:space="preserve">May </w:t>
            </w:r>
            <w:r w:rsidR="6FC7AC89" w:rsidRPr="007211C1">
              <w:rPr>
                <w:rFonts w:eastAsia="Calibri" w:cs="Arial"/>
              </w:rPr>
              <w:t>also be</w:t>
            </w:r>
            <w:r w:rsidR="00383275" w:rsidRPr="007211C1">
              <w:rPr>
                <w:rFonts w:eastAsia="Calibri" w:cs="Arial"/>
              </w:rPr>
              <w:t xml:space="preserve"> considered</w:t>
            </w:r>
            <w:r w:rsidR="6FC7AC89" w:rsidRPr="007211C1">
              <w:rPr>
                <w:rFonts w:eastAsia="Calibri" w:cs="Arial"/>
              </w:rPr>
              <w:t xml:space="preserve"> a relevant </w:t>
            </w:r>
            <w:r w:rsidR="4FD5E485" w:rsidRPr="007211C1">
              <w:rPr>
                <w:rFonts w:eastAsia="Calibri" w:cs="Arial"/>
              </w:rPr>
              <w:t>comparator</w:t>
            </w:r>
            <w:r w:rsidR="6FC7AC89" w:rsidRPr="007211C1">
              <w:rPr>
                <w:rFonts w:eastAsia="Calibri" w:cs="Arial"/>
              </w:rPr>
              <w:t xml:space="preserve"> </w:t>
            </w:r>
            <w:r w:rsidR="001B64D8" w:rsidRPr="007211C1">
              <w:t>for</w:t>
            </w:r>
            <w:r w:rsidR="3C89633D" w:rsidRPr="007211C1">
              <w:t xml:space="preserve"> the proposed population</w:t>
            </w:r>
            <w:r w:rsidR="6FC7AC89" w:rsidRPr="00F2539B">
              <w:rPr>
                <w:i/>
                <w:iCs/>
              </w:rPr>
              <w:t>.</w:t>
            </w:r>
          </w:p>
        </w:tc>
      </w:tr>
      <w:tr w:rsidR="006478E7" w:rsidRPr="00490FBB" w14:paraId="591B1D2D" w14:textId="77777777" w:rsidTr="1629003B">
        <w:tc>
          <w:tcPr>
            <w:tcW w:w="1005" w:type="pct"/>
            <w:tcBorders>
              <w:top w:val="single" w:sz="4" w:space="0" w:color="auto"/>
              <w:left w:val="single" w:sz="8" w:space="0" w:color="auto"/>
              <w:bottom w:val="single" w:sz="4" w:space="0" w:color="auto"/>
              <w:right w:val="single" w:sz="4" w:space="0" w:color="auto"/>
            </w:tcBorders>
            <w:hideMark/>
          </w:tcPr>
          <w:p w14:paraId="635F9D15" w14:textId="77777777" w:rsidR="006478E7" w:rsidRPr="00490FBB" w:rsidRDefault="006478E7" w:rsidP="00F36EBA">
            <w:pPr>
              <w:pStyle w:val="TableText0"/>
              <w:rPr>
                <w:rFonts w:cs="Arial"/>
              </w:rPr>
            </w:pPr>
            <w:r w:rsidRPr="00490FBB">
              <w:rPr>
                <w:rFonts w:cs="Arial"/>
              </w:rPr>
              <w:t>Outcomes</w:t>
            </w:r>
          </w:p>
        </w:tc>
        <w:tc>
          <w:tcPr>
            <w:tcW w:w="3995" w:type="pct"/>
            <w:tcBorders>
              <w:top w:val="single" w:sz="4" w:space="0" w:color="auto"/>
              <w:left w:val="single" w:sz="4" w:space="0" w:color="auto"/>
              <w:bottom w:val="single" w:sz="4" w:space="0" w:color="auto"/>
              <w:right w:val="single" w:sz="8" w:space="0" w:color="auto"/>
            </w:tcBorders>
            <w:hideMark/>
          </w:tcPr>
          <w:p w14:paraId="353F579D" w14:textId="77777777" w:rsidR="007D5A8F" w:rsidRPr="007211C1" w:rsidRDefault="007D5A8F" w:rsidP="007D5A8F">
            <w:pPr>
              <w:pStyle w:val="TableText0"/>
              <w:rPr>
                <w:u w:val="single"/>
              </w:rPr>
            </w:pPr>
            <w:r w:rsidRPr="007211C1">
              <w:rPr>
                <w:u w:val="single"/>
              </w:rPr>
              <w:t>Safety</w:t>
            </w:r>
          </w:p>
          <w:p w14:paraId="5A110038" w14:textId="77777777" w:rsidR="007D5A8F" w:rsidRPr="007211C1" w:rsidRDefault="007D5A8F" w:rsidP="007D5A8F">
            <w:pPr>
              <w:pStyle w:val="TableText0"/>
            </w:pPr>
            <w:r w:rsidRPr="007211C1">
              <w:t>Serious adverse events</w:t>
            </w:r>
          </w:p>
          <w:p w14:paraId="59424A8B" w14:textId="77777777" w:rsidR="007D5A8F" w:rsidRPr="007211C1" w:rsidRDefault="007D5A8F" w:rsidP="007D5A8F">
            <w:pPr>
              <w:pStyle w:val="TableText0"/>
            </w:pPr>
            <w:r w:rsidRPr="007211C1">
              <w:t>Device-related complications</w:t>
            </w:r>
          </w:p>
          <w:p w14:paraId="5F32AD68" w14:textId="77777777" w:rsidR="007D5A8F" w:rsidRPr="007211C1" w:rsidRDefault="007D5A8F" w:rsidP="007D5A8F">
            <w:pPr>
              <w:pStyle w:val="TableText0"/>
            </w:pPr>
            <w:r w:rsidRPr="007211C1">
              <w:t>Procedure complications</w:t>
            </w:r>
          </w:p>
          <w:p w14:paraId="07A517E4" w14:textId="2AEE0EE8" w:rsidR="007D5A8F" w:rsidRPr="00CA0476" w:rsidRDefault="2C5ECD2C" w:rsidP="007D5A8F">
            <w:pPr>
              <w:pStyle w:val="TableText0"/>
              <w:rPr>
                <w:u w:val="single"/>
              </w:rPr>
            </w:pPr>
            <w:r w:rsidRPr="007211C1">
              <w:t>Need for treatment cessation/withdrawal</w:t>
            </w:r>
          </w:p>
          <w:p w14:paraId="7A3A67B0" w14:textId="10C9FF07" w:rsidR="007D5A8F" w:rsidRPr="007211C1" w:rsidRDefault="007D5A8F" w:rsidP="007D5A8F">
            <w:pPr>
              <w:pStyle w:val="TableText0"/>
              <w:rPr>
                <w:u w:val="single"/>
              </w:rPr>
            </w:pPr>
            <w:r w:rsidRPr="007211C1">
              <w:rPr>
                <w:u w:val="single"/>
              </w:rPr>
              <w:t>Effectiveness</w:t>
            </w:r>
          </w:p>
          <w:p w14:paraId="01FCA5DA" w14:textId="2889C1D7" w:rsidR="004C3529" w:rsidRPr="002C42B7" w:rsidRDefault="2C638590" w:rsidP="00CB01BB">
            <w:pPr>
              <w:pStyle w:val="TableText0"/>
              <w:rPr>
                <w:color w:val="000000" w:themeColor="text1"/>
              </w:rPr>
            </w:pPr>
            <w:r w:rsidRPr="2891237F">
              <w:t>Health-</w:t>
            </w:r>
            <w:r w:rsidR="001513A6">
              <w:t>R</w:t>
            </w:r>
            <w:r w:rsidRPr="2891237F">
              <w:t xml:space="preserve">elated </w:t>
            </w:r>
            <w:r w:rsidR="001513A6">
              <w:t>Q</w:t>
            </w:r>
            <w:r w:rsidR="0628D3DC" w:rsidRPr="2891237F">
              <w:t xml:space="preserve">uality of </w:t>
            </w:r>
            <w:r w:rsidR="001513A6">
              <w:t>L</w:t>
            </w:r>
            <w:r w:rsidR="0628D3DC" w:rsidRPr="2891237F">
              <w:t>ife</w:t>
            </w:r>
            <w:r w:rsidR="00CB16D3">
              <w:t xml:space="preserve"> (H</w:t>
            </w:r>
            <w:r w:rsidR="001513A6">
              <w:t>R</w:t>
            </w:r>
            <w:r w:rsidR="00CB16D3">
              <w:t>QoL)</w:t>
            </w:r>
            <w:r w:rsidR="00922885">
              <w:t xml:space="preserve"> - e.g. SF-36</w:t>
            </w:r>
          </w:p>
          <w:p w14:paraId="74BFC515" w14:textId="2DAD76E4" w:rsidR="004C3529" w:rsidRPr="002C42B7" w:rsidRDefault="0628D3DC" w:rsidP="00CB01BB">
            <w:pPr>
              <w:pStyle w:val="TableText0"/>
              <w:rPr>
                <w:color w:val="000000" w:themeColor="text1"/>
              </w:rPr>
            </w:pPr>
            <w:r w:rsidRPr="2891237F">
              <w:t>Pain Reduction</w:t>
            </w:r>
            <w:r w:rsidR="002A7F7D">
              <w:t xml:space="preserve"> - m</w:t>
            </w:r>
            <w:r w:rsidR="002A7F7D" w:rsidRPr="002A7F7D">
              <w:t>easured by VAS, neuropathic pain scale (NPS), numerical rating scale (NRS), or other quantitative measure</w:t>
            </w:r>
          </w:p>
          <w:p w14:paraId="7F692416" w14:textId="4AFBC193" w:rsidR="7E082FF3" w:rsidRDefault="23DBB9F9" w:rsidP="17E38301">
            <w:pPr>
              <w:pStyle w:val="TableText0"/>
            </w:pPr>
            <w:r>
              <w:t xml:space="preserve">Proportion of </w:t>
            </w:r>
            <w:r w:rsidR="48A805CB">
              <w:t>pat</w:t>
            </w:r>
            <w:r w:rsidR="2BCBE136">
              <w:t xml:space="preserve">ients </w:t>
            </w:r>
            <w:r w:rsidR="29AFE6D0">
              <w:t xml:space="preserve">undergoing implanted device </w:t>
            </w:r>
            <w:r w:rsidR="3FF7F33B">
              <w:t xml:space="preserve">insertion </w:t>
            </w:r>
            <w:r w:rsidR="306DF76F">
              <w:t>who</w:t>
            </w:r>
            <w:r w:rsidR="29AFE6D0">
              <w:t xml:space="preserve"> could be released from a trial period if PENS </w:t>
            </w:r>
            <w:r w:rsidR="29151FA0">
              <w:t>has been demonstrated to have sufficient efficacy</w:t>
            </w:r>
          </w:p>
          <w:p w14:paraId="3F9AA2ED" w14:textId="118740FB" w:rsidR="00195A3D" w:rsidRPr="002C42B7" w:rsidRDefault="09464454" w:rsidP="00CB01BB">
            <w:pPr>
              <w:pStyle w:val="TableText0"/>
              <w:rPr>
                <w:color w:val="000000" w:themeColor="text1"/>
                <w:u w:val="single"/>
              </w:rPr>
            </w:pPr>
            <w:r w:rsidRPr="002C42B7">
              <w:rPr>
                <w:u w:val="single"/>
              </w:rPr>
              <w:t>Healthcare system</w:t>
            </w:r>
          </w:p>
          <w:p w14:paraId="4B234196" w14:textId="77777777" w:rsidR="004C3529" w:rsidRPr="002C42B7" w:rsidRDefault="0628D3DC" w:rsidP="00CB01BB">
            <w:pPr>
              <w:pStyle w:val="TableText0"/>
              <w:rPr>
                <w:color w:val="000000" w:themeColor="text1"/>
              </w:rPr>
            </w:pPr>
            <w:r w:rsidRPr="2891237F">
              <w:t>Reduction in narcotic medication</w:t>
            </w:r>
          </w:p>
          <w:p w14:paraId="6761C18B" w14:textId="3B8CA389" w:rsidR="004C3529" w:rsidRDefault="51C4DD47" w:rsidP="00CB01BB">
            <w:pPr>
              <w:pStyle w:val="TableText0"/>
            </w:pPr>
            <w:r>
              <w:t xml:space="preserve">Reduction in </w:t>
            </w:r>
            <w:r w:rsidR="5445BC82">
              <w:t xml:space="preserve">use of </w:t>
            </w:r>
            <w:r w:rsidR="37C237B3">
              <w:t>subcutaneous</w:t>
            </w:r>
            <w:r w:rsidR="78C7521A">
              <w:t xml:space="preserve"> </w:t>
            </w:r>
            <w:r w:rsidR="5FE3DC93">
              <w:t xml:space="preserve">implantable </w:t>
            </w:r>
            <w:r w:rsidR="65337D52">
              <w:t xml:space="preserve">peripheral nerve stimulation </w:t>
            </w:r>
          </w:p>
          <w:p w14:paraId="315E91A3" w14:textId="29912BF0" w:rsidR="00F01BC3" w:rsidRPr="007211C1" w:rsidRDefault="00F01BC3" w:rsidP="00CB01BB">
            <w:pPr>
              <w:pStyle w:val="TableText0"/>
            </w:pPr>
            <w:r w:rsidRPr="007211C1">
              <w:t>C</w:t>
            </w:r>
            <w:r w:rsidR="39C13DAE" w:rsidRPr="007211C1">
              <w:t>ost of treatment</w:t>
            </w:r>
          </w:p>
          <w:p w14:paraId="6F9242D7" w14:textId="73CA36F2" w:rsidR="00E01349" w:rsidRPr="008772A1" w:rsidRDefault="00F01BC3" w:rsidP="00CB01BB">
            <w:pPr>
              <w:pStyle w:val="TableText0"/>
              <w:rPr>
                <w:highlight w:val="green"/>
              </w:rPr>
            </w:pPr>
            <w:r w:rsidRPr="007211C1">
              <w:t>C</w:t>
            </w:r>
            <w:r w:rsidR="39C13DAE" w:rsidRPr="007211C1">
              <w:t>ost of adverse events</w:t>
            </w:r>
            <w:r w:rsidR="256B1D29" w:rsidRPr="007211C1">
              <w:t xml:space="preserve"> or complications</w:t>
            </w:r>
            <w:r w:rsidR="39C13DAE" w:rsidRPr="00F2539B">
              <w:rPr>
                <w:i/>
                <w:iCs/>
              </w:rPr>
              <w:t xml:space="preserve"> </w:t>
            </w:r>
          </w:p>
        </w:tc>
      </w:tr>
      <w:tr w:rsidR="00BB1698" w:rsidRPr="00490FBB" w14:paraId="4A55FFDB" w14:textId="77777777" w:rsidTr="1629003B">
        <w:tc>
          <w:tcPr>
            <w:tcW w:w="1005" w:type="pct"/>
            <w:tcBorders>
              <w:top w:val="single" w:sz="4" w:space="0" w:color="auto"/>
              <w:left w:val="single" w:sz="8" w:space="0" w:color="auto"/>
              <w:bottom w:val="single" w:sz="8" w:space="0" w:color="auto"/>
              <w:right w:val="single" w:sz="4" w:space="0" w:color="auto"/>
            </w:tcBorders>
          </w:tcPr>
          <w:p w14:paraId="003B36EC" w14:textId="77777777" w:rsidR="00BB1698" w:rsidRPr="00490FBB" w:rsidRDefault="00BB1698" w:rsidP="00CB01BB">
            <w:pPr>
              <w:pStyle w:val="TableText0"/>
              <w:rPr>
                <w:rFonts w:cs="Arial"/>
              </w:rPr>
            </w:pPr>
            <w:r w:rsidRPr="00490FBB">
              <w:rPr>
                <w:rFonts w:cs="Arial"/>
              </w:rPr>
              <w:t>Assessment questions</w:t>
            </w:r>
          </w:p>
        </w:tc>
        <w:tc>
          <w:tcPr>
            <w:tcW w:w="3995" w:type="pct"/>
            <w:tcBorders>
              <w:top w:val="single" w:sz="4" w:space="0" w:color="auto"/>
              <w:left w:val="single" w:sz="4" w:space="0" w:color="auto"/>
              <w:bottom w:val="single" w:sz="8" w:space="0" w:color="auto"/>
              <w:right w:val="single" w:sz="8" w:space="0" w:color="auto"/>
            </w:tcBorders>
          </w:tcPr>
          <w:p w14:paraId="7AB69A9A" w14:textId="08E99D9A" w:rsidR="00BB1698" w:rsidRPr="004414D8" w:rsidRDefault="56E7DFB7" w:rsidP="00CB01BB">
            <w:pPr>
              <w:pStyle w:val="TableText0"/>
              <w:rPr>
                <w:i/>
                <w:color w:val="000000" w:themeColor="text1"/>
              </w:rPr>
            </w:pPr>
            <w:r w:rsidRPr="60682728">
              <w:rPr>
                <w:color w:val="000000" w:themeColor="text1"/>
              </w:rPr>
              <w:t xml:space="preserve">What is the safety, effectiveness and cost-effectiveness of </w:t>
            </w:r>
            <w:r w:rsidR="6A42C6DA" w:rsidRPr="158C7CF5">
              <w:rPr>
                <w:rFonts w:cs="Arial"/>
              </w:rPr>
              <w:t>Percutaneous Electrical Nerve Stimulation (PENS) therapy</w:t>
            </w:r>
            <w:r w:rsidR="6A42C6DA" w:rsidRPr="31C6DE68">
              <w:t xml:space="preserve"> </w:t>
            </w:r>
            <w:r w:rsidRPr="31C6DE68">
              <w:t>versus</w:t>
            </w:r>
            <w:r w:rsidR="010599ED" w:rsidRPr="60682728">
              <w:t xml:space="preserve"> </w:t>
            </w:r>
            <w:r w:rsidR="00DA180D">
              <w:t>non</w:t>
            </w:r>
            <w:r w:rsidR="00841BBB">
              <w:t xml:space="preserve">-invasive standard care, </w:t>
            </w:r>
            <w:r w:rsidR="003E6475">
              <w:t>subcu</w:t>
            </w:r>
            <w:r w:rsidR="00EC4D46">
              <w:t>tan</w:t>
            </w:r>
            <w:r w:rsidR="003E6475">
              <w:t>eous</w:t>
            </w:r>
            <w:r w:rsidR="00EE3C12">
              <w:t xml:space="preserve"> </w:t>
            </w:r>
            <w:r w:rsidR="00841BBB">
              <w:t xml:space="preserve">implantable </w:t>
            </w:r>
            <w:r w:rsidR="006955C4">
              <w:t>peripheral</w:t>
            </w:r>
            <w:r w:rsidR="00841BBB">
              <w:t xml:space="preserve"> nerve stimulation or </w:t>
            </w:r>
            <w:r w:rsidR="00100C81" w:rsidRPr="00F2539B">
              <w:rPr>
                <w:i/>
                <w:iCs/>
              </w:rPr>
              <w:t>radiofrequency ablation/</w:t>
            </w:r>
            <w:r w:rsidR="00100C81">
              <w:rPr>
                <w:i/>
                <w:iCs/>
              </w:rPr>
              <w:t>p</w:t>
            </w:r>
            <w:r w:rsidR="00100C81" w:rsidRPr="00F2539B">
              <w:rPr>
                <w:i/>
                <w:iCs/>
              </w:rPr>
              <w:t>ulsed radiofrequency</w:t>
            </w:r>
            <w:r w:rsidRPr="2891237F">
              <w:rPr>
                <w:color w:val="000000" w:themeColor="text1"/>
              </w:rPr>
              <w:t xml:space="preserve"> in </w:t>
            </w:r>
            <w:r w:rsidR="077B27A6" w:rsidRPr="2891237F">
              <w:rPr>
                <w:color w:val="000000" w:themeColor="text1"/>
              </w:rPr>
              <w:t xml:space="preserve">patients with chronic peripheral nerve pain. </w:t>
            </w:r>
          </w:p>
        </w:tc>
      </w:tr>
    </w:tbl>
    <w:p w14:paraId="5EDA8022" w14:textId="44C5DC34" w:rsidR="00E35541" w:rsidRPr="00490FBB" w:rsidRDefault="003A37DE" w:rsidP="004058E9">
      <w:pPr>
        <w:pStyle w:val="Tablenotes"/>
      </w:pPr>
      <w:r w:rsidRPr="00510EA5">
        <w:rPr>
          <w:rFonts w:eastAsia="Calibri"/>
        </w:rPr>
        <w:t>HRQoL= Health-Related Quality of Life</w:t>
      </w:r>
      <w:r w:rsidR="00D94CC5">
        <w:rPr>
          <w:rFonts w:eastAsia="Calibri"/>
        </w:rPr>
        <w:t>;</w:t>
      </w:r>
      <w:r w:rsidRPr="003A37DE">
        <w:rPr>
          <w:rFonts w:eastAsia="Calibri"/>
        </w:rPr>
        <w:t xml:space="preserve"> </w:t>
      </w:r>
      <w:r w:rsidR="00E31F18">
        <w:t>NSAIDs= non-steroidal anti</w:t>
      </w:r>
      <w:r w:rsidR="00E22FE7">
        <w:t>-</w:t>
      </w:r>
      <w:r w:rsidR="00E31F18">
        <w:t>inflammatory drugs</w:t>
      </w:r>
      <w:r w:rsidR="00E31F18">
        <w:rPr>
          <w:rFonts w:eastAsia="Calibri"/>
        </w:rPr>
        <w:t xml:space="preserve"> </w:t>
      </w:r>
      <w:r w:rsidR="004058E9" w:rsidRPr="003A37DE">
        <w:rPr>
          <w:rFonts w:eastAsia="Calibri"/>
        </w:rPr>
        <w:t>PENS=Percutaneous Electrical Nerve Stimulation</w:t>
      </w:r>
      <w:r w:rsidR="008249F4" w:rsidRPr="003A37DE">
        <w:rPr>
          <w:rFonts w:eastAsia="Calibri"/>
        </w:rPr>
        <w:t xml:space="preserve">; </w:t>
      </w:r>
      <w:r w:rsidR="008249F4" w:rsidRPr="003A37DE">
        <w:t>TENS=Transcutaneous Electrical Nerve Stimulation</w:t>
      </w:r>
    </w:p>
    <w:p w14:paraId="53297713" w14:textId="3F32290A" w:rsidR="00912660" w:rsidRDefault="00912660" w:rsidP="00713728">
      <w:pPr>
        <w:pStyle w:val="Heading2"/>
      </w:pPr>
      <w:r>
        <w:lastRenderedPageBreak/>
        <w:t>Purpose of application</w:t>
      </w:r>
    </w:p>
    <w:p w14:paraId="0E65AD1B" w14:textId="1F165AEB" w:rsidR="004C2C5E" w:rsidRPr="009A3778" w:rsidRDefault="004C2C5E" w:rsidP="5C75A766">
      <w:pPr>
        <w:spacing w:before="120" w:after="160" w:line="259" w:lineRule="auto"/>
      </w:pPr>
      <w:r>
        <w:t xml:space="preserve">An application requesting </w:t>
      </w:r>
      <w:r w:rsidR="00BF0E3C">
        <w:t xml:space="preserve">the amendment of </w:t>
      </w:r>
      <w:r>
        <w:t xml:space="preserve">Medicare Benefits Schedule (MBS) </w:t>
      </w:r>
      <w:r w:rsidR="00BF0E3C">
        <w:t xml:space="preserve">item </w:t>
      </w:r>
      <w:r w:rsidR="000554A1">
        <w:t xml:space="preserve">39129 to include </w:t>
      </w:r>
      <w:r w:rsidR="2C7C869B" w:rsidRPr="1629003B">
        <w:rPr>
          <w:rFonts w:cs="Calibri"/>
        </w:rPr>
        <w:t>Percutaneous Electrical Nerve Stimulation (PENS) therapy</w:t>
      </w:r>
      <w:r>
        <w:t xml:space="preserve"> for treatment of </w:t>
      </w:r>
      <w:r w:rsidR="1D4B129D">
        <w:t>intractable chronic neuropathic pain</w:t>
      </w:r>
      <w:r>
        <w:t xml:space="preserve"> was received from </w:t>
      </w:r>
      <w:r w:rsidR="2892D95D" w:rsidRPr="1629003B">
        <w:rPr>
          <w:rFonts w:cs="Calibri"/>
        </w:rPr>
        <w:t>MICA MEDICAL PTY LIMITED</w:t>
      </w:r>
      <w:r>
        <w:t xml:space="preserve"> by the Department of Health.</w:t>
      </w:r>
    </w:p>
    <w:p w14:paraId="61C6C810" w14:textId="4435F5D0" w:rsidR="006E2507" w:rsidRDefault="70332590" w:rsidP="00510EA5">
      <w:r w:rsidRPr="6D581D04">
        <w:t xml:space="preserve">The </w:t>
      </w:r>
      <w:r w:rsidR="35A9D68D" w:rsidRPr="63678573">
        <w:t xml:space="preserve">clinical claim </w:t>
      </w:r>
      <w:r w:rsidR="5D439288" w:rsidRPr="63678573">
        <w:t xml:space="preserve">provided by the applicant </w:t>
      </w:r>
      <w:r w:rsidR="35A9D68D" w:rsidRPr="63678573">
        <w:t xml:space="preserve">is that the </w:t>
      </w:r>
      <w:r w:rsidRPr="6D581D04">
        <w:t xml:space="preserve">use of </w:t>
      </w:r>
      <w:r w:rsidR="35A9D68D" w:rsidRPr="63678573">
        <w:t>Percutaneous Electrical Nerve Stimulation (PENS)</w:t>
      </w:r>
      <w:r w:rsidR="577EF951" w:rsidRPr="63678573">
        <w:t xml:space="preserve"> </w:t>
      </w:r>
      <w:r w:rsidR="32EEA38E" w:rsidRPr="63678573">
        <w:t>for the management of chronic peripheral neuropathic pain</w:t>
      </w:r>
      <w:r w:rsidR="5E9684A3" w:rsidRPr="6D581D04">
        <w:t xml:space="preserve"> results in</w:t>
      </w:r>
      <w:r w:rsidR="7A8396AB" w:rsidRPr="63678573">
        <w:t>:</w:t>
      </w:r>
    </w:p>
    <w:p w14:paraId="51F744EA" w14:textId="45A90672" w:rsidR="5D2D9426" w:rsidRDefault="5E9684A3" w:rsidP="00510EA5">
      <w:pPr>
        <w:pStyle w:val="ListParagraph"/>
        <w:numPr>
          <w:ilvl w:val="0"/>
          <w:numId w:val="15"/>
        </w:numPr>
      </w:pPr>
      <w:r>
        <w:t xml:space="preserve">noninferior </w:t>
      </w:r>
      <w:r w:rsidR="4D43318C">
        <w:t>effectiveness</w:t>
      </w:r>
      <w:r w:rsidR="5A68CC69">
        <w:t xml:space="preserve"> and superior safety</w:t>
      </w:r>
      <w:r w:rsidR="577EF951">
        <w:t xml:space="preserve"> compared </w:t>
      </w:r>
      <w:r w:rsidR="794CE4B7">
        <w:t>to</w:t>
      </w:r>
      <w:r w:rsidR="7B98B142">
        <w:t xml:space="preserve"> </w:t>
      </w:r>
      <w:r w:rsidR="00433981">
        <w:t xml:space="preserve">subcutaneous </w:t>
      </w:r>
      <w:r w:rsidR="000E41CE">
        <w:t>implantable peripheral nerve stimulation</w:t>
      </w:r>
      <w:r w:rsidR="13ED2D7E">
        <w:t xml:space="preserve">/surgically placed peripheral nerve leads </w:t>
      </w:r>
      <w:r w:rsidR="00B4018B">
        <w:t>(where the leads are expected to remain in-situ long-term)</w:t>
      </w:r>
    </w:p>
    <w:p w14:paraId="1B72B109" w14:textId="2887496D" w:rsidR="004414D8" w:rsidRPr="000C3946" w:rsidRDefault="5069C191" w:rsidP="00510EA5">
      <w:pPr>
        <w:pStyle w:val="ListParagraph"/>
        <w:numPr>
          <w:ilvl w:val="0"/>
          <w:numId w:val="15"/>
        </w:numPr>
        <w:rPr>
          <w:rFonts w:cs="Calibri"/>
        </w:rPr>
      </w:pPr>
      <w:r w:rsidRPr="63678573">
        <w:t>s</w:t>
      </w:r>
      <w:r w:rsidR="769C1905" w:rsidRPr="63678573">
        <w:t xml:space="preserve">uperior </w:t>
      </w:r>
      <w:r w:rsidR="4D43318C" w:rsidRPr="63678573">
        <w:t>effectiveness</w:t>
      </w:r>
      <w:r w:rsidR="769C1905" w:rsidRPr="63678573">
        <w:t xml:space="preserve"> </w:t>
      </w:r>
      <w:r w:rsidR="5A68CC69" w:rsidRPr="63678573">
        <w:t xml:space="preserve">and inferior safety </w:t>
      </w:r>
      <w:r w:rsidR="769C1905" w:rsidRPr="63678573">
        <w:t xml:space="preserve">compared to </w:t>
      </w:r>
      <w:r w:rsidR="48277E58" w:rsidRPr="63678573">
        <w:t>conventional</w:t>
      </w:r>
      <w:r w:rsidRPr="63678573">
        <w:t xml:space="preserve"> </w:t>
      </w:r>
      <w:r w:rsidR="48277E58" w:rsidRPr="63678573">
        <w:t>pain</w:t>
      </w:r>
      <w:r w:rsidR="769C1905" w:rsidRPr="63678573">
        <w:t xml:space="preserve"> management </w:t>
      </w:r>
      <w:r w:rsidRPr="63678573">
        <w:t>(non-interventional)</w:t>
      </w:r>
      <w:r w:rsidR="0002341E">
        <w:t>.</w:t>
      </w:r>
      <w:r w:rsidRPr="63678573">
        <w:t xml:space="preserve"> </w:t>
      </w:r>
    </w:p>
    <w:p w14:paraId="2673A55E" w14:textId="0051BBAF" w:rsidR="00E35541" w:rsidRPr="007211C1" w:rsidRDefault="1562A491" w:rsidP="736D4F2E">
      <w:r w:rsidRPr="007211C1">
        <w:t>The MBS item 39138 (surgical placement of peripheral nerve leads for implantable peripheral nerve stimulation) had previously been used to claim PENS therapies, however on 1 March 2022, as recommended by the MBS Taskforce review of pain management MBS items</w:t>
      </w:r>
      <w:r w:rsidR="73AC8C5D" w:rsidRPr="007211C1">
        <w:rPr>
          <w:rStyle w:val="FootnoteReference"/>
        </w:rPr>
        <w:footnoteReference w:id="2"/>
      </w:r>
      <w:r w:rsidRPr="007211C1">
        <w:t>, an explanatory note (TN.8.241) was applied to specify that that PENS is not to be claimed under this item. A new MBS item 39129 (percutaneous placement of peripheral nerve leads for implantable peripheral nerve stimulation)</w:t>
      </w:r>
      <w:r w:rsidR="00677B0F">
        <w:t>,</w:t>
      </w:r>
      <w:r w:rsidRPr="007211C1">
        <w:t xml:space="preserve"> to which explanatory note TN.8.241 also applies, was also added to the MBS in 2022, following taskforce review. This application is seeking to modify MBS item 39129 to allow claiming of PENS.</w:t>
      </w:r>
    </w:p>
    <w:p w14:paraId="18E66948" w14:textId="77777777" w:rsidR="00D73332" w:rsidRPr="00FD4C65" w:rsidRDefault="00D73332" w:rsidP="00FD4C65">
      <w:pPr>
        <w:pStyle w:val="Heading2"/>
      </w:pPr>
      <w:r w:rsidRPr="00FD4C65">
        <w:t xml:space="preserve">PICO </w:t>
      </w:r>
      <w:r w:rsidR="00FD4E33" w:rsidRPr="00FD4C65">
        <w:t xml:space="preserve">criteria </w:t>
      </w:r>
    </w:p>
    <w:p w14:paraId="06B30611" w14:textId="28B73B99" w:rsidR="007D6B83" w:rsidRPr="00713728" w:rsidRDefault="78D37B3B" w:rsidP="007D6B83">
      <w:pPr>
        <w:pStyle w:val="Heading3"/>
      </w:pPr>
      <w:r>
        <w:t>Population</w:t>
      </w:r>
    </w:p>
    <w:p w14:paraId="2D8760F9" w14:textId="02C93EFD" w:rsidR="5ADA5938" w:rsidRDefault="184B4486">
      <w:r>
        <w:t>The proposed population for PENS therapy is:</w:t>
      </w:r>
    </w:p>
    <w:p w14:paraId="7A8D81C4" w14:textId="5A0EA79B" w:rsidR="184B4486" w:rsidRDefault="184B4486" w:rsidP="736D4F2E">
      <w:pPr>
        <w:pStyle w:val="ListParagraph"/>
        <w:numPr>
          <w:ilvl w:val="0"/>
          <w:numId w:val="20"/>
        </w:numPr>
      </w:pPr>
      <w:r>
        <w:t xml:space="preserve">Adult patients with chronic peripheral neuropathic pain for at least 3 months that does not </w:t>
      </w:r>
      <w:r w:rsidR="2CB1411C" w:rsidRPr="00F2539B">
        <w:rPr>
          <w:i/>
          <w:iCs/>
        </w:rPr>
        <w:t>adequately</w:t>
      </w:r>
      <w:r w:rsidR="2CB1411C">
        <w:t xml:space="preserve"> </w:t>
      </w:r>
      <w:r>
        <w:t xml:space="preserve">respond to </w:t>
      </w:r>
      <w:r w:rsidR="00FF6B5F" w:rsidRPr="00F2539B">
        <w:rPr>
          <w:i/>
          <w:iCs/>
        </w:rPr>
        <w:t>non-invasive</w:t>
      </w:r>
      <w:r>
        <w:t xml:space="preserve"> standard treatment such as, physical, psychological and/or pharmacological therapies.</w:t>
      </w:r>
    </w:p>
    <w:p w14:paraId="751A31AF" w14:textId="1EDD91CD" w:rsidR="00E86054" w:rsidRDefault="00CD6E81" w:rsidP="00E86054">
      <w:pPr>
        <w:rPr>
          <w:u w:val="single"/>
        </w:rPr>
      </w:pPr>
      <w:r w:rsidRPr="007211C1">
        <w:t>T</w:t>
      </w:r>
      <w:r w:rsidR="184B4486" w:rsidRPr="007211C1">
        <w:t xml:space="preserve">he application originally described patients with intractable neuropathic pain. During the PICO process the use of ‘intractable’ instead of ‘chronic’ was queried. The applicant clarified that their description of intractable neuropathic pain was intended to imply chronic neuropathic pain and confirmed that the intention is for the proposed population to include patients who have been considered to have chronic neuropathic pain for at least 3 months. It is also noted that describing PENS as a treatment for chronic neuropathic pain may better align with the wording used in the existing MBS item </w:t>
      </w:r>
      <w:r w:rsidR="184B4486" w:rsidRPr="007211C1">
        <w:rPr>
          <w:rFonts w:cs="Calibri"/>
        </w:rPr>
        <w:t>39129 that the applicant is seeking to amend to include PENS</w:t>
      </w:r>
      <w:r w:rsidR="184B4486" w:rsidRPr="007211C1">
        <w:t>.</w:t>
      </w:r>
      <w:r w:rsidR="3186BA77" w:rsidRPr="007211C1">
        <w:t xml:space="preserve"> Additionally, the MBS Review Taskforce has recommended that the term ‘intractable’ is removed from pain medicine items as it is poorly </w:t>
      </w:r>
      <w:r w:rsidR="5816AC20" w:rsidRPr="007211C1">
        <w:t>defined</w:t>
      </w:r>
      <w:r w:rsidR="2CC837BA" w:rsidRPr="007211C1">
        <w:t xml:space="preserve"> and unclear.</w:t>
      </w:r>
    </w:p>
    <w:p w14:paraId="0504456F" w14:textId="160C68B9" w:rsidR="0019239F" w:rsidRPr="0019239F" w:rsidRDefault="5D439288" w:rsidP="00E86054">
      <w:pPr>
        <w:spacing w:after="120"/>
        <w:rPr>
          <w:u w:val="single"/>
        </w:rPr>
      </w:pPr>
      <w:r w:rsidRPr="63678573">
        <w:rPr>
          <w:u w:val="single"/>
        </w:rPr>
        <w:t>Neuropathic pain</w:t>
      </w:r>
    </w:p>
    <w:p w14:paraId="7BD5EB0D" w14:textId="57B8A32C" w:rsidR="000D7895" w:rsidRPr="00833E56" w:rsidRDefault="64B6F446" w:rsidP="00B804ED">
      <w:r>
        <w:t>Neuropathic pain can be defined as pain produced by a lesion</w:t>
      </w:r>
      <w:r w:rsidR="0FE71800">
        <w:t>, abnormality</w:t>
      </w:r>
      <w:r>
        <w:t xml:space="preserve"> or disease </w:t>
      </w:r>
      <w:r w:rsidR="16E6C3BD">
        <w:t xml:space="preserve">that affects the </w:t>
      </w:r>
      <w:r w:rsidR="0B51FB98">
        <w:t>somatosensory nervous system</w:t>
      </w:r>
      <w:r w:rsidR="2604E4DF">
        <w:t>. Rather than being considered a</w:t>
      </w:r>
      <w:r w:rsidR="65C91041">
        <w:t xml:space="preserve"> </w:t>
      </w:r>
      <w:r w:rsidR="0B51FB98">
        <w:t>specific condition to be diagnosed</w:t>
      </w:r>
      <w:r w:rsidR="5A9925F5">
        <w:t xml:space="preserve">, </w:t>
      </w:r>
      <w:r w:rsidR="5A9925F5">
        <w:lastRenderedPageBreak/>
        <w:t>neuropathic pain is considered a clinical description of a particular type of pain</w:t>
      </w:r>
      <w:r w:rsidR="0B51FB98">
        <w:t xml:space="preserve"> </w:t>
      </w:r>
      <w:r w:rsidR="39796531">
        <w:t xml:space="preserve">(IASP, 2011). </w:t>
      </w:r>
      <w:r w:rsidR="6052B78F">
        <w:t>Chronic pain is typically defined as</w:t>
      </w:r>
      <w:r w:rsidR="6D6622EE">
        <w:t xml:space="preserve"> pain which has persisted over a period of at least 3 to 6 months</w:t>
      </w:r>
      <w:r w:rsidR="5D564CEC">
        <w:t xml:space="preserve"> (Toth &amp; Moulin, 2013). </w:t>
      </w:r>
      <w:r w:rsidR="0A4ACDAE">
        <w:t>The diagnosis of chronic neuropathic pain is complex as it possesses a variety of underlying aetiologies</w:t>
      </w:r>
      <w:r w:rsidR="1B9906A6">
        <w:t xml:space="preserve">. A combination of patient history and clinical assessment </w:t>
      </w:r>
      <w:r w:rsidR="4765BFC8">
        <w:t>is</w:t>
      </w:r>
      <w:r w:rsidR="1B9906A6">
        <w:t xml:space="preserve"> useful in diagnosing a patient with chronic neuropathic pain</w:t>
      </w:r>
      <w:r w:rsidR="78BA3A65">
        <w:t xml:space="preserve"> as it can be detected via other assessments of sensory, motor and autonomic function</w:t>
      </w:r>
      <w:r w:rsidR="74F8C41C">
        <w:t xml:space="preserve"> (Toth &amp; Moulin, 2013). Alternatively, there </w:t>
      </w:r>
      <w:r w:rsidR="7409C8DB">
        <w:t>exists</w:t>
      </w:r>
      <w:r w:rsidR="74F8C41C">
        <w:t xml:space="preserve"> a grading </w:t>
      </w:r>
      <w:r w:rsidR="2CE269B5">
        <w:t xml:space="preserve">system which describes the plausibility of a patient presenting with neuropathic pain </w:t>
      </w:r>
      <w:r w:rsidR="3FB28A8D">
        <w:t xml:space="preserve">based on their </w:t>
      </w:r>
      <w:r w:rsidR="233E6A33">
        <w:t xml:space="preserve">own </w:t>
      </w:r>
      <w:r w:rsidR="3FB28A8D">
        <w:t xml:space="preserve">individual </w:t>
      </w:r>
      <w:r w:rsidR="6992C51B">
        <w:t xml:space="preserve">medical </w:t>
      </w:r>
      <w:r w:rsidR="3FB28A8D">
        <w:t>history</w:t>
      </w:r>
      <w:r w:rsidR="18C38B5E">
        <w:t xml:space="preserve"> and </w:t>
      </w:r>
      <w:r w:rsidR="3FB28A8D">
        <w:t xml:space="preserve">the pain distribution </w:t>
      </w:r>
      <w:r w:rsidR="3CF9AC7B">
        <w:t xml:space="preserve">they </w:t>
      </w:r>
      <w:r w:rsidR="3FB28A8D">
        <w:t>report</w:t>
      </w:r>
      <w:r w:rsidR="70705FC2">
        <w:t xml:space="preserve">, </w:t>
      </w:r>
      <w:r w:rsidR="0D94171A">
        <w:t xml:space="preserve">as well as </w:t>
      </w:r>
      <w:r w:rsidR="246F02C8">
        <w:t xml:space="preserve">individual </w:t>
      </w:r>
      <w:r w:rsidR="0D94171A">
        <w:t>neuroanatomical structure</w:t>
      </w:r>
      <w:r w:rsidR="1AD4F4B7">
        <w:t>,</w:t>
      </w:r>
      <w:r w:rsidR="0D94171A">
        <w:t xml:space="preserve"> and </w:t>
      </w:r>
      <w:r w:rsidR="707A34A7">
        <w:t xml:space="preserve">(if available) the use of a diagnostic test to confirm the presence of a lesion/disease </w:t>
      </w:r>
      <w:r w:rsidR="50325471">
        <w:t>(Finnerup et al., 2016)</w:t>
      </w:r>
      <w:r w:rsidR="707A34A7">
        <w:t>.</w:t>
      </w:r>
      <w:r w:rsidR="1D69783C">
        <w:t xml:space="preserve"> Peripheral neuropathic pain is distinct from central neuropathic pain </w:t>
      </w:r>
      <w:r w:rsidR="6D22F194">
        <w:t>in that it is caused by damage to neurons within the peripheral nervous system rather than the central nervous system.</w:t>
      </w:r>
      <w:r w:rsidR="41EDBA0C">
        <w:t xml:space="preserve"> </w:t>
      </w:r>
    </w:p>
    <w:p w14:paraId="32E842A7" w14:textId="22D373F7" w:rsidR="5A75A28E" w:rsidRDefault="001D29AC" w:rsidP="00510EA5">
      <w:r w:rsidRPr="03338CC7">
        <w:t>The symptoms which characterise peripheral neuropathic pain include hypersensitivity and/or inflammation around the site of the damaged nerve. The nociceptive effect has been described as consisting of two distinguishable pains: the first of which is more localised and produces a sharper sensation, whereas the second pain feels more diffuse and induces a duller burning sensation. Chronic peripheral neuropathic pain is characterised when these pain sensations are sustained over a period of at least 3 to 6 months (Toth, 2013). Other symptoms of neuropathic pain include numbness, tingling, and electric shock-like sensations as well as muscle weakness, difficulty moving, or problems with balance (Healthdirect Australia, 2022).</w:t>
      </w:r>
    </w:p>
    <w:p w14:paraId="173D6F8D" w14:textId="0A2C4E2C" w:rsidR="00D0061D" w:rsidRDefault="00D0061D" w:rsidP="00510EA5">
      <w:r>
        <w:t xml:space="preserve">Chronic peripheral neuropathic pain is the focus of the application. </w:t>
      </w:r>
    </w:p>
    <w:p w14:paraId="78671620" w14:textId="5AD7D0EE" w:rsidR="0073257C" w:rsidRDefault="0073257C" w:rsidP="007211C1">
      <w:pPr>
        <w:spacing w:after="0"/>
        <w:rPr>
          <w:i/>
          <w:iCs/>
        </w:rPr>
      </w:pPr>
      <w:r w:rsidRPr="00D864E0">
        <w:rPr>
          <w:i/>
          <w:iCs/>
        </w:rPr>
        <w:t xml:space="preserve">PASC queried the definition of chronic pain and its persistent duration in relation to PENS. PASC accepted the applicant’s rationale that pain persisting over a 3-month period was appropriate as it would enable PENS to be provided as an earlier alternative treatment option ahead of other available treatments such as opioids which are not an optimal therapy choice for management of chronic pain and can have adverse safety implications. </w:t>
      </w:r>
    </w:p>
    <w:p w14:paraId="247729A9" w14:textId="77777777" w:rsidR="00C812F3" w:rsidRDefault="00C812F3" w:rsidP="007211C1">
      <w:pPr>
        <w:spacing w:after="0"/>
      </w:pPr>
    </w:p>
    <w:p w14:paraId="11865BBA" w14:textId="35988C72" w:rsidR="0019239F" w:rsidRPr="00BE3C50" w:rsidRDefault="5D439288" w:rsidP="00E86054">
      <w:pPr>
        <w:spacing w:after="120"/>
        <w:rPr>
          <w:u w:val="single"/>
        </w:rPr>
      </w:pPr>
      <w:r w:rsidRPr="00BE3C50">
        <w:rPr>
          <w:u w:val="single"/>
        </w:rPr>
        <w:t>At-risk populations</w:t>
      </w:r>
    </w:p>
    <w:p w14:paraId="65B45946" w14:textId="471182F0" w:rsidR="4B9DAE24" w:rsidRDefault="4B9DAE24" w:rsidP="00BE3C50">
      <w:r w:rsidRPr="03338CC7">
        <w:t xml:space="preserve">An individual’s existing health can impact their risk of developing neuropathic pain. </w:t>
      </w:r>
      <w:r w:rsidR="025F0746" w:rsidRPr="03338CC7">
        <w:t>Diabetes mellitus is a known risk factor for peripheral neuropathic pain</w:t>
      </w:r>
      <w:r w:rsidR="00976288">
        <w:t>,</w:t>
      </w:r>
      <w:r w:rsidR="48D3CCC6" w:rsidRPr="03338CC7">
        <w:t xml:space="preserve"> </w:t>
      </w:r>
      <w:r w:rsidR="7134DC43" w:rsidRPr="03338CC7">
        <w:t xml:space="preserve">with </w:t>
      </w:r>
      <w:r w:rsidR="467731F8" w:rsidRPr="03338CC7">
        <w:t xml:space="preserve">almost </w:t>
      </w:r>
      <w:r w:rsidR="6724BF5F" w:rsidRPr="03338CC7">
        <w:t xml:space="preserve">50% </w:t>
      </w:r>
      <w:r w:rsidR="6724BF5F" w:rsidRPr="008217BE">
        <w:t xml:space="preserve">of </w:t>
      </w:r>
      <w:r w:rsidR="77006D8B" w:rsidRPr="008217BE">
        <w:t xml:space="preserve">cases </w:t>
      </w:r>
      <w:r w:rsidR="52044488" w:rsidRPr="008217BE">
        <w:t xml:space="preserve">of diabetes </w:t>
      </w:r>
      <w:r w:rsidR="77006D8B" w:rsidRPr="008217BE">
        <w:t>developing diabetic sensorimotor polyneuropathy</w:t>
      </w:r>
      <w:r w:rsidR="5E854B39" w:rsidRPr="008217BE">
        <w:t xml:space="preserve"> (DSP)</w:t>
      </w:r>
      <w:r w:rsidR="6724BF5F" w:rsidRPr="008217BE">
        <w:t xml:space="preserve"> within 10 years of onset</w:t>
      </w:r>
      <w:r w:rsidR="3156B721" w:rsidRPr="03338CC7">
        <w:t xml:space="preserve">. Among </w:t>
      </w:r>
      <w:r w:rsidR="4F945410" w:rsidRPr="03338CC7">
        <w:t xml:space="preserve">patients with DSP, approximately 50% </w:t>
      </w:r>
      <w:r w:rsidR="699505EE" w:rsidRPr="03338CC7">
        <w:t xml:space="preserve">(about 25% of all people with diabetes) </w:t>
      </w:r>
      <w:r w:rsidR="4F945410" w:rsidRPr="03338CC7">
        <w:t xml:space="preserve">will experience neuropathic pain </w:t>
      </w:r>
      <w:r w:rsidR="33676775" w:rsidRPr="03338CC7">
        <w:t>(The Diabetes Control and Complications Trial Research Group, 1993)</w:t>
      </w:r>
      <w:r w:rsidR="48D3CCC6" w:rsidRPr="03338CC7">
        <w:t xml:space="preserve">. </w:t>
      </w:r>
      <w:r w:rsidR="29CCD404" w:rsidRPr="03338CC7">
        <w:t xml:space="preserve">Other health conditions including stroke, cancer, or </w:t>
      </w:r>
      <w:r w:rsidR="630C56B7" w:rsidRPr="03338CC7">
        <w:t>multiple sclerosis can also increase the risk of developing neuropathic pain, while p</w:t>
      </w:r>
      <w:r w:rsidR="29CCD404" w:rsidRPr="03338CC7">
        <w:t xml:space="preserve">athogenic </w:t>
      </w:r>
      <w:r w:rsidR="6AEF1041" w:rsidRPr="03338CC7">
        <w:t>causes of neuropath</w:t>
      </w:r>
      <w:r w:rsidR="0BD57C3A" w:rsidRPr="03338CC7">
        <w:t>y have</w:t>
      </w:r>
      <w:r w:rsidR="0A3D6A35" w:rsidRPr="03338CC7">
        <w:t xml:space="preserve"> also</w:t>
      </w:r>
      <w:r w:rsidR="0BD57C3A" w:rsidRPr="03338CC7">
        <w:t xml:space="preserve"> been identified,</w:t>
      </w:r>
      <w:r w:rsidR="6AEF1041" w:rsidRPr="03338CC7">
        <w:t xml:space="preserve"> </w:t>
      </w:r>
      <w:r w:rsidR="63F07387" w:rsidRPr="03338CC7">
        <w:t xml:space="preserve">these </w:t>
      </w:r>
      <w:r w:rsidR="6AEF1041" w:rsidRPr="03338CC7">
        <w:t xml:space="preserve">include </w:t>
      </w:r>
      <w:r w:rsidR="11103941" w:rsidRPr="03338CC7">
        <w:t xml:space="preserve">viruses </w:t>
      </w:r>
      <w:r w:rsidR="32B0C174" w:rsidRPr="03338CC7">
        <w:t xml:space="preserve">such as SARS-CoV-2, HIV, </w:t>
      </w:r>
      <w:r w:rsidR="18FD011C" w:rsidRPr="03338CC7">
        <w:t>Z</w:t>
      </w:r>
      <w:r w:rsidR="14B969AA" w:rsidRPr="03338CC7">
        <w:t>ika, varicella zoster, and Hepatitis (A, B, C, and E) as well as bacteria</w:t>
      </w:r>
      <w:r w:rsidR="291DFC6B" w:rsidRPr="03338CC7">
        <w:t xml:space="preserve"> and toxins including leprosy, </w:t>
      </w:r>
      <w:r w:rsidR="51E721ED" w:rsidRPr="03338CC7">
        <w:t>Lyme</w:t>
      </w:r>
      <w:r w:rsidR="291DFC6B" w:rsidRPr="03338CC7">
        <w:t>, tetanus, diphtheria, and botulism</w:t>
      </w:r>
      <w:r w:rsidR="77ABBD73" w:rsidRPr="03338CC7">
        <w:t xml:space="preserve"> </w:t>
      </w:r>
      <w:r w:rsidR="31F0CC3B" w:rsidRPr="03338CC7">
        <w:t>(Tran et al., 2022)</w:t>
      </w:r>
      <w:r w:rsidR="6AEF1041" w:rsidRPr="03338CC7">
        <w:t xml:space="preserve">. </w:t>
      </w:r>
    </w:p>
    <w:p w14:paraId="216DA732" w14:textId="74A0FC15" w:rsidR="0019239F" w:rsidRPr="00060F31" w:rsidRDefault="5D439288" w:rsidP="00E86054">
      <w:pPr>
        <w:spacing w:after="120"/>
        <w:rPr>
          <w:u w:val="single"/>
        </w:rPr>
      </w:pPr>
      <w:r w:rsidRPr="63678573">
        <w:rPr>
          <w:u w:val="single"/>
        </w:rPr>
        <w:t>Prevalence</w:t>
      </w:r>
    </w:p>
    <w:p w14:paraId="5175ED7F" w14:textId="44A9B955" w:rsidR="000C268C" w:rsidRDefault="4765791F" w:rsidP="00BE3C50">
      <w:r w:rsidRPr="6D581D04">
        <w:t>In Australia,</w:t>
      </w:r>
      <w:r w:rsidR="09653311" w:rsidRPr="6D581D04">
        <w:t xml:space="preserve"> </w:t>
      </w:r>
      <w:r w:rsidR="63E98B21" w:rsidRPr="6D581D04">
        <w:t>it has been estimated that chronic neuropathic pain affects 5.2</w:t>
      </w:r>
      <w:r w:rsidR="1A4C9913" w:rsidRPr="6D581D04">
        <w:t xml:space="preserve">% of the population, with </w:t>
      </w:r>
      <w:r w:rsidR="7AA03F91" w:rsidRPr="6D581D04">
        <w:t xml:space="preserve">greater risk of chronic neuropathic pain being observed among </w:t>
      </w:r>
      <w:r w:rsidR="1A4C9913" w:rsidRPr="6D581D04">
        <w:t xml:space="preserve">persons </w:t>
      </w:r>
      <w:r w:rsidR="0F04D253" w:rsidRPr="6D581D04">
        <w:t xml:space="preserve">who are female, </w:t>
      </w:r>
      <w:r w:rsidR="1A4C9913" w:rsidRPr="6D581D04">
        <w:t xml:space="preserve">aged over 45 </w:t>
      </w:r>
      <w:r w:rsidR="39FEF387" w:rsidRPr="6D581D04">
        <w:t>years</w:t>
      </w:r>
      <w:r w:rsidR="21E67ADF" w:rsidRPr="6D581D04">
        <w:t>, or reside in a</w:t>
      </w:r>
      <w:r w:rsidR="0A794B46" w:rsidRPr="6D581D04">
        <w:t xml:space="preserve">reas </w:t>
      </w:r>
      <w:r w:rsidR="0A794B46" w:rsidRPr="00CF4276">
        <w:t>with</w:t>
      </w:r>
      <w:r w:rsidR="21E67ADF" w:rsidRPr="00CF4276">
        <w:t xml:space="preserve"> low</w:t>
      </w:r>
      <w:r w:rsidR="34356B94" w:rsidRPr="00CF4276">
        <w:t xml:space="preserve">er scores on the </w:t>
      </w:r>
      <w:r w:rsidR="21E67ADF" w:rsidRPr="00CF4276">
        <w:t xml:space="preserve">socio-economic </w:t>
      </w:r>
      <w:r w:rsidR="0053476F" w:rsidRPr="00CF4276">
        <w:t>index</w:t>
      </w:r>
      <w:r w:rsidR="0053476F">
        <w:t xml:space="preserve"> </w:t>
      </w:r>
      <w:r w:rsidR="7A7C1F46" w:rsidRPr="6D581D04">
        <w:t>(Henderson et al., 2016)</w:t>
      </w:r>
      <w:r w:rsidR="21E67ADF" w:rsidRPr="6D581D04">
        <w:t>.</w:t>
      </w:r>
      <w:r w:rsidR="39AB5C09" w:rsidRPr="6D581D04">
        <w:t xml:space="preserve"> </w:t>
      </w:r>
    </w:p>
    <w:p w14:paraId="17EEFADF" w14:textId="77777777" w:rsidR="00D272C8" w:rsidRDefault="00D272C8">
      <w:pPr>
        <w:spacing w:after="160" w:line="259" w:lineRule="auto"/>
        <w:rPr>
          <w:u w:val="single"/>
        </w:rPr>
      </w:pPr>
      <w:r>
        <w:rPr>
          <w:u w:val="single"/>
        </w:rPr>
        <w:br w:type="page"/>
      </w:r>
    </w:p>
    <w:p w14:paraId="455AD185" w14:textId="0DF1FFCC" w:rsidR="004532C4" w:rsidRPr="00060F31" w:rsidRDefault="670663F7" w:rsidP="00E86054">
      <w:pPr>
        <w:spacing w:after="120"/>
        <w:rPr>
          <w:u w:val="single"/>
        </w:rPr>
      </w:pPr>
      <w:r w:rsidRPr="651BF5F7">
        <w:rPr>
          <w:u w:val="single"/>
        </w:rPr>
        <w:lastRenderedPageBreak/>
        <w:t>Utilisation estimates</w:t>
      </w:r>
    </w:p>
    <w:p w14:paraId="552972C4" w14:textId="77429742" w:rsidR="00060F31" w:rsidRDefault="62550C57" w:rsidP="00BE3C50">
      <w:r w:rsidRPr="651BF5F7">
        <w:t xml:space="preserve">The application suggested that in Australia </w:t>
      </w:r>
      <w:r w:rsidR="0F210D19" w:rsidRPr="651BF5F7">
        <w:t>there are between 1000 and 2000 needle probes sold each year</w:t>
      </w:r>
      <w:r w:rsidR="30706AD5">
        <w:t>. I</w:t>
      </w:r>
      <w:r w:rsidR="0F210D19" w:rsidRPr="651BF5F7">
        <w:t>f PENS is being used 1 to 3 times each year per patient</w:t>
      </w:r>
      <w:r w:rsidR="1D3AFAF4" w:rsidRPr="651BF5F7">
        <w:t xml:space="preserve"> as suggested by the application</w:t>
      </w:r>
      <w:r w:rsidR="42374CD0" w:rsidRPr="651BF5F7">
        <w:t xml:space="preserve">, there are approximately </w:t>
      </w:r>
      <w:r w:rsidR="30706AD5">
        <w:t xml:space="preserve">between </w:t>
      </w:r>
      <w:r w:rsidR="42374CD0" w:rsidRPr="651BF5F7">
        <w:t xml:space="preserve">333 and 2000 patients </w:t>
      </w:r>
      <w:r w:rsidR="3A0C1C01" w:rsidRPr="651BF5F7">
        <w:t xml:space="preserve">in Australia </w:t>
      </w:r>
      <w:r w:rsidR="42374CD0" w:rsidRPr="651BF5F7">
        <w:t>who would use PENS annually.</w:t>
      </w:r>
      <w:r w:rsidR="73AC8C5D" w:rsidRPr="651BF5F7">
        <w:t xml:space="preserve"> </w:t>
      </w:r>
      <w:r w:rsidR="30A1F7BB" w:rsidRPr="651BF5F7">
        <w:t xml:space="preserve">In 2022, </w:t>
      </w:r>
      <w:r w:rsidR="43D5DC51">
        <w:t xml:space="preserve">MBS </w:t>
      </w:r>
      <w:r w:rsidR="6A2F005E">
        <w:t xml:space="preserve">item </w:t>
      </w:r>
      <w:r w:rsidR="30A1F7BB" w:rsidRPr="651BF5F7">
        <w:t xml:space="preserve">39129 </w:t>
      </w:r>
      <w:r w:rsidR="13DBAAFB">
        <w:t>was</w:t>
      </w:r>
      <w:r w:rsidR="30A1F7BB" w:rsidRPr="651BF5F7">
        <w:t xml:space="preserve"> claimed </w:t>
      </w:r>
      <w:r w:rsidR="7EC2E51E" w:rsidRPr="651BF5F7">
        <w:t>69 times</w:t>
      </w:r>
      <w:r w:rsidR="06C39983">
        <w:t xml:space="preserve"> and </w:t>
      </w:r>
      <w:r w:rsidR="7EC2E51E" w:rsidRPr="651BF5F7">
        <w:t xml:space="preserve">item 39138 was claimed 1,391 times. </w:t>
      </w:r>
      <w:r w:rsidR="0DD880D6" w:rsidRPr="651BF5F7">
        <w:t>Previously, in 2021, item 39138 was claimed 2,669 times</w:t>
      </w:r>
      <w:r w:rsidR="18931D72">
        <w:t xml:space="preserve">. </w:t>
      </w:r>
      <w:r w:rsidR="18931D72" w:rsidRPr="007211C1">
        <w:rPr>
          <w:iCs/>
        </w:rPr>
        <w:t xml:space="preserve">This shows a </w:t>
      </w:r>
      <w:r w:rsidR="0DD880D6" w:rsidRPr="007211C1">
        <w:rPr>
          <w:iCs/>
        </w:rPr>
        <w:t>differ</w:t>
      </w:r>
      <w:r w:rsidR="3241E01B" w:rsidRPr="007211C1">
        <w:rPr>
          <w:iCs/>
        </w:rPr>
        <w:t xml:space="preserve">ence </w:t>
      </w:r>
      <w:r w:rsidR="0FDBA9A3" w:rsidRPr="007211C1">
        <w:rPr>
          <w:iCs/>
        </w:rPr>
        <w:t>in claims of</w:t>
      </w:r>
      <w:r w:rsidR="3241E01B" w:rsidRPr="007211C1">
        <w:rPr>
          <w:iCs/>
        </w:rPr>
        <w:t xml:space="preserve"> </w:t>
      </w:r>
      <w:r w:rsidR="7F81F697" w:rsidRPr="007211C1">
        <w:rPr>
          <w:iCs/>
        </w:rPr>
        <w:t>1,209 following the</w:t>
      </w:r>
      <w:r w:rsidR="3FD5DC7B" w:rsidRPr="007211C1">
        <w:rPr>
          <w:iCs/>
        </w:rPr>
        <w:t xml:space="preserve"> restriction on item 39138</w:t>
      </w:r>
      <w:r w:rsidR="7F81F697" w:rsidRPr="007211C1">
        <w:rPr>
          <w:iCs/>
        </w:rPr>
        <w:t xml:space="preserve"> </w:t>
      </w:r>
      <w:r w:rsidR="3FD5DC7B" w:rsidRPr="007211C1">
        <w:rPr>
          <w:iCs/>
        </w:rPr>
        <w:t xml:space="preserve">and </w:t>
      </w:r>
      <w:r w:rsidR="7F81F697" w:rsidRPr="007211C1">
        <w:rPr>
          <w:iCs/>
        </w:rPr>
        <w:t xml:space="preserve">addition of </w:t>
      </w:r>
      <w:r w:rsidR="7484D913" w:rsidRPr="007211C1">
        <w:rPr>
          <w:iCs/>
        </w:rPr>
        <w:t xml:space="preserve">item </w:t>
      </w:r>
      <w:r w:rsidR="7F81F697" w:rsidRPr="007211C1">
        <w:rPr>
          <w:iCs/>
        </w:rPr>
        <w:t>39129</w:t>
      </w:r>
      <w:r w:rsidR="7B33BD9E" w:rsidRPr="007211C1">
        <w:rPr>
          <w:iCs/>
        </w:rPr>
        <w:t xml:space="preserve">. </w:t>
      </w:r>
      <w:r w:rsidR="007C5D6F" w:rsidRPr="007211C1">
        <w:rPr>
          <w:iCs/>
        </w:rPr>
        <w:t>This suggests</w:t>
      </w:r>
      <w:r w:rsidR="7A229FCB" w:rsidRPr="007211C1">
        <w:rPr>
          <w:iCs/>
        </w:rPr>
        <w:t xml:space="preserve"> that between 403 and 1,</w:t>
      </w:r>
      <w:r w:rsidR="7CFFC24D" w:rsidRPr="007211C1">
        <w:rPr>
          <w:iCs/>
        </w:rPr>
        <w:t>209 patients may utilise PENS therapies each year</w:t>
      </w:r>
      <w:r w:rsidR="7B3C326C" w:rsidRPr="007211C1">
        <w:rPr>
          <w:iCs/>
        </w:rPr>
        <w:t xml:space="preserve"> (assuming between 1 and 3 treatments per year per patient)</w:t>
      </w:r>
      <w:r w:rsidR="7CFFC24D" w:rsidRPr="007211C1">
        <w:rPr>
          <w:iCs/>
        </w:rPr>
        <w:t>.</w:t>
      </w:r>
    </w:p>
    <w:p w14:paraId="42EEBF5A" w14:textId="1F89FF92" w:rsidR="0019239F" w:rsidRPr="00060F31" w:rsidRDefault="10D92D10" w:rsidP="00E86054">
      <w:pPr>
        <w:spacing w:after="120"/>
        <w:rPr>
          <w:u w:val="single"/>
        </w:rPr>
      </w:pPr>
      <w:r w:rsidRPr="736D4F2E">
        <w:rPr>
          <w:u w:val="single"/>
        </w:rPr>
        <w:t>Current management</w:t>
      </w:r>
    </w:p>
    <w:p w14:paraId="7964AABF" w14:textId="0880ABBC" w:rsidR="1630F400" w:rsidRDefault="1630F400" w:rsidP="00BE3C50">
      <w:r w:rsidRPr="6D581D04">
        <w:t xml:space="preserve">At present, treatment for neuropathic pain in Australia consists of </w:t>
      </w:r>
      <w:r w:rsidR="52BF03B3" w:rsidRPr="6D581D04">
        <w:t>both medicin</w:t>
      </w:r>
      <w:r w:rsidR="650F3CBA" w:rsidRPr="6D581D04">
        <w:t>al</w:t>
      </w:r>
      <w:r w:rsidR="52BF03B3" w:rsidRPr="6D581D04">
        <w:t xml:space="preserve"> and non-medicinal treatments</w:t>
      </w:r>
      <w:r w:rsidR="007C32C2" w:rsidRPr="6D581D04">
        <w:t xml:space="preserve"> which can be non-invasive or </w:t>
      </w:r>
      <w:r w:rsidR="2D1235E0" w:rsidRPr="6D581D04">
        <w:t>invasive</w:t>
      </w:r>
      <w:r w:rsidR="52BF03B3" w:rsidRPr="6D581D04">
        <w:t xml:space="preserve">. </w:t>
      </w:r>
      <w:r w:rsidR="1FC8A9BE" w:rsidRPr="6D581D04">
        <w:t>Medications used to treat neuropathic pain include painkillers such as aspirin, paracetamol, or non</w:t>
      </w:r>
      <w:r w:rsidR="0D1918B4" w:rsidRPr="6D581D04">
        <w:t>-steroidal anti-inflammatory drugs (</w:t>
      </w:r>
      <w:r w:rsidR="1FC8A9BE" w:rsidRPr="6D581D04">
        <w:t>NSAIDs</w:t>
      </w:r>
      <w:r w:rsidR="5BABD5D8" w:rsidRPr="6D581D04">
        <w:t>)</w:t>
      </w:r>
      <w:r w:rsidR="3D4A0880" w:rsidRPr="6D581D04">
        <w:t xml:space="preserve">, antidepressants </w:t>
      </w:r>
      <w:r w:rsidR="584C394F" w:rsidRPr="6D581D04">
        <w:t>and anti-epileptic drugs may also be effective in relieving neuralgia</w:t>
      </w:r>
      <w:r w:rsidR="6C7C3957" w:rsidRPr="6D581D04">
        <w:t xml:space="preserve"> (Healthdirect Australia, 2022</w:t>
      </w:r>
      <w:r w:rsidR="6C7C3957" w:rsidRPr="00CD0502">
        <w:t>)</w:t>
      </w:r>
      <w:r w:rsidR="584C394F" w:rsidRPr="00CD0502">
        <w:t>.</w:t>
      </w:r>
      <w:r w:rsidR="6055893D" w:rsidRPr="00CD0502">
        <w:t xml:space="preserve"> Pregabalin is indicated for use </w:t>
      </w:r>
      <w:r w:rsidR="3C5982A5" w:rsidRPr="00CD0502">
        <w:t>as a neuropathic pain relief for Australian adults</w:t>
      </w:r>
      <w:r w:rsidR="17C976AF" w:rsidRPr="00CD0502">
        <w:t xml:space="preserve"> and </w:t>
      </w:r>
      <w:r w:rsidR="00523C06" w:rsidRPr="002E695B">
        <w:t xml:space="preserve">uptake as a </w:t>
      </w:r>
      <w:r w:rsidR="00523C06" w:rsidRPr="004D60E8">
        <w:t xml:space="preserve">common treatment for neuropathic pain </w:t>
      </w:r>
      <w:r w:rsidR="17C976AF" w:rsidRPr="00CD0502">
        <w:t>has significantly increased in the population over the last decade</w:t>
      </w:r>
      <w:r w:rsidR="0494DFB3" w:rsidRPr="00CD0502">
        <w:t xml:space="preserve"> (Cheng et al., 2023).</w:t>
      </w:r>
      <w:r w:rsidR="0494DFB3" w:rsidRPr="6D581D04">
        <w:t xml:space="preserve"> In an analysis by </w:t>
      </w:r>
      <w:r w:rsidR="37360B02" w:rsidRPr="6D581D04">
        <w:t xml:space="preserve">Finnerup et al. (2018), </w:t>
      </w:r>
      <w:r w:rsidR="5A8CF00F" w:rsidRPr="6D581D04">
        <w:t>pregabalin</w:t>
      </w:r>
      <w:r w:rsidR="37360B02" w:rsidRPr="6D581D04">
        <w:t xml:space="preserve"> was identified as the </w:t>
      </w:r>
      <w:r w:rsidR="6665C6E8" w:rsidRPr="6D581D04">
        <w:t xml:space="preserve">medication which </w:t>
      </w:r>
      <w:r w:rsidR="215A4B53" w:rsidRPr="6D581D04">
        <w:t>appeared</w:t>
      </w:r>
      <w:r w:rsidR="7463C345" w:rsidRPr="6D581D04">
        <w:t xml:space="preserve"> </w:t>
      </w:r>
      <w:r w:rsidR="00B4790C">
        <w:t xml:space="preserve">most </w:t>
      </w:r>
      <w:r w:rsidR="7463C345" w:rsidRPr="6D581D04">
        <w:t xml:space="preserve">in </w:t>
      </w:r>
      <w:r w:rsidR="70CA317A" w:rsidRPr="6D581D04">
        <w:t xml:space="preserve">published studies </w:t>
      </w:r>
      <w:r w:rsidR="00B4790C">
        <w:t>examining</w:t>
      </w:r>
      <w:r w:rsidR="5BB73CB5" w:rsidRPr="6D581D04">
        <w:t xml:space="preserve"> </w:t>
      </w:r>
      <w:r w:rsidR="2E4423F6" w:rsidRPr="6D581D04">
        <w:t>the</w:t>
      </w:r>
      <w:r w:rsidR="6665C6E8" w:rsidRPr="6D581D04">
        <w:t xml:space="preserve"> effectivenes</w:t>
      </w:r>
      <w:r w:rsidR="48A485F0" w:rsidRPr="6D581D04">
        <w:t xml:space="preserve">s </w:t>
      </w:r>
      <w:r w:rsidR="0D44A80F" w:rsidRPr="6D581D04">
        <w:t>of drugs at</w:t>
      </w:r>
      <w:r w:rsidR="48A485F0" w:rsidRPr="6D581D04">
        <w:t xml:space="preserve"> </w:t>
      </w:r>
      <w:r w:rsidR="6665C6E8" w:rsidRPr="6D581D04">
        <w:t>treat</w:t>
      </w:r>
      <w:r w:rsidR="6917A056" w:rsidRPr="6D581D04">
        <w:t>ing</w:t>
      </w:r>
      <w:r w:rsidR="6665C6E8" w:rsidRPr="6D581D04">
        <w:t xml:space="preserve"> neuropathic pain</w:t>
      </w:r>
      <w:r w:rsidR="17C976AF" w:rsidRPr="6D581D04">
        <w:t>.</w:t>
      </w:r>
      <w:r w:rsidR="6B55305E" w:rsidRPr="6D581D04">
        <w:t xml:space="preserve"> </w:t>
      </w:r>
      <w:r w:rsidR="6B55305E" w:rsidRPr="009A66B7">
        <w:t>Meta-analyses by Finnerup et al. (2018) and Cheng et al. (2023) of pregabalin and other drugs used to</w:t>
      </w:r>
      <w:r w:rsidR="47EA3CFC" w:rsidRPr="009A66B7">
        <w:t xml:space="preserve"> treat neuropathic pain suggested that the therapeutic efficacy of these drugs in relieving pain had </w:t>
      </w:r>
      <w:r w:rsidR="00B97468" w:rsidRPr="009A66B7">
        <w:t xml:space="preserve">reduced </w:t>
      </w:r>
      <w:r w:rsidR="47EA3CFC" w:rsidRPr="009A66B7">
        <w:t xml:space="preserve">across different </w:t>
      </w:r>
      <w:r w:rsidR="158E5271" w:rsidRPr="009A66B7">
        <w:t xml:space="preserve">studies </w:t>
      </w:r>
      <w:r w:rsidR="47EA3CFC" w:rsidRPr="009A66B7">
        <w:t>over time</w:t>
      </w:r>
      <w:r w:rsidR="00B97468" w:rsidRPr="009A66B7">
        <w:t>,</w:t>
      </w:r>
      <w:r w:rsidR="009A66B7" w:rsidRPr="005D6B4F">
        <w:t xml:space="preserve"> </w:t>
      </w:r>
      <w:r w:rsidR="75FA0F13" w:rsidRPr="009A66B7">
        <w:t>reflecting</w:t>
      </w:r>
      <w:r w:rsidR="00B97468" w:rsidRPr="009A66B7">
        <w:t xml:space="preserve"> </w:t>
      </w:r>
      <w:r w:rsidR="4A6DE05E" w:rsidRPr="009A66B7">
        <w:t xml:space="preserve">improvements </w:t>
      </w:r>
      <w:r w:rsidR="77FEB033" w:rsidRPr="009A66B7">
        <w:t>in study design</w:t>
      </w:r>
      <w:r w:rsidR="2021018A" w:rsidRPr="009A66B7">
        <w:t xml:space="preserve"> quality</w:t>
      </w:r>
      <w:r w:rsidR="59AECD07" w:rsidRPr="009A66B7">
        <w:t xml:space="preserve">, to include larger sample sizes, longer follow-up durations and </w:t>
      </w:r>
      <w:r w:rsidR="50D476C2" w:rsidRPr="009A66B7">
        <w:t>more robust outcome measurement</w:t>
      </w:r>
      <w:r w:rsidR="77FEB033" w:rsidRPr="009A66B7">
        <w:t xml:space="preserve"> over this period</w:t>
      </w:r>
      <w:r w:rsidR="4B1CDE86" w:rsidRPr="009A66B7">
        <w:t xml:space="preserve"> of time</w:t>
      </w:r>
      <w:r w:rsidR="145DEC40" w:rsidRPr="009A66B7">
        <w:t>.</w:t>
      </w:r>
    </w:p>
    <w:p w14:paraId="651BFB6B" w14:textId="77777777" w:rsidR="00DC4AFE" w:rsidRDefault="0B671D6D" w:rsidP="00BE3C50">
      <w:r w:rsidRPr="651BF5F7">
        <w:t>Non-medicinal</w:t>
      </w:r>
      <w:r w:rsidR="4A315DAA" w:rsidRPr="651BF5F7">
        <w:t xml:space="preserve"> non-</w:t>
      </w:r>
      <w:r w:rsidR="0917FCD6" w:rsidRPr="651BF5F7">
        <w:t>invasive</w:t>
      </w:r>
      <w:r w:rsidRPr="651BF5F7">
        <w:t xml:space="preserve"> treatments for neuropathic pain include </w:t>
      </w:r>
      <w:r w:rsidR="453BDB87" w:rsidRPr="651BF5F7">
        <w:t>counselling, exercise, acupuncture, relaxation techniques, psychological treatment</w:t>
      </w:r>
      <w:r w:rsidR="30E59023" w:rsidRPr="651BF5F7">
        <w:t xml:space="preserve">, and transcutaneous electrical nerve stimulation (TENS) (Healthdirect Australia, 2022). </w:t>
      </w:r>
      <w:r w:rsidR="633C4306" w:rsidRPr="651BF5F7">
        <w:t xml:space="preserve">An individual who is experiencing chronic neuropathic pain may be treated using a combination of these </w:t>
      </w:r>
      <w:r w:rsidR="3D06A025" w:rsidRPr="651BF5F7">
        <w:t xml:space="preserve">therapies </w:t>
      </w:r>
      <w:r w:rsidR="1897F6EB" w:rsidRPr="651BF5F7">
        <w:t xml:space="preserve">and can be referred to a multidisciplinary pain clinic by their doctor to produce a personalised pain management plan. </w:t>
      </w:r>
      <w:r w:rsidR="4BC0F76F" w:rsidRPr="651BF5F7">
        <w:t xml:space="preserve">As pain management, and indeed, the experience of pain itself can be unique to </w:t>
      </w:r>
      <w:r w:rsidR="7B82A85B" w:rsidRPr="651BF5F7">
        <w:t xml:space="preserve">different people </w:t>
      </w:r>
      <w:r w:rsidR="4BC0F76F" w:rsidRPr="651BF5F7">
        <w:t xml:space="preserve">there is not </w:t>
      </w:r>
      <w:r w:rsidR="74AFEA6E" w:rsidRPr="651BF5F7">
        <w:t xml:space="preserve">necessarily a single prescribed form of standard care for neuropathic pain but rather treatment should be tailored to the </w:t>
      </w:r>
      <w:r w:rsidR="14E6E368" w:rsidRPr="651BF5F7">
        <w:t xml:space="preserve">needs of </w:t>
      </w:r>
      <w:r w:rsidR="41D2DF39" w:rsidRPr="651BF5F7">
        <w:t xml:space="preserve">each </w:t>
      </w:r>
      <w:r w:rsidR="14E6E368" w:rsidRPr="651BF5F7">
        <w:t>individual.</w:t>
      </w:r>
      <w:r w:rsidR="38286A21" w:rsidRPr="651BF5F7">
        <w:t xml:space="preserve"> </w:t>
      </w:r>
    </w:p>
    <w:p w14:paraId="4CB9B448" w14:textId="0A85F1CB" w:rsidR="1F85EDDD" w:rsidRDefault="7F8AE170" w:rsidP="00BE3C50">
      <w:r w:rsidRPr="651BF5F7">
        <w:t xml:space="preserve">In </w:t>
      </w:r>
      <w:r w:rsidR="2C67C54F" w:rsidRPr="651BF5F7">
        <w:t>addition,</w:t>
      </w:r>
      <w:r w:rsidRPr="651BF5F7">
        <w:t xml:space="preserve"> there are a suite of invasive treatments available </w:t>
      </w:r>
      <w:r w:rsidR="7239DDB1" w:rsidRPr="651BF5F7">
        <w:t xml:space="preserve">that are added as an </w:t>
      </w:r>
      <w:r w:rsidR="4CC05C8A" w:rsidRPr="651BF5F7">
        <w:t>adjunct</w:t>
      </w:r>
      <w:r w:rsidR="7239DDB1" w:rsidRPr="651BF5F7">
        <w:t xml:space="preserve"> to the above non-invasive methods </w:t>
      </w:r>
      <w:r w:rsidRPr="651BF5F7">
        <w:t xml:space="preserve">that </w:t>
      </w:r>
      <w:r w:rsidR="70BCDFAC" w:rsidRPr="651BF5F7">
        <w:t>aim to remediate long-term neuropathic conditions</w:t>
      </w:r>
      <w:r w:rsidR="484D7795" w:rsidRPr="651BF5F7">
        <w:t xml:space="preserve"> </w:t>
      </w:r>
      <w:r w:rsidRPr="651BF5F7">
        <w:t>includ</w:t>
      </w:r>
      <w:r w:rsidR="32A11655" w:rsidRPr="651BF5F7">
        <w:t>ing</w:t>
      </w:r>
      <w:r w:rsidRPr="651BF5F7">
        <w:t xml:space="preserve"> </w:t>
      </w:r>
      <w:r w:rsidR="4874A3DE" w:rsidRPr="651BF5F7">
        <w:t>radiofrequency ablation, pulsed radiofrequency, or</w:t>
      </w:r>
      <w:r w:rsidR="000A6F78">
        <w:t xml:space="preserve"> subc</w:t>
      </w:r>
      <w:r w:rsidR="00D3460C">
        <w:t xml:space="preserve">utaneous </w:t>
      </w:r>
      <w:r w:rsidR="00551989">
        <w:t xml:space="preserve">implantable peripheral nerve stimulation </w:t>
      </w:r>
      <w:r w:rsidR="4874A3DE" w:rsidRPr="651BF5F7">
        <w:t xml:space="preserve">which </w:t>
      </w:r>
      <w:r w:rsidR="385DC8D3">
        <w:t xml:space="preserve">all target </w:t>
      </w:r>
      <w:r w:rsidR="6824F26F">
        <w:t xml:space="preserve">peripheral </w:t>
      </w:r>
      <w:r w:rsidR="4874A3DE">
        <w:t>nerve</w:t>
      </w:r>
      <w:r w:rsidR="0D6E9A44">
        <w:t>s</w:t>
      </w:r>
      <w:r w:rsidR="4874A3DE" w:rsidRPr="651BF5F7">
        <w:t>.</w:t>
      </w:r>
      <w:r w:rsidR="00982458">
        <w:t xml:space="preserve"> </w:t>
      </w:r>
      <w:r w:rsidR="00D769FA">
        <w:t xml:space="preserve"> </w:t>
      </w:r>
    </w:p>
    <w:p w14:paraId="5FF6A385" w14:textId="348B2945" w:rsidR="00205BAE" w:rsidRPr="00205BAE" w:rsidRDefault="06815C5E" w:rsidP="00E86054">
      <w:pPr>
        <w:spacing w:after="120"/>
        <w:rPr>
          <w:color w:val="000000" w:themeColor="text1"/>
          <w:u w:val="single"/>
        </w:rPr>
      </w:pPr>
      <w:r w:rsidRPr="63678573">
        <w:rPr>
          <w:color w:val="000000" w:themeColor="text1"/>
          <w:u w:val="single"/>
        </w:rPr>
        <w:t xml:space="preserve">Patients </w:t>
      </w:r>
      <w:r w:rsidR="2C68EEA3" w:rsidRPr="63678573">
        <w:rPr>
          <w:color w:val="000000" w:themeColor="text1"/>
          <w:u w:val="single"/>
        </w:rPr>
        <w:t>unsuitable</w:t>
      </w:r>
      <w:r w:rsidRPr="63678573">
        <w:rPr>
          <w:color w:val="000000" w:themeColor="text1"/>
          <w:u w:val="single"/>
        </w:rPr>
        <w:t xml:space="preserve"> for PENS</w:t>
      </w:r>
    </w:p>
    <w:p w14:paraId="3B340116" w14:textId="26B506FC" w:rsidR="00205BAE" w:rsidRPr="00205BAE" w:rsidRDefault="06815C5E" w:rsidP="007E1EDA">
      <w:r w:rsidRPr="63678573">
        <w:t>Children, patients with a localised infection or an irreversible increased bleeding</w:t>
      </w:r>
      <w:r w:rsidR="004C204E">
        <w:t xml:space="preserve"> tendency</w:t>
      </w:r>
      <w:r w:rsidRPr="63678573">
        <w:t xml:space="preserve"> are not recommended for PENS treatment. </w:t>
      </w:r>
    </w:p>
    <w:p w14:paraId="572339DD" w14:textId="53DB2158" w:rsidR="2C22D68F" w:rsidRPr="00833E56" w:rsidRDefault="00FB56B1" w:rsidP="00FB56B1">
      <w:pPr>
        <w:rPr>
          <w:i/>
          <w:iCs/>
        </w:rPr>
      </w:pPr>
      <w:r w:rsidRPr="00833E56">
        <w:t xml:space="preserve">The applicant’s pre-PASC response did not confirm </w:t>
      </w:r>
      <w:r w:rsidRPr="00FB56B1">
        <w:t>the suitability of PENS for patients who are pregnant or have epilepsy but did indicate that heart disease does not contraindicate the use of PENS in general but that PENS should not be used across the patient’s chest.</w:t>
      </w:r>
    </w:p>
    <w:p w14:paraId="68787BED" w14:textId="537840A3" w:rsidR="00E35541" w:rsidRDefault="74F78631" w:rsidP="530B8B6B">
      <w:r w:rsidRPr="007211C1">
        <w:t xml:space="preserve">The application refers in several places to the use of PENS for treatment of pain restricted to a highly localised region of allodynia which would occur earlier in treatment algorithms. </w:t>
      </w:r>
      <w:r w:rsidR="00EE2F7D" w:rsidRPr="00EE2F7D">
        <w:t xml:space="preserve"> </w:t>
      </w:r>
      <w:r w:rsidR="00B31625">
        <w:t>D</w:t>
      </w:r>
      <w:r w:rsidR="006F59C4">
        <w:t xml:space="preserve">uring </w:t>
      </w:r>
      <w:r w:rsidR="2C9B501D" w:rsidRPr="007211C1">
        <w:t xml:space="preserve">the PICO process the applicant confirmed </w:t>
      </w:r>
      <w:r w:rsidRPr="007211C1">
        <w:t>that</w:t>
      </w:r>
      <w:r w:rsidR="00EE2F7D">
        <w:t xml:space="preserve"> this application is specific </w:t>
      </w:r>
      <w:r w:rsidR="00EE2F7D" w:rsidRPr="007211C1">
        <w:t xml:space="preserve">for </w:t>
      </w:r>
      <w:r w:rsidR="0004466C">
        <w:t xml:space="preserve">patients with </w:t>
      </w:r>
      <w:r w:rsidR="00EE2F7D" w:rsidRPr="007211C1">
        <w:t xml:space="preserve">chronic peripheral neuropathic </w:t>
      </w:r>
      <w:r w:rsidR="00EE2F7D" w:rsidRPr="007211C1">
        <w:lastRenderedPageBreak/>
        <w:t>pain</w:t>
      </w:r>
      <w:r w:rsidR="00EE2F7D">
        <w:t xml:space="preserve"> </w:t>
      </w:r>
      <w:r w:rsidR="00B31625">
        <w:t xml:space="preserve">and that </w:t>
      </w:r>
      <w:r w:rsidR="00722F81">
        <w:t>they</w:t>
      </w:r>
      <w:r w:rsidR="00B31625">
        <w:t xml:space="preserve"> can experience allodynia</w:t>
      </w:r>
      <w:r w:rsidR="00722F81">
        <w:t xml:space="preserve"> as an associated symptom</w:t>
      </w:r>
      <w:r w:rsidR="00B31625">
        <w:t xml:space="preserve">. However, </w:t>
      </w:r>
      <w:r w:rsidR="006F59C4">
        <w:t xml:space="preserve">patients who are experiencing </w:t>
      </w:r>
      <w:r w:rsidR="2C9B501D" w:rsidRPr="007211C1">
        <w:t>allodynia</w:t>
      </w:r>
      <w:r w:rsidR="006F59C4">
        <w:t xml:space="preserve"> without chronic neuropathic pain are</w:t>
      </w:r>
      <w:r w:rsidRPr="007211C1">
        <w:t xml:space="preserve"> not considered the focus of this application. An extension of the indication to </w:t>
      </w:r>
      <w:r w:rsidR="00DC4AFE" w:rsidRPr="007211C1">
        <w:t>include</w:t>
      </w:r>
      <w:r w:rsidR="00EE2F7D">
        <w:t xml:space="preserve"> patients </w:t>
      </w:r>
      <w:r w:rsidR="00B31625">
        <w:t xml:space="preserve">experiencing </w:t>
      </w:r>
      <w:r w:rsidRPr="007211C1">
        <w:t>al</w:t>
      </w:r>
      <w:r w:rsidR="7968FBFB" w:rsidRPr="007211C1">
        <w:t>l</w:t>
      </w:r>
      <w:r w:rsidRPr="007211C1">
        <w:t>o</w:t>
      </w:r>
      <w:r w:rsidR="7968FBFB" w:rsidRPr="007211C1">
        <w:t>d</w:t>
      </w:r>
      <w:r w:rsidRPr="007211C1">
        <w:t xml:space="preserve">ynia </w:t>
      </w:r>
      <w:r w:rsidR="006F59C4">
        <w:t xml:space="preserve">without chronic neuropathic pain </w:t>
      </w:r>
      <w:r w:rsidRPr="007211C1">
        <w:t>would likely require a separate or substantially reworked application</w:t>
      </w:r>
      <w:r w:rsidR="7968FBFB" w:rsidRPr="007211C1">
        <w:t xml:space="preserve"> with accompanying evidence</w:t>
      </w:r>
      <w:r w:rsidRPr="007211C1">
        <w:t xml:space="preserve">. </w:t>
      </w:r>
    </w:p>
    <w:p w14:paraId="0E38780D" w14:textId="016E2A98" w:rsidR="007A66C8" w:rsidRPr="008F1532" w:rsidRDefault="007A66C8" w:rsidP="6D581D04">
      <w:pPr>
        <w:pStyle w:val="Heading3"/>
      </w:pPr>
      <w:r>
        <w:t>Intervention</w:t>
      </w:r>
    </w:p>
    <w:p w14:paraId="79A277FE" w14:textId="0BB84106" w:rsidR="4C217540" w:rsidRDefault="3CA36C2B" w:rsidP="007E1EDA">
      <w:r>
        <w:t xml:space="preserve">PENS is a therapeutic technology consisting of </w:t>
      </w:r>
      <w:r w:rsidR="223BA598">
        <w:t xml:space="preserve">an electrical pulse generator </w:t>
      </w:r>
      <w:r w:rsidR="59F0172E">
        <w:t xml:space="preserve">that is </w:t>
      </w:r>
      <w:r w:rsidR="223BA598">
        <w:t>connected</w:t>
      </w:r>
      <w:r w:rsidR="59F0172E">
        <w:t xml:space="preserve"> to </w:t>
      </w:r>
      <w:r w:rsidR="1EE94F52">
        <w:t xml:space="preserve">one </w:t>
      </w:r>
      <w:r w:rsidR="644377D4">
        <w:t>or</w:t>
      </w:r>
      <w:r w:rsidR="1EE94F52">
        <w:t xml:space="preserve"> two 21-gauge</w:t>
      </w:r>
      <w:r w:rsidR="223BA598">
        <w:t xml:space="preserve"> needle probes</w:t>
      </w:r>
      <w:r w:rsidR="0FC093BF">
        <w:t xml:space="preserve"> </w:t>
      </w:r>
      <w:r w:rsidR="5CBC1C69">
        <w:t xml:space="preserve">which are inserted percutaneously into the tissue </w:t>
      </w:r>
      <w:r w:rsidR="48BCCAA9">
        <w:t xml:space="preserve">directly in contact with or </w:t>
      </w:r>
      <w:r w:rsidR="5CBC1C69">
        <w:t>adjacent to the pain producing nerve</w:t>
      </w:r>
      <w:r w:rsidR="043D5265">
        <w:t>.</w:t>
      </w:r>
      <w:r w:rsidR="40101258">
        <w:t xml:space="preserve"> </w:t>
      </w:r>
      <w:r w:rsidR="7E9A6863">
        <w:t xml:space="preserve">Activated PENS </w:t>
      </w:r>
      <w:r w:rsidR="40101258">
        <w:t>provide</w:t>
      </w:r>
      <w:r w:rsidR="57C5C3A5">
        <w:t>s the nerve</w:t>
      </w:r>
      <w:r w:rsidR="40101258">
        <w:t xml:space="preserve"> with electrical current.</w:t>
      </w:r>
      <w:r w:rsidR="031A1C4F">
        <w:t xml:space="preserve"> </w:t>
      </w:r>
      <w:r w:rsidR="4F3830E9">
        <w:t>A single</w:t>
      </w:r>
      <w:r w:rsidR="2465E0DE">
        <w:t xml:space="preserve"> </w:t>
      </w:r>
      <w:r w:rsidR="567CE1B7">
        <w:t xml:space="preserve">session of </w:t>
      </w:r>
      <w:r w:rsidR="6271C3BF">
        <w:t xml:space="preserve">active </w:t>
      </w:r>
      <w:r w:rsidR="567CE1B7">
        <w:t xml:space="preserve">PENS </w:t>
      </w:r>
      <w:r w:rsidR="7104C643">
        <w:t xml:space="preserve">treatment </w:t>
      </w:r>
      <w:r w:rsidR="567CE1B7">
        <w:t xml:space="preserve">is recommended to </w:t>
      </w:r>
      <w:r w:rsidR="51DEEBD9">
        <w:t>last for 25 minutes</w:t>
      </w:r>
      <w:r w:rsidR="3B42CD08">
        <w:t xml:space="preserve">, </w:t>
      </w:r>
      <w:r w:rsidR="41A054D3">
        <w:t>to align with</w:t>
      </w:r>
      <w:r w:rsidR="3B42CD08">
        <w:t xml:space="preserve"> the optimal duration of PENS for relieving pain estimated by</w:t>
      </w:r>
      <w:r w:rsidR="02BEAE00">
        <w:t xml:space="preserve"> Hamza et al. (1999). PENS treatment is recommended to be repeated at most 2-3 times each year</w:t>
      </w:r>
      <w:r w:rsidR="32A12723">
        <w:t xml:space="preserve">. </w:t>
      </w:r>
      <w:r w:rsidR="07103B8E">
        <w:t>A patient</w:t>
      </w:r>
      <w:r w:rsidR="242651DC">
        <w:t xml:space="preserve">’s response to </w:t>
      </w:r>
      <w:r w:rsidR="456A22A6">
        <w:t xml:space="preserve">PENS </w:t>
      </w:r>
      <w:r w:rsidR="5A883B6A">
        <w:t>may also be able</w:t>
      </w:r>
      <w:r w:rsidR="32A12723">
        <w:t xml:space="preserve"> to provide </w:t>
      </w:r>
      <w:r w:rsidR="456A22A6">
        <w:t xml:space="preserve">information to inform future treatment </w:t>
      </w:r>
      <w:r w:rsidR="5A883B6A">
        <w:t>selection</w:t>
      </w:r>
      <w:r w:rsidR="456A22A6">
        <w:t xml:space="preserve"> such as whether the use of an </w:t>
      </w:r>
      <w:r w:rsidR="6F8064AB">
        <w:t xml:space="preserve">implanted </w:t>
      </w:r>
      <w:r w:rsidR="7C4E8307">
        <w:t xml:space="preserve">peripheral </w:t>
      </w:r>
      <w:r w:rsidR="6F8064AB">
        <w:t xml:space="preserve">nerve </w:t>
      </w:r>
      <w:r w:rsidR="456A22A6">
        <w:t>simulation</w:t>
      </w:r>
      <w:r w:rsidR="6F8064AB">
        <w:t xml:space="preserve"> device</w:t>
      </w:r>
      <w:r w:rsidR="456A22A6">
        <w:t xml:space="preserve"> is likely to be </w:t>
      </w:r>
      <w:r w:rsidR="6F8064AB">
        <w:t>effective</w:t>
      </w:r>
      <w:r w:rsidR="456A22A6">
        <w:t>.</w:t>
      </w:r>
      <w:r w:rsidR="54687FC0">
        <w:t xml:space="preserve"> </w:t>
      </w:r>
      <w:r w:rsidR="1445E5DD">
        <w:t xml:space="preserve">PENS treatment </w:t>
      </w:r>
      <w:r w:rsidR="0F7F9422">
        <w:t xml:space="preserve">can be </w:t>
      </w:r>
      <w:r w:rsidR="7C1B4902">
        <w:t xml:space="preserve">delivered </w:t>
      </w:r>
      <w:r w:rsidR="0FF641B1">
        <w:t>as a day procedure</w:t>
      </w:r>
      <w:r w:rsidR="0338DE79">
        <w:t>. It</w:t>
      </w:r>
      <w:r w:rsidR="0F7F9422">
        <w:t xml:space="preserve"> requires use of </w:t>
      </w:r>
      <w:r w:rsidR="29AEFABC">
        <w:t xml:space="preserve">an operating theatre and ultrasound to detect the specific nerve which </w:t>
      </w:r>
      <w:r w:rsidR="20D6ED93">
        <w:t>is causing pain and guide</w:t>
      </w:r>
      <w:r w:rsidR="424A8166">
        <w:t xml:space="preserve"> the needle probe(s) to th</w:t>
      </w:r>
      <w:r w:rsidR="7D74F414">
        <w:t>e</w:t>
      </w:r>
      <w:r w:rsidR="424A8166">
        <w:t xml:space="preserve"> </w:t>
      </w:r>
      <w:r w:rsidR="7D74F414">
        <w:t xml:space="preserve">appropriate </w:t>
      </w:r>
      <w:r w:rsidR="424A8166">
        <w:t>area.</w:t>
      </w:r>
      <w:r w:rsidR="530A24D9">
        <w:t xml:space="preserve"> During treatment, the patient is to be given light sedation</w:t>
      </w:r>
      <w:r w:rsidR="3FDC4421">
        <w:t>.</w:t>
      </w:r>
      <w:r w:rsidR="424A8166">
        <w:t xml:space="preserve"> </w:t>
      </w:r>
      <w:r w:rsidR="50C67977">
        <w:t>PENS is to be administered</w:t>
      </w:r>
      <w:r w:rsidR="4D05ACC1">
        <w:t xml:space="preserve"> </w:t>
      </w:r>
      <w:r w:rsidR="50C67977">
        <w:t xml:space="preserve">by </w:t>
      </w:r>
      <w:r w:rsidR="366B1344">
        <w:t xml:space="preserve">a physician who has attained a </w:t>
      </w:r>
      <w:r w:rsidR="04A93CB3">
        <w:t>post-</w:t>
      </w:r>
      <w:r w:rsidR="346121FF">
        <w:t>specialisation in pain medicine</w:t>
      </w:r>
      <w:r w:rsidR="1C23FC64">
        <w:t>.</w:t>
      </w:r>
    </w:p>
    <w:p w14:paraId="5AF7F12C" w14:textId="7FB845CA" w:rsidR="116B23E2" w:rsidRPr="0054081A" w:rsidRDefault="1EF3D1FD" w:rsidP="0F839FD9">
      <w:pPr>
        <w:rPr>
          <w:i/>
          <w:iCs/>
        </w:rPr>
      </w:pPr>
      <w:r w:rsidRPr="007211C1">
        <w:rPr>
          <w:i/>
          <w:iCs/>
        </w:rPr>
        <w:t>PASC queried whether the procedure was required to be performed in an operating theatre with anaesthesia and ultrasound as stated by the applicant given the photographic evidence of the procedure being performed in a consultation room. PASC also queried whether the use of anaesthetic during the PENS procedure may contribute to the patient’s subjective perception of pain relief following the treatment. The applicant clarified that saline solution or skin local anaesthetic can be used during the procedure and patients with severe allodynia may require the use of anaesthetics to tolerate the insertion of the electrode through the skin. The applicant also clarified that the use of an operating theatre was not always necessary unless patients were to undergo general anaesthesia or sedation (in the case of patients with severe allodynia). The use of general anaesthesia in patients experiencing pre-existing allodynia, versus using local anaesthesia for electrode insertion in patients without allodynia can be explored in the assessment phase.</w:t>
      </w:r>
      <w:r w:rsidR="00833E56" w:rsidRPr="007211C1">
        <w:rPr>
          <w:i/>
          <w:iCs/>
        </w:rPr>
        <w:t xml:space="preserve"> </w:t>
      </w:r>
      <w:r w:rsidR="116B23E2" w:rsidRPr="007211C1">
        <w:rPr>
          <w:i/>
          <w:iCs/>
        </w:rPr>
        <w:t xml:space="preserve">PASC considered it reasonable to restrict the frequency of PENS </w:t>
      </w:r>
      <w:r w:rsidR="116B23E2" w:rsidRPr="000A7E9D">
        <w:rPr>
          <w:i/>
          <w:iCs/>
        </w:rPr>
        <w:t>to 2 per year.</w:t>
      </w:r>
    </w:p>
    <w:p w14:paraId="05A8C3CB" w14:textId="2EB2B6AD" w:rsidR="4C67A4AA" w:rsidRDefault="4C67A4AA" w:rsidP="007E1EDA">
      <w:r w:rsidRPr="6D581D04">
        <w:t xml:space="preserve">It is </w:t>
      </w:r>
      <w:r w:rsidR="00CA7A7C">
        <w:t>claimed in the application</w:t>
      </w:r>
      <w:r w:rsidR="00CA7A7C" w:rsidRPr="6D581D04">
        <w:t xml:space="preserve"> </w:t>
      </w:r>
      <w:r w:rsidRPr="6D581D04">
        <w:t xml:space="preserve">that the mechanism of action underlying PENS is the same as other peripheral nerve stimulation technologies including </w:t>
      </w:r>
      <w:r w:rsidR="6B60305A" w:rsidRPr="6D581D04">
        <w:t xml:space="preserve">electro-acupuncture. </w:t>
      </w:r>
      <w:r w:rsidR="5D52BD01" w:rsidRPr="6D581D04">
        <w:t>PENS provides a sensation of paraesthesia or muscle contraction and t</w:t>
      </w:r>
      <w:r w:rsidR="6B60305A" w:rsidRPr="6D581D04">
        <w:t xml:space="preserve">he </w:t>
      </w:r>
      <w:r w:rsidR="25FD38D0" w:rsidRPr="6D581D04">
        <w:t xml:space="preserve">potentially </w:t>
      </w:r>
      <w:r w:rsidR="6B60305A" w:rsidRPr="6D581D04">
        <w:t xml:space="preserve">analgesic effect </w:t>
      </w:r>
      <w:r w:rsidR="4A28BE73" w:rsidRPr="6D581D04">
        <w:t xml:space="preserve">experienced </w:t>
      </w:r>
      <w:r w:rsidR="4D8F507B" w:rsidRPr="6D581D04">
        <w:t xml:space="preserve">by PENS patients </w:t>
      </w:r>
      <w:r w:rsidR="09481129" w:rsidRPr="6D581D04">
        <w:t>has been</w:t>
      </w:r>
      <w:r w:rsidR="4D8F507B" w:rsidRPr="6D581D04">
        <w:t xml:space="preserve"> </w:t>
      </w:r>
      <w:r w:rsidR="5987B0FC" w:rsidRPr="6D581D04">
        <w:t xml:space="preserve">hypothesised to act on inhibitory interneurons around the spinal cord </w:t>
      </w:r>
      <w:r w:rsidR="304FC2D0" w:rsidRPr="6D581D04">
        <w:t xml:space="preserve">to </w:t>
      </w:r>
      <w:r w:rsidR="50E433EC" w:rsidRPr="6D581D04">
        <w:t xml:space="preserve">impede </w:t>
      </w:r>
      <w:r w:rsidR="304FC2D0" w:rsidRPr="6D581D04">
        <w:t xml:space="preserve">the </w:t>
      </w:r>
      <w:r w:rsidR="6393C4F6" w:rsidRPr="6D581D04">
        <w:t xml:space="preserve">pain </w:t>
      </w:r>
      <w:r w:rsidR="304FC2D0" w:rsidRPr="6D581D04">
        <w:t xml:space="preserve">sensation </w:t>
      </w:r>
      <w:r w:rsidR="74A56C34" w:rsidRPr="6D581D04">
        <w:t>(de Sire et al., 2021)</w:t>
      </w:r>
      <w:r w:rsidR="004F204B">
        <w:t>. This</w:t>
      </w:r>
      <w:r w:rsidR="0C5CEA79" w:rsidRPr="6D581D04">
        <w:t xml:space="preserve"> is thought to stimulate serotonin, cholinergic</w:t>
      </w:r>
      <w:r w:rsidR="11B9AD0B">
        <w:t>,</w:t>
      </w:r>
      <w:r w:rsidR="0C5CEA79" w:rsidRPr="6D581D04">
        <w:t xml:space="preserve"> and opioid receptors within the spinal cord</w:t>
      </w:r>
      <w:r w:rsidR="2995B3EB" w:rsidRPr="6D581D04">
        <w:t>, producing an analgesic effect.</w:t>
      </w:r>
    </w:p>
    <w:p w14:paraId="5286F7FE" w14:textId="61A4C075" w:rsidR="711CFF5A" w:rsidRDefault="01BCB9CC" w:rsidP="007445FB">
      <w:r w:rsidRPr="651BF5F7">
        <w:t xml:space="preserve">PENS will </w:t>
      </w:r>
      <w:r w:rsidR="1E7A245F" w:rsidRPr="651BF5F7">
        <w:t xml:space="preserve">likely </w:t>
      </w:r>
      <w:r w:rsidRPr="651BF5F7">
        <w:t xml:space="preserve">be used </w:t>
      </w:r>
      <w:r w:rsidR="50E8D112" w:rsidRPr="651BF5F7">
        <w:t>as an adjunct</w:t>
      </w:r>
      <w:r w:rsidRPr="651BF5F7">
        <w:t xml:space="preserve"> to existing </w:t>
      </w:r>
      <w:r w:rsidR="53072861" w:rsidRPr="651BF5F7">
        <w:t>non-</w:t>
      </w:r>
      <w:r w:rsidR="3DB2AFD1" w:rsidRPr="651BF5F7">
        <w:t>invasive</w:t>
      </w:r>
      <w:r w:rsidR="53072861" w:rsidRPr="651BF5F7">
        <w:t xml:space="preserve"> </w:t>
      </w:r>
      <w:r w:rsidRPr="651BF5F7">
        <w:t>treatments for chronic pai</w:t>
      </w:r>
      <w:r w:rsidR="53072861" w:rsidRPr="651BF5F7">
        <w:t>n which</w:t>
      </w:r>
      <w:r w:rsidR="73B02D52" w:rsidRPr="651BF5F7">
        <w:t xml:space="preserve"> </w:t>
      </w:r>
      <w:r w:rsidR="5018F276" w:rsidRPr="651BF5F7">
        <w:t>includ</w:t>
      </w:r>
      <w:r w:rsidR="652FB707" w:rsidRPr="651BF5F7">
        <w:t>e</w:t>
      </w:r>
      <w:r w:rsidR="5018F276" w:rsidRPr="651BF5F7">
        <w:t xml:space="preserve"> medicinal, psychological and physical therapies. PENS </w:t>
      </w:r>
      <w:r w:rsidR="40B58DDD" w:rsidRPr="651BF5F7">
        <w:t xml:space="preserve">is expected </w:t>
      </w:r>
      <w:r w:rsidR="00932A03">
        <w:t xml:space="preserve">to </w:t>
      </w:r>
      <w:r w:rsidR="5018F276" w:rsidRPr="651BF5F7">
        <w:t xml:space="preserve">displace </w:t>
      </w:r>
      <w:r w:rsidR="6DA384E1" w:rsidRPr="651BF5F7">
        <w:t>some</w:t>
      </w:r>
      <w:r w:rsidR="5018F276" w:rsidRPr="651BF5F7">
        <w:t xml:space="preserve"> use of implanted nerve stimulating devices </w:t>
      </w:r>
      <w:r w:rsidR="6B257D37" w:rsidRPr="651BF5F7">
        <w:t xml:space="preserve">to a later line of treatment and may </w:t>
      </w:r>
      <w:r w:rsidR="00952F80">
        <w:t>replace</w:t>
      </w:r>
      <w:r w:rsidR="00952F80" w:rsidRPr="651BF5F7">
        <w:t xml:space="preserve"> </w:t>
      </w:r>
      <w:r w:rsidR="6B257D37" w:rsidRPr="651BF5F7">
        <w:t>the use of these devices altogether amongst some patients.</w:t>
      </w:r>
    </w:p>
    <w:p w14:paraId="674557A4" w14:textId="3B2742B8" w:rsidR="00F1056A" w:rsidRPr="006D09F5" w:rsidRDefault="17054D6C" w:rsidP="007445FB">
      <w:r w:rsidRPr="006D09F5">
        <w:t xml:space="preserve">According to Vajramani (2020), PENS </w:t>
      </w:r>
      <w:r w:rsidR="3B509FD5" w:rsidRPr="006D09F5">
        <w:t>encompasses</w:t>
      </w:r>
      <w:r w:rsidRPr="006D09F5">
        <w:t xml:space="preserve"> four differen</w:t>
      </w:r>
      <w:r w:rsidR="1F991E3F" w:rsidRPr="006D09F5">
        <w:t>t neurostimulator technologies</w:t>
      </w:r>
      <w:r w:rsidR="5E14AF55" w:rsidRPr="006D09F5">
        <w:t xml:space="preserve"> that are </w:t>
      </w:r>
      <w:r w:rsidR="50E2BD0E" w:rsidRPr="006D09F5">
        <w:t xml:space="preserve">available to treat neuropathic pain. </w:t>
      </w:r>
      <w:r w:rsidR="7339883E" w:rsidRPr="006D09F5">
        <w:t>Typically distinguished by their brand/manufacturer names</w:t>
      </w:r>
      <w:r w:rsidR="189CA494" w:rsidRPr="006D09F5">
        <w:t xml:space="preserve">. </w:t>
      </w:r>
      <w:r w:rsidR="329A3857" w:rsidRPr="006D09F5">
        <w:t>O</w:t>
      </w:r>
      <w:r w:rsidR="189CA494" w:rsidRPr="006D09F5">
        <w:t xml:space="preserve">ther distinguishing </w:t>
      </w:r>
      <w:r w:rsidR="0AD3005F" w:rsidRPr="006D09F5">
        <w:t xml:space="preserve">features of </w:t>
      </w:r>
      <w:r w:rsidR="7339883E" w:rsidRPr="006D09F5">
        <w:t>t</w:t>
      </w:r>
      <w:r w:rsidR="140B805C" w:rsidRPr="006D09F5">
        <w:t xml:space="preserve">hese </w:t>
      </w:r>
      <w:r w:rsidR="0AD3005F" w:rsidRPr="006D09F5">
        <w:t xml:space="preserve">technologies </w:t>
      </w:r>
      <w:r w:rsidR="140B805C" w:rsidRPr="006D09F5">
        <w:t xml:space="preserve">include </w:t>
      </w:r>
      <w:r w:rsidR="189CA494" w:rsidRPr="006D09F5">
        <w:t>the area targeted (superficial vs named peripheral nerve) and the</w:t>
      </w:r>
      <w:r w:rsidR="44AF3008" w:rsidRPr="006D09F5">
        <w:t xml:space="preserve"> size or</w:t>
      </w:r>
      <w:r w:rsidR="189CA494" w:rsidRPr="006D09F5">
        <w:t xml:space="preserve"> number </w:t>
      </w:r>
      <w:r w:rsidR="35325804" w:rsidRPr="006D09F5">
        <w:t xml:space="preserve">of </w:t>
      </w:r>
      <w:r w:rsidR="189CA494" w:rsidRPr="006D09F5">
        <w:t>the needles</w:t>
      </w:r>
      <w:r w:rsidR="333321A9" w:rsidRPr="006D09F5">
        <w:t xml:space="preserve"> used</w:t>
      </w:r>
      <w:r w:rsidR="189CA494" w:rsidRPr="006D09F5">
        <w:t xml:space="preserve">. </w:t>
      </w:r>
      <w:r w:rsidR="6396223D" w:rsidRPr="006D09F5">
        <w:t>The 4 treatment</w:t>
      </w:r>
      <w:r w:rsidR="35325804" w:rsidRPr="006D09F5">
        <w:t>s</w:t>
      </w:r>
      <w:r w:rsidR="6396223D" w:rsidRPr="006D09F5">
        <w:t xml:space="preserve"> have different </w:t>
      </w:r>
      <w:r w:rsidR="13978810" w:rsidRPr="006D09F5">
        <w:t xml:space="preserve">schedules with some </w:t>
      </w:r>
      <w:r w:rsidR="13978810" w:rsidRPr="006D09F5">
        <w:lastRenderedPageBreak/>
        <w:t xml:space="preserve">used multiple times per week and others only used a couple </w:t>
      </w:r>
      <w:r w:rsidR="35325804" w:rsidRPr="006D09F5">
        <w:t>of</w:t>
      </w:r>
      <w:r w:rsidR="13978810" w:rsidRPr="006D09F5">
        <w:t xml:space="preserve"> times per year. </w:t>
      </w:r>
      <w:r w:rsidR="189CA494" w:rsidRPr="006D09F5">
        <w:t xml:space="preserve">The </w:t>
      </w:r>
      <w:r w:rsidR="00061EA2" w:rsidRPr="006D09F5">
        <w:t xml:space="preserve">four </w:t>
      </w:r>
      <w:r w:rsidR="4F547B36" w:rsidRPr="006D09F5">
        <w:t>technologies</w:t>
      </w:r>
      <w:r w:rsidR="189CA494" w:rsidRPr="006D09F5">
        <w:t xml:space="preserve"> include:</w:t>
      </w:r>
    </w:p>
    <w:p w14:paraId="78BDADD5" w14:textId="3AFCF3DA" w:rsidR="00BA2CA7" w:rsidRPr="006D09F5" w:rsidRDefault="56884224" w:rsidP="1629003B">
      <w:pPr>
        <w:pStyle w:val="ListParagraph"/>
        <w:numPr>
          <w:ilvl w:val="0"/>
          <w:numId w:val="16"/>
        </w:numPr>
        <w:spacing w:line="259" w:lineRule="auto"/>
      </w:pPr>
      <w:r w:rsidRPr="006D09F5">
        <w:t>electro-acupuncture PENS</w:t>
      </w:r>
      <w:r w:rsidR="24B718B3" w:rsidRPr="006D09F5">
        <w:t xml:space="preserve"> targeting </w:t>
      </w:r>
      <w:r w:rsidR="585B7950" w:rsidRPr="006D09F5">
        <w:t xml:space="preserve">peripheral </w:t>
      </w:r>
      <w:r w:rsidR="24B718B3" w:rsidRPr="006D09F5">
        <w:t>nerves</w:t>
      </w:r>
      <w:r w:rsidR="78DD764F" w:rsidRPr="006D09F5">
        <w:t xml:space="preserve"> (</w:t>
      </w:r>
      <w:r w:rsidR="1686B97D" w:rsidRPr="006D09F5">
        <w:t>a</w:t>
      </w:r>
      <w:r w:rsidR="00935C17" w:rsidRPr="006D09F5">
        <w:t>pprox</w:t>
      </w:r>
      <w:r w:rsidR="00BB75D3">
        <w:t xml:space="preserve">imately </w:t>
      </w:r>
      <w:r w:rsidR="78DD764F" w:rsidRPr="006D09F5">
        <w:t xml:space="preserve">10 needle probes) </w:t>
      </w:r>
    </w:p>
    <w:p w14:paraId="7F9777B8" w14:textId="1523B87B" w:rsidR="00BA2CA7" w:rsidRPr="006D09F5" w:rsidRDefault="75552DE8" w:rsidP="2891237F">
      <w:pPr>
        <w:pStyle w:val="ListParagraph"/>
        <w:numPr>
          <w:ilvl w:val="0"/>
          <w:numId w:val="16"/>
        </w:numPr>
        <w:spacing w:line="259" w:lineRule="auto"/>
      </w:pPr>
      <w:r w:rsidRPr="006D09F5">
        <w:t>PENS delivered by an array of small needles</w:t>
      </w:r>
      <w:r w:rsidR="5D18FFD7" w:rsidRPr="006D09F5">
        <w:t xml:space="preserve"> </w:t>
      </w:r>
      <w:r w:rsidR="29A27F8C" w:rsidRPr="006D09F5">
        <w:t xml:space="preserve">to target </w:t>
      </w:r>
      <w:r w:rsidR="5D18FFD7" w:rsidRPr="006D09F5">
        <w:t>superficial nerves</w:t>
      </w:r>
    </w:p>
    <w:p w14:paraId="35F818E9" w14:textId="567F6F7A" w:rsidR="00BA2CA7" w:rsidRPr="006D09F5" w:rsidRDefault="2E38B475" w:rsidP="2891237F">
      <w:pPr>
        <w:pStyle w:val="ListParagraph"/>
        <w:numPr>
          <w:ilvl w:val="0"/>
          <w:numId w:val="16"/>
        </w:numPr>
        <w:spacing w:line="259" w:lineRule="auto"/>
      </w:pPr>
      <w:r w:rsidRPr="006D09F5">
        <w:t>PENS delivered by a flexible electrode that is inserted via a needle</w:t>
      </w:r>
      <w:r w:rsidR="009006D2" w:rsidRPr="006D09F5">
        <w:t xml:space="preserve"> to target a peripheral nerve</w:t>
      </w:r>
      <w:r w:rsidRPr="006D09F5">
        <w:t xml:space="preserve"> </w:t>
      </w:r>
    </w:p>
    <w:p w14:paraId="1955F4E6" w14:textId="72B7D65A" w:rsidR="00BA2CA7" w:rsidRPr="006D09F5" w:rsidRDefault="2E38B475" w:rsidP="2891237F">
      <w:pPr>
        <w:pStyle w:val="ListParagraph"/>
        <w:numPr>
          <w:ilvl w:val="0"/>
          <w:numId w:val="16"/>
        </w:numPr>
        <w:spacing w:line="259" w:lineRule="auto"/>
      </w:pPr>
      <w:r w:rsidRPr="006D09F5">
        <w:t>the PENS treatment described by the applicant</w:t>
      </w:r>
      <w:r w:rsidR="5A83E5FD" w:rsidRPr="006D09F5">
        <w:t xml:space="preserve"> as 1-2 21-g</w:t>
      </w:r>
      <w:r w:rsidR="00F01182">
        <w:t>au</w:t>
      </w:r>
      <w:r w:rsidR="5A83E5FD" w:rsidRPr="006D09F5">
        <w:t>ge needle probes targeting a named peripheral nerve</w:t>
      </w:r>
      <w:r w:rsidR="00D82464">
        <w:t xml:space="preserve"> or unnamed peripheral nerve endings</w:t>
      </w:r>
      <w:r w:rsidR="5A83E5FD" w:rsidRPr="006D09F5">
        <w:t>.</w:t>
      </w:r>
    </w:p>
    <w:p w14:paraId="13BABDA7" w14:textId="77777777" w:rsidR="002E69B0" w:rsidRPr="007211C1" w:rsidRDefault="002E69B0" w:rsidP="006D09F5">
      <w:pPr>
        <w:rPr>
          <w:iCs/>
        </w:rPr>
      </w:pPr>
      <w:r w:rsidRPr="007211C1">
        <w:rPr>
          <w:iCs/>
        </w:rPr>
        <w:t xml:space="preserve">An initial scan of available effectiveness evidence for PENS identified five studies of which only two (Raphael et al. (2011) and Rossi et al. (2016)) appear to relate to the type of PENS intended by the applicant (#4 above). The other 3 studies (Hamza et al., 1999, 2000; Weiner et al., 2008) involve the use of 10 needle probes consistent with #1 above. </w:t>
      </w:r>
    </w:p>
    <w:p w14:paraId="09EE5EF4" w14:textId="683F50ED" w:rsidR="00B66CD9" w:rsidRPr="009C7857" w:rsidRDefault="09DD5C65" w:rsidP="0F839FD9">
      <w:pPr>
        <w:rPr>
          <w:i/>
          <w:iCs/>
        </w:rPr>
      </w:pPr>
      <w:r w:rsidRPr="007211C1">
        <w:rPr>
          <w:i/>
          <w:iCs/>
        </w:rPr>
        <w:t>PASC queried the potential application of other forms of PENS to be used within the described population and noted the applicant’s advice that the PENS intervention specific to this application is distinguished using one to two 21-gauge needle probes.</w:t>
      </w:r>
    </w:p>
    <w:p w14:paraId="5EBF5EDF" w14:textId="630D1D07" w:rsidR="00BA2CA7" w:rsidRDefault="44B8D81E" w:rsidP="007445FB">
      <w:r>
        <w:t xml:space="preserve">The Neuromodulation Society of Australia and New Zealand website states that there are around 150 neuromodulators available </w:t>
      </w:r>
      <w:r w:rsidR="41A4EE28">
        <w:t>between the</w:t>
      </w:r>
      <w:r>
        <w:t xml:space="preserve"> two countries. According to the applicant, physicians who are likely to administer PENS require a pain medicine post-specialisation and are also likely to be fellows of the aforementioned Society. This suggests that there will be a relatively fixed number of qualified physicians who can provide this treatment.</w:t>
      </w:r>
    </w:p>
    <w:p w14:paraId="68585018" w14:textId="126BDAC5" w:rsidR="008E64E5" w:rsidRDefault="38FEDF31" w:rsidP="4B157E80">
      <w:r w:rsidRPr="006D09F5">
        <w:t xml:space="preserve">For the </w:t>
      </w:r>
      <w:r>
        <w:t xml:space="preserve">evaluation stage, the accessibility and availability of </w:t>
      </w:r>
      <w:r w:rsidR="3F657595">
        <w:t>PENS may need to be taken into account in contrast with comparative therapies.</w:t>
      </w:r>
    </w:p>
    <w:p w14:paraId="665B0675" w14:textId="55FE6E13" w:rsidR="007A66C8" w:rsidRPr="008F1532" w:rsidRDefault="007A66C8" w:rsidP="00713728">
      <w:pPr>
        <w:pStyle w:val="Heading3"/>
      </w:pPr>
      <w:r>
        <w:t>Comparator</w:t>
      </w:r>
      <w:r w:rsidR="007D6B83">
        <w:t>(</w:t>
      </w:r>
      <w:r w:rsidR="008F1532">
        <w:t>s</w:t>
      </w:r>
      <w:r w:rsidR="007D6B83">
        <w:t>)</w:t>
      </w:r>
    </w:p>
    <w:p w14:paraId="08D1D5D2" w14:textId="2E001BEE" w:rsidR="00B83AD9" w:rsidRDefault="202C9C8F" w:rsidP="00BE3C50">
      <w:r>
        <w:t xml:space="preserve">The comparators described in the application </w:t>
      </w:r>
      <w:r w:rsidR="0018D264">
        <w:t xml:space="preserve">include </w:t>
      </w:r>
      <w:r w:rsidR="00802C51">
        <w:t xml:space="preserve">(i) </w:t>
      </w:r>
      <w:r w:rsidR="0018D264">
        <w:t xml:space="preserve">standard treatment and </w:t>
      </w:r>
      <w:r w:rsidR="00802C51">
        <w:t xml:space="preserve">(ii) </w:t>
      </w:r>
      <w:r w:rsidR="002D6AD6">
        <w:t xml:space="preserve">subcutaneous </w:t>
      </w:r>
      <w:r w:rsidR="00935C17">
        <w:t xml:space="preserve">implantable peripheral nerve stimulation </w:t>
      </w:r>
    </w:p>
    <w:p w14:paraId="750490E2" w14:textId="77777777" w:rsidR="00B83AD9" w:rsidRPr="00946E4B" w:rsidRDefault="00B83AD9" w:rsidP="00E86054">
      <w:pPr>
        <w:pStyle w:val="Heading4"/>
        <w:spacing w:after="120"/>
      </w:pPr>
      <w:r w:rsidRPr="00946E4B">
        <w:t xml:space="preserve">Non-invasive </w:t>
      </w:r>
      <w:r w:rsidRPr="00AB56F3">
        <w:t>standard</w:t>
      </w:r>
      <w:r w:rsidRPr="00946E4B">
        <w:t xml:space="preserve"> care</w:t>
      </w:r>
    </w:p>
    <w:p w14:paraId="5A100101" w14:textId="26A4515B" w:rsidR="00F608B2" w:rsidRDefault="4C227B97" w:rsidP="00BE3C50">
      <w:r>
        <w:t>Standard treatment of chronic neuropathic pain typically consists of a multidisciplinary suite of complementary therapies and can include</w:t>
      </w:r>
      <w:r w:rsidR="1371DFC2">
        <w:t xml:space="preserve"> non-medicinal therapies such as</w:t>
      </w:r>
      <w:r>
        <w:t xml:space="preserve"> </w:t>
      </w:r>
      <w:r w:rsidR="73AF9D05">
        <w:t>counselling, exercise, acupuncture, relaxation techniques and psychological treatment</w:t>
      </w:r>
      <w:r w:rsidR="3716FD59">
        <w:t>. In addition to these, patients will likely also use pharmaceuticals to manage their pain</w:t>
      </w:r>
      <w:r w:rsidR="00434696">
        <w:t xml:space="preserve">. </w:t>
      </w:r>
      <w:r w:rsidR="1CCC56AC">
        <w:t>P</w:t>
      </w:r>
      <w:r w:rsidR="02E48DE6">
        <w:t>regabalin</w:t>
      </w:r>
      <w:r w:rsidR="45CDCA4D">
        <w:t xml:space="preserve">, aspirin, paracetamol, </w:t>
      </w:r>
      <w:r w:rsidR="009639E0">
        <w:t>non-steroidal anti-inflammatory drugs (</w:t>
      </w:r>
      <w:r w:rsidR="45CDCA4D">
        <w:t>NSAIDs</w:t>
      </w:r>
      <w:r w:rsidR="009639E0">
        <w:t>)</w:t>
      </w:r>
      <w:r w:rsidR="45CDCA4D">
        <w:t xml:space="preserve">, antidepressants and anti-epileptics have </w:t>
      </w:r>
      <w:r w:rsidR="5D5E8BB3">
        <w:t xml:space="preserve">been indicated for </w:t>
      </w:r>
      <w:r w:rsidR="0FC63A68">
        <w:t>use among patients with chronic neuropathic pain.</w:t>
      </w:r>
      <w:r w:rsidR="09E3D626">
        <w:t xml:space="preserve"> </w:t>
      </w:r>
    </w:p>
    <w:p w14:paraId="6D25E14A" w14:textId="5F6252D1" w:rsidR="202C9C8F" w:rsidRDefault="33248B7E" w:rsidP="00F34493">
      <w:r>
        <w:t>Transcutaneous Electrical Nerve Stimulation (</w:t>
      </w:r>
      <w:r w:rsidR="4AD77731">
        <w:t>TENS</w:t>
      </w:r>
      <w:r w:rsidR="4ACFB496">
        <w:t>), a therapy which applies a gentle current to a nerve via electrodes placed onto the skin</w:t>
      </w:r>
      <w:r w:rsidR="09E3D626">
        <w:t xml:space="preserve"> </w:t>
      </w:r>
      <w:r w:rsidR="39111E72">
        <w:t>would precede PENS in the line of treatment</w:t>
      </w:r>
      <w:r w:rsidR="12801D5C">
        <w:t xml:space="preserve"> as it is less </w:t>
      </w:r>
      <w:r w:rsidR="30495975">
        <w:t>invasive and</w:t>
      </w:r>
      <w:r w:rsidR="39111E72">
        <w:t xml:space="preserve"> </w:t>
      </w:r>
      <w:r w:rsidR="4888BB57">
        <w:t xml:space="preserve">may </w:t>
      </w:r>
      <w:r w:rsidR="09E3D626">
        <w:t xml:space="preserve">also </w:t>
      </w:r>
      <w:r w:rsidR="0AC4ABC5">
        <w:t>provide a viable treatment option for patients</w:t>
      </w:r>
      <w:r w:rsidR="3CF20FDB">
        <w:t>.</w:t>
      </w:r>
      <w:r w:rsidR="092628C0">
        <w:t xml:space="preserve"> </w:t>
      </w:r>
      <w:r w:rsidR="5109220D">
        <w:t>T</w:t>
      </w:r>
      <w:r w:rsidR="66EEDBCB">
        <w:t>herefore</w:t>
      </w:r>
      <w:r w:rsidR="6A0C5421">
        <w:t xml:space="preserve">, </w:t>
      </w:r>
      <w:r w:rsidR="16AD7FE7">
        <w:t>TENS would</w:t>
      </w:r>
      <w:r w:rsidR="6A0C5421">
        <w:t xml:space="preserve"> also</w:t>
      </w:r>
      <w:r w:rsidR="66EEDBCB">
        <w:t xml:space="preserve"> fall under the classification of standard care </w:t>
      </w:r>
      <w:r w:rsidR="5408446E">
        <w:t>in comparison with</w:t>
      </w:r>
      <w:r w:rsidR="66EEDBCB">
        <w:t xml:space="preserve"> </w:t>
      </w:r>
      <w:r w:rsidR="54C37CE3">
        <w:t>PENS.</w:t>
      </w:r>
    </w:p>
    <w:p w14:paraId="38A09D3A" w14:textId="7FF4DC32" w:rsidR="7BA89414" w:rsidRPr="00F2539B" w:rsidRDefault="02A5768F" w:rsidP="00F34493">
      <w:r w:rsidRPr="006D09F5">
        <w:t xml:space="preserve">For </w:t>
      </w:r>
      <w:r>
        <w:t>the evaluation stage, the</w:t>
      </w:r>
      <w:r w:rsidR="7CC3124C">
        <w:t xml:space="preserve">re may be a need to define what </w:t>
      </w:r>
      <w:r w:rsidR="3B67F77E">
        <w:t xml:space="preserve">is included under the umbrella of </w:t>
      </w:r>
      <w:r w:rsidR="07E98E42">
        <w:t>‘</w:t>
      </w:r>
      <w:r w:rsidR="3B67F77E">
        <w:t>standard care</w:t>
      </w:r>
      <w:r w:rsidR="6E3AAF07">
        <w:t>’</w:t>
      </w:r>
      <w:r w:rsidR="3B67F77E">
        <w:t xml:space="preserve"> to ensure that the evidence b</w:t>
      </w:r>
      <w:r w:rsidR="382D8FBF">
        <w:t>ase used is making practical comparisons between PENS and alternative treatments</w:t>
      </w:r>
      <w:r w:rsidR="76D274F0">
        <w:t xml:space="preserve"> as would occur in clinical care.</w:t>
      </w:r>
    </w:p>
    <w:p w14:paraId="5FAE5D2B" w14:textId="03E4BEB6" w:rsidR="00EA08EE" w:rsidRPr="007211C1" w:rsidRDefault="36C4E931" w:rsidP="736D4F2E">
      <w:pPr>
        <w:rPr>
          <w:iCs/>
        </w:rPr>
      </w:pPr>
      <w:r w:rsidRPr="007211C1">
        <w:rPr>
          <w:iCs/>
        </w:rPr>
        <w:lastRenderedPageBreak/>
        <w:t xml:space="preserve">PENS may be conceptualised as an adjunct to standard non-invasive care which is likely to </w:t>
      </w:r>
      <w:r w:rsidR="3DDCA6E9" w:rsidRPr="007211C1">
        <w:rPr>
          <w:iCs/>
        </w:rPr>
        <w:t>have ongoing utilisation</w:t>
      </w:r>
      <w:r w:rsidR="008E6940" w:rsidRPr="007211C1">
        <w:rPr>
          <w:iCs/>
        </w:rPr>
        <w:t>, w</w:t>
      </w:r>
      <w:r w:rsidR="397D846E" w:rsidRPr="007211C1">
        <w:rPr>
          <w:iCs/>
        </w:rPr>
        <w:t xml:space="preserve">hereas PENS would be likely </w:t>
      </w:r>
      <w:r w:rsidR="0CF35F6B" w:rsidRPr="007211C1">
        <w:rPr>
          <w:iCs/>
        </w:rPr>
        <w:t>to replace the use of the other comparators described below.</w:t>
      </w:r>
    </w:p>
    <w:p w14:paraId="458AEA80" w14:textId="25E1BC91" w:rsidR="00D07886" w:rsidRPr="00D07886" w:rsidRDefault="3D9B3088" w:rsidP="00E86054">
      <w:pPr>
        <w:pStyle w:val="Heading4"/>
        <w:spacing w:after="120"/>
      </w:pPr>
      <w:r>
        <w:t>Neuromodulation therapy</w:t>
      </w:r>
      <w:r w:rsidR="0187DB81">
        <w:t xml:space="preserve"> </w:t>
      </w:r>
      <w:r>
        <w:t xml:space="preserve">- </w:t>
      </w:r>
      <w:r w:rsidR="37B6149F">
        <w:t>i</w:t>
      </w:r>
      <w:r w:rsidR="6FE7D273">
        <w:t>mplant</w:t>
      </w:r>
      <w:r w:rsidR="1FC0D680">
        <w:t xml:space="preserve">able </w:t>
      </w:r>
      <w:r w:rsidR="37B6149F">
        <w:t>p</w:t>
      </w:r>
      <w:r w:rsidR="6C23E464">
        <w:t xml:space="preserve">eripheral </w:t>
      </w:r>
      <w:r w:rsidR="37B6149F">
        <w:t>n</w:t>
      </w:r>
      <w:r w:rsidR="6C23E464">
        <w:t xml:space="preserve">erve </w:t>
      </w:r>
      <w:r w:rsidR="37B6149F">
        <w:t>s</w:t>
      </w:r>
      <w:r w:rsidR="6C23E464">
        <w:t>timulat</w:t>
      </w:r>
      <w:r w:rsidR="37B6149F">
        <w:t>ion</w:t>
      </w:r>
    </w:p>
    <w:p w14:paraId="22FB02EF" w14:textId="5B1CE16B" w:rsidR="300C7EC7" w:rsidRDefault="009D7690" w:rsidP="00A4734E">
      <w:r>
        <w:t>Subcutaneous i</w:t>
      </w:r>
      <w:r w:rsidR="5530DB19">
        <w:t>mplant</w:t>
      </w:r>
      <w:r w:rsidR="00935C17">
        <w:t xml:space="preserve">able peripheral nerve stimulation </w:t>
      </w:r>
      <w:r w:rsidR="57F9EE85">
        <w:t>provide</w:t>
      </w:r>
      <w:r w:rsidR="000967B4">
        <w:t>s</w:t>
      </w:r>
      <w:r w:rsidR="57F9EE85">
        <w:t xml:space="preserve"> analgesic effects for the relief of chronic neuropathic pain </w:t>
      </w:r>
      <w:r w:rsidR="051BAB59">
        <w:t xml:space="preserve">using the same mechanism of action as PENS. </w:t>
      </w:r>
      <w:r w:rsidR="5FC977CE">
        <w:t>These</w:t>
      </w:r>
      <w:r w:rsidR="152660F7">
        <w:t xml:space="preserve"> </w:t>
      </w:r>
      <w:r w:rsidR="051BAB59">
        <w:t xml:space="preserve">devices </w:t>
      </w:r>
      <w:r w:rsidR="4B3A63E0">
        <w:t xml:space="preserve">can be more practical than PENS for certain patients as </w:t>
      </w:r>
      <w:r w:rsidR="5235B61D">
        <w:t xml:space="preserve">they </w:t>
      </w:r>
      <w:r w:rsidR="518F3697">
        <w:t>offer</w:t>
      </w:r>
      <w:r w:rsidR="0FC5B278">
        <w:t xml:space="preserve"> </w:t>
      </w:r>
      <w:r w:rsidR="4B3A63E0">
        <w:t xml:space="preserve">more </w:t>
      </w:r>
      <w:r w:rsidR="15D4518B">
        <w:t>regular</w:t>
      </w:r>
      <w:r w:rsidR="00B98F34">
        <w:t xml:space="preserve"> nerve stimulation</w:t>
      </w:r>
      <w:r w:rsidR="7FA89961">
        <w:t>,</w:t>
      </w:r>
      <w:r w:rsidR="00B98F34">
        <w:t xml:space="preserve"> </w:t>
      </w:r>
      <w:r w:rsidR="67C931F2">
        <w:t>and because t</w:t>
      </w:r>
      <w:r w:rsidR="768FA34D">
        <w:t>he device</w:t>
      </w:r>
      <w:r w:rsidR="67C931F2">
        <w:t xml:space="preserve"> is </w:t>
      </w:r>
      <w:r w:rsidR="704F1B46">
        <w:t>embedd</w:t>
      </w:r>
      <w:r w:rsidR="67C931F2">
        <w:t xml:space="preserve">ed </w:t>
      </w:r>
      <w:r w:rsidR="7683010B">
        <w:t xml:space="preserve">under the skin long-term, the financial cost to the patient </w:t>
      </w:r>
      <w:r w:rsidR="682DA081">
        <w:t>may</w:t>
      </w:r>
      <w:r w:rsidR="7683010B">
        <w:t xml:space="preserve"> be less than the cost of PENS treatment</w:t>
      </w:r>
      <w:r w:rsidR="5355BAE9">
        <w:t xml:space="preserve"> provided</w:t>
      </w:r>
      <w:r w:rsidR="7683010B">
        <w:t xml:space="preserve"> on an as-needed basis.</w:t>
      </w:r>
      <w:r w:rsidR="3ABBC1A1">
        <w:t xml:space="preserve"> The applicant described</w:t>
      </w:r>
      <w:r w:rsidR="00FC2A92">
        <w:t xml:space="preserve"> subcut</w:t>
      </w:r>
      <w:r w:rsidR="00666DA8">
        <w:t xml:space="preserve">aneous </w:t>
      </w:r>
      <w:r w:rsidR="00EB381F">
        <w:t xml:space="preserve">implantable peripheral nerve stimulation </w:t>
      </w:r>
      <w:r w:rsidR="10699848">
        <w:t xml:space="preserve">as </w:t>
      </w:r>
      <w:r w:rsidR="31DBF7FC">
        <w:t>utilising</w:t>
      </w:r>
      <w:r w:rsidR="3ABBC1A1">
        <w:t xml:space="preserve"> a combination of </w:t>
      </w:r>
      <w:r w:rsidR="42492BE4">
        <w:t xml:space="preserve">two </w:t>
      </w:r>
      <w:r w:rsidR="3ABBC1A1">
        <w:t>MBS item</w:t>
      </w:r>
      <w:r w:rsidR="6D81452F">
        <w:t>s, item</w:t>
      </w:r>
      <w:r w:rsidR="3ABBC1A1">
        <w:t xml:space="preserve"> 39134 (which </w:t>
      </w:r>
      <w:r w:rsidR="7D8207CE">
        <w:t>includes the neurostimulator) and item 39138 (which consists of surgically placed peripheral nerve leads)</w:t>
      </w:r>
      <w:r w:rsidR="682DA081">
        <w:t xml:space="preserve"> which are </w:t>
      </w:r>
      <w:r w:rsidR="4DBBF0E8">
        <w:t xml:space="preserve">listed </w:t>
      </w:r>
      <w:r w:rsidR="682DA081">
        <w:t>below</w:t>
      </w:r>
      <w:r w:rsidR="33945237">
        <w:t xml:space="preserve">. </w:t>
      </w:r>
      <w:r w:rsidR="4A4743A5">
        <w:t>PENS is intended to come prior to longer term</w:t>
      </w:r>
      <w:r w:rsidR="14481E09">
        <w:t xml:space="preserve"> surgically</w:t>
      </w:r>
      <w:r w:rsidR="4A4743A5">
        <w:t xml:space="preserve"> implanted dev</w:t>
      </w:r>
      <w:r w:rsidR="14481E09">
        <w:t xml:space="preserve">ices in the treatment algorithm </w:t>
      </w:r>
      <w:r w:rsidR="682DA081">
        <w:t>and</w:t>
      </w:r>
      <w:r w:rsidR="14481E09">
        <w:t xml:space="preserve"> in </w:t>
      </w:r>
      <w:r w:rsidR="05E93D36">
        <w:t>some cases</w:t>
      </w:r>
      <w:r w:rsidR="14481E09">
        <w:t xml:space="preserve"> may replace them.</w:t>
      </w:r>
      <w:r w:rsidR="29492DFC">
        <w:t xml:space="preserve"> </w:t>
      </w:r>
      <w:r w:rsidR="00AF7561">
        <w:t xml:space="preserve">Subcutaneous </w:t>
      </w:r>
      <w:r w:rsidR="004A681D">
        <w:t>i</w:t>
      </w:r>
      <w:r w:rsidR="0040576D">
        <w:t xml:space="preserve">mplantable peripheral nerve stimulation </w:t>
      </w:r>
      <w:r w:rsidR="004A681D">
        <w:t>is</w:t>
      </w:r>
      <w:r w:rsidR="29492DFC">
        <w:t xml:space="preserve"> also </w:t>
      </w:r>
      <w:r w:rsidR="003462DC">
        <w:t>a</w:t>
      </w:r>
      <w:r w:rsidR="29492DFC">
        <w:t xml:space="preserve"> comparator to PENS. These implants use the same mechanism of action to stimulate nerves as PENS</w:t>
      </w:r>
      <w:r w:rsidR="71E93488">
        <w:t>.</w:t>
      </w:r>
      <w:r w:rsidR="30FFE697">
        <w:t xml:space="preserve"> </w:t>
      </w:r>
    </w:p>
    <w:p w14:paraId="5A26F738" w14:textId="77777777" w:rsidR="00E86054" w:rsidRPr="003C6C3B" w:rsidRDefault="00E86054" w:rsidP="00E86054">
      <w:pPr>
        <w:rPr>
          <w:iCs/>
        </w:rPr>
      </w:pPr>
      <w:r w:rsidRPr="007211C1">
        <w:rPr>
          <w:iCs/>
        </w:rPr>
        <w:t>In the clinical management algorithm proposed by Bates et al. (2019), neuromodulation therapies such as implantable peripheral nerve stimulation are considered part of the fourth line of treatment for neuropathic pain, and should be considered after neuropathic pain has persisted for 6 months or longer</w:t>
      </w:r>
      <w:r w:rsidRPr="007D4E29">
        <w:rPr>
          <w:iCs/>
        </w:rPr>
        <w:t>.</w:t>
      </w:r>
    </w:p>
    <w:p w14:paraId="5A51EFD7" w14:textId="6BC67EF9" w:rsidR="00572583" w:rsidRDefault="00572583" w:rsidP="00572583">
      <w:pPr>
        <w:rPr>
          <w:iCs/>
        </w:rPr>
      </w:pPr>
      <w:r w:rsidRPr="00572583">
        <w:rPr>
          <w:iCs/>
        </w:rPr>
        <w:t xml:space="preserve">The MBS item numbers below (Table </w:t>
      </w:r>
      <w:r w:rsidR="00E86054">
        <w:rPr>
          <w:iCs/>
        </w:rPr>
        <w:t>2</w:t>
      </w:r>
      <w:r w:rsidRPr="00572583">
        <w:rPr>
          <w:iCs/>
        </w:rPr>
        <w:t xml:space="preserve"> and Table 3) are currently utilised for subcutaneous implantable peripheral nerve stimulation treatments.</w:t>
      </w:r>
    </w:p>
    <w:p w14:paraId="3C58C1C2" w14:textId="3D5535E8" w:rsidR="5779B3E2" w:rsidRDefault="5779B3E2" w:rsidP="006D09F5">
      <w:pPr>
        <w:pStyle w:val="Caption"/>
        <w:rPr>
          <w:noProof/>
        </w:rPr>
      </w:pPr>
      <w:bookmarkStart w:id="3" w:name="_Ref134114268"/>
      <w:r w:rsidRPr="3A896D60">
        <w:rPr>
          <w:noProof/>
        </w:rPr>
        <w:t xml:space="preserve">Table </w:t>
      </w:r>
      <w:bookmarkEnd w:id="3"/>
      <w:r w:rsidR="003E248E">
        <w:rPr>
          <w:noProof/>
        </w:rPr>
        <w:t>2</w:t>
      </w:r>
      <w:r w:rsidRPr="3A896D60">
        <w:rPr>
          <w:noProof/>
        </w:rPr>
        <w:t xml:space="preserve"> </w:t>
      </w:r>
      <w:r w:rsidR="003E248E">
        <w:rPr>
          <w:noProof/>
        </w:rPr>
        <w:tab/>
      </w:r>
      <w:r w:rsidRPr="3A896D60">
        <w:rPr>
          <w:noProof/>
        </w:rPr>
        <w:t>The MBS listing for item 39134</w:t>
      </w:r>
    </w:p>
    <w:tbl>
      <w:tblPr>
        <w:tblStyle w:val="TableGrid"/>
        <w:tblW w:w="0" w:type="auto"/>
        <w:tblInd w:w="0" w:type="dxa"/>
        <w:tblLayout w:type="fixed"/>
        <w:tblLook w:val="06A0" w:firstRow="1" w:lastRow="0" w:firstColumn="1" w:lastColumn="0" w:noHBand="1" w:noVBand="1"/>
      </w:tblPr>
      <w:tblGrid>
        <w:gridCol w:w="1413"/>
        <w:gridCol w:w="2551"/>
        <w:gridCol w:w="2174"/>
        <w:gridCol w:w="1959"/>
        <w:gridCol w:w="1473"/>
      </w:tblGrid>
      <w:tr w:rsidR="3A896D60" w14:paraId="2BD2C37E" w14:textId="77777777" w:rsidTr="00D272C8">
        <w:trPr>
          <w:trHeight w:val="300"/>
        </w:trPr>
        <w:tc>
          <w:tcPr>
            <w:tcW w:w="1413" w:type="dxa"/>
            <w:vAlign w:val="center"/>
          </w:tcPr>
          <w:p w14:paraId="04C0DF3A" w14:textId="389D942B" w:rsidR="7C60482A" w:rsidRPr="006D09F5" w:rsidRDefault="7C60482A" w:rsidP="006D09F5">
            <w:pPr>
              <w:pStyle w:val="Tabletext"/>
              <w:rPr>
                <w:b/>
                <w:bCs/>
                <w:noProof/>
              </w:rPr>
            </w:pPr>
            <w:r w:rsidRPr="006D09F5">
              <w:rPr>
                <w:b/>
                <w:bCs/>
                <w:noProof/>
              </w:rPr>
              <w:t>Item Number</w:t>
            </w:r>
          </w:p>
        </w:tc>
        <w:tc>
          <w:tcPr>
            <w:tcW w:w="2551" w:type="dxa"/>
            <w:vAlign w:val="center"/>
          </w:tcPr>
          <w:p w14:paraId="51A0FA66" w14:textId="7A6367BD" w:rsidR="7C60482A" w:rsidRPr="006D09F5" w:rsidRDefault="7C60482A" w:rsidP="006D09F5">
            <w:pPr>
              <w:pStyle w:val="Tabletext"/>
              <w:rPr>
                <w:b/>
                <w:bCs/>
                <w:noProof/>
              </w:rPr>
            </w:pPr>
            <w:r w:rsidRPr="006D09F5">
              <w:rPr>
                <w:b/>
                <w:bCs/>
                <w:noProof/>
              </w:rPr>
              <w:t>Category</w:t>
            </w:r>
          </w:p>
        </w:tc>
        <w:tc>
          <w:tcPr>
            <w:tcW w:w="2174" w:type="dxa"/>
            <w:vAlign w:val="center"/>
          </w:tcPr>
          <w:p w14:paraId="4225D8A8" w14:textId="77125CF6" w:rsidR="7C60482A" w:rsidRPr="006D09F5" w:rsidRDefault="7C60482A" w:rsidP="006D09F5">
            <w:pPr>
              <w:pStyle w:val="Tabletext"/>
              <w:rPr>
                <w:b/>
                <w:bCs/>
                <w:noProof/>
              </w:rPr>
            </w:pPr>
            <w:r w:rsidRPr="006D09F5">
              <w:rPr>
                <w:b/>
                <w:bCs/>
                <w:noProof/>
              </w:rPr>
              <w:t>Group</w:t>
            </w:r>
          </w:p>
        </w:tc>
        <w:tc>
          <w:tcPr>
            <w:tcW w:w="1959" w:type="dxa"/>
            <w:vAlign w:val="center"/>
          </w:tcPr>
          <w:p w14:paraId="14053220" w14:textId="1A7AF397" w:rsidR="7C60482A" w:rsidRPr="006D09F5" w:rsidRDefault="7C60482A" w:rsidP="006D09F5">
            <w:pPr>
              <w:pStyle w:val="Tabletext"/>
              <w:rPr>
                <w:b/>
                <w:bCs/>
                <w:noProof/>
              </w:rPr>
            </w:pPr>
            <w:r w:rsidRPr="006D09F5">
              <w:rPr>
                <w:b/>
                <w:bCs/>
                <w:noProof/>
              </w:rPr>
              <w:t>Subgroup</w:t>
            </w:r>
          </w:p>
        </w:tc>
        <w:tc>
          <w:tcPr>
            <w:tcW w:w="1473" w:type="dxa"/>
            <w:vAlign w:val="center"/>
          </w:tcPr>
          <w:p w14:paraId="4A563439" w14:textId="583A9867" w:rsidR="7C60482A" w:rsidRPr="006D09F5" w:rsidRDefault="7C60482A" w:rsidP="006D09F5">
            <w:pPr>
              <w:pStyle w:val="Tabletext"/>
              <w:rPr>
                <w:b/>
                <w:bCs/>
                <w:noProof/>
              </w:rPr>
            </w:pPr>
            <w:r w:rsidRPr="006D09F5">
              <w:rPr>
                <w:b/>
                <w:bCs/>
                <w:noProof/>
              </w:rPr>
              <w:t>Subheading</w:t>
            </w:r>
          </w:p>
        </w:tc>
      </w:tr>
      <w:tr w:rsidR="3A896D60" w14:paraId="3111CF27" w14:textId="77777777" w:rsidTr="00D272C8">
        <w:trPr>
          <w:trHeight w:val="300"/>
        </w:trPr>
        <w:tc>
          <w:tcPr>
            <w:tcW w:w="1413" w:type="dxa"/>
          </w:tcPr>
          <w:p w14:paraId="73C9B9E8" w14:textId="470D3EC8" w:rsidR="7C60482A" w:rsidRDefault="7C60482A" w:rsidP="006D09F5">
            <w:pPr>
              <w:pStyle w:val="Tabletext"/>
              <w:rPr>
                <w:noProof/>
              </w:rPr>
            </w:pPr>
            <w:r w:rsidRPr="3A896D60">
              <w:rPr>
                <w:noProof/>
              </w:rPr>
              <w:t>39134</w:t>
            </w:r>
          </w:p>
        </w:tc>
        <w:tc>
          <w:tcPr>
            <w:tcW w:w="2551" w:type="dxa"/>
          </w:tcPr>
          <w:p w14:paraId="0843514B" w14:textId="67A2C5F2" w:rsidR="7C60482A" w:rsidRDefault="7C60482A" w:rsidP="006D09F5">
            <w:pPr>
              <w:pStyle w:val="Tabletext"/>
              <w:rPr>
                <w:noProof/>
              </w:rPr>
            </w:pPr>
            <w:r w:rsidRPr="3A896D60">
              <w:rPr>
                <w:noProof/>
              </w:rPr>
              <w:t>3 – Therapeutic Procedures</w:t>
            </w:r>
          </w:p>
        </w:tc>
        <w:tc>
          <w:tcPr>
            <w:tcW w:w="2174" w:type="dxa"/>
          </w:tcPr>
          <w:p w14:paraId="6D69310E" w14:textId="2068FDEA" w:rsidR="7C60482A" w:rsidRDefault="7C60482A" w:rsidP="006D09F5">
            <w:pPr>
              <w:pStyle w:val="Tabletext"/>
              <w:rPr>
                <w:noProof/>
              </w:rPr>
            </w:pPr>
            <w:r w:rsidRPr="3A896D60">
              <w:rPr>
                <w:noProof/>
              </w:rPr>
              <w:t>T8 – Surgical Operations</w:t>
            </w:r>
          </w:p>
        </w:tc>
        <w:tc>
          <w:tcPr>
            <w:tcW w:w="1959" w:type="dxa"/>
          </w:tcPr>
          <w:p w14:paraId="6EB5BE18" w14:textId="1EFC8541" w:rsidR="7C60482A" w:rsidRDefault="7C60482A" w:rsidP="006D09F5">
            <w:pPr>
              <w:pStyle w:val="Tabletext"/>
              <w:rPr>
                <w:noProof/>
              </w:rPr>
            </w:pPr>
            <w:r w:rsidRPr="3A896D60">
              <w:rPr>
                <w:noProof/>
              </w:rPr>
              <w:t>7 - Neurosurgical</w:t>
            </w:r>
          </w:p>
        </w:tc>
        <w:tc>
          <w:tcPr>
            <w:tcW w:w="1473" w:type="dxa"/>
          </w:tcPr>
          <w:p w14:paraId="0F92B761" w14:textId="095E10D9" w:rsidR="7C60482A" w:rsidRDefault="7C60482A" w:rsidP="006D09F5">
            <w:pPr>
              <w:pStyle w:val="Tabletext"/>
              <w:rPr>
                <w:noProof/>
              </w:rPr>
            </w:pPr>
            <w:r w:rsidRPr="3A896D60">
              <w:rPr>
                <w:noProof/>
              </w:rPr>
              <w:t>2 – Pain Relief</w:t>
            </w:r>
          </w:p>
        </w:tc>
      </w:tr>
      <w:tr w:rsidR="3A896D60" w14:paraId="3F34DCB3" w14:textId="77777777" w:rsidTr="006D09F5">
        <w:trPr>
          <w:trHeight w:val="300"/>
        </w:trPr>
        <w:tc>
          <w:tcPr>
            <w:tcW w:w="9570" w:type="dxa"/>
            <w:gridSpan w:val="5"/>
            <w:vAlign w:val="center"/>
          </w:tcPr>
          <w:p w14:paraId="363E74D1" w14:textId="6F3B9630" w:rsidR="7C60482A" w:rsidRDefault="7C60482A" w:rsidP="006D09F5">
            <w:pPr>
              <w:pStyle w:val="Tabletext"/>
              <w:rPr>
                <w:b/>
                <w:bCs/>
                <w:noProof/>
              </w:rPr>
            </w:pPr>
            <w:r w:rsidRPr="006D09F5">
              <w:rPr>
                <w:b/>
                <w:bCs/>
                <w:noProof/>
              </w:rPr>
              <w:t>Description</w:t>
            </w:r>
          </w:p>
        </w:tc>
      </w:tr>
      <w:tr w:rsidR="3A896D60" w14:paraId="2754CB68" w14:textId="77777777" w:rsidTr="006D09F5">
        <w:trPr>
          <w:trHeight w:val="300"/>
        </w:trPr>
        <w:tc>
          <w:tcPr>
            <w:tcW w:w="9570" w:type="dxa"/>
            <w:gridSpan w:val="5"/>
          </w:tcPr>
          <w:p w14:paraId="77816A45" w14:textId="5ADAE6EA" w:rsidR="3A896D60" w:rsidRDefault="7C60482A" w:rsidP="00D272C8">
            <w:pPr>
              <w:pStyle w:val="Tabletext"/>
              <w:spacing w:after="120"/>
              <w:rPr>
                <w:noProof/>
              </w:rPr>
            </w:pPr>
            <w:r w:rsidRPr="3A896D60">
              <w:rPr>
                <w:noProof/>
              </w:rPr>
              <w:t>Neurostimulator or receiver, subcutaneous placement of, including placement and connection of extension wires to epidural or peripheral nerve electrodes, for the management of chronic neurop</w:t>
            </w:r>
            <w:r w:rsidR="091F3BD9" w:rsidRPr="3A896D60">
              <w:rPr>
                <w:noProof/>
              </w:rPr>
              <w:t>athic pain or pain from refractory angina pectoris (H)</w:t>
            </w:r>
          </w:p>
          <w:p w14:paraId="7E434F1C" w14:textId="1AD99625" w:rsidR="3A896D60" w:rsidRDefault="091F3BD9" w:rsidP="00D272C8">
            <w:pPr>
              <w:pStyle w:val="Tabletext"/>
              <w:spacing w:before="0" w:after="120"/>
              <w:rPr>
                <w:noProof/>
              </w:rPr>
            </w:pPr>
            <w:r w:rsidRPr="3A896D60">
              <w:rPr>
                <w:noProof/>
              </w:rPr>
              <w:t>Multiple operation rule</w:t>
            </w:r>
          </w:p>
          <w:p w14:paraId="3B49C0AC" w14:textId="2861DBF0" w:rsidR="3A896D60" w:rsidRDefault="091F3BD9" w:rsidP="00D272C8">
            <w:pPr>
              <w:pStyle w:val="Tabletext"/>
              <w:spacing w:before="0" w:after="120"/>
              <w:rPr>
                <w:noProof/>
              </w:rPr>
            </w:pPr>
            <w:r w:rsidRPr="3A896D60">
              <w:rPr>
                <w:noProof/>
              </w:rPr>
              <w:t>(Anaes.) (Assist.)</w:t>
            </w:r>
          </w:p>
          <w:p w14:paraId="3B836569" w14:textId="4A5B3B28" w:rsidR="091F3BD9" w:rsidRDefault="091F3BD9" w:rsidP="00D272C8">
            <w:pPr>
              <w:pStyle w:val="Tabletext"/>
              <w:spacing w:before="0" w:after="120"/>
              <w:rPr>
                <w:noProof/>
              </w:rPr>
            </w:pPr>
            <w:r w:rsidRPr="006D09F5">
              <w:rPr>
                <w:noProof/>
              </w:rPr>
              <w:t>Fee:</w:t>
            </w:r>
            <w:r w:rsidRPr="3A896D60">
              <w:rPr>
                <w:noProof/>
              </w:rPr>
              <w:t xml:space="preserve"> $360.05 </w:t>
            </w:r>
            <w:r w:rsidRPr="006D09F5">
              <w:rPr>
                <w:noProof/>
              </w:rPr>
              <w:t xml:space="preserve">Benefit: </w:t>
            </w:r>
            <w:r w:rsidRPr="3A896D60">
              <w:rPr>
                <w:noProof/>
              </w:rPr>
              <w:t>75% = $270.05</w:t>
            </w:r>
          </w:p>
        </w:tc>
      </w:tr>
    </w:tbl>
    <w:p w14:paraId="76370734" w14:textId="667BF718" w:rsidR="003C6C3B" w:rsidRDefault="003C6C3B" w:rsidP="007211C1">
      <w:pPr>
        <w:pStyle w:val="Tablenotes"/>
        <w:rPr>
          <w:noProof/>
        </w:rPr>
      </w:pPr>
      <w:bookmarkStart w:id="4" w:name="_Ref134114269"/>
      <w:r>
        <w:rPr>
          <w:noProof/>
        </w:rPr>
        <w:t xml:space="preserve">Source: </w:t>
      </w:r>
      <w:r w:rsidR="004E689C">
        <w:rPr>
          <w:noProof/>
        </w:rPr>
        <w:t>mbsonline.gov.au – accessed 12 May 2023</w:t>
      </w:r>
    </w:p>
    <w:bookmarkEnd w:id="4"/>
    <w:p w14:paraId="7F900CB3" w14:textId="646622E2" w:rsidR="00572583" w:rsidRDefault="00572583" w:rsidP="00572583">
      <w:pPr>
        <w:pStyle w:val="Caption"/>
        <w:rPr>
          <w:noProof/>
        </w:rPr>
      </w:pPr>
      <w:r w:rsidRPr="3A896D60">
        <w:rPr>
          <w:noProof/>
        </w:rPr>
        <w:t xml:space="preserve">Table </w:t>
      </w:r>
      <w:r w:rsidR="003E248E">
        <w:rPr>
          <w:noProof/>
        </w:rPr>
        <w:t>3</w:t>
      </w:r>
      <w:r w:rsidR="003E248E">
        <w:rPr>
          <w:noProof/>
        </w:rPr>
        <w:tab/>
      </w:r>
      <w:r w:rsidRPr="3A896D60">
        <w:rPr>
          <w:noProof/>
        </w:rPr>
        <w:t xml:space="preserve"> The MBS listing for item 39138</w:t>
      </w:r>
    </w:p>
    <w:tbl>
      <w:tblPr>
        <w:tblStyle w:val="TableGrid"/>
        <w:tblW w:w="0" w:type="auto"/>
        <w:tblInd w:w="0" w:type="dxa"/>
        <w:tblLayout w:type="fixed"/>
        <w:tblLook w:val="06A0" w:firstRow="1" w:lastRow="0" w:firstColumn="1" w:lastColumn="0" w:noHBand="1" w:noVBand="1"/>
      </w:tblPr>
      <w:tblGrid>
        <w:gridCol w:w="1413"/>
        <w:gridCol w:w="2551"/>
        <w:gridCol w:w="2174"/>
        <w:gridCol w:w="1959"/>
        <w:gridCol w:w="1473"/>
      </w:tblGrid>
      <w:tr w:rsidR="00572583" w14:paraId="604FD9D6" w14:textId="77777777" w:rsidTr="001F51F0">
        <w:trPr>
          <w:trHeight w:val="300"/>
        </w:trPr>
        <w:tc>
          <w:tcPr>
            <w:tcW w:w="1413" w:type="dxa"/>
            <w:vAlign w:val="center"/>
          </w:tcPr>
          <w:p w14:paraId="544432C0" w14:textId="77777777" w:rsidR="00572583" w:rsidRDefault="00572583" w:rsidP="001F51F0">
            <w:pPr>
              <w:pStyle w:val="Tabletext"/>
              <w:rPr>
                <w:b/>
                <w:bCs/>
                <w:noProof/>
              </w:rPr>
            </w:pPr>
            <w:r w:rsidRPr="3A896D60">
              <w:rPr>
                <w:b/>
                <w:bCs/>
                <w:noProof/>
              </w:rPr>
              <w:t>Item Number</w:t>
            </w:r>
          </w:p>
        </w:tc>
        <w:tc>
          <w:tcPr>
            <w:tcW w:w="2551" w:type="dxa"/>
            <w:vAlign w:val="center"/>
          </w:tcPr>
          <w:p w14:paraId="575BD62D" w14:textId="77777777" w:rsidR="00572583" w:rsidRDefault="00572583" w:rsidP="001F51F0">
            <w:pPr>
              <w:pStyle w:val="Tabletext"/>
              <w:rPr>
                <w:b/>
                <w:bCs/>
                <w:noProof/>
              </w:rPr>
            </w:pPr>
            <w:r w:rsidRPr="3A896D60">
              <w:rPr>
                <w:b/>
                <w:bCs/>
                <w:noProof/>
              </w:rPr>
              <w:t>Category</w:t>
            </w:r>
          </w:p>
        </w:tc>
        <w:tc>
          <w:tcPr>
            <w:tcW w:w="2174" w:type="dxa"/>
            <w:vAlign w:val="center"/>
          </w:tcPr>
          <w:p w14:paraId="793461CC" w14:textId="77777777" w:rsidR="00572583" w:rsidRDefault="00572583" w:rsidP="001F51F0">
            <w:pPr>
              <w:pStyle w:val="Tabletext"/>
              <w:rPr>
                <w:b/>
                <w:bCs/>
                <w:noProof/>
              </w:rPr>
            </w:pPr>
            <w:r w:rsidRPr="3A896D60">
              <w:rPr>
                <w:b/>
                <w:bCs/>
                <w:noProof/>
              </w:rPr>
              <w:t>Group</w:t>
            </w:r>
          </w:p>
        </w:tc>
        <w:tc>
          <w:tcPr>
            <w:tcW w:w="1959" w:type="dxa"/>
            <w:vAlign w:val="center"/>
          </w:tcPr>
          <w:p w14:paraId="6998CD10" w14:textId="77777777" w:rsidR="00572583" w:rsidRDefault="00572583" w:rsidP="001F51F0">
            <w:pPr>
              <w:pStyle w:val="Tabletext"/>
              <w:rPr>
                <w:b/>
                <w:bCs/>
                <w:noProof/>
              </w:rPr>
            </w:pPr>
            <w:r w:rsidRPr="3A896D60">
              <w:rPr>
                <w:b/>
                <w:bCs/>
                <w:noProof/>
              </w:rPr>
              <w:t>Subgroup</w:t>
            </w:r>
          </w:p>
        </w:tc>
        <w:tc>
          <w:tcPr>
            <w:tcW w:w="1473" w:type="dxa"/>
            <w:vAlign w:val="center"/>
          </w:tcPr>
          <w:p w14:paraId="25FFC5B1" w14:textId="77777777" w:rsidR="00572583" w:rsidRDefault="00572583" w:rsidP="001F51F0">
            <w:pPr>
              <w:pStyle w:val="Tabletext"/>
              <w:rPr>
                <w:b/>
                <w:bCs/>
                <w:noProof/>
              </w:rPr>
            </w:pPr>
            <w:r w:rsidRPr="3A896D60">
              <w:rPr>
                <w:b/>
                <w:bCs/>
                <w:noProof/>
              </w:rPr>
              <w:t>Subheading</w:t>
            </w:r>
          </w:p>
        </w:tc>
      </w:tr>
      <w:tr w:rsidR="00572583" w14:paraId="7FA60534" w14:textId="77777777" w:rsidTr="001F51F0">
        <w:trPr>
          <w:trHeight w:val="300"/>
        </w:trPr>
        <w:tc>
          <w:tcPr>
            <w:tcW w:w="1413" w:type="dxa"/>
          </w:tcPr>
          <w:p w14:paraId="7264CBF8" w14:textId="77777777" w:rsidR="00572583" w:rsidRDefault="00572583" w:rsidP="001F51F0">
            <w:pPr>
              <w:pStyle w:val="Tabletext"/>
              <w:rPr>
                <w:noProof/>
              </w:rPr>
            </w:pPr>
            <w:r w:rsidRPr="3A896D60">
              <w:rPr>
                <w:noProof/>
              </w:rPr>
              <w:t>39138</w:t>
            </w:r>
          </w:p>
        </w:tc>
        <w:tc>
          <w:tcPr>
            <w:tcW w:w="2551" w:type="dxa"/>
          </w:tcPr>
          <w:p w14:paraId="1FF1D225" w14:textId="77777777" w:rsidR="00572583" w:rsidRDefault="00572583" w:rsidP="001F51F0">
            <w:pPr>
              <w:pStyle w:val="Tabletext"/>
              <w:rPr>
                <w:noProof/>
              </w:rPr>
            </w:pPr>
            <w:r w:rsidRPr="3A896D60">
              <w:rPr>
                <w:noProof/>
              </w:rPr>
              <w:t>3 – Therapeutic Procedures</w:t>
            </w:r>
          </w:p>
        </w:tc>
        <w:tc>
          <w:tcPr>
            <w:tcW w:w="2174" w:type="dxa"/>
          </w:tcPr>
          <w:p w14:paraId="1B17A265" w14:textId="77777777" w:rsidR="00572583" w:rsidRDefault="00572583" w:rsidP="001F51F0">
            <w:pPr>
              <w:pStyle w:val="Tabletext"/>
              <w:rPr>
                <w:noProof/>
              </w:rPr>
            </w:pPr>
            <w:r w:rsidRPr="3A896D60">
              <w:rPr>
                <w:noProof/>
              </w:rPr>
              <w:t>T8 – Surgical Operations</w:t>
            </w:r>
          </w:p>
        </w:tc>
        <w:tc>
          <w:tcPr>
            <w:tcW w:w="1959" w:type="dxa"/>
          </w:tcPr>
          <w:p w14:paraId="74BDC512" w14:textId="77777777" w:rsidR="00572583" w:rsidRDefault="00572583" w:rsidP="001F51F0">
            <w:pPr>
              <w:pStyle w:val="Tabletext"/>
              <w:rPr>
                <w:noProof/>
              </w:rPr>
            </w:pPr>
            <w:r w:rsidRPr="3A896D60">
              <w:rPr>
                <w:noProof/>
              </w:rPr>
              <w:t>7 - Neurosurgical</w:t>
            </w:r>
          </w:p>
        </w:tc>
        <w:tc>
          <w:tcPr>
            <w:tcW w:w="1473" w:type="dxa"/>
          </w:tcPr>
          <w:p w14:paraId="2F3E2F36" w14:textId="77777777" w:rsidR="00572583" w:rsidRDefault="00572583" w:rsidP="001F51F0">
            <w:pPr>
              <w:pStyle w:val="Tabletext"/>
              <w:rPr>
                <w:noProof/>
              </w:rPr>
            </w:pPr>
            <w:r w:rsidRPr="3A896D60">
              <w:rPr>
                <w:noProof/>
              </w:rPr>
              <w:t>2 – Pain Relief</w:t>
            </w:r>
          </w:p>
        </w:tc>
      </w:tr>
      <w:tr w:rsidR="00572583" w14:paraId="0B8390A6" w14:textId="77777777" w:rsidTr="001F51F0">
        <w:trPr>
          <w:trHeight w:val="300"/>
        </w:trPr>
        <w:tc>
          <w:tcPr>
            <w:tcW w:w="9570" w:type="dxa"/>
            <w:gridSpan w:val="5"/>
            <w:vAlign w:val="center"/>
          </w:tcPr>
          <w:p w14:paraId="1F228CE3" w14:textId="77777777" w:rsidR="00572583" w:rsidRDefault="00572583" w:rsidP="001F51F0">
            <w:pPr>
              <w:pStyle w:val="Tabletext"/>
              <w:rPr>
                <w:b/>
                <w:bCs/>
                <w:noProof/>
              </w:rPr>
            </w:pPr>
            <w:r w:rsidRPr="3A896D60">
              <w:rPr>
                <w:b/>
                <w:bCs/>
                <w:noProof/>
              </w:rPr>
              <w:t>Description</w:t>
            </w:r>
          </w:p>
        </w:tc>
      </w:tr>
      <w:tr w:rsidR="00572583" w14:paraId="740B673B" w14:textId="77777777" w:rsidTr="001F51F0">
        <w:trPr>
          <w:trHeight w:val="300"/>
        </w:trPr>
        <w:tc>
          <w:tcPr>
            <w:tcW w:w="9570" w:type="dxa"/>
            <w:gridSpan w:val="5"/>
          </w:tcPr>
          <w:p w14:paraId="5150DBEA" w14:textId="77777777" w:rsidR="00572583" w:rsidRDefault="00572583" w:rsidP="001F51F0">
            <w:pPr>
              <w:pStyle w:val="Tabletext"/>
              <w:spacing w:after="120"/>
              <w:rPr>
                <w:noProof/>
              </w:rPr>
            </w:pPr>
            <w:r w:rsidRPr="3A896D60">
              <w:rPr>
                <w:noProof/>
              </w:rPr>
              <w:t>Peripheral nerve lead or leads, surgical placement of, including intraoperative lead stimulation, for the management of chronic neuropathic pain, where the leads are intended to remain in situ long term (H)</w:t>
            </w:r>
          </w:p>
          <w:p w14:paraId="26116EE9" w14:textId="77777777" w:rsidR="00572583" w:rsidRDefault="00572583" w:rsidP="001F51F0">
            <w:pPr>
              <w:pStyle w:val="Tabletext"/>
              <w:spacing w:before="0" w:after="120"/>
              <w:rPr>
                <w:noProof/>
              </w:rPr>
            </w:pPr>
            <w:r w:rsidRPr="3A896D60">
              <w:rPr>
                <w:noProof/>
              </w:rPr>
              <w:t>Multiple operation rule</w:t>
            </w:r>
          </w:p>
          <w:p w14:paraId="05D89E64" w14:textId="77777777" w:rsidR="00572583" w:rsidRDefault="00572583" w:rsidP="001F51F0">
            <w:pPr>
              <w:pStyle w:val="Tabletext"/>
              <w:spacing w:before="0" w:after="120"/>
              <w:rPr>
                <w:noProof/>
              </w:rPr>
            </w:pPr>
            <w:r w:rsidRPr="3A896D60">
              <w:rPr>
                <w:noProof/>
              </w:rPr>
              <w:t>(Anaes.) (Assist.)</w:t>
            </w:r>
          </w:p>
          <w:p w14:paraId="62410937" w14:textId="77777777" w:rsidR="00572583" w:rsidRDefault="00572583" w:rsidP="001F51F0">
            <w:pPr>
              <w:pStyle w:val="Tabletext"/>
              <w:spacing w:before="0" w:after="120"/>
              <w:rPr>
                <w:noProof/>
              </w:rPr>
            </w:pPr>
            <w:r w:rsidRPr="006D09F5">
              <w:rPr>
                <w:noProof/>
              </w:rPr>
              <w:t>Fee:</w:t>
            </w:r>
            <w:r w:rsidRPr="3A896D60">
              <w:rPr>
                <w:noProof/>
              </w:rPr>
              <w:t xml:space="preserve"> $712.65 </w:t>
            </w:r>
            <w:r w:rsidRPr="006D09F5">
              <w:rPr>
                <w:noProof/>
              </w:rPr>
              <w:t xml:space="preserve">Benefit: </w:t>
            </w:r>
            <w:r w:rsidRPr="3A896D60">
              <w:rPr>
                <w:noProof/>
              </w:rPr>
              <w:t>75% = $534.50</w:t>
            </w:r>
          </w:p>
        </w:tc>
      </w:tr>
    </w:tbl>
    <w:p w14:paraId="748443FB" w14:textId="77777777" w:rsidR="00572583" w:rsidRDefault="00572583" w:rsidP="00572583">
      <w:pPr>
        <w:pStyle w:val="Tablenotes"/>
        <w:rPr>
          <w:noProof/>
        </w:rPr>
      </w:pPr>
      <w:r>
        <w:rPr>
          <w:noProof/>
        </w:rPr>
        <w:t>Source: mbsonline.gov.au – accessed 12 May 2023</w:t>
      </w:r>
    </w:p>
    <w:p w14:paraId="4F1BFA64" w14:textId="33180F19" w:rsidR="00D272C8" w:rsidRDefault="00D272C8">
      <w:pPr>
        <w:spacing w:after="160" w:line="259" w:lineRule="auto"/>
        <w:rPr>
          <w:i/>
          <w:iCs/>
          <w:u w:val="single"/>
        </w:rPr>
      </w:pPr>
    </w:p>
    <w:p w14:paraId="3D07FC30" w14:textId="76628990" w:rsidR="00572583" w:rsidRDefault="00572583">
      <w:pPr>
        <w:spacing w:after="160" w:line="259" w:lineRule="auto"/>
        <w:rPr>
          <w:i/>
          <w:iCs/>
          <w:u w:val="single"/>
        </w:rPr>
      </w:pPr>
    </w:p>
    <w:p w14:paraId="3D444822" w14:textId="77777777" w:rsidR="00572583" w:rsidRDefault="00572583">
      <w:pPr>
        <w:spacing w:after="160" w:line="259" w:lineRule="auto"/>
        <w:rPr>
          <w:i/>
          <w:iCs/>
          <w:u w:val="single"/>
        </w:rPr>
      </w:pPr>
    </w:p>
    <w:p w14:paraId="5DAA5D42" w14:textId="3E5B4968" w:rsidR="00535C0D" w:rsidRPr="00F2539B" w:rsidRDefault="00041673" w:rsidP="00E86054">
      <w:pPr>
        <w:pStyle w:val="Heading4"/>
        <w:spacing w:after="120"/>
        <w:rPr>
          <w:i/>
          <w:iCs/>
        </w:rPr>
      </w:pPr>
      <w:r w:rsidRPr="00F2539B">
        <w:rPr>
          <w:i/>
          <w:iCs/>
        </w:rPr>
        <w:t>Interventional therapy - pulsed radiofrequency/ablation (PRF)</w:t>
      </w:r>
    </w:p>
    <w:p w14:paraId="7D9E274E" w14:textId="5435CC72" w:rsidR="009A3EC3" w:rsidRPr="007211C1" w:rsidRDefault="2511174A" w:rsidP="736D4F2E">
      <w:r w:rsidRPr="007211C1">
        <w:t>PRF uses a high-frequency current to lesion a specific nerve, this inhibits the nociceptive sensation transmitted from the nerve, providing the patient with a reprieve from the feeling of pain. The applicant indicated that PRF may be used up to three time</w:t>
      </w:r>
      <w:r w:rsidR="00447DA9" w:rsidRPr="007211C1">
        <w:t>s</w:t>
      </w:r>
      <w:r w:rsidRPr="007211C1">
        <w:t xml:space="preserve"> each year on a single nerve and the treatment can be claimed under MBS item number 39323 </w:t>
      </w:r>
      <w:r w:rsidR="002A4321" w:rsidRPr="007211C1">
        <w:t>(</w:t>
      </w:r>
      <w:r w:rsidR="003C2ADB">
        <w:t>Table 4</w:t>
      </w:r>
      <w:r w:rsidR="002A4321" w:rsidRPr="007211C1">
        <w:t xml:space="preserve">) </w:t>
      </w:r>
      <w:r w:rsidRPr="007211C1">
        <w:t>which describes the percutaneous denervation of peripheral nerves, however, the item recommends the use of thermal radiofrequency in most cases rather than pulsed radiofrequency</w:t>
      </w:r>
      <w:r w:rsidR="5FAF16B0" w:rsidRPr="007211C1">
        <w:t xml:space="preserve"> and states that radiofrequency therapies can be used on any given nerve up to six times in </w:t>
      </w:r>
      <w:r w:rsidR="32B88EA3" w:rsidRPr="007211C1">
        <w:t>a 12-month period</w:t>
      </w:r>
      <w:r w:rsidRPr="007211C1">
        <w:t xml:space="preserve">. The Bates et al. (2019) clinical algorithm (see </w:t>
      </w:r>
      <w:r w:rsidR="64BDB69A" w:rsidRPr="007211C1">
        <w:t xml:space="preserve">Clinical Management algorithm </w:t>
      </w:r>
      <w:r w:rsidRPr="007211C1">
        <w:t>section below) considers this to be part of the third line of treatment, preceding neuromodulation treatments including implanting nerve stimulating devices which fall under the fourth line of treatment.</w:t>
      </w:r>
    </w:p>
    <w:p w14:paraId="554F8147" w14:textId="7A85FE6F" w:rsidR="00A010A6" w:rsidRDefault="009D797E" w:rsidP="009D797E">
      <w:r w:rsidRPr="007211C1">
        <w:t>Pulsed radiofrequency treatments are minimally invasive but require penetration of the skin to target peripheral nerves with either a needle probe (in the case of PENS) or a catheter (in radiofrequency). According to Chang (2018), there is a lack of evidence which supports the use of pulsed radiofrequency on relieving peripheral neuropathic pain.</w:t>
      </w:r>
    </w:p>
    <w:p w14:paraId="47CA5F2D" w14:textId="62F5EEE0" w:rsidR="00D472EF" w:rsidRPr="00D472EF" w:rsidRDefault="00D472EF" w:rsidP="009D797E">
      <w:pPr>
        <w:rPr>
          <w:rFonts w:cs="Calibri"/>
          <w:i/>
          <w:iCs/>
        </w:rPr>
      </w:pPr>
      <w:r w:rsidRPr="006D09F5">
        <w:t>The applicant</w:t>
      </w:r>
      <w:r>
        <w:t>’s pre-PASC response</w:t>
      </w:r>
      <w:r w:rsidRPr="006D09F5">
        <w:t xml:space="preserve"> did not formally propose a clinical claim for PENS versus PRF </w:t>
      </w:r>
      <w:r>
        <w:t xml:space="preserve">in </w:t>
      </w:r>
      <w:r w:rsidRPr="006D09F5">
        <w:t xml:space="preserve">and has indicated that it is their view that PRF may be a precursor to PENS, however, this is not reflected in their proposed clinical management algorithm which displays PENS as preceding PRF. </w:t>
      </w:r>
    </w:p>
    <w:p w14:paraId="182DA6D6" w14:textId="0A24DEE0" w:rsidR="005A6D38" w:rsidRDefault="04D662E0" w:rsidP="007211C1">
      <w:pPr>
        <w:spacing w:after="0"/>
        <w:rPr>
          <w:i/>
          <w:iCs/>
        </w:rPr>
      </w:pPr>
      <w:r w:rsidRPr="007211C1">
        <w:rPr>
          <w:i/>
          <w:iCs/>
        </w:rPr>
        <w:t xml:space="preserve">PASC acknowledged that PRF has a different mechanism of action to PENS and the applicant comments that PRF may be less effective than PENS. However, PASC noted that PRF is an alternative treatment to PENS in the clinical algorithm. After discussing with the applicant, PASC confirmed that for the purposes of a health technology assessment, PRF is an appropriate comparator to PENS. </w:t>
      </w:r>
      <w:r w:rsidR="00F64E96">
        <w:rPr>
          <w:i/>
          <w:iCs/>
        </w:rPr>
        <w:t>However, the</w:t>
      </w:r>
      <w:r w:rsidR="00F64E96" w:rsidRPr="00F64E96">
        <w:rPr>
          <w:i/>
          <w:iCs/>
        </w:rPr>
        <w:t xml:space="preserve"> applicant </w:t>
      </w:r>
      <w:r w:rsidR="00F64E96">
        <w:rPr>
          <w:i/>
          <w:iCs/>
        </w:rPr>
        <w:t xml:space="preserve">claimed </w:t>
      </w:r>
      <w:r w:rsidR="00F64E96" w:rsidRPr="00F64E96">
        <w:rPr>
          <w:i/>
          <w:iCs/>
        </w:rPr>
        <w:t>that PENS would have superior effectiveness compared to PRF and that PRF would not be able to inform on future use of peripheral nerve stimulator implants.</w:t>
      </w:r>
      <w:r w:rsidR="00C24D50">
        <w:rPr>
          <w:i/>
          <w:iCs/>
        </w:rPr>
        <w:t xml:space="preserve"> </w:t>
      </w:r>
      <w:r w:rsidRPr="007211C1">
        <w:rPr>
          <w:i/>
          <w:iCs/>
        </w:rPr>
        <w:t>PASC advised that evidence to support the applicant’s claim that PENS has superior effectiveness compared to PRF should be evaluated during the assessment phase.</w:t>
      </w:r>
    </w:p>
    <w:p w14:paraId="4DD38A7F" w14:textId="0901DE26" w:rsidR="3AECD6F9" w:rsidRDefault="5D510D51" w:rsidP="00D272C8">
      <w:pPr>
        <w:pStyle w:val="Caption"/>
        <w:spacing w:before="240"/>
        <w:rPr>
          <w:noProof/>
        </w:rPr>
      </w:pPr>
      <w:bookmarkStart w:id="5" w:name="_Ref134114299"/>
      <w:r w:rsidRPr="3A896D60">
        <w:rPr>
          <w:noProof/>
        </w:rPr>
        <w:t xml:space="preserve">Table </w:t>
      </w:r>
      <w:bookmarkEnd w:id="5"/>
      <w:r w:rsidR="003E248E">
        <w:rPr>
          <w:noProof/>
        </w:rPr>
        <w:t>4</w:t>
      </w:r>
      <w:r w:rsidRPr="3A896D60">
        <w:rPr>
          <w:noProof/>
        </w:rPr>
        <w:t xml:space="preserve"> </w:t>
      </w:r>
      <w:r w:rsidR="003E248E">
        <w:rPr>
          <w:noProof/>
        </w:rPr>
        <w:tab/>
      </w:r>
      <w:r w:rsidRPr="3A896D60">
        <w:rPr>
          <w:noProof/>
        </w:rPr>
        <w:t>The MBS listing for item 39323</w:t>
      </w:r>
    </w:p>
    <w:tbl>
      <w:tblPr>
        <w:tblStyle w:val="TableGrid"/>
        <w:tblW w:w="0" w:type="auto"/>
        <w:tblInd w:w="0" w:type="dxa"/>
        <w:tblLayout w:type="fixed"/>
        <w:tblLook w:val="06A0" w:firstRow="1" w:lastRow="0" w:firstColumn="1" w:lastColumn="0" w:noHBand="1" w:noVBand="1"/>
      </w:tblPr>
      <w:tblGrid>
        <w:gridCol w:w="1413"/>
        <w:gridCol w:w="2268"/>
        <w:gridCol w:w="2126"/>
        <w:gridCol w:w="1843"/>
        <w:gridCol w:w="1920"/>
      </w:tblGrid>
      <w:tr w:rsidR="3A896D60" w14:paraId="4DA23648" w14:textId="77777777" w:rsidTr="00D272C8">
        <w:trPr>
          <w:trHeight w:val="300"/>
        </w:trPr>
        <w:tc>
          <w:tcPr>
            <w:tcW w:w="1413" w:type="dxa"/>
            <w:vAlign w:val="center"/>
          </w:tcPr>
          <w:p w14:paraId="46AE3030" w14:textId="389D942B" w:rsidR="3A896D60" w:rsidRDefault="3A896D60" w:rsidP="006D09F5">
            <w:pPr>
              <w:pStyle w:val="Tabletext"/>
              <w:rPr>
                <w:b/>
                <w:bCs/>
                <w:noProof/>
              </w:rPr>
            </w:pPr>
            <w:r w:rsidRPr="3A896D60">
              <w:rPr>
                <w:b/>
                <w:bCs/>
                <w:noProof/>
              </w:rPr>
              <w:t>Item Number</w:t>
            </w:r>
          </w:p>
        </w:tc>
        <w:tc>
          <w:tcPr>
            <w:tcW w:w="2268" w:type="dxa"/>
            <w:vAlign w:val="center"/>
          </w:tcPr>
          <w:p w14:paraId="1B602C73" w14:textId="7A6367BD" w:rsidR="3A896D60" w:rsidRDefault="3A896D60" w:rsidP="006D09F5">
            <w:pPr>
              <w:pStyle w:val="Tabletext"/>
              <w:rPr>
                <w:b/>
                <w:bCs/>
                <w:noProof/>
              </w:rPr>
            </w:pPr>
            <w:r w:rsidRPr="3A896D60">
              <w:rPr>
                <w:b/>
                <w:bCs/>
                <w:noProof/>
              </w:rPr>
              <w:t>Category</w:t>
            </w:r>
          </w:p>
        </w:tc>
        <w:tc>
          <w:tcPr>
            <w:tcW w:w="2126" w:type="dxa"/>
            <w:vAlign w:val="center"/>
          </w:tcPr>
          <w:p w14:paraId="5396B52C" w14:textId="77125CF6" w:rsidR="3A896D60" w:rsidRDefault="3A896D60" w:rsidP="006D09F5">
            <w:pPr>
              <w:pStyle w:val="Tabletext"/>
              <w:rPr>
                <w:b/>
                <w:bCs/>
                <w:noProof/>
              </w:rPr>
            </w:pPr>
            <w:r w:rsidRPr="3A896D60">
              <w:rPr>
                <w:b/>
                <w:bCs/>
                <w:noProof/>
              </w:rPr>
              <w:t>Group</w:t>
            </w:r>
          </w:p>
        </w:tc>
        <w:tc>
          <w:tcPr>
            <w:tcW w:w="1843" w:type="dxa"/>
            <w:vAlign w:val="center"/>
          </w:tcPr>
          <w:p w14:paraId="719E4635" w14:textId="1A7AF397" w:rsidR="3A896D60" w:rsidRDefault="3A896D60" w:rsidP="006D09F5">
            <w:pPr>
              <w:pStyle w:val="Tabletext"/>
              <w:rPr>
                <w:b/>
                <w:bCs/>
                <w:noProof/>
              </w:rPr>
            </w:pPr>
            <w:r w:rsidRPr="3A896D60">
              <w:rPr>
                <w:b/>
                <w:bCs/>
                <w:noProof/>
              </w:rPr>
              <w:t>Subgroup</w:t>
            </w:r>
          </w:p>
        </w:tc>
        <w:tc>
          <w:tcPr>
            <w:tcW w:w="1920" w:type="dxa"/>
            <w:vAlign w:val="center"/>
          </w:tcPr>
          <w:p w14:paraId="21F8BC91" w14:textId="583A9867" w:rsidR="3A896D60" w:rsidRDefault="3A896D60" w:rsidP="006D09F5">
            <w:pPr>
              <w:pStyle w:val="Tabletext"/>
              <w:rPr>
                <w:b/>
                <w:bCs/>
                <w:noProof/>
              </w:rPr>
            </w:pPr>
            <w:r w:rsidRPr="3A896D60">
              <w:rPr>
                <w:b/>
                <w:bCs/>
                <w:noProof/>
              </w:rPr>
              <w:t>Subheading</w:t>
            </w:r>
          </w:p>
        </w:tc>
      </w:tr>
      <w:tr w:rsidR="3A896D60" w14:paraId="32976390" w14:textId="77777777" w:rsidTr="00D272C8">
        <w:trPr>
          <w:trHeight w:val="300"/>
        </w:trPr>
        <w:tc>
          <w:tcPr>
            <w:tcW w:w="1413" w:type="dxa"/>
          </w:tcPr>
          <w:p w14:paraId="7FEE7DE5" w14:textId="5ACCD102" w:rsidR="3A896D60" w:rsidRDefault="3A896D60" w:rsidP="006D09F5">
            <w:pPr>
              <w:pStyle w:val="Tabletext"/>
              <w:rPr>
                <w:noProof/>
              </w:rPr>
            </w:pPr>
            <w:r w:rsidRPr="3A896D60">
              <w:rPr>
                <w:noProof/>
              </w:rPr>
              <w:t>39</w:t>
            </w:r>
            <w:r w:rsidR="2EAF0F5E" w:rsidRPr="3A896D60">
              <w:rPr>
                <w:noProof/>
              </w:rPr>
              <w:t>323</w:t>
            </w:r>
          </w:p>
        </w:tc>
        <w:tc>
          <w:tcPr>
            <w:tcW w:w="2268" w:type="dxa"/>
          </w:tcPr>
          <w:p w14:paraId="73D9BC31" w14:textId="67A2C5F2" w:rsidR="3A896D60" w:rsidRDefault="3A896D60" w:rsidP="006D09F5">
            <w:pPr>
              <w:pStyle w:val="Tabletext"/>
              <w:rPr>
                <w:noProof/>
              </w:rPr>
            </w:pPr>
            <w:r w:rsidRPr="3A896D60">
              <w:rPr>
                <w:noProof/>
              </w:rPr>
              <w:t>3 – Therapeutic Procedures</w:t>
            </w:r>
          </w:p>
        </w:tc>
        <w:tc>
          <w:tcPr>
            <w:tcW w:w="2126" w:type="dxa"/>
          </w:tcPr>
          <w:p w14:paraId="01B3637E" w14:textId="2068FDEA" w:rsidR="3A896D60" w:rsidRDefault="3A896D60" w:rsidP="006D09F5">
            <w:pPr>
              <w:pStyle w:val="Tabletext"/>
              <w:rPr>
                <w:noProof/>
              </w:rPr>
            </w:pPr>
            <w:r w:rsidRPr="3A896D60">
              <w:rPr>
                <w:noProof/>
              </w:rPr>
              <w:t>T8 – Surgical Operations</w:t>
            </w:r>
          </w:p>
        </w:tc>
        <w:tc>
          <w:tcPr>
            <w:tcW w:w="1843" w:type="dxa"/>
          </w:tcPr>
          <w:p w14:paraId="3A4F8723" w14:textId="1EFC8541" w:rsidR="3A896D60" w:rsidRDefault="3A896D60" w:rsidP="006D09F5">
            <w:pPr>
              <w:pStyle w:val="Tabletext"/>
              <w:rPr>
                <w:noProof/>
              </w:rPr>
            </w:pPr>
            <w:r w:rsidRPr="3A896D60">
              <w:rPr>
                <w:noProof/>
              </w:rPr>
              <w:t>7 - Neurosurgical</w:t>
            </w:r>
          </w:p>
        </w:tc>
        <w:tc>
          <w:tcPr>
            <w:tcW w:w="1920" w:type="dxa"/>
          </w:tcPr>
          <w:p w14:paraId="11175118" w14:textId="7AE22C0D" w:rsidR="5D188776" w:rsidRDefault="5D188776" w:rsidP="006D09F5">
            <w:pPr>
              <w:pStyle w:val="Tabletext"/>
              <w:rPr>
                <w:noProof/>
              </w:rPr>
            </w:pPr>
            <w:r w:rsidRPr="3A896D60">
              <w:rPr>
                <w:noProof/>
              </w:rPr>
              <w:t>3 – Peripheral Nerves</w:t>
            </w:r>
          </w:p>
        </w:tc>
      </w:tr>
      <w:tr w:rsidR="3A896D60" w14:paraId="5C89E330" w14:textId="77777777" w:rsidTr="006D09F5">
        <w:trPr>
          <w:trHeight w:val="300"/>
        </w:trPr>
        <w:tc>
          <w:tcPr>
            <w:tcW w:w="9570" w:type="dxa"/>
            <w:gridSpan w:val="5"/>
            <w:vAlign w:val="center"/>
          </w:tcPr>
          <w:p w14:paraId="1076E15F" w14:textId="6F3B9630" w:rsidR="3A896D60" w:rsidRDefault="3A896D60" w:rsidP="006D09F5">
            <w:pPr>
              <w:pStyle w:val="Tabletext"/>
              <w:rPr>
                <w:b/>
                <w:bCs/>
                <w:noProof/>
              </w:rPr>
            </w:pPr>
            <w:r w:rsidRPr="3A896D60">
              <w:rPr>
                <w:b/>
                <w:bCs/>
                <w:noProof/>
              </w:rPr>
              <w:t>Description</w:t>
            </w:r>
          </w:p>
        </w:tc>
      </w:tr>
      <w:tr w:rsidR="3A896D60" w14:paraId="736CD391" w14:textId="77777777" w:rsidTr="006D09F5">
        <w:trPr>
          <w:trHeight w:val="300"/>
        </w:trPr>
        <w:tc>
          <w:tcPr>
            <w:tcW w:w="9570" w:type="dxa"/>
            <w:gridSpan w:val="5"/>
          </w:tcPr>
          <w:p w14:paraId="67BAFB89" w14:textId="7F619F79" w:rsidR="3A896D60" w:rsidRDefault="250E113B" w:rsidP="00D272C8">
            <w:pPr>
              <w:pStyle w:val="Tabletext"/>
              <w:spacing w:after="120"/>
              <w:rPr>
                <w:noProof/>
              </w:rPr>
            </w:pPr>
            <w:r w:rsidRPr="3A896D60">
              <w:rPr>
                <w:noProof/>
              </w:rPr>
              <w:t>Percutaneous denervation (excluding medial branch nerve) by cryotherapy or radiofrequency probe, other than a service to which another item applies</w:t>
            </w:r>
            <w:r w:rsidR="2B74A79F" w:rsidRPr="3A896D60">
              <w:rPr>
                <w:noProof/>
              </w:rPr>
              <w:t>, applicable not more than 6 times for a given nerve in a 12 month period</w:t>
            </w:r>
          </w:p>
          <w:p w14:paraId="16051CCA" w14:textId="5F2FDA4B" w:rsidR="3A896D60" w:rsidRDefault="3A896D60" w:rsidP="00D272C8">
            <w:pPr>
              <w:pStyle w:val="Tabletext"/>
              <w:spacing w:after="120"/>
              <w:rPr>
                <w:noProof/>
              </w:rPr>
            </w:pPr>
            <w:r w:rsidRPr="3A896D60">
              <w:rPr>
                <w:noProof/>
              </w:rPr>
              <w:t>Multiple operation rule</w:t>
            </w:r>
          </w:p>
          <w:p w14:paraId="0157B04E" w14:textId="49D65A78" w:rsidR="3A896D60" w:rsidRDefault="3A896D60" w:rsidP="00D272C8">
            <w:pPr>
              <w:pStyle w:val="Tabletext"/>
              <w:spacing w:after="120"/>
              <w:rPr>
                <w:noProof/>
              </w:rPr>
            </w:pPr>
            <w:r w:rsidRPr="3A896D60">
              <w:rPr>
                <w:noProof/>
              </w:rPr>
              <w:t>(Anaes.)</w:t>
            </w:r>
          </w:p>
          <w:p w14:paraId="089C5A9A" w14:textId="144A004C" w:rsidR="3A896D60" w:rsidRDefault="3A896D60" w:rsidP="00D272C8">
            <w:pPr>
              <w:pStyle w:val="Tabletext"/>
              <w:spacing w:after="120"/>
              <w:rPr>
                <w:noProof/>
              </w:rPr>
            </w:pPr>
            <w:r w:rsidRPr="006D09F5">
              <w:rPr>
                <w:noProof/>
              </w:rPr>
              <w:t>Fee:</w:t>
            </w:r>
            <w:r w:rsidRPr="3A896D60">
              <w:rPr>
                <w:noProof/>
              </w:rPr>
              <w:t xml:space="preserve"> $</w:t>
            </w:r>
            <w:r w:rsidR="6FFBF112" w:rsidRPr="3A896D60">
              <w:rPr>
                <w:noProof/>
              </w:rPr>
              <w:t>292</w:t>
            </w:r>
            <w:r w:rsidRPr="3A896D60">
              <w:rPr>
                <w:noProof/>
              </w:rPr>
              <w:t>.</w:t>
            </w:r>
            <w:r w:rsidR="166165BC" w:rsidRPr="3A896D60">
              <w:rPr>
                <w:noProof/>
              </w:rPr>
              <w:t>60</w:t>
            </w:r>
            <w:r w:rsidRPr="3A896D60">
              <w:rPr>
                <w:noProof/>
              </w:rPr>
              <w:t xml:space="preserve"> </w:t>
            </w:r>
            <w:r w:rsidRPr="006D09F5">
              <w:rPr>
                <w:noProof/>
              </w:rPr>
              <w:t xml:space="preserve">Benefit: </w:t>
            </w:r>
            <w:r w:rsidRPr="3A896D60">
              <w:rPr>
                <w:noProof/>
              </w:rPr>
              <w:t>75% = $</w:t>
            </w:r>
            <w:r w:rsidR="6A198CD0" w:rsidRPr="3A896D60">
              <w:rPr>
                <w:noProof/>
              </w:rPr>
              <w:t>219.45 85% = $248.75</w:t>
            </w:r>
          </w:p>
        </w:tc>
      </w:tr>
    </w:tbl>
    <w:p w14:paraId="01C8DFC0" w14:textId="37061CC5" w:rsidR="002802FF" w:rsidRDefault="00875543" w:rsidP="002802FF">
      <w:pPr>
        <w:pStyle w:val="Tablenotes"/>
        <w:rPr>
          <w:noProof/>
        </w:rPr>
      </w:pPr>
      <w:r>
        <w:rPr>
          <w:noProof/>
        </w:rPr>
        <w:t>Source: mbsonline.gov.au – accessed 12 May 2023</w:t>
      </w:r>
    </w:p>
    <w:p w14:paraId="29C1EA87" w14:textId="1C94568B" w:rsidR="007A66C8" w:rsidRPr="008F1532" w:rsidRDefault="50069E27" w:rsidP="00D272C8">
      <w:pPr>
        <w:pStyle w:val="Heading3"/>
        <w:spacing w:after="60"/>
        <w:rPr>
          <w:highlight w:val="green"/>
        </w:rPr>
      </w:pPr>
      <w:r>
        <w:t xml:space="preserve">Outcomes </w:t>
      </w:r>
    </w:p>
    <w:p w14:paraId="73FCE53C" w14:textId="71CA33AE" w:rsidR="00CD30CB" w:rsidRDefault="00CD30CB" w:rsidP="00D272C8">
      <w:pPr>
        <w:spacing w:after="120" w:line="240" w:lineRule="auto"/>
        <w:rPr>
          <w:u w:val="single"/>
        </w:rPr>
      </w:pPr>
      <w:r>
        <w:rPr>
          <w:u w:val="single"/>
        </w:rPr>
        <w:t>Safety</w:t>
      </w:r>
    </w:p>
    <w:p w14:paraId="246A3D9E" w14:textId="722F371A" w:rsidR="002E7468" w:rsidRPr="007211C1" w:rsidRDefault="00C11AFC" w:rsidP="00D272C8">
      <w:pPr>
        <w:pStyle w:val="ListParagraph"/>
        <w:numPr>
          <w:ilvl w:val="0"/>
          <w:numId w:val="22"/>
        </w:numPr>
        <w:spacing w:after="0" w:line="240" w:lineRule="auto"/>
        <w:ind w:left="408" w:hanging="357"/>
        <w:contextualSpacing w:val="0"/>
      </w:pPr>
      <w:r w:rsidRPr="007211C1">
        <w:t>S</w:t>
      </w:r>
      <w:r w:rsidR="002E7468" w:rsidRPr="007211C1">
        <w:t>erious adverse events</w:t>
      </w:r>
    </w:p>
    <w:p w14:paraId="12798211" w14:textId="1861CA66" w:rsidR="002E7468" w:rsidRPr="007211C1" w:rsidRDefault="00C11AFC" w:rsidP="00D272C8">
      <w:pPr>
        <w:pStyle w:val="ListParagraph"/>
        <w:numPr>
          <w:ilvl w:val="0"/>
          <w:numId w:val="22"/>
        </w:numPr>
        <w:spacing w:after="0" w:line="240" w:lineRule="auto"/>
        <w:ind w:left="408" w:hanging="357"/>
        <w:contextualSpacing w:val="0"/>
      </w:pPr>
      <w:r w:rsidRPr="007211C1">
        <w:t>D</w:t>
      </w:r>
      <w:r w:rsidR="002E7468" w:rsidRPr="007211C1">
        <w:t>evice-related complications</w:t>
      </w:r>
    </w:p>
    <w:p w14:paraId="7B6E8F2E" w14:textId="10080192" w:rsidR="002E7468" w:rsidRPr="007211C1" w:rsidRDefault="00C11AFC" w:rsidP="00D272C8">
      <w:pPr>
        <w:pStyle w:val="ListParagraph"/>
        <w:numPr>
          <w:ilvl w:val="0"/>
          <w:numId w:val="22"/>
        </w:numPr>
        <w:spacing w:after="0" w:line="240" w:lineRule="auto"/>
        <w:ind w:left="408" w:hanging="357"/>
        <w:contextualSpacing w:val="0"/>
      </w:pPr>
      <w:r w:rsidRPr="007211C1">
        <w:lastRenderedPageBreak/>
        <w:t>P</w:t>
      </w:r>
      <w:r w:rsidR="002E7468" w:rsidRPr="007211C1">
        <w:t>rocedure complications</w:t>
      </w:r>
    </w:p>
    <w:p w14:paraId="7E7957B2" w14:textId="4F92D900" w:rsidR="002E7468" w:rsidRPr="007211C1" w:rsidRDefault="00C11AFC" w:rsidP="00F2539B">
      <w:pPr>
        <w:pStyle w:val="ListParagraph"/>
        <w:numPr>
          <w:ilvl w:val="0"/>
          <w:numId w:val="22"/>
        </w:numPr>
      </w:pPr>
      <w:r w:rsidRPr="007211C1">
        <w:t>N</w:t>
      </w:r>
      <w:r w:rsidR="002E7468" w:rsidRPr="007211C1">
        <w:t>eed for treatment cessation/withdrawal</w:t>
      </w:r>
    </w:p>
    <w:p w14:paraId="305E48DC" w14:textId="0C9E1769" w:rsidR="00B04216" w:rsidRPr="007211C1" w:rsidDel="007D2B72" w:rsidRDefault="00B04216" w:rsidP="00B04216">
      <w:r w:rsidRPr="007211C1" w:rsidDel="007D2B72">
        <w:t xml:space="preserve">No specific safety outcomes </w:t>
      </w:r>
      <w:r w:rsidR="00960D91" w:rsidRPr="007211C1">
        <w:t>were</w:t>
      </w:r>
      <w:r w:rsidRPr="007211C1" w:rsidDel="007D2B72">
        <w:t xml:space="preserve"> specified in the application</w:t>
      </w:r>
      <w:r w:rsidR="2C171620" w:rsidRPr="007211C1">
        <w:t>,</w:t>
      </w:r>
      <w:r w:rsidRPr="007211C1" w:rsidDel="007D2B72">
        <w:t xml:space="preserve"> but </w:t>
      </w:r>
      <w:r w:rsidR="00960D91" w:rsidRPr="007211C1">
        <w:t xml:space="preserve">the above suggested safety outcomes would </w:t>
      </w:r>
      <w:r w:rsidRPr="007211C1" w:rsidDel="007D2B72">
        <w:t>be appropriate</w:t>
      </w:r>
      <w:r w:rsidR="00960D91" w:rsidRPr="007211C1">
        <w:t xml:space="preserve"> to include</w:t>
      </w:r>
      <w:r w:rsidRPr="007211C1" w:rsidDel="007D2B72">
        <w:t>.</w:t>
      </w:r>
    </w:p>
    <w:p w14:paraId="381BE51E" w14:textId="34DAB0F9" w:rsidR="1A0CAD4C" w:rsidRDefault="007D2B72" w:rsidP="00D272C8">
      <w:pPr>
        <w:spacing w:after="120" w:line="240" w:lineRule="auto"/>
        <w:rPr>
          <w:u w:val="single"/>
        </w:rPr>
      </w:pPr>
      <w:r>
        <w:rPr>
          <w:u w:val="single"/>
        </w:rPr>
        <w:t>Effectiveness</w:t>
      </w:r>
      <w:r w:rsidR="005A6A5A">
        <w:rPr>
          <w:u w:val="single"/>
        </w:rPr>
        <w:t xml:space="preserve"> </w:t>
      </w:r>
    </w:p>
    <w:p w14:paraId="5DCB18D9" w14:textId="3A2E3477" w:rsidR="1A0CAD4C" w:rsidRDefault="1A0CAD4C" w:rsidP="4B157E80">
      <w:pPr>
        <w:pStyle w:val="ListParagraph"/>
        <w:numPr>
          <w:ilvl w:val="0"/>
          <w:numId w:val="1"/>
        </w:numPr>
      </w:pPr>
      <w:r>
        <w:t>Pain re</w:t>
      </w:r>
      <w:r w:rsidR="005D4B6B">
        <w:t>duction</w:t>
      </w:r>
      <w:r>
        <w:t xml:space="preserve"> – Measured by VAS</w:t>
      </w:r>
      <w:r w:rsidR="1764D86B">
        <w:t xml:space="preserve">, neuropathic pain scale (NPS), numerical rating scale (NRS), </w:t>
      </w:r>
      <w:r w:rsidR="1189FA9E">
        <w:t>or other quantitative measure.</w:t>
      </w:r>
    </w:p>
    <w:p w14:paraId="4F1BA546" w14:textId="265D7924" w:rsidR="006F4569" w:rsidRDefault="079DF1A2" w:rsidP="00382637">
      <w:pPr>
        <w:pStyle w:val="ListParagraph"/>
        <w:numPr>
          <w:ilvl w:val="0"/>
          <w:numId w:val="1"/>
        </w:numPr>
      </w:pPr>
      <w:r>
        <w:t>Health Related Quality of Life (HRQoL)</w:t>
      </w:r>
      <w:r w:rsidR="1D9735F0">
        <w:t xml:space="preserve"> - Measured by questionnaire (e.g. SF-36</w:t>
      </w:r>
      <w:r w:rsidR="04939205">
        <w:t>, EQ-5D</w:t>
      </w:r>
      <w:r w:rsidR="1D9735F0">
        <w:t>)</w:t>
      </w:r>
    </w:p>
    <w:p w14:paraId="129E0753" w14:textId="7A803915" w:rsidR="003A7F22" w:rsidRPr="00F2539B" w:rsidRDefault="2EBF12A3" w:rsidP="7E308252">
      <w:pPr>
        <w:rPr>
          <w:rFonts w:cs="Calibri"/>
          <w:i/>
          <w:iCs/>
        </w:rPr>
      </w:pPr>
      <w:r w:rsidRPr="006D09F5">
        <w:t>For</w:t>
      </w:r>
      <w:r>
        <w:t xml:space="preserve"> the evaluation stage, </w:t>
      </w:r>
      <w:r w:rsidR="73465C16">
        <w:t xml:space="preserve">a defined list of appropriate measures to quantify pain relief will be required so that the evidence base </w:t>
      </w:r>
      <w:r w:rsidR="449AD252">
        <w:t>used will comprise reliable and valid measures of pain</w:t>
      </w:r>
      <w:r w:rsidR="3D476213">
        <w:t xml:space="preserve"> which can provide insight into the clinical effectiveness of PENS.</w:t>
      </w:r>
    </w:p>
    <w:p w14:paraId="0FDDF124" w14:textId="4DDF1B13" w:rsidR="00954718" w:rsidRPr="006F4569" w:rsidRDefault="00954718" w:rsidP="00D272C8">
      <w:pPr>
        <w:spacing w:after="120" w:line="240" w:lineRule="auto"/>
        <w:rPr>
          <w:u w:val="single"/>
        </w:rPr>
      </w:pPr>
      <w:r w:rsidRPr="2891237F">
        <w:rPr>
          <w:u w:val="single"/>
        </w:rPr>
        <w:t>Health</w:t>
      </w:r>
      <w:r w:rsidR="006F4569" w:rsidRPr="2891237F">
        <w:rPr>
          <w:u w:val="single"/>
        </w:rPr>
        <w:t>care</w:t>
      </w:r>
      <w:r w:rsidRPr="2891237F">
        <w:rPr>
          <w:u w:val="single"/>
        </w:rPr>
        <w:t xml:space="preserve"> </w:t>
      </w:r>
      <w:r w:rsidR="006F4569" w:rsidRPr="2891237F">
        <w:rPr>
          <w:u w:val="single"/>
        </w:rPr>
        <w:t>system</w:t>
      </w:r>
      <w:r w:rsidRPr="2891237F">
        <w:rPr>
          <w:u w:val="single"/>
        </w:rPr>
        <w:t xml:space="preserve"> </w:t>
      </w:r>
    </w:p>
    <w:p w14:paraId="6657D194" w14:textId="31D356F8" w:rsidR="00954718" w:rsidRDefault="00954718" w:rsidP="00F2539B">
      <w:pPr>
        <w:pStyle w:val="ListParagraph"/>
        <w:numPr>
          <w:ilvl w:val="0"/>
          <w:numId w:val="1"/>
        </w:numPr>
      </w:pPr>
      <w:r>
        <w:t>Reduction in use of narcotic medication</w:t>
      </w:r>
    </w:p>
    <w:p w14:paraId="5F076890" w14:textId="0AB3FE04" w:rsidR="00954718" w:rsidRDefault="00954718" w:rsidP="00BD6833">
      <w:pPr>
        <w:pStyle w:val="ListParagraph"/>
        <w:numPr>
          <w:ilvl w:val="0"/>
          <w:numId w:val="1"/>
        </w:numPr>
      </w:pPr>
      <w:r>
        <w:t>Reduc</w:t>
      </w:r>
      <w:r w:rsidR="3131EB16">
        <w:t xml:space="preserve">tion in </w:t>
      </w:r>
      <w:r w:rsidR="00191909">
        <w:t>use of</w:t>
      </w:r>
      <w:r>
        <w:t xml:space="preserve"> </w:t>
      </w:r>
      <w:r w:rsidR="003462DC">
        <w:t xml:space="preserve">subcutaneous </w:t>
      </w:r>
      <w:r w:rsidR="00322ED6">
        <w:t>implantable peripheral nerve stimulation</w:t>
      </w:r>
    </w:p>
    <w:p w14:paraId="413ACF2D" w14:textId="1E842407" w:rsidR="00281838" w:rsidRPr="00875543" w:rsidRDefault="00281838" w:rsidP="00BD6833">
      <w:pPr>
        <w:pStyle w:val="ListParagraph"/>
        <w:numPr>
          <w:ilvl w:val="0"/>
          <w:numId w:val="1"/>
        </w:numPr>
      </w:pPr>
      <w:r w:rsidRPr="007211C1">
        <w:t>Costs of treatment</w:t>
      </w:r>
    </w:p>
    <w:p w14:paraId="5ED9FC32" w14:textId="3EC06EDD" w:rsidR="00281838" w:rsidRPr="00875543" w:rsidRDefault="403CE610" w:rsidP="00F2539B">
      <w:pPr>
        <w:pStyle w:val="ListParagraph"/>
        <w:numPr>
          <w:ilvl w:val="0"/>
          <w:numId w:val="1"/>
        </w:numPr>
      </w:pPr>
      <w:r w:rsidRPr="007211C1">
        <w:t>Cost of adverse events or complications</w:t>
      </w:r>
    </w:p>
    <w:p w14:paraId="00A01E92" w14:textId="6B5E57C2" w:rsidR="00E35541" w:rsidRPr="007211C1" w:rsidRDefault="64BB5A6B" w:rsidP="00B91DD1">
      <w:r w:rsidRPr="007211C1" w:rsidDel="007D2B72">
        <w:t>Although not mentioned in the application</w:t>
      </w:r>
      <w:r w:rsidR="007132F7" w:rsidRPr="007211C1">
        <w:t>,</w:t>
      </w:r>
      <w:r w:rsidRPr="007211C1" w:rsidDel="007D2B72">
        <w:t xml:space="preserve"> o</w:t>
      </w:r>
      <w:r w:rsidR="5A0EDD0F" w:rsidRPr="007211C1" w:rsidDel="007D2B72">
        <w:t xml:space="preserve">ther outcomes relevant to the health care system are likely to include cost of treatment, cost of adverse events or complications and financial </w:t>
      </w:r>
      <w:r w:rsidR="7197998A" w:rsidRPr="007211C1" w:rsidDel="007D2B72">
        <w:t>implications</w:t>
      </w:r>
      <w:r w:rsidR="5A0EDD0F" w:rsidRPr="007211C1" w:rsidDel="007D2B72">
        <w:t>.</w:t>
      </w:r>
    </w:p>
    <w:p w14:paraId="7405E83C" w14:textId="66A7D31A" w:rsidR="649ECE80" w:rsidRDefault="649ECE80" w:rsidP="3A896D60">
      <w:pPr>
        <w:rPr>
          <w:i/>
          <w:iCs/>
        </w:rPr>
      </w:pPr>
      <w:r w:rsidRPr="007211C1">
        <w:rPr>
          <w:i/>
          <w:iCs/>
        </w:rPr>
        <w:t>PASC agreed that the outcomes listed above were appropriate to be used in the assessment phase.</w:t>
      </w:r>
    </w:p>
    <w:p w14:paraId="6069F0B5" w14:textId="23E07C4E" w:rsidR="00D73332" w:rsidRPr="00490FBB" w:rsidRDefault="47F2DA40" w:rsidP="00FE7F84">
      <w:pPr>
        <w:pStyle w:val="Heading2"/>
        <w:spacing w:before="240"/>
        <w:rPr>
          <w:b/>
          <w:bCs/>
          <w:i/>
          <w:iCs/>
        </w:rPr>
      </w:pPr>
      <w:r>
        <w:t>Clinical management algorithms</w:t>
      </w:r>
    </w:p>
    <w:p w14:paraId="58A51F3B" w14:textId="2E51E7EF" w:rsidR="63DD6B45" w:rsidRDefault="737AE6B0" w:rsidP="00FE7F84">
      <w:pPr>
        <w:spacing w:after="120"/>
      </w:pPr>
      <w:r>
        <w:t xml:space="preserve">The clinical management algorithm for the management of neuropathic pain has been described by Bates et al. (2019) </w:t>
      </w:r>
      <w:r w:rsidR="7C2EF998">
        <w:t>and is summarised in</w:t>
      </w:r>
      <w:r w:rsidR="003C2ADB">
        <w:t xml:space="preserve"> Figure 1</w:t>
      </w:r>
      <w:r w:rsidR="7C2EF998">
        <w:t>. It</w:t>
      </w:r>
      <w:r>
        <w:t xml:space="preserve"> includes the compa</w:t>
      </w:r>
      <w:r w:rsidR="726FFAC9">
        <w:t xml:space="preserve">rative treatments relevant to this application. </w:t>
      </w:r>
      <w:r w:rsidR="61204DBC">
        <w:t>As the population eligible for PENS has been described as patients with chronic pain</w:t>
      </w:r>
      <w:r w:rsidR="213B2401">
        <w:t xml:space="preserve"> (lasting &gt;3 months)</w:t>
      </w:r>
      <w:r w:rsidR="602E901E">
        <w:t xml:space="preserve"> </w:t>
      </w:r>
      <w:r w:rsidR="602E901E" w:rsidRPr="1629003B">
        <w:rPr>
          <w:color w:val="000000" w:themeColor="text1"/>
        </w:rPr>
        <w:t>that does not</w:t>
      </w:r>
      <w:r w:rsidR="316BD09B" w:rsidRPr="00F42C9F">
        <w:rPr>
          <w:color w:val="000000" w:themeColor="text1"/>
        </w:rPr>
        <w:t xml:space="preserve"> </w:t>
      </w:r>
      <w:r w:rsidR="316BD09B" w:rsidRPr="007211C1">
        <w:rPr>
          <w:color w:val="000000" w:themeColor="text1"/>
        </w:rPr>
        <w:t>adequately</w:t>
      </w:r>
      <w:r w:rsidR="602E901E" w:rsidRPr="1629003B">
        <w:rPr>
          <w:color w:val="000000" w:themeColor="text1"/>
        </w:rPr>
        <w:t xml:space="preserve"> respond to non-invasive standard treatment such as, physical, psychological and/or pharmacological therapies</w:t>
      </w:r>
      <w:r w:rsidR="61204DBC">
        <w:t>, it can be assumed</w:t>
      </w:r>
      <w:r w:rsidR="7FA62B84">
        <w:t xml:space="preserve"> that </w:t>
      </w:r>
      <w:r w:rsidR="363E269F">
        <w:t>individuals</w:t>
      </w:r>
      <w:r w:rsidR="001B35AE">
        <w:t xml:space="preserve"> treated</w:t>
      </w:r>
      <w:r w:rsidR="363E269F">
        <w:t xml:space="preserve"> in this algorithm have completed </w:t>
      </w:r>
      <w:r w:rsidR="416E9D1D">
        <w:t xml:space="preserve">either </w:t>
      </w:r>
      <w:r w:rsidR="0CB37D8A">
        <w:t xml:space="preserve">a </w:t>
      </w:r>
      <w:r w:rsidR="5AE8D126">
        <w:t>4–6-week</w:t>
      </w:r>
      <w:r w:rsidR="0CB37D8A">
        <w:t xml:space="preserve"> trial of a first line </w:t>
      </w:r>
      <w:r w:rsidR="317AAC74">
        <w:t xml:space="preserve">pharmaceutical </w:t>
      </w:r>
      <w:r w:rsidR="0CB37D8A">
        <w:t>treatment</w:t>
      </w:r>
      <w:r w:rsidR="56D53DB6">
        <w:t xml:space="preserve"> </w:t>
      </w:r>
      <w:r w:rsidR="1AEAFF52">
        <w:t>(</w:t>
      </w:r>
      <w:r w:rsidR="2563D08C">
        <w:t>t</w:t>
      </w:r>
      <w:r w:rsidR="1AEAFF52">
        <w:t>ricyclic antidepressants, SNRIs, gabapent</w:t>
      </w:r>
      <w:r w:rsidR="036154BC">
        <w:t>i</w:t>
      </w:r>
      <w:r w:rsidR="1AEAFF52">
        <w:t>noids, or topical treatments)</w:t>
      </w:r>
      <w:r w:rsidR="206D6901">
        <w:t xml:space="preserve"> </w:t>
      </w:r>
      <w:r w:rsidR="650D716C">
        <w:t>and/</w:t>
      </w:r>
      <w:r w:rsidR="206D6901">
        <w:t xml:space="preserve">or </w:t>
      </w:r>
      <w:r w:rsidR="12C3961F">
        <w:t>a 6-8 week</w:t>
      </w:r>
      <w:r w:rsidR="570FC6FC">
        <w:t xml:space="preserve"> trial of first line multidisciplinary care</w:t>
      </w:r>
      <w:r w:rsidR="0CB37D8A">
        <w:t xml:space="preserve"> and another </w:t>
      </w:r>
      <w:r w:rsidR="6C74B375">
        <w:t>4–6-week</w:t>
      </w:r>
      <w:r w:rsidR="0CB37D8A">
        <w:t xml:space="preserve"> trial of second line treatment (tramadol or </w:t>
      </w:r>
      <w:r w:rsidR="73BD8369">
        <w:t>combination therapy)</w:t>
      </w:r>
      <w:r w:rsidR="660ED8A7">
        <w:t>, yielding an inadequate response from both</w:t>
      </w:r>
      <w:r w:rsidR="50087F82">
        <w:t xml:space="preserve"> lines of treatment</w:t>
      </w:r>
      <w:r w:rsidR="660ED8A7">
        <w:t>,</w:t>
      </w:r>
      <w:r w:rsidR="380E0273">
        <w:t xml:space="preserve"> before reaching the beginning of this algorithm.</w:t>
      </w:r>
    </w:p>
    <w:p w14:paraId="0A30F88B" w14:textId="42300454" w:rsidR="7348DC26" w:rsidRDefault="00766B3E" w:rsidP="00FE7F84">
      <w:pPr>
        <w:pStyle w:val="Caption"/>
        <w:spacing w:before="120"/>
        <w:rPr>
          <w:bCs/>
        </w:rPr>
      </w:pPr>
      <w:bookmarkStart w:id="6" w:name="_Ref129265773"/>
      <w:r>
        <w:lastRenderedPageBreak/>
        <w:t>Figure</w:t>
      </w:r>
      <w:bookmarkEnd w:id="6"/>
      <w:r w:rsidR="003C7EEE">
        <w:t xml:space="preserve"> 1</w:t>
      </w:r>
      <w:r w:rsidR="0014235A">
        <w:t xml:space="preserve"> </w:t>
      </w:r>
      <w:r w:rsidR="0B5AC6C2" w:rsidRPr="651BF5F7">
        <w:rPr>
          <w:bCs/>
        </w:rPr>
        <w:t>The Bates et al (2019) clinical management algorithm for chronic neuropathic pain</w:t>
      </w:r>
    </w:p>
    <w:p w14:paraId="348F7C5D" w14:textId="129C4573" w:rsidR="21C8879E" w:rsidRDefault="21C8879E" w:rsidP="02769206">
      <w:r>
        <w:rPr>
          <w:noProof/>
        </w:rPr>
        <w:drawing>
          <wp:inline distT="0" distB="0" distL="0" distR="0" wp14:anchorId="1E2F2811" wp14:editId="0433891C">
            <wp:extent cx="5829300" cy="3663950"/>
            <wp:effectExtent l="0" t="0" r="0" b="0"/>
            <wp:docPr id="1507252938" name="Picture 1507252938" descr="Figure 1 The Bates et al (2019) clinical management algorithm for chronic neuropathic p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252938" name="Picture 1507252938" descr="Figure 1 The Bates et al (2019) clinical management algorithm for chronic neuropathic pain"/>
                    <pic:cNvPicPr/>
                  </pic:nvPicPr>
                  <pic:blipFill>
                    <a:blip r:embed="rId11">
                      <a:extLst>
                        <a:ext uri="{28A0092B-C50C-407E-A947-70E740481C1C}">
                          <a14:useLocalDpi xmlns:a14="http://schemas.microsoft.com/office/drawing/2010/main" val="0"/>
                        </a:ext>
                      </a:extLst>
                    </a:blip>
                    <a:stretch>
                      <a:fillRect/>
                    </a:stretch>
                  </pic:blipFill>
                  <pic:spPr>
                    <a:xfrm>
                      <a:off x="0" y="0"/>
                      <a:ext cx="5844774" cy="3673676"/>
                    </a:xfrm>
                    <a:prstGeom prst="rect">
                      <a:avLst/>
                    </a:prstGeom>
                  </pic:spPr>
                </pic:pic>
              </a:graphicData>
            </a:graphic>
          </wp:inline>
        </w:drawing>
      </w:r>
    </w:p>
    <w:p w14:paraId="4C8DB678" w14:textId="5C7BCAB2" w:rsidR="00C56ADB" w:rsidRDefault="005F2A02" w:rsidP="00DD3CDD">
      <w:pPr>
        <w:pStyle w:val="Tablenotes"/>
        <w:rPr>
          <w:rFonts w:eastAsia="Calibri"/>
        </w:rPr>
      </w:pPr>
      <w:r>
        <w:rPr>
          <w:rFonts w:eastAsia="Calibri"/>
        </w:rPr>
        <w:t>NMDA</w:t>
      </w:r>
      <w:r w:rsidR="001552D6">
        <w:rPr>
          <w:rFonts w:eastAsia="Calibri"/>
        </w:rPr>
        <w:t xml:space="preserve">= </w:t>
      </w:r>
      <w:r w:rsidR="00DD3CDD">
        <w:rPr>
          <w:rFonts w:eastAsia="Calibri"/>
        </w:rPr>
        <w:t>N-Methyl-D-aspartic acid</w:t>
      </w:r>
      <w:r w:rsidR="00D94CC5">
        <w:rPr>
          <w:rFonts w:eastAsia="Calibri"/>
        </w:rPr>
        <w:t>;</w:t>
      </w:r>
      <w:r w:rsidR="003A37DE">
        <w:rPr>
          <w:rFonts w:eastAsia="Calibri"/>
        </w:rPr>
        <w:t xml:space="preserve"> SSRIs=Selective serotonin reuptake inhibitors </w:t>
      </w:r>
    </w:p>
    <w:p w14:paraId="22E894F5" w14:textId="689FDCE7" w:rsidR="007F229B" w:rsidRDefault="17FF3B72" w:rsidP="00DD3CDD">
      <w:pPr>
        <w:pStyle w:val="Tablenotes"/>
        <w:rPr>
          <w:rFonts w:eastAsia="Calibri"/>
        </w:rPr>
      </w:pPr>
      <w:r w:rsidRPr="736D4F2E">
        <w:rPr>
          <w:rFonts w:eastAsia="Calibri"/>
        </w:rPr>
        <w:t xml:space="preserve">Source: Adapted from </w:t>
      </w:r>
      <w:r w:rsidR="346E0E05" w:rsidRPr="736D4F2E">
        <w:rPr>
          <w:rFonts w:eastAsia="Calibri"/>
        </w:rPr>
        <w:t xml:space="preserve">Figure 1 from </w:t>
      </w:r>
      <w:r w:rsidRPr="736D4F2E">
        <w:rPr>
          <w:rFonts w:eastAsia="Calibri"/>
        </w:rPr>
        <w:t xml:space="preserve">Bates et al </w:t>
      </w:r>
      <w:r w:rsidR="3150F896" w:rsidRPr="736D4F2E">
        <w:rPr>
          <w:rFonts w:eastAsia="Calibri"/>
        </w:rPr>
        <w:t>(</w:t>
      </w:r>
      <w:r w:rsidRPr="736D4F2E">
        <w:rPr>
          <w:rFonts w:eastAsia="Calibri"/>
        </w:rPr>
        <w:t>2019</w:t>
      </w:r>
      <w:r w:rsidR="3150F896" w:rsidRPr="736D4F2E">
        <w:rPr>
          <w:rFonts w:eastAsia="Calibri"/>
        </w:rPr>
        <w:t>)</w:t>
      </w:r>
    </w:p>
    <w:p w14:paraId="204E9ABA" w14:textId="77777777" w:rsidR="00DD3CDD" w:rsidRDefault="00DD3CDD" w:rsidP="00A93E9F">
      <w:pPr>
        <w:pStyle w:val="Tablenotes"/>
      </w:pPr>
    </w:p>
    <w:p w14:paraId="6AAE79CC" w14:textId="2D4CBA98" w:rsidR="21C8879E" w:rsidRDefault="3CEA48B9" w:rsidP="651BF5F7">
      <w:pPr>
        <w:rPr>
          <w:b/>
          <w:bCs/>
          <w:sz w:val="20"/>
          <w:szCs w:val="20"/>
        </w:rPr>
      </w:pPr>
      <w:r>
        <w:t>Pulsed radiofrequency occurs following specialist referral but before neuromodulation t</w:t>
      </w:r>
      <w:r w:rsidR="5E021440">
        <w:t>reatments including implanting nerve stimulating devices.</w:t>
      </w:r>
      <w:r w:rsidR="0F228DD0">
        <w:t xml:space="preserve"> Neuromodulation is to be</w:t>
      </w:r>
      <w:r w:rsidR="3B61B41D">
        <w:t xml:space="preserve"> considered if pain has persisted for over 6 months and is distressing/disabling (mea</w:t>
      </w:r>
      <w:r w:rsidR="0EB68718">
        <w:t>sured with Brief Pain Inventory Inference scores or QoL measures). Neuromodulation should be</w:t>
      </w:r>
      <w:r w:rsidR="7348DC26">
        <w:t xml:space="preserve"> </w:t>
      </w:r>
      <w:r w:rsidR="0F228DD0">
        <w:t>trialled for between 1 and 4 weeks and will go ahead permanently if the patient experiences pain relief of &gt;50%</w:t>
      </w:r>
      <w:r w:rsidR="51919197">
        <w:t xml:space="preserve"> and are satisfied with the treatment</w:t>
      </w:r>
      <w:r w:rsidR="0F228DD0">
        <w:t>.</w:t>
      </w:r>
      <w:r w:rsidR="5E021440">
        <w:t xml:space="preserve"> Alongside these treatments is the use of </w:t>
      </w:r>
      <w:r w:rsidR="7526F165">
        <w:t xml:space="preserve">ongoing </w:t>
      </w:r>
      <w:r w:rsidR="5E021440">
        <w:t xml:space="preserve">pharmacological, psychological, or </w:t>
      </w:r>
      <w:r w:rsidR="23C752BB">
        <w:t>physical therapies.</w:t>
      </w:r>
      <w:r w:rsidR="3C620FF9">
        <w:t xml:space="preserve"> Any one of these stages could be the endpoint of the algorithm if they are able to provide sufficient pain relief to the patient.</w:t>
      </w:r>
    </w:p>
    <w:p w14:paraId="52E98E89" w14:textId="686B5BD5" w:rsidR="703D596C" w:rsidRDefault="00E86054" w:rsidP="651BF5F7">
      <w:r>
        <w:t>Figure 2</w:t>
      </w:r>
      <w:r w:rsidR="0001174D">
        <w:t xml:space="preserve"> </w:t>
      </w:r>
      <w:r w:rsidR="5FB7C460">
        <w:t xml:space="preserve">is the clinical algorithm provided by the applicant </w:t>
      </w:r>
      <w:r w:rsidR="00137240">
        <w:t xml:space="preserve">and amended during the PICO process </w:t>
      </w:r>
      <w:r w:rsidR="5FB7C460">
        <w:t>and</w:t>
      </w:r>
      <w:r w:rsidR="0759987E">
        <w:t xml:space="preserve"> begins with patients </w:t>
      </w:r>
      <w:r w:rsidR="0EB4EB01">
        <w:t xml:space="preserve">having reached </w:t>
      </w:r>
      <w:r w:rsidR="0759987E">
        <w:t xml:space="preserve">a point </w:t>
      </w:r>
      <w:r w:rsidR="453CE12A">
        <w:t>at which</w:t>
      </w:r>
      <w:r w:rsidR="6092D766">
        <w:t xml:space="preserve"> </w:t>
      </w:r>
      <w:r w:rsidR="0759987E">
        <w:t xml:space="preserve">their neuropathic pain is </w:t>
      </w:r>
      <w:r w:rsidR="32635A02">
        <w:t xml:space="preserve">considered </w:t>
      </w:r>
      <w:r w:rsidR="4C4CB49C">
        <w:t>refractory, and the noxious nerve can be identified. Looking only at the green PENS pathway</w:t>
      </w:r>
      <w:r w:rsidR="002F5CB1">
        <w:t xml:space="preserve"> above</w:t>
      </w:r>
      <w:r w:rsidR="4C4CB49C">
        <w:t xml:space="preserve">, PENS is provided </w:t>
      </w:r>
      <w:r w:rsidR="4C4CB49C" w:rsidRPr="002F5CB1">
        <w:t xml:space="preserve">before pulsed </w:t>
      </w:r>
      <w:r w:rsidR="566FA498" w:rsidRPr="002F5CB1">
        <w:t xml:space="preserve">radiofrequency treatment, which is only included in the algorithm if PENS </w:t>
      </w:r>
      <w:r w:rsidR="6C083564" w:rsidRPr="002F5CB1">
        <w:t>has no effect</w:t>
      </w:r>
      <w:r w:rsidR="5A4D5E3D" w:rsidRPr="002F5CB1">
        <w:t>. If the effect of PENS</w:t>
      </w:r>
      <w:r w:rsidR="5A4D5E3D">
        <w:t xml:space="preserve"> last</w:t>
      </w:r>
      <w:r w:rsidR="6623F016">
        <w:t>s</w:t>
      </w:r>
      <w:r w:rsidR="5A4D5E3D">
        <w:t xml:space="preserve"> for over 3 months</w:t>
      </w:r>
      <w:r w:rsidR="4A0C1FCF">
        <w:t>,</w:t>
      </w:r>
      <w:r w:rsidR="5A4D5E3D">
        <w:t xml:space="preserve"> then PENS is used repeatedly to treat the pain. </w:t>
      </w:r>
      <w:r w:rsidR="03571B69">
        <w:t xml:space="preserve">If the effect of PENS </w:t>
      </w:r>
      <w:r w:rsidR="5C5FEDE9">
        <w:t xml:space="preserve">does not last for more than 3 months, </w:t>
      </w:r>
      <w:r w:rsidR="3C14F630">
        <w:t xml:space="preserve">then patients will be </w:t>
      </w:r>
      <w:r w:rsidR="642C75F1">
        <w:t xml:space="preserve">treated with </w:t>
      </w:r>
      <w:r w:rsidR="003462DC">
        <w:t xml:space="preserve">subcutaneous </w:t>
      </w:r>
      <w:r w:rsidR="00322ED6">
        <w:t xml:space="preserve">implantable </w:t>
      </w:r>
      <w:r w:rsidR="006F2F55">
        <w:t xml:space="preserve">peripheral </w:t>
      </w:r>
      <w:r w:rsidR="00322ED6">
        <w:t>nerve stimulation</w:t>
      </w:r>
      <w:r w:rsidR="3C14F630">
        <w:t>.</w:t>
      </w:r>
      <w:r w:rsidR="005A1787" w:rsidRPr="005A1787">
        <w:t xml:space="preserve"> Additional pathways following the failure of PRF and IPNS have been included as well as showing the ongoing utilisation of non-invasive standard care to assist with pain management throughout all treatment courses. These additional pathways have been taken from the Bates et al (2019) algorithm in Figure 1.</w:t>
      </w:r>
    </w:p>
    <w:p w14:paraId="3DD001AA" w14:textId="71584043" w:rsidR="004B658C" w:rsidRDefault="004B658C" w:rsidP="000C268C">
      <w:pPr>
        <w:pStyle w:val="Caption"/>
        <w:spacing w:before="120"/>
        <w:ind w:left="0" w:firstLine="0"/>
      </w:pPr>
      <w:bookmarkStart w:id="7" w:name="_Ref130456813"/>
      <w:bookmarkStart w:id="8" w:name="_Ref134778695"/>
      <w:r>
        <w:lastRenderedPageBreak/>
        <w:t xml:space="preserve">Figure </w:t>
      </w:r>
      <w:bookmarkEnd w:id="7"/>
      <w:bookmarkEnd w:id="8"/>
      <w:r w:rsidR="003E248E">
        <w:t>2</w:t>
      </w:r>
      <w:r w:rsidR="003E248E">
        <w:tab/>
      </w:r>
      <w:r w:rsidR="006C2E4A">
        <w:t>Amended applicant p</w:t>
      </w:r>
      <w:r w:rsidR="00B01F8C">
        <w:t>roposed</w:t>
      </w:r>
      <w:r w:rsidRPr="004B658C">
        <w:t xml:space="preserve"> clinical management algorithm</w:t>
      </w:r>
      <w:r w:rsidR="006C2E4A">
        <w:t xml:space="preserve"> </w:t>
      </w:r>
    </w:p>
    <w:p w14:paraId="1D383B63" w14:textId="77777777" w:rsidR="004B658C" w:rsidRDefault="004B658C" w:rsidP="004B658C">
      <w:pPr>
        <w:rPr>
          <w:rFonts w:cs="Calibri"/>
          <w:i/>
        </w:rPr>
      </w:pPr>
      <w:r w:rsidRPr="004B658C">
        <w:rPr>
          <w:rFonts w:cs="Calibri"/>
          <w:i/>
          <w:noProof/>
        </w:rPr>
        <w:drawing>
          <wp:inline distT="0" distB="0" distL="0" distR="0" wp14:anchorId="40AECE0B" wp14:editId="1090D284">
            <wp:extent cx="6101663" cy="4434268"/>
            <wp:effectExtent l="0" t="0" r="0" b="4445"/>
            <wp:docPr id="4" name="Picture 4" descr="Figure 2 Amended applicant proposed clinical management algorith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2 Amended applicant proposed clinical management algorithm "/>
                    <pic:cNvPicPr/>
                  </pic:nvPicPr>
                  <pic:blipFill>
                    <a:blip r:embed="rId12">
                      <a:extLst>
                        <a:ext uri="{28A0092B-C50C-407E-A947-70E740481C1C}">
                          <a14:useLocalDpi xmlns:a14="http://schemas.microsoft.com/office/drawing/2010/main" val="0"/>
                        </a:ext>
                      </a:extLst>
                    </a:blip>
                    <a:stretch>
                      <a:fillRect/>
                    </a:stretch>
                  </pic:blipFill>
                  <pic:spPr>
                    <a:xfrm>
                      <a:off x="0" y="0"/>
                      <a:ext cx="6143376" cy="4464582"/>
                    </a:xfrm>
                    <a:prstGeom prst="rect">
                      <a:avLst/>
                    </a:prstGeom>
                  </pic:spPr>
                </pic:pic>
              </a:graphicData>
            </a:graphic>
          </wp:inline>
        </w:drawing>
      </w:r>
    </w:p>
    <w:p w14:paraId="02FCFF7D" w14:textId="77777777" w:rsidR="005A1787" w:rsidRDefault="005A1787" w:rsidP="005A1787">
      <w:pPr>
        <w:pStyle w:val="Tablenotes"/>
      </w:pPr>
      <w:r>
        <w:rPr>
          <w:rFonts w:eastAsia="Calibri"/>
        </w:rPr>
        <w:t>PENS=</w:t>
      </w:r>
      <w:r w:rsidRPr="00560F4A">
        <w:rPr>
          <w:rFonts w:eastAsia="Calibri"/>
        </w:rPr>
        <w:t>Percutaneous Electrical Nerve Stimulation</w:t>
      </w:r>
      <w:r>
        <w:rPr>
          <w:rFonts w:eastAsia="Calibri"/>
        </w:rPr>
        <w:t xml:space="preserve">; </w:t>
      </w:r>
      <w:r>
        <w:t>PRF= Pulsed Radiofrequency ablation</w:t>
      </w:r>
    </w:p>
    <w:p w14:paraId="357AA98D" w14:textId="1E1A2DF2" w:rsidR="006C2E4A" w:rsidRDefault="006C2E4A" w:rsidP="005A1787">
      <w:pPr>
        <w:pStyle w:val="Tablenotes"/>
      </w:pPr>
      <w:r>
        <w:t xml:space="preserve">Source: </w:t>
      </w:r>
      <w:r w:rsidR="00CD07A7">
        <w:t>Page 13</w:t>
      </w:r>
      <w:r w:rsidR="007D60BE">
        <w:t xml:space="preserve"> of</w:t>
      </w:r>
      <w:r w:rsidR="00E44276">
        <w:t xml:space="preserve"> </w:t>
      </w:r>
      <w:hyperlink r:id="rId13" w:history="1">
        <w:r w:rsidR="00E44276" w:rsidRPr="007D60BE">
          <w:rPr>
            <w:rStyle w:val="Hyperlink"/>
            <w:rFonts w:ascii="Arial Narrow" w:hAnsi="Arial Narrow" w:cs="Arial"/>
          </w:rPr>
          <w:t xml:space="preserve">MSAC 1739 Application </w:t>
        </w:r>
        <w:r w:rsidR="007D60BE" w:rsidRPr="007D60BE">
          <w:rPr>
            <w:rStyle w:val="Hyperlink"/>
            <w:rFonts w:ascii="Arial Narrow" w:hAnsi="Arial Narrow" w:cs="Arial"/>
          </w:rPr>
          <w:t xml:space="preserve">PICO </w:t>
        </w:r>
        <w:r w:rsidR="00713AC0">
          <w:rPr>
            <w:rStyle w:val="Hyperlink"/>
            <w:rFonts w:ascii="Arial Narrow" w:hAnsi="Arial Narrow" w:cs="Arial"/>
          </w:rPr>
          <w:t>S</w:t>
        </w:r>
        <w:r w:rsidR="007D60BE" w:rsidRPr="007D60BE">
          <w:rPr>
            <w:rStyle w:val="Hyperlink"/>
            <w:rFonts w:ascii="Arial Narrow" w:hAnsi="Arial Narrow" w:cs="Arial"/>
          </w:rPr>
          <w:t>et</w:t>
        </w:r>
      </w:hyperlink>
      <w:r w:rsidR="00E44276">
        <w:t xml:space="preserve">, amended during </w:t>
      </w:r>
      <w:r w:rsidR="00713AC0">
        <w:t xml:space="preserve">the </w:t>
      </w:r>
      <w:r w:rsidR="00E44276">
        <w:t xml:space="preserve">PASC process to </w:t>
      </w:r>
      <w:r w:rsidR="00E44276" w:rsidRPr="00E44276">
        <w:t>include standard non-invasive management and treatment with low dose opioids and pharmacology following failure of PRF and IPNS</w:t>
      </w:r>
      <w:r w:rsidR="00E44276">
        <w:t>.</w:t>
      </w:r>
    </w:p>
    <w:p w14:paraId="4432E6EE" w14:textId="3DE9F309" w:rsidR="00A23528" w:rsidRDefault="00A23528" w:rsidP="00D53022">
      <w:pPr>
        <w:spacing w:before="240"/>
        <w:rPr>
          <w:rFonts w:cs="Calibri"/>
        </w:rPr>
      </w:pPr>
      <w:r>
        <w:t xml:space="preserve">The applicant justified their use of this clinical management algorithm around the premise that subcutaneous implantable peripheral nerve stimulation represents the main comparator to PENS and the algorithm they have provided displays the </w:t>
      </w:r>
      <w:r w:rsidR="00137240">
        <w:t xml:space="preserve">proposed </w:t>
      </w:r>
      <w:r>
        <w:t xml:space="preserve">advantages PENS holds over this other technology, including its less invasive application and its potential use to </w:t>
      </w:r>
      <w:r w:rsidR="00275EB4">
        <w:t>inform future</w:t>
      </w:r>
      <w:r>
        <w:t xml:space="preserve"> treatment choices. </w:t>
      </w:r>
      <w:r w:rsidR="00137240">
        <w:rPr>
          <w:rFonts w:cs="Calibri"/>
        </w:rPr>
        <w:t>The application</w:t>
      </w:r>
      <w:r w:rsidRPr="1629003B">
        <w:rPr>
          <w:rFonts w:cs="Calibri"/>
        </w:rPr>
        <w:t xml:space="preserve"> claim</w:t>
      </w:r>
      <w:r w:rsidR="00137240">
        <w:rPr>
          <w:rFonts w:cs="Calibri"/>
        </w:rPr>
        <w:t>s</w:t>
      </w:r>
      <w:r w:rsidRPr="1629003B">
        <w:rPr>
          <w:rFonts w:cs="Calibri"/>
        </w:rPr>
        <w:t xml:space="preserve"> that PENS can assess the suitability of a patient for subcutaneous </w:t>
      </w:r>
      <w:r>
        <w:t xml:space="preserve">implantable peripheral nerve simulation </w:t>
      </w:r>
      <w:r w:rsidRPr="1629003B">
        <w:rPr>
          <w:rFonts w:cs="Calibri"/>
        </w:rPr>
        <w:t>as both PENS and the implantable devices use the same form of electrical stimulation. The application claims that if a patient does not respond to PENS, they would be unlikely to respond to</w:t>
      </w:r>
      <w:r>
        <w:t xml:space="preserve"> subcutaneous </w:t>
      </w:r>
      <w:r w:rsidRPr="1629003B">
        <w:rPr>
          <w:rFonts w:cs="Calibri"/>
        </w:rPr>
        <w:t xml:space="preserve">implantable peripheral nerve stimulation. Hence PENS may be used to help inform future treatment selection. </w:t>
      </w:r>
    </w:p>
    <w:p w14:paraId="707276EB" w14:textId="2AA36FB6" w:rsidR="004B658C" w:rsidRPr="00FA14A8" w:rsidRDefault="20C1AD11" w:rsidP="005A1787">
      <w:r>
        <w:t xml:space="preserve">For the evaluation stage, a clinically significant </w:t>
      </w:r>
      <w:r w:rsidR="2145DF33">
        <w:t xml:space="preserve">level </w:t>
      </w:r>
      <w:r>
        <w:t xml:space="preserve">of pain relief will need to be defined to </w:t>
      </w:r>
      <w:r w:rsidR="7216234C">
        <w:t xml:space="preserve">allow </w:t>
      </w:r>
      <w:r>
        <w:t>compariso</w:t>
      </w:r>
      <w:r w:rsidR="7191F12A">
        <w:t xml:space="preserve">ns </w:t>
      </w:r>
      <w:r w:rsidR="6978E8E0">
        <w:t xml:space="preserve">to be made </w:t>
      </w:r>
      <w:r w:rsidR="7191F12A">
        <w:t xml:space="preserve">between </w:t>
      </w:r>
      <w:r w:rsidR="3EB037F4">
        <w:t xml:space="preserve">different </w:t>
      </w:r>
      <w:r w:rsidR="7191F12A">
        <w:t xml:space="preserve">evidence sources and to provide a point of reference against which the </w:t>
      </w:r>
      <w:r w:rsidR="337DD614">
        <w:t xml:space="preserve">clinical </w:t>
      </w:r>
      <w:r w:rsidR="369D6CC0">
        <w:t xml:space="preserve">claim of effectiveness </w:t>
      </w:r>
      <w:r w:rsidR="703D3D1C">
        <w:t xml:space="preserve">can be </w:t>
      </w:r>
      <w:r w:rsidR="00275EB4">
        <w:t>assessed</w:t>
      </w:r>
      <w:r w:rsidR="703D3D1C">
        <w:t>.</w:t>
      </w:r>
    </w:p>
    <w:p w14:paraId="6BADDFF8" w14:textId="25B18404" w:rsidR="00E211FE" w:rsidRPr="007211C1" w:rsidRDefault="6AC9F572" w:rsidP="2891237F">
      <w:r w:rsidRPr="007211C1">
        <w:t xml:space="preserve">There are some notable differences between </w:t>
      </w:r>
      <w:r w:rsidR="00E72F15" w:rsidRPr="007211C1">
        <w:t xml:space="preserve">the applicant proposed </w:t>
      </w:r>
      <w:r w:rsidR="000A05D0" w:rsidRPr="007211C1">
        <w:t xml:space="preserve">clinical algorithm </w:t>
      </w:r>
      <w:r w:rsidR="009A2727" w:rsidRPr="007211C1">
        <w:t>(</w:t>
      </w:r>
      <w:r w:rsidR="009A2727" w:rsidRPr="007211C1">
        <w:fldChar w:fldCharType="begin"/>
      </w:r>
      <w:r w:rsidR="009A2727" w:rsidRPr="007211C1">
        <w:instrText xml:space="preserve"> REF _Ref134778695 \h </w:instrText>
      </w:r>
      <w:r w:rsidR="008F23C3">
        <w:instrText xml:space="preserve"> \* MERGEFORMAT </w:instrText>
      </w:r>
      <w:r w:rsidR="009A2727" w:rsidRPr="007211C1">
        <w:fldChar w:fldCharType="separate"/>
      </w:r>
      <w:r w:rsidR="00B804ED">
        <w:t xml:space="preserve">Figure </w:t>
      </w:r>
      <w:r w:rsidR="00B804ED">
        <w:rPr>
          <w:noProof/>
        </w:rPr>
        <w:t>2</w:t>
      </w:r>
      <w:r w:rsidR="009A2727" w:rsidRPr="007211C1">
        <w:fldChar w:fldCharType="end"/>
      </w:r>
      <w:r w:rsidR="009A2727" w:rsidRPr="007211C1">
        <w:t xml:space="preserve">) </w:t>
      </w:r>
      <w:r w:rsidR="000A05D0" w:rsidRPr="007211C1">
        <w:t>and the Bates et al (2019) clinical management algorithm</w:t>
      </w:r>
      <w:r w:rsidR="007C028C" w:rsidRPr="007211C1">
        <w:t xml:space="preserve"> </w:t>
      </w:r>
      <w:r w:rsidR="009A2727" w:rsidRPr="007211C1">
        <w:t>(</w:t>
      </w:r>
      <w:r w:rsidR="003C2ADB">
        <w:t>Figure 1</w:t>
      </w:r>
      <w:r w:rsidR="009A2727" w:rsidRPr="007211C1">
        <w:t>)</w:t>
      </w:r>
      <w:r w:rsidR="000A05D0" w:rsidRPr="007211C1">
        <w:t>. T</w:t>
      </w:r>
      <w:r w:rsidR="425BFE9A" w:rsidRPr="007211C1">
        <w:t xml:space="preserve">he algorithm </w:t>
      </w:r>
      <w:r w:rsidR="6F8DE8EC" w:rsidRPr="007211C1">
        <w:t xml:space="preserve">by Bates et al. </w:t>
      </w:r>
      <w:r w:rsidR="7B85FB33" w:rsidRPr="007211C1">
        <w:t>(2019)</w:t>
      </w:r>
      <w:r w:rsidR="3A9352E4" w:rsidRPr="007211C1">
        <w:t xml:space="preserve">, </w:t>
      </w:r>
      <w:r w:rsidR="6F8DE8EC" w:rsidRPr="007211C1">
        <w:t>states that neuro</w:t>
      </w:r>
      <w:r w:rsidR="1598887E" w:rsidRPr="007211C1">
        <w:t>modulation</w:t>
      </w:r>
      <w:r w:rsidR="6F8DE8EC" w:rsidRPr="007211C1">
        <w:t xml:space="preserve"> should </w:t>
      </w:r>
      <w:r w:rsidR="05996970" w:rsidRPr="007211C1">
        <w:t xml:space="preserve">only </w:t>
      </w:r>
      <w:r w:rsidR="6F8DE8EC" w:rsidRPr="007211C1">
        <w:t xml:space="preserve">begin </w:t>
      </w:r>
      <w:r w:rsidR="42B5799D" w:rsidRPr="007211C1">
        <w:t xml:space="preserve">if pain has persisted for </w:t>
      </w:r>
      <w:r w:rsidR="7CF568D9" w:rsidRPr="007211C1">
        <w:t xml:space="preserve">6 months </w:t>
      </w:r>
      <w:r w:rsidR="6F8DE8EC" w:rsidRPr="007211C1">
        <w:t xml:space="preserve">after patients </w:t>
      </w:r>
      <w:r w:rsidR="6F99C0F7" w:rsidRPr="007211C1">
        <w:t>were initially</w:t>
      </w:r>
      <w:r w:rsidR="69759E3B" w:rsidRPr="007211C1">
        <w:t xml:space="preserve"> diagnosed with neuropathic pain</w:t>
      </w:r>
      <w:r w:rsidR="3327DE85" w:rsidRPr="007211C1">
        <w:t>.</w:t>
      </w:r>
      <w:r w:rsidR="78960DDD" w:rsidRPr="007211C1">
        <w:t xml:space="preserve"> In contrast,</w:t>
      </w:r>
      <w:r w:rsidR="00D53022">
        <w:t xml:space="preserve"> Figure 2</w:t>
      </w:r>
      <w:r w:rsidR="78960DDD" w:rsidRPr="007211C1">
        <w:t xml:space="preserve"> would commence after the patient has had pain that persisted for a minimum of 3 months.</w:t>
      </w:r>
      <w:r w:rsidR="2942AE8C" w:rsidRPr="007211C1">
        <w:t xml:space="preserve"> </w:t>
      </w:r>
    </w:p>
    <w:p w14:paraId="071EF468" w14:textId="7FD33BE2" w:rsidR="00E02210" w:rsidRPr="007211C1" w:rsidRDefault="00D53022" w:rsidP="6D581D04">
      <w:r>
        <w:lastRenderedPageBreak/>
        <w:t xml:space="preserve">Figure 2, </w:t>
      </w:r>
      <w:r w:rsidR="26CD3884" w:rsidRPr="007211C1">
        <w:t xml:space="preserve">as </w:t>
      </w:r>
      <w:r w:rsidR="5113E2AB" w:rsidRPr="007211C1">
        <w:t>p</w:t>
      </w:r>
      <w:r w:rsidR="00515735" w:rsidRPr="007211C1">
        <w:t>roposed by the applicant</w:t>
      </w:r>
      <w:r>
        <w:t>,</w:t>
      </w:r>
      <w:r w:rsidR="2942AE8C" w:rsidRPr="007211C1">
        <w:t xml:space="preserve"> places pulsed radiofrequency after </w:t>
      </w:r>
      <w:r w:rsidR="7E5503C5" w:rsidRPr="007211C1">
        <w:t xml:space="preserve">neuromodulation, </w:t>
      </w:r>
      <w:r w:rsidR="44AC84D1" w:rsidRPr="007211C1">
        <w:t xml:space="preserve">whereas </w:t>
      </w:r>
      <w:r w:rsidR="6FB5B873" w:rsidRPr="007211C1">
        <w:t xml:space="preserve">radiofrequency therapies </w:t>
      </w:r>
      <w:r w:rsidR="7E5503C5" w:rsidRPr="007211C1">
        <w:t>preced</w:t>
      </w:r>
      <w:r w:rsidR="3047F210" w:rsidRPr="007211C1">
        <w:t>e</w:t>
      </w:r>
      <w:r w:rsidR="4F082B0C" w:rsidRPr="007211C1">
        <w:t xml:space="preserve"> neuromodulation</w:t>
      </w:r>
      <w:r w:rsidR="7E5503C5" w:rsidRPr="007211C1">
        <w:t xml:space="preserve"> in the </w:t>
      </w:r>
      <w:r w:rsidR="00515735" w:rsidRPr="007211C1">
        <w:t>Bates et al (2019)</w:t>
      </w:r>
      <w:r w:rsidR="7E5503C5" w:rsidRPr="007211C1">
        <w:t xml:space="preserve"> algorithm</w:t>
      </w:r>
      <w:r w:rsidR="00E211FE" w:rsidRPr="007211C1">
        <w:t>. This leads to a divergence of opinion regarding where PENS should sit in the treatment algorithm</w:t>
      </w:r>
      <w:r w:rsidR="00E02210" w:rsidRPr="007211C1">
        <w:t xml:space="preserve"> with two options described:</w:t>
      </w:r>
    </w:p>
    <w:p w14:paraId="739671E5" w14:textId="5C72C0BC" w:rsidR="205CA148" w:rsidRPr="007211C1" w:rsidRDefault="47933F4C" w:rsidP="2891237F">
      <w:pPr>
        <w:pStyle w:val="ListParagraph"/>
        <w:numPr>
          <w:ilvl w:val="0"/>
          <w:numId w:val="17"/>
        </w:numPr>
      </w:pPr>
      <w:r w:rsidRPr="007211C1">
        <w:t xml:space="preserve">Based on the first algorithm adapted from Bates et al. (2019) PENS would commence </w:t>
      </w:r>
      <w:r w:rsidR="43989BB7" w:rsidRPr="007211C1">
        <w:t>at</w:t>
      </w:r>
      <w:r w:rsidRPr="007211C1">
        <w:t xml:space="preserve"> the </w:t>
      </w:r>
      <w:r w:rsidR="6062E78C" w:rsidRPr="007211C1">
        <w:t xml:space="preserve">beginning of the neuromodulation stage of treatment </w:t>
      </w:r>
      <w:r w:rsidR="6B1F7891" w:rsidRPr="007211C1">
        <w:t xml:space="preserve">before </w:t>
      </w:r>
      <w:r w:rsidR="00982364" w:rsidRPr="007211C1">
        <w:t xml:space="preserve">consideration of </w:t>
      </w:r>
      <w:r w:rsidR="6B1F7891" w:rsidRPr="007211C1">
        <w:t xml:space="preserve">more invasive neuromodulation </w:t>
      </w:r>
      <w:r w:rsidR="2A7E6F75" w:rsidRPr="007211C1">
        <w:t>(</w:t>
      </w:r>
      <w:r w:rsidR="007770F0" w:rsidRPr="007211C1">
        <w:t xml:space="preserve">subcutaneous </w:t>
      </w:r>
      <w:r w:rsidR="004E6298" w:rsidRPr="007211C1">
        <w:t>implantable peripheral nerve stimulation</w:t>
      </w:r>
      <w:r w:rsidR="2A7E6F75" w:rsidRPr="007211C1">
        <w:t>)</w:t>
      </w:r>
      <w:r w:rsidR="00982364" w:rsidRPr="007211C1">
        <w:t>.</w:t>
      </w:r>
      <w:r w:rsidR="14CBA5F9" w:rsidRPr="007211C1">
        <w:t xml:space="preserve"> </w:t>
      </w:r>
      <w:r w:rsidR="00982364" w:rsidRPr="007211C1">
        <w:t xml:space="preserve">An implication may be </w:t>
      </w:r>
      <w:r w:rsidR="14CBA5F9" w:rsidRPr="007211C1">
        <w:t xml:space="preserve">that </w:t>
      </w:r>
      <w:r w:rsidR="51260455" w:rsidRPr="007211C1">
        <w:t xml:space="preserve">radiofrequency therapies would have been trialled in the previous line of treatment and would not be </w:t>
      </w:r>
      <w:r w:rsidR="0D91B5AE" w:rsidRPr="007211C1">
        <w:t>a direct comparator with PENS.</w:t>
      </w:r>
    </w:p>
    <w:p w14:paraId="2C6895CB" w14:textId="3958C2D7" w:rsidR="387194D0" w:rsidRPr="007211C1" w:rsidRDefault="6B1F7891" w:rsidP="2891237F">
      <w:pPr>
        <w:pStyle w:val="ListParagraph"/>
        <w:numPr>
          <w:ilvl w:val="0"/>
          <w:numId w:val="17"/>
        </w:numPr>
      </w:pPr>
      <w:r w:rsidRPr="007211C1">
        <w:t>Alternatively, the applicant’s algorithm suggests that PENS should be considered following specialist referral</w:t>
      </w:r>
      <w:r w:rsidR="0B213E9E" w:rsidRPr="007211C1">
        <w:t xml:space="preserve">, serving as a direct comparator with radiofrequency therapies as well </w:t>
      </w:r>
      <w:r w:rsidR="545232FA" w:rsidRPr="007211C1">
        <w:t xml:space="preserve">as </w:t>
      </w:r>
      <w:r w:rsidR="004E6298" w:rsidRPr="007211C1">
        <w:t xml:space="preserve">implantable </w:t>
      </w:r>
      <w:r w:rsidR="00287643" w:rsidRPr="007211C1">
        <w:t xml:space="preserve">peripheral </w:t>
      </w:r>
      <w:r w:rsidR="004E6298" w:rsidRPr="007211C1">
        <w:t>nerve stimulation</w:t>
      </w:r>
      <w:r w:rsidR="0B213E9E" w:rsidRPr="007211C1">
        <w:t>.</w:t>
      </w:r>
    </w:p>
    <w:p w14:paraId="64D58658" w14:textId="12F3AC8D" w:rsidR="00A03E3E" w:rsidRPr="007211C1" w:rsidRDefault="00A03E3E" w:rsidP="2891237F">
      <w:r w:rsidRPr="007211C1">
        <w:t xml:space="preserve">Standard non-invasive pain care continues across both algorithms so the use of PENS would be an adjunct and an </w:t>
      </w:r>
      <w:r w:rsidR="6141C30E" w:rsidRPr="007211C1">
        <w:t>alternative</w:t>
      </w:r>
      <w:r w:rsidRPr="007211C1">
        <w:t xml:space="preserve"> under both options above. </w:t>
      </w:r>
    </w:p>
    <w:p w14:paraId="34CDE756" w14:textId="0835FFBE" w:rsidR="08933292" w:rsidRPr="007211C1" w:rsidRDefault="10CD7D60" w:rsidP="6D581D04">
      <w:r w:rsidRPr="007211C1">
        <w:t xml:space="preserve">The </w:t>
      </w:r>
      <w:r w:rsidR="13C70B04" w:rsidRPr="007211C1">
        <w:t>Bates et al. (2019)</w:t>
      </w:r>
      <w:r w:rsidRPr="007211C1">
        <w:t xml:space="preserve"> </w:t>
      </w:r>
      <w:r w:rsidR="3D7D2A61" w:rsidRPr="007211C1">
        <w:t xml:space="preserve">algorithm </w:t>
      </w:r>
      <w:r w:rsidR="535C79D2" w:rsidRPr="007211C1">
        <w:t xml:space="preserve">is not as comprehensive </w:t>
      </w:r>
      <w:r w:rsidRPr="007211C1">
        <w:t xml:space="preserve">as that </w:t>
      </w:r>
      <w:r w:rsidR="37DD5694" w:rsidRPr="007211C1">
        <w:t xml:space="preserve">suggested by </w:t>
      </w:r>
      <w:r w:rsidR="13C70B04" w:rsidRPr="007211C1">
        <w:t>the applicant</w:t>
      </w:r>
      <w:r w:rsidR="535C79D2" w:rsidRPr="007211C1">
        <w:t xml:space="preserve"> in outlining alternative lines of treatment that may either precede or follow neuromodulation</w:t>
      </w:r>
      <w:r w:rsidR="3947536A" w:rsidRPr="007211C1">
        <w:t>.</w:t>
      </w:r>
    </w:p>
    <w:p w14:paraId="48BA86F5" w14:textId="77777777" w:rsidR="00E72F15" w:rsidRPr="00D5723E" w:rsidRDefault="00E72F15" w:rsidP="00E72F15">
      <w:pPr>
        <w:rPr>
          <w:rFonts w:cs="Calibri"/>
          <w:i/>
          <w:iCs/>
        </w:rPr>
      </w:pPr>
      <w:r w:rsidRPr="00D864E0">
        <w:rPr>
          <w:i/>
          <w:iCs/>
        </w:rPr>
        <w:t>PASC discussed the amended version of the proposed clinical algorithm including PENS. PASC noted the current treatment path is for patients to undergo PRF and that the proposed inclusion of PENS would provide patients an alternative treatment option to PRF. Further that if PENS is unsuccessful, patients could then try PRF or vice versa. As noted earlier, PASC concluded that PRF is an appropriate comparator to PENS.</w:t>
      </w:r>
    </w:p>
    <w:p w14:paraId="36D8309C" w14:textId="3152D0CD" w:rsidR="00E72F15" w:rsidRDefault="00E72F15" w:rsidP="00E72F15">
      <w:pPr>
        <w:rPr>
          <w:i/>
          <w:iCs/>
        </w:rPr>
      </w:pPr>
      <w:r w:rsidRPr="00D864E0">
        <w:rPr>
          <w:i/>
          <w:iCs/>
        </w:rPr>
        <w:t>PASC queried the applicant’s claim that PENS can be used instead of trialling an implantable peripheral nerve stimulating device. A clinical expert representing the applicant confirmed that PENS is used as a screening tool for referring patients to surgeons who implant the implantable peripheral nerve stimulating device and that the availability of PENS reduces the number of referrals. Evidence that PENS can be used in exchange for the trial procedure for an implantable peripheral nerve stimulating device altogether will need to be presented and evaluated during the assessment phase.</w:t>
      </w:r>
    </w:p>
    <w:p w14:paraId="2BDE22B9" w14:textId="61744968" w:rsidR="00D73332" w:rsidRDefault="00D73332" w:rsidP="00A26878">
      <w:pPr>
        <w:pStyle w:val="Heading2"/>
        <w:rPr>
          <w:b/>
          <w:bCs/>
          <w:i/>
        </w:rPr>
      </w:pPr>
      <w:r w:rsidRPr="00490FBB">
        <w:t>Proposed economic evaluation</w:t>
      </w:r>
    </w:p>
    <w:p w14:paraId="2E1039B5" w14:textId="526EF771" w:rsidR="00A67BFC" w:rsidRDefault="5B25732E" w:rsidP="00D66B7B">
      <w:r w:rsidRPr="068C32BE">
        <w:t xml:space="preserve">There are likely to be two relevant comparators- standard non-invasive care and </w:t>
      </w:r>
      <w:r w:rsidR="003E055B">
        <w:t>subcutaneous</w:t>
      </w:r>
      <w:r w:rsidR="00EC4D46">
        <w:t xml:space="preserve"> </w:t>
      </w:r>
      <w:r w:rsidR="00D809FB">
        <w:t>im</w:t>
      </w:r>
      <w:r w:rsidRPr="068C32BE">
        <w:t xml:space="preserve">plantable </w:t>
      </w:r>
      <w:r w:rsidR="00791406">
        <w:t xml:space="preserve">peripheral </w:t>
      </w:r>
      <w:r w:rsidR="35F3DFE2" w:rsidRPr="068C32BE">
        <w:t>nerve stimulat</w:t>
      </w:r>
      <w:r w:rsidR="00791406">
        <w:t>ion</w:t>
      </w:r>
      <w:r w:rsidR="1918F353" w:rsidRPr="068C32BE">
        <w:t>, with a possible third comparator of pulsed radiofrequenc</w:t>
      </w:r>
      <w:r w:rsidR="4AF4883A" w:rsidRPr="068C32BE">
        <w:t>y</w:t>
      </w:r>
      <w:r w:rsidR="1918F353" w:rsidRPr="068C32BE">
        <w:t>/ablation</w:t>
      </w:r>
      <w:r w:rsidRPr="068C32BE">
        <w:t xml:space="preserve">. </w:t>
      </w:r>
      <w:r w:rsidR="1A6703E5" w:rsidRPr="068C32BE">
        <w:t xml:space="preserve">The clinical claims are summarised by </w:t>
      </w:r>
      <w:r w:rsidR="1A6703E5" w:rsidRPr="00CF0109">
        <w:rPr>
          <w:color w:val="000000" w:themeColor="text1"/>
        </w:rPr>
        <w:t xml:space="preserve">comparator </w:t>
      </w:r>
      <w:r w:rsidR="1918F353" w:rsidRPr="00CF0109">
        <w:rPr>
          <w:color w:val="000000" w:themeColor="text1"/>
        </w:rPr>
        <w:t xml:space="preserve">in </w:t>
      </w:r>
      <w:r w:rsidR="003C2ADB">
        <w:rPr>
          <w:color w:val="000000" w:themeColor="text1"/>
        </w:rPr>
        <w:t xml:space="preserve">Table 5 </w:t>
      </w:r>
      <w:r w:rsidR="7F2976C3" w:rsidRPr="00CF0109">
        <w:rPr>
          <w:color w:val="000000" w:themeColor="text1"/>
        </w:rPr>
        <w:t xml:space="preserve">along </w:t>
      </w:r>
      <w:r w:rsidR="7F2976C3" w:rsidRPr="068C32BE">
        <w:t>with recommended economic evaluation</w:t>
      </w:r>
      <w:r w:rsidR="18053040" w:rsidRPr="068C32BE">
        <w:t xml:space="preserve"> method.</w:t>
      </w:r>
    </w:p>
    <w:p w14:paraId="07CBDABD" w14:textId="61A643F2" w:rsidR="00A67BFC" w:rsidRDefault="00C72FBF" w:rsidP="005A0B6B">
      <w:pPr>
        <w:pStyle w:val="Caption"/>
      </w:pPr>
      <w:bookmarkStart w:id="9" w:name="_Ref129265333"/>
      <w:bookmarkStart w:id="10" w:name="_Ref134114218"/>
      <w:r>
        <w:t xml:space="preserve">Table </w:t>
      </w:r>
      <w:bookmarkEnd w:id="9"/>
      <w:bookmarkEnd w:id="10"/>
      <w:r w:rsidR="003E248E">
        <w:t>5</w:t>
      </w:r>
      <w:r w:rsidR="005A0B6B">
        <w:t xml:space="preserve"> </w:t>
      </w:r>
      <w:r w:rsidR="003E248E">
        <w:tab/>
      </w:r>
      <w:r w:rsidR="18053040">
        <w:t>Summary of clinical claims for PENS by comparator and recommended economic evaluation method.</w:t>
      </w:r>
    </w:p>
    <w:tbl>
      <w:tblPr>
        <w:tblStyle w:val="TableGrid"/>
        <w:tblW w:w="5000" w:type="pct"/>
        <w:tblInd w:w="0" w:type="dxa"/>
        <w:tblLook w:val="04A0" w:firstRow="1" w:lastRow="0" w:firstColumn="1" w:lastColumn="0" w:noHBand="0" w:noVBand="1"/>
      </w:tblPr>
      <w:tblGrid>
        <w:gridCol w:w="2322"/>
        <w:gridCol w:w="2301"/>
        <w:gridCol w:w="2232"/>
        <w:gridCol w:w="2716"/>
      </w:tblGrid>
      <w:tr w:rsidR="00A67BFC" w14:paraId="646DAD3A" w14:textId="77777777" w:rsidTr="00FA14A8">
        <w:trPr>
          <w:trHeight w:val="300"/>
        </w:trPr>
        <w:tc>
          <w:tcPr>
            <w:tcW w:w="1213" w:type="pct"/>
          </w:tcPr>
          <w:p w14:paraId="6F29113D" w14:textId="4304B217" w:rsidR="00A67BFC" w:rsidRPr="00A02DC5" w:rsidRDefault="18053040" w:rsidP="00527052">
            <w:pPr>
              <w:pStyle w:val="Tabletext"/>
              <w:rPr>
                <w:b/>
                <w:bCs/>
              </w:rPr>
            </w:pPr>
            <w:r w:rsidRPr="00A02DC5">
              <w:rPr>
                <w:b/>
                <w:bCs/>
              </w:rPr>
              <w:t>Comparator</w:t>
            </w:r>
          </w:p>
        </w:tc>
        <w:tc>
          <w:tcPr>
            <w:tcW w:w="1202" w:type="pct"/>
          </w:tcPr>
          <w:p w14:paraId="158754AA" w14:textId="64606FB3" w:rsidR="00A67BFC" w:rsidRPr="00A02DC5" w:rsidRDefault="18053040" w:rsidP="00527052">
            <w:pPr>
              <w:pStyle w:val="Tabletext"/>
              <w:rPr>
                <w:b/>
                <w:bCs/>
              </w:rPr>
            </w:pPr>
            <w:r w:rsidRPr="00A02DC5">
              <w:rPr>
                <w:b/>
                <w:bCs/>
              </w:rPr>
              <w:t>Clinical effectiveness claim</w:t>
            </w:r>
          </w:p>
        </w:tc>
        <w:tc>
          <w:tcPr>
            <w:tcW w:w="1166" w:type="pct"/>
          </w:tcPr>
          <w:p w14:paraId="03C7A8D8" w14:textId="21C967BB" w:rsidR="00A67BFC" w:rsidRPr="00A02DC5" w:rsidRDefault="18053040" w:rsidP="00527052">
            <w:pPr>
              <w:pStyle w:val="Tabletext"/>
              <w:rPr>
                <w:b/>
                <w:bCs/>
              </w:rPr>
            </w:pPr>
            <w:r w:rsidRPr="00A02DC5">
              <w:rPr>
                <w:b/>
                <w:bCs/>
              </w:rPr>
              <w:t>Safety claim</w:t>
            </w:r>
          </w:p>
        </w:tc>
        <w:tc>
          <w:tcPr>
            <w:tcW w:w="1420" w:type="pct"/>
          </w:tcPr>
          <w:p w14:paraId="1DA52AF5" w14:textId="246DDDAE" w:rsidR="00A67BFC" w:rsidRPr="00A02DC5" w:rsidRDefault="18053040" w:rsidP="00527052">
            <w:pPr>
              <w:pStyle w:val="Tabletext"/>
              <w:rPr>
                <w:b/>
                <w:bCs/>
              </w:rPr>
            </w:pPr>
            <w:r w:rsidRPr="00A02DC5">
              <w:rPr>
                <w:b/>
                <w:bCs/>
              </w:rPr>
              <w:t>Recommended economic eva</w:t>
            </w:r>
            <w:r w:rsidR="00A02DC5">
              <w:rPr>
                <w:b/>
                <w:bCs/>
              </w:rPr>
              <w:t>l</w:t>
            </w:r>
            <w:r w:rsidRPr="00A02DC5">
              <w:rPr>
                <w:b/>
                <w:bCs/>
              </w:rPr>
              <w:t>uation</w:t>
            </w:r>
          </w:p>
        </w:tc>
      </w:tr>
      <w:tr w:rsidR="00A67BFC" w14:paraId="2C2793F1" w14:textId="77777777" w:rsidTr="00FA14A8">
        <w:trPr>
          <w:trHeight w:val="300"/>
        </w:trPr>
        <w:tc>
          <w:tcPr>
            <w:tcW w:w="1213" w:type="pct"/>
          </w:tcPr>
          <w:p w14:paraId="5E9B7B10" w14:textId="2EB0617D" w:rsidR="00A67BFC" w:rsidRDefault="18053040" w:rsidP="00527052">
            <w:pPr>
              <w:pStyle w:val="Tabletext"/>
            </w:pPr>
            <w:r>
              <w:t>Standard non-invasive care</w:t>
            </w:r>
          </w:p>
        </w:tc>
        <w:tc>
          <w:tcPr>
            <w:tcW w:w="1202" w:type="pct"/>
          </w:tcPr>
          <w:p w14:paraId="0DCCEB5C" w14:textId="6B0393C9" w:rsidR="00A67BFC" w:rsidRDefault="7C5732B7" w:rsidP="00527052">
            <w:pPr>
              <w:pStyle w:val="Tabletext"/>
            </w:pPr>
            <w:r>
              <w:t>PENS s</w:t>
            </w:r>
            <w:r w:rsidR="18053040">
              <w:t>uperior</w:t>
            </w:r>
          </w:p>
        </w:tc>
        <w:tc>
          <w:tcPr>
            <w:tcW w:w="1166" w:type="pct"/>
          </w:tcPr>
          <w:p w14:paraId="096DD409" w14:textId="22B70272" w:rsidR="00A67BFC" w:rsidRDefault="7C5732B7" w:rsidP="00527052">
            <w:pPr>
              <w:pStyle w:val="Tabletext"/>
            </w:pPr>
            <w:r>
              <w:t>PENS inferior</w:t>
            </w:r>
          </w:p>
        </w:tc>
        <w:tc>
          <w:tcPr>
            <w:tcW w:w="1420" w:type="pct"/>
          </w:tcPr>
          <w:p w14:paraId="556C05CE" w14:textId="212910B3" w:rsidR="00A67BFC" w:rsidRDefault="7C5732B7" w:rsidP="00527052">
            <w:pPr>
              <w:pStyle w:val="Tabletext"/>
            </w:pPr>
            <w:r>
              <w:t>CUA</w:t>
            </w:r>
          </w:p>
        </w:tc>
      </w:tr>
      <w:tr w:rsidR="00A67BFC" w14:paraId="0661445A" w14:textId="77777777" w:rsidTr="00FA14A8">
        <w:trPr>
          <w:trHeight w:val="300"/>
        </w:trPr>
        <w:tc>
          <w:tcPr>
            <w:tcW w:w="1213" w:type="pct"/>
          </w:tcPr>
          <w:p w14:paraId="056351CE" w14:textId="49428B41" w:rsidR="00A67BFC" w:rsidRDefault="00D809FB" w:rsidP="651BF5F7">
            <w:pPr>
              <w:pStyle w:val="Tabletext"/>
            </w:pPr>
            <w:r>
              <w:t>Subcutaneous i</w:t>
            </w:r>
            <w:r w:rsidR="00940900">
              <w:t>mplantable peripheral nerve stimulation</w:t>
            </w:r>
          </w:p>
        </w:tc>
        <w:tc>
          <w:tcPr>
            <w:tcW w:w="1202" w:type="pct"/>
          </w:tcPr>
          <w:p w14:paraId="4E4609BA" w14:textId="2718DCA1" w:rsidR="00A67BFC" w:rsidRDefault="7C5732B7" w:rsidP="00527052">
            <w:pPr>
              <w:pStyle w:val="Tabletext"/>
            </w:pPr>
            <w:r>
              <w:t>PENS non-inferior</w:t>
            </w:r>
          </w:p>
        </w:tc>
        <w:tc>
          <w:tcPr>
            <w:tcW w:w="1166" w:type="pct"/>
          </w:tcPr>
          <w:p w14:paraId="6FEFFFC1" w14:textId="706E8C20" w:rsidR="00A67BFC" w:rsidRDefault="7C5732B7" w:rsidP="00527052">
            <w:pPr>
              <w:pStyle w:val="Tabletext"/>
            </w:pPr>
            <w:r>
              <w:t>PENS superior</w:t>
            </w:r>
          </w:p>
        </w:tc>
        <w:tc>
          <w:tcPr>
            <w:tcW w:w="1420" w:type="pct"/>
          </w:tcPr>
          <w:p w14:paraId="6533917D" w14:textId="494AC219" w:rsidR="00A67BFC" w:rsidRDefault="3C065721" w:rsidP="00527052">
            <w:pPr>
              <w:pStyle w:val="Tabletext"/>
            </w:pPr>
            <w:r>
              <w:t>CEA/</w:t>
            </w:r>
            <w:r w:rsidR="128F7DDA">
              <w:t>CUA</w:t>
            </w:r>
          </w:p>
        </w:tc>
      </w:tr>
      <w:tr w:rsidR="00C076C7" w14:paraId="3BA37697" w14:textId="77777777" w:rsidTr="00B8417E">
        <w:trPr>
          <w:trHeight w:val="300"/>
        </w:trPr>
        <w:tc>
          <w:tcPr>
            <w:tcW w:w="1213" w:type="pct"/>
          </w:tcPr>
          <w:p w14:paraId="50380990" w14:textId="4880E6A6" w:rsidR="00B14557" w:rsidDel="00A9309A" w:rsidRDefault="00B14557" w:rsidP="651BF5F7">
            <w:pPr>
              <w:pStyle w:val="Tabletext"/>
            </w:pPr>
            <w:r>
              <w:t>R</w:t>
            </w:r>
            <w:r w:rsidRPr="00B14557">
              <w:t>adiofrequency ablation</w:t>
            </w:r>
            <w:r>
              <w:t xml:space="preserve"> </w:t>
            </w:r>
            <w:r w:rsidRPr="00B14557">
              <w:t>/</w:t>
            </w:r>
            <w:r>
              <w:t xml:space="preserve"> </w:t>
            </w:r>
            <w:r w:rsidRPr="00B14557">
              <w:t>pulsed radiofrequency</w:t>
            </w:r>
          </w:p>
        </w:tc>
        <w:tc>
          <w:tcPr>
            <w:tcW w:w="1202" w:type="pct"/>
          </w:tcPr>
          <w:p w14:paraId="10D3AE6F" w14:textId="28815743" w:rsidR="00B14557" w:rsidRPr="00FA14A8" w:rsidRDefault="009B2644" w:rsidP="00527052">
            <w:pPr>
              <w:pStyle w:val="Tabletext"/>
              <w:rPr>
                <w:vertAlign w:val="superscript"/>
              </w:rPr>
            </w:pPr>
            <w:r>
              <w:t>PENS superior</w:t>
            </w:r>
            <w:r w:rsidR="00AC0D3C">
              <w:t xml:space="preserve"> </w:t>
            </w:r>
          </w:p>
        </w:tc>
        <w:tc>
          <w:tcPr>
            <w:tcW w:w="1166" w:type="pct"/>
          </w:tcPr>
          <w:p w14:paraId="23D798FD" w14:textId="04FD80AE" w:rsidR="00B14557" w:rsidRDefault="00EA4769" w:rsidP="00527052">
            <w:pPr>
              <w:pStyle w:val="Tabletext"/>
            </w:pPr>
            <w:r>
              <w:t xml:space="preserve">Uncertain </w:t>
            </w:r>
          </w:p>
        </w:tc>
        <w:tc>
          <w:tcPr>
            <w:tcW w:w="1417" w:type="pct"/>
          </w:tcPr>
          <w:p w14:paraId="2114F263" w14:textId="05A098B1" w:rsidR="00B14557" w:rsidRDefault="009B2644" w:rsidP="00527052">
            <w:pPr>
              <w:pStyle w:val="Tabletext"/>
            </w:pPr>
            <w:r>
              <w:t>CEA/CUA</w:t>
            </w:r>
          </w:p>
        </w:tc>
      </w:tr>
    </w:tbl>
    <w:p w14:paraId="5FEEFD54" w14:textId="6A87148F" w:rsidR="00E71CD5" w:rsidRDefault="00035D3C" w:rsidP="00FA14A8">
      <w:pPr>
        <w:pStyle w:val="Tablenotes"/>
        <w:spacing w:after="0"/>
      </w:pPr>
      <w:r>
        <w:t>CEA=cost-effectiveness analysis</w:t>
      </w:r>
      <w:r w:rsidR="002948AA">
        <w:t xml:space="preserve">; </w:t>
      </w:r>
      <w:r>
        <w:t>CUA= cost utility analysis</w:t>
      </w:r>
      <w:r w:rsidR="002948AA">
        <w:t>;</w:t>
      </w:r>
      <w:r>
        <w:t xml:space="preserve"> </w:t>
      </w:r>
      <w:r w:rsidR="06C179C9">
        <w:t>PENS= percutaneous electrical nerve stimulation</w:t>
      </w:r>
    </w:p>
    <w:p w14:paraId="5993A115" w14:textId="786ED6D3" w:rsidR="003424FC" w:rsidRDefault="0BF105CB" w:rsidP="00D66B7B">
      <w:r w:rsidRPr="2891237F">
        <w:lastRenderedPageBreak/>
        <w:t xml:space="preserve">As all these chronic neuropathic pain interventions are intended to improve quality of life, the </w:t>
      </w:r>
      <w:r w:rsidR="003042EF">
        <w:t xml:space="preserve">MSAC </w:t>
      </w:r>
      <w:r w:rsidRPr="2891237F">
        <w:t xml:space="preserve">guidelines suggest that a </w:t>
      </w:r>
      <w:r w:rsidR="00B114CA">
        <w:t>cost-utility analysis (</w:t>
      </w:r>
      <w:r w:rsidRPr="2891237F">
        <w:t>CUA</w:t>
      </w:r>
      <w:r w:rsidR="00B114CA">
        <w:t>)</w:t>
      </w:r>
      <w:r w:rsidR="009B4FE4">
        <w:t xml:space="preserve">, </w:t>
      </w:r>
      <w:r w:rsidRPr="2891237F">
        <w:t xml:space="preserve">rather than a </w:t>
      </w:r>
      <w:r w:rsidR="00B114CA">
        <w:t>cost-effectiveness analysis (</w:t>
      </w:r>
      <w:r w:rsidRPr="2891237F">
        <w:t>CEA</w:t>
      </w:r>
      <w:r w:rsidR="00B114CA">
        <w:t>)</w:t>
      </w:r>
      <w:r w:rsidR="009B4FE4">
        <w:t>,</w:t>
      </w:r>
      <w:r w:rsidRPr="2891237F">
        <w:t xml:space="preserve"> would be the preferred method of economic evaluation.</w:t>
      </w:r>
    </w:p>
    <w:p w14:paraId="4C22A2FF" w14:textId="0CE63021" w:rsidR="0048308E" w:rsidRPr="00815581" w:rsidRDefault="003E248E" w:rsidP="00D66B7B">
      <w:r>
        <w:t xml:space="preserve">Table 6 </w:t>
      </w:r>
      <w:r w:rsidR="00D53022">
        <w:t>p</w:t>
      </w:r>
      <w:r w:rsidR="0048308E" w:rsidRPr="00815581">
        <w:t>rovides a guide for determining which type of economic evaluation is appropriate.</w:t>
      </w:r>
    </w:p>
    <w:p w14:paraId="6DAB2DBD" w14:textId="428993A0" w:rsidR="000939E0" w:rsidRPr="00490FBB" w:rsidRDefault="00BA6FC3" w:rsidP="005A0B6B">
      <w:pPr>
        <w:pStyle w:val="Caption"/>
      </w:pPr>
      <w:bookmarkStart w:id="11" w:name="_Ref129270715"/>
      <w:bookmarkStart w:id="12" w:name="_Ref134114179"/>
      <w:bookmarkStart w:id="13" w:name="_Toc423450289"/>
      <w:bookmarkStart w:id="14" w:name="_Ref134114173"/>
      <w:r>
        <w:t xml:space="preserve">Table </w:t>
      </w:r>
      <w:bookmarkEnd w:id="11"/>
      <w:bookmarkEnd w:id="12"/>
      <w:r w:rsidR="003E248E">
        <w:t>6</w:t>
      </w:r>
      <w:r w:rsidR="003243C1">
        <w:t xml:space="preserve"> </w:t>
      </w:r>
      <w:r w:rsidR="003E248E">
        <w:tab/>
      </w:r>
      <w:r w:rsidR="001A5D2F">
        <w:t>Classification of</w:t>
      </w:r>
      <w:r w:rsidR="000939E0" w:rsidRPr="00490FBB">
        <w:t xml:space="preserve"> comparative effectiveness and safety of the proposed intervention</w:t>
      </w:r>
      <w:r w:rsidR="001A5D2F">
        <w:t>,</w:t>
      </w:r>
      <w:r w:rsidR="000939E0" w:rsidRPr="00490FBB">
        <w:t xml:space="preserve"> compared with its main</w:t>
      </w:r>
      <w:r w:rsidR="00F01E96">
        <w:t xml:space="preserve"> </w:t>
      </w:r>
      <w:r w:rsidR="000939E0" w:rsidRPr="00490FBB">
        <w:t>comparator</w:t>
      </w:r>
      <w:r w:rsidR="001A5D2F">
        <w:t>,</w:t>
      </w:r>
      <w:r w:rsidR="000939E0" w:rsidRPr="00490FBB">
        <w:t xml:space="preserve"> and guide to the suitable type of economic evaluation</w:t>
      </w:r>
      <w:bookmarkEnd w:id="13"/>
      <w:bookmarkEnd w:id="14"/>
    </w:p>
    <w:tbl>
      <w:tblPr>
        <w:tblW w:w="4872"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2012"/>
        <w:gridCol w:w="1905"/>
        <w:gridCol w:w="2227"/>
        <w:gridCol w:w="1748"/>
        <w:gridCol w:w="1434"/>
      </w:tblGrid>
      <w:tr w:rsidR="00686EED" w:rsidRPr="00490FBB" w14:paraId="5238F44C" w14:textId="77777777" w:rsidTr="00FA14A8">
        <w:trPr>
          <w:cantSplit/>
          <w:tblHeader/>
        </w:trPr>
        <w:tc>
          <w:tcPr>
            <w:tcW w:w="2012" w:type="dxa"/>
            <w:vMerge w:val="restart"/>
          </w:tcPr>
          <w:p w14:paraId="5B06A6EA" w14:textId="730AFFCD" w:rsidR="00686EED" w:rsidRPr="00490FBB" w:rsidRDefault="00686EED" w:rsidP="00C40CC4">
            <w:pPr>
              <w:pStyle w:val="TableHeading"/>
            </w:pPr>
            <w:bookmarkStart w:id="15" w:name="Title_Table2" w:colFirst="0" w:colLast="0"/>
            <w:r w:rsidRPr="00490FBB">
              <w:t>Comparative safety</w:t>
            </w:r>
            <w:r w:rsidRPr="00490FBB">
              <w:rPr>
                <w:color w:val="FFFFFF" w:themeColor="background1"/>
              </w:rPr>
              <w:t>-</w:t>
            </w:r>
          </w:p>
        </w:tc>
        <w:tc>
          <w:tcPr>
            <w:tcW w:w="1905" w:type="dxa"/>
          </w:tcPr>
          <w:p w14:paraId="293E5792" w14:textId="77777777" w:rsidR="00686EED" w:rsidRPr="00490FBB" w:rsidRDefault="00686EED" w:rsidP="00C40CC4">
            <w:pPr>
              <w:pStyle w:val="TableHeading"/>
              <w:jc w:val="center"/>
            </w:pPr>
          </w:p>
        </w:tc>
        <w:tc>
          <w:tcPr>
            <w:tcW w:w="2227" w:type="dxa"/>
          </w:tcPr>
          <w:p w14:paraId="57B2397B" w14:textId="77777777" w:rsidR="00686EED" w:rsidRPr="00490FBB" w:rsidRDefault="00686EED" w:rsidP="00C40CC4">
            <w:pPr>
              <w:pStyle w:val="TableHeading"/>
              <w:ind w:left="-75" w:right="-127"/>
              <w:jc w:val="center"/>
            </w:pPr>
            <w:r w:rsidRPr="00490FBB">
              <w:t>Comparative effectiveness</w:t>
            </w:r>
          </w:p>
        </w:tc>
        <w:tc>
          <w:tcPr>
            <w:tcW w:w="1748" w:type="dxa"/>
          </w:tcPr>
          <w:p w14:paraId="6B53FB6C" w14:textId="77777777" w:rsidR="00686EED" w:rsidRPr="00490FBB" w:rsidRDefault="00686EED" w:rsidP="00C40CC4">
            <w:pPr>
              <w:pStyle w:val="TableHeading"/>
              <w:jc w:val="center"/>
            </w:pPr>
          </w:p>
        </w:tc>
        <w:tc>
          <w:tcPr>
            <w:tcW w:w="1434" w:type="dxa"/>
          </w:tcPr>
          <w:p w14:paraId="0FE152FA" w14:textId="77777777" w:rsidR="00686EED" w:rsidRPr="00490FBB" w:rsidRDefault="00686EED" w:rsidP="00C40CC4">
            <w:pPr>
              <w:pStyle w:val="TableHeading"/>
              <w:jc w:val="center"/>
            </w:pPr>
          </w:p>
        </w:tc>
      </w:tr>
      <w:bookmarkEnd w:id="15"/>
      <w:tr w:rsidR="00686EED" w:rsidRPr="00490FBB" w14:paraId="78A8F3F1" w14:textId="77777777" w:rsidTr="00FA14A8">
        <w:trPr>
          <w:cantSplit/>
          <w:tblHeader/>
        </w:trPr>
        <w:tc>
          <w:tcPr>
            <w:tcW w:w="2012" w:type="dxa"/>
            <w:vMerge/>
          </w:tcPr>
          <w:p w14:paraId="6E00D947" w14:textId="57BEC7DE" w:rsidR="00686EED" w:rsidRPr="00490FBB" w:rsidRDefault="00686EED" w:rsidP="00C40CC4">
            <w:pPr>
              <w:pStyle w:val="TableHeading"/>
            </w:pPr>
          </w:p>
        </w:tc>
        <w:tc>
          <w:tcPr>
            <w:tcW w:w="1905" w:type="dxa"/>
          </w:tcPr>
          <w:p w14:paraId="319C788C" w14:textId="77777777" w:rsidR="00686EED" w:rsidRPr="00490FBB" w:rsidRDefault="00686EED" w:rsidP="00C40CC4">
            <w:pPr>
              <w:pStyle w:val="TableHeading"/>
              <w:jc w:val="center"/>
            </w:pPr>
            <w:r w:rsidRPr="00490FBB">
              <w:t>Inferior</w:t>
            </w:r>
          </w:p>
        </w:tc>
        <w:tc>
          <w:tcPr>
            <w:tcW w:w="2227" w:type="dxa"/>
          </w:tcPr>
          <w:p w14:paraId="5AC96128" w14:textId="77777777" w:rsidR="00686EED" w:rsidRPr="00490FBB" w:rsidRDefault="00686EED" w:rsidP="00C40CC4">
            <w:pPr>
              <w:pStyle w:val="TableHeading"/>
              <w:jc w:val="center"/>
            </w:pPr>
            <w:r w:rsidRPr="00490FBB">
              <w:t>Uncertain</w:t>
            </w:r>
            <w:r w:rsidRPr="00490FBB">
              <w:rPr>
                <w:vertAlign w:val="superscript"/>
              </w:rPr>
              <w:t>a</w:t>
            </w:r>
          </w:p>
        </w:tc>
        <w:tc>
          <w:tcPr>
            <w:tcW w:w="1748" w:type="dxa"/>
          </w:tcPr>
          <w:p w14:paraId="7AA1349D" w14:textId="4BA1ADFE" w:rsidR="00686EED" w:rsidRPr="00490FBB" w:rsidRDefault="00686EED" w:rsidP="00C40CC4">
            <w:pPr>
              <w:pStyle w:val="TableHeading"/>
              <w:jc w:val="center"/>
            </w:pPr>
            <w:r w:rsidRPr="00490FBB">
              <w:t>Noninferior</w:t>
            </w:r>
            <w:r w:rsidRPr="00490FBB">
              <w:rPr>
                <w:vertAlign w:val="superscript"/>
              </w:rPr>
              <w:t>b</w:t>
            </w:r>
          </w:p>
        </w:tc>
        <w:tc>
          <w:tcPr>
            <w:tcW w:w="1434" w:type="dxa"/>
          </w:tcPr>
          <w:p w14:paraId="156C5942" w14:textId="77777777" w:rsidR="00686EED" w:rsidRPr="00490FBB" w:rsidRDefault="00686EED" w:rsidP="00C40CC4">
            <w:pPr>
              <w:pStyle w:val="TableHeading"/>
              <w:jc w:val="center"/>
            </w:pPr>
            <w:r w:rsidRPr="00490FBB">
              <w:t>Superior</w:t>
            </w:r>
          </w:p>
        </w:tc>
      </w:tr>
      <w:tr w:rsidR="000939E0" w:rsidRPr="00490FBB" w14:paraId="1E111DC3" w14:textId="77777777" w:rsidTr="00FA14A8">
        <w:tc>
          <w:tcPr>
            <w:tcW w:w="2012" w:type="dxa"/>
            <w:vAlign w:val="center"/>
          </w:tcPr>
          <w:p w14:paraId="04A362E2" w14:textId="77777777" w:rsidR="000939E0" w:rsidRPr="00490FBB" w:rsidRDefault="000939E0" w:rsidP="00C40CC4">
            <w:pPr>
              <w:pStyle w:val="Tabletext"/>
              <w:keepNext/>
            </w:pPr>
            <w:r w:rsidRPr="00490FBB">
              <w:t>Inferior</w:t>
            </w:r>
          </w:p>
        </w:tc>
        <w:tc>
          <w:tcPr>
            <w:tcW w:w="1905" w:type="dxa"/>
            <w:vAlign w:val="center"/>
          </w:tcPr>
          <w:p w14:paraId="0B15352C" w14:textId="77777777" w:rsidR="000939E0" w:rsidRPr="00490FBB" w:rsidRDefault="000939E0" w:rsidP="00C40CC4">
            <w:pPr>
              <w:pStyle w:val="Tabletext"/>
              <w:keepNext/>
            </w:pPr>
            <w:r w:rsidRPr="00490FBB">
              <w:t>Health forgone: need other supportive factors</w:t>
            </w:r>
          </w:p>
        </w:tc>
        <w:tc>
          <w:tcPr>
            <w:tcW w:w="2227" w:type="dxa"/>
            <w:vAlign w:val="center"/>
          </w:tcPr>
          <w:p w14:paraId="47A58DE2" w14:textId="77777777" w:rsidR="000939E0" w:rsidRPr="00490FBB" w:rsidRDefault="000939E0" w:rsidP="00C40CC4">
            <w:pPr>
              <w:pStyle w:val="Tabletext"/>
              <w:keepNext/>
            </w:pPr>
            <w:r w:rsidRPr="00490FBB">
              <w:t>Health forgone possible: need other supportive factors</w:t>
            </w:r>
          </w:p>
        </w:tc>
        <w:tc>
          <w:tcPr>
            <w:tcW w:w="1748" w:type="dxa"/>
            <w:vAlign w:val="center"/>
          </w:tcPr>
          <w:p w14:paraId="3540FA15" w14:textId="77777777" w:rsidR="000939E0" w:rsidRPr="00490FBB" w:rsidRDefault="000939E0" w:rsidP="00C40CC4">
            <w:pPr>
              <w:pStyle w:val="Tabletext"/>
              <w:keepNext/>
            </w:pPr>
            <w:r w:rsidRPr="00490FBB">
              <w:t>Health forgone: need other supportive factors</w:t>
            </w:r>
          </w:p>
        </w:tc>
        <w:tc>
          <w:tcPr>
            <w:tcW w:w="1434" w:type="dxa"/>
            <w:shd w:val="clear" w:color="auto" w:fill="FFFF00"/>
            <w:vAlign w:val="center"/>
          </w:tcPr>
          <w:p w14:paraId="18C6CF73" w14:textId="77777777" w:rsidR="000939E0" w:rsidRPr="00490FBB" w:rsidRDefault="000939E0" w:rsidP="00C40CC4">
            <w:pPr>
              <w:pStyle w:val="Tabletext"/>
              <w:keepNext/>
            </w:pPr>
            <w:r w:rsidRPr="00490FBB">
              <w:t>? Likely CUA</w:t>
            </w:r>
          </w:p>
        </w:tc>
      </w:tr>
      <w:tr w:rsidR="000939E0" w:rsidRPr="00490FBB" w14:paraId="463C2753" w14:textId="77777777" w:rsidTr="00FA14A8">
        <w:tc>
          <w:tcPr>
            <w:tcW w:w="2012" w:type="dxa"/>
            <w:vAlign w:val="center"/>
          </w:tcPr>
          <w:p w14:paraId="11AF710C" w14:textId="77777777" w:rsidR="000939E0" w:rsidRPr="00490FBB" w:rsidRDefault="000939E0" w:rsidP="00C40CC4">
            <w:pPr>
              <w:pStyle w:val="Tabletext"/>
              <w:keepNext/>
            </w:pPr>
            <w:r w:rsidRPr="00490FBB">
              <w:t>Uncertain</w:t>
            </w:r>
            <w:r w:rsidRPr="00490FBB">
              <w:rPr>
                <w:vertAlign w:val="superscript"/>
              </w:rPr>
              <w:t>a</w:t>
            </w:r>
          </w:p>
        </w:tc>
        <w:tc>
          <w:tcPr>
            <w:tcW w:w="1905" w:type="dxa"/>
            <w:vAlign w:val="center"/>
          </w:tcPr>
          <w:p w14:paraId="12909D79" w14:textId="77777777" w:rsidR="000939E0" w:rsidRPr="00490FBB" w:rsidRDefault="000939E0" w:rsidP="00C40CC4">
            <w:pPr>
              <w:pStyle w:val="Tabletext"/>
              <w:keepNext/>
            </w:pPr>
            <w:r w:rsidRPr="00490FBB">
              <w:t>Health forgone possible: need other supportive factors</w:t>
            </w:r>
          </w:p>
        </w:tc>
        <w:tc>
          <w:tcPr>
            <w:tcW w:w="2227" w:type="dxa"/>
            <w:vAlign w:val="center"/>
          </w:tcPr>
          <w:p w14:paraId="50F5E2B4" w14:textId="77777777" w:rsidR="000939E0" w:rsidRPr="00490FBB" w:rsidRDefault="000939E0" w:rsidP="00C40CC4">
            <w:pPr>
              <w:pStyle w:val="Tabletext"/>
              <w:keepNext/>
            </w:pPr>
            <w:r w:rsidRPr="00490FBB">
              <w:t>?</w:t>
            </w:r>
          </w:p>
        </w:tc>
        <w:tc>
          <w:tcPr>
            <w:tcW w:w="1748" w:type="dxa"/>
            <w:vAlign w:val="center"/>
          </w:tcPr>
          <w:p w14:paraId="0406F2A1" w14:textId="77777777" w:rsidR="000939E0" w:rsidRPr="00490FBB" w:rsidRDefault="000939E0" w:rsidP="00C40CC4">
            <w:pPr>
              <w:pStyle w:val="Tabletext"/>
              <w:keepNext/>
            </w:pPr>
            <w:r w:rsidRPr="00490FBB">
              <w:t>?</w:t>
            </w:r>
          </w:p>
        </w:tc>
        <w:tc>
          <w:tcPr>
            <w:tcW w:w="1434" w:type="dxa"/>
            <w:vAlign w:val="center"/>
          </w:tcPr>
          <w:p w14:paraId="1996B8CC" w14:textId="77777777" w:rsidR="000939E0" w:rsidRPr="00490FBB" w:rsidRDefault="000939E0" w:rsidP="00C40CC4">
            <w:pPr>
              <w:pStyle w:val="Tabletext"/>
              <w:keepNext/>
            </w:pPr>
            <w:r w:rsidRPr="00490FBB">
              <w:t>? Likely CEA/CUA</w:t>
            </w:r>
          </w:p>
        </w:tc>
      </w:tr>
      <w:tr w:rsidR="000939E0" w:rsidRPr="00490FBB" w14:paraId="47335FF9" w14:textId="77777777" w:rsidTr="00FA14A8">
        <w:tc>
          <w:tcPr>
            <w:tcW w:w="2012" w:type="dxa"/>
            <w:vAlign w:val="center"/>
          </w:tcPr>
          <w:p w14:paraId="0CBD845B" w14:textId="149CC18B" w:rsidR="000939E0" w:rsidRPr="00490FBB" w:rsidRDefault="000939E0" w:rsidP="00C40CC4">
            <w:pPr>
              <w:pStyle w:val="Tabletext"/>
              <w:keepNext/>
            </w:pPr>
            <w:r w:rsidRPr="00490FBB">
              <w:t>Noninferior</w:t>
            </w:r>
            <w:r w:rsidRPr="00490FBB">
              <w:rPr>
                <w:vertAlign w:val="superscript"/>
              </w:rPr>
              <w:t>b</w:t>
            </w:r>
          </w:p>
        </w:tc>
        <w:tc>
          <w:tcPr>
            <w:tcW w:w="1905" w:type="dxa"/>
            <w:vAlign w:val="center"/>
          </w:tcPr>
          <w:p w14:paraId="5D8B4B6F" w14:textId="77777777" w:rsidR="000939E0" w:rsidRPr="00490FBB" w:rsidRDefault="000939E0" w:rsidP="00C40CC4">
            <w:pPr>
              <w:pStyle w:val="Tabletext"/>
              <w:keepNext/>
            </w:pPr>
            <w:r w:rsidRPr="00490FBB">
              <w:t>Health forgone: need other supportive factors</w:t>
            </w:r>
          </w:p>
        </w:tc>
        <w:tc>
          <w:tcPr>
            <w:tcW w:w="2227" w:type="dxa"/>
            <w:vAlign w:val="center"/>
          </w:tcPr>
          <w:p w14:paraId="43D9B9E4" w14:textId="77777777" w:rsidR="000939E0" w:rsidRPr="00490FBB" w:rsidRDefault="000939E0" w:rsidP="00C40CC4">
            <w:pPr>
              <w:pStyle w:val="Tabletext"/>
              <w:keepNext/>
            </w:pPr>
            <w:r w:rsidRPr="00490FBB">
              <w:t>?</w:t>
            </w:r>
          </w:p>
        </w:tc>
        <w:tc>
          <w:tcPr>
            <w:tcW w:w="1748" w:type="dxa"/>
            <w:shd w:val="clear" w:color="auto" w:fill="auto"/>
            <w:vAlign w:val="center"/>
          </w:tcPr>
          <w:p w14:paraId="12BD2E22" w14:textId="77777777" w:rsidR="000939E0" w:rsidRPr="00490FBB" w:rsidRDefault="000939E0" w:rsidP="00C40CC4">
            <w:pPr>
              <w:pStyle w:val="Tabletext"/>
              <w:keepNext/>
            </w:pPr>
            <w:r w:rsidRPr="00490FBB">
              <w:t>CMA</w:t>
            </w:r>
          </w:p>
        </w:tc>
        <w:tc>
          <w:tcPr>
            <w:tcW w:w="1434" w:type="dxa"/>
            <w:shd w:val="clear" w:color="auto" w:fill="auto"/>
            <w:vAlign w:val="center"/>
          </w:tcPr>
          <w:p w14:paraId="7E9F7AB5" w14:textId="77777777" w:rsidR="000939E0" w:rsidRPr="00490FBB" w:rsidRDefault="000939E0" w:rsidP="00C40CC4">
            <w:pPr>
              <w:pStyle w:val="Tabletext"/>
              <w:keepNext/>
            </w:pPr>
            <w:r w:rsidRPr="00490FBB">
              <w:t>CEA/CUA</w:t>
            </w:r>
          </w:p>
        </w:tc>
      </w:tr>
      <w:tr w:rsidR="000939E0" w:rsidRPr="00490FBB" w14:paraId="41AB5715" w14:textId="77777777" w:rsidTr="00FA14A8">
        <w:tc>
          <w:tcPr>
            <w:tcW w:w="2012" w:type="dxa"/>
            <w:vAlign w:val="center"/>
          </w:tcPr>
          <w:p w14:paraId="18F5B4CB" w14:textId="77777777" w:rsidR="000939E0" w:rsidRPr="00490FBB" w:rsidRDefault="000939E0" w:rsidP="00C40CC4">
            <w:pPr>
              <w:pStyle w:val="Tabletext"/>
              <w:keepNext/>
            </w:pPr>
            <w:r w:rsidRPr="00490FBB">
              <w:t>Superior</w:t>
            </w:r>
          </w:p>
        </w:tc>
        <w:tc>
          <w:tcPr>
            <w:tcW w:w="1905" w:type="dxa"/>
            <w:vAlign w:val="center"/>
          </w:tcPr>
          <w:p w14:paraId="2525815A" w14:textId="77777777" w:rsidR="000939E0" w:rsidRPr="00490FBB" w:rsidRDefault="000939E0" w:rsidP="00C40CC4">
            <w:pPr>
              <w:pStyle w:val="Tabletext"/>
              <w:keepNext/>
            </w:pPr>
            <w:r w:rsidRPr="00490FBB">
              <w:t>? Likely CUA</w:t>
            </w:r>
          </w:p>
        </w:tc>
        <w:tc>
          <w:tcPr>
            <w:tcW w:w="2227" w:type="dxa"/>
            <w:vAlign w:val="center"/>
          </w:tcPr>
          <w:p w14:paraId="2AE0169D" w14:textId="77777777" w:rsidR="000939E0" w:rsidRPr="00490FBB" w:rsidRDefault="000939E0" w:rsidP="00C40CC4">
            <w:pPr>
              <w:pStyle w:val="Tabletext"/>
              <w:keepNext/>
            </w:pPr>
            <w:r w:rsidRPr="00490FBB">
              <w:t>? Likely CEA/CUA</w:t>
            </w:r>
          </w:p>
        </w:tc>
        <w:tc>
          <w:tcPr>
            <w:tcW w:w="1748" w:type="dxa"/>
            <w:shd w:val="clear" w:color="auto" w:fill="FF0000"/>
            <w:vAlign w:val="center"/>
          </w:tcPr>
          <w:p w14:paraId="71D0525C" w14:textId="77777777" w:rsidR="000939E0" w:rsidRPr="00490FBB" w:rsidRDefault="000939E0" w:rsidP="00C40CC4">
            <w:pPr>
              <w:pStyle w:val="Tabletext"/>
              <w:keepNext/>
            </w:pPr>
            <w:r w:rsidRPr="00490FBB">
              <w:t>CEA/CUA</w:t>
            </w:r>
          </w:p>
        </w:tc>
        <w:tc>
          <w:tcPr>
            <w:tcW w:w="1434" w:type="dxa"/>
            <w:shd w:val="clear" w:color="auto" w:fill="auto"/>
            <w:vAlign w:val="center"/>
          </w:tcPr>
          <w:p w14:paraId="5FF47EA5" w14:textId="77777777" w:rsidR="000939E0" w:rsidRPr="00490FBB" w:rsidRDefault="000939E0" w:rsidP="00C40CC4">
            <w:pPr>
              <w:pStyle w:val="Tabletext"/>
              <w:keepNext/>
            </w:pPr>
            <w:r w:rsidRPr="00490FBB">
              <w:t>CEA/CUA</w:t>
            </w:r>
          </w:p>
        </w:tc>
      </w:tr>
    </w:tbl>
    <w:p w14:paraId="6538A3FB" w14:textId="77777777" w:rsidR="000939E0" w:rsidRPr="00490FBB" w:rsidRDefault="000939E0" w:rsidP="00FA14A8">
      <w:pPr>
        <w:pStyle w:val="Tablenotes"/>
        <w:keepNext/>
        <w:spacing w:before="120" w:after="0"/>
        <w:rPr>
          <w:szCs w:val="18"/>
        </w:rPr>
      </w:pPr>
      <w:r w:rsidRPr="00490FBB">
        <w:rPr>
          <w:szCs w:val="18"/>
        </w:rPr>
        <w:t>CEA=cost-effectiveness analysis; CMA=cost-minimisation analysis; CUA=cost-utility analysis</w:t>
      </w:r>
    </w:p>
    <w:p w14:paraId="48F7CED7" w14:textId="77777777" w:rsidR="000939E0" w:rsidRPr="00490FBB" w:rsidRDefault="000939E0" w:rsidP="00FA14A8">
      <w:pPr>
        <w:pStyle w:val="Tablenotes"/>
        <w:keepNext/>
        <w:spacing w:after="0"/>
        <w:rPr>
          <w:b/>
          <w:szCs w:val="18"/>
        </w:rPr>
      </w:pPr>
      <w:r w:rsidRPr="00490FBB">
        <w:rPr>
          <w:szCs w:val="18"/>
        </w:rPr>
        <w:t xml:space="preserve">? = reflect uncertainties and any identified health trade-offs in the economic evaluation, as a minimum in a cost-consequences analysis </w:t>
      </w:r>
    </w:p>
    <w:p w14:paraId="65C6F534" w14:textId="77777777" w:rsidR="000939E0" w:rsidRPr="00490FBB" w:rsidRDefault="000939E0" w:rsidP="00FA14A8">
      <w:pPr>
        <w:pStyle w:val="Tablenotes"/>
        <w:keepNext/>
        <w:spacing w:after="0"/>
        <w:rPr>
          <w:b/>
          <w:szCs w:val="18"/>
        </w:rPr>
      </w:pPr>
      <w:r w:rsidRPr="00490FBB">
        <w:rPr>
          <w:szCs w:val="18"/>
          <w:vertAlign w:val="superscript"/>
        </w:rPr>
        <w:t>a</w:t>
      </w:r>
      <w:r w:rsidRPr="00490FBB">
        <w:rPr>
          <w:szCs w:val="18"/>
        </w:rPr>
        <w:t>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p>
    <w:p w14:paraId="1CB9C9B3" w14:textId="5CB9A3EC" w:rsidR="000939E0" w:rsidRPr="00490FBB" w:rsidRDefault="000939E0" w:rsidP="00FA14A8">
      <w:pPr>
        <w:pStyle w:val="Tablenotes"/>
        <w:spacing w:after="0"/>
      </w:pPr>
      <w:r w:rsidRPr="2891237F">
        <w:rPr>
          <w:vertAlign w:val="superscript"/>
        </w:rPr>
        <w:t>b</w:t>
      </w:r>
      <w:r>
        <w:t> An adequate assessment of ‘noninferiority’ is the preferred basis for demonstrating equivalence</w:t>
      </w:r>
    </w:p>
    <w:p w14:paraId="65A7C2B2" w14:textId="79DC965E" w:rsidR="22AF9E10" w:rsidRDefault="22AF9E10" w:rsidP="00FA14A8">
      <w:pPr>
        <w:pStyle w:val="Tablenotes"/>
        <w:spacing w:after="0"/>
      </w:pPr>
      <w:r>
        <w:t xml:space="preserve">Cells shaded </w:t>
      </w:r>
      <w:r w:rsidRPr="2891237F">
        <w:rPr>
          <w:highlight w:val="yellow"/>
        </w:rPr>
        <w:t>yellow</w:t>
      </w:r>
      <w:r>
        <w:t xml:space="preserve"> correspond with non-invasive standard care</w:t>
      </w:r>
    </w:p>
    <w:p w14:paraId="553949CF" w14:textId="1F347AD2" w:rsidR="22AF9E10" w:rsidRDefault="0928FA63" w:rsidP="00EA4769">
      <w:pPr>
        <w:pStyle w:val="Tablenotes"/>
      </w:pPr>
      <w:r>
        <w:t xml:space="preserve">Cells shaded </w:t>
      </w:r>
      <w:r w:rsidRPr="651BF5F7">
        <w:rPr>
          <w:highlight w:val="red"/>
        </w:rPr>
        <w:t>red</w:t>
      </w:r>
      <w:r>
        <w:t xml:space="preserve"> correspond with implantable nerve stimulating devices</w:t>
      </w:r>
      <w:r w:rsidR="00EA4769">
        <w:t xml:space="preserve"> and </w:t>
      </w:r>
      <w:r w:rsidR="00EA4769" w:rsidRPr="00EA4769">
        <w:t>radiofrequency ablation/pulsed radiofrequency</w:t>
      </w:r>
    </w:p>
    <w:p w14:paraId="49B5AB97" w14:textId="655B08DE" w:rsidR="00A97DF9" w:rsidRPr="007211C1" w:rsidRDefault="39F9CDE0" w:rsidP="00FA14A8">
      <w:pPr>
        <w:rPr>
          <w:i/>
          <w:iCs/>
        </w:rPr>
      </w:pPr>
      <w:r w:rsidRPr="007211C1">
        <w:rPr>
          <w:i/>
          <w:iCs/>
        </w:rPr>
        <w:t>PASC queried whether there is any direct comparative effectiveness of PRF with PENS. Without direct comparative evidence, it would mean a naïve indirect comparison would be required to assess the applicant’s claim that PRF may be less effective compared to PENS, including the ability to inform whether a patient would be a suitable candidate for an implantable peripheral nerve stimulator device.</w:t>
      </w:r>
    </w:p>
    <w:p w14:paraId="4DEEDC7E" w14:textId="2170B6CB" w:rsidR="3A896D60" w:rsidRDefault="62122CA1" w:rsidP="00FA14A8">
      <w:pPr>
        <w:rPr>
          <w:rFonts w:cs="Calibri"/>
        </w:rPr>
      </w:pPr>
      <w:r w:rsidRPr="00FA14A8">
        <w:t>The applicant did not provide further comments but indicated that the cost of anaesthetic is included in their estimation of the cost of PENS to the patient.</w:t>
      </w:r>
    </w:p>
    <w:p w14:paraId="3144FEB0" w14:textId="49F2714A" w:rsidR="00570A5F" w:rsidRPr="007211C1" w:rsidRDefault="003C2ADB" w:rsidP="00057C9E">
      <w:r>
        <w:t xml:space="preserve">Table 7 </w:t>
      </w:r>
      <w:r w:rsidR="32AA3620">
        <w:t xml:space="preserve">provides </w:t>
      </w:r>
      <w:r w:rsidR="6F4C4DD7">
        <w:t>a</w:t>
      </w:r>
      <w:r w:rsidR="32AA3620">
        <w:t xml:space="preserve"> brief overview of some of the initial </w:t>
      </w:r>
      <w:r w:rsidR="200502D6">
        <w:t xml:space="preserve">effectiveness </w:t>
      </w:r>
      <w:r w:rsidR="32AA3620">
        <w:t xml:space="preserve">evidence identified as available to inform economic evaluation. </w:t>
      </w:r>
      <w:r w:rsidR="179E0115">
        <w:t xml:space="preserve">The applicant identified </w:t>
      </w:r>
      <w:r w:rsidR="00BE1870">
        <w:t xml:space="preserve">five </w:t>
      </w:r>
      <w:r w:rsidR="037C57FB">
        <w:t xml:space="preserve">effectiveness studies which are summarised. Only </w:t>
      </w:r>
      <w:r w:rsidR="57E57310">
        <w:t xml:space="preserve">two </w:t>
      </w:r>
      <w:r w:rsidR="037C57FB">
        <w:t>studies by Rossi</w:t>
      </w:r>
      <w:r w:rsidR="2506426A">
        <w:t xml:space="preserve"> et al.</w:t>
      </w:r>
      <w:r w:rsidR="037C57FB">
        <w:t xml:space="preserve"> (2016) and Raphael </w:t>
      </w:r>
      <w:r w:rsidR="7EF586F7">
        <w:t xml:space="preserve">et al. </w:t>
      </w:r>
      <w:r w:rsidR="037C57FB">
        <w:t>(</w:t>
      </w:r>
      <w:r w:rsidR="363FB8B1">
        <w:t>201</w:t>
      </w:r>
      <w:r w:rsidR="53217ADF">
        <w:t>1</w:t>
      </w:r>
      <w:r w:rsidR="037C57FB">
        <w:t xml:space="preserve">) involve the use of PENS as </w:t>
      </w:r>
      <w:r w:rsidR="363FB8B1">
        <w:t>describe</w:t>
      </w:r>
      <w:r w:rsidR="78FCA6E3">
        <w:t>d</w:t>
      </w:r>
      <w:r w:rsidR="037C57FB">
        <w:t xml:space="preserve"> by the applicant (a single needle probe</w:t>
      </w:r>
      <w:r w:rsidR="47A183A0">
        <w:t xml:space="preserve">). The other three studies involve use of electro-acupuncture PENS which is not the focus of this application. </w:t>
      </w:r>
      <w:r w:rsidR="44EF61DE">
        <w:t>The study by Raphael</w:t>
      </w:r>
      <w:r w:rsidR="208DBC36">
        <w:t xml:space="preserve"> et al.</w:t>
      </w:r>
      <w:r w:rsidR="44EF61DE">
        <w:t xml:space="preserve"> (2011) was unable to complete its crossover and </w:t>
      </w:r>
      <w:r w:rsidR="4A719FA5">
        <w:t xml:space="preserve">only </w:t>
      </w:r>
      <w:r w:rsidR="304B0F59">
        <w:t>measur</w:t>
      </w:r>
      <w:r w:rsidR="18A164ED">
        <w:t>ed</w:t>
      </w:r>
      <w:r w:rsidR="304B0F59">
        <w:t xml:space="preserve"> pain immediately </w:t>
      </w:r>
      <w:r w:rsidR="43E865CE">
        <w:t>before</w:t>
      </w:r>
      <w:r w:rsidR="304B0F59">
        <w:t xml:space="preserve"> and </w:t>
      </w:r>
      <w:r w:rsidR="5C70746E">
        <w:t xml:space="preserve">after </w:t>
      </w:r>
      <w:r w:rsidR="304B0F59">
        <w:t>PENS treatment</w:t>
      </w:r>
      <w:r w:rsidR="7FC52CD4">
        <w:t xml:space="preserve"> but not after any extended period</w:t>
      </w:r>
      <w:r w:rsidR="304B0F59">
        <w:t xml:space="preserve">. </w:t>
      </w:r>
      <w:r w:rsidR="47A183A0" w:rsidRPr="007211C1">
        <w:t>Rossi</w:t>
      </w:r>
      <w:r w:rsidR="4E296417" w:rsidRPr="007211C1">
        <w:t xml:space="preserve"> et al.</w:t>
      </w:r>
      <w:r w:rsidR="47A183A0" w:rsidRPr="007211C1">
        <w:t xml:space="preserve"> (2016) is therefore the most relevant of these studies</w:t>
      </w:r>
      <w:r w:rsidR="317D9851" w:rsidRPr="007211C1">
        <w:t xml:space="preserve"> to assess PENS as it would be administered in clinical practice</w:t>
      </w:r>
      <w:r w:rsidR="200502D6" w:rsidRPr="007211C1">
        <w:t>. Rossi</w:t>
      </w:r>
      <w:r w:rsidR="182B177A" w:rsidRPr="007211C1">
        <w:t xml:space="preserve"> et al.</w:t>
      </w:r>
      <w:r w:rsidR="200502D6" w:rsidRPr="007211C1">
        <w:t xml:space="preserve"> (2016)</w:t>
      </w:r>
      <w:r w:rsidR="01FC29B6" w:rsidRPr="007211C1">
        <w:t xml:space="preserve"> </w:t>
      </w:r>
      <w:r w:rsidR="47A183A0" w:rsidRPr="007211C1">
        <w:t>include</w:t>
      </w:r>
      <w:r w:rsidR="3A872CCD" w:rsidRPr="007211C1">
        <w:t>d</w:t>
      </w:r>
      <w:r w:rsidR="47A183A0" w:rsidRPr="007211C1">
        <w:t xml:space="preserve"> 76 patients </w:t>
      </w:r>
      <w:r w:rsidR="33221E22" w:rsidRPr="007211C1">
        <w:t xml:space="preserve">who received </w:t>
      </w:r>
      <w:r w:rsidR="47A183A0" w:rsidRPr="007211C1">
        <w:t>PENS for chronic neuropathic pain</w:t>
      </w:r>
      <w:r w:rsidR="51E2F5A2" w:rsidRPr="007211C1">
        <w:t xml:space="preserve"> and were followed-up after 6 months</w:t>
      </w:r>
      <w:r w:rsidR="200502D6" w:rsidRPr="007211C1">
        <w:t>,</w:t>
      </w:r>
      <w:r w:rsidR="47A183A0" w:rsidRPr="007211C1">
        <w:t xml:space="preserve"> </w:t>
      </w:r>
      <w:r w:rsidR="345C4CD3" w:rsidRPr="007211C1">
        <w:t xml:space="preserve">however, this trial </w:t>
      </w:r>
      <w:r w:rsidR="47A183A0" w:rsidRPr="007211C1">
        <w:t>d</w:t>
      </w:r>
      <w:r w:rsidR="06A2A679" w:rsidRPr="007211C1">
        <w:t>id</w:t>
      </w:r>
      <w:r w:rsidR="47A183A0" w:rsidRPr="007211C1">
        <w:t xml:space="preserve"> not involve a control group. </w:t>
      </w:r>
      <w:r w:rsidR="006AA67F" w:rsidRPr="007211C1">
        <w:t>Supplementary observational evidence</w:t>
      </w:r>
      <w:r w:rsidR="200502D6" w:rsidRPr="007211C1">
        <w:t xml:space="preserve"> and indirect comparisons</w:t>
      </w:r>
      <w:r w:rsidR="006AA67F" w:rsidRPr="007211C1">
        <w:t xml:space="preserve"> may be required to populate an economic evaluation for the three comparators described above. </w:t>
      </w:r>
    </w:p>
    <w:p w14:paraId="3EBD4F05" w14:textId="0895944A" w:rsidR="008A05E3" w:rsidRPr="00012B43" w:rsidRDefault="00B40B00" w:rsidP="00B40B00">
      <w:pPr>
        <w:pStyle w:val="Caption"/>
        <w:rPr>
          <w:iCs/>
        </w:rPr>
      </w:pPr>
      <w:bookmarkStart w:id="16" w:name="_Ref129348216"/>
      <w:r w:rsidRPr="00012B43">
        <w:rPr>
          <w:iCs/>
        </w:rPr>
        <w:lastRenderedPageBreak/>
        <w:t>Table</w:t>
      </w:r>
      <w:bookmarkEnd w:id="16"/>
      <w:r w:rsidR="003E248E">
        <w:rPr>
          <w:iCs/>
        </w:rPr>
        <w:t xml:space="preserve"> 7</w:t>
      </w:r>
      <w:r w:rsidR="003E248E">
        <w:rPr>
          <w:iCs/>
        </w:rPr>
        <w:tab/>
      </w:r>
      <w:r w:rsidR="00AF744E" w:rsidRPr="00012B43">
        <w:rPr>
          <w:iCs/>
        </w:rPr>
        <w:t xml:space="preserve"> </w:t>
      </w:r>
      <w:r w:rsidR="008A05E3" w:rsidRPr="00012B43">
        <w:rPr>
          <w:iCs/>
        </w:rPr>
        <w:t>Key Characteristics of studies which assessed the effectiveness of PENS as a pain relief therapy</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
        <w:gridCol w:w="851"/>
        <w:gridCol w:w="849"/>
        <w:gridCol w:w="1409"/>
        <w:gridCol w:w="1275"/>
        <w:gridCol w:w="1133"/>
        <w:gridCol w:w="1263"/>
        <w:gridCol w:w="1562"/>
        <w:gridCol w:w="1273"/>
      </w:tblGrid>
      <w:tr w:rsidR="00D53022" w:rsidRPr="00012B43" w14:paraId="12D9F45C" w14:textId="77777777" w:rsidTr="00D53022">
        <w:trPr>
          <w:trHeight w:val="300"/>
          <w:tblHeader/>
        </w:trPr>
        <w:tc>
          <w:tcPr>
            <w:tcW w:w="308" w:type="dxa"/>
          </w:tcPr>
          <w:p w14:paraId="29328CF3" w14:textId="77777777" w:rsidR="651BF5F7" w:rsidRPr="00012B43" w:rsidRDefault="651BF5F7" w:rsidP="00C644B7">
            <w:pPr>
              <w:pStyle w:val="TableText0"/>
              <w:rPr>
                <w:iCs/>
                <w:lang w:eastAsia="en-AU"/>
              </w:rPr>
            </w:pPr>
          </w:p>
        </w:tc>
        <w:tc>
          <w:tcPr>
            <w:tcW w:w="851" w:type="dxa"/>
            <w:vAlign w:val="center"/>
          </w:tcPr>
          <w:p w14:paraId="14084460" w14:textId="77777777" w:rsidR="651BF5F7" w:rsidRPr="00012B43" w:rsidRDefault="651BF5F7" w:rsidP="00C644B7">
            <w:pPr>
              <w:pStyle w:val="TableText0"/>
              <w:jc w:val="center"/>
              <w:rPr>
                <w:rFonts w:cs="Calibri"/>
                <w:b/>
                <w:iCs/>
                <w:color w:val="000000" w:themeColor="text1"/>
                <w:lang w:eastAsia="en-AU"/>
              </w:rPr>
            </w:pPr>
            <w:r w:rsidRPr="00012B43">
              <w:rPr>
                <w:rFonts w:cs="Calibri"/>
                <w:b/>
                <w:iCs/>
                <w:color w:val="000000" w:themeColor="text1"/>
                <w:lang w:eastAsia="en-AU"/>
              </w:rPr>
              <w:t>Author Name (year)</w:t>
            </w:r>
          </w:p>
        </w:tc>
        <w:tc>
          <w:tcPr>
            <w:tcW w:w="849" w:type="dxa"/>
            <w:vAlign w:val="center"/>
          </w:tcPr>
          <w:p w14:paraId="05776846" w14:textId="77777777" w:rsidR="651BF5F7" w:rsidRPr="00012B43" w:rsidRDefault="651BF5F7" w:rsidP="00C644B7">
            <w:pPr>
              <w:pStyle w:val="TableText0"/>
              <w:jc w:val="center"/>
              <w:rPr>
                <w:rFonts w:cs="Calibri"/>
                <w:b/>
                <w:iCs/>
                <w:color w:val="000000" w:themeColor="text1"/>
                <w:lang w:eastAsia="en-AU"/>
              </w:rPr>
            </w:pPr>
            <w:r w:rsidRPr="00012B43">
              <w:rPr>
                <w:rFonts w:cs="Calibri"/>
                <w:b/>
                <w:iCs/>
                <w:color w:val="000000" w:themeColor="text1"/>
                <w:lang w:eastAsia="en-AU"/>
              </w:rPr>
              <w:t>Sample Size</w:t>
            </w:r>
          </w:p>
        </w:tc>
        <w:tc>
          <w:tcPr>
            <w:tcW w:w="1409" w:type="dxa"/>
            <w:vAlign w:val="center"/>
          </w:tcPr>
          <w:p w14:paraId="72A5304C" w14:textId="77777777" w:rsidR="651BF5F7" w:rsidRPr="00012B43" w:rsidRDefault="651BF5F7" w:rsidP="00C644B7">
            <w:pPr>
              <w:pStyle w:val="TableText0"/>
              <w:jc w:val="center"/>
              <w:rPr>
                <w:rFonts w:cs="Calibri"/>
                <w:b/>
                <w:iCs/>
                <w:color w:val="000000" w:themeColor="text1"/>
                <w:lang w:eastAsia="en-AU"/>
              </w:rPr>
            </w:pPr>
            <w:r w:rsidRPr="00012B43">
              <w:rPr>
                <w:rFonts w:cs="Calibri"/>
                <w:b/>
                <w:iCs/>
                <w:color w:val="000000" w:themeColor="text1"/>
                <w:lang w:eastAsia="en-AU"/>
              </w:rPr>
              <w:t>Population</w:t>
            </w:r>
          </w:p>
        </w:tc>
        <w:tc>
          <w:tcPr>
            <w:tcW w:w="1275" w:type="dxa"/>
            <w:vAlign w:val="center"/>
          </w:tcPr>
          <w:p w14:paraId="138E12EC" w14:textId="77777777" w:rsidR="651BF5F7" w:rsidRPr="00012B43" w:rsidRDefault="651BF5F7" w:rsidP="00C644B7">
            <w:pPr>
              <w:pStyle w:val="TableText0"/>
              <w:jc w:val="center"/>
              <w:rPr>
                <w:rFonts w:cs="Calibri"/>
                <w:b/>
                <w:iCs/>
                <w:color w:val="000000" w:themeColor="text1"/>
                <w:lang w:eastAsia="en-AU"/>
              </w:rPr>
            </w:pPr>
            <w:r w:rsidRPr="00012B43">
              <w:rPr>
                <w:rFonts w:cs="Calibri"/>
                <w:b/>
                <w:iCs/>
                <w:color w:val="000000" w:themeColor="text1"/>
                <w:lang w:eastAsia="en-AU"/>
              </w:rPr>
              <w:t>PENS Treatment</w:t>
            </w:r>
          </w:p>
        </w:tc>
        <w:tc>
          <w:tcPr>
            <w:tcW w:w="1133" w:type="dxa"/>
            <w:vAlign w:val="center"/>
          </w:tcPr>
          <w:p w14:paraId="052DB241" w14:textId="77777777" w:rsidR="651BF5F7" w:rsidRPr="00012B43" w:rsidRDefault="651BF5F7" w:rsidP="00C644B7">
            <w:pPr>
              <w:pStyle w:val="TableText0"/>
              <w:jc w:val="center"/>
              <w:rPr>
                <w:rFonts w:cs="Calibri"/>
                <w:b/>
                <w:iCs/>
                <w:color w:val="000000" w:themeColor="text1"/>
                <w:lang w:eastAsia="en-AU"/>
              </w:rPr>
            </w:pPr>
            <w:r w:rsidRPr="00012B43">
              <w:rPr>
                <w:rFonts w:cs="Calibri"/>
                <w:b/>
                <w:iCs/>
                <w:color w:val="000000" w:themeColor="text1"/>
                <w:lang w:eastAsia="en-AU"/>
              </w:rPr>
              <w:t>Control</w:t>
            </w:r>
          </w:p>
        </w:tc>
        <w:tc>
          <w:tcPr>
            <w:tcW w:w="1263" w:type="dxa"/>
            <w:vAlign w:val="center"/>
          </w:tcPr>
          <w:p w14:paraId="3755BCE8" w14:textId="756151E9" w:rsidR="651BF5F7" w:rsidRPr="00012B43" w:rsidRDefault="651BF5F7" w:rsidP="00C644B7">
            <w:pPr>
              <w:pStyle w:val="TableText0"/>
              <w:jc w:val="center"/>
              <w:rPr>
                <w:rFonts w:cs="Calibri"/>
                <w:b/>
                <w:iCs/>
                <w:color w:val="000000" w:themeColor="text1"/>
                <w:lang w:eastAsia="en-AU"/>
              </w:rPr>
            </w:pPr>
            <w:r w:rsidRPr="00012B43">
              <w:rPr>
                <w:rFonts w:cs="Calibri"/>
                <w:b/>
                <w:iCs/>
                <w:color w:val="000000" w:themeColor="text1"/>
                <w:lang w:eastAsia="en-AU"/>
              </w:rPr>
              <w:t>Alternative treatments also permitted?</w:t>
            </w:r>
          </w:p>
        </w:tc>
        <w:tc>
          <w:tcPr>
            <w:tcW w:w="1562" w:type="dxa"/>
            <w:vAlign w:val="center"/>
          </w:tcPr>
          <w:p w14:paraId="002E33BF" w14:textId="77777777" w:rsidR="651BF5F7" w:rsidRPr="00012B43" w:rsidRDefault="651BF5F7" w:rsidP="00C644B7">
            <w:pPr>
              <w:pStyle w:val="TableText0"/>
              <w:jc w:val="center"/>
              <w:rPr>
                <w:rFonts w:cs="Calibri"/>
                <w:b/>
                <w:iCs/>
                <w:color w:val="000000" w:themeColor="text1"/>
                <w:lang w:eastAsia="en-AU"/>
              </w:rPr>
            </w:pPr>
            <w:r w:rsidRPr="00012B43">
              <w:rPr>
                <w:rFonts w:cs="Calibri"/>
                <w:b/>
                <w:iCs/>
                <w:color w:val="000000" w:themeColor="text1"/>
                <w:lang w:eastAsia="en-AU"/>
              </w:rPr>
              <w:t>Results</w:t>
            </w:r>
          </w:p>
        </w:tc>
        <w:tc>
          <w:tcPr>
            <w:tcW w:w="1273" w:type="dxa"/>
            <w:vAlign w:val="center"/>
          </w:tcPr>
          <w:p w14:paraId="70766D03" w14:textId="77777777" w:rsidR="651BF5F7" w:rsidRPr="00012B43" w:rsidRDefault="651BF5F7" w:rsidP="00C644B7">
            <w:pPr>
              <w:pStyle w:val="TableText0"/>
              <w:jc w:val="center"/>
              <w:rPr>
                <w:rFonts w:cs="Calibri"/>
                <w:b/>
                <w:iCs/>
                <w:color w:val="000000" w:themeColor="text1"/>
                <w:lang w:eastAsia="en-AU"/>
              </w:rPr>
            </w:pPr>
            <w:r w:rsidRPr="00012B43">
              <w:rPr>
                <w:rFonts w:cs="Calibri"/>
                <w:b/>
                <w:iCs/>
                <w:color w:val="000000" w:themeColor="text1"/>
                <w:lang w:eastAsia="en-AU"/>
              </w:rPr>
              <w:t>Notes</w:t>
            </w:r>
          </w:p>
        </w:tc>
      </w:tr>
      <w:tr w:rsidR="001A19A1" w:rsidRPr="00012B43" w14:paraId="10F5615F" w14:textId="77777777" w:rsidTr="00D53022">
        <w:trPr>
          <w:trHeight w:val="336"/>
        </w:trPr>
        <w:tc>
          <w:tcPr>
            <w:tcW w:w="9923" w:type="dxa"/>
            <w:gridSpan w:val="9"/>
            <w:tcBorders>
              <w:top w:val="single" w:sz="4" w:space="0" w:color="auto"/>
              <w:left w:val="single" w:sz="4" w:space="0" w:color="auto"/>
              <w:bottom w:val="single" w:sz="4" w:space="0" w:color="auto"/>
              <w:right w:val="single" w:sz="4" w:space="0" w:color="auto"/>
            </w:tcBorders>
          </w:tcPr>
          <w:p w14:paraId="18D07A6D" w14:textId="2028D404" w:rsidR="001A19A1" w:rsidRPr="00012B43" w:rsidRDefault="001A19A1" w:rsidP="00C644B7">
            <w:pPr>
              <w:pStyle w:val="TableText0"/>
              <w:rPr>
                <w:rFonts w:cs="Calibri"/>
                <w:b/>
                <w:bCs/>
                <w:iCs/>
                <w:color w:val="000000" w:themeColor="text1"/>
                <w:lang w:eastAsia="en-AU"/>
              </w:rPr>
            </w:pPr>
            <w:r w:rsidRPr="00012B43">
              <w:rPr>
                <w:rFonts w:cs="Calibri"/>
                <w:b/>
                <w:bCs/>
                <w:iCs/>
                <w:color w:val="000000" w:themeColor="text1"/>
                <w:lang w:eastAsia="en-AU"/>
              </w:rPr>
              <w:t>Studies relevant to the specif</w:t>
            </w:r>
            <w:r w:rsidR="2F258EED" w:rsidRPr="00012B43">
              <w:rPr>
                <w:rFonts w:cs="Calibri"/>
                <w:b/>
                <w:bCs/>
                <w:iCs/>
                <w:color w:val="000000" w:themeColor="text1"/>
                <w:lang w:eastAsia="en-AU"/>
              </w:rPr>
              <w:t>ic</w:t>
            </w:r>
            <w:r w:rsidRPr="00012B43">
              <w:rPr>
                <w:rFonts w:cs="Calibri"/>
                <w:b/>
                <w:bCs/>
                <w:iCs/>
                <w:color w:val="000000" w:themeColor="text1"/>
                <w:lang w:eastAsia="en-AU"/>
              </w:rPr>
              <w:t xml:space="preserve"> type of PENS that is the subject of this application </w:t>
            </w:r>
          </w:p>
        </w:tc>
      </w:tr>
      <w:tr w:rsidR="00D53022" w:rsidRPr="00012B43" w14:paraId="28D22A4A" w14:textId="77777777" w:rsidTr="00D53022">
        <w:trPr>
          <w:trHeight w:val="825"/>
        </w:trPr>
        <w:tc>
          <w:tcPr>
            <w:tcW w:w="308" w:type="dxa"/>
          </w:tcPr>
          <w:p w14:paraId="06618E20" w14:textId="77777777" w:rsidR="651BF5F7" w:rsidRPr="00012B43" w:rsidRDefault="651BF5F7" w:rsidP="00C644B7">
            <w:pPr>
              <w:pStyle w:val="TableText0"/>
              <w:rPr>
                <w:rFonts w:cs="Calibri"/>
                <w:iCs/>
                <w:color w:val="000000" w:themeColor="text1"/>
                <w:lang w:eastAsia="en-AU"/>
              </w:rPr>
            </w:pPr>
            <w:r w:rsidRPr="00012B43">
              <w:rPr>
                <w:rFonts w:cs="Calibri"/>
                <w:iCs/>
                <w:color w:val="000000" w:themeColor="text1"/>
                <w:lang w:eastAsia="en-AU"/>
              </w:rPr>
              <w:t>1</w:t>
            </w:r>
          </w:p>
        </w:tc>
        <w:tc>
          <w:tcPr>
            <w:tcW w:w="851" w:type="dxa"/>
            <w:shd w:val="clear" w:color="auto" w:fill="auto"/>
          </w:tcPr>
          <w:p w14:paraId="300F628A" w14:textId="77777777" w:rsidR="651BF5F7" w:rsidRPr="00012B43" w:rsidRDefault="651BF5F7" w:rsidP="00C644B7">
            <w:pPr>
              <w:pStyle w:val="TableText0"/>
              <w:rPr>
                <w:rFonts w:cs="Calibri"/>
                <w:iCs/>
                <w:color w:val="000000" w:themeColor="text1"/>
                <w:lang w:eastAsia="en-AU"/>
              </w:rPr>
            </w:pPr>
            <w:r w:rsidRPr="00012B43">
              <w:rPr>
                <w:rFonts w:cs="Calibri"/>
                <w:iCs/>
                <w:color w:val="000000" w:themeColor="text1"/>
                <w:lang w:eastAsia="en-AU"/>
              </w:rPr>
              <w:t>Rossi (2016)</w:t>
            </w:r>
          </w:p>
        </w:tc>
        <w:tc>
          <w:tcPr>
            <w:tcW w:w="849" w:type="dxa"/>
            <w:shd w:val="clear" w:color="auto" w:fill="auto"/>
          </w:tcPr>
          <w:p w14:paraId="19B1B2F5" w14:textId="77777777" w:rsidR="651BF5F7" w:rsidRPr="00012B43" w:rsidRDefault="651BF5F7" w:rsidP="00C644B7">
            <w:pPr>
              <w:pStyle w:val="TableText0"/>
              <w:rPr>
                <w:rFonts w:cs="Calibri"/>
                <w:iCs/>
                <w:color w:val="000000" w:themeColor="text1"/>
                <w:lang w:eastAsia="en-AU"/>
              </w:rPr>
            </w:pPr>
            <w:r w:rsidRPr="00012B43">
              <w:rPr>
                <w:rFonts w:cs="Calibri"/>
                <w:iCs/>
                <w:color w:val="000000" w:themeColor="text1"/>
                <w:lang w:eastAsia="en-AU"/>
              </w:rPr>
              <w:t>76</w:t>
            </w:r>
          </w:p>
        </w:tc>
        <w:tc>
          <w:tcPr>
            <w:tcW w:w="1409" w:type="dxa"/>
            <w:shd w:val="clear" w:color="auto" w:fill="auto"/>
          </w:tcPr>
          <w:p w14:paraId="37FDC7DB" w14:textId="77777777" w:rsidR="651BF5F7" w:rsidRPr="00012B43" w:rsidRDefault="651BF5F7" w:rsidP="00C644B7">
            <w:pPr>
              <w:pStyle w:val="TableText0"/>
              <w:rPr>
                <w:rFonts w:cs="Calibri"/>
                <w:iCs/>
                <w:color w:val="000000" w:themeColor="text1"/>
                <w:lang w:eastAsia="en-AU"/>
              </w:rPr>
            </w:pPr>
            <w:r w:rsidRPr="00012B43">
              <w:rPr>
                <w:rFonts w:cs="Calibri"/>
                <w:iCs/>
                <w:color w:val="000000" w:themeColor="text1"/>
                <w:lang w:eastAsia="en-AU"/>
              </w:rPr>
              <w:t>Participants aged 18 to 80 years old with peripheral neuropathic pain lasting &gt;3 months</w:t>
            </w:r>
          </w:p>
        </w:tc>
        <w:tc>
          <w:tcPr>
            <w:tcW w:w="1275" w:type="dxa"/>
            <w:shd w:val="clear" w:color="auto" w:fill="auto"/>
          </w:tcPr>
          <w:p w14:paraId="3C0A8B62" w14:textId="77777777" w:rsidR="651BF5F7" w:rsidRPr="00012B43" w:rsidRDefault="651BF5F7" w:rsidP="00C644B7">
            <w:pPr>
              <w:pStyle w:val="TableText0"/>
              <w:rPr>
                <w:rFonts w:cs="Calibri"/>
                <w:iCs/>
                <w:color w:val="000000" w:themeColor="text1"/>
                <w:lang w:eastAsia="en-AU"/>
              </w:rPr>
            </w:pPr>
            <w:r w:rsidRPr="00012B43">
              <w:rPr>
                <w:rFonts w:cs="Calibri"/>
                <w:iCs/>
                <w:color w:val="000000" w:themeColor="text1"/>
                <w:lang w:eastAsia="en-AU"/>
              </w:rPr>
              <w:t>Single needle probe used for one-off 25 minute dose of PENS</w:t>
            </w:r>
          </w:p>
        </w:tc>
        <w:tc>
          <w:tcPr>
            <w:tcW w:w="1133" w:type="dxa"/>
            <w:shd w:val="clear" w:color="auto" w:fill="auto"/>
          </w:tcPr>
          <w:p w14:paraId="63A9A8F5" w14:textId="77777777" w:rsidR="651BF5F7" w:rsidRPr="00012B43" w:rsidRDefault="651BF5F7" w:rsidP="00C644B7">
            <w:pPr>
              <w:pStyle w:val="TableText0"/>
              <w:rPr>
                <w:rFonts w:cs="Calibri"/>
                <w:iCs/>
                <w:color w:val="000000" w:themeColor="text1"/>
                <w:lang w:eastAsia="en-AU"/>
              </w:rPr>
            </w:pPr>
            <w:r w:rsidRPr="00012B43">
              <w:rPr>
                <w:rFonts w:cs="Calibri"/>
                <w:iCs/>
                <w:color w:val="000000" w:themeColor="text1"/>
                <w:lang w:eastAsia="en-AU"/>
              </w:rPr>
              <w:t>None</w:t>
            </w:r>
          </w:p>
        </w:tc>
        <w:tc>
          <w:tcPr>
            <w:tcW w:w="1263" w:type="dxa"/>
            <w:shd w:val="clear" w:color="auto" w:fill="auto"/>
          </w:tcPr>
          <w:p w14:paraId="0820CED4" w14:textId="77777777" w:rsidR="651BF5F7" w:rsidRPr="00012B43" w:rsidRDefault="651BF5F7" w:rsidP="00C644B7">
            <w:pPr>
              <w:pStyle w:val="TableText0"/>
              <w:rPr>
                <w:rFonts w:cs="Calibri"/>
                <w:iCs/>
                <w:color w:val="000000" w:themeColor="text1"/>
                <w:lang w:eastAsia="en-AU"/>
              </w:rPr>
            </w:pPr>
            <w:r w:rsidRPr="00012B43">
              <w:rPr>
                <w:rFonts w:cs="Calibri"/>
                <w:iCs/>
                <w:color w:val="000000" w:themeColor="text1"/>
                <w:lang w:eastAsia="en-AU"/>
              </w:rPr>
              <w:t>Yes</w:t>
            </w:r>
          </w:p>
        </w:tc>
        <w:tc>
          <w:tcPr>
            <w:tcW w:w="1562" w:type="dxa"/>
            <w:shd w:val="clear" w:color="auto" w:fill="auto"/>
          </w:tcPr>
          <w:p w14:paraId="5813E979" w14:textId="77777777" w:rsidR="651BF5F7" w:rsidRPr="00012B43" w:rsidRDefault="651BF5F7" w:rsidP="00C644B7">
            <w:pPr>
              <w:pStyle w:val="TableText0"/>
              <w:rPr>
                <w:rFonts w:cs="Calibri"/>
                <w:iCs/>
                <w:color w:val="000000" w:themeColor="text1"/>
                <w:lang w:eastAsia="en-AU"/>
              </w:rPr>
            </w:pPr>
            <w:r w:rsidRPr="00012B43">
              <w:rPr>
                <w:rFonts w:cs="Calibri"/>
                <w:iCs/>
                <w:color w:val="000000" w:themeColor="text1"/>
                <w:lang w:eastAsia="en-AU"/>
              </w:rPr>
              <w:t>Median (IQR) Neuropathic Pain Scale decreased from 6.4 (4.6-8.2) to 2.1 (0.8-4.1) after six months and Median (IQR) Numerical Rating Scale decreased from 8 (7-10) to 3 (0-6) after six months</w:t>
            </w:r>
          </w:p>
        </w:tc>
        <w:tc>
          <w:tcPr>
            <w:tcW w:w="1273" w:type="dxa"/>
            <w:shd w:val="clear" w:color="auto" w:fill="auto"/>
          </w:tcPr>
          <w:p w14:paraId="4BAEF055" w14:textId="704A52C5" w:rsidR="651BF5F7" w:rsidRPr="00012B43" w:rsidRDefault="651BF5F7" w:rsidP="00C644B7">
            <w:pPr>
              <w:pStyle w:val="TableText0"/>
              <w:rPr>
                <w:rFonts w:cs="Calibri"/>
                <w:iCs/>
                <w:color w:val="000000" w:themeColor="text1"/>
                <w:lang w:eastAsia="en-AU"/>
              </w:rPr>
            </w:pPr>
            <w:r w:rsidRPr="00012B43">
              <w:rPr>
                <w:rFonts w:cs="Calibri"/>
                <w:iCs/>
                <w:color w:val="000000" w:themeColor="text1"/>
                <w:lang w:eastAsia="en-AU"/>
              </w:rPr>
              <w:t xml:space="preserve">7 </w:t>
            </w:r>
            <w:r w:rsidR="00E70AD3" w:rsidRPr="00012B43">
              <w:rPr>
                <w:rFonts w:cs="Calibri"/>
                <w:iCs/>
                <w:color w:val="000000" w:themeColor="text1"/>
                <w:lang w:eastAsia="en-AU"/>
              </w:rPr>
              <w:t>p</w:t>
            </w:r>
            <w:r w:rsidRPr="00012B43">
              <w:rPr>
                <w:rFonts w:cs="Calibri"/>
                <w:iCs/>
                <w:color w:val="000000" w:themeColor="text1"/>
                <w:lang w:eastAsia="en-AU"/>
              </w:rPr>
              <w:t>articipants received a second dose of PENS during follow-up</w:t>
            </w:r>
          </w:p>
        </w:tc>
      </w:tr>
      <w:tr w:rsidR="00D53022" w:rsidRPr="00012B43" w14:paraId="3C66C8D2" w14:textId="77777777" w:rsidTr="00D53022">
        <w:trPr>
          <w:trHeight w:val="2325"/>
        </w:trPr>
        <w:tc>
          <w:tcPr>
            <w:tcW w:w="308" w:type="dxa"/>
          </w:tcPr>
          <w:p w14:paraId="4781D1FC" w14:textId="77777777" w:rsidR="651BF5F7" w:rsidRPr="00012B43" w:rsidRDefault="651BF5F7" w:rsidP="00C644B7">
            <w:pPr>
              <w:pStyle w:val="TableText0"/>
              <w:rPr>
                <w:rFonts w:cs="Calibri"/>
                <w:iCs/>
                <w:color w:val="000000" w:themeColor="text1"/>
                <w:lang w:eastAsia="en-AU"/>
              </w:rPr>
            </w:pPr>
            <w:r w:rsidRPr="00012B43">
              <w:rPr>
                <w:rFonts w:cs="Calibri"/>
                <w:iCs/>
                <w:color w:val="000000" w:themeColor="text1"/>
                <w:lang w:eastAsia="en-AU"/>
              </w:rPr>
              <w:t>2</w:t>
            </w:r>
          </w:p>
        </w:tc>
        <w:tc>
          <w:tcPr>
            <w:tcW w:w="851" w:type="dxa"/>
            <w:shd w:val="clear" w:color="auto" w:fill="auto"/>
          </w:tcPr>
          <w:p w14:paraId="615E8D48" w14:textId="77777777" w:rsidR="651BF5F7" w:rsidRPr="00012B43" w:rsidRDefault="651BF5F7" w:rsidP="00C644B7">
            <w:pPr>
              <w:pStyle w:val="TableText0"/>
              <w:rPr>
                <w:rFonts w:cs="Calibri"/>
                <w:iCs/>
                <w:color w:val="000000" w:themeColor="text1"/>
                <w:lang w:eastAsia="en-AU"/>
              </w:rPr>
            </w:pPr>
            <w:r w:rsidRPr="00012B43">
              <w:rPr>
                <w:rFonts w:cs="Calibri"/>
                <w:iCs/>
                <w:color w:val="000000" w:themeColor="text1"/>
                <w:lang w:eastAsia="en-AU"/>
              </w:rPr>
              <w:t>Raphael (2011)</w:t>
            </w:r>
          </w:p>
        </w:tc>
        <w:tc>
          <w:tcPr>
            <w:tcW w:w="849" w:type="dxa"/>
            <w:shd w:val="clear" w:color="auto" w:fill="auto"/>
          </w:tcPr>
          <w:p w14:paraId="0FB2B8AA" w14:textId="77777777" w:rsidR="651BF5F7" w:rsidRPr="00012B43" w:rsidRDefault="651BF5F7" w:rsidP="00C644B7">
            <w:pPr>
              <w:pStyle w:val="TableText0"/>
              <w:rPr>
                <w:rFonts w:cs="Calibri"/>
                <w:iCs/>
                <w:color w:val="000000" w:themeColor="text1"/>
                <w:lang w:eastAsia="en-AU"/>
              </w:rPr>
            </w:pPr>
            <w:r w:rsidRPr="00012B43">
              <w:rPr>
                <w:rFonts w:cs="Calibri"/>
                <w:iCs/>
                <w:color w:val="000000" w:themeColor="text1"/>
                <w:lang w:eastAsia="en-AU"/>
              </w:rPr>
              <w:t>31</w:t>
            </w:r>
          </w:p>
        </w:tc>
        <w:tc>
          <w:tcPr>
            <w:tcW w:w="1409" w:type="dxa"/>
            <w:shd w:val="clear" w:color="auto" w:fill="auto"/>
          </w:tcPr>
          <w:p w14:paraId="5F3A2C31" w14:textId="77777777" w:rsidR="651BF5F7" w:rsidRPr="00012B43" w:rsidRDefault="651BF5F7" w:rsidP="00C644B7">
            <w:pPr>
              <w:pStyle w:val="TableText0"/>
              <w:rPr>
                <w:rFonts w:cs="Calibri"/>
                <w:iCs/>
                <w:color w:val="000000" w:themeColor="text1"/>
                <w:lang w:eastAsia="en-AU"/>
              </w:rPr>
            </w:pPr>
            <w:r w:rsidRPr="00012B43">
              <w:rPr>
                <w:rFonts w:cs="Calibri"/>
                <w:iCs/>
                <w:color w:val="000000" w:themeColor="text1"/>
                <w:lang w:eastAsia="en-AU"/>
              </w:rPr>
              <w:t xml:space="preserve">Patients aged 23 to 84 years old who had experienced pain for &gt;6 months and had a localised area of hyperalgesia </w:t>
            </w:r>
          </w:p>
        </w:tc>
        <w:tc>
          <w:tcPr>
            <w:tcW w:w="1275" w:type="dxa"/>
            <w:shd w:val="clear" w:color="auto" w:fill="auto"/>
          </w:tcPr>
          <w:p w14:paraId="79E031B2" w14:textId="77777777" w:rsidR="651BF5F7" w:rsidRPr="00012B43" w:rsidRDefault="651BF5F7" w:rsidP="00C644B7">
            <w:pPr>
              <w:pStyle w:val="TableText0"/>
              <w:rPr>
                <w:rFonts w:cs="Calibri"/>
                <w:iCs/>
                <w:color w:val="000000" w:themeColor="text1"/>
                <w:lang w:eastAsia="en-AU"/>
              </w:rPr>
            </w:pPr>
            <w:r w:rsidRPr="00012B43">
              <w:rPr>
                <w:rFonts w:cs="Calibri"/>
                <w:iCs/>
                <w:color w:val="000000" w:themeColor="text1"/>
                <w:lang w:eastAsia="en-AU"/>
              </w:rPr>
              <w:t>Single needle probe used for one-off 25 minute dose of PENS</w:t>
            </w:r>
          </w:p>
        </w:tc>
        <w:tc>
          <w:tcPr>
            <w:tcW w:w="1133" w:type="dxa"/>
            <w:shd w:val="clear" w:color="auto" w:fill="auto"/>
          </w:tcPr>
          <w:p w14:paraId="5424618A" w14:textId="77777777" w:rsidR="651BF5F7" w:rsidRPr="00012B43" w:rsidRDefault="651BF5F7" w:rsidP="00C644B7">
            <w:pPr>
              <w:pStyle w:val="TableText0"/>
              <w:rPr>
                <w:rFonts w:cs="Calibri"/>
                <w:iCs/>
                <w:color w:val="000000" w:themeColor="text1"/>
                <w:lang w:eastAsia="en-AU"/>
              </w:rPr>
            </w:pPr>
            <w:r w:rsidRPr="00012B43">
              <w:rPr>
                <w:rFonts w:cs="Calibri"/>
                <w:iCs/>
                <w:color w:val="000000" w:themeColor="text1"/>
                <w:lang w:eastAsia="en-AU"/>
              </w:rPr>
              <w:t>Sham PENS</w:t>
            </w:r>
          </w:p>
        </w:tc>
        <w:tc>
          <w:tcPr>
            <w:tcW w:w="1263" w:type="dxa"/>
            <w:shd w:val="clear" w:color="auto" w:fill="auto"/>
          </w:tcPr>
          <w:p w14:paraId="43C58994" w14:textId="77777777" w:rsidR="651BF5F7" w:rsidRPr="00012B43" w:rsidRDefault="651BF5F7" w:rsidP="00C644B7">
            <w:pPr>
              <w:pStyle w:val="TableText0"/>
              <w:rPr>
                <w:rFonts w:cs="Calibri"/>
                <w:iCs/>
                <w:color w:val="000000" w:themeColor="text1"/>
                <w:lang w:eastAsia="en-AU"/>
              </w:rPr>
            </w:pPr>
            <w:r w:rsidRPr="00012B43">
              <w:rPr>
                <w:rFonts w:cs="Calibri"/>
                <w:iCs/>
                <w:color w:val="000000" w:themeColor="text1"/>
                <w:lang w:eastAsia="en-AU"/>
              </w:rPr>
              <w:t>Patients who had previously experienced pain relief from previous treatments were excluded</w:t>
            </w:r>
          </w:p>
        </w:tc>
        <w:tc>
          <w:tcPr>
            <w:tcW w:w="1562" w:type="dxa"/>
            <w:shd w:val="clear" w:color="auto" w:fill="auto"/>
          </w:tcPr>
          <w:p w14:paraId="71DDA867" w14:textId="77777777" w:rsidR="651BF5F7" w:rsidRPr="00012B43" w:rsidRDefault="651BF5F7" w:rsidP="00C644B7">
            <w:pPr>
              <w:pStyle w:val="TableText0"/>
              <w:rPr>
                <w:rFonts w:cs="Calibri"/>
                <w:iCs/>
                <w:color w:val="000000" w:themeColor="text1"/>
                <w:lang w:eastAsia="en-AU"/>
              </w:rPr>
            </w:pPr>
            <w:r w:rsidRPr="00012B43">
              <w:rPr>
                <w:rFonts w:cs="Calibri"/>
                <w:iCs/>
                <w:color w:val="000000" w:themeColor="text1"/>
                <w:lang w:eastAsia="en-AU"/>
              </w:rPr>
              <w:t>Median (range) Numerical Rating Scale decreased from 7.5 (6-10) to 0.5 (0-8.5) and Mean (range) pain pressure threshold increased from 202gm (55-800) to 626gm (45-800)</w:t>
            </w:r>
          </w:p>
        </w:tc>
        <w:tc>
          <w:tcPr>
            <w:tcW w:w="1273" w:type="dxa"/>
            <w:shd w:val="clear" w:color="auto" w:fill="auto"/>
          </w:tcPr>
          <w:p w14:paraId="08790E8A" w14:textId="77777777" w:rsidR="651BF5F7" w:rsidRPr="00012B43" w:rsidRDefault="651BF5F7" w:rsidP="00C644B7">
            <w:pPr>
              <w:pStyle w:val="TableText0"/>
              <w:rPr>
                <w:rFonts w:cs="Calibri"/>
                <w:iCs/>
                <w:color w:val="000000" w:themeColor="text1"/>
                <w:lang w:eastAsia="en-AU"/>
              </w:rPr>
            </w:pPr>
            <w:r w:rsidRPr="00012B43">
              <w:rPr>
                <w:rFonts w:cs="Calibri"/>
                <w:iCs/>
                <w:color w:val="000000" w:themeColor="text1"/>
                <w:lang w:eastAsia="en-AU"/>
              </w:rPr>
              <w:t>Comparison made pre and post treatment, no specified follow-up. Crossover did not occur due to loss of blinding after second treatment</w:t>
            </w:r>
          </w:p>
        </w:tc>
      </w:tr>
      <w:tr w:rsidR="001A19A1" w:rsidRPr="00012B43" w14:paraId="604C6773" w14:textId="77777777" w:rsidTr="00D53022">
        <w:trPr>
          <w:trHeight w:val="272"/>
        </w:trPr>
        <w:tc>
          <w:tcPr>
            <w:tcW w:w="9923" w:type="dxa"/>
            <w:gridSpan w:val="9"/>
            <w:tcBorders>
              <w:top w:val="single" w:sz="4" w:space="0" w:color="auto"/>
              <w:left w:val="single" w:sz="4" w:space="0" w:color="auto"/>
              <w:bottom w:val="single" w:sz="4" w:space="0" w:color="auto"/>
              <w:right w:val="single" w:sz="4" w:space="0" w:color="auto"/>
            </w:tcBorders>
          </w:tcPr>
          <w:p w14:paraId="13813EA1" w14:textId="71CE595E" w:rsidR="001A19A1" w:rsidRPr="00012B43" w:rsidRDefault="001A19A1" w:rsidP="00C644B7">
            <w:pPr>
              <w:pStyle w:val="TableText0"/>
              <w:rPr>
                <w:rFonts w:cs="Calibri"/>
                <w:b/>
                <w:bCs/>
                <w:iCs/>
                <w:color w:val="000000" w:themeColor="text1"/>
                <w:lang w:eastAsia="en-AU"/>
              </w:rPr>
            </w:pPr>
            <w:r w:rsidRPr="00012B43">
              <w:rPr>
                <w:rFonts w:cs="Calibri"/>
                <w:b/>
                <w:bCs/>
                <w:iCs/>
                <w:color w:val="000000" w:themeColor="text1"/>
                <w:lang w:eastAsia="en-AU"/>
              </w:rPr>
              <w:t>Studies relevant to other types of PENS that are not the subject of this application</w:t>
            </w:r>
          </w:p>
        </w:tc>
      </w:tr>
      <w:tr w:rsidR="00D53022" w:rsidRPr="00012B43" w14:paraId="119E42DE" w14:textId="77777777" w:rsidTr="00D53022">
        <w:trPr>
          <w:trHeight w:val="1200"/>
        </w:trPr>
        <w:tc>
          <w:tcPr>
            <w:tcW w:w="308" w:type="dxa"/>
          </w:tcPr>
          <w:p w14:paraId="5250CEF6" w14:textId="77777777" w:rsidR="651BF5F7" w:rsidRPr="00012B43" w:rsidRDefault="651BF5F7" w:rsidP="00C644B7">
            <w:pPr>
              <w:pStyle w:val="TableText0"/>
              <w:rPr>
                <w:rFonts w:cs="Calibri"/>
                <w:iCs/>
                <w:color w:val="000000" w:themeColor="text1"/>
                <w:lang w:eastAsia="en-AU"/>
              </w:rPr>
            </w:pPr>
            <w:r w:rsidRPr="00012B43">
              <w:rPr>
                <w:rFonts w:cs="Calibri"/>
                <w:iCs/>
                <w:color w:val="000000" w:themeColor="text1"/>
                <w:lang w:eastAsia="en-AU"/>
              </w:rPr>
              <w:t>3</w:t>
            </w:r>
          </w:p>
        </w:tc>
        <w:tc>
          <w:tcPr>
            <w:tcW w:w="851" w:type="dxa"/>
          </w:tcPr>
          <w:p w14:paraId="0D1FE7BE" w14:textId="77777777" w:rsidR="651BF5F7" w:rsidRPr="00012B43" w:rsidRDefault="651BF5F7" w:rsidP="00C644B7">
            <w:pPr>
              <w:pStyle w:val="TableText0"/>
              <w:rPr>
                <w:rFonts w:cs="Calibri"/>
                <w:iCs/>
                <w:color w:val="000000" w:themeColor="text1"/>
                <w:lang w:eastAsia="en-AU"/>
              </w:rPr>
            </w:pPr>
            <w:r w:rsidRPr="00012B43">
              <w:rPr>
                <w:rFonts w:cs="Calibri"/>
                <w:iCs/>
                <w:color w:val="000000" w:themeColor="text1"/>
                <w:lang w:eastAsia="en-AU"/>
              </w:rPr>
              <w:t>Weiner (2008)</w:t>
            </w:r>
          </w:p>
        </w:tc>
        <w:tc>
          <w:tcPr>
            <w:tcW w:w="849" w:type="dxa"/>
          </w:tcPr>
          <w:p w14:paraId="50AA333F" w14:textId="77777777" w:rsidR="651BF5F7" w:rsidRPr="00012B43" w:rsidRDefault="651BF5F7" w:rsidP="00C644B7">
            <w:pPr>
              <w:pStyle w:val="TableText0"/>
              <w:rPr>
                <w:rFonts w:cs="Calibri"/>
                <w:iCs/>
                <w:color w:val="000000" w:themeColor="text1"/>
                <w:lang w:eastAsia="en-AU"/>
              </w:rPr>
            </w:pPr>
            <w:r w:rsidRPr="00012B43">
              <w:rPr>
                <w:rFonts w:cs="Calibri"/>
                <w:iCs/>
                <w:color w:val="000000" w:themeColor="text1"/>
                <w:lang w:eastAsia="en-AU"/>
              </w:rPr>
              <w:t>200</w:t>
            </w:r>
          </w:p>
        </w:tc>
        <w:tc>
          <w:tcPr>
            <w:tcW w:w="1409" w:type="dxa"/>
          </w:tcPr>
          <w:p w14:paraId="3B8D2783" w14:textId="77777777" w:rsidR="651BF5F7" w:rsidRPr="00012B43" w:rsidRDefault="651BF5F7" w:rsidP="00C644B7">
            <w:pPr>
              <w:pStyle w:val="TableText0"/>
              <w:rPr>
                <w:rFonts w:cs="Calibri"/>
                <w:iCs/>
                <w:color w:val="000000" w:themeColor="text1"/>
                <w:lang w:eastAsia="en-AU"/>
              </w:rPr>
            </w:pPr>
            <w:r w:rsidRPr="00012B43">
              <w:rPr>
                <w:rFonts w:cs="Calibri"/>
                <w:iCs/>
                <w:color w:val="000000" w:themeColor="text1"/>
                <w:lang w:eastAsia="en-AU"/>
              </w:rPr>
              <w:t>Participants aged ≥65 years old who had daily back pains lasting for over 3 months</w:t>
            </w:r>
          </w:p>
        </w:tc>
        <w:tc>
          <w:tcPr>
            <w:tcW w:w="1275" w:type="dxa"/>
          </w:tcPr>
          <w:p w14:paraId="508A4496" w14:textId="77777777" w:rsidR="651BF5F7" w:rsidRPr="00012B43" w:rsidRDefault="651BF5F7" w:rsidP="00C644B7">
            <w:pPr>
              <w:pStyle w:val="TableText0"/>
              <w:rPr>
                <w:rFonts w:cs="Calibri"/>
                <w:iCs/>
                <w:color w:val="000000" w:themeColor="text1"/>
                <w:lang w:eastAsia="en-AU"/>
              </w:rPr>
            </w:pPr>
            <w:r w:rsidRPr="00012B43">
              <w:rPr>
                <w:rFonts w:cs="Calibri"/>
                <w:iCs/>
                <w:color w:val="000000" w:themeColor="text1"/>
                <w:lang w:eastAsia="en-AU"/>
              </w:rPr>
              <w:t>10 needle probes used for one 30 minute dose of PENS given twice a week for 6 months</w:t>
            </w:r>
          </w:p>
        </w:tc>
        <w:tc>
          <w:tcPr>
            <w:tcW w:w="1133" w:type="dxa"/>
          </w:tcPr>
          <w:p w14:paraId="3DDCC99B" w14:textId="77777777" w:rsidR="651BF5F7" w:rsidRPr="00012B43" w:rsidRDefault="651BF5F7" w:rsidP="00C644B7">
            <w:pPr>
              <w:pStyle w:val="TableText0"/>
              <w:rPr>
                <w:rFonts w:cs="Calibri"/>
                <w:iCs/>
                <w:color w:val="000000" w:themeColor="text1"/>
                <w:lang w:eastAsia="en-AU"/>
              </w:rPr>
            </w:pPr>
            <w:r w:rsidRPr="00012B43">
              <w:rPr>
                <w:rFonts w:cs="Calibri"/>
                <w:iCs/>
                <w:color w:val="000000" w:themeColor="text1"/>
                <w:lang w:eastAsia="en-AU"/>
              </w:rPr>
              <w:t>Stimulation at T12 dermatome just above lumbar region and/or general conditioning and exercise</w:t>
            </w:r>
          </w:p>
        </w:tc>
        <w:tc>
          <w:tcPr>
            <w:tcW w:w="1263" w:type="dxa"/>
          </w:tcPr>
          <w:p w14:paraId="471D261D" w14:textId="77777777" w:rsidR="651BF5F7" w:rsidRPr="00012B43" w:rsidRDefault="651BF5F7" w:rsidP="00C644B7">
            <w:pPr>
              <w:pStyle w:val="TableText0"/>
              <w:rPr>
                <w:rFonts w:cs="Calibri"/>
                <w:iCs/>
                <w:color w:val="000000" w:themeColor="text1"/>
                <w:lang w:eastAsia="en-AU"/>
              </w:rPr>
            </w:pPr>
            <w:r w:rsidRPr="00012B43">
              <w:rPr>
                <w:rFonts w:cs="Calibri"/>
                <w:iCs/>
                <w:color w:val="000000" w:themeColor="text1"/>
                <w:lang w:eastAsia="en-AU"/>
              </w:rPr>
              <w:t>Yes</w:t>
            </w:r>
          </w:p>
        </w:tc>
        <w:tc>
          <w:tcPr>
            <w:tcW w:w="1562" w:type="dxa"/>
          </w:tcPr>
          <w:p w14:paraId="66D113A1" w14:textId="77777777" w:rsidR="651BF5F7" w:rsidRPr="00012B43" w:rsidRDefault="651BF5F7" w:rsidP="00C644B7">
            <w:pPr>
              <w:pStyle w:val="TableText0"/>
              <w:rPr>
                <w:rFonts w:cs="Calibri"/>
                <w:iCs/>
                <w:color w:val="000000" w:themeColor="text1"/>
                <w:lang w:eastAsia="en-AU"/>
              </w:rPr>
            </w:pPr>
            <w:r w:rsidRPr="00012B43">
              <w:rPr>
                <w:rFonts w:cs="Calibri"/>
                <w:iCs/>
                <w:color w:val="000000" w:themeColor="text1"/>
                <w:lang w:eastAsia="en-AU"/>
              </w:rPr>
              <w:t>All groups reported reductions in McGill Pain Questionnaire scores</w:t>
            </w:r>
          </w:p>
        </w:tc>
        <w:tc>
          <w:tcPr>
            <w:tcW w:w="1273" w:type="dxa"/>
          </w:tcPr>
          <w:p w14:paraId="0AA4F50C" w14:textId="229B1751" w:rsidR="651BF5F7" w:rsidRPr="00012B43" w:rsidRDefault="651BF5F7" w:rsidP="00C644B7">
            <w:pPr>
              <w:pStyle w:val="TableText0"/>
              <w:rPr>
                <w:rFonts w:cs="Calibri"/>
                <w:iCs/>
                <w:color w:val="000000" w:themeColor="text1"/>
                <w:lang w:eastAsia="en-AU"/>
              </w:rPr>
            </w:pPr>
            <w:r w:rsidRPr="00012B43">
              <w:rPr>
                <w:rFonts w:cs="Calibri"/>
                <w:iCs/>
                <w:color w:val="000000" w:themeColor="text1"/>
                <w:lang w:eastAsia="en-AU"/>
              </w:rPr>
              <w:t xml:space="preserve">Control PENS probably was effective in </w:t>
            </w:r>
            <w:r w:rsidR="65823BD9" w:rsidRPr="00012B43">
              <w:rPr>
                <w:rFonts w:cs="Calibri"/>
                <w:iCs/>
                <w:color w:val="000000" w:themeColor="text1"/>
                <w:lang w:eastAsia="en-AU"/>
              </w:rPr>
              <w:t>relieving</w:t>
            </w:r>
            <w:r w:rsidRPr="00012B43">
              <w:rPr>
                <w:rFonts w:cs="Calibri"/>
                <w:iCs/>
                <w:color w:val="000000" w:themeColor="text1"/>
                <w:lang w:eastAsia="en-AU"/>
              </w:rPr>
              <w:t xml:space="preserve"> pain as it was applied to adjacent dermatomes</w:t>
            </w:r>
          </w:p>
        </w:tc>
      </w:tr>
      <w:tr w:rsidR="00D53022" w:rsidRPr="00012B43" w14:paraId="419BD2A0" w14:textId="77777777" w:rsidTr="00D53022">
        <w:trPr>
          <w:trHeight w:val="1200"/>
        </w:trPr>
        <w:tc>
          <w:tcPr>
            <w:tcW w:w="308" w:type="dxa"/>
          </w:tcPr>
          <w:p w14:paraId="14CE84E1" w14:textId="5A6166CA" w:rsidR="651BF5F7" w:rsidRPr="00012B43" w:rsidRDefault="651BF5F7" w:rsidP="00C644B7">
            <w:pPr>
              <w:pStyle w:val="TableText0"/>
              <w:rPr>
                <w:rFonts w:cs="Calibri"/>
                <w:iCs/>
                <w:color w:val="000000" w:themeColor="text1"/>
                <w:lang w:eastAsia="en-AU"/>
              </w:rPr>
            </w:pPr>
            <w:r w:rsidRPr="00012B43">
              <w:rPr>
                <w:rFonts w:cs="Calibri"/>
                <w:iCs/>
                <w:color w:val="000000" w:themeColor="text1"/>
                <w:lang w:eastAsia="en-AU"/>
              </w:rPr>
              <w:t>4</w:t>
            </w:r>
          </w:p>
        </w:tc>
        <w:tc>
          <w:tcPr>
            <w:tcW w:w="851" w:type="dxa"/>
          </w:tcPr>
          <w:p w14:paraId="2BC57C16" w14:textId="77777777" w:rsidR="651BF5F7" w:rsidRPr="00012B43" w:rsidRDefault="651BF5F7" w:rsidP="00C644B7">
            <w:pPr>
              <w:pStyle w:val="TableText0"/>
              <w:rPr>
                <w:rFonts w:cs="Calibri"/>
                <w:iCs/>
                <w:color w:val="000000" w:themeColor="text1"/>
                <w:lang w:eastAsia="en-AU"/>
              </w:rPr>
            </w:pPr>
            <w:r w:rsidRPr="00012B43">
              <w:rPr>
                <w:rFonts w:cs="Calibri"/>
                <w:iCs/>
                <w:color w:val="000000" w:themeColor="text1"/>
                <w:lang w:eastAsia="en-AU"/>
              </w:rPr>
              <w:t>Hamza (2000)</w:t>
            </w:r>
          </w:p>
        </w:tc>
        <w:tc>
          <w:tcPr>
            <w:tcW w:w="849" w:type="dxa"/>
          </w:tcPr>
          <w:p w14:paraId="5048E9BB" w14:textId="77777777" w:rsidR="651BF5F7" w:rsidRPr="00012B43" w:rsidRDefault="651BF5F7" w:rsidP="00C644B7">
            <w:pPr>
              <w:pStyle w:val="TableText0"/>
              <w:rPr>
                <w:rFonts w:cs="Calibri"/>
                <w:iCs/>
                <w:color w:val="000000" w:themeColor="text1"/>
                <w:lang w:eastAsia="en-AU"/>
              </w:rPr>
            </w:pPr>
            <w:r w:rsidRPr="00012B43">
              <w:rPr>
                <w:rFonts w:cs="Calibri"/>
                <w:iCs/>
                <w:color w:val="000000" w:themeColor="text1"/>
                <w:lang w:eastAsia="en-AU"/>
              </w:rPr>
              <w:t>50</w:t>
            </w:r>
          </w:p>
        </w:tc>
        <w:tc>
          <w:tcPr>
            <w:tcW w:w="1409" w:type="dxa"/>
          </w:tcPr>
          <w:p w14:paraId="4D90BB2B" w14:textId="77777777" w:rsidR="651BF5F7" w:rsidRPr="00012B43" w:rsidRDefault="651BF5F7" w:rsidP="00C644B7">
            <w:pPr>
              <w:pStyle w:val="TableText0"/>
              <w:rPr>
                <w:rFonts w:cs="Calibri"/>
                <w:iCs/>
                <w:color w:val="000000" w:themeColor="text1"/>
                <w:lang w:eastAsia="en-AU"/>
              </w:rPr>
            </w:pPr>
            <w:r w:rsidRPr="00012B43">
              <w:rPr>
                <w:rFonts w:cs="Calibri"/>
                <w:iCs/>
                <w:color w:val="000000" w:themeColor="text1"/>
                <w:lang w:eastAsia="en-AU"/>
              </w:rPr>
              <w:t>Adults with Type II diabetes who had painful peripheral neuropathic pain for &gt;6 months in their legs/feet</w:t>
            </w:r>
          </w:p>
        </w:tc>
        <w:tc>
          <w:tcPr>
            <w:tcW w:w="1275" w:type="dxa"/>
          </w:tcPr>
          <w:p w14:paraId="38D22BAA" w14:textId="77777777" w:rsidR="651BF5F7" w:rsidRPr="00012B43" w:rsidRDefault="651BF5F7" w:rsidP="00C644B7">
            <w:pPr>
              <w:pStyle w:val="TableText0"/>
              <w:rPr>
                <w:rFonts w:cs="Calibri"/>
                <w:iCs/>
                <w:color w:val="000000" w:themeColor="text1"/>
                <w:lang w:eastAsia="en-AU"/>
              </w:rPr>
            </w:pPr>
            <w:r w:rsidRPr="00012B43">
              <w:rPr>
                <w:rFonts w:cs="Calibri"/>
                <w:iCs/>
                <w:color w:val="000000" w:themeColor="text1"/>
                <w:lang w:eastAsia="en-AU"/>
              </w:rPr>
              <w:t>10 needle probes used for one 30 minute dose of PENS given three times a week over three consecutive weeks</w:t>
            </w:r>
          </w:p>
        </w:tc>
        <w:tc>
          <w:tcPr>
            <w:tcW w:w="1133" w:type="dxa"/>
          </w:tcPr>
          <w:p w14:paraId="02CC1D19" w14:textId="77777777" w:rsidR="651BF5F7" w:rsidRPr="00012B43" w:rsidRDefault="651BF5F7" w:rsidP="00C644B7">
            <w:pPr>
              <w:pStyle w:val="TableText0"/>
              <w:rPr>
                <w:rFonts w:cs="Calibri"/>
                <w:iCs/>
                <w:color w:val="000000" w:themeColor="text1"/>
                <w:lang w:eastAsia="en-AU"/>
              </w:rPr>
            </w:pPr>
            <w:r w:rsidRPr="00012B43">
              <w:rPr>
                <w:rFonts w:cs="Calibri"/>
                <w:iCs/>
                <w:color w:val="000000" w:themeColor="text1"/>
                <w:lang w:eastAsia="en-AU"/>
              </w:rPr>
              <w:t>Sham PENS</w:t>
            </w:r>
          </w:p>
        </w:tc>
        <w:tc>
          <w:tcPr>
            <w:tcW w:w="1263" w:type="dxa"/>
          </w:tcPr>
          <w:p w14:paraId="0755A38B" w14:textId="77777777" w:rsidR="651BF5F7" w:rsidRPr="00012B43" w:rsidRDefault="651BF5F7" w:rsidP="00C644B7">
            <w:pPr>
              <w:pStyle w:val="TableText0"/>
              <w:rPr>
                <w:rFonts w:cs="Calibri"/>
                <w:iCs/>
                <w:color w:val="000000" w:themeColor="text1"/>
                <w:lang w:eastAsia="en-AU"/>
              </w:rPr>
            </w:pPr>
            <w:r w:rsidRPr="00012B43">
              <w:rPr>
                <w:rFonts w:cs="Calibri"/>
                <w:iCs/>
                <w:color w:val="000000" w:themeColor="text1"/>
                <w:lang w:eastAsia="en-AU"/>
              </w:rPr>
              <w:t>Yes</w:t>
            </w:r>
          </w:p>
        </w:tc>
        <w:tc>
          <w:tcPr>
            <w:tcW w:w="1562" w:type="dxa"/>
          </w:tcPr>
          <w:p w14:paraId="7CEC5829" w14:textId="77777777" w:rsidR="651BF5F7" w:rsidRPr="00012B43" w:rsidRDefault="651BF5F7" w:rsidP="00C644B7">
            <w:pPr>
              <w:pStyle w:val="TableText0"/>
              <w:rPr>
                <w:rFonts w:cs="Calibri"/>
                <w:iCs/>
                <w:color w:val="000000" w:themeColor="text1"/>
                <w:lang w:eastAsia="en-AU"/>
              </w:rPr>
            </w:pPr>
            <w:r w:rsidRPr="00012B43">
              <w:rPr>
                <w:rFonts w:cs="Calibri"/>
                <w:iCs/>
                <w:color w:val="000000" w:themeColor="text1"/>
                <w:lang w:eastAsia="en-AU"/>
              </w:rPr>
              <w:t xml:space="preserve">In the active group mean (SD) VAS pain scores reduced from 6.2 (±1) to 2.5 (±0.9) and mean (SD) analgesic consumption reduced from 3.3 (±1.3) pills/day to 1.3 (±0.6) pills/day. The control group saw no significant difference in pain score or analgesic consumption </w:t>
            </w:r>
          </w:p>
        </w:tc>
        <w:tc>
          <w:tcPr>
            <w:tcW w:w="1273" w:type="dxa"/>
          </w:tcPr>
          <w:p w14:paraId="33D8682C" w14:textId="77777777" w:rsidR="651BF5F7" w:rsidRPr="00012B43" w:rsidRDefault="651BF5F7" w:rsidP="00C644B7">
            <w:pPr>
              <w:pStyle w:val="TableText0"/>
              <w:rPr>
                <w:rFonts w:cs="Calibri"/>
                <w:iCs/>
                <w:color w:val="000000" w:themeColor="text1"/>
                <w:lang w:eastAsia="en-AU"/>
              </w:rPr>
            </w:pPr>
          </w:p>
        </w:tc>
      </w:tr>
      <w:tr w:rsidR="00D53022" w:rsidRPr="00012B43" w14:paraId="58C564B9" w14:textId="77777777" w:rsidTr="00D53022">
        <w:trPr>
          <w:trHeight w:val="990"/>
        </w:trPr>
        <w:tc>
          <w:tcPr>
            <w:tcW w:w="308" w:type="dxa"/>
          </w:tcPr>
          <w:p w14:paraId="67AEA0DA" w14:textId="04CBFF20" w:rsidR="651BF5F7" w:rsidRPr="00012B43" w:rsidRDefault="651BF5F7" w:rsidP="00C644B7">
            <w:pPr>
              <w:pStyle w:val="TableText0"/>
              <w:rPr>
                <w:rFonts w:cs="Calibri"/>
                <w:iCs/>
                <w:color w:val="000000" w:themeColor="text1"/>
                <w:lang w:eastAsia="en-AU"/>
              </w:rPr>
            </w:pPr>
            <w:r w:rsidRPr="00012B43">
              <w:rPr>
                <w:rFonts w:cs="Calibri"/>
                <w:iCs/>
                <w:color w:val="000000" w:themeColor="text1"/>
                <w:lang w:eastAsia="en-AU"/>
              </w:rPr>
              <w:lastRenderedPageBreak/>
              <w:t>5</w:t>
            </w:r>
          </w:p>
        </w:tc>
        <w:tc>
          <w:tcPr>
            <w:tcW w:w="851" w:type="dxa"/>
          </w:tcPr>
          <w:p w14:paraId="384AA0C8" w14:textId="77777777" w:rsidR="651BF5F7" w:rsidRPr="00012B43" w:rsidRDefault="651BF5F7" w:rsidP="00C644B7">
            <w:pPr>
              <w:pStyle w:val="TableText0"/>
              <w:rPr>
                <w:rFonts w:cs="Calibri"/>
                <w:iCs/>
                <w:color w:val="000000" w:themeColor="text1"/>
                <w:lang w:eastAsia="en-AU"/>
              </w:rPr>
            </w:pPr>
            <w:r w:rsidRPr="00012B43">
              <w:rPr>
                <w:rFonts w:cs="Calibri"/>
                <w:iCs/>
                <w:color w:val="000000" w:themeColor="text1"/>
                <w:lang w:eastAsia="en-AU"/>
              </w:rPr>
              <w:t>Hamza (1999)</w:t>
            </w:r>
          </w:p>
        </w:tc>
        <w:tc>
          <w:tcPr>
            <w:tcW w:w="849" w:type="dxa"/>
          </w:tcPr>
          <w:p w14:paraId="09D03537" w14:textId="77777777" w:rsidR="651BF5F7" w:rsidRPr="00012B43" w:rsidRDefault="651BF5F7" w:rsidP="00C644B7">
            <w:pPr>
              <w:pStyle w:val="TableText0"/>
              <w:rPr>
                <w:rFonts w:cs="Calibri"/>
                <w:iCs/>
                <w:color w:val="000000" w:themeColor="text1"/>
                <w:lang w:eastAsia="en-AU"/>
              </w:rPr>
            </w:pPr>
            <w:r w:rsidRPr="00012B43">
              <w:rPr>
                <w:rFonts w:cs="Calibri"/>
                <w:iCs/>
                <w:color w:val="000000" w:themeColor="text1"/>
                <w:lang w:eastAsia="en-AU"/>
              </w:rPr>
              <w:t>75</w:t>
            </w:r>
          </w:p>
        </w:tc>
        <w:tc>
          <w:tcPr>
            <w:tcW w:w="1409" w:type="dxa"/>
          </w:tcPr>
          <w:p w14:paraId="3AB09190" w14:textId="77777777" w:rsidR="651BF5F7" w:rsidRPr="00012B43" w:rsidRDefault="651BF5F7" w:rsidP="00C644B7">
            <w:pPr>
              <w:pStyle w:val="TableText0"/>
              <w:rPr>
                <w:rFonts w:cs="Calibri"/>
                <w:iCs/>
                <w:color w:val="000000" w:themeColor="text1"/>
                <w:lang w:eastAsia="en-AU"/>
              </w:rPr>
            </w:pPr>
            <w:r w:rsidRPr="00012B43">
              <w:rPr>
                <w:rFonts w:cs="Calibri"/>
                <w:iCs/>
                <w:color w:val="000000" w:themeColor="text1"/>
                <w:lang w:eastAsia="en-AU"/>
              </w:rPr>
              <w:t>Participants aged 21-76 who had lower back pain that had persisted for &gt;3 months</w:t>
            </w:r>
          </w:p>
        </w:tc>
        <w:tc>
          <w:tcPr>
            <w:tcW w:w="1275" w:type="dxa"/>
          </w:tcPr>
          <w:p w14:paraId="6194ECFA" w14:textId="77777777" w:rsidR="651BF5F7" w:rsidRPr="00012B43" w:rsidRDefault="651BF5F7" w:rsidP="00C644B7">
            <w:pPr>
              <w:pStyle w:val="TableText0"/>
              <w:rPr>
                <w:rFonts w:cs="Calibri"/>
                <w:iCs/>
                <w:color w:val="000000" w:themeColor="text1"/>
                <w:lang w:eastAsia="en-AU"/>
              </w:rPr>
            </w:pPr>
            <w:r w:rsidRPr="00012B43">
              <w:rPr>
                <w:rFonts w:cs="Calibri"/>
                <w:iCs/>
                <w:color w:val="000000" w:themeColor="text1"/>
                <w:lang w:eastAsia="en-AU"/>
              </w:rPr>
              <w:t>10 needle probes used for varying durations 3 times per week for 2 consecutive weeks</w:t>
            </w:r>
          </w:p>
        </w:tc>
        <w:tc>
          <w:tcPr>
            <w:tcW w:w="1133" w:type="dxa"/>
          </w:tcPr>
          <w:p w14:paraId="56AA34B3" w14:textId="77777777" w:rsidR="651BF5F7" w:rsidRPr="00012B43" w:rsidRDefault="651BF5F7" w:rsidP="00C644B7">
            <w:pPr>
              <w:pStyle w:val="TableText0"/>
              <w:rPr>
                <w:rFonts w:cs="Calibri"/>
                <w:iCs/>
                <w:color w:val="000000" w:themeColor="text1"/>
                <w:lang w:eastAsia="en-AU"/>
              </w:rPr>
            </w:pPr>
            <w:r w:rsidRPr="00012B43">
              <w:rPr>
                <w:rFonts w:cs="Calibri"/>
                <w:iCs/>
                <w:color w:val="000000" w:themeColor="text1"/>
                <w:lang w:eastAsia="en-AU"/>
              </w:rPr>
              <w:t>None</w:t>
            </w:r>
          </w:p>
        </w:tc>
        <w:tc>
          <w:tcPr>
            <w:tcW w:w="1263" w:type="dxa"/>
          </w:tcPr>
          <w:p w14:paraId="3D0BFA87" w14:textId="77777777" w:rsidR="651BF5F7" w:rsidRPr="00012B43" w:rsidRDefault="651BF5F7" w:rsidP="00C644B7">
            <w:pPr>
              <w:pStyle w:val="TableText0"/>
              <w:rPr>
                <w:rFonts w:cs="Calibri"/>
                <w:iCs/>
                <w:color w:val="000000" w:themeColor="text1"/>
                <w:lang w:eastAsia="en-AU"/>
              </w:rPr>
            </w:pPr>
            <w:r w:rsidRPr="00012B43">
              <w:rPr>
                <w:rFonts w:cs="Calibri"/>
                <w:iCs/>
                <w:color w:val="000000" w:themeColor="text1"/>
                <w:lang w:eastAsia="en-AU"/>
              </w:rPr>
              <w:t>Yes</w:t>
            </w:r>
          </w:p>
        </w:tc>
        <w:tc>
          <w:tcPr>
            <w:tcW w:w="1562" w:type="dxa"/>
          </w:tcPr>
          <w:p w14:paraId="05A643BA" w14:textId="6B88D7EB" w:rsidR="651BF5F7" w:rsidRPr="00012B43" w:rsidRDefault="651BF5F7" w:rsidP="00C644B7">
            <w:pPr>
              <w:pStyle w:val="TableText0"/>
              <w:rPr>
                <w:rFonts w:cs="Calibri"/>
                <w:iCs/>
                <w:color w:val="000000" w:themeColor="text1"/>
                <w:lang w:eastAsia="en-AU"/>
              </w:rPr>
            </w:pPr>
            <w:r w:rsidRPr="00012B43">
              <w:rPr>
                <w:rFonts w:cs="Calibri"/>
                <w:iCs/>
                <w:color w:val="000000" w:themeColor="text1"/>
                <w:lang w:eastAsia="en-AU"/>
              </w:rPr>
              <w:t xml:space="preserve">PENS had the most pain relieving effect after a 30 minute dose, then a 45 minute dose, then a 15 minute dose, and lastly a 0 minute dose. Analgesic use also decreased </w:t>
            </w:r>
            <w:r w:rsidR="078F3D18" w:rsidRPr="00012B43">
              <w:rPr>
                <w:rFonts w:cs="Calibri"/>
                <w:iCs/>
                <w:color w:val="000000" w:themeColor="text1"/>
                <w:lang w:eastAsia="en-AU"/>
              </w:rPr>
              <w:t>significantly</w:t>
            </w:r>
            <w:r w:rsidRPr="00012B43">
              <w:rPr>
                <w:rFonts w:cs="Calibri"/>
                <w:iCs/>
                <w:color w:val="000000" w:themeColor="text1"/>
                <w:lang w:eastAsia="en-AU"/>
              </w:rPr>
              <w:t xml:space="preserve"> for participants who received 30 minute or 45 minute doses of PENS</w:t>
            </w:r>
          </w:p>
        </w:tc>
        <w:tc>
          <w:tcPr>
            <w:tcW w:w="1273" w:type="dxa"/>
          </w:tcPr>
          <w:p w14:paraId="1AFAE198" w14:textId="77777777" w:rsidR="651BF5F7" w:rsidRPr="00012B43" w:rsidRDefault="651BF5F7" w:rsidP="00C644B7">
            <w:pPr>
              <w:pStyle w:val="TableText0"/>
              <w:rPr>
                <w:rFonts w:cs="Calibri"/>
                <w:iCs/>
                <w:color w:val="000000" w:themeColor="text1"/>
                <w:lang w:eastAsia="en-AU"/>
              </w:rPr>
            </w:pPr>
          </w:p>
        </w:tc>
      </w:tr>
    </w:tbl>
    <w:p w14:paraId="1ACCCF9D" w14:textId="44AFFD27" w:rsidR="0088511E" w:rsidRPr="00F2539B" w:rsidRDefault="3A76DDF1" w:rsidP="651BF5F7">
      <w:pPr>
        <w:pStyle w:val="Tablenotes"/>
        <w:rPr>
          <w:i/>
        </w:rPr>
      </w:pPr>
      <w:r w:rsidRPr="00F2539B">
        <w:rPr>
          <w:i/>
        </w:rPr>
        <w:t xml:space="preserve">IQR= </w:t>
      </w:r>
      <w:r w:rsidR="5B43A76F" w:rsidRPr="00F2539B">
        <w:rPr>
          <w:i/>
        </w:rPr>
        <w:t>i</w:t>
      </w:r>
      <w:r w:rsidRPr="00F2539B">
        <w:rPr>
          <w:i/>
        </w:rPr>
        <w:t>nterquartile range</w:t>
      </w:r>
      <w:r w:rsidR="1FFB41AC" w:rsidRPr="00F2539B">
        <w:rPr>
          <w:i/>
        </w:rPr>
        <w:t>;</w:t>
      </w:r>
      <w:r w:rsidRPr="00F2539B">
        <w:rPr>
          <w:i/>
        </w:rPr>
        <w:t xml:space="preserve"> </w:t>
      </w:r>
      <w:r w:rsidR="20ABDDE9" w:rsidRPr="00F2539B">
        <w:rPr>
          <w:i/>
        </w:rPr>
        <w:t>PENS=percutaneous electrical nerve stimulation</w:t>
      </w:r>
      <w:r w:rsidR="1FFB41AC" w:rsidRPr="00F2539B">
        <w:rPr>
          <w:i/>
        </w:rPr>
        <w:t>;</w:t>
      </w:r>
      <w:r w:rsidR="40A3A17B" w:rsidRPr="00F2539B">
        <w:rPr>
          <w:i/>
        </w:rPr>
        <w:t xml:space="preserve"> SD= standard deviation</w:t>
      </w:r>
      <w:r w:rsidR="1FFB41AC" w:rsidRPr="00F2539B">
        <w:rPr>
          <w:i/>
        </w:rPr>
        <w:t>;</w:t>
      </w:r>
      <w:r w:rsidR="40A3A17B" w:rsidRPr="00F2539B">
        <w:rPr>
          <w:i/>
        </w:rPr>
        <w:t xml:space="preserve"> </w:t>
      </w:r>
      <w:r w:rsidR="2F893492" w:rsidRPr="00F2539B">
        <w:rPr>
          <w:i/>
        </w:rPr>
        <w:t xml:space="preserve">VAS= </w:t>
      </w:r>
      <w:r w:rsidR="5B43A76F" w:rsidRPr="00F2539B">
        <w:rPr>
          <w:i/>
        </w:rPr>
        <w:t>Visual Analogue Scale</w:t>
      </w:r>
    </w:p>
    <w:p w14:paraId="54F39DC6" w14:textId="717146FD" w:rsidR="482C213C" w:rsidRDefault="5BDDA880" w:rsidP="0F839FD9">
      <w:pPr>
        <w:rPr>
          <w:i/>
          <w:iCs/>
        </w:rPr>
      </w:pPr>
      <w:r w:rsidRPr="007211C1">
        <w:rPr>
          <w:i/>
          <w:iCs/>
        </w:rPr>
        <w:t>PASC expressed concern with the quantity and quality of evidence for the use of PENS in the published literature cited by the applicant. PASC noted that only two of the five cited studies were relevant to the specific type of PENS that is the subject of this application. PASC highlighted a number of issues with the two studies including the small sample sizes used as well as the fallibility of sham PENS treatments when used as a comparator. PASC queried whether, in light of the evidence limitations, the population should be further refined.</w:t>
      </w:r>
    </w:p>
    <w:p w14:paraId="047E4738" w14:textId="1D501EE9" w:rsidR="00D73332" w:rsidRPr="00DE762F" w:rsidRDefault="00D73332" w:rsidP="00DE762F">
      <w:pPr>
        <w:pStyle w:val="Heading2"/>
      </w:pPr>
      <w:r w:rsidRPr="00DE762F">
        <w:t>Propos</w:t>
      </w:r>
      <w:r w:rsidR="000D1FCF" w:rsidRPr="00DE762F">
        <w:t>al for public funding</w:t>
      </w:r>
    </w:p>
    <w:p w14:paraId="3980C544" w14:textId="6245A464" w:rsidR="001B751A" w:rsidRDefault="3B9660F3" w:rsidP="001B751A">
      <w:r>
        <w:t xml:space="preserve">The applicant </w:t>
      </w:r>
      <w:r w:rsidR="75A76C8B">
        <w:t xml:space="preserve">has </w:t>
      </w:r>
      <w:r w:rsidR="341D99D7">
        <w:t>not</w:t>
      </w:r>
      <w:r w:rsidR="2BF17434">
        <w:t xml:space="preserve"> </w:t>
      </w:r>
      <w:r>
        <w:t xml:space="preserve">proposed </w:t>
      </w:r>
      <w:r w:rsidR="341D99D7">
        <w:t xml:space="preserve">any </w:t>
      </w:r>
      <w:r>
        <w:t>amend</w:t>
      </w:r>
      <w:r w:rsidR="341D99D7">
        <w:t>ments</w:t>
      </w:r>
      <w:r>
        <w:t xml:space="preserve"> MBS item 39129 </w:t>
      </w:r>
      <w:r w:rsidR="341D99D7">
        <w:t>itself, rather the applicant has proposed amending</w:t>
      </w:r>
      <w:r>
        <w:t xml:space="preserve"> the associated</w:t>
      </w:r>
      <w:r w:rsidR="5C049A4A">
        <w:t xml:space="preserve"> explanatory</w:t>
      </w:r>
      <w:r>
        <w:t xml:space="preserve"> note TN.8.241 </w:t>
      </w:r>
      <w:r w:rsidR="0ED24489">
        <w:t xml:space="preserve">to remove the statement </w:t>
      </w:r>
      <w:r>
        <w:t>specifically exclud</w:t>
      </w:r>
      <w:r w:rsidR="0ED24489">
        <w:t>ing</w:t>
      </w:r>
      <w:r>
        <w:t xml:space="preserve"> the use of PENS </w:t>
      </w:r>
      <w:r w:rsidR="0ED24489">
        <w:t>in order to allow</w:t>
      </w:r>
      <w:r>
        <w:t xml:space="preserve"> PENS </w:t>
      </w:r>
      <w:r w:rsidR="0ED24489">
        <w:t>to</w:t>
      </w:r>
      <w:r>
        <w:t xml:space="preserve"> be claimed under</w:t>
      </w:r>
      <w:r w:rsidR="0ED24489">
        <w:t xml:space="preserve"> MBS</w:t>
      </w:r>
      <w:r>
        <w:t xml:space="preserve"> item 39129. </w:t>
      </w:r>
      <w:r w:rsidR="6A0BEDF3">
        <w:t xml:space="preserve">The </w:t>
      </w:r>
      <w:r w:rsidR="35F1BB55">
        <w:t xml:space="preserve">MBS item 39129 and the </w:t>
      </w:r>
      <w:r w:rsidR="6A0BEDF3">
        <w:t>applicant</w:t>
      </w:r>
      <w:r w:rsidR="2BF17434">
        <w:t>’</w:t>
      </w:r>
      <w:r w:rsidR="6A0BEDF3">
        <w:t xml:space="preserve">s proposed amendments to </w:t>
      </w:r>
      <w:r w:rsidR="5029AA3C">
        <w:t xml:space="preserve">the explanatory note TN8.241 for </w:t>
      </w:r>
      <w:r w:rsidR="6A0BEDF3">
        <w:t>MBS item 39129 are below</w:t>
      </w:r>
      <w:r w:rsidR="7C7F97F7">
        <w:t xml:space="preserve"> </w:t>
      </w:r>
      <w:r w:rsidR="5029AA3C">
        <w:t>(</w:t>
      </w:r>
      <w:r w:rsidR="7C7F97F7">
        <w:t>with changes shown using blue strikethrough text</w:t>
      </w:r>
      <w:r w:rsidR="5029AA3C">
        <w:t>)</w:t>
      </w:r>
      <w:r w:rsidR="6A0BEDF3">
        <w:t>.</w:t>
      </w:r>
    </w:p>
    <w:p w14:paraId="5776C9BD" w14:textId="07BE1EF8" w:rsidR="00A725FD" w:rsidRDefault="00A725FD" w:rsidP="001B751A">
      <w:r w:rsidRPr="00A725FD">
        <w:t>For the evaluation stage, it should be noted that TN.8.241 pertains to both item 39129 and item 39138. If this note is amended, there needs to be consideration if PENS can be claimed under item 39138.</w:t>
      </w:r>
    </w:p>
    <w:p w14:paraId="2DDCFBF1" w14:textId="1233D3D0" w:rsidR="0032021B" w:rsidRDefault="0032021B" w:rsidP="00D53022">
      <w:pPr>
        <w:pStyle w:val="Caption"/>
        <w:ind w:left="0" w:firstLine="0"/>
      </w:pPr>
      <w:r>
        <w:lastRenderedPageBreak/>
        <w:t xml:space="preserve">Table </w:t>
      </w:r>
      <w:r w:rsidR="003E248E">
        <w:t>8</w:t>
      </w:r>
      <w:r>
        <w:t xml:space="preserve"> Applicant proposed amendment to </w:t>
      </w:r>
      <w:r w:rsidR="009A3A3E">
        <w:t>MBS item 39129 and associated explanatory note TN.8.</w:t>
      </w:r>
      <w:r w:rsidR="00FC25CD">
        <w:t>124</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2F3E40" w:rsidRPr="00D2670B" w14:paraId="4034848D" w14:textId="77777777" w:rsidTr="736D4F2E">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171FF631" w14:textId="218AFBA3" w:rsidR="002F3E40" w:rsidRPr="00DE762F" w:rsidRDefault="002F3E40" w:rsidP="00946E4B">
            <w:pPr>
              <w:pStyle w:val="TableText0"/>
            </w:pPr>
            <w:r w:rsidRPr="2891237F">
              <w:t xml:space="preserve">Category </w:t>
            </w:r>
            <w:r>
              <w:t>(</w:t>
            </w:r>
            <w:r w:rsidR="09B26478" w:rsidRPr="2891237F">
              <w:t>3</w:t>
            </w:r>
            <w:r>
              <w:t xml:space="preserve">) – </w:t>
            </w:r>
            <w:r w:rsidR="57035BB5" w:rsidRPr="2891237F">
              <w:t>THERAPEUTIC PROCEDURES</w:t>
            </w:r>
          </w:p>
        </w:tc>
      </w:tr>
      <w:tr w:rsidR="002F3E40" w:rsidRPr="005771DC" w14:paraId="028C0CFB" w14:textId="77777777" w:rsidTr="736D4F2E">
        <w:trPr>
          <w:cantSplit/>
          <w:tblHeader/>
        </w:trPr>
        <w:tc>
          <w:tcPr>
            <w:tcW w:w="9242" w:type="dxa"/>
            <w:tcBorders>
              <w:top w:val="single" w:sz="4" w:space="0" w:color="auto"/>
              <w:left w:val="single" w:sz="4" w:space="0" w:color="auto"/>
              <w:bottom w:val="single" w:sz="4" w:space="0" w:color="auto"/>
              <w:right w:val="single" w:sz="4" w:space="0" w:color="auto"/>
            </w:tcBorders>
          </w:tcPr>
          <w:p w14:paraId="39CDEB64" w14:textId="42D68866" w:rsidR="002F3E40" w:rsidRPr="00DE762F" w:rsidRDefault="000D1FCF" w:rsidP="00D272C8">
            <w:pPr>
              <w:pStyle w:val="TableText0"/>
              <w:spacing w:after="120"/>
              <w:rPr>
                <w:szCs w:val="20"/>
              </w:rPr>
            </w:pPr>
            <w:r w:rsidRPr="00DE762F">
              <w:t xml:space="preserve">MBS item </w:t>
            </w:r>
            <w:r w:rsidR="139008B1" w:rsidRPr="2891237F">
              <w:rPr>
                <w:szCs w:val="20"/>
              </w:rPr>
              <w:t>39129</w:t>
            </w:r>
          </w:p>
          <w:p w14:paraId="7CF4819D" w14:textId="5A7C84A4" w:rsidR="000D1FCF" w:rsidRDefault="553A2B08" w:rsidP="00D272C8">
            <w:pPr>
              <w:pStyle w:val="TableText0"/>
              <w:spacing w:after="120"/>
            </w:pPr>
            <w:r>
              <w:t>Peripheral lead or leads, percutaneous placement of, including intraoperative test stimulation, for the management of chronic neuropathic pain (H)</w:t>
            </w:r>
          </w:p>
          <w:p w14:paraId="1D926052" w14:textId="4A899567" w:rsidR="00AF25A7" w:rsidRDefault="009D79B1" w:rsidP="00D272C8">
            <w:pPr>
              <w:pStyle w:val="TableText0"/>
              <w:spacing w:after="120"/>
              <w:rPr>
                <w:szCs w:val="20"/>
              </w:rPr>
            </w:pPr>
            <w:r>
              <w:t>Multiple O</w:t>
            </w:r>
            <w:r>
              <w:rPr>
                <w:szCs w:val="20"/>
              </w:rPr>
              <w:t>peration Rule</w:t>
            </w:r>
          </w:p>
          <w:p w14:paraId="714B45F3" w14:textId="4A9700E7" w:rsidR="009D79B1" w:rsidRDefault="009D79B1" w:rsidP="00D272C8">
            <w:pPr>
              <w:pStyle w:val="TableText0"/>
              <w:spacing w:after="120"/>
              <w:rPr>
                <w:szCs w:val="20"/>
              </w:rPr>
            </w:pPr>
            <w:r>
              <w:t>(Anae</w:t>
            </w:r>
            <w:r>
              <w:rPr>
                <w:szCs w:val="20"/>
              </w:rPr>
              <w:t>s.) (</w:t>
            </w:r>
            <w:r w:rsidR="002571B0">
              <w:rPr>
                <w:szCs w:val="20"/>
              </w:rPr>
              <w:t>Assist</w:t>
            </w:r>
            <w:r>
              <w:rPr>
                <w:szCs w:val="20"/>
              </w:rPr>
              <w:t>.)</w:t>
            </w:r>
          </w:p>
          <w:p w14:paraId="5379CBCB" w14:textId="1FC2C722" w:rsidR="002F3E40" w:rsidRPr="00DE762F" w:rsidRDefault="002301DB" w:rsidP="00D272C8">
            <w:pPr>
              <w:pStyle w:val="TableText0"/>
              <w:spacing w:after="120"/>
            </w:pPr>
            <w:r w:rsidRPr="002301DB">
              <w:t>(See para TN.8.241 of explanatory notes to this Category)</w:t>
            </w:r>
            <w:r>
              <w:tab/>
            </w:r>
          </w:p>
        </w:tc>
      </w:tr>
      <w:tr w:rsidR="00D2670B" w:rsidRPr="005771DC" w14:paraId="4130676A" w14:textId="77777777" w:rsidTr="736D4F2E">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56A2DE20" w14:textId="59F8C4F9" w:rsidR="00D2670B" w:rsidRPr="00DE762F" w:rsidRDefault="7C1E45BE" w:rsidP="008F248C">
            <w:pPr>
              <w:pStyle w:val="TableText0"/>
              <w:rPr>
                <w:szCs w:val="20"/>
              </w:rPr>
            </w:pPr>
            <w:r w:rsidRPr="2891237F">
              <w:rPr>
                <w:szCs w:val="20"/>
              </w:rPr>
              <w:t xml:space="preserve">Fee: </w:t>
            </w:r>
            <w:r w:rsidR="7F224E6A" w:rsidRPr="2891237F">
              <w:rPr>
                <w:szCs w:val="20"/>
              </w:rPr>
              <w:t>$641.40</w:t>
            </w:r>
            <w:r w:rsidR="00DD6317">
              <w:rPr>
                <w:szCs w:val="20"/>
              </w:rPr>
              <w:t xml:space="preserve"> </w:t>
            </w:r>
            <w:r w:rsidR="002301DB">
              <w:rPr>
                <w:szCs w:val="20"/>
              </w:rPr>
              <w:t xml:space="preserve">    </w:t>
            </w:r>
            <w:r w:rsidR="00DD6317">
              <w:rPr>
                <w:szCs w:val="20"/>
              </w:rPr>
              <w:t>Benefit 75% = $481.05</w:t>
            </w:r>
          </w:p>
        </w:tc>
      </w:tr>
      <w:tr w:rsidR="00DD6317" w:rsidRPr="005771DC" w14:paraId="251A67E1" w14:textId="77777777" w:rsidTr="736D4F2E">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54D63A89" w14:textId="75BA76FF" w:rsidR="00425850" w:rsidRDefault="7AB81E0C" w:rsidP="00D272C8">
            <w:pPr>
              <w:pStyle w:val="TableText0"/>
              <w:spacing w:after="120"/>
              <w:rPr>
                <w:szCs w:val="20"/>
              </w:rPr>
            </w:pPr>
            <w:r w:rsidRPr="2B4AAF52">
              <w:rPr>
                <w:szCs w:val="20"/>
              </w:rPr>
              <w:t>Explanatory note</w:t>
            </w:r>
          </w:p>
          <w:p w14:paraId="39616D99" w14:textId="0C8C197D" w:rsidR="00551F59" w:rsidRDefault="00551F59" w:rsidP="00D272C8">
            <w:pPr>
              <w:pStyle w:val="TableText0"/>
              <w:spacing w:after="120"/>
              <w:rPr>
                <w:szCs w:val="20"/>
              </w:rPr>
            </w:pPr>
            <w:r>
              <w:rPr>
                <w:szCs w:val="20"/>
              </w:rPr>
              <w:t>TN.8.241</w:t>
            </w:r>
          </w:p>
          <w:p w14:paraId="55A844B2" w14:textId="7A182D3B" w:rsidR="004B1BC6" w:rsidRPr="004B1BC6" w:rsidRDefault="004B1BC6" w:rsidP="00D272C8">
            <w:pPr>
              <w:pStyle w:val="TableText0"/>
              <w:spacing w:after="120"/>
              <w:rPr>
                <w:szCs w:val="20"/>
              </w:rPr>
            </w:pPr>
            <w:r w:rsidRPr="004B1BC6">
              <w:rPr>
                <w:szCs w:val="20"/>
              </w:rPr>
              <w:t>Placement of peripheral nerve leads for the management of chronic intractable neuropathic pain (Items 39129 and 39138)</w:t>
            </w:r>
          </w:p>
          <w:p w14:paraId="2CA93AD1" w14:textId="4ED5C5F5" w:rsidR="00171D84" w:rsidRPr="00CB48BB" w:rsidRDefault="004B1BC6" w:rsidP="00D272C8">
            <w:pPr>
              <w:pStyle w:val="TableText0"/>
              <w:spacing w:after="120"/>
              <w:rPr>
                <w:strike/>
                <w:szCs w:val="20"/>
              </w:rPr>
            </w:pPr>
            <w:r w:rsidRPr="004B1BC6">
              <w:rPr>
                <w:szCs w:val="20"/>
              </w:rPr>
              <w:t>Items 39129 and 39138 are for the insertion of leads that are intended to remain in situ long term</w:t>
            </w:r>
            <w:r w:rsidRPr="00CB48BB">
              <w:rPr>
                <w:szCs w:val="20"/>
              </w:rPr>
              <w:t xml:space="preserve">. </w:t>
            </w:r>
            <w:r w:rsidR="006F0193" w:rsidRPr="00CB48BB">
              <w:rPr>
                <w:strike/>
                <w:szCs w:val="20"/>
              </w:rPr>
              <w:t>Percutaneous Electrical Nerve Stimulation (PENS) is not to be claimed under these items.</w:t>
            </w:r>
          </w:p>
          <w:p w14:paraId="0448931C" w14:textId="1D40825C" w:rsidR="004B1BC6" w:rsidRPr="00D272C8" w:rsidRDefault="00171D84" w:rsidP="00D272C8">
            <w:pPr>
              <w:pStyle w:val="TableText0"/>
              <w:spacing w:after="120"/>
              <w:rPr>
                <w:strike/>
                <w:szCs w:val="20"/>
              </w:rPr>
            </w:pPr>
            <w:r w:rsidRPr="00CB48BB">
              <w:rPr>
                <w:strike/>
                <w:szCs w:val="20"/>
              </w:rPr>
              <w:t>The use of PENS for the management of chronic pain has not been assessed by the Medical Services Advisory Committee (MSAC) or recommended for public funding. Therefore, PENS procedures for management of chronic pain cannot be billed under the MBS, including items 39129 and 39138.</w:t>
            </w:r>
          </w:p>
          <w:p w14:paraId="11C64299" w14:textId="30B7FBB8" w:rsidR="004B1BC6" w:rsidRPr="004B1BC6" w:rsidRDefault="004B1BC6" w:rsidP="00D272C8">
            <w:pPr>
              <w:pStyle w:val="TableText0"/>
              <w:spacing w:after="120"/>
              <w:rPr>
                <w:szCs w:val="20"/>
              </w:rPr>
            </w:pPr>
            <w:r w:rsidRPr="004B1BC6">
              <w:rPr>
                <w:szCs w:val="20"/>
              </w:rPr>
              <w:t>Item 39138 is the appropriate item to claim when surgical lead placement is required for a trial procedure prior to longer term placement. Item 39129 is the appropriate item for the percutaneous placement of leads, including for trial procedures.</w:t>
            </w:r>
          </w:p>
          <w:p w14:paraId="2564BFAF" w14:textId="66827160" w:rsidR="00DD6317" w:rsidRPr="2891237F" w:rsidRDefault="004B1BC6" w:rsidP="00D272C8">
            <w:pPr>
              <w:pStyle w:val="TableText0"/>
              <w:spacing w:after="120"/>
              <w:rPr>
                <w:szCs w:val="20"/>
              </w:rPr>
            </w:pPr>
            <w:r w:rsidRPr="004B1BC6">
              <w:rPr>
                <w:szCs w:val="20"/>
              </w:rPr>
              <w:t>Items 39129 and 39138 provide for the insertion of one or multiple leads. There is no intention to change current billing practices for these items, e.g. where more than one lead may be billed as part of an episode.</w:t>
            </w:r>
          </w:p>
        </w:tc>
      </w:tr>
    </w:tbl>
    <w:p w14:paraId="2F72C69A" w14:textId="77777777" w:rsidR="00DE3785" w:rsidRDefault="00DE3785" w:rsidP="00DE3785"/>
    <w:p w14:paraId="25F57C57" w14:textId="17A65D74" w:rsidR="1AFD2D97" w:rsidRDefault="00DE3785" w:rsidP="00DE3785">
      <w:pPr>
        <w:rPr>
          <w:i/>
          <w:iCs/>
          <w:highlight w:val="green"/>
        </w:rPr>
      </w:pPr>
      <w:r w:rsidRPr="00FA14A8">
        <w:t>For the evaluation stage, there needs to be consideration if the MBS item description needs to be amended to specifically exclude some other forms of PENS (</w:t>
      </w:r>
      <w:proofErr w:type="gramStart"/>
      <w:r w:rsidRPr="00FA14A8">
        <w:t>e.g.</w:t>
      </w:r>
      <w:proofErr w:type="gramEnd"/>
      <w:r w:rsidRPr="00FA14A8">
        <w:t xml:space="preserve"> electroacupuncture</w:t>
      </w:r>
      <w:r w:rsidR="00F01180">
        <w:t xml:space="preserve"> PENS</w:t>
      </w:r>
      <w:r w:rsidRPr="00FA14A8">
        <w:t xml:space="preserve">) or </w:t>
      </w:r>
      <w:r w:rsidR="00F01180">
        <w:t xml:space="preserve">whether there is </w:t>
      </w:r>
      <w:r w:rsidRPr="00FA14A8">
        <w:t xml:space="preserve">a </w:t>
      </w:r>
      <w:r w:rsidR="00F01180">
        <w:t xml:space="preserve">need for a </w:t>
      </w:r>
      <w:r w:rsidRPr="00FA14A8">
        <w:t xml:space="preserve">separate </w:t>
      </w:r>
      <w:r w:rsidR="00C308A5">
        <w:t xml:space="preserve">MBS </w:t>
      </w:r>
      <w:r w:rsidRPr="00FA14A8">
        <w:t>item for this treatment rather than removal of the note.</w:t>
      </w:r>
      <w:r w:rsidRPr="00DE3785" w:rsidDel="00DE3785">
        <w:rPr>
          <w:highlight w:val="green"/>
        </w:rPr>
        <w:t xml:space="preserve"> </w:t>
      </w:r>
    </w:p>
    <w:p w14:paraId="2D37BE6B" w14:textId="2E7BB00C" w:rsidR="007D169B" w:rsidRDefault="00275B57" w:rsidP="004C3546">
      <w:r w:rsidRPr="2891237F">
        <w:t xml:space="preserve">The </w:t>
      </w:r>
      <w:r w:rsidR="00AC7C71">
        <w:t>application stated</w:t>
      </w:r>
      <w:r w:rsidRPr="2891237F">
        <w:t xml:space="preserve"> that the proposed change to MBS item</w:t>
      </w:r>
      <w:r w:rsidR="7787058F" w:rsidRPr="2891237F">
        <w:t xml:space="preserve"> </w:t>
      </w:r>
      <w:r w:rsidR="007D169B" w:rsidRPr="2891237F">
        <w:t>39129 could lead to a reduction in</w:t>
      </w:r>
      <w:r w:rsidR="00705D0C">
        <w:t xml:space="preserve"> use of</w:t>
      </w:r>
      <w:r w:rsidR="007D169B" w:rsidRPr="2891237F">
        <w:t xml:space="preserve"> MBS item</w:t>
      </w:r>
      <w:r w:rsidR="00404498" w:rsidRPr="2891237F">
        <w:t>s</w:t>
      </w:r>
      <w:r w:rsidR="007D169B" w:rsidRPr="2891237F">
        <w:t xml:space="preserve"> </w:t>
      </w:r>
      <w:r w:rsidR="3318F1ED" w:rsidRPr="2891237F">
        <w:t xml:space="preserve">39138 </w:t>
      </w:r>
      <w:r w:rsidR="00404498" w:rsidRPr="2891237F">
        <w:t xml:space="preserve">and </w:t>
      </w:r>
      <w:r w:rsidR="0A47C113" w:rsidRPr="2891237F">
        <w:t>39134</w:t>
      </w:r>
      <w:r w:rsidR="00404498" w:rsidRPr="2891237F">
        <w:t xml:space="preserve"> </w:t>
      </w:r>
      <w:r w:rsidR="007D169B" w:rsidRPr="2891237F">
        <w:t>which are currently used for implantable therapies. The justifications provided by the applicant include:</w:t>
      </w:r>
    </w:p>
    <w:p w14:paraId="75F3C201" w14:textId="4105EEB7" w:rsidR="007D169B" w:rsidRDefault="007D169B" w:rsidP="00404498">
      <w:pPr>
        <w:pStyle w:val="ListParagraph"/>
        <w:numPr>
          <w:ilvl w:val="0"/>
          <w:numId w:val="19"/>
        </w:numPr>
      </w:pPr>
      <w:r>
        <w:t xml:space="preserve">Successful treatment with PENS </w:t>
      </w:r>
      <w:r w:rsidR="00284378">
        <w:t>may reli</w:t>
      </w:r>
      <w:r w:rsidR="08B81870">
        <w:t>e</w:t>
      </w:r>
      <w:r w:rsidR="00284378">
        <w:t>ve pain sufficiently meaning tha</w:t>
      </w:r>
      <w:r w:rsidR="2BD14AD3">
        <w:t>t</w:t>
      </w:r>
      <w:r w:rsidR="00284378">
        <w:t xml:space="preserve"> an implantable</w:t>
      </w:r>
      <w:r w:rsidR="5561445B">
        <w:t xml:space="preserve"> (or other ongoing standard treatment)</w:t>
      </w:r>
      <w:r w:rsidR="00284378">
        <w:t xml:space="preserve"> is no longer needed</w:t>
      </w:r>
    </w:p>
    <w:p w14:paraId="6CD94899" w14:textId="47D6157E" w:rsidR="00284378" w:rsidRDefault="00284378" w:rsidP="00404498">
      <w:pPr>
        <w:pStyle w:val="ListParagraph"/>
        <w:numPr>
          <w:ilvl w:val="0"/>
          <w:numId w:val="19"/>
        </w:numPr>
      </w:pPr>
      <w:r>
        <w:t xml:space="preserve">The </w:t>
      </w:r>
      <w:r w:rsidR="007D080B">
        <w:t xml:space="preserve">responsiveness of a patient </w:t>
      </w:r>
      <w:r w:rsidR="0096210B">
        <w:t>to PENS</w:t>
      </w:r>
      <w:r>
        <w:t xml:space="preserve"> may </w:t>
      </w:r>
      <w:r w:rsidR="007D080B">
        <w:t xml:space="preserve">provide information that </w:t>
      </w:r>
      <w:r w:rsidR="15867EED">
        <w:t>indicates a</w:t>
      </w:r>
      <w:r>
        <w:t xml:space="preserve"> patient is unsuitable for further treatment with an implantable therapy</w:t>
      </w:r>
    </w:p>
    <w:p w14:paraId="7980B144" w14:textId="4C464B12" w:rsidR="00284378" w:rsidRDefault="00284378" w:rsidP="00404498">
      <w:pPr>
        <w:pStyle w:val="ListParagraph"/>
        <w:numPr>
          <w:ilvl w:val="0"/>
          <w:numId w:val="19"/>
        </w:numPr>
      </w:pPr>
      <w:r>
        <w:t>Patients may prefer PENS for being less invasive</w:t>
      </w:r>
    </w:p>
    <w:p w14:paraId="7347D786" w14:textId="3E9F4CAD" w:rsidR="006B29F7" w:rsidRPr="007211C1" w:rsidRDefault="00757033" w:rsidP="001C7429">
      <w:pPr>
        <w:rPr>
          <w:iCs/>
        </w:rPr>
      </w:pPr>
      <w:r w:rsidRPr="007211C1">
        <w:rPr>
          <w:iCs/>
        </w:rPr>
        <w:t xml:space="preserve">During the PICO process it was clarified by the applicant that </w:t>
      </w:r>
      <w:r w:rsidR="006B29F7" w:rsidRPr="007211C1">
        <w:rPr>
          <w:iCs/>
        </w:rPr>
        <w:t>MBS</w:t>
      </w:r>
      <w:r w:rsidRPr="007211C1">
        <w:rPr>
          <w:iCs/>
        </w:rPr>
        <w:t xml:space="preserve"> item</w:t>
      </w:r>
      <w:r w:rsidR="006B29F7" w:rsidRPr="007211C1">
        <w:rPr>
          <w:iCs/>
        </w:rPr>
        <w:t xml:space="preserve"> 39</w:t>
      </w:r>
      <w:r w:rsidR="007B4794" w:rsidRPr="007211C1">
        <w:rPr>
          <w:iCs/>
        </w:rPr>
        <w:t>129</w:t>
      </w:r>
      <w:r w:rsidRPr="007211C1">
        <w:rPr>
          <w:iCs/>
        </w:rPr>
        <w:t xml:space="preserve"> is only used by post specialised pain medical practitioners. The </w:t>
      </w:r>
      <w:r w:rsidR="007B4794" w:rsidRPr="007211C1">
        <w:rPr>
          <w:iCs/>
        </w:rPr>
        <w:t>use of</w:t>
      </w:r>
      <w:r w:rsidRPr="007211C1">
        <w:rPr>
          <w:iCs/>
        </w:rPr>
        <w:t xml:space="preserve"> PENS would involve use of an operating </w:t>
      </w:r>
      <w:r w:rsidR="007B4794" w:rsidRPr="007211C1">
        <w:rPr>
          <w:iCs/>
        </w:rPr>
        <w:t>theatre</w:t>
      </w:r>
      <w:r w:rsidRPr="007211C1">
        <w:rPr>
          <w:iCs/>
        </w:rPr>
        <w:t xml:space="preserve">, guided ultrasound and light sedation. </w:t>
      </w:r>
    </w:p>
    <w:p w14:paraId="056B089F" w14:textId="219794EC" w:rsidR="006B29F7" w:rsidRPr="00E53AE1" w:rsidRDefault="67E7D400" w:rsidP="0F839FD9">
      <w:pPr>
        <w:rPr>
          <w:i/>
          <w:iCs/>
        </w:rPr>
      </w:pPr>
      <w:r w:rsidRPr="007211C1">
        <w:rPr>
          <w:i/>
          <w:iCs/>
        </w:rPr>
        <w:t>PASC noted that ultrasound may be used when inserting the PENS probes but confirmed that MBS items for ultrasound should not be co-claimed with PENS, consistent with previous advice regarding co-claiming ultrasound guidance.</w:t>
      </w:r>
    </w:p>
    <w:p w14:paraId="5BE248E0" w14:textId="3F7E20B6" w:rsidR="31E29853" w:rsidRDefault="7FBC0B69" w:rsidP="004C3546">
      <w:r>
        <w:t xml:space="preserve">The proposed fee is the same as that already associated with this item number. The applicant noted that it is anticipated </w:t>
      </w:r>
      <w:r w:rsidR="731D11C1">
        <w:t>that patients will incur out-of-pocket costs of approximately $1000</w:t>
      </w:r>
      <w:r w:rsidR="0002150F">
        <w:t xml:space="preserve"> (</w:t>
      </w:r>
      <w:r w:rsidR="008D640F">
        <w:t xml:space="preserve">due to gap payments to </w:t>
      </w:r>
      <w:r w:rsidR="008D640F">
        <w:lastRenderedPageBreak/>
        <w:t>pain procedur</w:t>
      </w:r>
      <w:r w:rsidR="48E2A408">
        <w:t>a</w:t>
      </w:r>
      <w:r w:rsidR="008D640F">
        <w:t>list and anaesthetist)</w:t>
      </w:r>
      <w:r w:rsidR="731D11C1">
        <w:t xml:space="preserve">, however the true cost </w:t>
      </w:r>
      <w:r w:rsidR="117F4048">
        <w:t>of the fee-for-service is at the discretion of the medical</w:t>
      </w:r>
      <w:r w:rsidR="66A0852D">
        <w:t xml:space="preserve"> pain</w:t>
      </w:r>
      <w:r w:rsidR="117F4048">
        <w:t xml:space="preserve"> practitioners involved.</w:t>
      </w:r>
    </w:p>
    <w:p w14:paraId="6BE35037" w14:textId="68FAB352" w:rsidR="009B7EEA" w:rsidRPr="007211C1" w:rsidRDefault="009B7EEA" w:rsidP="004C3546">
      <w:pPr>
        <w:rPr>
          <w:i/>
          <w:iCs/>
        </w:rPr>
      </w:pPr>
      <w:r w:rsidRPr="007211C1">
        <w:rPr>
          <w:i/>
          <w:iCs/>
        </w:rPr>
        <w:t xml:space="preserve">PASC considered it reasonable to restrict the frequency of </w:t>
      </w:r>
      <w:r w:rsidRPr="000A7E9D">
        <w:rPr>
          <w:i/>
          <w:iCs/>
        </w:rPr>
        <w:t>PENS to 2 per year.</w:t>
      </w:r>
    </w:p>
    <w:p w14:paraId="31824CB8" w14:textId="107B3785" w:rsidR="7B703AF1" w:rsidRDefault="7B703AF1" w:rsidP="0F839FD9">
      <w:pPr>
        <w:rPr>
          <w:i/>
          <w:iCs/>
        </w:rPr>
      </w:pPr>
      <w:r w:rsidRPr="007211C1">
        <w:rPr>
          <w:i/>
          <w:iCs/>
        </w:rPr>
        <w:t xml:space="preserve">PASC discussed the proposed cost of PENS, querying the higher cost of the PENS electrode needles compared with similar </w:t>
      </w:r>
      <w:r w:rsidR="00C308A5" w:rsidRPr="007211C1">
        <w:rPr>
          <w:i/>
          <w:iCs/>
        </w:rPr>
        <w:t xml:space="preserve">needle </w:t>
      </w:r>
      <w:r w:rsidRPr="007211C1">
        <w:rPr>
          <w:i/>
          <w:iCs/>
        </w:rPr>
        <w:t>technologies.  Further, PASC raised the issue of equity regarding the accessibility of PENS given that chronic neuropathic pain is more prevalent among lower socio-economic status (SES) populations. That is, PASC was concerned about the high out-of-pocket fee of approximately $1000 which could have implications for equitable patient access with a disproportionate effect on patients of lower SES. The applicant suggested that the potential out-of-pocket costs for PENS is similar to other treatments and that the costs of PENS is similar to PRF.  A breakdown (and justification) of the proposed MBS fee and total costs associated with PENS is required for the assessment phase.</w:t>
      </w:r>
      <w:r w:rsidR="00922928">
        <w:rPr>
          <w:i/>
          <w:iCs/>
        </w:rPr>
        <w:t xml:space="preserve"> </w:t>
      </w:r>
    </w:p>
    <w:p w14:paraId="27DE1378" w14:textId="2D8BA4E2" w:rsidR="00E35541" w:rsidRDefault="003F0A39" w:rsidP="00713728">
      <w:pPr>
        <w:pStyle w:val="Heading2"/>
      </w:pPr>
      <w:r>
        <w:t>Summary of public consultation</w:t>
      </w:r>
      <w:r w:rsidRPr="00D37A3F">
        <w:t xml:space="preserve"> </w:t>
      </w:r>
      <w:r w:rsidR="00E470B0">
        <w:t>input</w:t>
      </w:r>
    </w:p>
    <w:p w14:paraId="55F15931" w14:textId="2AA30DBD" w:rsidR="5D595B37" w:rsidRDefault="5D595B37" w:rsidP="00D53022">
      <w:pPr>
        <w:spacing w:after="120" w:line="257" w:lineRule="auto"/>
        <w:rPr>
          <w:rFonts w:cs="Calibri"/>
          <w:b/>
          <w:bCs/>
        </w:rPr>
      </w:pPr>
      <w:r w:rsidRPr="4E781426">
        <w:rPr>
          <w:rFonts w:cs="Calibri"/>
          <w:b/>
          <w:bCs/>
        </w:rPr>
        <w:t>Consultation Feedback</w:t>
      </w:r>
    </w:p>
    <w:p w14:paraId="1E582F2F" w14:textId="55750C4E" w:rsidR="5D595B37" w:rsidRDefault="5D595B37" w:rsidP="00D53022">
      <w:pPr>
        <w:spacing w:after="120" w:line="257" w:lineRule="auto"/>
        <w:rPr>
          <w:rFonts w:cs="Calibri"/>
        </w:rPr>
      </w:pPr>
      <w:r w:rsidRPr="4E781426">
        <w:rPr>
          <w:rFonts w:cs="Calibri"/>
          <w:i/>
          <w:iCs/>
        </w:rPr>
        <w:t xml:space="preserve">PASC noted and welcomed consultation feedback from five organisations and one individual who works as an anaesthetist. </w:t>
      </w:r>
      <w:r w:rsidRPr="00012B43">
        <w:rPr>
          <w:rFonts w:cs="Calibri"/>
        </w:rPr>
        <w:t>The five organisations that submitted input were:</w:t>
      </w:r>
      <w:r w:rsidRPr="4E781426">
        <w:rPr>
          <w:rFonts w:cs="Calibri"/>
        </w:rPr>
        <w:t xml:space="preserve"> </w:t>
      </w:r>
    </w:p>
    <w:p w14:paraId="5B9F9249" w14:textId="4FD792D3" w:rsidR="5D595B37" w:rsidRDefault="5D595B37" w:rsidP="00D53022">
      <w:pPr>
        <w:pStyle w:val="ListParagraph"/>
        <w:numPr>
          <w:ilvl w:val="0"/>
          <w:numId w:val="29"/>
        </w:numPr>
        <w:spacing w:after="120"/>
        <w:rPr>
          <w:rFonts w:cs="Calibri"/>
        </w:rPr>
      </w:pPr>
      <w:r w:rsidRPr="4E781426">
        <w:rPr>
          <w:rFonts w:cs="Calibri"/>
        </w:rPr>
        <w:t>Australian Society of Anaesthetists (ASA)</w:t>
      </w:r>
    </w:p>
    <w:p w14:paraId="45F46D9A" w14:textId="77777777" w:rsidR="00E53AE1" w:rsidRDefault="00E53AE1" w:rsidP="00D53022">
      <w:pPr>
        <w:pStyle w:val="ListParagraph"/>
        <w:numPr>
          <w:ilvl w:val="0"/>
          <w:numId w:val="29"/>
        </w:numPr>
        <w:spacing w:after="120"/>
        <w:rPr>
          <w:rFonts w:cs="Calibri"/>
        </w:rPr>
      </w:pPr>
      <w:r w:rsidRPr="4E781426">
        <w:rPr>
          <w:rFonts w:cs="Calibri"/>
        </w:rPr>
        <w:t>Medtronic Australasia (Medtronic)</w:t>
      </w:r>
    </w:p>
    <w:p w14:paraId="680FF3FC" w14:textId="77777777" w:rsidR="00E53AE1" w:rsidRDefault="00E53AE1" w:rsidP="00D53022">
      <w:pPr>
        <w:pStyle w:val="ListParagraph"/>
        <w:numPr>
          <w:ilvl w:val="0"/>
          <w:numId w:val="29"/>
        </w:numPr>
        <w:spacing w:after="120"/>
        <w:rPr>
          <w:rFonts w:cs="Calibri"/>
        </w:rPr>
      </w:pPr>
      <w:r w:rsidRPr="4E781426">
        <w:rPr>
          <w:rFonts w:cs="Calibri"/>
        </w:rPr>
        <w:t>Neuromodulation Society of Australia and New Zealand (NSANZ)</w:t>
      </w:r>
    </w:p>
    <w:p w14:paraId="3D2620C8" w14:textId="33933961" w:rsidR="5D595B37" w:rsidRDefault="5D595B37" w:rsidP="00D53022">
      <w:pPr>
        <w:pStyle w:val="ListParagraph"/>
        <w:numPr>
          <w:ilvl w:val="0"/>
          <w:numId w:val="29"/>
        </w:numPr>
        <w:spacing w:after="120"/>
        <w:rPr>
          <w:rFonts w:cs="Calibri"/>
        </w:rPr>
      </w:pPr>
      <w:r w:rsidRPr="4E781426">
        <w:rPr>
          <w:rFonts w:cs="Calibri"/>
        </w:rPr>
        <w:t>Private Healthcare Australia (PHA)</w:t>
      </w:r>
    </w:p>
    <w:p w14:paraId="7D71B1E3" w14:textId="6B2E9021" w:rsidR="00E53AE1" w:rsidRPr="00E53AE1" w:rsidRDefault="00E53AE1" w:rsidP="00D53022">
      <w:pPr>
        <w:pStyle w:val="ListParagraph"/>
        <w:numPr>
          <w:ilvl w:val="0"/>
          <w:numId w:val="29"/>
        </w:numPr>
        <w:spacing w:after="120"/>
        <w:rPr>
          <w:rFonts w:cs="Calibri"/>
        </w:rPr>
      </w:pPr>
      <w:r w:rsidRPr="006C07D1">
        <w:rPr>
          <w:rFonts w:cs="Calibri"/>
        </w:rPr>
        <w:t>The Royal Australian and New Zealand College of Obstetricians and Gynaecologists (RANZCOG)</w:t>
      </w:r>
      <w:r w:rsidRPr="007211C1">
        <w:rPr>
          <w:rFonts w:cs="Calibri"/>
        </w:rPr>
        <w:t>.</w:t>
      </w:r>
    </w:p>
    <w:p w14:paraId="17AF111B" w14:textId="2732E7DB" w:rsidR="5D595B37" w:rsidRDefault="5D595B37" w:rsidP="007211C1">
      <w:pPr>
        <w:spacing w:line="257" w:lineRule="auto"/>
        <w:rPr>
          <w:rFonts w:cs="Calibri"/>
        </w:rPr>
      </w:pPr>
      <w:r w:rsidRPr="4E781426">
        <w:rPr>
          <w:rFonts w:cs="Calibri"/>
        </w:rPr>
        <w:t xml:space="preserve">The consultation feedback received was largely supportive of public funding for percutaneous electrical nerve stimulation (PENS) therapy for chronic neuropathic pain. The consultation feedback raised some concerns in relation to the limited clinical data, in particular as a screen for implanted neuromodulation devices. </w:t>
      </w:r>
    </w:p>
    <w:p w14:paraId="72068DF2" w14:textId="443E13BC" w:rsidR="5D595B37" w:rsidRDefault="5D595B37" w:rsidP="00D53022">
      <w:pPr>
        <w:spacing w:after="120" w:line="257" w:lineRule="auto"/>
        <w:rPr>
          <w:rFonts w:cs="Calibri"/>
          <w:b/>
          <w:bCs/>
        </w:rPr>
      </w:pPr>
      <w:r w:rsidRPr="4E781426">
        <w:rPr>
          <w:rFonts w:cs="Calibri"/>
          <w:b/>
          <w:bCs/>
        </w:rPr>
        <w:t>Clinical need and public health significance</w:t>
      </w:r>
    </w:p>
    <w:p w14:paraId="534F9B75" w14:textId="6F8E1BB2" w:rsidR="5D595B37" w:rsidRDefault="5D595B37" w:rsidP="007211C1">
      <w:pPr>
        <w:spacing w:line="257" w:lineRule="auto"/>
        <w:rPr>
          <w:rFonts w:cs="Calibri"/>
        </w:rPr>
      </w:pPr>
      <w:r w:rsidRPr="4E781426">
        <w:rPr>
          <w:rFonts w:cs="Calibri"/>
        </w:rPr>
        <w:t>The main benefits of public funding received in the consultation feedback included reduction in pharmacotherapy use in patients, particularly opioids, greater choice and access to treatment options and the ability. Other benefits included increased functioning for patients allowing return to work and social activities, and a less invasive alternative method of neurostimulation for patients unsuitable for implantable devices.</w:t>
      </w:r>
    </w:p>
    <w:p w14:paraId="628F9845" w14:textId="68160D1C" w:rsidR="5D595B37" w:rsidRDefault="5D595B37" w:rsidP="007211C1">
      <w:pPr>
        <w:spacing w:line="257" w:lineRule="auto"/>
        <w:rPr>
          <w:rFonts w:cs="Calibri"/>
        </w:rPr>
      </w:pPr>
      <w:r w:rsidRPr="4E781426">
        <w:rPr>
          <w:rFonts w:cs="Calibri"/>
        </w:rPr>
        <w:t>The main disadvantages of public funding received in the consultation feedback included limited clinical and outcomes data, treatment likely not curative, variable duration of benefit, and the potential for PENS to be used in addition to implantable neuromodulation trials. Other disadvantages included managing patient expectations as treatment not guaranteed to succeed and patients may not adhere to the proposed treatment regimens as some require multiple sessions.</w:t>
      </w:r>
    </w:p>
    <w:p w14:paraId="69870D63" w14:textId="0723B492" w:rsidR="5D595B37" w:rsidRDefault="5D595B37" w:rsidP="007211C1">
      <w:pPr>
        <w:spacing w:line="257" w:lineRule="auto"/>
        <w:rPr>
          <w:rFonts w:cs="Calibri"/>
        </w:rPr>
      </w:pPr>
      <w:r w:rsidRPr="4E781426">
        <w:rPr>
          <w:rFonts w:cs="Calibri"/>
        </w:rPr>
        <w:t xml:space="preserve">Psychological assessment for suitability was identified as another service required prior to delivery of the intervention. </w:t>
      </w:r>
    </w:p>
    <w:p w14:paraId="56056726" w14:textId="77777777" w:rsidR="00D272C8" w:rsidRDefault="00D272C8">
      <w:pPr>
        <w:spacing w:after="160" w:line="259" w:lineRule="auto"/>
        <w:rPr>
          <w:rFonts w:cs="Calibri"/>
          <w:b/>
          <w:bCs/>
        </w:rPr>
      </w:pPr>
      <w:r>
        <w:rPr>
          <w:rFonts w:cs="Calibri"/>
          <w:b/>
          <w:bCs/>
        </w:rPr>
        <w:br w:type="page"/>
      </w:r>
    </w:p>
    <w:p w14:paraId="647047E8" w14:textId="0D9631E9" w:rsidR="5D595B37" w:rsidRDefault="5D595B37" w:rsidP="00D53022">
      <w:pPr>
        <w:spacing w:after="120" w:line="257" w:lineRule="auto"/>
        <w:rPr>
          <w:rFonts w:cs="Calibri"/>
          <w:b/>
          <w:bCs/>
        </w:rPr>
      </w:pPr>
      <w:r w:rsidRPr="4E781426">
        <w:rPr>
          <w:rFonts w:cs="Calibri"/>
          <w:b/>
          <w:bCs/>
        </w:rPr>
        <w:lastRenderedPageBreak/>
        <w:t>Indication(s) for the proposed medical service and clinical claim</w:t>
      </w:r>
    </w:p>
    <w:p w14:paraId="13A186C2" w14:textId="3CD4C9DB" w:rsidR="5D595B37" w:rsidRDefault="5D595B37" w:rsidP="007211C1">
      <w:pPr>
        <w:spacing w:line="257" w:lineRule="auto"/>
        <w:rPr>
          <w:rFonts w:cs="Calibri"/>
        </w:rPr>
      </w:pPr>
      <w:r w:rsidRPr="0B9B000D">
        <w:rPr>
          <w:rFonts w:cs="Calibri"/>
        </w:rPr>
        <w:t xml:space="preserve">All of the consultation feedback agreed with the proposed population. Most of the feedback received agreed with the clinical claims and the comparator being implanted PNS, with only Medtronic disagreeing with the clinical claims and that implanted PNS is a suitable comparator. </w:t>
      </w:r>
    </w:p>
    <w:p w14:paraId="616274EB" w14:textId="18F2B7CE" w:rsidR="5D595B37" w:rsidRDefault="5D595B37" w:rsidP="00D53022">
      <w:pPr>
        <w:spacing w:after="120" w:line="257" w:lineRule="auto"/>
        <w:rPr>
          <w:rFonts w:cs="Calibri"/>
          <w:b/>
          <w:bCs/>
        </w:rPr>
      </w:pPr>
      <w:r w:rsidRPr="4E781426">
        <w:rPr>
          <w:rFonts w:cs="Calibri"/>
          <w:b/>
          <w:bCs/>
        </w:rPr>
        <w:t xml:space="preserve">Additional comments </w:t>
      </w:r>
    </w:p>
    <w:p w14:paraId="18C66080" w14:textId="13537AA3" w:rsidR="5D595B37" w:rsidRDefault="5D595B37" w:rsidP="007211C1">
      <w:pPr>
        <w:spacing w:line="257" w:lineRule="auto"/>
        <w:rPr>
          <w:rFonts w:cs="Calibri"/>
        </w:rPr>
      </w:pPr>
      <w:r w:rsidRPr="4E781426">
        <w:rPr>
          <w:rFonts w:cs="Calibri"/>
        </w:rPr>
        <w:t>Medtronic raised concerns that PENS could potentially delay progression to implantable PNS and that there is little evidence that PENS could be used as a surrogate trial for implantable PNS. The A</w:t>
      </w:r>
      <w:r w:rsidR="00F354F9">
        <w:rPr>
          <w:rFonts w:cs="Calibri"/>
        </w:rPr>
        <w:t>S</w:t>
      </w:r>
      <w:r w:rsidRPr="4E781426">
        <w:rPr>
          <w:rFonts w:cs="Calibri"/>
        </w:rPr>
        <w:t>A members reported that PENS therapy was useful to treat neuropathic pain in appropriately selected patients prior to the removal of PENS from MBS item number 39138. The A</w:t>
      </w:r>
      <w:r w:rsidR="00F354F9">
        <w:rPr>
          <w:rFonts w:cs="Calibri"/>
        </w:rPr>
        <w:t>S</w:t>
      </w:r>
      <w:r w:rsidRPr="4E781426">
        <w:rPr>
          <w:rFonts w:cs="Calibri"/>
        </w:rPr>
        <w:t>A note that there is support for PENS therapy by international bodies such as the NHS. PHA recommend that the further details in the service descriptor states ‘PENS (or directly comparable technology) therapy probes’. They added that claims that PENS can identify patients who would not benefit from neurostimulation using and implanted neuromodulator should be thoroughly assessed in the health technology analysis.</w:t>
      </w:r>
    </w:p>
    <w:p w14:paraId="035D3DD2" w14:textId="5F1BF828" w:rsidR="002C338C" w:rsidRDefault="002C338C" w:rsidP="00FA14A8">
      <w:pPr>
        <w:autoSpaceDE w:val="0"/>
        <w:autoSpaceDN w:val="0"/>
        <w:adjustRightInd w:val="0"/>
        <w:spacing w:after="0"/>
        <w:rPr>
          <w:rFonts w:cs="Calibri"/>
          <w:i/>
          <w:iCs/>
        </w:rPr>
      </w:pPr>
      <w:r>
        <w:rPr>
          <w:rFonts w:cs="Calibri"/>
          <w:i/>
          <w:iCs/>
        </w:rPr>
        <w:t xml:space="preserve">PASC noted the consultation feedback was mostly supportive of PENS. PASC noted the dissenting views on whether PENS can be used in place of trialling an implantable peripheral nerve stimulation device. However, PASC noted that, if there is evidence to substantiate that </w:t>
      </w:r>
      <w:r w:rsidRPr="009728F6">
        <w:rPr>
          <w:rFonts w:cs="Calibri"/>
          <w:i/>
          <w:iCs/>
        </w:rPr>
        <w:t>PENS can be used in exchange for the trial procedure for an implantable peripheral nerve stimulat</w:t>
      </w:r>
      <w:r>
        <w:rPr>
          <w:rFonts w:cs="Calibri"/>
          <w:i/>
          <w:iCs/>
        </w:rPr>
        <w:t>ion</w:t>
      </w:r>
      <w:r w:rsidRPr="009728F6">
        <w:rPr>
          <w:rFonts w:cs="Calibri"/>
          <w:i/>
          <w:iCs/>
        </w:rPr>
        <w:t xml:space="preserve"> device </w:t>
      </w:r>
      <w:r>
        <w:rPr>
          <w:rFonts w:cs="Calibri"/>
          <w:i/>
          <w:iCs/>
        </w:rPr>
        <w:t xml:space="preserve">then, the feedback highlighted that the costs with trialling the implantable peripheral nerve stimulation device could be avoided. </w:t>
      </w:r>
    </w:p>
    <w:p w14:paraId="4E68667F" w14:textId="3CAC9BFC" w:rsidR="00D37A3F" w:rsidRDefault="00D37A3F" w:rsidP="00713728">
      <w:pPr>
        <w:pStyle w:val="Heading2"/>
      </w:pPr>
      <w:r w:rsidRPr="00D37A3F">
        <w:t>Next steps</w:t>
      </w:r>
    </w:p>
    <w:p w14:paraId="4AA26F40" w14:textId="2CA6AD86" w:rsidR="00B264BE" w:rsidRPr="00DD3F31" w:rsidRDefault="00B264BE" w:rsidP="00360BD2">
      <w:pPr>
        <w:rPr>
          <w:i/>
          <w:iCs/>
        </w:rPr>
      </w:pPr>
      <w:r w:rsidRPr="00DD3F31">
        <w:rPr>
          <w:i/>
          <w:iCs/>
        </w:rPr>
        <w:t>PASC note</w:t>
      </w:r>
      <w:r w:rsidR="00F354F9">
        <w:rPr>
          <w:i/>
          <w:iCs/>
        </w:rPr>
        <w:t>d</w:t>
      </w:r>
      <w:r w:rsidR="00DD3F31" w:rsidRPr="00DD3F31">
        <w:rPr>
          <w:i/>
          <w:iCs/>
        </w:rPr>
        <w:t xml:space="preserve"> that </w:t>
      </w:r>
      <w:r w:rsidR="00F354F9">
        <w:rPr>
          <w:i/>
          <w:iCs/>
        </w:rPr>
        <w:t>at the time of the meeting the applicant was undecided on whether or not they would be developing the assessment report and have subsequently</w:t>
      </w:r>
      <w:r w:rsidRPr="00DD3F31">
        <w:rPr>
          <w:i/>
          <w:iCs/>
        </w:rPr>
        <w:t xml:space="preserve"> </w:t>
      </w:r>
      <w:r w:rsidR="00DD3F31" w:rsidRPr="00DD3F31">
        <w:rPr>
          <w:i/>
          <w:iCs/>
        </w:rPr>
        <w:t xml:space="preserve">advised they have elected to progress </w:t>
      </w:r>
      <w:r w:rsidR="00F354F9">
        <w:rPr>
          <w:i/>
          <w:iCs/>
        </w:rPr>
        <w:t>the</w:t>
      </w:r>
      <w:r w:rsidR="00DD3F31" w:rsidRPr="00DD3F31">
        <w:rPr>
          <w:i/>
          <w:iCs/>
        </w:rPr>
        <w:t xml:space="preserve"> application as an ADAR (Applicant Developed Assessment Report).</w:t>
      </w:r>
    </w:p>
    <w:p w14:paraId="7E283FAC" w14:textId="77777777" w:rsidR="003D6595" w:rsidRDefault="003D6595" w:rsidP="003D6595">
      <w:pPr>
        <w:pStyle w:val="Heading2"/>
      </w:pPr>
      <w:r>
        <w:t>Applicant comment on the ratified PICO Confirmation</w:t>
      </w:r>
    </w:p>
    <w:p w14:paraId="674AF924" w14:textId="4DBB36D5" w:rsidR="003D6595" w:rsidRPr="00952B9C" w:rsidRDefault="003D6595" w:rsidP="003D6595">
      <w:pPr>
        <w:spacing w:after="160" w:line="259" w:lineRule="auto"/>
        <w:rPr>
          <w:bCs/>
        </w:rPr>
      </w:pPr>
      <w:r w:rsidRPr="00952B9C">
        <w:rPr>
          <w:bCs/>
        </w:rPr>
        <w:t>The applicant did not confirm that allodynia was not the focus of the application. Allodynia is NOT a separate population and does not require an extension to the indication. Allodynia and hypersensitivity are different ways of describing the same symptom which is a characterising symptom of neuropathic pain. Allodynia (hypersensitivity) is not a separate condition but a component of peripheral neuropathic pain and as such, is included within the definition of peripheral neuropathic pain</w:t>
      </w:r>
      <w:r w:rsidR="00DD3F31">
        <w:rPr>
          <w:bCs/>
        </w:rPr>
        <w:t>.</w:t>
      </w:r>
    </w:p>
    <w:p w14:paraId="4244D0B1" w14:textId="77777777" w:rsidR="003D6595" w:rsidRPr="002170B2" w:rsidRDefault="003D6595" w:rsidP="002170B2">
      <w:pPr>
        <w:ind w:left="720"/>
      </w:pPr>
      <w:r w:rsidRPr="002170B2">
        <w:t>The symptoms which characterise peripheral neuropathic pain include hypersensitivity and/or inflammation around the site of the damaged nerve. The nociceptive effect has been described as consisting of two distinguishable pains: the first of which is more localised and produces a sharper sensation, whereas the second pain feels more diffuse and induces a duller burning sensation. Chronic peripheral neuropathic pain is characterised when these pain sensations are sustained over a period of at least 3 to 6 months (Toth, 2013). Other symptoms of neuropathic pain include numbness, tingling, and electric shock-like sensations as well as muscle weakness, difficulty moving, or problems with balance (Healthdirect Australia, 2022).</w:t>
      </w:r>
    </w:p>
    <w:p w14:paraId="6506DE61" w14:textId="2CE824B2" w:rsidR="003D6595" w:rsidRPr="00C60F27" w:rsidRDefault="003D6595" w:rsidP="003D6595">
      <w:pPr>
        <w:spacing w:after="160" w:line="259" w:lineRule="auto"/>
        <w:rPr>
          <w:b/>
          <w:color w:val="FF0000"/>
        </w:rPr>
      </w:pPr>
      <w:r>
        <w:t>In terms of PENS Probe placement, it may be placed at a named peripheral nerve, or at the unnamed nerve endings in an area of allodynia if there is no named nerve to target</w:t>
      </w:r>
      <w:r w:rsidR="00DD3F31">
        <w:t>.</w:t>
      </w:r>
    </w:p>
    <w:p w14:paraId="05877B0C" w14:textId="77777777" w:rsidR="00577245" w:rsidRDefault="00577245" w:rsidP="00577245">
      <w:pPr>
        <w:spacing w:after="160" w:line="259" w:lineRule="auto"/>
      </w:pPr>
      <w:r w:rsidRPr="006D09F5">
        <w:t>According to Vajramani (2020), PENS encompasses four different neurostimulator technologies</w:t>
      </w:r>
      <w:r>
        <w:t>.</w:t>
      </w:r>
      <w:r w:rsidRPr="006D09F5">
        <w:t xml:space="preserve"> </w:t>
      </w:r>
      <w:r>
        <w:t>It should also be noted that examples (1) [</w:t>
      </w:r>
      <w:r w:rsidRPr="006D09F5">
        <w:t>electro-acupuncture PENS targeting peripheral nerves (approx</w:t>
      </w:r>
      <w:r>
        <w:t xml:space="preserve">imately </w:t>
      </w:r>
      <w:r w:rsidRPr="006D09F5">
        <w:t xml:space="preserve">10 </w:t>
      </w:r>
      <w:r w:rsidRPr="006D09F5">
        <w:lastRenderedPageBreak/>
        <w:t>needle probes</w:t>
      </w:r>
      <w:r>
        <w:t>)] and (2) [</w:t>
      </w:r>
      <w:r w:rsidRPr="006D09F5">
        <w:t>PENS delivered by an array of small needles to target superficial nerves</w:t>
      </w:r>
      <w:r>
        <w:t>] include needles which are not long enough to reach named peripheral nerves.</w:t>
      </w:r>
    </w:p>
    <w:p w14:paraId="2C039C0E" w14:textId="6EE3D6FF" w:rsidR="003D6595" w:rsidRDefault="003D6595" w:rsidP="003D6595">
      <w:pPr>
        <w:spacing w:after="160" w:line="256" w:lineRule="auto"/>
      </w:pPr>
      <w:r>
        <w:t>A PRF Probe/Needle has an active/electrically conductive tip of between 2mm and 10mm, whereas a PENS Probe has an active/electrically conductive length of between 20mm and 200mm. If PRF was to be used to stimulate the same target, several PRF Probes/Needles would need to be used where one PENS probe is sufficient in length. PRF was not designed for the same purpose.</w:t>
      </w:r>
    </w:p>
    <w:p w14:paraId="21868DFE" w14:textId="77777777" w:rsidR="003D6595" w:rsidRDefault="003D6595" w:rsidP="003D6595">
      <w:pPr>
        <w:spacing w:after="160" w:line="259" w:lineRule="auto"/>
      </w:pPr>
      <w:r>
        <w:t>The applicant’s clinical algorithm was an attempt to document the complexity of chronic neuropathic pain management. At first look, it may appear that the PRF and PENS are direct comparators, however this is not the case.  Both therapies are included in both arms, where if one therapy is ineffective, the other therapy is trialled, but in different sequence. Success with one therapy effectively rules out effectiveness of the other therapy as the mechanism of action is different.</w:t>
      </w:r>
    </w:p>
    <w:p w14:paraId="420218FF" w14:textId="55456C56" w:rsidR="003D6595" w:rsidRDefault="003D6595" w:rsidP="003D6595">
      <w:pPr>
        <w:spacing w:after="160" w:line="256" w:lineRule="auto"/>
      </w:pPr>
      <w:r>
        <w:t xml:space="preserve">Both clinical experts who attended the PASC meeting </w:t>
      </w:r>
      <w:r w:rsidR="00577245">
        <w:t>considered</w:t>
      </w:r>
      <w:r>
        <w:t xml:space="preserve"> that a comparative study of PENS vs PRF would be unethical</w:t>
      </w:r>
      <w:r w:rsidR="00DD3F31">
        <w:t>.</w:t>
      </w:r>
    </w:p>
    <w:p w14:paraId="6585D2AA" w14:textId="77777777" w:rsidR="003D6595" w:rsidRPr="00C60F27" w:rsidRDefault="003D6595" w:rsidP="003D6595">
      <w:pPr>
        <w:spacing w:after="160" w:line="259" w:lineRule="auto"/>
      </w:pPr>
      <w:r>
        <w:t>Additionally, PRF has no role in determining whether an implantable neurostimulator is likely to be successful, as the mechanism of action is not the same as neurostimulation.</w:t>
      </w:r>
    </w:p>
    <w:p w14:paraId="59EFB067" w14:textId="11E0739F" w:rsidR="00222103" w:rsidRDefault="003D6595" w:rsidP="003D6595">
      <w:pPr>
        <w:spacing w:after="160" w:line="259" w:lineRule="auto"/>
      </w:pPr>
      <w:r>
        <w:t>Should PRF be unsuccessful when used as a first line therapy, then the subsequent alternative therapies (comparators) are PENS or an implantable neurostimulator.</w:t>
      </w:r>
    </w:p>
    <w:p w14:paraId="6AC04E89" w14:textId="77777777" w:rsidR="00222103" w:rsidRDefault="00222103">
      <w:pPr>
        <w:spacing w:after="160" w:line="259" w:lineRule="auto"/>
      </w:pPr>
      <w:r>
        <w:br w:type="page"/>
      </w:r>
    </w:p>
    <w:p w14:paraId="16AD4FF0" w14:textId="77777777" w:rsidR="003D6595" w:rsidRDefault="003D6595" w:rsidP="003D6595">
      <w:pPr>
        <w:spacing w:after="160" w:line="259" w:lineRule="auto"/>
      </w:pPr>
    </w:p>
    <w:p w14:paraId="73A2A9C9" w14:textId="1023864A" w:rsidR="006478E7" w:rsidRPr="00222103" w:rsidRDefault="7745A170" w:rsidP="00E35BD9">
      <w:pPr>
        <w:spacing w:after="160" w:line="259" w:lineRule="auto"/>
        <w:rPr>
          <w:rFonts w:ascii="Franklin Gothic Medium" w:hAnsi="Franklin Gothic Medium"/>
          <w:sz w:val="32"/>
          <w:szCs w:val="32"/>
        </w:rPr>
      </w:pPr>
      <w:r w:rsidRPr="00222103">
        <w:rPr>
          <w:rFonts w:ascii="Franklin Gothic Medium" w:hAnsi="Franklin Gothic Medium"/>
          <w:sz w:val="32"/>
          <w:szCs w:val="32"/>
        </w:rPr>
        <w:t>References</w:t>
      </w:r>
    </w:p>
    <w:p w14:paraId="6BEFFE71" w14:textId="660692E4" w:rsidR="147CC394" w:rsidRDefault="5D207BFD" w:rsidP="736D4F2E">
      <w:pPr>
        <w:rPr>
          <w:rStyle w:val="Hyperlink"/>
        </w:rPr>
      </w:pPr>
      <w:r w:rsidRPr="736D4F2E">
        <w:rPr>
          <w:rFonts w:cs="Calibri"/>
        </w:rPr>
        <w:t xml:space="preserve">Bates, D., Schultheis, B. C., Hanes, M. C., Jolly, S. M., Chakravarthy, K. V., Deer, T. R., Levy, R. M., &amp; Hunter, C. W. (2019). A Comprehensive Algorithm for Management of Neuropathic Pain. </w:t>
      </w:r>
      <w:r w:rsidRPr="736D4F2E">
        <w:rPr>
          <w:rFonts w:cs="Calibri"/>
          <w:i/>
          <w:iCs/>
        </w:rPr>
        <w:t>Pain Medicine</w:t>
      </w:r>
      <w:r w:rsidRPr="736D4F2E">
        <w:rPr>
          <w:rFonts w:cs="Calibri"/>
        </w:rPr>
        <w:t xml:space="preserve">, </w:t>
      </w:r>
      <w:r w:rsidRPr="736D4F2E">
        <w:rPr>
          <w:rFonts w:cs="Calibri"/>
          <w:i/>
          <w:iCs/>
        </w:rPr>
        <w:t>20</w:t>
      </w:r>
      <w:r w:rsidRPr="736D4F2E">
        <w:rPr>
          <w:rFonts w:cs="Calibri"/>
        </w:rPr>
        <w:t xml:space="preserve">(Supplement_1), S2–S12. </w:t>
      </w:r>
      <w:hyperlink r:id="rId14" w:history="1">
        <w:r w:rsidRPr="736D4F2E">
          <w:rPr>
            <w:rStyle w:val="Hyperlink"/>
          </w:rPr>
          <w:t>https://doi.org/10.1093/pm/pnz075</w:t>
        </w:r>
      </w:hyperlink>
    </w:p>
    <w:p w14:paraId="567CA385" w14:textId="6468ACD9" w:rsidR="147CC394" w:rsidRDefault="5D207BFD" w:rsidP="736D4F2E">
      <w:pPr>
        <w:rPr>
          <w:rFonts w:cs="Calibri"/>
        </w:rPr>
      </w:pPr>
      <w:r w:rsidRPr="736D4F2E">
        <w:rPr>
          <w:rFonts w:cs="Calibri"/>
        </w:rPr>
        <w:t xml:space="preserve">Chang, M. C. (2018). Efficacy of Pulsed Radiofrequency Stimulation in Patients with Peripheral Neuropathic Pain: A Narrative Review. </w:t>
      </w:r>
      <w:r w:rsidRPr="736D4F2E">
        <w:rPr>
          <w:rFonts w:cs="Calibri"/>
          <w:i/>
          <w:iCs/>
        </w:rPr>
        <w:t>Pain Physician</w:t>
      </w:r>
      <w:r w:rsidRPr="736D4F2E">
        <w:rPr>
          <w:rFonts w:cs="Calibri"/>
        </w:rPr>
        <w:t xml:space="preserve">, </w:t>
      </w:r>
      <w:r w:rsidRPr="736D4F2E">
        <w:rPr>
          <w:rFonts w:cs="Calibri"/>
          <w:i/>
          <w:iCs/>
        </w:rPr>
        <w:t>21</w:t>
      </w:r>
      <w:r w:rsidRPr="736D4F2E">
        <w:rPr>
          <w:rFonts w:cs="Calibri"/>
        </w:rPr>
        <w:t>(3), E225–E234.</w:t>
      </w:r>
    </w:p>
    <w:p w14:paraId="45B426CB" w14:textId="7CA67230" w:rsidR="147CC394" w:rsidRDefault="5D207BFD" w:rsidP="736D4F2E">
      <w:pPr>
        <w:rPr>
          <w:rStyle w:val="Hyperlink"/>
        </w:rPr>
      </w:pPr>
      <w:r w:rsidRPr="736D4F2E">
        <w:rPr>
          <w:rFonts w:cs="Calibri"/>
        </w:rPr>
        <w:t xml:space="preserve">Cheng, E. T. L., Cheik-Hussein, M., Lin, N., Lewin, A. M., McAuley, J. H., &amp; Harris, I. A. (2023). A meta-epidemiological study on the reported treatment effect of pregabalin in neuropathic pain trials over time. </w:t>
      </w:r>
      <w:r w:rsidRPr="736D4F2E">
        <w:rPr>
          <w:rFonts w:cs="Calibri"/>
          <w:i/>
          <w:iCs/>
        </w:rPr>
        <w:t>PLoS ONE</w:t>
      </w:r>
      <w:r w:rsidRPr="736D4F2E">
        <w:rPr>
          <w:rFonts w:cs="Calibri"/>
        </w:rPr>
        <w:t xml:space="preserve">, </w:t>
      </w:r>
      <w:r w:rsidRPr="736D4F2E">
        <w:rPr>
          <w:rFonts w:cs="Calibri"/>
          <w:i/>
          <w:iCs/>
        </w:rPr>
        <w:t>17</w:t>
      </w:r>
      <w:r w:rsidRPr="736D4F2E">
        <w:rPr>
          <w:rFonts w:cs="Calibri"/>
        </w:rPr>
        <w:t xml:space="preserve">(1), 1–17. </w:t>
      </w:r>
      <w:hyperlink r:id="rId15" w:history="1">
        <w:r w:rsidRPr="736D4F2E">
          <w:rPr>
            <w:rStyle w:val="Hyperlink"/>
          </w:rPr>
          <w:t>https://doi.org/10.1371/journal.pone.0280593</w:t>
        </w:r>
      </w:hyperlink>
    </w:p>
    <w:p w14:paraId="5A9BB8B3" w14:textId="03803882" w:rsidR="147CC394" w:rsidRDefault="5D207BFD" w:rsidP="736D4F2E">
      <w:pPr>
        <w:rPr>
          <w:rStyle w:val="Hyperlink"/>
        </w:rPr>
      </w:pPr>
      <w:r w:rsidRPr="736D4F2E">
        <w:rPr>
          <w:rFonts w:cs="Calibri"/>
        </w:rPr>
        <w:t xml:space="preserve">de Sire, A., Ammendolia, A., Lippi, L., Farì, G., Cisari, C., &amp; Invernizzi, M. (2021). Percutaneous Electrical Nerve Stimulation (PENS) as a Rehabilitation Approach for Reducing Mixed Chronic Pain in Patients with Musculoskeletal Disorders. </w:t>
      </w:r>
      <w:r w:rsidRPr="736D4F2E">
        <w:rPr>
          <w:rFonts w:cs="Calibri"/>
          <w:i/>
          <w:iCs/>
        </w:rPr>
        <w:t>Applied Sciences</w:t>
      </w:r>
      <w:r w:rsidRPr="736D4F2E">
        <w:rPr>
          <w:rFonts w:cs="Calibri"/>
        </w:rPr>
        <w:t xml:space="preserve">, </w:t>
      </w:r>
      <w:r w:rsidRPr="736D4F2E">
        <w:rPr>
          <w:rFonts w:cs="Calibri"/>
          <w:i/>
          <w:iCs/>
        </w:rPr>
        <w:t>11</w:t>
      </w:r>
      <w:r w:rsidRPr="736D4F2E">
        <w:rPr>
          <w:rFonts w:cs="Calibri"/>
        </w:rPr>
        <w:t xml:space="preserve">(9), 4257. </w:t>
      </w:r>
      <w:hyperlink r:id="rId16" w:history="1">
        <w:r w:rsidRPr="736D4F2E">
          <w:rPr>
            <w:rStyle w:val="Hyperlink"/>
          </w:rPr>
          <w:t>https://doi.org/10.3390/app11094257</w:t>
        </w:r>
      </w:hyperlink>
    </w:p>
    <w:p w14:paraId="1D6329FD" w14:textId="38593A69" w:rsidR="147CC394" w:rsidRDefault="5D207BFD" w:rsidP="736D4F2E">
      <w:pPr>
        <w:rPr>
          <w:rStyle w:val="Hyperlink"/>
        </w:rPr>
      </w:pPr>
      <w:r w:rsidRPr="736D4F2E">
        <w:rPr>
          <w:rFonts w:cs="Calibri"/>
        </w:rPr>
        <w:t xml:space="preserve">Finnerup, N. B., Haroutounian, S., Baron, R., Dworkin, R. H., Gilron, I., Haanpaa, M., Jensen, T. S., Kamerman, P. R., McNicol, E., Moore, A., Raja, S. N., Andersen, N. T., Sena, E. S., Smith, B. H., Rice, A. S. C., &amp; Attal, N. (2018). Neuropathic pain clinical trials: Factors associated with decreases in estimated drug efficacy. </w:t>
      </w:r>
      <w:r w:rsidRPr="736D4F2E">
        <w:rPr>
          <w:rFonts w:cs="Calibri"/>
          <w:i/>
          <w:iCs/>
        </w:rPr>
        <w:t>PAIN</w:t>
      </w:r>
      <w:r w:rsidRPr="736D4F2E">
        <w:rPr>
          <w:rFonts w:cs="Calibri"/>
        </w:rPr>
        <w:t xml:space="preserve">, </w:t>
      </w:r>
      <w:r w:rsidRPr="736D4F2E">
        <w:rPr>
          <w:rFonts w:cs="Calibri"/>
          <w:i/>
          <w:iCs/>
        </w:rPr>
        <w:t>159</w:t>
      </w:r>
      <w:r w:rsidRPr="736D4F2E">
        <w:rPr>
          <w:rFonts w:cs="Calibri"/>
        </w:rPr>
        <w:t xml:space="preserve">(11), 2339. </w:t>
      </w:r>
      <w:hyperlink r:id="rId17" w:history="1">
        <w:r w:rsidRPr="736D4F2E">
          <w:rPr>
            <w:rStyle w:val="Hyperlink"/>
          </w:rPr>
          <w:t>https://doi.org/10.1097/j.pain.0000000000001340</w:t>
        </w:r>
      </w:hyperlink>
    </w:p>
    <w:p w14:paraId="7DE63C91" w14:textId="2716068D" w:rsidR="147CC394" w:rsidRDefault="5D207BFD" w:rsidP="736D4F2E">
      <w:pPr>
        <w:rPr>
          <w:rStyle w:val="Hyperlink"/>
        </w:rPr>
      </w:pPr>
      <w:r w:rsidRPr="736D4F2E">
        <w:rPr>
          <w:rFonts w:cs="Calibri"/>
        </w:rPr>
        <w:t xml:space="preserve">Finnerup, N. B., Haroutounian, S., Kamerman, P., Baron, R., Bennett, D. L. H., Bouhassira, D., Cruccu, G., Freeman, R., Hansson, P., Nurmikko, T., Raja, S. N., Rice, A. S. C., Serra, J., Smith, B. H., Treede, R.-D., &amp; Jensen, T. S. (2016). Neuropathic pain: An updated grading system for research and clinical practice. </w:t>
      </w:r>
      <w:r w:rsidRPr="736D4F2E">
        <w:rPr>
          <w:rFonts w:cs="Calibri"/>
          <w:i/>
          <w:iCs/>
        </w:rPr>
        <w:t>Pain</w:t>
      </w:r>
      <w:r w:rsidRPr="736D4F2E">
        <w:rPr>
          <w:rFonts w:cs="Calibri"/>
        </w:rPr>
        <w:t xml:space="preserve">, </w:t>
      </w:r>
      <w:r w:rsidRPr="736D4F2E">
        <w:rPr>
          <w:rFonts w:cs="Calibri"/>
          <w:i/>
          <w:iCs/>
        </w:rPr>
        <w:t>157</w:t>
      </w:r>
      <w:r w:rsidRPr="736D4F2E">
        <w:rPr>
          <w:rFonts w:cs="Calibri"/>
        </w:rPr>
        <w:t xml:space="preserve">(8), 1599–1606. </w:t>
      </w:r>
      <w:hyperlink r:id="rId18" w:history="1">
        <w:r w:rsidRPr="736D4F2E">
          <w:rPr>
            <w:rStyle w:val="Hyperlink"/>
          </w:rPr>
          <w:t>https://doi.org/10.1097/j.pain.0000000000000492</w:t>
        </w:r>
      </w:hyperlink>
    </w:p>
    <w:p w14:paraId="3AFB2F73" w14:textId="043C69CA" w:rsidR="147CC394" w:rsidRDefault="5D207BFD" w:rsidP="736D4F2E">
      <w:pPr>
        <w:rPr>
          <w:rStyle w:val="Hyperlink"/>
        </w:rPr>
      </w:pPr>
      <w:r w:rsidRPr="736D4F2E">
        <w:rPr>
          <w:rFonts w:cs="Calibri"/>
        </w:rPr>
        <w:t xml:space="preserve">Hamza, M. A., Ghoname, E. A., White, P. F., Craig, W. F., Ahmed, H. E., Gajraj, N. M., Vakharia, A. S., &amp; Noe, C. E. (1999). Effect of the duration of electrical stimulation on the analgesic response in patients with low back pain. </w:t>
      </w:r>
      <w:r w:rsidRPr="736D4F2E">
        <w:rPr>
          <w:rFonts w:cs="Calibri"/>
          <w:i/>
          <w:iCs/>
        </w:rPr>
        <w:t>Anesthesiology</w:t>
      </w:r>
      <w:r w:rsidRPr="736D4F2E">
        <w:rPr>
          <w:rFonts w:cs="Calibri"/>
        </w:rPr>
        <w:t xml:space="preserve">, </w:t>
      </w:r>
      <w:r w:rsidRPr="736D4F2E">
        <w:rPr>
          <w:rFonts w:cs="Calibri"/>
          <w:i/>
          <w:iCs/>
        </w:rPr>
        <w:t>91</w:t>
      </w:r>
      <w:r w:rsidRPr="736D4F2E">
        <w:rPr>
          <w:rFonts w:cs="Calibri"/>
        </w:rPr>
        <w:t xml:space="preserve">(6), 1622–1627. </w:t>
      </w:r>
      <w:hyperlink r:id="rId19" w:history="1">
        <w:r w:rsidRPr="736D4F2E">
          <w:rPr>
            <w:rStyle w:val="Hyperlink"/>
          </w:rPr>
          <w:t>https://doi.org/10.1097/00000542-199912000-00012</w:t>
        </w:r>
      </w:hyperlink>
    </w:p>
    <w:p w14:paraId="6B5D563F" w14:textId="3E00B9CF" w:rsidR="147CC394" w:rsidRDefault="5D207BFD" w:rsidP="736D4F2E">
      <w:pPr>
        <w:rPr>
          <w:rStyle w:val="Hyperlink"/>
        </w:rPr>
      </w:pPr>
      <w:r w:rsidRPr="736D4F2E">
        <w:rPr>
          <w:rFonts w:cs="Calibri"/>
        </w:rPr>
        <w:t xml:space="preserve">Hamza, M. A., White, P. F., Craig, W. F., Ghoname, E. S., Ahmed, H. E., Proctor, T. J., Noe, C. E., Vakharia, A. S., &amp; Gajraj, N. (2000). Percutaneous electrical nerve stimulation: A novel analgesic therapy for diabetic neuropathic pain. </w:t>
      </w:r>
      <w:r w:rsidRPr="736D4F2E">
        <w:rPr>
          <w:rFonts w:cs="Calibri"/>
          <w:i/>
          <w:iCs/>
        </w:rPr>
        <w:t>Diabetes Care</w:t>
      </w:r>
      <w:r w:rsidRPr="736D4F2E">
        <w:rPr>
          <w:rFonts w:cs="Calibri"/>
        </w:rPr>
        <w:t xml:space="preserve">, </w:t>
      </w:r>
      <w:r w:rsidRPr="736D4F2E">
        <w:rPr>
          <w:rFonts w:cs="Calibri"/>
          <w:i/>
          <w:iCs/>
        </w:rPr>
        <w:t>23</w:t>
      </w:r>
      <w:r w:rsidRPr="736D4F2E">
        <w:rPr>
          <w:rFonts w:cs="Calibri"/>
        </w:rPr>
        <w:t xml:space="preserve">(3), 365–370. </w:t>
      </w:r>
      <w:hyperlink r:id="rId20" w:history="1">
        <w:r w:rsidRPr="736D4F2E">
          <w:rPr>
            <w:rStyle w:val="Hyperlink"/>
          </w:rPr>
          <w:t>https://doi.org/10.2337/diacare.23.3.365</w:t>
        </w:r>
      </w:hyperlink>
    </w:p>
    <w:p w14:paraId="44FFA6E0" w14:textId="58489DB1" w:rsidR="147CC394" w:rsidRDefault="5D207BFD" w:rsidP="736D4F2E">
      <w:pPr>
        <w:rPr>
          <w:rStyle w:val="Hyperlink"/>
        </w:rPr>
      </w:pPr>
      <w:r w:rsidRPr="736D4F2E">
        <w:rPr>
          <w:rFonts w:cs="Calibri"/>
        </w:rPr>
        <w:t xml:space="preserve">Healthdirect Australia. (2022, December 7). </w:t>
      </w:r>
      <w:r w:rsidRPr="736D4F2E">
        <w:rPr>
          <w:rFonts w:cs="Calibri"/>
          <w:i/>
          <w:iCs/>
        </w:rPr>
        <w:t>Neuropathy</w:t>
      </w:r>
      <w:r w:rsidRPr="736D4F2E">
        <w:rPr>
          <w:rFonts w:cs="Calibri"/>
        </w:rPr>
        <w:t xml:space="preserve"> [Text/html]. Healthdirect Australia. </w:t>
      </w:r>
      <w:hyperlink r:id="rId21" w:history="1">
        <w:r w:rsidRPr="736D4F2E">
          <w:rPr>
            <w:rStyle w:val="Hyperlink"/>
          </w:rPr>
          <w:t>https://www.healthdirect.gov.au/neuropathy</w:t>
        </w:r>
      </w:hyperlink>
    </w:p>
    <w:p w14:paraId="7C9E9E13" w14:textId="127552FE" w:rsidR="147CC394" w:rsidRDefault="5D207BFD" w:rsidP="736D4F2E">
      <w:pPr>
        <w:rPr>
          <w:rFonts w:cs="Calibri"/>
        </w:rPr>
      </w:pPr>
      <w:r w:rsidRPr="736D4F2E">
        <w:rPr>
          <w:rFonts w:cs="Calibri"/>
        </w:rPr>
        <w:t xml:space="preserve">Henderson, J., Pollack, A. J., Pan, Y., &amp; Miller, G. C. (2016). Neuropathic and non-neuropathic chronic pain at GP encounters: Prevalence, patient characteristics, suffering and pregabalin use. </w:t>
      </w:r>
      <w:r w:rsidRPr="736D4F2E">
        <w:rPr>
          <w:rFonts w:cs="Calibri"/>
          <w:i/>
          <w:iCs/>
        </w:rPr>
        <w:t>Australian Family Physician</w:t>
      </w:r>
      <w:r w:rsidRPr="736D4F2E">
        <w:rPr>
          <w:rFonts w:cs="Calibri"/>
        </w:rPr>
        <w:t xml:space="preserve">, </w:t>
      </w:r>
      <w:r w:rsidRPr="736D4F2E">
        <w:rPr>
          <w:rFonts w:cs="Calibri"/>
          <w:i/>
          <w:iCs/>
        </w:rPr>
        <w:t>45</w:t>
      </w:r>
      <w:r w:rsidRPr="736D4F2E">
        <w:rPr>
          <w:rFonts w:cs="Calibri"/>
        </w:rPr>
        <w:t>(11), 783–786.</w:t>
      </w:r>
    </w:p>
    <w:p w14:paraId="5C68BC82" w14:textId="799D96A9" w:rsidR="147CC394" w:rsidRDefault="5D207BFD" w:rsidP="00946E4B">
      <w:r w:rsidRPr="736D4F2E">
        <w:rPr>
          <w:rFonts w:cs="Calibri"/>
        </w:rPr>
        <w:t xml:space="preserve">IASP. (2011). </w:t>
      </w:r>
      <w:r w:rsidRPr="736D4F2E">
        <w:rPr>
          <w:rFonts w:cs="Calibri"/>
          <w:i/>
          <w:iCs/>
        </w:rPr>
        <w:t>Terminology | International Association for the Study of Pain</w:t>
      </w:r>
      <w:r w:rsidRPr="736D4F2E">
        <w:rPr>
          <w:rFonts w:cs="Calibri"/>
        </w:rPr>
        <w:t xml:space="preserve">. International Association for the Study of Pain (IASP). </w:t>
      </w:r>
      <w:hyperlink r:id="rId22" w:history="1">
        <w:r w:rsidRPr="736D4F2E">
          <w:rPr>
            <w:rStyle w:val="Hyperlink"/>
          </w:rPr>
          <w:t>https://www.iasp-pain.org/resources/terminology/</w:t>
        </w:r>
      </w:hyperlink>
      <w:r>
        <w:t xml:space="preserve"> </w:t>
      </w:r>
    </w:p>
    <w:p w14:paraId="1E6548DD" w14:textId="44AC3CB0" w:rsidR="147CC394" w:rsidRDefault="4645CED7" w:rsidP="736D4F2E">
      <w:pPr>
        <w:rPr>
          <w:rStyle w:val="Hyperlink"/>
        </w:rPr>
      </w:pPr>
      <w:r>
        <w:t xml:space="preserve">Metro Pain Group (n.d.). </w:t>
      </w:r>
      <w:r w:rsidRPr="736D4F2E">
        <w:rPr>
          <w:i/>
          <w:iCs/>
        </w:rPr>
        <w:t>Fact Sheet Percutaneous Elec</w:t>
      </w:r>
      <w:r w:rsidR="5976CD45" w:rsidRPr="736D4F2E">
        <w:rPr>
          <w:i/>
          <w:iCs/>
        </w:rPr>
        <w:t xml:space="preserve">trical Nerve Stimulation (PENS) </w:t>
      </w:r>
      <w:r w:rsidR="5976CD45">
        <w:t>[html]. Metro Pain Group. https://www.metropain.com.au/wp-content/uploads/2020/03/Fact-sheet_PENS_2017_09.pdf</w:t>
      </w:r>
    </w:p>
    <w:p w14:paraId="3E1E9C98" w14:textId="5A8D66C9" w:rsidR="00E01349" w:rsidRPr="00E01349" w:rsidRDefault="7F61398B" w:rsidP="736D4F2E">
      <w:pPr>
        <w:rPr>
          <w:rStyle w:val="Hyperlink"/>
        </w:rPr>
      </w:pPr>
      <w:r w:rsidRPr="736D4F2E">
        <w:rPr>
          <w:rFonts w:cs="Calibri"/>
        </w:rPr>
        <w:lastRenderedPageBreak/>
        <w:t xml:space="preserve">Raphael, J. H., Raheem, T. A., Southall, J. L., Bennett, A., Ashford, R. L., &amp; Williams, S. (2011). Randomized Double-Blind Sham-Controlled Crossover Study of Short-Term Effect of Percutaneous Electrical Nerve Stimulation in Neuropathic Pain. </w:t>
      </w:r>
      <w:r w:rsidRPr="736D4F2E">
        <w:rPr>
          <w:rFonts w:cs="Calibri"/>
          <w:i/>
          <w:iCs/>
        </w:rPr>
        <w:t>Pain Medicine</w:t>
      </w:r>
      <w:r w:rsidRPr="736D4F2E">
        <w:rPr>
          <w:rFonts w:cs="Calibri"/>
        </w:rPr>
        <w:t xml:space="preserve">, </w:t>
      </w:r>
      <w:r w:rsidRPr="736D4F2E">
        <w:rPr>
          <w:rFonts w:cs="Calibri"/>
          <w:i/>
          <w:iCs/>
        </w:rPr>
        <w:t>12</w:t>
      </w:r>
      <w:r w:rsidRPr="736D4F2E">
        <w:rPr>
          <w:rFonts w:cs="Calibri"/>
        </w:rPr>
        <w:t xml:space="preserve">(10), 1515–1522. </w:t>
      </w:r>
      <w:hyperlink r:id="rId23" w:history="1">
        <w:r w:rsidRPr="736D4F2E">
          <w:rPr>
            <w:rStyle w:val="Hyperlink"/>
          </w:rPr>
          <w:t>https://doi.org/10.1111/j.1526-4637.2011.01215.x</w:t>
        </w:r>
      </w:hyperlink>
    </w:p>
    <w:p w14:paraId="75C60F3C" w14:textId="089E2BA6" w:rsidR="00E01349" w:rsidRPr="00E01349" w:rsidRDefault="7F61398B" w:rsidP="736D4F2E">
      <w:pPr>
        <w:rPr>
          <w:rFonts w:cs="Calibri"/>
        </w:rPr>
      </w:pPr>
      <w:r w:rsidRPr="736D4F2E">
        <w:rPr>
          <w:rFonts w:cs="Calibri"/>
        </w:rPr>
        <w:t xml:space="preserve">Rossi, M., DeCarolis, G., Liberatoscioli, G., Iemma, D., Nosella, P., &amp; Nardi, L. F. (2016). A Novel Mini-invasive Approach to the Treatment of Neuropathic Pain: The PENS Study. </w:t>
      </w:r>
      <w:r w:rsidRPr="736D4F2E">
        <w:rPr>
          <w:rFonts w:cs="Calibri"/>
          <w:i/>
          <w:iCs/>
        </w:rPr>
        <w:t>Pain Physician</w:t>
      </w:r>
      <w:r w:rsidRPr="736D4F2E">
        <w:rPr>
          <w:rFonts w:cs="Calibri"/>
        </w:rPr>
        <w:t xml:space="preserve">, </w:t>
      </w:r>
      <w:r w:rsidRPr="736D4F2E">
        <w:rPr>
          <w:rFonts w:cs="Calibri"/>
          <w:i/>
          <w:iCs/>
        </w:rPr>
        <w:t>19</w:t>
      </w:r>
      <w:r w:rsidRPr="736D4F2E">
        <w:rPr>
          <w:rFonts w:cs="Calibri"/>
        </w:rPr>
        <w:t>(1), E121-128.</w:t>
      </w:r>
    </w:p>
    <w:p w14:paraId="40DA294C" w14:textId="29CFBC20" w:rsidR="00E01349" w:rsidRPr="00E01349" w:rsidRDefault="7F61398B" w:rsidP="736D4F2E">
      <w:pPr>
        <w:rPr>
          <w:rStyle w:val="Hyperlink"/>
        </w:rPr>
      </w:pPr>
      <w:r w:rsidRPr="736D4F2E">
        <w:rPr>
          <w:rFonts w:cs="Calibri"/>
        </w:rPr>
        <w:t xml:space="preserve">The Diabetes Control and Complications Trial Research Group. (1993). The Effect of Intensive Treatment of Diabetes on the Development and Progression of Long-Term Complications in Insulin-Dependent Diabetes Mellitus. </w:t>
      </w:r>
      <w:r w:rsidRPr="736D4F2E">
        <w:rPr>
          <w:rFonts w:cs="Calibri"/>
          <w:i/>
          <w:iCs/>
        </w:rPr>
        <w:t>New England Journal of Medicine</w:t>
      </w:r>
      <w:r w:rsidRPr="736D4F2E">
        <w:rPr>
          <w:rFonts w:cs="Calibri"/>
        </w:rPr>
        <w:t xml:space="preserve">, </w:t>
      </w:r>
      <w:r w:rsidRPr="736D4F2E">
        <w:rPr>
          <w:rFonts w:cs="Calibri"/>
          <w:i/>
          <w:iCs/>
        </w:rPr>
        <w:t>329</w:t>
      </w:r>
      <w:r w:rsidRPr="736D4F2E">
        <w:rPr>
          <w:rFonts w:cs="Calibri"/>
        </w:rPr>
        <w:t xml:space="preserve">(14), 977–986. </w:t>
      </w:r>
      <w:hyperlink r:id="rId24" w:history="1">
        <w:r w:rsidRPr="736D4F2E">
          <w:rPr>
            <w:rStyle w:val="Hyperlink"/>
          </w:rPr>
          <w:t>https://doi.org/10.1056/NEJM199309303291401</w:t>
        </w:r>
      </w:hyperlink>
    </w:p>
    <w:p w14:paraId="53340280" w14:textId="1C167599" w:rsidR="00E01349" w:rsidRPr="00E01349" w:rsidRDefault="7F61398B" w:rsidP="736D4F2E">
      <w:pPr>
        <w:rPr>
          <w:rStyle w:val="Hyperlink"/>
        </w:rPr>
      </w:pPr>
      <w:r w:rsidRPr="736D4F2E">
        <w:rPr>
          <w:rFonts w:cs="Calibri"/>
        </w:rPr>
        <w:t xml:space="preserve">Toth, C. (2013). Peripheral and central sensitization. In C. Toth &amp; D. E. Moulin (Eds.), </w:t>
      </w:r>
      <w:r w:rsidRPr="736D4F2E">
        <w:rPr>
          <w:rFonts w:cs="Calibri"/>
          <w:i/>
          <w:iCs/>
        </w:rPr>
        <w:t>Neuropathic Pain: Causes, Management and Understanding</w:t>
      </w:r>
      <w:r w:rsidRPr="736D4F2E">
        <w:rPr>
          <w:rFonts w:cs="Calibri"/>
        </w:rPr>
        <w:t xml:space="preserve"> (pp. 51–64). Cambridge University Press. </w:t>
      </w:r>
      <w:hyperlink r:id="rId25" w:history="1">
        <w:r w:rsidRPr="736D4F2E">
          <w:rPr>
            <w:rStyle w:val="Hyperlink"/>
          </w:rPr>
          <w:t>https://doi.org/10.1017/CBO9781139152211.006</w:t>
        </w:r>
      </w:hyperlink>
    </w:p>
    <w:p w14:paraId="73E83976" w14:textId="2D3899A2" w:rsidR="00E01349" w:rsidRPr="00E01349" w:rsidRDefault="7F61398B" w:rsidP="736D4F2E">
      <w:pPr>
        <w:rPr>
          <w:rStyle w:val="Hyperlink"/>
        </w:rPr>
      </w:pPr>
      <w:r w:rsidRPr="736D4F2E">
        <w:rPr>
          <w:rFonts w:cs="Calibri"/>
        </w:rPr>
        <w:t xml:space="preserve">Toth, C., &amp; Moulin, D. E. (Eds.). (2013). The Clinical Presentation of Neuropathic Pain. In </w:t>
      </w:r>
      <w:r w:rsidRPr="736D4F2E">
        <w:rPr>
          <w:rFonts w:cs="Calibri"/>
          <w:i/>
          <w:iCs/>
        </w:rPr>
        <w:t>Neuropathic Pain: Causes, Management and Understanding</w:t>
      </w:r>
      <w:r w:rsidRPr="736D4F2E">
        <w:rPr>
          <w:rFonts w:cs="Calibri"/>
        </w:rPr>
        <w:t xml:space="preserve"> (pp. 1–32). Cambridge University Press. </w:t>
      </w:r>
      <w:hyperlink r:id="rId26" w:history="1">
        <w:r w:rsidRPr="736D4F2E">
          <w:rPr>
            <w:rStyle w:val="Hyperlink"/>
          </w:rPr>
          <w:t>https://doi.org/10.1017/CBO9781139152211.002</w:t>
        </w:r>
      </w:hyperlink>
    </w:p>
    <w:p w14:paraId="32035E91" w14:textId="3C0CF1F3" w:rsidR="00E01349" w:rsidRPr="00E01349" w:rsidRDefault="7F61398B" w:rsidP="736D4F2E">
      <w:pPr>
        <w:rPr>
          <w:rStyle w:val="Hyperlink"/>
        </w:rPr>
      </w:pPr>
      <w:r w:rsidRPr="736D4F2E">
        <w:rPr>
          <w:rFonts w:cs="Calibri"/>
        </w:rPr>
        <w:t xml:space="preserve">Tran, H., Smith, D. I., &amp; Chen, E. (2022). Infectious Neuropathies. In D. I. Smith &amp; H. Tran (Eds.), </w:t>
      </w:r>
      <w:r w:rsidRPr="736D4F2E">
        <w:rPr>
          <w:rFonts w:cs="Calibri"/>
          <w:i/>
          <w:iCs/>
        </w:rPr>
        <w:t>Pathogenesis of Neuropathic Pain: Diagnosis and Treatment</w:t>
      </w:r>
      <w:r w:rsidRPr="736D4F2E">
        <w:rPr>
          <w:rFonts w:cs="Calibri"/>
        </w:rPr>
        <w:t xml:space="preserve"> (pp. 249–280). Springer International Publishing. </w:t>
      </w:r>
      <w:hyperlink r:id="rId27" w:history="1">
        <w:r w:rsidRPr="736D4F2E">
          <w:rPr>
            <w:rStyle w:val="Hyperlink"/>
          </w:rPr>
          <w:t>https://doi.org/10.1007/978-3-030-91455-4_13</w:t>
        </w:r>
      </w:hyperlink>
    </w:p>
    <w:p w14:paraId="46FC3BF7" w14:textId="344D1FFC" w:rsidR="00E01349" w:rsidRPr="00E01349" w:rsidRDefault="7F61398B" w:rsidP="736D4F2E">
      <w:pPr>
        <w:rPr>
          <w:rStyle w:val="Hyperlink"/>
        </w:rPr>
      </w:pPr>
      <w:r w:rsidRPr="736D4F2E">
        <w:rPr>
          <w:rFonts w:cs="Calibri"/>
        </w:rPr>
        <w:t xml:space="preserve">Vajramani, G. (2020). Percutaneous Electrical Nerve Stimulation for Facial Pain. In K. V. Slavin (Ed.), </w:t>
      </w:r>
      <w:r w:rsidRPr="736D4F2E">
        <w:rPr>
          <w:rFonts w:cs="Calibri"/>
          <w:i/>
          <w:iCs/>
        </w:rPr>
        <w:t>Progress in Neurological Surgery</w:t>
      </w:r>
      <w:r w:rsidRPr="736D4F2E">
        <w:rPr>
          <w:rFonts w:cs="Calibri"/>
        </w:rPr>
        <w:t xml:space="preserve"> (Vol. 35, pp. 45–59). S. Karger AG. </w:t>
      </w:r>
      <w:hyperlink r:id="rId28" w:history="1">
        <w:r w:rsidRPr="736D4F2E">
          <w:rPr>
            <w:rStyle w:val="Hyperlink"/>
          </w:rPr>
          <w:t>https://doi.org/10.1159/000509621</w:t>
        </w:r>
      </w:hyperlink>
    </w:p>
    <w:p w14:paraId="141E7952" w14:textId="5ADDD5EB" w:rsidR="00E01349" w:rsidRPr="00E01349" w:rsidRDefault="7F61398B" w:rsidP="736D4F2E">
      <w:pPr>
        <w:rPr>
          <w:rStyle w:val="Hyperlink"/>
        </w:rPr>
      </w:pPr>
      <w:r w:rsidRPr="736D4F2E">
        <w:rPr>
          <w:rFonts w:cs="Calibri"/>
        </w:rPr>
        <w:t xml:space="preserve">Weiner, D. K., Perera, S., Rudy, T. E., Glick, R. M., Shenoy, S., &amp; Delitto, A. (2008). Efficacy of Percutaneous Electrical Nerve Stimulation and Therapeutic Exercise for Older Adults with Chronic Low Back Pain: A Randomized Controlled Trial. </w:t>
      </w:r>
      <w:r w:rsidRPr="736D4F2E">
        <w:rPr>
          <w:rFonts w:cs="Calibri"/>
          <w:i/>
          <w:iCs/>
        </w:rPr>
        <w:t>Pain</w:t>
      </w:r>
      <w:r w:rsidRPr="736D4F2E">
        <w:rPr>
          <w:rFonts w:cs="Calibri"/>
        </w:rPr>
        <w:t xml:space="preserve">, </w:t>
      </w:r>
      <w:r w:rsidRPr="736D4F2E">
        <w:rPr>
          <w:rFonts w:cs="Calibri"/>
          <w:i/>
          <w:iCs/>
        </w:rPr>
        <w:t>140</w:t>
      </w:r>
      <w:r w:rsidRPr="736D4F2E">
        <w:rPr>
          <w:rFonts w:cs="Calibri"/>
        </w:rPr>
        <w:t xml:space="preserve">(2), 344–357. </w:t>
      </w:r>
      <w:hyperlink r:id="rId29" w:history="1">
        <w:r w:rsidRPr="736D4F2E">
          <w:rPr>
            <w:rStyle w:val="Hyperlink"/>
          </w:rPr>
          <w:t>https://doi.org/10.1016/j.pain.2008.09.005</w:t>
        </w:r>
      </w:hyperlink>
    </w:p>
    <w:sectPr w:rsidR="00E01349" w:rsidRPr="00E01349" w:rsidSect="000C45FB">
      <w:headerReference w:type="even" r:id="rId30"/>
      <w:headerReference w:type="default" r:id="rId31"/>
      <w:footerReference w:type="even" r:id="rId32"/>
      <w:footerReference w:type="default" r:id="rId33"/>
      <w:headerReference w:type="first" r:id="rId34"/>
      <w:footerReference w:type="first" r:id="rId35"/>
      <w:pgSz w:w="11906" w:h="16838"/>
      <w:pgMar w:top="682" w:right="1134" w:bottom="1021" w:left="119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4C64C" w14:textId="77777777" w:rsidR="00C07141" w:rsidRDefault="00C07141" w:rsidP="0016315C">
      <w:pPr>
        <w:spacing w:after="0" w:line="240" w:lineRule="auto"/>
      </w:pPr>
      <w:r>
        <w:separator/>
      </w:r>
    </w:p>
  </w:endnote>
  <w:endnote w:type="continuationSeparator" w:id="0">
    <w:p w14:paraId="2E2F3859" w14:textId="77777777" w:rsidR="00C07141" w:rsidRDefault="00C07141" w:rsidP="0016315C">
      <w:pPr>
        <w:spacing w:after="0" w:line="240" w:lineRule="auto"/>
      </w:pPr>
      <w:r>
        <w:continuationSeparator/>
      </w:r>
    </w:p>
  </w:endnote>
  <w:endnote w:type="continuationNotice" w:id="1">
    <w:p w14:paraId="3D641A31" w14:textId="77777777" w:rsidR="00C07141" w:rsidRDefault="00C071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D3D2" w14:textId="638C7AE9" w:rsidR="00685355" w:rsidRDefault="00685355" w:rsidP="00784C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02BFC">
      <w:rPr>
        <w:rStyle w:val="PageNumber"/>
        <w:noProof/>
      </w:rPr>
      <w:t>2</w:t>
    </w:r>
    <w:r>
      <w:rPr>
        <w:rStyle w:val="PageNumber"/>
      </w:rPr>
      <w:fldChar w:fldCharType="end"/>
    </w:r>
  </w:p>
  <w:p w14:paraId="74E72C2D" w14:textId="77777777" w:rsidR="00685355" w:rsidRDefault="00685355" w:rsidP="00685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5552278"/>
      <w:docPartObj>
        <w:docPartGallery w:val="Page Numbers (Bottom of Page)"/>
        <w:docPartUnique/>
      </w:docPartObj>
    </w:sdtPr>
    <w:sdtEndPr>
      <w:rPr>
        <w:rStyle w:val="PageNumber"/>
      </w:rPr>
    </w:sdtEndPr>
    <w:sdtContent>
      <w:p w14:paraId="4DE593B1" w14:textId="39D5A86A" w:rsidR="00685355" w:rsidRDefault="00685355" w:rsidP="00784C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649654" w14:textId="55FAEABE" w:rsidR="0016315C" w:rsidRPr="00685355" w:rsidRDefault="000C45FB" w:rsidP="00BB0FFB">
    <w:pPr>
      <w:jc w:val="center"/>
    </w:pPr>
    <w:r>
      <w:t xml:space="preserve">Ratified </w:t>
    </w:r>
    <w:r w:rsidR="00BB0FFB">
      <w:t xml:space="preserve">PICO </w:t>
    </w:r>
    <w:r>
      <w:t>Confirmation</w:t>
    </w:r>
    <w:r w:rsidR="00BB0FFB">
      <w:t xml:space="preserve"> – </w:t>
    </w:r>
    <w:r w:rsidR="00702BFC">
      <w:t>April 2023</w:t>
    </w:r>
    <w:r>
      <w:t xml:space="preserve"> PASC Meeting</w:t>
    </w:r>
    <w:r w:rsidR="00BB0FFB">
      <w:br/>
    </w:r>
    <w:r w:rsidR="00685355" w:rsidRPr="00702BFC">
      <w:rPr>
        <w:color w:val="000000" w:themeColor="text1"/>
      </w:rPr>
      <w:t xml:space="preserve">Application </w:t>
    </w:r>
    <w:r w:rsidR="00F31802" w:rsidRPr="00702BFC">
      <w:rPr>
        <w:color w:val="000000" w:themeColor="text1"/>
      </w:rPr>
      <w:t>1739</w:t>
    </w:r>
    <w:r w:rsidR="00685355" w:rsidRPr="00702BFC">
      <w:rPr>
        <w:color w:val="000000" w:themeColor="text1"/>
      </w:rPr>
      <w:t xml:space="preserve"> – </w:t>
    </w:r>
    <w:r w:rsidR="00702BFC" w:rsidRPr="00702BFC">
      <w:rPr>
        <w:color w:val="000000" w:themeColor="text1"/>
      </w:rPr>
      <w:t xml:space="preserve">Percutaneous </w:t>
    </w:r>
    <w:r w:rsidR="00702BFC" w:rsidRPr="00702BFC">
      <w:t>Electrical Nerve Stimulation Therapy for Chronic Neuropathic Pain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10074" w14:textId="77777777" w:rsidR="00E86054" w:rsidRDefault="00E86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9D169" w14:textId="77777777" w:rsidR="00C07141" w:rsidRDefault="00C07141" w:rsidP="0016315C">
      <w:pPr>
        <w:spacing w:after="0" w:line="240" w:lineRule="auto"/>
      </w:pPr>
      <w:r>
        <w:separator/>
      </w:r>
    </w:p>
  </w:footnote>
  <w:footnote w:type="continuationSeparator" w:id="0">
    <w:p w14:paraId="14E86789" w14:textId="77777777" w:rsidR="00C07141" w:rsidRDefault="00C07141" w:rsidP="0016315C">
      <w:pPr>
        <w:spacing w:after="0" w:line="240" w:lineRule="auto"/>
      </w:pPr>
      <w:r>
        <w:continuationSeparator/>
      </w:r>
    </w:p>
  </w:footnote>
  <w:footnote w:type="continuationNotice" w:id="1">
    <w:p w14:paraId="3D828425" w14:textId="77777777" w:rsidR="00C07141" w:rsidRDefault="00C07141">
      <w:pPr>
        <w:spacing w:after="0" w:line="240" w:lineRule="auto"/>
      </w:pPr>
    </w:p>
  </w:footnote>
  <w:footnote w:id="2">
    <w:p w14:paraId="26D59DCA" w14:textId="2762A6E8" w:rsidR="736D4F2E" w:rsidRDefault="736D4F2E" w:rsidP="736D4F2E">
      <w:pPr>
        <w:pStyle w:val="FootnoteText"/>
      </w:pPr>
      <w:r w:rsidRPr="736D4F2E">
        <w:rPr>
          <w:rStyle w:val="FootnoteReference"/>
        </w:rPr>
        <w:footnoteRef/>
      </w:r>
      <w:r>
        <w:t xml:space="preserve"> Recommendation 16 of the Medicare Benefits Schedule Review Taskforce – Final Report on the Review of Pain Management MBS Items (</w:t>
      </w:r>
      <w:hyperlink r:id="rId1" w:history="1">
        <w:r w:rsidRPr="736D4F2E">
          <w:rPr>
            <w:rStyle w:val="Hyperlink"/>
            <w:rFonts w:ascii="Calibri" w:hAnsi="Calibri"/>
          </w:rPr>
          <w:t>https://www.health.gov.au/resources/publications/taskforce-final-report-pain-management-mbs-items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A20C3" w14:textId="77777777" w:rsidR="00E86054" w:rsidRDefault="00E860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03E8" w14:textId="77777777" w:rsidR="00E86054" w:rsidRDefault="00E860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35DE" w14:textId="77777777" w:rsidR="00E86054" w:rsidRDefault="00E860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6766"/>
    <w:multiLevelType w:val="hybridMultilevel"/>
    <w:tmpl w:val="2C4EF990"/>
    <w:lvl w:ilvl="0" w:tplc="8B825CD0">
      <w:start w:val="1"/>
      <w:numFmt w:val="bullet"/>
      <w:lvlText w:val=""/>
      <w:lvlJc w:val="left"/>
      <w:pPr>
        <w:ind w:left="720" w:hanging="360"/>
      </w:pPr>
      <w:rPr>
        <w:rFonts w:ascii="Symbol" w:hAnsi="Symbol" w:hint="default"/>
      </w:rPr>
    </w:lvl>
    <w:lvl w:ilvl="1" w:tplc="2744E0CE">
      <w:start w:val="1"/>
      <w:numFmt w:val="bullet"/>
      <w:lvlText w:val="o"/>
      <w:lvlJc w:val="left"/>
      <w:pPr>
        <w:ind w:left="1440" w:hanging="360"/>
      </w:pPr>
      <w:rPr>
        <w:rFonts w:ascii="Courier New" w:hAnsi="Courier New" w:hint="default"/>
      </w:rPr>
    </w:lvl>
    <w:lvl w:ilvl="2" w:tplc="D664491A">
      <w:start w:val="1"/>
      <w:numFmt w:val="bullet"/>
      <w:lvlText w:val=""/>
      <w:lvlJc w:val="left"/>
      <w:pPr>
        <w:ind w:left="2160" w:hanging="360"/>
      </w:pPr>
      <w:rPr>
        <w:rFonts w:ascii="Wingdings" w:hAnsi="Wingdings" w:hint="default"/>
      </w:rPr>
    </w:lvl>
    <w:lvl w:ilvl="3" w:tplc="FAECB518">
      <w:start w:val="1"/>
      <w:numFmt w:val="bullet"/>
      <w:lvlText w:val=""/>
      <w:lvlJc w:val="left"/>
      <w:pPr>
        <w:ind w:left="2880" w:hanging="360"/>
      </w:pPr>
      <w:rPr>
        <w:rFonts w:ascii="Symbol" w:hAnsi="Symbol" w:hint="default"/>
      </w:rPr>
    </w:lvl>
    <w:lvl w:ilvl="4" w:tplc="04209460">
      <w:start w:val="1"/>
      <w:numFmt w:val="bullet"/>
      <w:lvlText w:val="o"/>
      <w:lvlJc w:val="left"/>
      <w:pPr>
        <w:ind w:left="3600" w:hanging="360"/>
      </w:pPr>
      <w:rPr>
        <w:rFonts w:ascii="Courier New" w:hAnsi="Courier New" w:hint="default"/>
      </w:rPr>
    </w:lvl>
    <w:lvl w:ilvl="5" w:tplc="D26E4A02">
      <w:start w:val="1"/>
      <w:numFmt w:val="bullet"/>
      <w:lvlText w:val=""/>
      <w:lvlJc w:val="left"/>
      <w:pPr>
        <w:ind w:left="4320" w:hanging="360"/>
      </w:pPr>
      <w:rPr>
        <w:rFonts w:ascii="Wingdings" w:hAnsi="Wingdings" w:hint="default"/>
      </w:rPr>
    </w:lvl>
    <w:lvl w:ilvl="6" w:tplc="91C2368A">
      <w:start w:val="1"/>
      <w:numFmt w:val="bullet"/>
      <w:lvlText w:val=""/>
      <w:lvlJc w:val="left"/>
      <w:pPr>
        <w:ind w:left="5040" w:hanging="360"/>
      </w:pPr>
      <w:rPr>
        <w:rFonts w:ascii="Symbol" w:hAnsi="Symbol" w:hint="default"/>
      </w:rPr>
    </w:lvl>
    <w:lvl w:ilvl="7" w:tplc="D4E27FF6">
      <w:start w:val="1"/>
      <w:numFmt w:val="bullet"/>
      <w:lvlText w:val="o"/>
      <w:lvlJc w:val="left"/>
      <w:pPr>
        <w:ind w:left="5760" w:hanging="360"/>
      </w:pPr>
      <w:rPr>
        <w:rFonts w:ascii="Courier New" w:hAnsi="Courier New" w:hint="default"/>
      </w:rPr>
    </w:lvl>
    <w:lvl w:ilvl="8" w:tplc="779E7AD2">
      <w:start w:val="1"/>
      <w:numFmt w:val="bullet"/>
      <w:lvlText w:val=""/>
      <w:lvlJc w:val="left"/>
      <w:pPr>
        <w:ind w:left="6480" w:hanging="360"/>
      </w:pPr>
      <w:rPr>
        <w:rFonts w:ascii="Wingdings" w:hAnsi="Wingdings" w:hint="default"/>
      </w:rPr>
    </w:lvl>
  </w:abstractNum>
  <w:abstractNum w:abstractNumId="1"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1A2E124E"/>
    <w:multiLevelType w:val="hybridMultilevel"/>
    <w:tmpl w:val="0FDCBE2E"/>
    <w:lvl w:ilvl="0" w:tplc="91B42F76">
      <w:numFmt w:val="bullet"/>
      <w:lvlText w:val="-"/>
      <w:lvlJc w:val="left"/>
      <w:pPr>
        <w:ind w:left="410" w:hanging="360"/>
      </w:pPr>
      <w:rPr>
        <w:rFonts w:ascii="Calibri" w:eastAsia="Calibri" w:hAnsi="Calibri" w:cs="Calibr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3" w15:restartNumberingAfterBreak="0">
    <w:nsid w:val="1BD21019"/>
    <w:multiLevelType w:val="hybridMultilevel"/>
    <w:tmpl w:val="913C1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998B8F"/>
    <w:multiLevelType w:val="hybridMultilevel"/>
    <w:tmpl w:val="FFFFFFFF"/>
    <w:lvl w:ilvl="0" w:tplc="6E2E76B4">
      <w:start w:val="1"/>
      <w:numFmt w:val="bullet"/>
      <w:lvlText w:val=""/>
      <w:lvlJc w:val="left"/>
      <w:pPr>
        <w:ind w:left="776" w:hanging="360"/>
      </w:pPr>
      <w:rPr>
        <w:rFonts w:ascii="Symbol" w:hAnsi="Symbol" w:hint="default"/>
      </w:rPr>
    </w:lvl>
    <w:lvl w:ilvl="1" w:tplc="75640768">
      <w:start w:val="1"/>
      <w:numFmt w:val="bullet"/>
      <w:lvlText w:val="o"/>
      <w:lvlJc w:val="left"/>
      <w:pPr>
        <w:ind w:left="1440" w:hanging="360"/>
      </w:pPr>
      <w:rPr>
        <w:rFonts w:ascii="Courier New" w:hAnsi="Courier New" w:hint="default"/>
      </w:rPr>
    </w:lvl>
    <w:lvl w:ilvl="2" w:tplc="83EA2152">
      <w:start w:val="1"/>
      <w:numFmt w:val="bullet"/>
      <w:lvlText w:val=""/>
      <w:lvlJc w:val="left"/>
      <w:pPr>
        <w:ind w:left="2160" w:hanging="360"/>
      </w:pPr>
      <w:rPr>
        <w:rFonts w:ascii="Wingdings" w:hAnsi="Wingdings" w:hint="default"/>
      </w:rPr>
    </w:lvl>
    <w:lvl w:ilvl="3" w:tplc="D06A2E92">
      <w:start w:val="1"/>
      <w:numFmt w:val="bullet"/>
      <w:lvlText w:val=""/>
      <w:lvlJc w:val="left"/>
      <w:pPr>
        <w:ind w:left="2880" w:hanging="360"/>
      </w:pPr>
      <w:rPr>
        <w:rFonts w:ascii="Symbol" w:hAnsi="Symbol" w:hint="default"/>
      </w:rPr>
    </w:lvl>
    <w:lvl w:ilvl="4" w:tplc="E8A0065E">
      <w:start w:val="1"/>
      <w:numFmt w:val="bullet"/>
      <w:lvlText w:val="o"/>
      <w:lvlJc w:val="left"/>
      <w:pPr>
        <w:ind w:left="3600" w:hanging="360"/>
      </w:pPr>
      <w:rPr>
        <w:rFonts w:ascii="Courier New" w:hAnsi="Courier New" w:hint="default"/>
      </w:rPr>
    </w:lvl>
    <w:lvl w:ilvl="5" w:tplc="9FBED2DA">
      <w:start w:val="1"/>
      <w:numFmt w:val="bullet"/>
      <w:lvlText w:val=""/>
      <w:lvlJc w:val="left"/>
      <w:pPr>
        <w:ind w:left="4320" w:hanging="360"/>
      </w:pPr>
      <w:rPr>
        <w:rFonts w:ascii="Wingdings" w:hAnsi="Wingdings" w:hint="default"/>
      </w:rPr>
    </w:lvl>
    <w:lvl w:ilvl="6" w:tplc="8266E4E6">
      <w:start w:val="1"/>
      <w:numFmt w:val="bullet"/>
      <w:lvlText w:val=""/>
      <w:lvlJc w:val="left"/>
      <w:pPr>
        <w:ind w:left="5040" w:hanging="360"/>
      </w:pPr>
      <w:rPr>
        <w:rFonts w:ascii="Symbol" w:hAnsi="Symbol" w:hint="default"/>
      </w:rPr>
    </w:lvl>
    <w:lvl w:ilvl="7" w:tplc="FEDA8340">
      <w:start w:val="1"/>
      <w:numFmt w:val="bullet"/>
      <w:lvlText w:val="o"/>
      <w:lvlJc w:val="left"/>
      <w:pPr>
        <w:ind w:left="5760" w:hanging="360"/>
      </w:pPr>
      <w:rPr>
        <w:rFonts w:ascii="Courier New" w:hAnsi="Courier New" w:hint="default"/>
      </w:rPr>
    </w:lvl>
    <w:lvl w:ilvl="8" w:tplc="CB7AA354">
      <w:start w:val="1"/>
      <w:numFmt w:val="bullet"/>
      <w:lvlText w:val=""/>
      <w:lvlJc w:val="left"/>
      <w:pPr>
        <w:ind w:left="6480" w:hanging="360"/>
      </w:pPr>
      <w:rPr>
        <w:rFonts w:ascii="Wingdings" w:hAnsi="Wingdings" w:hint="default"/>
      </w:rPr>
    </w:lvl>
  </w:abstractNum>
  <w:abstractNum w:abstractNumId="5"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88352C"/>
    <w:multiLevelType w:val="hybridMultilevel"/>
    <w:tmpl w:val="AC5E0A98"/>
    <w:lvl w:ilvl="0" w:tplc="BD8C4F62">
      <w:start w:val="1"/>
      <w:numFmt w:val="bullet"/>
      <w:lvlText w:val="·"/>
      <w:lvlJc w:val="left"/>
      <w:pPr>
        <w:ind w:left="720" w:hanging="360"/>
      </w:pPr>
      <w:rPr>
        <w:rFonts w:ascii="Symbol" w:hAnsi="Symbol" w:hint="default"/>
      </w:rPr>
    </w:lvl>
    <w:lvl w:ilvl="1" w:tplc="BCCA4192">
      <w:start w:val="1"/>
      <w:numFmt w:val="bullet"/>
      <w:lvlText w:val="o"/>
      <w:lvlJc w:val="left"/>
      <w:pPr>
        <w:ind w:left="1440" w:hanging="360"/>
      </w:pPr>
      <w:rPr>
        <w:rFonts w:ascii="Courier New" w:hAnsi="Courier New" w:hint="default"/>
      </w:rPr>
    </w:lvl>
    <w:lvl w:ilvl="2" w:tplc="E3A02704">
      <w:start w:val="1"/>
      <w:numFmt w:val="bullet"/>
      <w:lvlText w:val=""/>
      <w:lvlJc w:val="left"/>
      <w:pPr>
        <w:ind w:left="2160" w:hanging="360"/>
      </w:pPr>
      <w:rPr>
        <w:rFonts w:ascii="Wingdings" w:hAnsi="Wingdings" w:hint="default"/>
      </w:rPr>
    </w:lvl>
    <w:lvl w:ilvl="3" w:tplc="4850955A">
      <w:start w:val="1"/>
      <w:numFmt w:val="bullet"/>
      <w:lvlText w:val=""/>
      <w:lvlJc w:val="left"/>
      <w:pPr>
        <w:ind w:left="2880" w:hanging="360"/>
      </w:pPr>
      <w:rPr>
        <w:rFonts w:ascii="Symbol" w:hAnsi="Symbol" w:hint="default"/>
      </w:rPr>
    </w:lvl>
    <w:lvl w:ilvl="4" w:tplc="1E66A618">
      <w:start w:val="1"/>
      <w:numFmt w:val="bullet"/>
      <w:lvlText w:val="o"/>
      <w:lvlJc w:val="left"/>
      <w:pPr>
        <w:ind w:left="3600" w:hanging="360"/>
      </w:pPr>
      <w:rPr>
        <w:rFonts w:ascii="Courier New" w:hAnsi="Courier New" w:hint="default"/>
      </w:rPr>
    </w:lvl>
    <w:lvl w:ilvl="5" w:tplc="5FC68C0C">
      <w:start w:val="1"/>
      <w:numFmt w:val="bullet"/>
      <w:lvlText w:val=""/>
      <w:lvlJc w:val="left"/>
      <w:pPr>
        <w:ind w:left="4320" w:hanging="360"/>
      </w:pPr>
      <w:rPr>
        <w:rFonts w:ascii="Wingdings" w:hAnsi="Wingdings" w:hint="default"/>
      </w:rPr>
    </w:lvl>
    <w:lvl w:ilvl="6" w:tplc="27BE2470">
      <w:start w:val="1"/>
      <w:numFmt w:val="bullet"/>
      <w:lvlText w:val=""/>
      <w:lvlJc w:val="left"/>
      <w:pPr>
        <w:ind w:left="5040" w:hanging="360"/>
      </w:pPr>
      <w:rPr>
        <w:rFonts w:ascii="Symbol" w:hAnsi="Symbol" w:hint="default"/>
      </w:rPr>
    </w:lvl>
    <w:lvl w:ilvl="7" w:tplc="5462AA82">
      <w:start w:val="1"/>
      <w:numFmt w:val="bullet"/>
      <w:lvlText w:val="o"/>
      <w:lvlJc w:val="left"/>
      <w:pPr>
        <w:ind w:left="5760" w:hanging="360"/>
      </w:pPr>
      <w:rPr>
        <w:rFonts w:ascii="Courier New" w:hAnsi="Courier New" w:hint="default"/>
      </w:rPr>
    </w:lvl>
    <w:lvl w:ilvl="8" w:tplc="CF407666">
      <w:start w:val="1"/>
      <w:numFmt w:val="bullet"/>
      <w:lvlText w:val=""/>
      <w:lvlJc w:val="left"/>
      <w:pPr>
        <w:ind w:left="6480" w:hanging="360"/>
      </w:pPr>
      <w:rPr>
        <w:rFonts w:ascii="Wingdings" w:hAnsi="Wingdings" w:hint="default"/>
      </w:rPr>
    </w:lvl>
  </w:abstractNum>
  <w:abstractNum w:abstractNumId="7" w15:restartNumberingAfterBreak="0">
    <w:nsid w:val="31985718"/>
    <w:multiLevelType w:val="hybridMultilevel"/>
    <w:tmpl w:val="3154EC4C"/>
    <w:lvl w:ilvl="0" w:tplc="93B63D82">
      <w:numFmt w:val="bullet"/>
      <w:lvlText w:val="-"/>
      <w:lvlJc w:val="left"/>
      <w:pPr>
        <w:ind w:left="410" w:hanging="360"/>
      </w:pPr>
      <w:rPr>
        <w:rFonts w:ascii="Calibri" w:eastAsia="Calibri" w:hAnsi="Calibri" w:cs="Calibr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8" w15:restartNumberingAfterBreak="0">
    <w:nsid w:val="3C10657E"/>
    <w:multiLevelType w:val="hybridMultilevel"/>
    <w:tmpl w:val="9E0E1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0BBD1D"/>
    <w:multiLevelType w:val="hybridMultilevel"/>
    <w:tmpl w:val="B83C6100"/>
    <w:lvl w:ilvl="0" w:tplc="D11E26C8">
      <w:start w:val="1"/>
      <w:numFmt w:val="bullet"/>
      <w:lvlText w:val=""/>
      <w:lvlJc w:val="left"/>
      <w:pPr>
        <w:ind w:left="720" w:hanging="360"/>
      </w:pPr>
      <w:rPr>
        <w:rFonts w:ascii="Symbol" w:hAnsi="Symbol" w:hint="default"/>
      </w:rPr>
    </w:lvl>
    <w:lvl w:ilvl="1" w:tplc="52ECA380">
      <w:start w:val="1"/>
      <w:numFmt w:val="bullet"/>
      <w:lvlText w:val="o"/>
      <w:lvlJc w:val="left"/>
      <w:pPr>
        <w:ind w:left="1440" w:hanging="360"/>
      </w:pPr>
      <w:rPr>
        <w:rFonts w:ascii="Courier New" w:hAnsi="Courier New" w:hint="default"/>
      </w:rPr>
    </w:lvl>
    <w:lvl w:ilvl="2" w:tplc="E20C8254">
      <w:start w:val="1"/>
      <w:numFmt w:val="bullet"/>
      <w:lvlText w:val=""/>
      <w:lvlJc w:val="left"/>
      <w:pPr>
        <w:ind w:left="2160" w:hanging="360"/>
      </w:pPr>
      <w:rPr>
        <w:rFonts w:ascii="Wingdings" w:hAnsi="Wingdings" w:hint="default"/>
      </w:rPr>
    </w:lvl>
    <w:lvl w:ilvl="3" w:tplc="3836F202">
      <w:start w:val="1"/>
      <w:numFmt w:val="bullet"/>
      <w:lvlText w:val=""/>
      <w:lvlJc w:val="left"/>
      <w:pPr>
        <w:ind w:left="2880" w:hanging="360"/>
      </w:pPr>
      <w:rPr>
        <w:rFonts w:ascii="Symbol" w:hAnsi="Symbol" w:hint="default"/>
      </w:rPr>
    </w:lvl>
    <w:lvl w:ilvl="4" w:tplc="E212762E">
      <w:start w:val="1"/>
      <w:numFmt w:val="bullet"/>
      <w:lvlText w:val="o"/>
      <w:lvlJc w:val="left"/>
      <w:pPr>
        <w:ind w:left="3600" w:hanging="360"/>
      </w:pPr>
      <w:rPr>
        <w:rFonts w:ascii="Courier New" w:hAnsi="Courier New" w:hint="default"/>
      </w:rPr>
    </w:lvl>
    <w:lvl w:ilvl="5" w:tplc="45B4717C">
      <w:start w:val="1"/>
      <w:numFmt w:val="bullet"/>
      <w:lvlText w:val=""/>
      <w:lvlJc w:val="left"/>
      <w:pPr>
        <w:ind w:left="4320" w:hanging="360"/>
      </w:pPr>
      <w:rPr>
        <w:rFonts w:ascii="Wingdings" w:hAnsi="Wingdings" w:hint="default"/>
      </w:rPr>
    </w:lvl>
    <w:lvl w:ilvl="6" w:tplc="392EE9C6">
      <w:start w:val="1"/>
      <w:numFmt w:val="bullet"/>
      <w:lvlText w:val=""/>
      <w:lvlJc w:val="left"/>
      <w:pPr>
        <w:ind w:left="5040" w:hanging="360"/>
      </w:pPr>
      <w:rPr>
        <w:rFonts w:ascii="Symbol" w:hAnsi="Symbol" w:hint="default"/>
      </w:rPr>
    </w:lvl>
    <w:lvl w:ilvl="7" w:tplc="CD6058C8">
      <w:start w:val="1"/>
      <w:numFmt w:val="bullet"/>
      <w:lvlText w:val="o"/>
      <w:lvlJc w:val="left"/>
      <w:pPr>
        <w:ind w:left="5760" w:hanging="360"/>
      </w:pPr>
      <w:rPr>
        <w:rFonts w:ascii="Courier New" w:hAnsi="Courier New" w:hint="default"/>
      </w:rPr>
    </w:lvl>
    <w:lvl w:ilvl="8" w:tplc="59464470">
      <w:start w:val="1"/>
      <w:numFmt w:val="bullet"/>
      <w:lvlText w:val=""/>
      <w:lvlJc w:val="left"/>
      <w:pPr>
        <w:ind w:left="6480" w:hanging="360"/>
      </w:pPr>
      <w:rPr>
        <w:rFonts w:ascii="Wingdings" w:hAnsi="Wingdings" w:hint="default"/>
      </w:rPr>
    </w:lvl>
  </w:abstractNum>
  <w:abstractNum w:abstractNumId="10" w15:restartNumberingAfterBreak="0">
    <w:nsid w:val="4A6A072D"/>
    <w:multiLevelType w:val="hybridMultilevel"/>
    <w:tmpl w:val="1090D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75963B"/>
    <w:multiLevelType w:val="hybridMultilevel"/>
    <w:tmpl w:val="B51A13CC"/>
    <w:lvl w:ilvl="0" w:tplc="EFB22C8C">
      <w:start w:val="1"/>
      <w:numFmt w:val="bullet"/>
      <w:lvlText w:val="·"/>
      <w:lvlJc w:val="left"/>
      <w:pPr>
        <w:ind w:left="720" w:hanging="360"/>
      </w:pPr>
      <w:rPr>
        <w:rFonts w:ascii="Symbol" w:hAnsi="Symbol" w:hint="default"/>
      </w:rPr>
    </w:lvl>
    <w:lvl w:ilvl="1" w:tplc="45EE0FBE">
      <w:start w:val="1"/>
      <w:numFmt w:val="bullet"/>
      <w:lvlText w:val="o"/>
      <w:lvlJc w:val="left"/>
      <w:pPr>
        <w:ind w:left="1440" w:hanging="360"/>
      </w:pPr>
      <w:rPr>
        <w:rFonts w:ascii="Courier New" w:hAnsi="Courier New" w:hint="default"/>
      </w:rPr>
    </w:lvl>
    <w:lvl w:ilvl="2" w:tplc="2DDA837C">
      <w:start w:val="1"/>
      <w:numFmt w:val="bullet"/>
      <w:lvlText w:val=""/>
      <w:lvlJc w:val="left"/>
      <w:pPr>
        <w:ind w:left="2160" w:hanging="360"/>
      </w:pPr>
      <w:rPr>
        <w:rFonts w:ascii="Wingdings" w:hAnsi="Wingdings" w:hint="default"/>
      </w:rPr>
    </w:lvl>
    <w:lvl w:ilvl="3" w:tplc="D504B914">
      <w:start w:val="1"/>
      <w:numFmt w:val="bullet"/>
      <w:lvlText w:val=""/>
      <w:lvlJc w:val="left"/>
      <w:pPr>
        <w:ind w:left="2880" w:hanging="360"/>
      </w:pPr>
      <w:rPr>
        <w:rFonts w:ascii="Symbol" w:hAnsi="Symbol" w:hint="default"/>
      </w:rPr>
    </w:lvl>
    <w:lvl w:ilvl="4" w:tplc="C8EA561E">
      <w:start w:val="1"/>
      <w:numFmt w:val="bullet"/>
      <w:lvlText w:val="o"/>
      <w:lvlJc w:val="left"/>
      <w:pPr>
        <w:ind w:left="3600" w:hanging="360"/>
      </w:pPr>
      <w:rPr>
        <w:rFonts w:ascii="Courier New" w:hAnsi="Courier New" w:hint="default"/>
      </w:rPr>
    </w:lvl>
    <w:lvl w:ilvl="5" w:tplc="4392B542">
      <w:start w:val="1"/>
      <w:numFmt w:val="bullet"/>
      <w:lvlText w:val=""/>
      <w:lvlJc w:val="left"/>
      <w:pPr>
        <w:ind w:left="4320" w:hanging="360"/>
      </w:pPr>
      <w:rPr>
        <w:rFonts w:ascii="Wingdings" w:hAnsi="Wingdings" w:hint="default"/>
      </w:rPr>
    </w:lvl>
    <w:lvl w:ilvl="6" w:tplc="40987476">
      <w:start w:val="1"/>
      <w:numFmt w:val="bullet"/>
      <w:lvlText w:val=""/>
      <w:lvlJc w:val="left"/>
      <w:pPr>
        <w:ind w:left="5040" w:hanging="360"/>
      </w:pPr>
      <w:rPr>
        <w:rFonts w:ascii="Symbol" w:hAnsi="Symbol" w:hint="default"/>
      </w:rPr>
    </w:lvl>
    <w:lvl w:ilvl="7" w:tplc="58B20A48">
      <w:start w:val="1"/>
      <w:numFmt w:val="bullet"/>
      <w:lvlText w:val="o"/>
      <w:lvlJc w:val="left"/>
      <w:pPr>
        <w:ind w:left="5760" w:hanging="360"/>
      </w:pPr>
      <w:rPr>
        <w:rFonts w:ascii="Courier New" w:hAnsi="Courier New" w:hint="default"/>
      </w:rPr>
    </w:lvl>
    <w:lvl w:ilvl="8" w:tplc="DCB0EEF6">
      <w:start w:val="1"/>
      <w:numFmt w:val="bullet"/>
      <w:lvlText w:val=""/>
      <w:lvlJc w:val="left"/>
      <w:pPr>
        <w:ind w:left="6480" w:hanging="360"/>
      </w:pPr>
      <w:rPr>
        <w:rFonts w:ascii="Wingdings" w:hAnsi="Wingdings" w:hint="default"/>
      </w:rPr>
    </w:lvl>
  </w:abstractNum>
  <w:abstractNum w:abstractNumId="12" w15:restartNumberingAfterBreak="0">
    <w:nsid w:val="4E22A617"/>
    <w:multiLevelType w:val="hybridMultilevel"/>
    <w:tmpl w:val="DB8E815C"/>
    <w:lvl w:ilvl="0" w:tplc="15908D42">
      <w:start w:val="1"/>
      <w:numFmt w:val="bullet"/>
      <w:lvlText w:val=""/>
      <w:lvlJc w:val="left"/>
      <w:pPr>
        <w:ind w:left="720" w:hanging="360"/>
      </w:pPr>
      <w:rPr>
        <w:rFonts w:ascii="Symbol" w:hAnsi="Symbol" w:hint="default"/>
      </w:rPr>
    </w:lvl>
    <w:lvl w:ilvl="1" w:tplc="BB621830">
      <w:start w:val="1"/>
      <w:numFmt w:val="bullet"/>
      <w:lvlText w:val="o"/>
      <w:lvlJc w:val="left"/>
      <w:pPr>
        <w:ind w:left="1440" w:hanging="360"/>
      </w:pPr>
      <w:rPr>
        <w:rFonts w:ascii="Courier New" w:hAnsi="Courier New" w:hint="default"/>
      </w:rPr>
    </w:lvl>
    <w:lvl w:ilvl="2" w:tplc="727C7FE6">
      <w:start w:val="1"/>
      <w:numFmt w:val="bullet"/>
      <w:lvlText w:val=""/>
      <w:lvlJc w:val="left"/>
      <w:pPr>
        <w:ind w:left="2160" w:hanging="360"/>
      </w:pPr>
      <w:rPr>
        <w:rFonts w:ascii="Wingdings" w:hAnsi="Wingdings" w:hint="default"/>
      </w:rPr>
    </w:lvl>
    <w:lvl w:ilvl="3" w:tplc="FA0079FC">
      <w:start w:val="1"/>
      <w:numFmt w:val="bullet"/>
      <w:lvlText w:val=""/>
      <w:lvlJc w:val="left"/>
      <w:pPr>
        <w:ind w:left="2880" w:hanging="360"/>
      </w:pPr>
      <w:rPr>
        <w:rFonts w:ascii="Symbol" w:hAnsi="Symbol" w:hint="default"/>
      </w:rPr>
    </w:lvl>
    <w:lvl w:ilvl="4" w:tplc="54F8FF38">
      <w:start w:val="1"/>
      <w:numFmt w:val="bullet"/>
      <w:lvlText w:val="o"/>
      <w:lvlJc w:val="left"/>
      <w:pPr>
        <w:ind w:left="3600" w:hanging="360"/>
      </w:pPr>
      <w:rPr>
        <w:rFonts w:ascii="Courier New" w:hAnsi="Courier New" w:hint="default"/>
      </w:rPr>
    </w:lvl>
    <w:lvl w:ilvl="5" w:tplc="BB94AD96">
      <w:start w:val="1"/>
      <w:numFmt w:val="bullet"/>
      <w:lvlText w:val=""/>
      <w:lvlJc w:val="left"/>
      <w:pPr>
        <w:ind w:left="4320" w:hanging="360"/>
      </w:pPr>
      <w:rPr>
        <w:rFonts w:ascii="Wingdings" w:hAnsi="Wingdings" w:hint="default"/>
      </w:rPr>
    </w:lvl>
    <w:lvl w:ilvl="6" w:tplc="E01E9440">
      <w:start w:val="1"/>
      <w:numFmt w:val="bullet"/>
      <w:lvlText w:val=""/>
      <w:lvlJc w:val="left"/>
      <w:pPr>
        <w:ind w:left="5040" w:hanging="360"/>
      </w:pPr>
      <w:rPr>
        <w:rFonts w:ascii="Symbol" w:hAnsi="Symbol" w:hint="default"/>
      </w:rPr>
    </w:lvl>
    <w:lvl w:ilvl="7" w:tplc="EF7C0FFA">
      <w:start w:val="1"/>
      <w:numFmt w:val="bullet"/>
      <w:lvlText w:val="o"/>
      <w:lvlJc w:val="left"/>
      <w:pPr>
        <w:ind w:left="5760" w:hanging="360"/>
      </w:pPr>
      <w:rPr>
        <w:rFonts w:ascii="Courier New" w:hAnsi="Courier New" w:hint="default"/>
      </w:rPr>
    </w:lvl>
    <w:lvl w:ilvl="8" w:tplc="6F4AFC22">
      <w:start w:val="1"/>
      <w:numFmt w:val="bullet"/>
      <w:lvlText w:val=""/>
      <w:lvlJc w:val="left"/>
      <w:pPr>
        <w:ind w:left="6480" w:hanging="360"/>
      </w:pPr>
      <w:rPr>
        <w:rFonts w:ascii="Wingdings" w:hAnsi="Wingdings" w:hint="default"/>
      </w:rPr>
    </w:lvl>
  </w:abstractNum>
  <w:abstractNum w:abstractNumId="13" w15:restartNumberingAfterBreak="0">
    <w:nsid w:val="54FF0110"/>
    <w:multiLevelType w:val="hybridMultilevel"/>
    <w:tmpl w:val="DBA873F8"/>
    <w:lvl w:ilvl="0" w:tplc="03DA1D4E">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14" w15:restartNumberingAfterBreak="0">
    <w:nsid w:val="580D2CE2"/>
    <w:multiLevelType w:val="hybridMultilevel"/>
    <w:tmpl w:val="313E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0426D5"/>
    <w:multiLevelType w:val="hybridMultilevel"/>
    <w:tmpl w:val="FC48FC84"/>
    <w:lvl w:ilvl="0" w:tplc="FFFFFFFF">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6" w15:restartNumberingAfterBreak="0">
    <w:nsid w:val="5A106C0E"/>
    <w:multiLevelType w:val="hybridMultilevel"/>
    <w:tmpl w:val="45005E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D63789D"/>
    <w:multiLevelType w:val="hybridMultilevel"/>
    <w:tmpl w:val="F4E82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415827"/>
    <w:multiLevelType w:val="hybridMultilevel"/>
    <w:tmpl w:val="E508EE7E"/>
    <w:lvl w:ilvl="0" w:tplc="0498738E">
      <w:start w:val="1"/>
      <w:numFmt w:val="bullet"/>
      <w:lvlText w:val="·"/>
      <w:lvlJc w:val="left"/>
      <w:pPr>
        <w:ind w:left="720" w:hanging="360"/>
      </w:pPr>
      <w:rPr>
        <w:rFonts w:ascii="Symbol" w:hAnsi="Symbol" w:hint="default"/>
      </w:rPr>
    </w:lvl>
    <w:lvl w:ilvl="1" w:tplc="84FAC9BA">
      <w:start w:val="1"/>
      <w:numFmt w:val="bullet"/>
      <w:lvlText w:val="o"/>
      <w:lvlJc w:val="left"/>
      <w:pPr>
        <w:ind w:left="1440" w:hanging="360"/>
      </w:pPr>
      <w:rPr>
        <w:rFonts w:ascii="Courier New" w:hAnsi="Courier New" w:hint="default"/>
      </w:rPr>
    </w:lvl>
    <w:lvl w:ilvl="2" w:tplc="764A7BCA">
      <w:start w:val="1"/>
      <w:numFmt w:val="bullet"/>
      <w:lvlText w:val=""/>
      <w:lvlJc w:val="left"/>
      <w:pPr>
        <w:ind w:left="2160" w:hanging="360"/>
      </w:pPr>
      <w:rPr>
        <w:rFonts w:ascii="Wingdings" w:hAnsi="Wingdings" w:hint="default"/>
      </w:rPr>
    </w:lvl>
    <w:lvl w:ilvl="3" w:tplc="54860DE2">
      <w:start w:val="1"/>
      <w:numFmt w:val="bullet"/>
      <w:lvlText w:val=""/>
      <w:lvlJc w:val="left"/>
      <w:pPr>
        <w:ind w:left="2880" w:hanging="360"/>
      </w:pPr>
      <w:rPr>
        <w:rFonts w:ascii="Symbol" w:hAnsi="Symbol" w:hint="default"/>
      </w:rPr>
    </w:lvl>
    <w:lvl w:ilvl="4" w:tplc="0F601658">
      <w:start w:val="1"/>
      <w:numFmt w:val="bullet"/>
      <w:lvlText w:val="o"/>
      <w:lvlJc w:val="left"/>
      <w:pPr>
        <w:ind w:left="3600" w:hanging="360"/>
      </w:pPr>
      <w:rPr>
        <w:rFonts w:ascii="Courier New" w:hAnsi="Courier New" w:hint="default"/>
      </w:rPr>
    </w:lvl>
    <w:lvl w:ilvl="5" w:tplc="735CECBA">
      <w:start w:val="1"/>
      <w:numFmt w:val="bullet"/>
      <w:lvlText w:val=""/>
      <w:lvlJc w:val="left"/>
      <w:pPr>
        <w:ind w:left="4320" w:hanging="360"/>
      </w:pPr>
      <w:rPr>
        <w:rFonts w:ascii="Wingdings" w:hAnsi="Wingdings" w:hint="default"/>
      </w:rPr>
    </w:lvl>
    <w:lvl w:ilvl="6" w:tplc="566E33E6">
      <w:start w:val="1"/>
      <w:numFmt w:val="bullet"/>
      <w:lvlText w:val=""/>
      <w:lvlJc w:val="left"/>
      <w:pPr>
        <w:ind w:left="5040" w:hanging="360"/>
      </w:pPr>
      <w:rPr>
        <w:rFonts w:ascii="Symbol" w:hAnsi="Symbol" w:hint="default"/>
      </w:rPr>
    </w:lvl>
    <w:lvl w:ilvl="7" w:tplc="6E18EB6E">
      <w:start w:val="1"/>
      <w:numFmt w:val="bullet"/>
      <w:lvlText w:val="o"/>
      <w:lvlJc w:val="left"/>
      <w:pPr>
        <w:ind w:left="5760" w:hanging="360"/>
      </w:pPr>
      <w:rPr>
        <w:rFonts w:ascii="Courier New" w:hAnsi="Courier New" w:hint="default"/>
      </w:rPr>
    </w:lvl>
    <w:lvl w:ilvl="8" w:tplc="9F1C8EE4">
      <w:start w:val="1"/>
      <w:numFmt w:val="bullet"/>
      <w:lvlText w:val=""/>
      <w:lvlJc w:val="left"/>
      <w:pPr>
        <w:ind w:left="6480" w:hanging="360"/>
      </w:pPr>
      <w:rPr>
        <w:rFonts w:ascii="Wingdings" w:hAnsi="Wingdings" w:hint="default"/>
      </w:rPr>
    </w:lvl>
  </w:abstractNum>
  <w:abstractNum w:abstractNumId="19" w15:restartNumberingAfterBreak="0">
    <w:nsid w:val="60C95369"/>
    <w:multiLevelType w:val="hybridMultilevel"/>
    <w:tmpl w:val="5540EFD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62AE259D"/>
    <w:multiLevelType w:val="hybridMultilevel"/>
    <w:tmpl w:val="A6FA64B4"/>
    <w:lvl w:ilvl="0" w:tplc="A9360254">
      <w:start w:val="1"/>
      <w:numFmt w:val="bullet"/>
      <w:lvlText w:val=""/>
      <w:lvlJc w:val="left"/>
      <w:pPr>
        <w:ind w:left="720" w:hanging="360"/>
      </w:pPr>
      <w:rPr>
        <w:rFonts w:ascii="Symbol" w:hAnsi="Symbol" w:hint="default"/>
      </w:rPr>
    </w:lvl>
    <w:lvl w:ilvl="1" w:tplc="B3FECFC4">
      <w:start w:val="1"/>
      <w:numFmt w:val="bullet"/>
      <w:lvlText w:val="o"/>
      <w:lvlJc w:val="left"/>
      <w:pPr>
        <w:ind w:left="1440" w:hanging="360"/>
      </w:pPr>
      <w:rPr>
        <w:rFonts w:ascii="Courier New" w:hAnsi="Courier New" w:hint="default"/>
      </w:rPr>
    </w:lvl>
    <w:lvl w:ilvl="2" w:tplc="4C8CF8C0">
      <w:start w:val="1"/>
      <w:numFmt w:val="bullet"/>
      <w:lvlText w:val=""/>
      <w:lvlJc w:val="left"/>
      <w:pPr>
        <w:ind w:left="2160" w:hanging="360"/>
      </w:pPr>
      <w:rPr>
        <w:rFonts w:ascii="Wingdings" w:hAnsi="Wingdings" w:hint="default"/>
      </w:rPr>
    </w:lvl>
    <w:lvl w:ilvl="3" w:tplc="A9D4A5F2">
      <w:start w:val="1"/>
      <w:numFmt w:val="bullet"/>
      <w:lvlText w:val=""/>
      <w:lvlJc w:val="left"/>
      <w:pPr>
        <w:ind w:left="2880" w:hanging="360"/>
      </w:pPr>
      <w:rPr>
        <w:rFonts w:ascii="Symbol" w:hAnsi="Symbol" w:hint="default"/>
      </w:rPr>
    </w:lvl>
    <w:lvl w:ilvl="4" w:tplc="C02E3AC6">
      <w:start w:val="1"/>
      <w:numFmt w:val="bullet"/>
      <w:lvlText w:val="o"/>
      <w:lvlJc w:val="left"/>
      <w:pPr>
        <w:ind w:left="3600" w:hanging="360"/>
      </w:pPr>
      <w:rPr>
        <w:rFonts w:ascii="Courier New" w:hAnsi="Courier New" w:hint="default"/>
      </w:rPr>
    </w:lvl>
    <w:lvl w:ilvl="5" w:tplc="1AB61BA6">
      <w:start w:val="1"/>
      <w:numFmt w:val="bullet"/>
      <w:lvlText w:val=""/>
      <w:lvlJc w:val="left"/>
      <w:pPr>
        <w:ind w:left="4320" w:hanging="360"/>
      </w:pPr>
      <w:rPr>
        <w:rFonts w:ascii="Wingdings" w:hAnsi="Wingdings" w:hint="default"/>
      </w:rPr>
    </w:lvl>
    <w:lvl w:ilvl="6" w:tplc="36F4BA52">
      <w:start w:val="1"/>
      <w:numFmt w:val="bullet"/>
      <w:lvlText w:val=""/>
      <w:lvlJc w:val="left"/>
      <w:pPr>
        <w:ind w:left="5040" w:hanging="360"/>
      </w:pPr>
      <w:rPr>
        <w:rFonts w:ascii="Symbol" w:hAnsi="Symbol" w:hint="default"/>
      </w:rPr>
    </w:lvl>
    <w:lvl w:ilvl="7" w:tplc="7B423788">
      <w:start w:val="1"/>
      <w:numFmt w:val="bullet"/>
      <w:lvlText w:val="o"/>
      <w:lvlJc w:val="left"/>
      <w:pPr>
        <w:ind w:left="5760" w:hanging="360"/>
      </w:pPr>
      <w:rPr>
        <w:rFonts w:ascii="Courier New" w:hAnsi="Courier New" w:hint="default"/>
      </w:rPr>
    </w:lvl>
    <w:lvl w:ilvl="8" w:tplc="DF8C9476">
      <w:start w:val="1"/>
      <w:numFmt w:val="bullet"/>
      <w:lvlText w:val=""/>
      <w:lvlJc w:val="left"/>
      <w:pPr>
        <w:ind w:left="6480" w:hanging="360"/>
      </w:pPr>
      <w:rPr>
        <w:rFonts w:ascii="Wingdings" w:hAnsi="Wingdings" w:hint="default"/>
      </w:rPr>
    </w:lvl>
  </w:abstractNum>
  <w:abstractNum w:abstractNumId="21" w15:restartNumberingAfterBreak="0">
    <w:nsid w:val="63CD19AC"/>
    <w:multiLevelType w:val="hybridMultilevel"/>
    <w:tmpl w:val="BF7A2F8C"/>
    <w:lvl w:ilvl="0" w:tplc="0C090001">
      <w:start w:val="1"/>
      <w:numFmt w:val="bullet"/>
      <w:lvlText w:val=""/>
      <w:lvlJc w:val="left"/>
      <w:pPr>
        <w:ind w:left="720" w:hanging="360"/>
      </w:pPr>
      <w:rPr>
        <w:rFonts w:ascii="Symbol" w:hAnsi="Symbol" w:hint="default"/>
      </w:rPr>
    </w:lvl>
    <w:lvl w:ilvl="1" w:tplc="AEDE2B90">
      <w:start w:val="1"/>
      <w:numFmt w:val="lowerLetter"/>
      <w:lvlText w:val="%2."/>
      <w:lvlJc w:val="left"/>
      <w:pPr>
        <w:ind w:left="1440" w:hanging="360"/>
      </w:pPr>
    </w:lvl>
    <w:lvl w:ilvl="2" w:tplc="BE4CFA60">
      <w:start w:val="1"/>
      <w:numFmt w:val="lowerRoman"/>
      <w:lvlText w:val="%3."/>
      <w:lvlJc w:val="right"/>
      <w:pPr>
        <w:ind w:left="2160" w:hanging="180"/>
      </w:pPr>
    </w:lvl>
    <w:lvl w:ilvl="3" w:tplc="FB847E6C">
      <w:start w:val="1"/>
      <w:numFmt w:val="decimal"/>
      <w:lvlText w:val="%4."/>
      <w:lvlJc w:val="left"/>
      <w:pPr>
        <w:ind w:left="2880" w:hanging="360"/>
      </w:pPr>
    </w:lvl>
    <w:lvl w:ilvl="4" w:tplc="830CDE68">
      <w:start w:val="1"/>
      <w:numFmt w:val="lowerLetter"/>
      <w:lvlText w:val="%5."/>
      <w:lvlJc w:val="left"/>
      <w:pPr>
        <w:ind w:left="3600" w:hanging="360"/>
      </w:pPr>
    </w:lvl>
    <w:lvl w:ilvl="5" w:tplc="D690DA0E">
      <w:start w:val="1"/>
      <w:numFmt w:val="lowerRoman"/>
      <w:lvlText w:val="%6."/>
      <w:lvlJc w:val="right"/>
      <w:pPr>
        <w:ind w:left="4320" w:hanging="180"/>
      </w:pPr>
    </w:lvl>
    <w:lvl w:ilvl="6" w:tplc="FDD69CDC">
      <w:start w:val="1"/>
      <w:numFmt w:val="decimal"/>
      <w:lvlText w:val="%7."/>
      <w:lvlJc w:val="left"/>
      <w:pPr>
        <w:ind w:left="5040" w:hanging="360"/>
      </w:pPr>
    </w:lvl>
    <w:lvl w:ilvl="7" w:tplc="0E0AD200">
      <w:start w:val="1"/>
      <w:numFmt w:val="lowerLetter"/>
      <w:lvlText w:val="%8."/>
      <w:lvlJc w:val="left"/>
      <w:pPr>
        <w:ind w:left="5760" w:hanging="360"/>
      </w:pPr>
    </w:lvl>
    <w:lvl w:ilvl="8" w:tplc="F6A0E090">
      <w:start w:val="1"/>
      <w:numFmt w:val="lowerRoman"/>
      <w:lvlText w:val="%9."/>
      <w:lvlJc w:val="right"/>
      <w:pPr>
        <w:ind w:left="6480" w:hanging="180"/>
      </w:pPr>
    </w:lvl>
  </w:abstractNum>
  <w:abstractNum w:abstractNumId="22" w15:restartNumberingAfterBreak="0">
    <w:nsid w:val="63F1186D"/>
    <w:multiLevelType w:val="hybridMultilevel"/>
    <w:tmpl w:val="44222F30"/>
    <w:lvl w:ilvl="0" w:tplc="D0A259D0">
      <w:start w:val="1"/>
      <w:numFmt w:val="bullet"/>
      <w:lvlText w:val="·"/>
      <w:lvlJc w:val="left"/>
      <w:pPr>
        <w:ind w:left="720" w:hanging="360"/>
      </w:pPr>
      <w:rPr>
        <w:rFonts w:ascii="Symbol" w:hAnsi="Symbol" w:hint="default"/>
      </w:rPr>
    </w:lvl>
    <w:lvl w:ilvl="1" w:tplc="FCE22B8A">
      <w:start w:val="1"/>
      <w:numFmt w:val="bullet"/>
      <w:lvlText w:val="o"/>
      <w:lvlJc w:val="left"/>
      <w:pPr>
        <w:ind w:left="1440" w:hanging="360"/>
      </w:pPr>
      <w:rPr>
        <w:rFonts w:ascii="Courier New" w:hAnsi="Courier New" w:hint="default"/>
      </w:rPr>
    </w:lvl>
    <w:lvl w:ilvl="2" w:tplc="A83EFDE6">
      <w:start w:val="1"/>
      <w:numFmt w:val="bullet"/>
      <w:lvlText w:val=""/>
      <w:lvlJc w:val="left"/>
      <w:pPr>
        <w:ind w:left="2160" w:hanging="360"/>
      </w:pPr>
      <w:rPr>
        <w:rFonts w:ascii="Wingdings" w:hAnsi="Wingdings" w:hint="default"/>
      </w:rPr>
    </w:lvl>
    <w:lvl w:ilvl="3" w:tplc="2B166C84">
      <w:start w:val="1"/>
      <w:numFmt w:val="bullet"/>
      <w:lvlText w:val=""/>
      <w:lvlJc w:val="left"/>
      <w:pPr>
        <w:ind w:left="2880" w:hanging="360"/>
      </w:pPr>
      <w:rPr>
        <w:rFonts w:ascii="Symbol" w:hAnsi="Symbol" w:hint="default"/>
      </w:rPr>
    </w:lvl>
    <w:lvl w:ilvl="4" w:tplc="5EFC8154">
      <w:start w:val="1"/>
      <w:numFmt w:val="bullet"/>
      <w:lvlText w:val="o"/>
      <w:lvlJc w:val="left"/>
      <w:pPr>
        <w:ind w:left="3600" w:hanging="360"/>
      </w:pPr>
      <w:rPr>
        <w:rFonts w:ascii="Courier New" w:hAnsi="Courier New" w:hint="default"/>
      </w:rPr>
    </w:lvl>
    <w:lvl w:ilvl="5" w:tplc="D0C83A72">
      <w:start w:val="1"/>
      <w:numFmt w:val="bullet"/>
      <w:lvlText w:val=""/>
      <w:lvlJc w:val="left"/>
      <w:pPr>
        <w:ind w:left="4320" w:hanging="360"/>
      </w:pPr>
      <w:rPr>
        <w:rFonts w:ascii="Wingdings" w:hAnsi="Wingdings" w:hint="default"/>
      </w:rPr>
    </w:lvl>
    <w:lvl w:ilvl="6" w:tplc="AD5C53F2">
      <w:start w:val="1"/>
      <w:numFmt w:val="bullet"/>
      <w:lvlText w:val=""/>
      <w:lvlJc w:val="left"/>
      <w:pPr>
        <w:ind w:left="5040" w:hanging="360"/>
      </w:pPr>
      <w:rPr>
        <w:rFonts w:ascii="Symbol" w:hAnsi="Symbol" w:hint="default"/>
      </w:rPr>
    </w:lvl>
    <w:lvl w:ilvl="7" w:tplc="CA628D60">
      <w:start w:val="1"/>
      <w:numFmt w:val="bullet"/>
      <w:lvlText w:val="o"/>
      <w:lvlJc w:val="left"/>
      <w:pPr>
        <w:ind w:left="5760" w:hanging="360"/>
      </w:pPr>
      <w:rPr>
        <w:rFonts w:ascii="Courier New" w:hAnsi="Courier New" w:hint="default"/>
      </w:rPr>
    </w:lvl>
    <w:lvl w:ilvl="8" w:tplc="20A25022">
      <w:start w:val="1"/>
      <w:numFmt w:val="bullet"/>
      <w:lvlText w:val=""/>
      <w:lvlJc w:val="left"/>
      <w:pPr>
        <w:ind w:left="6480" w:hanging="360"/>
      </w:pPr>
      <w:rPr>
        <w:rFonts w:ascii="Wingdings" w:hAnsi="Wingdings" w:hint="default"/>
      </w:rPr>
    </w:lvl>
  </w:abstractNum>
  <w:abstractNum w:abstractNumId="23" w15:restartNumberingAfterBreak="0">
    <w:nsid w:val="68C05A8A"/>
    <w:multiLevelType w:val="hybridMultilevel"/>
    <w:tmpl w:val="405C7638"/>
    <w:lvl w:ilvl="0" w:tplc="D4C626AC">
      <w:start w:val="1"/>
      <w:numFmt w:val="bullet"/>
      <w:lvlText w:val=""/>
      <w:lvlJc w:val="left"/>
      <w:pPr>
        <w:ind w:left="720" w:hanging="360"/>
      </w:pPr>
      <w:rPr>
        <w:rFonts w:ascii="Symbol" w:hAnsi="Symbol" w:hint="default"/>
      </w:rPr>
    </w:lvl>
    <w:lvl w:ilvl="1" w:tplc="151413E2">
      <w:start w:val="1"/>
      <w:numFmt w:val="bullet"/>
      <w:lvlText w:val="o"/>
      <w:lvlJc w:val="left"/>
      <w:pPr>
        <w:ind w:left="1440" w:hanging="360"/>
      </w:pPr>
      <w:rPr>
        <w:rFonts w:ascii="Courier New" w:hAnsi="Courier New" w:hint="default"/>
      </w:rPr>
    </w:lvl>
    <w:lvl w:ilvl="2" w:tplc="0D84C772">
      <w:start w:val="1"/>
      <w:numFmt w:val="bullet"/>
      <w:lvlText w:val=""/>
      <w:lvlJc w:val="left"/>
      <w:pPr>
        <w:ind w:left="2160" w:hanging="360"/>
      </w:pPr>
      <w:rPr>
        <w:rFonts w:ascii="Wingdings" w:hAnsi="Wingdings" w:hint="default"/>
      </w:rPr>
    </w:lvl>
    <w:lvl w:ilvl="3" w:tplc="1406A56C">
      <w:start w:val="1"/>
      <w:numFmt w:val="bullet"/>
      <w:lvlText w:val=""/>
      <w:lvlJc w:val="left"/>
      <w:pPr>
        <w:ind w:left="2880" w:hanging="360"/>
      </w:pPr>
      <w:rPr>
        <w:rFonts w:ascii="Symbol" w:hAnsi="Symbol" w:hint="default"/>
      </w:rPr>
    </w:lvl>
    <w:lvl w:ilvl="4" w:tplc="9510149E">
      <w:start w:val="1"/>
      <w:numFmt w:val="bullet"/>
      <w:lvlText w:val="o"/>
      <w:lvlJc w:val="left"/>
      <w:pPr>
        <w:ind w:left="3600" w:hanging="360"/>
      </w:pPr>
      <w:rPr>
        <w:rFonts w:ascii="Courier New" w:hAnsi="Courier New" w:hint="default"/>
      </w:rPr>
    </w:lvl>
    <w:lvl w:ilvl="5" w:tplc="3A902244">
      <w:start w:val="1"/>
      <w:numFmt w:val="bullet"/>
      <w:lvlText w:val=""/>
      <w:lvlJc w:val="left"/>
      <w:pPr>
        <w:ind w:left="4320" w:hanging="360"/>
      </w:pPr>
      <w:rPr>
        <w:rFonts w:ascii="Wingdings" w:hAnsi="Wingdings" w:hint="default"/>
      </w:rPr>
    </w:lvl>
    <w:lvl w:ilvl="6" w:tplc="0C986F16">
      <w:start w:val="1"/>
      <w:numFmt w:val="bullet"/>
      <w:lvlText w:val=""/>
      <w:lvlJc w:val="left"/>
      <w:pPr>
        <w:ind w:left="5040" w:hanging="360"/>
      </w:pPr>
      <w:rPr>
        <w:rFonts w:ascii="Symbol" w:hAnsi="Symbol" w:hint="default"/>
      </w:rPr>
    </w:lvl>
    <w:lvl w:ilvl="7" w:tplc="3E024C52">
      <w:start w:val="1"/>
      <w:numFmt w:val="bullet"/>
      <w:lvlText w:val="o"/>
      <w:lvlJc w:val="left"/>
      <w:pPr>
        <w:ind w:left="5760" w:hanging="360"/>
      </w:pPr>
      <w:rPr>
        <w:rFonts w:ascii="Courier New" w:hAnsi="Courier New" w:hint="default"/>
      </w:rPr>
    </w:lvl>
    <w:lvl w:ilvl="8" w:tplc="4844C7A6">
      <w:start w:val="1"/>
      <w:numFmt w:val="bullet"/>
      <w:lvlText w:val=""/>
      <w:lvlJc w:val="left"/>
      <w:pPr>
        <w:ind w:left="6480" w:hanging="360"/>
      </w:pPr>
      <w:rPr>
        <w:rFonts w:ascii="Wingdings" w:hAnsi="Wingdings" w:hint="default"/>
      </w:rPr>
    </w:lvl>
  </w:abstractNum>
  <w:abstractNum w:abstractNumId="24" w15:restartNumberingAfterBreak="0">
    <w:nsid w:val="6A92F1E6"/>
    <w:multiLevelType w:val="hybridMultilevel"/>
    <w:tmpl w:val="2CA2B19A"/>
    <w:lvl w:ilvl="0" w:tplc="E196B9D8">
      <w:start w:val="1"/>
      <w:numFmt w:val="bullet"/>
      <w:lvlText w:val="·"/>
      <w:lvlJc w:val="left"/>
      <w:pPr>
        <w:ind w:left="720" w:hanging="360"/>
      </w:pPr>
      <w:rPr>
        <w:rFonts w:ascii="Symbol" w:hAnsi="Symbol" w:hint="default"/>
      </w:rPr>
    </w:lvl>
    <w:lvl w:ilvl="1" w:tplc="1A3612F0">
      <w:start w:val="1"/>
      <w:numFmt w:val="bullet"/>
      <w:lvlText w:val="o"/>
      <w:lvlJc w:val="left"/>
      <w:pPr>
        <w:ind w:left="1440" w:hanging="360"/>
      </w:pPr>
      <w:rPr>
        <w:rFonts w:ascii="Courier New" w:hAnsi="Courier New" w:hint="default"/>
      </w:rPr>
    </w:lvl>
    <w:lvl w:ilvl="2" w:tplc="DEF4E324">
      <w:start w:val="1"/>
      <w:numFmt w:val="bullet"/>
      <w:lvlText w:val=""/>
      <w:lvlJc w:val="left"/>
      <w:pPr>
        <w:ind w:left="2160" w:hanging="360"/>
      </w:pPr>
      <w:rPr>
        <w:rFonts w:ascii="Wingdings" w:hAnsi="Wingdings" w:hint="default"/>
      </w:rPr>
    </w:lvl>
    <w:lvl w:ilvl="3" w:tplc="77880BF4">
      <w:start w:val="1"/>
      <w:numFmt w:val="bullet"/>
      <w:lvlText w:val=""/>
      <w:lvlJc w:val="left"/>
      <w:pPr>
        <w:ind w:left="2880" w:hanging="360"/>
      </w:pPr>
      <w:rPr>
        <w:rFonts w:ascii="Symbol" w:hAnsi="Symbol" w:hint="default"/>
      </w:rPr>
    </w:lvl>
    <w:lvl w:ilvl="4" w:tplc="11343B2A">
      <w:start w:val="1"/>
      <w:numFmt w:val="bullet"/>
      <w:lvlText w:val="o"/>
      <w:lvlJc w:val="left"/>
      <w:pPr>
        <w:ind w:left="3600" w:hanging="360"/>
      </w:pPr>
      <w:rPr>
        <w:rFonts w:ascii="Courier New" w:hAnsi="Courier New" w:hint="default"/>
      </w:rPr>
    </w:lvl>
    <w:lvl w:ilvl="5" w:tplc="411EA018">
      <w:start w:val="1"/>
      <w:numFmt w:val="bullet"/>
      <w:lvlText w:val=""/>
      <w:lvlJc w:val="left"/>
      <w:pPr>
        <w:ind w:left="4320" w:hanging="360"/>
      </w:pPr>
      <w:rPr>
        <w:rFonts w:ascii="Wingdings" w:hAnsi="Wingdings" w:hint="default"/>
      </w:rPr>
    </w:lvl>
    <w:lvl w:ilvl="6" w:tplc="448C15B0">
      <w:start w:val="1"/>
      <w:numFmt w:val="bullet"/>
      <w:lvlText w:val=""/>
      <w:lvlJc w:val="left"/>
      <w:pPr>
        <w:ind w:left="5040" w:hanging="360"/>
      </w:pPr>
      <w:rPr>
        <w:rFonts w:ascii="Symbol" w:hAnsi="Symbol" w:hint="default"/>
      </w:rPr>
    </w:lvl>
    <w:lvl w:ilvl="7" w:tplc="7408D67E">
      <w:start w:val="1"/>
      <w:numFmt w:val="bullet"/>
      <w:lvlText w:val="o"/>
      <w:lvlJc w:val="left"/>
      <w:pPr>
        <w:ind w:left="5760" w:hanging="360"/>
      </w:pPr>
      <w:rPr>
        <w:rFonts w:ascii="Courier New" w:hAnsi="Courier New" w:hint="default"/>
      </w:rPr>
    </w:lvl>
    <w:lvl w:ilvl="8" w:tplc="48206974">
      <w:start w:val="1"/>
      <w:numFmt w:val="bullet"/>
      <w:lvlText w:val=""/>
      <w:lvlJc w:val="left"/>
      <w:pPr>
        <w:ind w:left="6480" w:hanging="360"/>
      </w:pPr>
      <w:rPr>
        <w:rFonts w:ascii="Wingdings" w:hAnsi="Wingdings" w:hint="default"/>
      </w:rPr>
    </w:lvl>
  </w:abstractNum>
  <w:abstractNum w:abstractNumId="25" w15:restartNumberingAfterBreak="0">
    <w:nsid w:val="707626D5"/>
    <w:multiLevelType w:val="hybridMultilevel"/>
    <w:tmpl w:val="03A63CE6"/>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9492BB3"/>
    <w:multiLevelType w:val="hybridMultilevel"/>
    <w:tmpl w:val="1A581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7B6106"/>
    <w:multiLevelType w:val="hybridMultilevel"/>
    <w:tmpl w:val="D8641D80"/>
    <w:lvl w:ilvl="0" w:tplc="0C090001">
      <w:start w:val="1"/>
      <w:numFmt w:val="bullet"/>
      <w:lvlText w:val=""/>
      <w:lvlJc w:val="left"/>
      <w:pPr>
        <w:ind w:left="41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CA35CE5"/>
    <w:multiLevelType w:val="hybridMultilevel"/>
    <w:tmpl w:val="0FAA548C"/>
    <w:lvl w:ilvl="0" w:tplc="DFCEA376">
      <w:start w:val="1"/>
      <w:numFmt w:val="bullet"/>
      <w:lvlText w:val=""/>
      <w:lvlJc w:val="left"/>
      <w:pPr>
        <w:ind w:left="720" w:hanging="360"/>
      </w:pPr>
      <w:rPr>
        <w:rFonts w:ascii="Symbol" w:hAnsi="Symbol" w:hint="default"/>
      </w:rPr>
    </w:lvl>
    <w:lvl w:ilvl="1" w:tplc="7B283D80">
      <w:start w:val="1"/>
      <w:numFmt w:val="bullet"/>
      <w:lvlText w:val="o"/>
      <w:lvlJc w:val="left"/>
      <w:pPr>
        <w:ind w:left="1440" w:hanging="360"/>
      </w:pPr>
      <w:rPr>
        <w:rFonts w:ascii="Courier New" w:hAnsi="Courier New" w:hint="default"/>
      </w:rPr>
    </w:lvl>
    <w:lvl w:ilvl="2" w:tplc="CC1027D0">
      <w:start w:val="1"/>
      <w:numFmt w:val="bullet"/>
      <w:lvlText w:val=""/>
      <w:lvlJc w:val="left"/>
      <w:pPr>
        <w:ind w:left="2160" w:hanging="360"/>
      </w:pPr>
      <w:rPr>
        <w:rFonts w:ascii="Wingdings" w:hAnsi="Wingdings" w:hint="default"/>
      </w:rPr>
    </w:lvl>
    <w:lvl w:ilvl="3" w:tplc="A0D8F600">
      <w:start w:val="1"/>
      <w:numFmt w:val="bullet"/>
      <w:lvlText w:val=""/>
      <w:lvlJc w:val="left"/>
      <w:pPr>
        <w:ind w:left="2880" w:hanging="360"/>
      </w:pPr>
      <w:rPr>
        <w:rFonts w:ascii="Symbol" w:hAnsi="Symbol" w:hint="default"/>
      </w:rPr>
    </w:lvl>
    <w:lvl w:ilvl="4" w:tplc="EBF0F01A">
      <w:start w:val="1"/>
      <w:numFmt w:val="bullet"/>
      <w:lvlText w:val="o"/>
      <w:lvlJc w:val="left"/>
      <w:pPr>
        <w:ind w:left="3600" w:hanging="360"/>
      </w:pPr>
      <w:rPr>
        <w:rFonts w:ascii="Courier New" w:hAnsi="Courier New" w:hint="default"/>
      </w:rPr>
    </w:lvl>
    <w:lvl w:ilvl="5" w:tplc="9872D55E">
      <w:start w:val="1"/>
      <w:numFmt w:val="bullet"/>
      <w:lvlText w:val=""/>
      <w:lvlJc w:val="left"/>
      <w:pPr>
        <w:ind w:left="4320" w:hanging="360"/>
      </w:pPr>
      <w:rPr>
        <w:rFonts w:ascii="Wingdings" w:hAnsi="Wingdings" w:hint="default"/>
      </w:rPr>
    </w:lvl>
    <w:lvl w:ilvl="6" w:tplc="37540172">
      <w:start w:val="1"/>
      <w:numFmt w:val="bullet"/>
      <w:lvlText w:val=""/>
      <w:lvlJc w:val="left"/>
      <w:pPr>
        <w:ind w:left="5040" w:hanging="360"/>
      </w:pPr>
      <w:rPr>
        <w:rFonts w:ascii="Symbol" w:hAnsi="Symbol" w:hint="default"/>
      </w:rPr>
    </w:lvl>
    <w:lvl w:ilvl="7" w:tplc="B78648CC">
      <w:start w:val="1"/>
      <w:numFmt w:val="bullet"/>
      <w:lvlText w:val="o"/>
      <w:lvlJc w:val="left"/>
      <w:pPr>
        <w:ind w:left="5760" w:hanging="360"/>
      </w:pPr>
      <w:rPr>
        <w:rFonts w:ascii="Courier New" w:hAnsi="Courier New" w:hint="default"/>
      </w:rPr>
    </w:lvl>
    <w:lvl w:ilvl="8" w:tplc="3586E488">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28"/>
  </w:num>
  <w:num w:numId="4">
    <w:abstractNumId w:val="9"/>
  </w:num>
  <w:num w:numId="5">
    <w:abstractNumId w:val="0"/>
  </w:num>
  <w:num w:numId="6">
    <w:abstractNumId w:val="20"/>
  </w:num>
  <w:num w:numId="7">
    <w:abstractNumId w:val="12"/>
  </w:num>
  <w:num w:numId="8">
    <w:abstractNumId w:val="23"/>
  </w:num>
  <w:num w:numId="9">
    <w:abstractNumId w:val="1"/>
  </w:num>
  <w:num w:numId="10">
    <w:abstractNumId w:val="14"/>
  </w:num>
  <w:num w:numId="11">
    <w:abstractNumId w:val="13"/>
  </w:num>
  <w:num w:numId="12">
    <w:abstractNumId w:val="5"/>
  </w:num>
  <w:num w:numId="13">
    <w:abstractNumId w:val="19"/>
  </w:num>
  <w:num w:numId="14">
    <w:abstractNumId w:val="15"/>
  </w:num>
  <w:num w:numId="15">
    <w:abstractNumId w:val="26"/>
  </w:num>
  <w:num w:numId="16">
    <w:abstractNumId w:val="25"/>
  </w:num>
  <w:num w:numId="17">
    <w:abstractNumId w:val="16"/>
  </w:num>
  <w:num w:numId="18">
    <w:abstractNumId w:val="17"/>
  </w:num>
  <w:num w:numId="19">
    <w:abstractNumId w:val="8"/>
  </w:num>
  <w:num w:numId="20">
    <w:abstractNumId w:val="3"/>
  </w:num>
  <w:num w:numId="21">
    <w:abstractNumId w:val="2"/>
  </w:num>
  <w:num w:numId="22">
    <w:abstractNumId w:val="27"/>
  </w:num>
  <w:num w:numId="23">
    <w:abstractNumId w:val="10"/>
  </w:num>
  <w:num w:numId="24">
    <w:abstractNumId w:val="7"/>
  </w:num>
  <w:num w:numId="25">
    <w:abstractNumId w:val="22"/>
  </w:num>
  <w:num w:numId="26">
    <w:abstractNumId w:val="6"/>
  </w:num>
  <w:num w:numId="27">
    <w:abstractNumId w:val="11"/>
  </w:num>
  <w:num w:numId="28">
    <w:abstractNumId w:val="18"/>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F9C"/>
    <w:rsid w:val="00000FC2"/>
    <w:rsid w:val="000021E1"/>
    <w:rsid w:val="00002E89"/>
    <w:rsid w:val="0000302E"/>
    <w:rsid w:val="0000472B"/>
    <w:rsid w:val="000052C6"/>
    <w:rsid w:val="0000536D"/>
    <w:rsid w:val="00005C0B"/>
    <w:rsid w:val="0000674A"/>
    <w:rsid w:val="00007239"/>
    <w:rsid w:val="000073AA"/>
    <w:rsid w:val="00007A06"/>
    <w:rsid w:val="000107CE"/>
    <w:rsid w:val="00010932"/>
    <w:rsid w:val="0001174D"/>
    <w:rsid w:val="000121B7"/>
    <w:rsid w:val="00012776"/>
    <w:rsid w:val="00012B43"/>
    <w:rsid w:val="00012C66"/>
    <w:rsid w:val="00012F5A"/>
    <w:rsid w:val="00015F76"/>
    <w:rsid w:val="000160F8"/>
    <w:rsid w:val="000163DF"/>
    <w:rsid w:val="00016D76"/>
    <w:rsid w:val="00020F3B"/>
    <w:rsid w:val="000213C2"/>
    <w:rsid w:val="0002150F"/>
    <w:rsid w:val="00021AB0"/>
    <w:rsid w:val="0002253A"/>
    <w:rsid w:val="0002269D"/>
    <w:rsid w:val="00022DAC"/>
    <w:rsid w:val="00022EE9"/>
    <w:rsid w:val="0002341E"/>
    <w:rsid w:val="0002422B"/>
    <w:rsid w:val="00025521"/>
    <w:rsid w:val="00026133"/>
    <w:rsid w:val="00026A47"/>
    <w:rsid w:val="0002749B"/>
    <w:rsid w:val="00030455"/>
    <w:rsid w:val="00030953"/>
    <w:rsid w:val="000317AE"/>
    <w:rsid w:val="000333B1"/>
    <w:rsid w:val="00033C32"/>
    <w:rsid w:val="00034B30"/>
    <w:rsid w:val="000350FF"/>
    <w:rsid w:val="00035D3C"/>
    <w:rsid w:val="000361D0"/>
    <w:rsid w:val="00036292"/>
    <w:rsid w:val="00036CF9"/>
    <w:rsid w:val="00040E3A"/>
    <w:rsid w:val="00041673"/>
    <w:rsid w:val="000419D7"/>
    <w:rsid w:val="00042EB6"/>
    <w:rsid w:val="00043355"/>
    <w:rsid w:val="00043A6D"/>
    <w:rsid w:val="000445B6"/>
    <w:rsid w:val="0004466C"/>
    <w:rsid w:val="00044F7D"/>
    <w:rsid w:val="00045CCA"/>
    <w:rsid w:val="00045D83"/>
    <w:rsid w:val="00045DB8"/>
    <w:rsid w:val="00046213"/>
    <w:rsid w:val="0004720D"/>
    <w:rsid w:val="00050B00"/>
    <w:rsid w:val="00051814"/>
    <w:rsid w:val="000527E6"/>
    <w:rsid w:val="000539E9"/>
    <w:rsid w:val="00054A13"/>
    <w:rsid w:val="00054B20"/>
    <w:rsid w:val="00055086"/>
    <w:rsid w:val="00055272"/>
    <w:rsid w:val="000554A1"/>
    <w:rsid w:val="0005688C"/>
    <w:rsid w:val="00056F0D"/>
    <w:rsid w:val="00057216"/>
    <w:rsid w:val="00057966"/>
    <w:rsid w:val="00057C9E"/>
    <w:rsid w:val="00060F31"/>
    <w:rsid w:val="000612FD"/>
    <w:rsid w:val="00061E93"/>
    <w:rsid w:val="00061EA2"/>
    <w:rsid w:val="000621CC"/>
    <w:rsid w:val="000625FB"/>
    <w:rsid w:val="000629E4"/>
    <w:rsid w:val="00063327"/>
    <w:rsid w:val="0006364E"/>
    <w:rsid w:val="00064826"/>
    <w:rsid w:val="00064B3B"/>
    <w:rsid w:val="00064D7B"/>
    <w:rsid w:val="00064E0F"/>
    <w:rsid w:val="00064F31"/>
    <w:rsid w:val="0006508E"/>
    <w:rsid w:val="000658B9"/>
    <w:rsid w:val="00065954"/>
    <w:rsid w:val="00065C20"/>
    <w:rsid w:val="00065D8C"/>
    <w:rsid w:val="00065FF9"/>
    <w:rsid w:val="00066C55"/>
    <w:rsid w:val="000677A6"/>
    <w:rsid w:val="00067CEF"/>
    <w:rsid w:val="000709AE"/>
    <w:rsid w:val="00070B1A"/>
    <w:rsid w:val="00070E34"/>
    <w:rsid w:val="00071054"/>
    <w:rsid w:val="00071A0D"/>
    <w:rsid w:val="00073561"/>
    <w:rsid w:val="00075E9B"/>
    <w:rsid w:val="00076CCE"/>
    <w:rsid w:val="00076DC9"/>
    <w:rsid w:val="00076E16"/>
    <w:rsid w:val="000770F9"/>
    <w:rsid w:val="00077278"/>
    <w:rsid w:val="000772BC"/>
    <w:rsid w:val="0008002B"/>
    <w:rsid w:val="00080B58"/>
    <w:rsid w:val="00082851"/>
    <w:rsid w:val="00082D81"/>
    <w:rsid w:val="000837B2"/>
    <w:rsid w:val="00083C29"/>
    <w:rsid w:val="00083F40"/>
    <w:rsid w:val="000845F5"/>
    <w:rsid w:val="000855D2"/>
    <w:rsid w:val="00086A3D"/>
    <w:rsid w:val="00086A47"/>
    <w:rsid w:val="00086E29"/>
    <w:rsid w:val="00087B08"/>
    <w:rsid w:val="0009058C"/>
    <w:rsid w:val="000911E4"/>
    <w:rsid w:val="00091334"/>
    <w:rsid w:val="0009274B"/>
    <w:rsid w:val="00092C70"/>
    <w:rsid w:val="000939E0"/>
    <w:rsid w:val="00094348"/>
    <w:rsid w:val="00094444"/>
    <w:rsid w:val="00094A17"/>
    <w:rsid w:val="00094F79"/>
    <w:rsid w:val="0009531F"/>
    <w:rsid w:val="00095349"/>
    <w:rsid w:val="0009579B"/>
    <w:rsid w:val="00095C77"/>
    <w:rsid w:val="00095DF4"/>
    <w:rsid w:val="000967B4"/>
    <w:rsid w:val="000970A7"/>
    <w:rsid w:val="000978E2"/>
    <w:rsid w:val="0009CF36"/>
    <w:rsid w:val="000A05D0"/>
    <w:rsid w:val="000A0B0D"/>
    <w:rsid w:val="000A0C6F"/>
    <w:rsid w:val="000A0ED5"/>
    <w:rsid w:val="000A1299"/>
    <w:rsid w:val="000A1CAE"/>
    <w:rsid w:val="000A1F61"/>
    <w:rsid w:val="000A3242"/>
    <w:rsid w:val="000A3FD3"/>
    <w:rsid w:val="000A4044"/>
    <w:rsid w:val="000A50AF"/>
    <w:rsid w:val="000A67D9"/>
    <w:rsid w:val="000A6F78"/>
    <w:rsid w:val="000A7E9D"/>
    <w:rsid w:val="000B094C"/>
    <w:rsid w:val="000B18FC"/>
    <w:rsid w:val="000B1E1D"/>
    <w:rsid w:val="000B219B"/>
    <w:rsid w:val="000B462B"/>
    <w:rsid w:val="000B48DB"/>
    <w:rsid w:val="000B5E52"/>
    <w:rsid w:val="000B6AEB"/>
    <w:rsid w:val="000B7AD0"/>
    <w:rsid w:val="000B7C44"/>
    <w:rsid w:val="000C268C"/>
    <w:rsid w:val="000C29F3"/>
    <w:rsid w:val="000C2B77"/>
    <w:rsid w:val="000C30BF"/>
    <w:rsid w:val="000C33CB"/>
    <w:rsid w:val="000C36E8"/>
    <w:rsid w:val="000C3946"/>
    <w:rsid w:val="000C45FB"/>
    <w:rsid w:val="000C61C6"/>
    <w:rsid w:val="000C6FE1"/>
    <w:rsid w:val="000C72D9"/>
    <w:rsid w:val="000C7829"/>
    <w:rsid w:val="000D0920"/>
    <w:rsid w:val="000D10F0"/>
    <w:rsid w:val="000D1FCF"/>
    <w:rsid w:val="000D2151"/>
    <w:rsid w:val="000D35B5"/>
    <w:rsid w:val="000D5816"/>
    <w:rsid w:val="000D5A27"/>
    <w:rsid w:val="000D5D55"/>
    <w:rsid w:val="000D6E21"/>
    <w:rsid w:val="000D701B"/>
    <w:rsid w:val="000D744A"/>
    <w:rsid w:val="000D7895"/>
    <w:rsid w:val="000E01C1"/>
    <w:rsid w:val="000E0EE4"/>
    <w:rsid w:val="000E2107"/>
    <w:rsid w:val="000E2E9C"/>
    <w:rsid w:val="000E41CE"/>
    <w:rsid w:val="000E4F49"/>
    <w:rsid w:val="000E5F37"/>
    <w:rsid w:val="000E623D"/>
    <w:rsid w:val="000E6514"/>
    <w:rsid w:val="000E7224"/>
    <w:rsid w:val="000E73E5"/>
    <w:rsid w:val="000E7499"/>
    <w:rsid w:val="000F0F8A"/>
    <w:rsid w:val="000F16E0"/>
    <w:rsid w:val="000F34A3"/>
    <w:rsid w:val="000F45DD"/>
    <w:rsid w:val="000F46D9"/>
    <w:rsid w:val="000F4880"/>
    <w:rsid w:val="000F583C"/>
    <w:rsid w:val="000F5BE9"/>
    <w:rsid w:val="000F5F5D"/>
    <w:rsid w:val="000F713F"/>
    <w:rsid w:val="000F784B"/>
    <w:rsid w:val="000F7C35"/>
    <w:rsid w:val="0010010F"/>
    <w:rsid w:val="001004CC"/>
    <w:rsid w:val="00100C81"/>
    <w:rsid w:val="00100C99"/>
    <w:rsid w:val="00100CBD"/>
    <w:rsid w:val="00101E29"/>
    <w:rsid w:val="001030B5"/>
    <w:rsid w:val="001044BE"/>
    <w:rsid w:val="00104BCA"/>
    <w:rsid w:val="001050EF"/>
    <w:rsid w:val="00106673"/>
    <w:rsid w:val="00106985"/>
    <w:rsid w:val="0010735E"/>
    <w:rsid w:val="00110327"/>
    <w:rsid w:val="00110656"/>
    <w:rsid w:val="0011082C"/>
    <w:rsid w:val="00111719"/>
    <w:rsid w:val="0011173D"/>
    <w:rsid w:val="001119B5"/>
    <w:rsid w:val="00112015"/>
    <w:rsid w:val="00112982"/>
    <w:rsid w:val="0011580F"/>
    <w:rsid w:val="001163E4"/>
    <w:rsid w:val="00116F85"/>
    <w:rsid w:val="00120F8A"/>
    <w:rsid w:val="00121F28"/>
    <w:rsid w:val="0012223B"/>
    <w:rsid w:val="00122390"/>
    <w:rsid w:val="00122B18"/>
    <w:rsid w:val="00123294"/>
    <w:rsid w:val="001234A5"/>
    <w:rsid w:val="00123E32"/>
    <w:rsid w:val="00125169"/>
    <w:rsid w:val="001256BA"/>
    <w:rsid w:val="00126150"/>
    <w:rsid w:val="0012653F"/>
    <w:rsid w:val="00126987"/>
    <w:rsid w:val="00132E8D"/>
    <w:rsid w:val="00133437"/>
    <w:rsid w:val="00133C75"/>
    <w:rsid w:val="00134C23"/>
    <w:rsid w:val="001350CF"/>
    <w:rsid w:val="00135670"/>
    <w:rsid w:val="00135B93"/>
    <w:rsid w:val="00137240"/>
    <w:rsid w:val="00137CF2"/>
    <w:rsid w:val="00141BFF"/>
    <w:rsid w:val="0014235A"/>
    <w:rsid w:val="00142BF7"/>
    <w:rsid w:val="00143137"/>
    <w:rsid w:val="00143391"/>
    <w:rsid w:val="001441CF"/>
    <w:rsid w:val="0014434F"/>
    <w:rsid w:val="00145B21"/>
    <w:rsid w:val="00146982"/>
    <w:rsid w:val="00146AC5"/>
    <w:rsid w:val="00146C57"/>
    <w:rsid w:val="00146CFA"/>
    <w:rsid w:val="0014703A"/>
    <w:rsid w:val="001475AB"/>
    <w:rsid w:val="0015072A"/>
    <w:rsid w:val="00151026"/>
    <w:rsid w:val="00151087"/>
    <w:rsid w:val="001513A6"/>
    <w:rsid w:val="00151E3D"/>
    <w:rsid w:val="00151F3C"/>
    <w:rsid w:val="00152599"/>
    <w:rsid w:val="001527E6"/>
    <w:rsid w:val="00152CF9"/>
    <w:rsid w:val="00153FE7"/>
    <w:rsid w:val="0015400B"/>
    <w:rsid w:val="00154105"/>
    <w:rsid w:val="001544AC"/>
    <w:rsid w:val="00154CA9"/>
    <w:rsid w:val="00154FF9"/>
    <w:rsid w:val="001552D6"/>
    <w:rsid w:val="0015607E"/>
    <w:rsid w:val="0015771F"/>
    <w:rsid w:val="001602B9"/>
    <w:rsid w:val="00160C19"/>
    <w:rsid w:val="001610E9"/>
    <w:rsid w:val="00161727"/>
    <w:rsid w:val="00161AAA"/>
    <w:rsid w:val="001628A9"/>
    <w:rsid w:val="0016315C"/>
    <w:rsid w:val="00163B66"/>
    <w:rsid w:val="001660FE"/>
    <w:rsid w:val="00166457"/>
    <w:rsid w:val="001676D8"/>
    <w:rsid w:val="0016780F"/>
    <w:rsid w:val="00167FDA"/>
    <w:rsid w:val="001706E9"/>
    <w:rsid w:val="00170A5B"/>
    <w:rsid w:val="001716DE"/>
    <w:rsid w:val="00171B4C"/>
    <w:rsid w:val="00171D84"/>
    <w:rsid w:val="0017235A"/>
    <w:rsid w:val="00172772"/>
    <w:rsid w:val="001729FE"/>
    <w:rsid w:val="001731A9"/>
    <w:rsid w:val="00173763"/>
    <w:rsid w:val="00173850"/>
    <w:rsid w:val="0017387C"/>
    <w:rsid w:val="00173E94"/>
    <w:rsid w:val="0017420A"/>
    <w:rsid w:val="00174AB1"/>
    <w:rsid w:val="0017570C"/>
    <w:rsid w:val="00175CD2"/>
    <w:rsid w:val="001760DE"/>
    <w:rsid w:val="0017630F"/>
    <w:rsid w:val="00176583"/>
    <w:rsid w:val="00176628"/>
    <w:rsid w:val="00176949"/>
    <w:rsid w:val="00176FAC"/>
    <w:rsid w:val="00180EFE"/>
    <w:rsid w:val="00181485"/>
    <w:rsid w:val="001816B6"/>
    <w:rsid w:val="00181880"/>
    <w:rsid w:val="00182C60"/>
    <w:rsid w:val="00183897"/>
    <w:rsid w:val="001845D1"/>
    <w:rsid w:val="00184E7A"/>
    <w:rsid w:val="00184FA2"/>
    <w:rsid w:val="001861ED"/>
    <w:rsid w:val="0018668D"/>
    <w:rsid w:val="001877CA"/>
    <w:rsid w:val="00187819"/>
    <w:rsid w:val="00187B20"/>
    <w:rsid w:val="00187C53"/>
    <w:rsid w:val="0018D264"/>
    <w:rsid w:val="00190A39"/>
    <w:rsid w:val="00190D23"/>
    <w:rsid w:val="00191909"/>
    <w:rsid w:val="0019239F"/>
    <w:rsid w:val="001924F8"/>
    <w:rsid w:val="0019303A"/>
    <w:rsid w:val="00195A3D"/>
    <w:rsid w:val="001960D3"/>
    <w:rsid w:val="001966FC"/>
    <w:rsid w:val="001967B3"/>
    <w:rsid w:val="00196FE0"/>
    <w:rsid w:val="00197332"/>
    <w:rsid w:val="001A065A"/>
    <w:rsid w:val="001A19A1"/>
    <w:rsid w:val="001A20AD"/>
    <w:rsid w:val="001A22C1"/>
    <w:rsid w:val="001A23BA"/>
    <w:rsid w:val="001A2A88"/>
    <w:rsid w:val="001A3898"/>
    <w:rsid w:val="001A3BB9"/>
    <w:rsid w:val="001A426A"/>
    <w:rsid w:val="001A48B1"/>
    <w:rsid w:val="001A5514"/>
    <w:rsid w:val="001A5661"/>
    <w:rsid w:val="001A56BE"/>
    <w:rsid w:val="001A5A79"/>
    <w:rsid w:val="001A5BB9"/>
    <w:rsid w:val="001A5C8E"/>
    <w:rsid w:val="001A5D2F"/>
    <w:rsid w:val="001A64EA"/>
    <w:rsid w:val="001A7581"/>
    <w:rsid w:val="001A7EE3"/>
    <w:rsid w:val="001A7EEE"/>
    <w:rsid w:val="001B0288"/>
    <w:rsid w:val="001B0340"/>
    <w:rsid w:val="001B0448"/>
    <w:rsid w:val="001B0F63"/>
    <w:rsid w:val="001B154D"/>
    <w:rsid w:val="001B2481"/>
    <w:rsid w:val="001B29DD"/>
    <w:rsid w:val="001B2A4A"/>
    <w:rsid w:val="001B2E6B"/>
    <w:rsid w:val="001B35AE"/>
    <w:rsid w:val="001B3620"/>
    <w:rsid w:val="001B43DF"/>
    <w:rsid w:val="001B490C"/>
    <w:rsid w:val="001B4AA4"/>
    <w:rsid w:val="001B64D8"/>
    <w:rsid w:val="001B6DF7"/>
    <w:rsid w:val="001B727D"/>
    <w:rsid w:val="001B751A"/>
    <w:rsid w:val="001B78F8"/>
    <w:rsid w:val="001C0651"/>
    <w:rsid w:val="001C0A02"/>
    <w:rsid w:val="001C1530"/>
    <w:rsid w:val="001C18DE"/>
    <w:rsid w:val="001C1CBA"/>
    <w:rsid w:val="001C2D91"/>
    <w:rsid w:val="001C32DD"/>
    <w:rsid w:val="001C36BF"/>
    <w:rsid w:val="001C3F48"/>
    <w:rsid w:val="001C5FEE"/>
    <w:rsid w:val="001C7429"/>
    <w:rsid w:val="001C74F4"/>
    <w:rsid w:val="001D1997"/>
    <w:rsid w:val="001D1AF0"/>
    <w:rsid w:val="001D247E"/>
    <w:rsid w:val="001D29AC"/>
    <w:rsid w:val="001D2C19"/>
    <w:rsid w:val="001D2F06"/>
    <w:rsid w:val="001D3C99"/>
    <w:rsid w:val="001D49D9"/>
    <w:rsid w:val="001D4F1B"/>
    <w:rsid w:val="001D71CC"/>
    <w:rsid w:val="001D7489"/>
    <w:rsid w:val="001E00EA"/>
    <w:rsid w:val="001E0785"/>
    <w:rsid w:val="001E0C21"/>
    <w:rsid w:val="001E1D32"/>
    <w:rsid w:val="001E2283"/>
    <w:rsid w:val="001E3BD0"/>
    <w:rsid w:val="001E4A0B"/>
    <w:rsid w:val="001E516F"/>
    <w:rsid w:val="001E5F9C"/>
    <w:rsid w:val="001E643B"/>
    <w:rsid w:val="001E6F6F"/>
    <w:rsid w:val="001E70D7"/>
    <w:rsid w:val="001F1222"/>
    <w:rsid w:val="001F176E"/>
    <w:rsid w:val="001F41D2"/>
    <w:rsid w:val="001F44F3"/>
    <w:rsid w:val="001F6723"/>
    <w:rsid w:val="001F6E5A"/>
    <w:rsid w:val="00200C74"/>
    <w:rsid w:val="00200E19"/>
    <w:rsid w:val="0020100F"/>
    <w:rsid w:val="00202B02"/>
    <w:rsid w:val="00202BE7"/>
    <w:rsid w:val="002032F8"/>
    <w:rsid w:val="00203613"/>
    <w:rsid w:val="00204C87"/>
    <w:rsid w:val="00204D6F"/>
    <w:rsid w:val="00205396"/>
    <w:rsid w:val="002054C9"/>
    <w:rsid w:val="00205BAE"/>
    <w:rsid w:val="00205DA3"/>
    <w:rsid w:val="00205E12"/>
    <w:rsid w:val="00206790"/>
    <w:rsid w:val="00206BAA"/>
    <w:rsid w:val="00206FCB"/>
    <w:rsid w:val="002071BF"/>
    <w:rsid w:val="002100C6"/>
    <w:rsid w:val="002104A6"/>
    <w:rsid w:val="00210B2A"/>
    <w:rsid w:val="0021238B"/>
    <w:rsid w:val="0021249D"/>
    <w:rsid w:val="00212664"/>
    <w:rsid w:val="00212A78"/>
    <w:rsid w:val="00214501"/>
    <w:rsid w:val="0021579C"/>
    <w:rsid w:val="00216324"/>
    <w:rsid w:val="00216554"/>
    <w:rsid w:val="00216E1D"/>
    <w:rsid w:val="002170B2"/>
    <w:rsid w:val="002219DF"/>
    <w:rsid w:val="00222103"/>
    <w:rsid w:val="002233C9"/>
    <w:rsid w:val="0022356F"/>
    <w:rsid w:val="0022447A"/>
    <w:rsid w:val="00224756"/>
    <w:rsid w:val="00224FCE"/>
    <w:rsid w:val="0022503B"/>
    <w:rsid w:val="002250CE"/>
    <w:rsid w:val="00225D71"/>
    <w:rsid w:val="00226064"/>
    <w:rsid w:val="002268B6"/>
    <w:rsid w:val="002268D7"/>
    <w:rsid w:val="0022696E"/>
    <w:rsid w:val="002273A9"/>
    <w:rsid w:val="00227E97"/>
    <w:rsid w:val="002301DB"/>
    <w:rsid w:val="00233E1D"/>
    <w:rsid w:val="00233E6C"/>
    <w:rsid w:val="00233FD8"/>
    <w:rsid w:val="0023467A"/>
    <w:rsid w:val="002348FC"/>
    <w:rsid w:val="00235B21"/>
    <w:rsid w:val="00236148"/>
    <w:rsid w:val="00236D4F"/>
    <w:rsid w:val="00240981"/>
    <w:rsid w:val="0024208D"/>
    <w:rsid w:val="00242425"/>
    <w:rsid w:val="00243AF9"/>
    <w:rsid w:val="002441E6"/>
    <w:rsid w:val="002446CD"/>
    <w:rsid w:val="00244B33"/>
    <w:rsid w:val="00245494"/>
    <w:rsid w:val="00245E9C"/>
    <w:rsid w:val="00245FF3"/>
    <w:rsid w:val="00247B09"/>
    <w:rsid w:val="00247E5E"/>
    <w:rsid w:val="00251656"/>
    <w:rsid w:val="002518CD"/>
    <w:rsid w:val="00252644"/>
    <w:rsid w:val="00253583"/>
    <w:rsid w:val="00253D8F"/>
    <w:rsid w:val="002543AA"/>
    <w:rsid w:val="0025690E"/>
    <w:rsid w:val="00256C32"/>
    <w:rsid w:val="002571B0"/>
    <w:rsid w:val="0025754C"/>
    <w:rsid w:val="00260867"/>
    <w:rsid w:val="002618DA"/>
    <w:rsid w:val="00262C65"/>
    <w:rsid w:val="00262D83"/>
    <w:rsid w:val="00262F75"/>
    <w:rsid w:val="00265B3E"/>
    <w:rsid w:val="00267B25"/>
    <w:rsid w:val="0027032A"/>
    <w:rsid w:val="0027170F"/>
    <w:rsid w:val="00272AA7"/>
    <w:rsid w:val="00273331"/>
    <w:rsid w:val="00273454"/>
    <w:rsid w:val="0027378E"/>
    <w:rsid w:val="002739E6"/>
    <w:rsid w:val="00273F63"/>
    <w:rsid w:val="002740BA"/>
    <w:rsid w:val="00275081"/>
    <w:rsid w:val="0027508B"/>
    <w:rsid w:val="0027577E"/>
    <w:rsid w:val="00275A57"/>
    <w:rsid w:val="00275B57"/>
    <w:rsid w:val="00275EB4"/>
    <w:rsid w:val="00276259"/>
    <w:rsid w:val="00276F12"/>
    <w:rsid w:val="002771B3"/>
    <w:rsid w:val="00277FD4"/>
    <w:rsid w:val="002802FF"/>
    <w:rsid w:val="0028084A"/>
    <w:rsid w:val="00281838"/>
    <w:rsid w:val="00282291"/>
    <w:rsid w:val="002831ED"/>
    <w:rsid w:val="002834BF"/>
    <w:rsid w:val="00284378"/>
    <w:rsid w:val="0028487A"/>
    <w:rsid w:val="00284B85"/>
    <w:rsid w:val="00284FEC"/>
    <w:rsid w:val="002858C8"/>
    <w:rsid w:val="00287643"/>
    <w:rsid w:val="0029089B"/>
    <w:rsid w:val="00290B27"/>
    <w:rsid w:val="00290E0A"/>
    <w:rsid w:val="0029110A"/>
    <w:rsid w:val="00291267"/>
    <w:rsid w:val="002913CC"/>
    <w:rsid w:val="002919C6"/>
    <w:rsid w:val="00291C2B"/>
    <w:rsid w:val="002927DA"/>
    <w:rsid w:val="002930D2"/>
    <w:rsid w:val="00293812"/>
    <w:rsid w:val="00293C79"/>
    <w:rsid w:val="002948AA"/>
    <w:rsid w:val="00294DA4"/>
    <w:rsid w:val="002951DF"/>
    <w:rsid w:val="0029577A"/>
    <w:rsid w:val="00295A09"/>
    <w:rsid w:val="00295A1B"/>
    <w:rsid w:val="00296462"/>
    <w:rsid w:val="00296646"/>
    <w:rsid w:val="00296C64"/>
    <w:rsid w:val="00296D9B"/>
    <w:rsid w:val="00296E4D"/>
    <w:rsid w:val="002971AD"/>
    <w:rsid w:val="00297481"/>
    <w:rsid w:val="00297A98"/>
    <w:rsid w:val="002A102E"/>
    <w:rsid w:val="002A123E"/>
    <w:rsid w:val="002A2943"/>
    <w:rsid w:val="002A2AAC"/>
    <w:rsid w:val="002A2CC0"/>
    <w:rsid w:val="002A3DB3"/>
    <w:rsid w:val="002A4321"/>
    <w:rsid w:val="002A483B"/>
    <w:rsid w:val="002A4EE1"/>
    <w:rsid w:val="002A4FCB"/>
    <w:rsid w:val="002A52FB"/>
    <w:rsid w:val="002A6888"/>
    <w:rsid w:val="002A7F0C"/>
    <w:rsid w:val="002A7F7D"/>
    <w:rsid w:val="002A91BB"/>
    <w:rsid w:val="002B0E78"/>
    <w:rsid w:val="002B103E"/>
    <w:rsid w:val="002B2CB6"/>
    <w:rsid w:val="002B3BF5"/>
    <w:rsid w:val="002B4A65"/>
    <w:rsid w:val="002B53CF"/>
    <w:rsid w:val="002B56CE"/>
    <w:rsid w:val="002B5F08"/>
    <w:rsid w:val="002B6BE4"/>
    <w:rsid w:val="002C008E"/>
    <w:rsid w:val="002C0577"/>
    <w:rsid w:val="002C142D"/>
    <w:rsid w:val="002C17B3"/>
    <w:rsid w:val="002C272D"/>
    <w:rsid w:val="002C2FAF"/>
    <w:rsid w:val="002C30DA"/>
    <w:rsid w:val="002C338C"/>
    <w:rsid w:val="002C37E3"/>
    <w:rsid w:val="002C3B55"/>
    <w:rsid w:val="002C42B7"/>
    <w:rsid w:val="002C6186"/>
    <w:rsid w:val="002C68B2"/>
    <w:rsid w:val="002C6909"/>
    <w:rsid w:val="002C79A5"/>
    <w:rsid w:val="002D1082"/>
    <w:rsid w:val="002D152A"/>
    <w:rsid w:val="002D19FF"/>
    <w:rsid w:val="002D2FC3"/>
    <w:rsid w:val="002D411C"/>
    <w:rsid w:val="002D44B7"/>
    <w:rsid w:val="002D4951"/>
    <w:rsid w:val="002D4B75"/>
    <w:rsid w:val="002D4DA7"/>
    <w:rsid w:val="002D5D59"/>
    <w:rsid w:val="002D68E7"/>
    <w:rsid w:val="002D6AD6"/>
    <w:rsid w:val="002D7364"/>
    <w:rsid w:val="002E1D38"/>
    <w:rsid w:val="002E2B63"/>
    <w:rsid w:val="002E2C5B"/>
    <w:rsid w:val="002E390E"/>
    <w:rsid w:val="002E5965"/>
    <w:rsid w:val="002E605C"/>
    <w:rsid w:val="002E61C7"/>
    <w:rsid w:val="002E695B"/>
    <w:rsid w:val="002E69B0"/>
    <w:rsid w:val="002E6BB5"/>
    <w:rsid w:val="002E7468"/>
    <w:rsid w:val="002E7923"/>
    <w:rsid w:val="002F0AFB"/>
    <w:rsid w:val="002F104F"/>
    <w:rsid w:val="002F161B"/>
    <w:rsid w:val="002F2A5D"/>
    <w:rsid w:val="002F2D00"/>
    <w:rsid w:val="002F3AEC"/>
    <w:rsid w:val="002F3E03"/>
    <w:rsid w:val="002F3E40"/>
    <w:rsid w:val="002F4317"/>
    <w:rsid w:val="002F4DBB"/>
    <w:rsid w:val="002F5CB1"/>
    <w:rsid w:val="002F6A52"/>
    <w:rsid w:val="00300B04"/>
    <w:rsid w:val="00301008"/>
    <w:rsid w:val="00301FC7"/>
    <w:rsid w:val="003029AC"/>
    <w:rsid w:val="003034A0"/>
    <w:rsid w:val="0030394D"/>
    <w:rsid w:val="00303A5B"/>
    <w:rsid w:val="00303D88"/>
    <w:rsid w:val="003042B1"/>
    <w:rsid w:val="003042EF"/>
    <w:rsid w:val="00304D39"/>
    <w:rsid w:val="003055DA"/>
    <w:rsid w:val="00310197"/>
    <w:rsid w:val="00310AF2"/>
    <w:rsid w:val="0031179C"/>
    <w:rsid w:val="00311B4B"/>
    <w:rsid w:val="00313DE8"/>
    <w:rsid w:val="00314C63"/>
    <w:rsid w:val="0031522B"/>
    <w:rsid w:val="00317F54"/>
    <w:rsid w:val="0032021B"/>
    <w:rsid w:val="00320B3A"/>
    <w:rsid w:val="00320F9E"/>
    <w:rsid w:val="00321138"/>
    <w:rsid w:val="0032151C"/>
    <w:rsid w:val="00321B59"/>
    <w:rsid w:val="00321DE7"/>
    <w:rsid w:val="00322ED6"/>
    <w:rsid w:val="00323A11"/>
    <w:rsid w:val="003243C1"/>
    <w:rsid w:val="00324543"/>
    <w:rsid w:val="003249E7"/>
    <w:rsid w:val="00324E56"/>
    <w:rsid w:val="00324EF8"/>
    <w:rsid w:val="00324FBF"/>
    <w:rsid w:val="00325497"/>
    <w:rsid w:val="003261DD"/>
    <w:rsid w:val="00326231"/>
    <w:rsid w:val="00326470"/>
    <w:rsid w:val="0032775E"/>
    <w:rsid w:val="00330858"/>
    <w:rsid w:val="003317E0"/>
    <w:rsid w:val="00331EFB"/>
    <w:rsid w:val="00331F24"/>
    <w:rsid w:val="00332A70"/>
    <w:rsid w:val="00334170"/>
    <w:rsid w:val="00334392"/>
    <w:rsid w:val="003370D4"/>
    <w:rsid w:val="0033772D"/>
    <w:rsid w:val="00337F33"/>
    <w:rsid w:val="00341052"/>
    <w:rsid w:val="003424FC"/>
    <w:rsid w:val="00342727"/>
    <w:rsid w:val="00342BD7"/>
    <w:rsid w:val="00343DF2"/>
    <w:rsid w:val="00343ECA"/>
    <w:rsid w:val="00344B05"/>
    <w:rsid w:val="00345D9F"/>
    <w:rsid w:val="003462DC"/>
    <w:rsid w:val="0034672B"/>
    <w:rsid w:val="0034704A"/>
    <w:rsid w:val="00347D75"/>
    <w:rsid w:val="00347F10"/>
    <w:rsid w:val="003500F8"/>
    <w:rsid w:val="003507D0"/>
    <w:rsid w:val="00351CD6"/>
    <w:rsid w:val="00353FEB"/>
    <w:rsid w:val="00355451"/>
    <w:rsid w:val="00356BC0"/>
    <w:rsid w:val="00356BE7"/>
    <w:rsid w:val="00357222"/>
    <w:rsid w:val="00357CA9"/>
    <w:rsid w:val="00360157"/>
    <w:rsid w:val="0036068A"/>
    <w:rsid w:val="00360BD2"/>
    <w:rsid w:val="003616FB"/>
    <w:rsid w:val="003649D4"/>
    <w:rsid w:val="00364AC4"/>
    <w:rsid w:val="003657B5"/>
    <w:rsid w:val="00365A75"/>
    <w:rsid w:val="00366486"/>
    <w:rsid w:val="0036769A"/>
    <w:rsid w:val="003676BC"/>
    <w:rsid w:val="00371148"/>
    <w:rsid w:val="00372017"/>
    <w:rsid w:val="003722D9"/>
    <w:rsid w:val="003738C9"/>
    <w:rsid w:val="00373D81"/>
    <w:rsid w:val="00373E99"/>
    <w:rsid w:val="00375896"/>
    <w:rsid w:val="00375C95"/>
    <w:rsid w:val="0037690D"/>
    <w:rsid w:val="003775EF"/>
    <w:rsid w:val="00380093"/>
    <w:rsid w:val="00380388"/>
    <w:rsid w:val="00380D64"/>
    <w:rsid w:val="00380DAD"/>
    <w:rsid w:val="00382637"/>
    <w:rsid w:val="00382B8D"/>
    <w:rsid w:val="00383275"/>
    <w:rsid w:val="003832F2"/>
    <w:rsid w:val="0038361F"/>
    <w:rsid w:val="00384AFF"/>
    <w:rsid w:val="00385403"/>
    <w:rsid w:val="0038645B"/>
    <w:rsid w:val="00387FA9"/>
    <w:rsid w:val="00387FAA"/>
    <w:rsid w:val="0039005C"/>
    <w:rsid w:val="0039095D"/>
    <w:rsid w:val="00391C23"/>
    <w:rsid w:val="003922D1"/>
    <w:rsid w:val="00393870"/>
    <w:rsid w:val="00394276"/>
    <w:rsid w:val="00394BAD"/>
    <w:rsid w:val="00396068"/>
    <w:rsid w:val="00396539"/>
    <w:rsid w:val="00397835"/>
    <w:rsid w:val="0039DD3F"/>
    <w:rsid w:val="003A16AC"/>
    <w:rsid w:val="003A260B"/>
    <w:rsid w:val="003A28D1"/>
    <w:rsid w:val="003A2A73"/>
    <w:rsid w:val="003A3360"/>
    <w:rsid w:val="003A37A7"/>
    <w:rsid w:val="003A37DE"/>
    <w:rsid w:val="003A440D"/>
    <w:rsid w:val="003A4CDF"/>
    <w:rsid w:val="003A4DC7"/>
    <w:rsid w:val="003A5BBD"/>
    <w:rsid w:val="003A5CFC"/>
    <w:rsid w:val="003A74CB"/>
    <w:rsid w:val="003A7C61"/>
    <w:rsid w:val="003A7F22"/>
    <w:rsid w:val="003B003B"/>
    <w:rsid w:val="003B07D2"/>
    <w:rsid w:val="003B16AF"/>
    <w:rsid w:val="003B2BAC"/>
    <w:rsid w:val="003B2DA2"/>
    <w:rsid w:val="003B2F77"/>
    <w:rsid w:val="003B4AA1"/>
    <w:rsid w:val="003B5211"/>
    <w:rsid w:val="003B60A7"/>
    <w:rsid w:val="003B6429"/>
    <w:rsid w:val="003B6A7F"/>
    <w:rsid w:val="003B6FF1"/>
    <w:rsid w:val="003B70D0"/>
    <w:rsid w:val="003B78F6"/>
    <w:rsid w:val="003B79E4"/>
    <w:rsid w:val="003B7EA6"/>
    <w:rsid w:val="003C04CB"/>
    <w:rsid w:val="003C1432"/>
    <w:rsid w:val="003C2ADB"/>
    <w:rsid w:val="003C2E66"/>
    <w:rsid w:val="003C2EF6"/>
    <w:rsid w:val="003C3765"/>
    <w:rsid w:val="003C4309"/>
    <w:rsid w:val="003C43FC"/>
    <w:rsid w:val="003C4AFF"/>
    <w:rsid w:val="003C5D20"/>
    <w:rsid w:val="003C6985"/>
    <w:rsid w:val="003C6C3B"/>
    <w:rsid w:val="003C6E6B"/>
    <w:rsid w:val="003C7EEE"/>
    <w:rsid w:val="003D0ACC"/>
    <w:rsid w:val="003D1E07"/>
    <w:rsid w:val="003D2224"/>
    <w:rsid w:val="003D2D03"/>
    <w:rsid w:val="003D3FDF"/>
    <w:rsid w:val="003D49EC"/>
    <w:rsid w:val="003D6595"/>
    <w:rsid w:val="003D6DC1"/>
    <w:rsid w:val="003D732D"/>
    <w:rsid w:val="003D75D9"/>
    <w:rsid w:val="003E03C8"/>
    <w:rsid w:val="003E055B"/>
    <w:rsid w:val="003E1437"/>
    <w:rsid w:val="003E1D37"/>
    <w:rsid w:val="003E248E"/>
    <w:rsid w:val="003E27E0"/>
    <w:rsid w:val="003E2C6F"/>
    <w:rsid w:val="003E3573"/>
    <w:rsid w:val="003E390A"/>
    <w:rsid w:val="003E3B78"/>
    <w:rsid w:val="003E3D4E"/>
    <w:rsid w:val="003E47D3"/>
    <w:rsid w:val="003E523D"/>
    <w:rsid w:val="003E581E"/>
    <w:rsid w:val="003E5ED6"/>
    <w:rsid w:val="003E6475"/>
    <w:rsid w:val="003F0A39"/>
    <w:rsid w:val="003F1D75"/>
    <w:rsid w:val="003F249F"/>
    <w:rsid w:val="003F24C6"/>
    <w:rsid w:val="003F4A3D"/>
    <w:rsid w:val="003F4A5D"/>
    <w:rsid w:val="003F5964"/>
    <w:rsid w:val="003F5FB4"/>
    <w:rsid w:val="003F608B"/>
    <w:rsid w:val="003F772D"/>
    <w:rsid w:val="003F7F6E"/>
    <w:rsid w:val="00401555"/>
    <w:rsid w:val="004026D9"/>
    <w:rsid w:val="00402CCA"/>
    <w:rsid w:val="00403239"/>
    <w:rsid w:val="00403950"/>
    <w:rsid w:val="00403EF8"/>
    <w:rsid w:val="00404016"/>
    <w:rsid w:val="00404498"/>
    <w:rsid w:val="00404E66"/>
    <w:rsid w:val="0040537B"/>
    <w:rsid w:val="0040574B"/>
    <w:rsid w:val="0040576D"/>
    <w:rsid w:val="004058E9"/>
    <w:rsid w:val="00405CAB"/>
    <w:rsid w:val="00406ABD"/>
    <w:rsid w:val="00406B60"/>
    <w:rsid w:val="00406B65"/>
    <w:rsid w:val="0040768D"/>
    <w:rsid w:val="00407D19"/>
    <w:rsid w:val="0041068F"/>
    <w:rsid w:val="00411CAB"/>
    <w:rsid w:val="00412E58"/>
    <w:rsid w:val="00413365"/>
    <w:rsid w:val="00413F86"/>
    <w:rsid w:val="004145B6"/>
    <w:rsid w:val="0041493D"/>
    <w:rsid w:val="004149C9"/>
    <w:rsid w:val="00414CA4"/>
    <w:rsid w:val="00414FA4"/>
    <w:rsid w:val="00415449"/>
    <w:rsid w:val="004169EB"/>
    <w:rsid w:val="004178E5"/>
    <w:rsid w:val="00417EC3"/>
    <w:rsid w:val="00420BF4"/>
    <w:rsid w:val="004211D3"/>
    <w:rsid w:val="0042139C"/>
    <w:rsid w:val="00421F6F"/>
    <w:rsid w:val="00423108"/>
    <w:rsid w:val="004234C4"/>
    <w:rsid w:val="004237F4"/>
    <w:rsid w:val="00424AE3"/>
    <w:rsid w:val="00424BF8"/>
    <w:rsid w:val="00425018"/>
    <w:rsid w:val="00425829"/>
    <w:rsid w:val="00425850"/>
    <w:rsid w:val="00425A66"/>
    <w:rsid w:val="00425D39"/>
    <w:rsid w:val="004263A4"/>
    <w:rsid w:val="004271B7"/>
    <w:rsid w:val="00430F3D"/>
    <w:rsid w:val="00430F4A"/>
    <w:rsid w:val="004310FA"/>
    <w:rsid w:val="004322F9"/>
    <w:rsid w:val="004328B0"/>
    <w:rsid w:val="00433981"/>
    <w:rsid w:val="004342E9"/>
    <w:rsid w:val="004342EF"/>
    <w:rsid w:val="00434696"/>
    <w:rsid w:val="004347E9"/>
    <w:rsid w:val="00434C70"/>
    <w:rsid w:val="00434DD2"/>
    <w:rsid w:val="00435A7E"/>
    <w:rsid w:val="00435B51"/>
    <w:rsid w:val="00436077"/>
    <w:rsid w:val="004367FE"/>
    <w:rsid w:val="00436A43"/>
    <w:rsid w:val="00437D30"/>
    <w:rsid w:val="00437EDC"/>
    <w:rsid w:val="004414D8"/>
    <w:rsid w:val="00441819"/>
    <w:rsid w:val="004419B5"/>
    <w:rsid w:val="00441A0B"/>
    <w:rsid w:val="004445B0"/>
    <w:rsid w:val="00444C50"/>
    <w:rsid w:val="00444D4D"/>
    <w:rsid w:val="004458EE"/>
    <w:rsid w:val="004459BA"/>
    <w:rsid w:val="00446986"/>
    <w:rsid w:val="00446D44"/>
    <w:rsid w:val="0044799E"/>
    <w:rsid w:val="00447CBC"/>
    <w:rsid w:val="00447DA9"/>
    <w:rsid w:val="00451FEC"/>
    <w:rsid w:val="00452015"/>
    <w:rsid w:val="00452E06"/>
    <w:rsid w:val="004531E6"/>
    <w:rsid w:val="004532C4"/>
    <w:rsid w:val="00453F77"/>
    <w:rsid w:val="00454328"/>
    <w:rsid w:val="004559BE"/>
    <w:rsid w:val="00455E32"/>
    <w:rsid w:val="004560D9"/>
    <w:rsid w:val="0045772B"/>
    <w:rsid w:val="00457761"/>
    <w:rsid w:val="004607B7"/>
    <w:rsid w:val="004613D5"/>
    <w:rsid w:val="00461B4E"/>
    <w:rsid w:val="0046373E"/>
    <w:rsid w:val="004642A9"/>
    <w:rsid w:val="004657C7"/>
    <w:rsid w:val="00465B9E"/>
    <w:rsid w:val="00466FAE"/>
    <w:rsid w:val="00467308"/>
    <w:rsid w:val="0046773A"/>
    <w:rsid w:val="00473033"/>
    <w:rsid w:val="004736E5"/>
    <w:rsid w:val="00473979"/>
    <w:rsid w:val="00473AAB"/>
    <w:rsid w:val="00474F10"/>
    <w:rsid w:val="004755E1"/>
    <w:rsid w:val="00475FC1"/>
    <w:rsid w:val="00481BB8"/>
    <w:rsid w:val="00482ED7"/>
    <w:rsid w:val="0048308E"/>
    <w:rsid w:val="00483B14"/>
    <w:rsid w:val="00483F18"/>
    <w:rsid w:val="00484098"/>
    <w:rsid w:val="00485117"/>
    <w:rsid w:val="004869DD"/>
    <w:rsid w:val="00487C80"/>
    <w:rsid w:val="0049057E"/>
    <w:rsid w:val="0049074A"/>
    <w:rsid w:val="00490EB5"/>
    <w:rsid w:val="00490FBB"/>
    <w:rsid w:val="0049184D"/>
    <w:rsid w:val="00491FEF"/>
    <w:rsid w:val="0049238E"/>
    <w:rsid w:val="004939C6"/>
    <w:rsid w:val="00493EC1"/>
    <w:rsid w:val="00493F8D"/>
    <w:rsid w:val="00494F5F"/>
    <w:rsid w:val="0049682C"/>
    <w:rsid w:val="00496B83"/>
    <w:rsid w:val="004975D5"/>
    <w:rsid w:val="004A0987"/>
    <w:rsid w:val="004A10F0"/>
    <w:rsid w:val="004A116C"/>
    <w:rsid w:val="004A12D7"/>
    <w:rsid w:val="004A2AF2"/>
    <w:rsid w:val="004A3340"/>
    <w:rsid w:val="004A3677"/>
    <w:rsid w:val="004A3718"/>
    <w:rsid w:val="004A4999"/>
    <w:rsid w:val="004A5D19"/>
    <w:rsid w:val="004A675C"/>
    <w:rsid w:val="004A681D"/>
    <w:rsid w:val="004A7B6B"/>
    <w:rsid w:val="004B1BC6"/>
    <w:rsid w:val="004B214C"/>
    <w:rsid w:val="004B2FA7"/>
    <w:rsid w:val="004B5B64"/>
    <w:rsid w:val="004B658C"/>
    <w:rsid w:val="004C1118"/>
    <w:rsid w:val="004C15F7"/>
    <w:rsid w:val="004C1708"/>
    <w:rsid w:val="004C1D22"/>
    <w:rsid w:val="004C204E"/>
    <w:rsid w:val="004C23DC"/>
    <w:rsid w:val="004C2684"/>
    <w:rsid w:val="004C2C5E"/>
    <w:rsid w:val="004C3529"/>
    <w:rsid w:val="004C3546"/>
    <w:rsid w:val="004C3D40"/>
    <w:rsid w:val="004C4261"/>
    <w:rsid w:val="004C57D6"/>
    <w:rsid w:val="004C5DD3"/>
    <w:rsid w:val="004C7458"/>
    <w:rsid w:val="004C7591"/>
    <w:rsid w:val="004C7873"/>
    <w:rsid w:val="004C7A28"/>
    <w:rsid w:val="004D0403"/>
    <w:rsid w:val="004D0416"/>
    <w:rsid w:val="004D064B"/>
    <w:rsid w:val="004D071A"/>
    <w:rsid w:val="004D08DC"/>
    <w:rsid w:val="004D0F0C"/>
    <w:rsid w:val="004D0F6B"/>
    <w:rsid w:val="004D1017"/>
    <w:rsid w:val="004D155D"/>
    <w:rsid w:val="004D1692"/>
    <w:rsid w:val="004D24EA"/>
    <w:rsid w:val="004D2B16"/>
    <w:rsid w:val="004D3427"/>
    <w:rsid w:val="004D3612"/>
    <w:rsid w:val="004D5077"/>
    <w:rsid w:val="004D60E8"/>
    <w:rsid w:val="004D6839"/>
    <w:rsid w:val="004D6EA4"/>
    <w:rsid w:val="004D75E9"/>
    <w:rsid w:val="004E002E"/>
    <w:rsid w:val="004E028B"/>
    <w:rsid w:val="004E04AE"/>
    <w:rsid w:val="004E05C5"/>
    <w:rsid w:val="004E0E7F"/>
    <w:rsid w:val="004E2673"/>
    <w:rsid w:val="004E2C4D"/>
    <w:rsid w:val="004E32E0"/>
    <w:rsid w:val="004E346A"/>
    <w:rsid w:val="004E3ABF"/>
    <w:rsid w:val="004E45EC"/>
    <w:rsid w:val="004E485B"/>
    <w:rsid w:val="004E512C"/>
    <w:rsid w:val="004E5F92"/>
    <w:rsid w:val="004E6298"/>
    <w:rsid w:val="004E6549"/>
    <w:rsid w:val="004E689C"/>
    <w:rsid w:val="004E7A63"/>
    <w:rsid w:val="004F0404"/>
    <w:rsid w:val="004F06C5"/>
    <w:rsid w:val="004F07A0"/>
    <w:rsid w:val="004F1210"/>
    <w:rsid w:val="004F15CB"/>
    <w:rsid w:val="004F204B"/>
    <w:rsid w:val="004F2854"/>
    <w:rsid w:val="004F2F28"/>
    <w:rsid w:val="004F31D8"/>
    <w:rsid w:val="004F4B8C"/>
    <w:rsid w:val="004F4CA1"/>
    <w:rsid w:val="004F6029"/>
    <w:rsid w:val="004F7863"/>
    <w:rsid w:val="00500498"/>
    <w:rsid w:val="00500BA1"/>
    <w:rsid w:val="005019A2"/>
    <w:rsid w:val="005067EB"/>
    <w:rsid w:val="00506A1E"/>
    <w:rsid w:val="00510068"/>
    <w:rsid w:val="005101C0"/>
    <w:rsid w:val="00510200"/>
    <w:rsid w:val="0051058E"/>
    <w:rsid w:val="005106EF"/>
    <w:rsid w:val="00510EA5"/>
    <w:rsid w:val="00511386"/>
    <w:rsid w:val="00511867"/>
    <w:rsid w:val="00512019"/>
    <w:rsid w:val="005128E6"/>
    <w:rsid w:val="00512BBB"/>
    <w:rsid w:val="0051312C"/>
    <w:rsid w:val="00513510"/>
    <w:rsid w:val="00513A4C"/>
    <w:rsid w:val="0051452A"/>
    <w:rsid w:val="0051469E"/>
    <w:rsid w:val="005149A5"/>
    <w:rsid w:val="00515735"/>
    <w:rsid w:val="00515BE2"/>
    <w:rsid w:val="00515E52"/>
    <w:rsid w:val="005160CA"/>
    <w:rsid w:val="00517181"/>
    <w:rsid w:val="005177C0"/>
    <w:rsid w:val="005178E9"/>
    <w:rsid w:val="00520DDD"/>
    <w:rsid w:val="00521521"/>
    <w:rsid w:val="005217D6"/>
    <w:rsid w:val="00522C66"/>
    <w:rsid w:val="00522FE0"/>
    <w:rsid w:val="00523C06"/>
    <w:rsid w:val="005250BD"/>
    <w:rsid w:val="00525D14"/>
    <w:rsid w:val="00527052"/>
    <w:rsid w:val="005277A2"/>
    <w:rsid w:val="00527BBF"/>
    <w:rsid w:val="00527C0F"/>
    <w:rsid w:val="005302EA"/>
    <w:rsid w:val="00533147"/>
    <w:rsid w:val="0053476F"/>
    <w:rsid w:val="00535102"/>
    <w:rsid w:val="00535C0D"/>
    <w:rsid w:val="00536D2E"/>
    <w:rsid w:val="00537307"/>
    <w:rsid w:val="00537ABF"/>
    <w:rsid w:val="00537B1C"/>
    <w:rsid w:val="0054081A"/>
    <w:rsid w:val="0054269F"/>
    <w:rsid w:val="005427AE"/>
    <w:rsid w:val="005429B4"/>
    <w:rsid w:val="00542CC8"/>
    <w:rsid w:val="005437C0"/>
    <w:rsid w:val="00543FF9"/>
    <w:rsid w:val="00545C91"/>
    <w:rsid w:val="00545CB3"/>
    <w:rsid w:val="00546545"/>
    <w:rsid w:val="00551989"/>
    <w:rsid w:val="00551C18"/>
    <w:rsid w:val="00551F59"/>
    <w:rsid w:val="00552746"/>
    <w:rsid w:val="00552BCE"/>
    <w:rsid w:val="00552DE6"/>
    <w:rsid w:val="00553AAF"/>
    <w:rsid w:val="0055464E"/>
    <w:rsid w:val="00555011"/>
    <w:rsid w:val="00555046"/>
    <w:rsid w:val="005556DF"/>
    <w:rsid w:val="0055668E"/>
    <w:rsid w:val="0055688E"/>
    <w:rsid w:val="0055699B"/>
    <w:rsid w:val="00557829"/>
    <w:rsid w:val="00557877"/>
    <w:rsid w:val="00557CD1"/>
    <w:rsid w:val="00557DD7"/>
    <w:rsid w:val="00560F4A"/>
    <w:rsid w:val="00563A7B"/>
    <w:rsid w:val="00564887"/>
    <w:rsid w:val="00564A80"/>
    <w:rsid w:val="00564DCE"/>
    <w:rsid w:val="0056516E"/>
    <w:rsid w:val="00565A8C"/>
    <w:rsid w:val="00566FAC"/>
    <w:rsid w:val="00566FBA"/>
    <w:rsid w:val="00567568"/>
    <w:rsid w:val="00567E91"/>
    <w:rsid w:val="00567FC9"/>
    <w:rsid w:val="00570A5F"/>
    <w:rsid w:val="005711CA"/>
    <w:rsid w:val="00571485"/>
    <w:rsid w:val="00571CF9"/>
    <w:rsid w:val="0057246E"/>
    <w:rsid w:val="00572583"/>
    <w:rsid w:val="005727AD"/>
    <w:rsid w:val="00572D36"/>
    <w:rsid w:val="00572EA0"/>
    <w:rsid w:val="00573868"/>
    <w:rsid w:val="00574E39"/>
    <w:rsid w:val="00574EAB"/>
    <w:rsid w:val="005753AA"/>
    <w:rsid w:val="005754F3"/>
    <w:rsid w:val="005755CA"/>
    <w:rsid w:val="00575747"/>
    <w:rsid w:val="005759DD"/>
    <w:rsid w:val="00575B70"/>
    <w:rsid w:val="00576E6A"/>
    <w:rsid w:val="005771DC"/>
    <w:rsid w:val="00577245"/>
    <w:rsid w:val="0057756B"/>
    <w:rsid w:val="00577EF8"/>
    <w:rsid w:val="0058019E"/>
    <w:rsid w:val="00580D9A"/>
    <w:rsid w:val="00582245"/>
    <w:rsid w:val="005826B8"/>
    <w:rsid w:val="00584031"/>
    <w:rsid w:val="0058463E"/>
    <w:rsid w:val="00584D28"/>
    <w:rsid w:val="00585731"/>
    <w:rsid w:val="00586D50"/>
    <w:rsid w:val="005871DC"/>
    <w:rsid w:val="005878F7"/>
    <w:rsid w:val="00590266"/>
    <w:rsid w:val="00590349"/>
    <w:rsid w:val="00591AFF"/>
    <w:rsid w:val="00591C45"/>
    <w:rsid w:val="00592151"/>
    <w:rsid w:val="00592719"/>
    <w:rsid w:val="00593F0D"/>
    <w:rsid w:val="00594855"/>
    <w:rsid w:val="00595717"/>
    <w:rsid w:val="00596097"/>
    <w:rsid w:val="00596933"/>
    <w:rsid w:val="00597787"/>
    <w:rsid w:val="00597B5F"/>
    <w:rsid w:val="00597FA2"/>
    <w:rsid w:val="005A0233"/>
    <w:rsid w:val="005A0B6B"/>
    <w:rsid w:val="005A117A"/>
    <w:rsid w:val="005A12EA"/>
    <w:rsid w:val="005A1787"/>
    <w:rsid w:val="005A1D92"/>
    <w:rsid w:val="005A2469"/>
    <w:rsid w:val="005A2FA8"/>
    <w:rsid w:val="005A44F4"/>
    <w:rsid w:val="005A536B"/>
    <w:rsid w:val="005A6731"/>
    <w:rsid w:val="005A6A5A"/>
    <w:rsid w:val="005A6D38"/>
    <w:rsid w:val="005A76B3"/>
    <w:rsid w:val="005A7725"/>
    <w:rsid w:val="005A7D19"/>
    <w:rsid w:val="005B0B4C"/>
    <w:rsid w:val="005B0DB1"/>
    <w:rsid w:val="005B1F28"/>
    <w:rsid w:val="005B2D39"/>
    <w:rsid w:val="005B31CD"/>
    <w:rsid w:val="005B4694"/>
    <w:rsid w:val="005B52A3"/>
    <w:rsid w:val="005B536A"/>
    <w:rsid w:val="005B5714"/>
    <w:rsid w:val="005B5941"/>
    <w:rsid w:val="005B61BE"/>
    <w:rsid w:val="005B621F"/>
    <w:rsid w:val="005B7275"/>
    <w:rsid w:val="005C08AB"/>
    <w:rsid w:val="005C09AE"/>
    <w:rsid w:val="005C1848"/>
    <w:rsid w:val="005C1E1F"/>
    <w:rsid w:val="005C28ED"/>
    <w:rsid w:val="005C4A5D"/>
    <w:rsid w:val="005C4EA4"/>
    <w:rsid w:val="005C701C"/>
    <w:rsid w:val="005C77B5"/>
    <w:rsid w:val="005C7D3E"/>
    <w:rsid w:val="005D113D"/>
    <w:rsid w:val="005D1515"/>
    <w:rsid w:val="005D1792"/>
    <w:rsid w:val="005D18CA"/>
    <w:rsid w:val="005D1AE9"/>
    <w:rsid w:val="005D2672"/>
    <w:rsid w:val="005D2A36"/>
    <w:rsid w:val="005D2B5A"/>
    <w:rsid w:val="005D2C97"/>
    <w:rsid w:val="005D3563"/>
    <w:rsid w:val="005D3745"/>
    <w:rsid w:val="005D3CD3"/>
    <w:rsid w:val="005D3DE4"/>
    <w:rsid w:val="005D3DFC"/>
    <w:rsid w:val="005D45DA"/>
    <w:rsid w:val="005D4B6B"/>
    <w:rsid w:val="005D67C3"/>
    <w:rsid w:val="005D6887"/>
    <w:rsid w:val="005D6B4F"/>
    <w:rsid w:val="005E0739"/>
    <w:rsid w:val="005E0AE1"/>
    <w:rsid w:val="005E11DE"/>
    <w:rsid w:val="005E1AC4"/>
    <w:rsid w:val="005E1DFB"/>
    <w:rsid w:val="005E3118"/>
    <w:rsid w:val="005E3B1C"/>
    <w:rsid w:val="005E41CF"/>
    <w:rsid w:val="005E4704"/>
    <w:rsid w:val="005E4CEB"/>
    <w:rsid w:val="005E54EF"/>
    <w:rsid w:val="005E7988"/>
    <w:rsid w:val="005E7FDF"/>
    <w:rsid w:val="005F0789"/>
    <w:rsid w:val="005F0AEB"/>
    <w:rsid w:val="005F168F"/>
    <w:rsid w:val="005F2075"/>
    <w:rsid w:val="005F243F"/>
    <w:rsid w:val="005F2A02"/>
    <w:rsid w:val="005F5AD6"/>
    <w:rsid w:val="00600364"/>
    <w:rsid w:val="006006D2"/>
    <w:rsid w:val="0060154B"/>
    <w:rsid w:val="00604195"/>
    <w:rsid w:val="00604BDF"/>
    <w:rsid w:val="00605759"/>
    <w:rsid w:val="00605DA9"/>
    <w:rsid w:val="006066CF"/>
    <w:rsid w:val="00606739"/>
    <w:rsid w:val="006070C8"/>
    <w:rsid w:val="006101C7"/>
    <w:rsid w:val="006105CF"/>
    <w:rsid w:val="00610D5C"/>
    <w:rsid w:val="0061246E"/>
    <w:rsid w:val="00612802"/>
    <w:rsid w:val="00612FB5"/>
    <w:rsid w:val="00614024"/>
    <w:rsid w:val="0061567E"/>
    <w:rsid w:val="006165DF"/>
    <w:rsid w:val="00616897"/>
    <w:rsid w:val="0061700C"/>
    <w:rsid w:val="00617612"/>
    <w:rsid w:val="006203C3"/>
    <w:rsid w:val="00620C86"/>
    <w:rsid w:val="00621FE3"/>
    <w:rsid w:val="006226A1"/>
    <w:rsid w:val="00622971"/>
    <w:rsid w:val="006230D3"/>
    <w:rsid w:val="00625BB5"/>
    <w:rsid w:val="0062620F"/>
    <w:rsid w:val="00626787"/>
    <w:rsid w:val="00626BED"/>
    <w:rsid w:val="00627F56"/>
    <w:rsid w:val="00627F67"/>
    <w:rsid w:val="0063046D"/>
    <w:rsid w:val="006308DB"/>
    <w:rsid w:val="00630B5F"/>
    <w:rsid w:val="006314E7"/>
    <w:rsid w:val="006316BF"/>
    <w:rsid w:val="00632675"/>
    <w:rsid w:val="00632795"/>
    <w:rsid w:val="00632B14"/>
    <w:rsid w:val="00632B45"/>
    <w:rsid w:val="0063306B"/>
    <w:rsid w:val="006331B2"/>
    <w:rsid w:val="00633452"/>
    <w:rsid w:val="00633ACB"/>
    <w:rsid w:val="006342AF"/>
    <w:rsid w:val="00636ADE"/>
    <w:rsid w:val="006404AC"/>
    <w:rsid w:val="00640695"/>
    <w:rsid w:val="00640C3C"/>
    <w:rsid w:val="006416C8"/>
    <w:rsid w:val="006428B8"/>
    <w:rsid w:val="00642A24"/>
    <w:rsid w:val="006432B7"/>
    <w:rsid w:val="00643535"/>
    <w:rsid w:val="00643943"/>
    <w:rsid w:val="00647631"/>
    <w:rsid w:val="006478E7"/>
    <w:rsid w:val="00647EA5"/>
    <w:rsid w:val="00647F71"/>
    <w:rsid w:val="006503FF"/>
    <w:rsid w:val="00650637"/>
    <w:rsid w:val="00650889"/>
    <w:rsid w:val="0065205D"/>
    <w:rsid w:val="006525BE"/>
    <w:rsid w:val="006531E4"/>
    <w:rsid w:val="00653E1D"/>
    <w:rsid w:val="006545B8"/>
    <w:rsid w:val="00654B45"/>
    <w:rsid w:val="00654C15"/>
    <w:rsid w:val="00655134"/>
    <w:rsid w:val="006556A6"/>
    <w:rsid w:val="00655F13"/>
    <w:rsid w:val="0065730E"/>
    <w:rsid w:val="006574F7"/>
    <w:rsid w:val="00657774"/>
    <w:rsid w:val="006600DA"/>
    <w:rsid w:val="0066078A"/>
    <w:rsid w:val="006616A2"/>
    <w:rsid w:val="00662005"/>
    <w:rsid w:val="00662276"/>
    <w:rsid w:val="006629E6"/>
    <w:rsid w:val="00662A43"/>
    <w:rsid w:val="00662C44"/>
    <w:rsid w:val="00663750"/>
    <w:rsid w:val="00664707"/>
    <w:rsid w:val="006648BB"/>
    <w:rsid w:val="00664A29"/>
    <w:rsid w:val="0066526D"/>
    <w:rsid w:val="006655C4"/>
    <w:rsid w:val="00666836"/>
    <w:rsid w:val="00666DA8"/>
    <w:rsid w:val="006675C8"/>
    <w:rsid w:val="00667BFA"/>
    <w:rsid w:val="00667D38"/>
    <w:rsid w:val="0066A34B"/>
    <w:rsid w:val="00670304"/>
    <w:rsid w:val="006706E2"/>
    <w:rsid w:val="006706F4"/>
    <w:rsid w:val="006707BF"/>
    <w:rsid w:val="0067109E"/>
    <w:rsid w:val="006710B8"/>
    <w:rsid w:val="006710D1"/>
    <w:rsid w:val="00671B81"/>
    <w:rsid w:val="00671F42"/>
    <w:rsid w:val="006724DF"/>
    <w:rsid w:val="00674772"/>
    <w:rsid w:val="00675C73"/>
    <w:rsid w:val="006765DF"/>
    <w:rsid w:val="006774D2"/>
    <w:rsid w:val="0067763E"/>
    <w:rsid w:val="00677AE3"/>
    <w:rsid w:val="00677B0F"/>
    <w:rsid w:val="00680F35"/>
    <w:rsid w:val="00681553"/>
    <w:rsid w:val="00681818"/>
    <w:rsid w:val="00682210"/>
    <w:rsid w:val="00682538"/>
    <w:rsid w:val="00683080"/>
    <w:rsid w:val="0068415F"/>
    <w:rsid w:val="006841E3"/>
    <w:rsid w:val="006845CA"/>
    <w:rsid w:val="00685355"/>
    <w:rsid w:val="006857A2"/>
    <w:rsid w:val="00686EED"/>
    <w:rsid w:val="00687646"/>
    <w:rsid w:val="0069182E"/>
    <w:rsid w:val="00691F13"/>
    <w:rsid w:val="006955C4"/>
    <w:rsid w:val="00696339"/>
    <w:rsid w:val="00696A4D"/>
    <w:rsid w:val="00697D84"/>
    <w:rsid w:val="006A0A27"/>
    <w:rsid w:val="006A1BE8"/>
    <w:rsid w:val="006A22E0"/>
    <w:rsid w:val="006A360C"/>
    <w:rsid w:val="006A467F"/>
    <w:rsid w:val="006A48B9"/>
    <w:rsid w:val="006A5480"/>
    <w:rsid w:val="006A568E"/>
    <w:rsid w:val="006A6A18"/>
    <w:rsid w:val="006A76AB"/>
    <w:rsid w:val="006A7BEB"/>
    <w:rsid w:val="006AA67F"/>
    <w:rsid w:val="006B160A"/>
    <w:rsid w:val="006B29F7"/>
    <w:rsid w:val="006B2E70"/>
    <w:rsid w:val="006B3672"/>
    <w:rsid w:val="006B3DDA"/>
    <w:rsid w:val="006B45B1"/>
    <w:rsid w:val="006B49C3"/>
    <w:rsid w:val="006B520F"/>
    <w:rsid w:val="006B7267"/>
    <w:rsid w:val="006B757E"/>
    <w:rsid w:val="006B7B4E"/>
    <w:rsid w:val="006B8857"/>
    <w:rsid w:val="006C02A5"/>
    <w:rsid w:val="006C07D1"/>
    <w:rsid w:val="006C115A"/>
    <w:rsid w:val="006C1ABF"/>
    <w:rsid w:val="006C2E4A"/>
    <w:rsid w:val="006C3898"/>
    <w:rsid w:val="006C3FCE"/>
    <w:rsid w:val="006C4328"/>
    <w:rsid w:val="006C619F"/>
    <w:rsid w:val="006C76CD"/>
    <w:rsid w:val="006C786C"/>
    <w:rsid w:val="006D02DF"/>
    <w:rsid w:val="006D0917"/>
    <w:rsid w:val="006D09F5"/>
    <w:rsid w:val="006D0B30"/>
    <w:rsid w:val="006D0EF2"/>
    <w:rsid w:val="006D1722"/>
    <w:rsid w:val="006D1E4E"/>
    <w:rsid w:val="006D368D"/>
    <w:rsid w:val="006D446A"/>
    <w:rsid w:val="006D4DB3"/>
    <w:rsid w:val="006D5750"/>
    <w:rsid w:val="006D6109"/>
    <w:rsid w:val="006D6396"/>
    <w:rsid w:val="006D63BA"/>
    <w:rsid w:val="006D6BF6"/>
    <w:rsid w:val="006D7EFB"/>
    <w:rsid w:val="006E085A"/>
    <w:rsid w:val="006E1389"/>
    <w:rsid w:val="006E2368"/>
    <w:rsid w:val="006E2507"/>
    <w:rsid w:val="006E2556"/>
    <w:rsid w:val="006E29D9"/>
    <w:rsid w:val="006E3F03"/>
    <w:rsid w:val="006E4543"/>
    <w:rsid w:val="006E5A0A"/>
    <w:rsid w:val="006E5BFB"/>
    <w:rsid w:val="006E5CFD"/>
    <w:rsid w:val="006E6EBF"/>
    <w:rsid w:val="006F0193"/>
    <w:rsid w:val="006F01C4"/>
    <w:rsid w:val="006F2706"/>
    <w:rsid w:val="006F2F55"/>
    <w:rsid w:val="006F320F"/>
    <w:rsid w:val="006F3B31"/>
    <w:rsid w:val="006F4208"/>
    <w:rsid w:val="006F4569"/>
    <w:rsid w:val="006F48FB"/>
    <w:rsid w:val="006F59C4"/>
    <w:rsid w:val="006F5ABE"/>
    <w:rsid w:val="007007F7"/>
    <w:rsid w:val="00701785"/>
    <w:rsid w:val="00701853"/>
    <w:rsid w:val="0070197C"/>
    <w:rsid w:val="0070197F"/>
    <w:rsid w:val="00702555"/>
    <w:rsid w:val="00702BFC"/>
    <w:rsid w:val="00704228"/>
    <w:rsid w:val="00704882"/>
    <w:rsid w:val="00704C48"/>
    <w:rsid w:val="00705568"/>
    <w:rsid w:val="00705D0C"/>
    <w:rsid w:val="00706227"/>
    <w:rsid w:val="007062EC"/>
    <w:rsid w:val="00706521"/>
    <w:rsid w:val="007072AE"/>
    <w:rsid w:val="007072E4"/>
    <w:rsid w:val="00711B40"/>
    <w:rsid w:val="0071253C"/>
    <w:rsid w:val="00712649"/>
    <w:rsid w:val="007132F7"/>
    <w:rsid w:val="007135D1"/>
    <w:rsid w:val="00713728"/>
    <w:rsid w:val="00713AC0"/>
    <w:rsid w:val="00713DEB"/>
    <w:rsid w:val="00714298"/>
    <w:rsid w:val="0071429C"/>
    <w:rsid w:val="00714548"/>
    <w:rsid w:val="00715296"/>
    <w:rsid w:val="00716165"/>
    <w:rsid w:val="007166B8"/>
    <w:rsid w:val="00716806"/>
    <w:rsid w:val="00716C9B"/>
    <w:rsid w:val="00717443"/>
    <w:rsid w:val="00717C5B"/>
    <w:rsid w:val="00717ED4"/>
    <w:rsid w:val="00718B79"/>
    <w:rsid w:val="00720EBD"/>
    <w:rsid w:val="007211C1"/>
    <w:rsid w:val="007220BD"/>
    <w:rsid w:val="00722F81"/>
    <w:rsid w:val="00724329"/>
    <w:rsid w:val="00725507"/>
    <w:rsid w:val="00725D98"/>
    <w:rsid w:val="007262C4"/>
    <w:rsid w:val="0072645F"/>
    <w:rsid w:val="00727E60"/>
    <w:rsid w:val="00730697"/>
    <w:rsid w:val="00731493"/>
    <w:rsid w:val="0073208D"/>
    <w:rsid w:val="0073257C"/>
    <w:rsid w:val="00732A09"/>
    <w:rsid w:val="00732B57"/>
    <w:rsid w:val="00732F6C"/>
    <w:rsid w:val="00733A1F"/>
    <w:rsid w:val="00733A82"/>
    <w:rsid w:val="00734830"/>
    <w:rsid w:val="00734932"/>
    <w:rsid w:val="00735397"/>
    <w:rsid w:val="00735B2D"/>
    <w:rsid w:val="0073628A"/>
    <w:rsid w:val="007369FA"/>
    <w:rsid w:val="00736C3F"/>
    <w:rsid w:val="00737321"/>
    <w:rsid w:val="00737951"/>
    <w:rsid w:val="007402D1"/>
    <w:rsid w:val="00740D93"/>
    <w:rsid w:val="00740FA7"/>
    <w:rsid w:val="00742D56"/>
    <w:rsid w:val="00742E66"/>
    <w:rsid w:val="007430ED"/>
    <w:rsid w:val="007431A2"/>
    <w:rsid w:val="007445FB"/>
    <w:rsid w:val="00744AC8"/>
    <w:rsid w:val="00744C25"/>
    <w:rsid w:val="007452CF"/>
    <w:rsid w:val="00745AB4"/>
    <w:rsid w:val="00745AED"/>
    <w:rsid w:val="00746229"/>
    <w:rsid w:val="00746656"/>
    <w:rsid w:val="00751226"/>
    <w:rsid w:val="007517A1"/>
    <w:rsid w:val="00751FBA"/>
    <w:rsid w:val="007524EA"/>
    <w:rsid w:val="007529E6"/>
    <w:rsid w:val="00752CB7"/>
    <w:rsid w:val="007537CA"/>
    <w:rsid w:val="007537D0"/>
    <w:rsid w:val="00754367"/>
    <w:rsid w:val="00754B75"/>
    <w:rsid w:val="00755328"/>
    <w:rsid w:val="00755FAB"/>
    <w:rsid w:val="00757033"/>
    <w:rsid w:val="00757C0B"/>
    <w:rsid w:val="00757F62"/>
    <w:rsid w:val="00760B0F"/>
    <w:rsid w:val="00760DBA"/>
    <w:rsid w:val="00761D26"/>
    <w:rsid w:val="007625FB"/>
    <w:rsid w:val="00762E91"/>
    <w:rsid w:val="00762FE6"/>
    <w:rsid w:val="0076316B"/>
    <w:rsid w:val="00763DBF"/>
    <w:rsid w:val="00764168"/>
    <w:rsid w:val="00766B3E"/>
    <w:rsid w:val="0076740E"/>
    <w:rsid w:val="00767574"/>
    <w:rsid w:val="00767739"/>
    <w:rsid w:val="007712F5"/>
    <w:rsid w:val="00771BB8"/>
    <w:rsid w:val="00771D85"/>
    <w:rsid w:val="00772686"/>
    <w:rsid w:val="00772978"/>
    <w:rsid w:val="00772B33"/>
    <w:rsid w:val="00772D79"/>
    <w:rsid w:val="00773700"/>
    <w:rsid w:val="00773C4D"/>
    <w:rsid w:val="00773E18"/>
    <w:rsid w:val="00774404"/>
    <w:rsid w:val="00775848"/>
    <w:rsid w:val="00775AC9"/>
    <w:rsid w:val="00775E6D"/>
    <w:rsid w:val="007765F5"/>
    <w:rsid w:val="00776D68"/>
    <w:rsid w:val="007770F0"/>
    <w:rsid w:val="007777A4"/>
    <w:rsid w:val="007804C0"/>
    <w:rsid w:val="007806B5"/>
    <w:rsid w:val="00781855"/>
    <w:rsid w:val="00781A8F"/>
    <w:rsid w:val="00781D46"/>
    <w:rsid w:val="007821D5"/>
    <w:rsid w:val="0078276A"/>
    <w:rsid w:val="00782F7E"/>
    <w:rsid w:val="00784938"/>
    <w:rsid w:val="00784C8D"/>
    <w:rsid w:val="007854F4"/>
    <w:rsid w:val="0078559B"/>
    <w:rsid w:val="00785D9E"/>
    <w:rsid w:val="00786E69"/>
    <w:rsid w:val="00790AD6"/>
    <w:rsid w:val="00791406"/>
    <w:rsid w:val="00791F5C"/>
    <w:rsid w:val="0079317B"/>
    <w:rsid w:val="007934D8"/>
    <w:rsid w:val="00794089"/>
    <w:rsid w:val="007945F1"/>
    <w:rsid w:val="007947BD"/>
    <w:rsid w:val="00794E82"/>
    <w:rsid w:val="00795691"/>
    <w:rsid w:val="00795A51"/>
    <w:rsid w:val="00796263"/>
    <w:rsid w:val="00796456"/>
    <w:rsid w:val="007A07B6"/>
    <w:rsid w:val="007A1B17"/>
    <w:rsid w:val="007A2089"/>
    <w:rsid w:val="007A3FA5"/>
    <w:rsid w:val="007A4DF1"/>
    <w:rsid w:val="007A5FA5"/>
    <w:rsid w:val="007A6390"/>
    <w:rsid w:val="007A66C8"/>
    <w:rsid w:val="007A68F8"/>
    <w:rsid w:val="007A7701"/>
    <w:rsid w:val="007B061E"/>
    <w:rsid w:val="007B1618"/>
    <w:rsid w:val="007B22F4"/>
    <w:rsid w:val="007B2914"/>
    <w:rsid w:val="007B2D20"/>
    <w:rsid w:val="007B3E38"/>
    <w:rsid w:val="007B40C5"/>
    <w:rsid w:val="007B4416"/>
    <w:rsid w:val="007B4794"/>
    <w:rsid w:val="007B4D5F"/>
    <w:rsid w:val="007B5BF1"/>
    <w:rsid w:val="007B5E47"/>
    <w:rsid w:val="007B5EBF"/>
    <w:rsid w:val="007B6002"/>
    <w:rsid w:val="007B64EB"/>
    <w:rsid w:val="007B74F3"/>
    <w:rsid w:val="007B7B8A"/>
    <w:rsid w:val="007C028C"/>
    <w:rsid w:val="007C0546"/>
    <w:rsid w:val="007C055B"/>
    <w:rsid w:val="007C15CC"/>
    <w:rsid w:val="007C1F73"/>
    <w:rsid w:val="007C32C2"/>
    <w:rsid w:val="007C44DC"/>
    <w:rsid w:val="007C55FE"/>
    <w:rsid w:val="007C5D6F"/>
    <w:rsid w:val="007C66EB"/>
    <w:rsid w:val="007C76C2"/>
    <w:rsid w:val="007C7729"/>
    <w:rsid w:val="007D02A8"/>
    <w:rsid w:val="007D0770"/>
    <w:rsid w:val="007D080B"/>
    <w:rsid w:val="007D0C07"/>
    <w:rsid w:val="007D169B"/>
    <w:rsid w:val="007D18BB"/>
    <w:rsid w:val="007D1CFB"/>
    <w:rsid w:val="007D264F"/>
    <w:rsid w:val="007D282E"/>
    <w:rsid w:val="007D2B72"/>
    <w:rsid w:val="007D2F8D"/>
    <w:rsid w:val="007D4E29"/>
    <w:rsid w:val="007D57C0"/>
    <w:rsid w:val="007D57E2"/>
    <w:rsid w:val="007D5A8F"/>
    <w:rsid w:val="007D60BE"/>
    <w:rsid w:val="007D6B83"/>
    <w:rsid w:val="007D7674"/>
    <w:rsid w:val="007E08F5"/>
    <w:rsid w:val="007E0D6B"/>
    <w:rsid w:val="007E1CB0"/>
    <w:rsid w:val="007E1EDA"/>
    <w:rsid w:val="007E1F49"/>
    <w:rsid w:val="007E2159"/>
    <w:rsid w:val="007E2392"/>
    <w:rsid w:val="007E26BC"/>
    <w:rsid w:val="007E2EA9"/>
    <w:rsid w:val="007E3F97"/>
    <w:rsid w:val="007E42A6"/>
    <w:rsid w:val="007E5755"/>
    <w:rsid w:val="007E588E"/>
    <w:rsid w:val="007E5FD0"/>
    <w:rsid w:val="007E6040"/>
    <w:rsid w:val="007E608C"/>
    <w:rsid w:val="007E6F54"/>
    <w:rsid w:val="007E7554"/>
    <w:rsid w:val="007E77DC"/>
    <w:rsid w:val="007F1BD6"/>
    <w:rsid w:val="007F1C82"/>
    <w:rsid w:val="007F229B"/>
    <w:rsid w:val="007F2539"/>
    <w:rsid w:val="007F27A5"/>
    <w:rsid w:val="007F348B"/>
    <w:rsid w:val="007F3CB3"/>
    <w:rsid w:val="007F3CD0"/>
    <w:rsid w:val="007F5E2F"/>
    <w:rsid w:val="007F6838"/>
    <w:rsid w:val="007F72D9"/>
    <w:rsid w:val="007F7582"/>
    <w:rsid w:val="007F7838"/>
    <w:rsid w:val="0080057B"/>
    <w:rsid w:val="00801969"/>
    <w:rsid w:val="00801DB9"/>
    <w:rsid w:val="00801E34"/>
    <w:rsid w:val="00801EEE"/>
    <w:rsid w:val="00801EF7"/>
    <w:rsid w:val="00802C51"/>
    <w:rsid w:val="00803587"/>
    <w:rsid w:val="00803D3F"/>
    <w:rsid w:val="0080440E"/>
    <w:rsid w:val="0080497A"/>
    <w:rsid w:val="008058B2"/>
    <w:rsid w:val="00805ACF"/>
    <w:rsid w:val="00806028"/>
    <w:rsid w:val="00807D2D"/>
    <w:rsid w:val="00807F12"/>
    <w:rsid w:val="00810101"/>
    <w:rsid w:val="008108B4"/>
    <w:rsid w:val="00810FC3"/>
    <w:rsid w:val="0081156F"/>
    <w:rsid w:val="00812600"/>
    <w:rsid w:val="00812D9D"/>
    <w:rsid w:val="008137EE"/>
    <w:rsid w:val="00814240"/>
    <w:rsid w:val="0081529A"/>
    <w:rsid w:val="00816CFC"/>
    <w:rsid w:val="0081784B"/>
    <w:rsid w:val="00817C22"/>
    <w:rsid w:val="0081C52F"/>
    <w:rsid w:val="008206F4"/>
    <w:rsid w:val="008212F3"/>
    <w:rsid w:val="008217BE"/>
    <w:rsid w:val="00821FE0"/>
    <w:rsid w:val="0082235B"/>
    <w:rsid w:val="008229C7"/>
    <w:rsid w:val="00822CD0"/>
    <w:rsid w:val="00823C79"/>
    <w:rsid w:val="008249F4"/>
    <w:rsid w:val="00825FF1"/>
    <w:rsid w:val="00826408"/>
    <w:rsid w:val="008277E4"/>
    <w:rsid w:val="00827D7C"/>
    <w:rsid w:val="008311C0"/>
    <w:rsid w:val="008329DE"/>
    <w:rsid w:val="0083311F"/>
    <w:rsid w:val="00833B85"/>
    <w:rsid w:val="00833DD0"/>
    <w:rsid w:val="00833E56"/>
    <w:rsid w:val="00833F55"/>
    <w:rsid w:val="00834430"/>
    <w:rsid w:val="00834BEA"/>
    <w:rsid w:val="00834FB6"/>
    <w:rsid w:val="00836A06"/>
    <w:rsid w:val="00836FA4"/>
    <w:rsid w:val="0084006C"/>
    <w:rsid w:val="0084139F"/>
    <w:rsid w:val="008414E1"/>
    <w:rsid w:val="00841864"/>
    <w:rsid w:val="00841B27"/>
    <w:rsid w:val="00841BBB"/>
    <w:rsid w:val="00841F99"/>
    <w:rsid w:val="00842F32"/>
    <w:rsid w:val="00842F58"/>
    <w:rsid w:val="00844FF1"/>
    <w:rsid w:val="0084558A"/>
    <w:rsid w:val="008478D3"/>
    <w:rsid w:val="00850B04"/>
    <w:rsid w:val="0085133F"/>
    <w:rsid w:val="00851704"/>
    <w:rsid w:val="00852709"/>
    <w:rsid w:val="0085281C"/>
    <w:rsid w:val="0085332A"/>
    <w:rsid w:val="00853DCA"/>
    <w:rsid w:val="008542A0"/>
    <w:rsid w:val="0085474A"/>
    <w:rsid w:val="00854D11"/>
    <w:rsid w:val="008551E2"/>
    <w:rsid w:val="00855D72"/>
    <w:rsid w:val="00855D91"/>
    <w:rsid w:val="00855EA6"/>
    <w:rsid w:val="00856923"/>
    <w:rsid w:val="0085736B"/>
    <w:rsid w:val="00857541"/>
    <w:rsid w:val="008577F4"/>
    <w:rsid w:val="00857DFF"/>
    <w:rsid w:val="00857EB2"/>
    <w:rsid w:val="008619FF"/>
    <w:rsid w:val="00862B29"/>
    <w:rsid w:val="00863EEA"/>
    <w:rsid w:val="008642D6"/>
    <w:rsid w:val="00866D5D"/>
    <w:rsid w:val="00867360"/>
    <w:rsid w:val="008702D0"/>
    <w:rsid w:val="00870942"/>
    <w:rsid w:val="008714BD"/>
    <w:rsid w:val="0087186C"/>
    <w:rsid w:val="00871C52"/>
    <w:rsid w:val="008720F8"/>
    <w:rsid w:val="0087262E"/>
    <w:rsid w:val="00872CBA"/>
    <w:rsid w:val="008735A4"/>
    <w:rsid w:val="008735F0"/>
    <w:rsid w:val="0087443B"/>
    <w:rsid w:val="008744CA"/>
    <w:rsid w:val="0087457C"/>
    <w:rsid w:val="008746F4"/>
    <w:rsid w:val="00874B58"/>
    <w:rsid w:val="008753B4"/>
    <w:rsid w:val="00875543"/>
    <w:rsid w:val="00875CE2"/>
    <w:rsid w:val="00875FED"/>
    <w:rsid w:val="008765E8"/>
    <w:rsid w:val="00876F0C"/>
    <w:rsid w:val="00876F3B"/>
    <w:rsid w:val="008772A1"/>
    <w:rsid w:val="00877D48"/>
    <w:rsid w:val="00880005"/>
    <w:rsid w:val="008801B5"/>
    <w:rsid w:val="00881921"/>
    <w:rsid w:val="00881DB0"/>
    <w:rsid w:val="00882059"/>
    <w:rsid w:val="008823D8"/>
    <w:rsid w:val="00882814"/>
    <w:rsid w:val="00882BB1"/>
    <w:rsid w:val="008833AE"/>
    <w:rsid w:val="00884E7C"/>
    <w:rsid w:val="0088511E"/>
    <w:rsid w:val="00885648"/>
    <w:rsid w:val="008856D9"/>
    <w:rsid w:val="00885C25"/>
    <w:rsid w:val="00885F26"/>
    <w:rsid w:val="00887286"/>
    <w:rsid w:val="008901C3"/>
    <w:rsid w:val="008901FC"/>
    <w:rsid w:val="00890785"/>
    <w:rsid w:val="008907C1"/>
    <w:rsid w:val="00890905"/>
    <w:rsid w:val="00891488"/>
    <w:rsid w:val="0089293C"/>
    <w:rsid w:val="00893B32"/>
    <w:rsid w:val="008945BA"/>
    <w:rsid w:val="00894973"/>
    <w:rsid w:val="00894B7A"/>
    <w:rsid w:val="00895BF1"/>
    <w:rsid w:val="0089721A"/>
    <w:rsid w:val="008974A4"/>
    <w:rsid w:val="008A0338"/>
    <w:rsid w:val="008A05E3"/>
    <w:rsid w:val="008A0AF3"/>
    <w:rsid w:val="008A1A5E"/>
    <w:rsid w:val="008A1C17"/>
    <w:rsid w:val="008A2B86"/>
    <w:rsid w:val="008A31D9"/>
    <w:rsid w:val="008A3A71"/>
    <w:rsid w:val="008A45A9"/>
    <w:rsid w:val="008A6096"/>
    <w:rsid w:val="008A787D"/>
    <w:rsid w:val="008B0473"/>
    <w:rsid w:val="008B099C"/>
    <w:rsid w:val="008B0F7E"/>
    <w:rsid w:val="008B1142"/>
    <w:rsid w:val="008B1683"/>
    <w:rsid w:val="008B1E2F"/>
    <w:rsid w:val="008B1FC9"/>
    <w:rsid w:val="008B2644"/>
    <w:rsid w:val="008B29FE"/>
    <w:rsid w:val="008B4DD0"/>
    <w:rsid w:val="008B4DFB"/>
    <w:rsid w:val="008B5955"/>
    <w:rsid w:val="008B6F49"/>
    <w:rsid w:val="008C03AA"/>
    <w:rsid w:val="008C0435"/>
    <w:rsid w:val="008C0CDD"/>
    <w:rsid w:val="008C0CE2"/>
    <w:rsid w:val="008C1D4F"/>
    <w:rsid w:val="008C3137"/>
    <w:rsid w:val="008C34A8"/>
    <w:rsid w:val="008C3A72"/>
    <w:rsid w:val="008C4B3C"/>
    <w:rsid w:val="008C4E8D"/>
    <w:rsid w:val="008C5D49"/>
    <w:rsid w:val="008C64A4"/>
    <w:rsid w:val="008C66DD"/>
    <w:rsid w:val="008C6934"/>
    <w:rsid w:val="008C6BCA"/>
    <w:rsid w:val="008C6C29"/>
    <w:rsid w:val="008C780F"/>
    <w:rsid w:val="008C7B1F"/>
    <w:rsid w:val="008CD3B6"/>
    <w:rsid w:val="008D05D9"/>
    <w:rsid w:val="008D0B37"/>
    <w:rsid w:val="008D0FFD"/>
    <w:rsid w:val="008D1040"/>
    <w:rsid w:val="008D3B75"/>
    <w:rsid w:val="008D4C1F"/>
    <w:rsid w:val="008D57CF"/>
    <w:rsid w:val="008D5F36"/>
    <w:rsid w:val="008D61F7"/>
    <w:rsid w:val="008D640F"/>
    <w:rsid w:val="008D6F0C"/>
    <w:rsid w:val="008D7F51"/>
    <w:rsid w:val="008E0F7C"/>
    <w:rsid w:val="008E272E"/>
    <w:rsid w:val="008E2B14"/>
    <w:rsid w:val="008E2BB3"/>
    <w:rsid w:val="008E38C4"/>
    <w:rsid w:val="008E44DE"/>
    <w:rsid w:val="008E46F1"/>
    <w:rsid w:val="008E5EA3"/>
    <w:rsid w:val="008E5FBC"/>
    <w:rsid w:val="008E64E5"/>
    <w:rsid w:val="008E6940"/>
    <w:rsid w:val="008E69CC"/>
    <w:rsid w:val="008E7307"/>
    <w:rsid w:val="008E7AB1"/>
    <w:rsid w:val="008F0246"/>
    <w:rsid w:val="008F08BF"/>
    <w:rsid w:val="008F10F7"/>
    <w:rsid w:val="008F1532"/>
    <w:rsid w:val="008F23C3"/>
    <w:rsid w:val="008F248C"/>
    <w:rsid w:val="008F2B2A"/>
    <w:rsid w:val="008F3154"/>
    <w:rsid w:val="008F50DE"/>
    <w:rsid w:val="008F5F54"/>
    <w:rsid w:val="008F65BF"/>
    <w:rsid w:val="008F675D"/>
    <w:rsid w:val="008F6EDB"/>
    <w:rsid w:val="008F7482"/>
    <w:rsid w:val="008F7770"/>
    <w:rsid w:val="009006D2"/>
    <w:rsid w:val="00900924"/>
    <w:rsid w:val="00900A1C"/>
    <w:rsid w:val="00900FF5"/>
    <w:rsid w:val="00902362"/>
    <w:rsid w:val="00902BC3"/>
    <w:rsid w:val="009048BE"/>
    <w:rsid w:val="0090490C"/>
    <w:rsid w:val="00904994"/>
    <w:rsid w:val="009051DA"/>
    <w:rsid w:val="00905357"/>
    <w:rsid w:val="00907034"/>
    <w:rsid w:val="00907E1E"/>
    <w:rsid w:val="00910552"/>
    <w:rsid w:val="0091127D"/>
    <w:rsid w:val="00912660"/>
    <w:rsid w:val="009128CA"/>
    <w:rsid w:val="00913031"/>
    <w:rsid w:val="0091375F"/>
    <w:rsid w:val="00913A2C"/>
    <w:rsid w:val="0091455E"/>
    <w:rsid w:val="00914896"/>
    <w:rsid w:val="0091490B"/>
    <w:rsid w:val="00914D03"/>
    <w:rsid w:val="009157BB"/>
    <w:rsid w:val="00915ED7"/>
    <w:rsid w:val="009168A0"/>
    <w:rsid w:val="009178DC"/>
    <w:rsid w:val="00917D3F"/>
    <w:rsid w:val="00920586"/>
    <w:rsid w:val="00920A31"/>
    <w:rsid w:val="00920A85"/>
    <w:rsid w:val="00921EFA"/>
    <w:rsid w:val="0092227E"/>
    <w:rsid w:val="0092231D"/>
    <w:rsid w:val="00922885"/>
    <w:rsid w:val="00922928"/>
    <w:rsid w:val="0092354E"/>
    <w:rsid w:val="009238F5"/>
    <w:rsid w:val="009248C7"/>
    <w:rsid w:val="00924931"/>
    <w:rsid w:val="00924A34"/>
    <w:rsid w:val="00925150"/>
    <w:rsid w:val="00926C9D"/>
    <w:rsid w:val="0092733F"/>
    <w:rsid w:val="009277B0"/>
    <w:rsid w:val="00927B4A"/>
    <w:rsid w:val="00927C02"/>
    <w:rsid w:val="00927DD7"/>
    <w:rsid w:val="009308EF"/>
    <w:rsid w:val="00932005"/>
    <w:rsid w:val="00932198"/>
    <w:rsid w:val="00932646"/>
    <w:rsid w:val="0093267F"/>
    <w:rsid w:val="009327AB"/>
    <w:rsid w:val="00932A03"/>
    <w:rsid w:val="00933860"/>
    <w:rsid w:val="00934075"/>
    <w:rsid w:val="00934134"/>
    <w:rsid w:val="0093595B"/>
    <w:rsid w:val="00935C17"/>
    <w:rsid w:val="00936095"/>
    <w:rsid w:val="00936129"/>
    <w:rsid w:val="00937A50"/>
    <w:rsid w:val="00940359"/>
    <w:rsid w:val="00940809"/>
    <w:rsid w:val="00940900"/>
    <w:rsid w:val="009416A9"/>
    <w:rsid w:val="0094471B"/>
    <w:rsid w:val="00945532"/>
    <w:rsid w:val="00945F24"/>
    <w:rsid w:val="009461E1"/>
    <w:rsid w:val="00946BA1"/>
    <w:rsid w:val="00946E4B"/>
    <w:rsid w:val="009506A1"/>
    <w:rsid w:val="00950C3B"/>
    <w:rsid w:val="00951C97"/>
    <w:rsid w:val="00952B6B"/>
    <w:rsid w:val="00952B9C"/>
    <w:rsid w:val="00952F80"/>
    <w:rsid w:val="00953326"/>
    <w:rsid w:val="00953C4F"/>
    <w:rsid w:val="00954718"/>
    <w:rsid w:val="009549BD"/>
    <w:rsid w:val="009556B1"/>
    <w:rsid w:val="00955886"/>
    <w:rsid w:val="00956551"/>
    <w:rsid w:val="00956802"/>
    <w:rsid w:val="0095681D"/>
    <w:rsid w:val="00957110"/>
    <w:rsid w:val="009579E5"/>
    <w:rsid w:val="00957D03"/>
    <w:rsid w:val="00960D91"/>
    <w:rsid w:val="0096177A"/>
    <w:rsid w:val="00961ACA"/>
    <w:rsid w:val="00961F23"/>
    <w:rsid w:val="0096210B"/>
    <w:rsid w:val="00962758"/>
    <w:rsid w:val="009639E0"/>
    <w:rsid w:val="00963BBC"/>
    <w:rsid w:val="00964E6D"/>
    <w:rsid w:val="00965575"/>
    <w:rsid w:val="00965A8C"/>
    <w:rsid w:val="00965E30"/>
    <w:rsid w:val="00966E3C"/>
    <w:rsid w:val="00967366"/>
    <w:rsid w:val="00967B3F"/>
    <w:rsid w:val="00970179"/>
    <w:rsid w:val="0097032F"/>
    <w:rsid w:val="009714F0"/>
    <w:rsid w:val="009728F6"/>
    <w:rsid w:val="00972A55"/>
    <w:rsid w:val="00972AAD"/>
    <w:rsid w:val="00972DFB"/>
    <w:rsid w:val="0097416F"/>
    <w:rsid w:val="00974B50"/>
    <w:rsid w:val="00976288"/>
    <w:rsid w:val="009764AA"/>
    <w:rsid w:val="009799B5"/>
    <w:rsid w:val="00980D4A"/>
    <w:rsid w:val="00981173"/>
    <w:rsid w:val="009812EB"/>
    <w:rsid w:val="00982364"/>
    <w:rsid w:val="00982458"/>
    <w:rsid w:val="00982E06"/>
    <w:rsid w:val="00983174"/>
    <w:rsid w:val="00983587"/>
    <w:rsid w:val="00984B92"/>
    <w:rsid w:val="009854A5"/>
    <w:rsid w:val="00985F6B"/>
    <w:rsid w:val="009861EE"/>
    <w:rsid w:val="00986295"/>
    <w:rsid w:val="009872F3"/>
    <w:rsid w:val="00987A72"/>
    <w:rsid w:val="00990CEB"/>
    <w:rsid w:val="00991769"/>
    <w:rsid w:val="00993538"/>
    <w:rsid w:val="00993CA2"/>
    <w:rsid w:val="00994930"/>
    <w:rsid w:val="00994C96"/>
    <w:rsid w:val="00995274"/>
    <w:rsid w:val="0099624E"/>
    <w:rsid w:val="00996411"/>
    <w:rsid w:val="00996566"/>
    <w:rsid w:val="0099714E"/>
    <w:rsid w:val="009A1EFC"/>
    <w:rsid w:val="009A2727"/>
    <w:rsid w:val="009A3A3E"/>
    <w:rsid w:val="009A3EC3"/>
    <w:rsid w:val="009A46D1"/>
    <w:rsid w:val="009A4B13"/>
    <w:rsid w:val="009A66B7"/>
    <w:rsid w:val="009A78DC"/>
    <w:rsid w:val="009A7F6B"/>
    <w:rsid w:val="009B0609"/>
    <w:rsid w:val="009B1031"/>
    <w:rsid w:val="009B118F"/>
    <w:rsid w:val="009B199D"/>
    <w:rsid w:val="009B2644"/>
    <w:rsid w:val="009B2D10"/>
    <w:rsid w:val="009B2EB0"/>
    <w:rsid w:val="009B2F27"/>
    <w:rsid w:val="009B31CC"/>
    <w:rsid w:val="009B33B3"/>
    <w:rsid w:val="009B3648"/>
    <w:rsid w:val="009B3751"/>
    <w:rsid w:val="009B396E"/>
    <w:rsid w:val="009B4539"/>
    <w:rsid w:val="009B4D27"/>
    <w:rsid w:val="009B4FE4"/>
    <w:rsid w:val="009B5311"/>
    <w:rsid w:val="009B718F"/>
    <w:rsid w:val="009B7BBA"/>
    <w:rsid w:val="009B7C84"/>
    <w:rsid w:val="009B7EEA"/>
    <w:rsid w:val="009BDD59"/>
    <w:rsid w:val="009C06EE"/>
    <w:rsid w:val="009C2185"/>
    <w:rsid w:val="009C29ED"/>
    <w:rsid w:val="009C307B"/>
    <w:rsid w:val="009C31D8"/>
    <w:rsid w:val="009C327B"/>
    <w:rsid w:val="009C33F7"/>
    <w:rsid w:val="009C3F6E"/>
    <w:rsid w:val="009C468F"/>
    <w:rsid w:val="009C4987"/>
    <w:rsid w:val="009C4AF2"/>
    <w:rsid w:val="009C4B49"/>
    <w:rsid w:val="009C523C"/>
    <w:rsid w:val="009C5D6A"/>
    <w:rsid w:val="009C7857"/>
    <w:rsid w:val="009C79D5"/>
    <w:rsid w:val="009C7F52"/>
    <w:rsid w:val="009D0745"/>
    <w:rsid w:val="009D0C01"/>
    <w:rsid w:val="009D19AF"/>
    <w:rsid w:val="009D32A4"/>
    <w:rsid w:val="009D484A"/>
    <w:rsid w:val="009D4D42"/>
    <w:rsid w:val="009D4F01"/>
    <w:rsid w:val="009D69DC"/>
    <w:rsid w:val="009D7690"/>
    <w:rsid w:val="009D797E"/>
    <w:rsid w:val="009D79B1"/>
    <w:rsid w:val="009E02CD"/>
    <w:rsid w:val="009E1F8F"/>
    <w:rsid w:val="009E2FC2"/>
    <w:rsid w:val="009E3C58"/>
    <w:rsid w:val="009E50BF"/>
    <w:rsid w:val="009E5B45"/>
    <w:rsid w:val="009E5EC8"/>
    <w:rsid w:val="009E7408"/>
    <w:rsid w:val="009E75F5"/>
    <w:rsid w:val="009F0359"/>
    <w:rsid w:val="009F1E14"/>
    <w:rsid w:val="009F2FB1"/>
    <w:rsid w:val="009F3128"/>
    <w:rsid w:val="009F32FB"/>
    <w:rsid w:val="009F4C38"/>
    <w:rsid w:val="009F526B"/>
    <w:rsid w:val="009F727D"/>
    <w:rsid w:val="00A00B11"/>
    <w:rsid w:val="00A010A6"/>
    <w:rsid w:val="00A0136B"/>
    <w:rsid w:val="00A01ADB"/>
    <w:rsid w:val="00A02DC5"/>
    <w:rsid w:val="00A03E3E"/>
    <w:rsid w:val="00A0410B"/>
    <w:rsid w:val="00A06000"/>
    <w:rsid w:val="00A0713C"/>
    <w:rsid w:val="00A104C1"/>
    <w:rsid w:val="00A1058C"/>
    <w:rsid w:val="00A110BA"/>
    <w:rsid w:val="00A11491"/>
    <w:rsid w:val="00A120B1"/>
    <w:rsid w:val="00A12A66"/>
    <w:rsid w:val="00A132C8"/>
    <w:rsid w:val="00A13AD7"/>
    <w:rsid w:val="00A13DB0"/>
    <w:rsid w:val="00A13EEC"/>
    <w:rsid w:val="00A147E1"/>
    <w:rsid w:val="00A14A19"/>
    <w:rsid w:val="00A14D68"/>
    <w:rsid w:val="00A15616"/>
    <w:rsid w:val="00A15DA6"/>
    <w:rsid w:val="00A1638F"/>
    <w:rsid w:val="00A16C40"/>
    <w:rsid w:val="00A17520"/>
    <w:rsid w:val="00A20CF9"/>
    <w:rsid w:val="00A20D92"/>
    <w:rsid w:val="00A20DF7"/>
    <w:rsid w:val="00A2141C"/>
    <w:rsid w:val="00A21BC0"/>
    <w:rsid w:val="00A21BD5"/>
    <w:rsid w:val="00A23528"/>
    <w:rsid w:val="00A24199"/>
    <w:rsid w:val="00A24EC6"/>
    <w:rsid w:val="00A24F7F"/>
    <w:rsid w:val="00A25857"/>
    <w:rsid w:val="00A25D0F"/>
    <w:rsid w:val="00A25E6C"/>
    <w:rsid w:val="00A26814"/>
    <w:rsid w:val="00A26878"/>
    <w:rsid w:val="00A301D9"/>
    <w:rsid w:val="00A30785"/>
    <w:rsid w:val="00A31081"/>
    <w:rsid w:val="00A3201E"/>
    <w:rsid w:val="00A3241A"/>
    <w:rsid w:val="00A32965"/>
    <w:rsid w:val="00A329C2"/>
    <w:rsid w:val="00A32C95"/>
    <w:rsid w:val="00A33126"/>
    <w:rsid w:val="00A33782"/>
    <w:rsid w:val="00A339A6"/>
    <w:rsid w:val="00A33CBD"/>
    <w:rsid w:val="00A33E9F"/>
    <w:rsid w:val="00A3434B"/>
    <w:rsid w:val="00A34F15"/>
    <w:rsid w:val="00A35859"/>
    <w:rsid w:val="00A36676"/>
    <w:rsid w:val="00A366E7"/>
    <w:rsid w:val="00A36910"/>
    <w:rsid w:val="00A3697C"/>
    <w:rsid w:val="00A369F7"/>
    <w:rsid w:val="00A36D2B"/>
    <w:rsid w:val="00A37138"/>
    <w:rsid w:val="00A37517"/>
    <w:rsid w:val="00A37A13"/>
    <w:rsid w:val="00A40D9A"/>
    <w:rsid w:val="00A40F06"/>
    <w:rsid w:val="00A412C9"/>
    <w:rsid w:val="00A414D4"/>
    <w:rsid w:val="00A41949"/>
    <w:rsid w:val="00A43613"/>
    <w:rsid w:val="00A43DCD"/>
    <w:rsid w:val="00A44CBF"/>
    <w:rsid w:val="00A45FC5"/>
    <w:rsid w:val="00A46666"/>
    <w:rsid w:val="00A46BB3"/>
    <w:rsid w:val="00A46D72"/>
    <w:rsid w:val="00A4734E"/>
    <w:rsid w:val="00A47BA9"/>
    <w:rsid w:val="00A51B73"/>
    <w:rsid w:val="00A51DB3"/>
    <w:rsid w:val="00A53153"/>
    <w:rsid w:val="00A53BC6"/>
    <w:rsid w:val="00A53EB3"/>
    <w:rsid w:val="00A53FD6"/>
    <w:rsid w:val="00A54784"/>
    <w:rsid w:val="00A547B5"/>
    <w:rsid w:val="00A54C84"/>
    <w:rsid w:val="00A54F56"/>
    <w:rsid w:val="00A56E27"/>
    <w:rsid w:val="00A57331"/>
    <w:rsid w:val="00A574A9"/>
    <w:rsid w:val="00A57681"/>
    <w:rsid w:val="00A601A9"/>
    <w:rsid w:val="00A6084D"/>
    <w:rsid w:val="00A61717"/>
    <w:rsid w:val="00A62163"/>
    <w:rsid w:val="00A62E29"/>
    <w:rsid w:val="00A6329E"/>
    <w:rsid w:val="00A6339D"/>
    <w:rsid w:val="00A6412F"/>
    <w:rsid w:val="00A6496D"/>
    <w:rsid w:val="00A65151"/>
    <w:rsid w:val="00A651ED"/>
    <w:rsid w:val="00A65B04"/>
    <w:rsid w:val="00A664F6"/>
    <w:rsid w:val="00A66683"/>
    <w:rsid w:val="00A67019"/>
    <w:rsid w:val="00A67463"/>
    <w:rsid w:val="00A67BFC"/>
    <w:rsid w:val="00A700C3"/>
    <w:rsid w:val="00A70614"/>
    <w:rsid w:val="00A70CEC"/>
    <w:rsid w:val="00A713DD"/>
    <w:rsid w:val="00A71C1A"/>
    <w:rsid w:val="00A725FD"/>
    <w:rsid w:val="00A72A1C"/>
    <w:rsid w:val="00A735AC"/>
    <w:rsid w:val="00A75B22"/>
    <w:rsid w:val="00A77612"/>
    <w:rsid w:val="00A779EA"/>
    <w:rsid w:val="00A77C0D"/>
    <w:rsid w:val="00A800B8"/>
    <w:rsid w:val="00A80106"/>
    <w:rsid w:val="00A8013D"/>
    <w:rsid w:val="00A802B9"/>
    <w:rsid w:val="00A81201"/>
    <w:rsid w:val="00A81C3B"/>
    <w:rsid w:val="00A81E51"/>
    <w:rsid w:val="00A8340D"/>
    <w:rsid w:val="00A841A9"/>
    <w:rsid w:val="00A85928"/>
    <w:rsid w:val="00A85DF7"/>
    <w:rsid w:val="00A871B8"/>
    <w:rsid w:val="00A90E27"/>
    <w:rsid w:val="00A910F3"/>
    <w:rsid w:val="00A9248A"/>
    <w:rsid w:val="00A92E1C"/>
    <w:rsid w:val="00A9309A"/>
    <w:rsid w:val="00A93744"/>
    <w:rsid w:val="00A93E69"/>
    <w:rsid w:val="00A93E9F"/>
    <w:rsid w:val="00A955E0"/>
    <w:rsid w:val="00A95E72"/>
    <w:rsid w:val="00A95E8E"/>
    <w:rsid w:val="00A96349"/>
    <w:rsid w:val="00A97DF9"/>
    <w:rsid w:val="00AA09E4"/>
    <w:rsid w:val="00AA0FAD"/>
    <w:rsid w:val="00AA15B0"/>
    <w:rsid w:val="00AA1981"/>
    <w:rsid w:val="00AA2543"/>
    <w:rsid w:val="00AA444B"/>
    <w:rsid w:val="00AA507E"/>
    <w:rsid w:val="00AA52D1"/>
    <w:rsid w:val="00AA6244"/>
    <w:rsid w:val="00AA63B7"/>
    <w:rsid w:val="00AA7864"/>
    <w:rsid w:val="00AB0AF1"/>
    <w:rsid w:val="00AB1D92"/>
    <w:rsid w:val="00AB30F9"/>
    <w:rsid w:val="00AB389C"/>
    <w:rsid w:val="00AB3AC2"/>
    <w:rsid w:val="00AB4C3B"/>
    <w:rsid w:val="00AB50B8"/>
    <w:rsid w:val="00AB56F3"/>
    <w:rsid w:val="00AB5FF7"/>
    <w:rsid w:val="00AB606C"/>
    <w:rsid w:val="00AB6FD0"/>
    <w:rsid w:val="00AC0692"/>
    <w:rsid w:val="00AC0D3C"/>
    <w:rsid w:val="00AC1057"/>
    <w:rsid w:val="00AC1F75"/>
    <w:rsid w:val="00AC2C31"/>
    <w:rsid w:val="00AC34E6"/>
    <w:rsid w:val="00AC39D4"/>
    <w:rsid w:val="00AC42E3"/>
    <w:rsid w:val="00AC64F4"/>
    <w:rsid w:val="00AC6849"/>
    <w:rsid w:val="00AC76D5"/>
    <w:rsid w:val="00AC7C71"/>
    <w:rsid w:val="00AD0A65"/>
    <w:rsid w:val="00AD11F1"/>
    <w:rsid w:val="00AD19BD"/>
    <w:rsid w:val="00AD2B19"/>
    <w:rsid w:val="00AD2B8F"/>
    <w:rsid w:val="00AD4064"/>
    <w:rsid w:val="00AD47DD"/>
    <w:rsid w:val="00AD4F2E"/>
    <w:rsid w:val="00AD50B0"/>
    <w:rsid w:val="00AD7F56"/>
    <w:rsid w:val="00AE1119"/>
    <w:rsid w:val="00AE11C9"/>
    <w:rsid w:val="00AE2363"/>
    <w:rsid w:val="00AE2D3D"/>
    <w:rsid w:val="00AE3795"/>
    <w:rsid w:val="00AE44FB"/>
    <w:rsid w:val="00AE53AC"/>
    <w:rsid w:val="00AE63A8"/>
    <w:rsid w:val="00AE6B43"/>
    <w:rsid w:val="00AE6FE0"/>
    <w:rsid w:val="00AE7025"/>
    <w:rsid w:val="00AE7C72"/>
    <w:rsid w:val="00AF0E99"/>
    <w:rsid w:val="00AF0EAB"/>
    <w:rsid w:val="00AF1D74"/>
    <w:rsid w:val="00AF25A7"/>
    <w:rsid w:val="00AF26BA"/>
    <w:rsid w:val="00AF26E1"/>
    <w:rsid w:val="00AF4120"/>
    <w:rsid w:val="00AF583D"/>
    <w:rsid w:val="00AF6211"/>
    <w:rsid w:val="00AF621E"/>
    <w:rsid w:val="00AF69D4"/>
    <w:rsid w:val="00AF744E"/>
    <w:rsid w:val="00AF7561"/>
    <w:rsid w:val="00B00133"/>
    <w:rsid w:val="00B00515"/>
    <w:rsid w:val="00B00656"/>
    <w:rsid w:val="00B00DF7"/>
    <w:rsid w:val="00B01A2F"/>
    <w:rsid w:val="00B01F8C"/>
    <w:rsid w:val="00B02FCB"/>
    <w:rsid w:val="00B0369E"/>
    <w:rsid w:val="00B03FD0"/>
    <w:rsid w:val="00B0416E"/>
    <w:rsid w:val="00B04216"/>
    <w:rsid w:val="00B04781"/>
    <w:rsid w:val="00B0622F"/>
    <w:rsid w:val="00B07348"/>
    <w:rsid w:val="00B10101"/>
    <w:rsid w:val="00B1074F"/>
    <w:rsid w:val="00B10D87"/>
    <w:rsid w:val="00B114CA"/>
    <w:rsid w:val="00B1171E"/>
    <w:rsid w:val="00B12CD1"/>
    <w:rsid w:val="00B12D33"/>
    <w:rsid w:val="00B13AC7"/>
    <w:rsid w:val="00B13C18"/>
    <w:rsid w:val="00B13CC8"/>
    <w:rsid w:val="00B14557"/>
    <w:rsid w:val="00B14F02"/>
    <w:rsid w:val="00B1508B"/>
    <w:rsid w:val="00B168B8"/>
    <w:rsid w:val="00B17B08"/>
    <w:rsid w:val="00B17B75"/>
    <w:rsid w:val="00B2048E"/>
    <w:rsid w:val="00B204F0"/>
    <w:rsid w:val="00B205A1"/>
    <w:rsid w:val="00B205AC"/>
    <w:rsid w:val="00B20CC9"/>
    <w:rsid w:val="00B21149"/>
    <w:rsid w:val="00B212F8"/>
    <w:rsid w:val="00B21868"/>
    <w:rsid w:val="00B2261D"/>
    <w:rsid w:val="00B22B6D"/>
    <w:rsid w:val="00B24EE5"/>
    <w:rsid w:val="00B25EA2"/>
    <w:rsid w:val="00B264BE"/>
    <w:rsid w:val="00B26AD6"/>
    <w:rsid w:val="00B27883"/>
    <w:rsid w:val="00B30409"/>
    <w:rsid w:val="00B30855"/>
    <w:rsid w:val="00B31625"/>
    <w:rsid w:val="00B341E4"/>
    <w:rsid w:val="00B345BC"/>
    <w:rsid w:val="00B34DA3"/>
    <w:rsid w:val="00B36248"/>
    <w:rsid w:val="00B362FD"/>
    <w:rsid w:val="00B36851"/>
    <w:rsid w:val="00B37343"/>
    <w:rsid w:val="00B374C6"/>
    <w:rsid w:val="00B378D4"/>
    <w:rsid w:val="00B4018B"/>
    <w:rsid w:val="00B40608"/>
    <w:rsid w:val="00B40874"/>
    <w:rsid w:val="00B40B00"/>
    <w:rsid w:val="00B40CAD"/>
    <w:rsid w:val="00B40D22"/>
    <w:rsid w:val="00B41B7A"/>
    <w:rsid w:val="00B41C09"/>
    <w:rsid w:val="00B427E8"/>
    <w:rsid w:val="00B42CF1"/>
    <w:rsid w:val="00B44A2E"/>
    <w:rsid w:val="00B4511B"/>
    <w:rsid w:val="00B45F73"/>
    <w:rsid w:val="00B45F86"/>
    <w:rsid w:val="00B46238"/>
    <w:rsid w:val="00B46F38"/>
    <w:rsid w:val="00B4760F"/>
    <w:rsid w:val="00B477D3"/>
    <w:rsid w:val="00B4790C"/>
    <w:rsid w:val="00B47D81"/>
    <w:rsid w:val="00B51088"/>
    <w:rsid w:val="00B51FAD"/>
    <w:rsid w:val="00B51FFB"/>
    <w:rsid w:val="00B532C8"/>
    <w:rsid w:val="00B539A4"/>
    <w:rsid w:val="00B53BEE"/>
    <w:rsid w:val="00B53CB9"/>
    <w:rsid w:val="00B546B7"/>
    <w:rsid w:val="00B55108"/>
    <w:rsid w:val="00B5549A"/>
    <w:rsid w:val="00B5633D"/>
    <w:rsid w:val="00B56A22"/>
    <w:rsid w:val="00B57F18"/>
    <w:rsid w:val="00B6061B"/>
    <w:rsid w:val="00B60E4B"/>
    <w:rsid w:val="00B61563"/>
    <w:rsid w:val="00B62496"/>
    <w:rsid w:val="00B62F52"/>
    <w:rsid w:val="00B635A3"/>
    <w:rsid w:val="00B63DFA"/>
    <w:rsid w:val="00B64271"/>
    <w:rsid w:val="00B644F2"/>
    <w:rsid w:val="00B6630F"/>
    <w:rsid w:val="00B66CD9"/>
    <w:rsid w:val="00B67701"/>
    <w:rsid w:val="00B67B12"/>
    <w:rsid w:val="00B70ED7"/>
    <w:rsid w:val="00B71708"/>
    <w:rsid w:val="00B71B41"/>
    <w:rsid w:val="00B72133"/>
    <w:rsid w:val="00B73137"/>
    <w:rsid w:val="00B74745"/>
    <w:rsid w:val="00B75705"/>
    <w:rsid w:val="00B75A88"/>
    <w:rsid w:val="00B75B46"/>
    <w:rsid w:val="00B764C3"/>
    <w:rsid w:val="00B7688F"/>
    <w:rsid w:val="00B804ED"/>
    <w:rsid w:val="00B81ECF"/>
    <w:rsid w:val="00B8228A"/>
    <w:rsid w:val="00B82358"/>
    <w:rsid w:val="00B82A03"/>
    <w:rsid w:val="00B82A56"/>
    <w:rsid w:val="00B83AD9"/>
    <w:rsid w:val="00B8417E"/>
    <w:rsid w:val="00B8459F"/>
    <w:rsid w:val="00B84726"/>
    <w:rsid w:val="00B85AC0"/>
    <w:rsid w:val="00B86B57"/>
    <w:rsid w:val="00B877DC"/>
    <w:rsid w:val="00B87CE5"/>
    <w:rsid w:val="00B91DD1"/>
    <w:rsid w:val="00B92342"/>
    <w:rsid w:val="00B92901"/>
    <w:rsid w:val="00B938B7"/>
    <w:rsid w:val="00B9439D"/>
    <w:rsid w:val="00B959D8"/>
    <w:rsid w:val="00B96285"/>
    <w:rsid w:val="00B96470"/>
    <w:rsid w:val="00B97468"/>
    <w:rsid w:val="00B97A75"/>
    <w:rsid w:val="00B98F34"/>
    <w:rsid w:val="00BA025C"/>
    <w:rsid w:val="00BA07A1"/>
    <w:rsid w:val="00BA08FA"/>
    <w:rsid w:val="00BA0983"/>
    <w:rsid w:val="00BA09D2"/>
    <w:rsid w:val="00BA15D4"/>
    <w:rsid w:val="00BA178D"/>
    <w:rsid w:val="00BA17F2"/>
    <w:rsid w:val="00BA1B6B"/>
    <w:rsid w:val="00BA209F"/>
    <w:rsid w:val="00BA2CA7"/>
    <w:rsid w:val="00BA3E45"/>
    <w:rsid w:val="00BA3FB9"/>
    <w:rsid w:val="00BA4185"/>
    <w:rsid w:val="00BA4DD4"/>
    <w:rsid w:val="00BA50C8"/>
    <w:rsid w:val="00BA58C2"/>
    <w:rsid w:val="00BA5D3D"/>
    <w:rsid w:val="00BA61F9"/>
    <w:rsid w:val="00BA6896"/>
    <w:rsid w:val="00BA6FC3"/>
    <w:rsid w:val="00BB0FFB"/>
    <w:rsid w:val="00BB1698"/>
    <w:rsid w:val="00BB1767"/>
    <w:rsid w:val="00BB1CD9"/>
    <w:rsid w:val="00BB2357"/>
    <w:rsid w:val="00BB2684"/>
    <w:rsid w:val="00BB2DBA"/>
    <w:rsid w:val="00BB3207"/>
    <w:rsid w:val="00BB3799"/>
    <w:rsid w:val="00BB43A1"/>
    <w:rsid w:val="00BB501B"/>
    <w:rsid w:val="00BB54FE"/>
    <w:rsid w:val="00BB58D6"/>
    <w:rsid w:val="00BB75D3"/>
    <w:rsid w:val="00BB766E"/>
    <w:rsid w:val="00BB7EE5"/>
    <w:rsid w:val="00BC149A"/>
    <w:rsid w:val="00BC21DE"/>
    <w:rsid w:val="00BC233A"/>
    <w:rsid w:val="00BC269D"/>
    <w:rsid w:val="00BC27C9"/>
    <w:rsid w:val="00BC2C08"/>
    <w:rsid w:val="00BC345E"/>
    <w:rsid w:val="00BC471B"/>
    <w:rsid w:val="00BC49F5"/>
    <w:rsid w:val="00BC5544"/>
    <w:rsid w:val="00BC631C"/>
    <w:rsid w:val="00BC6A01"/>
    <w:rsid w:val="00BC7008"/>
    <w:rsid w:val="00BC7105"/>
    <w:rsid w:val="00BC7A2A"/>
    <w:rsid w:val="00BC7B26"/>
    <w:rsid w:val="00BD0225"/>
    <w:rsid w:val="00BD0472"/>
    <w:rsid w:val="00BD08C7"/>
    <w:rsid w:val="00BD0A52"/>
    <w:rsid w:val="00BD17A0"/>
    <w:rsid w:val="00BD19B4"/>
    <w:rsid w:val="00BD2850"/>
    <w:rsid w:val="00BD3B14"/>
    <w:rsid w:val="00BD3B48"/>
    <w:rsid w:val="00BD4F90"/>
    <w:rsid w:val="00BD5613"/>
    <w:rsid w:val="00BD569F"/>
    <w:rsid w:val="00BD5D75"/>
    <w:rsid w:val="00BD6830"/>
    <w:rsid w:val="00BD6833"/>
    <w:rsid w:val="00BD685B"/>
    <w:rsid w:val="00BD69FD"/>
    <w:rsid w:val="00BE04F1"/>
    <w:rsid w:val="00BE14D6"/>
    <w:rsid w:val="00BE165D"/>
    <w:rsid w:val="00BE1870"/>
    <w:rsid w:val="00BE219B"/>
    <w:rsid w:val="00BE224E"/>
    <w:rsid w:val="00BE25ED"/>
    <w:rsid w:val="00BE34E0"/>
    <w:rsid w:val="00BE34F1"/>
    <w:rsid w:val="00BE3B65"/>
    <w:rsid w:val="00BE3C50"/>
    <w:rsid w:val="00BE4674"/>
    <w:rsid w:val="00BE4AD3"/>
    <w:rsid w:val="00BE7BF8"/>
    <w:rsid w:val="00BF06B6"/>
    <w:rsid w:val="00BF0E3C"/>
    <w:rsid w:val="00BF1763"/>
    <w:rsid w:val="00BF22D5"/>
    <w:rsid w:val="00BF708D"/>
    <w:rsid w:val="00BF73A4"/>
    <w:rsid w:val="00BF75E7"/>
    <w:rsid w:val="00BF7C08"/>
    <w:rsid w:val="00C00CEE"/>
    <w:rsid w:val="00C018CC"/>
    <w:rsid w:val="00C01BE9"/>
    <w:rsid w:val="00C021AE"/>
    <w:rsid w:val="00C02706"/>
    <w:rsid w:val="00C02FF7"/>
    <w:rsid w:val="00C045B3"/>
    <w:rsid w:val="00C04E30"/>
    <w:rsid w:val="00C0575A"/>
    <w:rsid w:val="00C07141"/>
    <w:rsid w:val="00C076C7"/>
    <w:rsid w:val="00C10A51"/>
    <w:rsid w:val="00C11AFC"/>
    <w:rsid w:val="00C14751"/>
    <w:rsid w:val="00C147A6"/>
    <w:rsid w:val="00C15BA7"/>
    <w:rsid w:val="00C15E5E"/>
    <w:rsid w:val="00C15E7B"/>
    <w:rsid w:val="00C1697A"/>
    <w:rsid w:val="00C170D5"/>
    <w:rsid w:val="00C17CE2"/>
    <w:rsid w:val="00C20F0D"/>
    <w:rsid w:val="00C219AB"/>
    <w:rsid w:val="00C219C3"/>
    <w:rsid w:val="00C21B19"/>
    <w:rsid w:val="00C21B1D"/>
    <w:rsid w:val="00C21FE1"/>
    <w:rsid w:val="00C22531"/>
    <w:rsid w:val="00C2262A"/>
    <w:rsid w:val="00C2269F"/>
    <w:rsid w:val="00C226D4"/>
    <w:rsid w:val="00C227F9"/>
    <w:rsid w:val="00C22A48"/>
    <w:rsid w:val="00C22CF3"/>
    <w:rsid w:val="00C231A5"/>
    <w:rsid w:val="00C23C90"/>
    <w:rsid w:val="00C24D50"/>
    <w:rsid w:val="00C24E43"/>
    <w:rsid w:val="00C2627B"/>
    <w:rsid w:val="00C277F7"/>
    <w:rsid w:val="00C27C3E"/>
    <w:rsid w:val="00C300A6"/>
    <w:rsid w:val="00C305FB"/>
    <w:rsid w:val="00C308A5"/>
    <w:rsid w:val="00C314DA"/>
    <w:rsid w:val="00C31ED9"/>
    <w:rsid w:val="00C328A0"/>
    <w:rsid w:val="00C3365E"/>
    <w:rsid w:val="00C35AC3"/>
    <w:rsid w:val="00C35ED4"/>
    <w:rsid w:val="00C3784B"/>
    <w:rsid w:val="00C378F4"/>
    <w:rsid w:val="00C37ED6"/>
    <w:rsid w:val="00C386EE"/>
    <w:rsid w:val="00C40CC4"/>
    <w:rsid w:val="00C41C62"/>
    <w:rsid w:val="00C41E33"/>
    <w:rsid w:val="00C42213"/>
    <w:rsid w:val="00C42800"/>
    <w:rsid w:val="00C43A91"/>
    <w:rsid w:val="00C46F04"/>
    <w:rsid w:val="00C47D8E"/>
    <w:rsid w:val="00C5057F"/>
    <w:rsid w:val="00C51AC4"/>
    <w:rsid w:val="00C51C3B"/>
    <w:rsid w:val="00C51E7B"/>
    <w:rsid w:val="00C51F3E"/>
    <w:rsid w:val="00C52993"/>
    <w:rsid w:val="00C52E9E"/>
    <w:rsid w:val="00C53B23"/>
    <w:rsid w:val="00C54349"/>
    <w:rsid w:val="00C5460E"/>
    <w:rsid w:val="00C555EF"/>
    <w:rsid w:val="00C56ADB"/>
    <w:rsid w:val="00C6019B"/>
    <w:rsid w:val="00C6097D"/>
    <w:rsid w:val="00C61AE2"/>
    <w:rsid w:val="00C622EB"/>
    <w:rsid w:val="00C62837"/>
    <w:rsid w:val="00C639E2"/>
    <w:rsid w:val="00C63B60"/>
    <w:rsid w:val="00C644B7"/>
    <w:rsid w:val="00C64764"/>
    <w:rsid w:val="00C65264"/>
    <w:rsid w:val="00C65530"/>
    <w:rsid w:val="00C662F6"/>
    <w:rsid w:val="00C66761"/>
    <w:rsid w:val="00C66819"/>
    <w:rsid w:val="00C66A1A"/>
    <w:rsid w:val="00C66B57"/>
    <w:rsid w:val="00C66EA8"/>
    <w:rsid w:val="00C71498"/>
    <w:rsid w:val="00C7201C"/>
    <w:rsid w:val="00C72FBF"/>
    <w:rsid w:val="00C73440"/>
    <w:rsid w:val="00C7353F"/>
    <w:rsid w:val="00C73D7D"/>
    <w:rsid w:val="00C7532C"/>
    <w:rsid w:val="00C76386"/>
    <w:rsid w:val="00C76FBB"/>
    <w:rsid w:val="00C80C3C"/>
    <w:rsid w:val="00C812F3"/>
    <w:rsid w:val="00C81C9D"/>
    <w:rsid w:val="00C82588"/>
    <w:rsid w:val="00C82AD5"/>
    <w:rsid w:val="00C83727"/>
    <w:rsid w:val="00C844C7"/>
    <w:rsid w:val="00C846B2"/>
    <w:rsid w:val="00C846E2"/>
    <w:rsid w:val="00C849B8"/>
    <w:rsid w:val="00C84E1A"/>
    <w:rsid w:val="00C8587C"/>
    <w:rsid w:val="00C86F70"/>
    <w:rsid w:val="00C87641"/>
    <w:rsid w:val="00C87AE3"/>
    <w:rsid w:val="00C87D67"/>
    <w:rsid w:val="00C909A9"/>
    <w:rsid w:val="00C91544"/>
    <w:rsid w:val="00C91EAC"/>
    <w:rsid w:val="00C93178"/>
    <w:rsid w:val="00C940A5"/>
    <w:rsid w:val="00C94AAA"/>
    <w:rsid w:val="00C95B20"/>
    <w:rsid w:val="00C95CF2"/>
    <w:rsid w:val="00C96C16"/>
    <w:rsid w:val="00C97100"/>
    <w:rsid w:val="00C97701"/>
    <w:rsid w:val="00C97EB4"/>
    <w:rsid w:val="00C9B53A"/>
    <w:rsid w:val="00CA033C"/>
    <w:rsid w:val="00CA041A"/>
    <w:rsid w:val="00CA0476"/>
    <w:rsid w:val="00CA0EAF"/>
    <w:rsid w:val="00CA0F49"/>
    <w:rsid w:val="00CA18A3"/>
    <w:rsid w:val="00CA1DE0"/>
    <w:rsid w:val="00CA33A9"/>
    <w:rsid w:val="00CA3996"/>
    <w:rsid w:val="00CA3DCA"/>
    <w:rsid w:val="00CA3F27"/>
    <w:rsid w:val="00CA48B7"/>
    <w:rsid w:val="00CA569A"/>
    <w:rsid w:val="00CA5D43"/>
    <w:rsid w:val="00CA64DD"/>
    <w:rsid w:val="00CA6C59"/>
    <w:rsid w:val="00CA7A7C"/>
    <w:rsid w:val="00CA7B76"/>
    <w:rsid w:val="00CB01BB"/>
    <w:rsid w:val="00CB01FB"/>
    <w:rsid w:val="00CB0B9A"/>
    <w:rsid w:val="00CB16D3"/>
    <w:rsid w:val="00CB1F75"/>
    <w:rsid w:val="00CB26A2"/>
    <w:rsid w:val="00CB48BB"/>
    <w:rsid w:val="00CB5C4A"/>
    <w:rsid w:val="00CB6643"/>
    <w:rsid w:val="00CB6BEB"/>
    <w:rsid w:val="00CB7B64"/>
    <w:rsid w:val="00CC017A"/>
    <w:rsid w:val="00CC076C"/>
    <w:rsid w:val="00CC0F43"/>
    <w:rsid w:val="00CC27F4"/>
    <w:rsid w:val="00CC3673"/>
    <w:rsid w:val="00CC440E"/>
    <w:rsid w:val="00CC4F13"/>
    <w:rsid w:val="00CC6295"/>
    <w:rsid w:val="00CC74B5"/>
    <w:rsid w:val="00CD0502"/>
    <w:rsid w:val="00CD07A7"/>
    <w:rsid w:val="00CD2933"/>
    <w:rsid w:val="00CD2BC2"/>
    <w:rsid w:val="00CD30CB"/>
    <w:rsid w:val="00CD33C5"/>
    <w:rsid w:val="00CD3685"/>
    <w:rsid w:val="00CD3880"/>
    <w:rsid w:val="00CD3992"/>
    <w:rsid w:val="00CD3D41"/>
    <w:rsid w:val="00CD3ED2"/>
    <w:rsid w:val="00CD52EA"/>
    <w:rsid w:val="00CD5F19"/>
    <w:rsid w:val="00CD61D5"/>
    <w:rsid w:val="00CD64E2"/>
    <w:rsid w:val="00CD6E81"/>
    <w:rsid w:val="00CD70B5"/>
    <w:rsid w:val="00CE0C3F"/>
    <w:rsid w:val="00CE1B13"/>
    <w:rsid w:val="00CE3BF1"/>
    <w:rsid w:val="00CE4003"/>
    <w:rsid w:val="00CE46CB"/>
    <w:rsid w:val="00CE486A"/>
    <w:rsid w:val="00CE4C91"/>
    <w:rsid w:val="00CE5A21"/>
    <w:rsid w:val="00CE62E8"/>
    <w:rsid w:val="00CE6788"/>
    <w:rsid w:val="00CE71D7"/>
    <w:rsid w:val="00CE73C2"/>
    <w:rsid w:val="00CE74B9"/>
    <w:rsid w:val="00CE74E1"/>
    <w:rsid w:val="00CE7898"/>
    <w:rsid w:val="00CE7F33"/>
    <w:rsid w:val="00CE7FE7"/>
    <w:rsid w:val="00CED810"/>
    <w:rsid w:val="00CF0109"/>
    <w:rsid w:val="00CF0758"/>
    <w:rsid w:val="00CF0F87"/>
    <w:rsid w:val="00CF1217"/>
    <w:rsid w:val="00CF1560"/>
    <w:rsid w:val="00CF1F3C"/>
    <w:rsid w:val="00CF236E"/>
    <w:rsid w:val="00CF2EA7"/>
    <w:rsid w:val="00CF3400"/>
    <w:rsid w:val="00CF3852"/>
    <w:rsid w:val="00CF4276"/>
    <w:rsid w:val="00CF5290"/>
    <w:rsid w:val="00CF52FA"/>
    <w:rsid w:val="00CF5EAB"/>
    <w:rsid w:val="00CF5FF7"/>
    <w:rsid w:val="00CF73D2"/>
    <w:rsid w:val="00D0033F"/>
    <w:rsid w:val="00D0061D"/>
    <w:rsid w:val="00D009EF"/>
    <w:rsid w:val="00D02E44"/>
    <w:rsid w:val="00D03767"/>
    <w:rsid w:val="00D041FD"/>
    <w:rsid w:val="00D046F4"/>
    <w:rsid w:val="00D04A7D"/>
    <w:rsid w:val="00D04E9F"/>
    <w:rsid w:val="00D059F6"/>
    <w:rsid w:val="00D05BFE"/>
    <w:rsid w:val="00D0638C"/>
    <w:rsid w:val="00D07886"/>
    <w:rsid w:val="00D103EC"/>
    <w:rsid w:val="00D1071E"/>
    <w:rsid w:val="00D10F86"/>
    <w:rsid w:val="00D1180E"/>
    <w:rsid w:val="00D132E8"/>
    <w:rsid w:val="00D14297"/>
    <w:rsid w:val="00D14DA2"/>
    <w:rsid w:val="00D15DC4"/>
    <w:rsid w:val="00D15F96"/>
    <w:rsid w:val="00D16757"/>
    <w:rsid w:val="00D1724D"/>
    <w:rsid w:val="00D1728D"/>
    <w:rsid w:val="00D172A3"/>
    <w:rsid w:val="00D176A8"/>
    <w:rsid w:val="00D200DD"/>
    <w:rsid w:val="00D21D57"/>
    <w:rsid w:val="00D220AB"/>
    <w:rsid w:val="00D22D05"/>
    <w:rsid w:val="00D2372C"/>
    <w:rsid w:val="00D23A2A"/>
    <w:rsid w:val="00D23B07"/>
    <w:rsid w:val="00D24246"/>
    <w:rsid w:val="00D2460A"/>
    <w:rsid w:val="00D261B1"/>
    <w:rsid w:val="00D26286"/>
    <w:rsid w:val="00D26573"/>
    <w:rsid w:val="00D2670B"/>
    <w:rsid w:val="00D272C8"/>
    <w:rsid w:val="00D27D5E"/>
    <w:rsid w:val="00D30C4A"/>
    <w:rsid w:val="00D31A11"/>
    <w:rsid w:val="00D32420"/>
    <w:rsid w:val="00D3262D"/>
    <w:rsid w:val="00D32BD1"/>
    <w:rsid w:val="00D332F4"/>
    <w:rsid w:val="00D3460C"/>
    <w:rsid w:val="00D34693"/>
    <w:rsid w:val="00D34E2B"/>
    <w:rsid w:val="00D35645"/>
    <w:rsid w:val="00D35870"/>
    <w:rsid w:val="00D3675A"/>
    <w:rsid w:val="00D36A98"/>
    <w:rsid w:val="00D37549"/>
    <w:rsid w:val="00D37A3F"/>
    <w:rsid w:val="00D40406"/>
    <w:rsid w:val="00D40FDD"/>
    <w:rsid w:val="00D41176"/>
    <w:rsid w:val="00D41327"/>
    <w:rsid w:val="00D4162A"/>
    <w:rsid w:val="00D41D95"/>
    <w:rsid w:val="00D420CF"/>
    <w:rsid w:val="00D42277"/>
    <w:rsid w:val="00D42781"/>
    <w:rsid w:val="00D4299C"/>
    <w:rsid w:val="00D43C89"/>
    <w:rsid w:val="00D441CC"/>
    <w:rsid w:val="00D441CD"/>
    <w:rsid w:val="00D44AB6"/>
    <w:rsid w:val="00D44E59"/>
    <w:rsid w:val="00D458D6"/>
    <w:rsid w:val="00D46384"/>
    <w:rsid w:val="00D466AE"/>
    <w:rsid w:val="00D472EF"/>
    <w:rsid w:val="00D473FE"/>
    <w:rsid w:val="00D47E2F"/>
    <w:rsid w:val="00D504B4"/>
    <w:rsid w:val="00D50510"/>
    <w:rsid w:val="00D50F96"/>
    <w:rsid w:val="00D5150F"/>
    <w:rsid w:val="00D5199C"/>
    <w:rsid w:val="00D51C77"/>
    <w:rsid w:val="00D51F9E"/>
    <w:rsid w:val="00D527CB"/>
    <w:rsid w:val="00D52828"/>
    <w:rsid w:val="00D52941"/>
    <w:rsid w:val="00D52956"/>
    <w:rsid w:val="00D53022"/>
    <w:rsid w:val="00D5334C"/>
    <w:rsid w:val="00D53556"/>
    <w:rsid w:val="00D53D7B"/>
    <w:rsid w:val="00D55BFB"/>
    <w:rsid w:val="00D561EC"/>
    <w:rsid w:val="00D5682E"/>
    <w:rsid w:val="00D5693C"/>
    <w:rsid w:val="00D57092"/>
    <w:rsid w:val="00D5723E"/>
    <w:rsid w:val="00D57364"/>
    <w:rsid w:val="00D57543"/>
    <w:rsid w:val="00D5795C"/>
    <w:rsid w:val="00D60543"/>
    <w:rsid w:val="00D60C46"/>
    <w:rsid w:val="00D60E73"/>
    <w:rsid w:val="00D6152C"/>
    <w:rsid w:val="00D63137"/>
    <w:rsid w:val="00D639B8"/>
    <w:rsid w:val="00D647C8"/>
    <w:rsid w:val="00D6514B"/>
    <w:rsid w:val="00D65210"/>
    <w:rsid w:val="00D66B7B"/>
    <w:rsid w:val="00D67BF2"/>
    <w:rsid w:val="00D70511"/>
    <w:rsid w:val="00D706CD"/>
    <w:rsid w:val="00D73332"/>
    <w:rsid w:val="00D73644"/>
    <w:rsid w:val="00D74B96"/>
    <w:rsid w:val="00D74E0D"/>
    <w:rsid w:val="00D7628B"/>
    <w:rsid w:val="00D769FA"/>
    <w:rsid w:val="00D76EE7"/>
    <w:rsid w:val="00D771DD"/>
    <w:rsid w:val="00D7B626"/>
    <w:rsid w:val="00D804C8"/>
    <w:rsid w:val="00D809FB"/>
    <w:rsid w:val="00D814BE"/>
    <w:rsid w:val="00D819AC"/>
    <w:rsid w:val="00D81ECF"/>
    <w:rsid w:val="00D8204F"/>
    <w:rsid w:val="00D82464"/>
    <w:rsid w:val="00D82C13"/>
    <w:rsid w:val="00D82FA7"/>
    <w:rsid w:val="00D83062"/>
    <w:rsid w:val="00D83C16"/>
    <w:rsid w:val="00D84398"/>
    <w:rsid w:val="00D84E12"/>
    <w:rsid w:val="00D85150"/>
    <w:rsid w:val="00D867D5"/>
    <w:rsid w:val="00D86BB4"/>
    <w:rsid w:val="00D8716C"/>
    <w:rsid w:val="00D90F49"/>
    <w:rsid w:val="00D91FA2"/>
    <w:rsid w:val="00D930D7"/>
    <w:rsid w:val="00D9332F"/>
    <w:rsid w:val="00D938CB"/>
    <w:rsid w:val="00D94CC5"/>
    <w:rsid w:val="00D950B3"/>
    <w:rsid w:val="00D9687C"/>
    <w:rsid w:val="00D96FAE"/>
    <w:rsid w:val="00D96FC4"/>
    <w:rsid w:val="00D97920"/>
    <w:rsid w:val="00D97C44"/>
    <w:rsid w:val="00D9BBFF"/>
    <w:rsid w:val="00DA10BB"/>
    <w:rsid w:val="00DA180D"/>
    <w:rsid w:val="00DA1D23"/>
    <w:rsid w:val="00DA1DDD"/>
    <w:rsid w:val="00DA2385"/>
    <w:rsid w:val="00DA2DC3"/>
    <w:rsid w:val="00DA2F82"/>
    <w:rsid w:val="00DA3F22"/>
    <w:rsid w:val="00DA4C44"/>
    <w:rsid w:val="00DA6AA5"/>
    <w:rsid w:val="00DA6E81"/>
    <w:rsid w:val="00DA79D1"/>
    <w:rsid w:val="00DB12FF"/>
    <w:rsid w:val="00DB1871"/>
    <w:rsid w:val="00DB1BBD"/>
    <w:rsid w:val="00DB1CAD"/>
    <w:rsid w:val="00DB1DFC"/>
    <w:rsid w:val="00DB3109"/>
    <w:rsid w:val="00DB3F78"/>
    <w:rsid w:val="00DB4D89"/>
    <w:rsid w:val="00DB7833"/>
    <w:rsid w:val="00DB7C66"/>
    <w:rsid w:val="00DB7EF8"/>
    <w:rsid w:val="00DC1BEC"/>
    <w:rsid w:val="00DC434F"/>
    <w:rsid w:val="00DC4AA4"/>
    <w:rsid w:val="00DC4AFE"/>
    <w:rsid w:val="00DC616A"/>
    <w:rsid w:val="00DC62E7"/>
    <w:rsid w:val="00DC7993"/>
    <w:rsid w:val="00DD08BC"/>
    <w:rsid w:val="00DD0E2F"/>
    <w:rsid w:val="00DD1FCF"/>
    <w:rsid w:val="00DD3CDD"/>
    <w:rsid w:val="00DD3F31"/>
    <w:rsid w:val="00DD41B5"/>
    <w:rsid w:val="00DD4D26"/>
    <w:rsid w:val="00DD5688"/>
    <w:rsid w:val="00DD5EB0"/>
    <w:rsid w:val="00DD5FE6"/>
    <w:rsid w:val="00DD6024"/>
    <w:rsid w:val="00DD6317"/>
    <w:rsid w:val="00DE1D43"/>
    <w:rsid w:val="00DE27B1"/>
    <w:rsid w:val="00DE28D5"/>
    <w:rsid w:val="00DE2EE4"/>
    <w:rsid w:val="00DE3785"/>
    <w:rsid w:val="00DE38B3"/>
    <w:rsid w:val="00DE3BFA"/>
    <w:rsid w:val="00DE3FAB"/>
    <w:rsid w:val="00DE4AFA"/>
    <w:rsid w:val="00DE4B0D"/>
    <w:rsid w:val="00DE4B40"/>
    <w:rsid w:val="00DE4C0D"/>
    <w:rsid w:val="00DE507C"/>
    <w:rsid w:val="00DE762F"/>
    <w:rsid w:val="00DE7E0A"/>
    <w:rsid w:val="00DED2AD"/>
    <w:rsid w:val="00DF0BC8"/>
    <w:rsid w:val="00DF0BF8"/>
    <w:rsid w:val="00DF1DFE"/>
    <w:rsid w:val="00DF2D51"/>
    <w:rsid w:val="00DF30CA"/>
    <w:rsid w:val="00DF31A9"/>
    <w:rsid w:val="00DF3CAC"/>
    <w:rsid w:val="00DF540E"/>
    <w:rsid w:val="00DF5623"/>
    <w:rsid w:val="00DF5695"/>
    <w:rsid w:val="00DF5F2C"/>
    <w:rsid w:val="00DF6492"/>
    <w:rsid w:val="00DF6BFF"/>
    <w:rsid w:val="00DF703E"/>
    <w:rsid w:val="00DF7063"/>
    <w:rsid w:val="00DF7185"/>
    <w:rsid w:val="00DF72B0"/>
    <w:rsid w:val="00DF7772"/>
    <w:rsid w:val="00DF781B"/>
    <w:rsid w:val="00E00590"/>
    <w:rsid w:val="00E01349"/>
    <w:rsid w:val="00E02210"/>
    <w:rsid w:val="00E030A6"/>
    <w:rsid w:val="00E03982"/>
    <w:rsid w:val="00E05035"/>
    <w:rsid w:val="00E055AD"/>
    <w:rsid w:val="00E064C6"/>
    <w:rsid w:val="00E07D4D"/>
    <w:rsid w:val="00E07DF0"/>
    <w:rsid w:val="00E07E9D"/>
    <w:rsid w:val="00E10D0B"/>
    <w:rsid w:val="00E10E9B"/>
    <w:rsid w:val="00E11322"/>
    <w:rsid w:val="00E1142A"/>
    <w:rsid w:val="00E11439"/>
    <w:rsid w:val="00E11445"/>
    <w:rsid w:val="00E14834"/>
    <w:rsid w:val="00E14C33"/>
    <w:rsid w:val="00E14F46"/>
    <w:rsid w:val="00E15775"/>
    <w:rsid w:val="00E157B9"/>
    <w:rsid w:val="00E15B12"/>
    <w:rsid w:val="00E16613"/>
    <w:rsid w:val="00E211FE"/>
    <w:rsid w:val="00E225B8"/>
    <w:rsid w:val="00E2294A"/>
    <w:rsid w:val="00E2296E"/>
    <w:rsid w:val="00E22FE7"/>
    <w:rsid w:val="00E252F9"/>
    <w:rsid w:val="00E253C8"/>
    <w:rsid w:val="00E25822"/>
    <w:rsid w:val="00E2586D"/>
    <w:rsid w:val="00E2602A"/>
    <w:rsid w:val="00E2634E"/>
    <w:rsid w:val="00E264B6"/>
    <w:rsid w:val="00E266D3"/>
    <w:rsid w:val="00E26DBA"/>
    <w:rsid w:val="00E26EBB"/>
    <w:rsid w:val="00E30FA4"/>
    <w:rsid w:val="00E31E8B"/>
    <w:rsid w:val="00E31F18"/>
    <w:rsid w:val="00E3267F"/>
    <w:rsid w:val="00E32C05"/>
    <w:rsid w:val="00E342C4"/>
    <w:rsid w:val="00E3465C"/>
    <w:rsid w:val="00E346BF"/>
    <w:rsid w:val="00E34BFA"/>
    <w:rsid w:val="00E35383"/>
    <w:rsid w:val="00E35541"/>
    <w:rsid w:val="00E3561C"/>
    <w:rsid w:val="00E35BD9"/>
    <w:rsid w:val="00E367C3"/>
    <w:rsid w:val="00E370A3"/>
    <w:rsid w:val="00E40E7F"/>
    <w:rsid w:val="00E4139B"/>
    <w:rsid w:val="00E420C9"/>
    <w:rsid w:val="00E421D7"/>
    <w:rsid w:val="00E42296"/>
    <w:rsid w:val="00E42A01"/>
    <w:rsid w:val="00E438A8"/>
    <w:rsid w:val="00E44276"/>
    <w:rsid w:val="00E449BD"/>
    <w:rsid w:val="00E45CA4"/>
    <w:rsid w:val="00E462C0"/>
    <w:rsid w:val="00E46576"/>
    <w:rsid w:val="00E47085"/>
    <w:rsid w:val="00E470B0"/>
    <w:rsid w:val="00E473B5"/>
    <w:rsid w:val="00E474E9"/>
    <w:rsid w:val="00E47B1F"/>
    <w:rsid w:val="00E5090C"/>
    <w:rsid w:val="00E50F0D"/>
    <w:rsid w:val="00E5114E"/>
    <w:rsid w:val="00E51301"/>
    <w:rsid w:val="00E524E7"/>
    <w:rsid w:val="00E525C9"/>
    <w:rsid w:val="00E52936"/>
    <w:rsid w:val="00E52E5C"/>
    <w:rsid w:val="00E533B3"/>
    <w:rsid w:val="00E535EE"/>
    <w:rsid w:val="00E53753"/>
    <w:rsid w:val="00E53AE1"/>
    <w:rsid w:val="00E54C64"/>
    <w:rsid w:val="00E54D78"/>
    <w:rsid w:val="00E558F7"/>
    <w:rsid w:val="00E569BD"/>
    <w:rsid w:val="00E56ADC"/>
    <w:rsid w:val="00E56DC9"/>
    <w:rsid w:val="00E607F3"/>
    <w:rsid w:val="00E61E3D"/>
    <w:rsid w:val="00E6207C"/>
    <w:rsid w:val="00E6491E"/>
    <w:rsid w:val="00E64AB4"/>
    <w:rsid w:val="00E64BB1"/>
    <w:rsid w:val="00E65236"/>
    <w:rsid w:val="00E66A0F"/>
    <w:rsid w:val="00E66A79"/>
    <w:rsid w:val="00E67D7F"/>
    <w:rsid w:val="00E70AD3"/>
    <w:rsid w:val="00E71CD5"/>
    <w:rsid w:val="00E72F15"/>
    <w:rsid w:val="00E73141"/>
    <w:rsid w:val="00E7492F"/>
    <w:rsid w:val="00E74B89"/>
    <w:rsid w:val="00E754FA"/>
    <w:rsid w:val="00E758A1"/>
    <w:rsid w:val="00E7593A"/>
    <w:rsid w:val="00E76427"/>
    <w:rsid w:val="00E765F3"/>
    <w:rsid w:val="00E76E92"/>
    <w:rsid w:val="00E802CC"/>
    <w:rsid w:val="00E80669"/>
    <w:rsid w:val="00E80D3D"/>
    <w:rsid w:val="00E80E6B"/>
    <w:rsid w:val="00E81567"/>
    <w:rsid w:val="00E81AF6"/>
    <w:rsid w:val="00E81B12"/>
    <w:rsid w:val="00E8257A"/>
    <w:rsid w:val="00E82E09"/>
    <w:rsid w:val="00E83291"/>
    <w:rsid w:val="00E83A78"/>
    <w:rsid w:val="00E84076"/>
    <w:rsid w:val="00E84603"/>
    <w:rsid w:val="00E84D1B"/>
    <w:rsid w:val="00E85023"/>
    <w:rsid w:val="00E85133"/>
    <w:rsid w:val="00E85D63"/>
    <w:rsid w:val="00E86054"/>
    <w:rsid w:val="00E8658A"/>
    <w:rsid w:val="00E90E80"/>
    <w:rsid w:val="00E95495"/>
    <w:rsid w:val="00E95686"/>
    <w:rsid w:val="00E96614"/>
    <w:rsid w:val="00E96E97"/>
    <w:rsid w:val="00E97166"/>
    <w:rsid w:val="00E97175"/>
    <w:rsid w:val="00EA002F"/>
    <w:rsid w:val="00EA08EE"/>
    <w:rsid w:val="00EA0B3E"/>
    <w:rsid w:val="00EA0F06"/>
    <w:rsid w:val="00EA14FC"/>
    <w:rsid w:val="00EA2F30"/>
    <w:rsid w:val="00EA347F"/>
    <w:rsid w:val="00EA4769"/>
    <w:rsid w:val="00EA4E05"/>
    <w:rsid w:val="00EA622A"/>
    <w:rsid w:val="00EA7E5F"/>
    <w:rsid w:val="00EB04AD"/>
    <w:rsid w:val="00EB108A"/>
    <w:rsid w:val="00EB1A6E"/>
    <w:rsid w:val="00EB1ACC"/>
    <w:rsid w:val="00EB1D35"/>
    <w:rsid w:val="00EB2AB5"/>
    <w:rsid w:val="00EB3773"/>
    <w:rsid w:val="00EB381F"/>
    <w:rsid w:val="00EB3EB6"/>
    <w:rsid w:val="00EB469F"/>
    <w:rsid w:val="00EB48E7"/>
    <w:rsid w:val="00EB54CB"/>
    <w:rsid w:val="00EB6297"/>
    <w:rsid w:val="00EB6672"/>
    <w:rsid w:val="00EB66F5"/>
    <w:rsid w:val="00EB70EC"/>
    <w:rsid w:val="00EB722B"/>
    <w:rsid w:val="00EBF2B6"/>
    <w:rsid w:val="00EC16BA"/>
    <w:rsid w:val="00EC1A68"/>
    <w:rsid w:val="00EC3C0C"/>
    <w:rsid w:val="00EC4D46"/>
    <w:rsid w:val="00EC52CB"/>
    <w:rsid w:val="00EC58F5"/>
    <w:rsid w:val="00EC5C28"/>
    <w:rsid w:val="00EC6A85"/>
    <w:rsid w:val="00EC6DB7"/>
    <w:rsid w:val="00EC7850"/>
    <w:rsid w:val="00ECCEAE"/>
    <w:rsid w:val="00ED04B7"/>
    <w:rsid w:val="00ED180F"/>
    <w:rsid w:val="00ED1BD0"/>
    <w:rsid w:val="00ED270F"/>
    <w:rsid w:val="00ED35FC"/>
    <w:rsid w:val="00ED4B1C"/>
    <w:rsid w:val="00ED5B71"/>
    <w:rsid w:val="00ED7BA0"/>
    <w:rsid w:val="00EE0D7A"/>
    <w:rsid w:val="00EE1426"/>
    <w:rsid w:val="00EE1B7E"/>
    <w:rsid w:val="00EE219B"/>
    <w:rsid w:val="00EE25B1"/>
    <w:rsid w:val="00EE2691"/>
    <w:rsid w:val="00EE2F7D"/>
    <w:rsid w:val="00EE3014"/>
    <w:rsid w:val="00EE3881"/>
    <w:rsid w:val="00EE3C12"/>
    <w:rsid w:val="00EE3DB2"/>
    <w:rsid w:val="00EE4C2D"/>
    <w:rsid w:val="00EE642D"/>
    <w:rsid w:val="00EE6D45"/>
    <w:rsid w:val="00EE6F85"/>
    <w:rsid w:val="00EE76CC"/>
    <w:rsid w:val="00EE7B43"/>
    <w:rsid w:val="00EF0CC0"/>
    <w:rsid w:val="00EF2CE7"/>
    <w:rsid w:val="00EF31F2"/>
    <w:rsid w:val="00EF43FD"/>
    <w:rsid w:val="00EF582B"/>
    <w:rsid w:val="00EF5B5A"/>
    <w:rsid w:val="00EF60B1"/>
    <w:rsid w:val="00EF6F92"/>
    <w:rsid w:val="00EF7549"/>
    <w:rsid w:val="00EF783C"/>
    <w:rsid w:val="00F00743"/>
    <w:rsid w:val="00F00EF9"/>
    <w:rsid w:val="00F01180"/>
    <w:rsid w:val="00F01182"/>
    <w:rsid w:val="00F01865"/>
    <w:rsid w:val="00F01BC3"/>
    <w:rsid w:val="00F01D15"/>
    <w:rsid w:val="00F01E96"/>
    <w:rsid w:val="00F02713"/>
    <w:rsid w:val="00F02E9F"/>
    <w:rsid w:val="00F039F5"/>
    <w:rsid w:val="00F03BD6"/>
    <w:rsid w:val="00F04E23"/>
    <w:rsid w:val="00F07E7E"/>
    <w:rsid w:val="00F1056A"/>
    <w:rsid w:val="00F10C3F"/>
    <w:rsid w:val="00F12691"/>
    <w:rsid w:val="00F12B31"/>
    <w:rsid w:val="00F131EB"/>
    <w:rsid w:val="00F147A3"/>
    <w:rsid w:val="00F1482C"/>
    <w:rsid w:val="00F167B1"/>
    <w:rsid w:val="00F16A80"/>
    <w:rsid w:val="00F172F0"/>
    <w:rsid w:val="00F17D73"/>
    <w:rsid w:val="00F2073A"/>
    <w:rsid w:val="00F21AC8"/>
    <w:rsid w:val="00F22439"/>
    <w:rsid w:val="00F2338E"/>
    <w:rsid w:val="00F2427E"/>
    <w:rsid w:val="00F242D4"/>
    <w:rsid w:val="00F24F8C"/>
    <w:rsid w:val="00F2539B"/>
    <w:rsid w:val="00F2777B"/>
    <w:rsid w:val="00F27F33"/>
    <w:rsid w:val="00F308B2"/>
    <w:rsid w:val="00F30F4C"/>
    <w:rsid w:val="00F311BC"/>
    <w:rsid w:val="00F313F7"/>
    <w:rsid w:val="00F31802"/>
    <w:rsid w:val="00F31A73"/>
    <w:rsid w:val="00F31DB8"/>
    <w:rsid w:val="00F3354A"/>
    <w:rsid w:val="00F33980"/>
    <w:rsid w:val="00F34303"/>
    <w:rsid w:val="00F34493"/>
    <w:rsid w:val="00F3483F"/>
    <w:rsid w:val="00F34F59"/>
    <w:rsid w:val="00F354F9"/>
    <w:rsid w:val="00F3608E"/>
    <w:rsid w:val="00F3622E"/>
    <w:rsid w:val="00F36EBA"/>
    <w:rsid w:val="00F3781A"/>
    <w:rsid w:val="00F37A73"/>
    <w:rsid w:val="00F37E4F"/>
    <w:rsid w:val="00F37F23"/>
    <w:rsid w:val="00F4062B"/>
    <w:rsid w:val="00F41056"/>
    <w:rsid w:val="00F42718"/>
    <w:rsid w:val="00F42C9F"/>
    <w:rsid w:val="00F43137"/>
    <w:rsid w:val="00F4314E"/>
    <w:rsid w:val="00F43400"/>
    <w:rsid w:val="00F438D8"/>
    <w:rsid w:val="00F45913"/>
    <w:rsid w:val="00F459A0"/>
    <w:rsid w:val="00F461F5"/>
    <w:rsid w:val="00F4666E"/>
    <w:rsid w:val="00F469CE"/>
    <w:rsid w:val="00F4751D"/>
    <w:rsid w:val="00F475B3"/>
    <w:rsid w:val="00F509CF"/>
    <w:rsid w:val="00F50A72"/>
    <w:rsid w:val="00F514FA"/>
    <w:rsid w:val="00F51B42"/>
    <w:rsid w:val="00F524EC"/>
    <w:rsid w:val="00F52E2C"/>
    <w:rsid w:val="00F5322C"/>
    <w:rsid w:val="00F532CF"/>
    <w:rsid w:val="00F546DA"/>
    <w:rsid w:val="00F54D8B"/>
    <w:rsid w:val="00F576BB"/>
    <w:rsid w:val="00F57C4C"/>
    <w:rsid w:val="00F6088D"/>
    <w:rsid w:val="00F608B2"/>
    <w:rsid w:val="00F63912"/>
    <w:rsid w:val="00F6487E"/>
    <w:rsid w:val="00F64E96"/>
    <w:rsid w:val="00F65E75"/>
    <w:rsid w:val="00F660E8"/>
    <w:rsid w:val="00F67051"/>
    <w:rsid w:val="00F670A2"/>
    <w:rsid w:val="00F6770D"/>
    <w:rsid w:val="00F67FE7"/>
    <w:rsid w:val="00F7015F"/>
    <w:rsid w:val="00F7032D"/>
    <w:rsid w:val="00F70808"/>
    <w:rsid w:val="00F709B6"/>
    <w:rsid w:val="00F70A1E"/>
    <w:rsid w:val="00F70B8D"/>
    <w:rsid w:val="00F71126"/>
    <w:rsid w:val="00F71EA8"/>
    <w:rsid w:val="00F72414"/>
    <w:rsid w:val="00F7250F"/>
    <w:rsid w:val="00F72DE0"/>
    <w:rsid w:val="00F7566A"/>
    <w:rsid w:val="00F756E7"/>
    <w:rsid w:val="00F75B27"/>
    <w:rsid w:val="00F7617D"/>
    <w:rsid w:val="00F76497"/>
    <w:rsid w:val="00F77206"/>
    <w:rsid w:val="00F77AB4"/>
    <w:rsid w:val="00F80013"/>
    <w:rsid w:val="00F8075F"/>
    <w:rsid w:val="00F81352"/>
    <w:rsid w:val="00F84CB6"/>
    <w:rsid w:val="00F862B8"/>
    <w:rsid w:val="00F8749E"/>
    <w:rsid w:val="00F91010"/>
    <w:rsid w:val="00F9177E"/>
    <w:rsid w:val="00F9239A"/>
    <w:rsid w:val="00F928EE"/>
    <w:rsid w:val="00F93029"/>
    <w:rsid w:val="00F94A09"/>
    <w:rsid w:val="00F95B48"/>
    <w:rsid w:val="00F96A1A"/>
    <w:rsid w:val="00F96F51"/>
    <w:rsid w:val="00F97348"/>
    <w:rsid w:val="00F97808"/>
    <w:rsid w:val="00F978E0"/>
    <w:rsid w:val="00F97A8F"/>
    <w:rsid w:val="00FA07FE"/>
    <w:rsid w:val="00FA14A8"/>
    <w:rsid w:val="00FA2AE2"/>
    <w:rsid w:val="00FA4FFD"/>
    <w:rsid w:val="00FA576D"/>
    <w:rsid w:val="00FA57B5"/>
    <w:rsid w:val="00FA63C3"/>
    <w:rsid w:val="00FA6620"/>
    <w:rsid w:val="00FA66D0"/>
    <w:rsid w:val="00FA693F"/>
    <w:rsid w:val="00FA6EC4"/>
    <w:rsid w:val="00FA716A"/>
    <w:rsid w:val="00FB007A"/>
    <w:rsid w:val="00FB1C3E"/>
    <w:rsid w:val="00FB2DEE"/>
    <w:rsid w:val="00FB4414"/>
    <w:rsid w:val="00FB510D"/>
    <w:rsid w:val="00FB56B1"/>
    <w:rsid w:val="00FB5883"/>
    <w:rsid w:val="00FB5A18"/>
    <w:rsid w:val="00FB7115"/>
    <w:rsid w:val="00FB7D09"/>
    <w:rsid w:val="00FC0227"/>
    <w:rsid w:val="00FC0354"/>
    <w:rsid w:val="00FC0532"/>
    <w:rsid w:val="00FC143C"/>
    <w:rsid w:val="00FC1A28"/>
    <w:rsid w:val="00FC1A30"/>
    <w:rsid w:val="00FC1A7E"/>
    <w:rsid w:val="00FC25CD"/>
    <w:rsid w:val="00FC28DB"/>
    <w:rsid w:val="00FC2A92"/>
    <w:rsid w:val="00FC3A5F"/>
    <w:rsid w:val="00FC40DA"/>
    <w:rsid w:val="00FC4B56"/>
    <w:rsid w:val="00FC5156"/>
    <w:rsid w:val="00FC5205"/>
    <w:rsid w:val="00FC5CE8"/>
    <w:rsid w:val="00FC74BE"/>
    <w:rsid w:val="00FC772A"/>
    <w:rsid w:val="00FD15D1"/>
    <w:rsid w:val="00FD16CA"/>
    <w:rsid w:val="00FD189A"/>
    <w:rsid w:val="00FD2099"/>
    <w:rsid w:val="00FD3A5A"/>
    <w:rsid w:val="00FD3E1C"/>
    <w:rsid w:val="00FD46E6"/>
    <w:rsid w:val="00FD46ED"/>
    <w:rsid w:val="00FD4C65"/>
    <w:rsid w:val="00FD4E33"/>
    <w:rsid w:val="00FD5634"/>
    <w:rsid w:val="00FD5FCB"/>
    <w:rsid w:val="00FD6A17"/>
    <w:rsid w:val="00FD743F"/>
    <w:rsid w:val="00FE0041"/>
    <w:rsid w:val="00FE2409"/>
    <w:rsid w:val="00FE2D6D"/>
    <w:rsid w:val="00FE328E"/>
    <w:rsid w:val="00FE3305"/>
    <w:rsid w:val="00FE3B70"/>
    <w:rsid w:val="00FE4CA0"/>
    <w:rsid w:val="00FE50CF"/>
    <w:rsid w:val="00FE5DC9"/>
    <w:rsid w:val="00FE6D3C"/>
    <w:rsid w:val="00FE714E"/>
    <w:rsid w:val="00FE746B"/>
    <w:rsid w:val="00FE7552"/>
    <w:rsid w:val="00FE7AC8"/>
    <w:rsid w:val="00FE7F84"/>
    <w:rsid w:val="00FF1C6C"/>
    <w:rsid w:val="00FF1D60"/>
    <w:rsid w:val="00FF1F92"/>
    <w:rsid w:val="00FF2721"/>
    <w:rsid w:val="00FF29B7"/>
    <w:rsid w:val="00FF3A78"/>
    <w:rsid w:val="00FF4C18"/>
    <w:rsid w:val="00FF5EFC"/>
    <w:rsid w:val="00FF6A2C"/>
    <w:rsid w:val="00FF6B5F"/>
    <w:rsid w:val="00FF7A90"/>
    <w:rsid w:val="010599ED"/>
    <w:rsid w:val="010D61D1"/>
    <w:rsid w:val="01110983"/>
    <w:rsid w:val="0116A877"/>
    <w:rsid w:val="01379234"/>
    <w:rsid w:val="0143F05B"/>
    <w:rsid w:val="014499E2"/>
    <w:rsid w:val="0149A093"/>
    <w:rsid w:val="014B7C8E"/>
    <w:rsid w:val="014C8B06"/>
    <w:rsid w:val="01520524"/>
    <w:rsid w:val="015B8F1D"/>
    <w:rsid w:val="016B6565"/>
    <w:rsid w:val="016DA5C2"/>
    <w:rsid w:val="017026FD"/>
    <w:rsid w:val="0170EDDD"/>
    <w:rsid w:val="0187DB81"/>
    <w:rsid w:val="01946939"/>
    <w:rsid w:val="0197BC66"/>
    <w:rsid w:val="01A317D6"/>
    <w:rsid w:val="01A70425"/>
    <w:rsid w:val="01AD42A7"/>
    <w:rsid w:val="01B42F50"/>
    <w:rsid w:val="01B56135"/>
    <w:rsid w:val="01BCB9CC"/>
    <w:rsid w:val="01C168C2"/>
    <w:rsid w:val="01C27E3C"/>
    <w:rsid w:val="01E138EB"/>
    <w:rsid w:val="01E61DE0"/>
    <w:rsid w:val="01EFDE5A"/>
    <w:rsid w:val="01F29227"/>
    <w:rsid w:val="01F73DF1"/>
    <w:rsid w:val="01FAEE51"/>
    <w:rsid w:val="01FC29B6"/>
    <w:rsid w:val="021920CA"/>
    <w:rsid w:val="021D5A45"/>
    <w:rsid w:val="02251DBA"/>
    <w:rsid w:val="022BB9CE"/>
    <w:rsid w:val="022F81E5"/>
    <w:rsid w:val="0235E8B9"/>
    <w:rsid w:val="023F384B"/>
    <w:rsid w:val="024F73DC"/>
    <w:rsid w:val="024FC313"/>
    <w:rsid w:val="0255E300"/>
    <w:rsid w:val="025D3F44"/>
    <w:rsid w:val="025F0746"/>
    <w:rsid w:val="02769206"/>
    <w:rsid w:val="028CBEBD"/>
    <w:rsid w:val="02901AF7"/>
    <w:rsid w:val="0291711C"/>
    <w:rsid w:val="02A5768F"/>
    <w:rsid w:val="02AF5E07"/>
    <w:rsid w:val="02BBF54D"/>
    <w:rsid w:val="02BEAE00"/>
    <w:rsid w:val="02C355B3"/>
    <w:rsid w:val="02C77757"/>
    <w:rsid w:val="02D27D44"/>
    <w:rsid w:val="02E3D07F"/>
    <w:rsid w:val="02E48DE6"/>
    <w:rsid w:val="02E83A0F"/>
    <w:rsid w:val="02EA78A7"/>
    <w:rsid w:val="02F63174"/>
    <w:rsid w:val="02F75F7E"/>
    <w:rsid w:val="02FC0190"/>
    <w:rsid w:val="03053EC9"/>
    <w:rsid w:val="031A1C4F"/>
    <w:rsid w:val="031A62A8"/>
    <w:rsid w:val="03338CC7"/>
    <w:rsid w:val="0335DDBF"/>
    <w:rsid w:val="0337FCF8"/>
    <w:rsid w:val="0338DE79"/>
    <w:rsid w:val="0355EED2"/>
    <w:rsid w:val="03571B69"/>
    <w:rsid w:val="036154BC"/>
    <w:rsid w:val="0367FE8A"/>
    <w:rsid w:val="03720A07"/>
    <w:rsid w:val="0372AE97"/>
    <w:rsid w:val="03745078"/>
    <w:rsid w:val="03789DE2"/>
    <w:rsid w:val="037C57FB"/>
    <w:rsid w:val="03827938"/>
    <w:rsid w:val="03829E18"/>
    <w:rsid w:val="0385189E"/>
    <w:rsid w:val="0386147D"/>
    <w:rsid w:val="038E80E4"/>
    <w:rsid w:val="03952ACF"/>
    <w:rsid w:val="03A5A066"/>
    <w:rsid w:val="03BB9D3B"/>
    <w:rsid w:val="03CC9065"/>
    <w:rsid w:val="03DEB953"/>
    <w:rsid w:val="03E32727"/>
    <w:rsid w:val="03E97F98"/>
    <w:rsid w:val="03EB3856"/>
    <w:rsid w:val="03FCA6C2"/>
    <w:rsid w:val="03FD6758"/>
    <w:rsid w:val="04039F73"/>
    <w:rsid w:val="040B1CCD"/>
    <w:rsid w:val="040DECDB"/>
    <w:rsid w:val="0410AA9F"/>
    <w:rsid w:val="0413169A"/>
    <w:rsid w:val="041FD6CE"/>
    <w:rsid w:val="04268B23"/>
    <w:rsid w:val="042F81E8"/>
    <w:rsid w:val="043D5265"/>
    <w:rsid w:val="044009AA"/>
    <w:rsid w:val="0445EFF8"/>
    <w:rsid w:val="044D3CA9"/>
    <w:rsid w:val="0458CD60"/>
    <w:rsid w:val="045EDB2F"/>
    <w:rsid w:val="04608705"/>
    <w:rsid w:val="0462CAAA"/>
    <w:rsid w:val="0465A936"/>
    <w:rsid w:val="04694A37"/>
    <w:rsid w:val="0470EF8A"/>
    <w:rsid w:val="04769A14"/>
    <w:rsid w:val="047D2BD1"/>
    <w:rsid w:val="048EB77E"/>
    <w:rsid w:val="04939205"/>
    <w:rsid w:val="0494DFB3"/>
    <w:rsid w:val="0498BEC1"/>
    <w:rsid w:val="049CF9C6"/>
    <w:rsid w:val="049E5D0C"/>
    <w:rsid w:val="04A6242A"/>
    <w:rsid w:val="04A64329"/>
    <w:rsid w:val="04A93CB3"/>
    <w:rsid w:val="04ACD468"/>
    <w:rsid w:val="04B164ED"/>
    <w:rsid w:val="04BDDBDD"/>
    <w:rsid w:val="04BF233D"/>
    <w:rsid w:val="04C0AA37"/>
    <w:rsid w:val="04CBADFD"/>
    <w:rsid w:val="04D2C6E5"/>
    <w:rsid w:val="04D662E0"/>
    <w:rsid w:val="04DB0E79"/>
    <w:rsid w:val="04E753E0"/>
    <w:rsid w:val="04EBD012"/>
    <w:rsid w:val="04F50566"/>
    <w:rsid w:val="04F69131"/>
    <w:rsid w:val="050F2683"/>
    <w:rsid w:val="05187B1C"/>
    <w:rsid w:val="051BAB59"/>
    <w:rsid w:val="0523AD05"/>
    <w:rsid w:val="05277C1F"/>
    <w:rsid w:val="05345062"/>
    <w:rsid w:val="05378FF1"/>
    <w:rsid w:val="053C3132"/>
    <w:rsid w:val="05478160"/>
    <w:rsid w:val="05559FC5"/>
    <w:rsid w:val="055BFE59"/>
    <w:rsid w:val="056F09DB"/>
    <w:rsid w:val="057A2525"/>
    <w:rsid w:val="05807ED6"/>
    <w:rsid w:val="05826BA7"/>
    <w:rsid w:val="05950A6B"/>
    <w:rsid w:val="05969016"/>
    <w:rsid w:val="05996970"/>
    <w:rsid w:val="059EF5B8"/>
    <w:rsid w:val="05A063F9"/>
    <w:rsid w:val="05A7D5E6"/>
    <w:rsid w:val="05B4F363"/>
    <w:rsid w:val="05B5680E"/>
    <w:rsid w:val="05BDC546"/>
    <w:rsid w:val="05BEBCDB"/>
    <w:rsid w:val="05C167AA"/>
    <w:rsid w:val="05C925AA"/>
    <w:rsid w:val="05CB5249"/>
    <w:rsid w:val="05CD617B"/>
    <w:rsid w:val="05D34B30"/>
    <w:rsid w:val="05D6613E"/>
    <w:rsid w:val="05E93D36"/>
    <w:rsid w:val="05F65A15"/>
    <w:rsid w:val="060FB117"/>
    <w:rsid w:val="0613064D"/>
    <w:rsid w:val="0613B632"/>
    <w:rsid w:val="0619C120"/>
    <w:rsid w:val="06237873"/>
    <w:rsid w:val="0628D3DC"/>
    <w:rsid w:val="06303B8C"/>
    <w:rsid w:val="06314666"/>
    <w:rsid w:val="0643211B"/>
    <w:rsid w:val="064BA87C"/>
    <w:rsid w:val="0654D089"/>
    <w:rsid w:val="066480A5"/>
    <w:rsid w:val="066862F2"/>
    <w:rsid w:val="0676D0AA"/>
    <w:rsid w:val="067B9944"/>
    <w:rsid w:val="06815C5E"/>
    <w:rsid w:val="068C32BE"/>
    <w:rsid w:val="0691C90C"/>
    <w:rsid w:val="0692B264"/>
    <w:rsid w:val="06937891"/>
    <w:rsid w:val="0695D498"/>
    <w:rsid w:val="06967179"/>
    <w:rsid w:val="06984029"/>
    <w:rsid w:val="06A2A679"/>
    <w:rsid w:val="06A6F44B"/>
    <w:rsid w:val="06C179C9"/>
    <w:rsid w:val="06C39983"/>
    <w:rsid w:val="06CAE847"/>
    <w:rsid w:val="06D16A7F"/>
    <w:rsid w:val="06D69C54"/>
    <w:rsid w:val="06DB067F"/>
    <w:rsid w:val="06E040D5"/>
    <w:rsid w:val="06E47413"/>
    <w:rsid w:val="06E474B1"/>
    <w:rsid w:val="06ED17FA"/>
    <w:rsid w:val="06F7ACF9"/>
    <w:rsid w:val="06FB21B0"/>
    <w:rsid w:val="0700BE88"/>
    <w:rsid w:val="0709BB6E"/>
    <w:rsid w:val="070C658D"/>
    <w:rsid w:val="070FDF36"/>
    <w:rsid w:val="07103B8E"/>
    <w:rsid w:val="0711399A"/>
    <w:rsid w:val="072D0A94"/>
    <w:rsid w:val="07338A35"/>
    <w:rsid w:val="0734A5C9"/>
    <w:rsid w:val="073618CF"/>
    <w:rsid w:val="0739BC20"/>
    <w:rsid w:val="0743D2E7"/>
    <w:rsid w:val="074F01B9"/>
    <w:rsid w:val="07512BFB"/>
    <w:rsid w:val="07535997"/>
    <w:rsid w:val="07558E05"/>
    <w:rsid w:val="0759987E"/>
    <w:rsid w:val="075E2BE5"/>
    <w:rsid w:val="076363DC"/>
    <w:rsid w:val="0768D988"/>
    <w:rsid w:val="077B27A6"/>
    <w:rsid w:val="077D90BA"/>
    <w:rsid w:val="0785383E"/>
    <w:rsid w:val="078DD18A"/>
    <w:rsid w:val="078F3D18"/>
    <w:rsid w:val="07907CDE"/>
    <w:rsid w:val="07910767"/>
    <w:rsid w:val="07922A76"/>
    <w:rsid w:val="07964C0C"/>
    <w:rsid w:val="079A2D45"/>
    <w:rsid w:val="079AE87A"/>
    <w:rsid w:val="079DF1A2"/>
    <w:rsid w:val="07A83F16"/>
    <w:rsid w:val="07B199D2"/>
    <w:rsid w:val="07BB79E1"/>
    <w:rsid w:val="07BBFBE4"/>
    <w:rsid w:val="07C059D8"/>
    <w:rsid w:val="07CE527A"/>
    <w:rsid w:val="07D22494"/>
    <w:rsid w:val="07DB887C"/>
    <w:rsid w:val="07E98E42"/>
    <w:rsid w:val="07ECBCC8"/>
    <w:rsid w:val="07EF6456"/>
    <w:rsid w:val="07F2B584"/>
    <w:rsid w:val="07F4712C"/>
    <w:rsid w:val="07FD356C"/>
    <w:rsid w:val="07FD50A9"/>
    <w:rsid w:val="080181B2"/>
    <w:rsid w:val="08114E21"/>
    <w:rsid w:val="081B2C0C"/>
    <w:rsid w:val="08227C1A"/>
    <w:rsid w:val="082FA2F3"/>
    <w:rsid w:val="0841AA88"/>
    <w:rsid w:val="085C8495"/>
    <w:rsid w:val="086FE674"/>
    <w:rsid w:val="08785263"/>
    <w:rsid w:val="087B162B"/>
    <w:rsid w:val="087C1136"/>
    <w:rsid w:val="08868DFA"/>
    <w:rsid w:val="088EDED8"/>
    <w:rsid w:val="08927654"/>
    <w:rsid w:val="08933292"/>
    <w:rsid w:val="08961965"/>
    <w:rsid w:val="08991989"/>
    <w:rsid w:val="08A4BF2B"/>
    <w:rsid w:val="08B81870"/>
    <w:rsid w:val="08CCAB2D"/>
    <w:rsid w:val="08D4C784"/>
    <w:rsid w:val="08E26AA4"/>
    <w:rsid w:val="08E38490"/>
    <w:rsid w:val="08E655CD"/>
    <w:rsid w:val="08EC86C5"/>
    <w:rsid w:val="08ED72FC"/>
    <w:rsid w:val="08F98A9C"/>
    <w:rsid w:val="08FC16E5"/>
    <w:rsid w:val="09009EA3"/>
    <w:rsid w:val="090F6024"/>
    <w:rsid w:val="0917FCD6"/>
    <w:rsid w:val="09186DD5"/>
    <w:rsid w:val="0919611B"/>
    <w:rsid w:val="091F3BD9"/>
    <w:rsid w:val="092628C0"/>
    <w:rsid w:val="0928FA63"/>
    <w:rsid w:val="093321D3"/>
    <w:rsid w:val="09337E54"/>
    <w:rsid w:val="09342734"/>
    <w:rsid w:val="09464454"/>
    <w:rsid w:val="09481129"/>
    <w:rsid w:val="09499B62"/>
    <w:rsid w:val="0951B01B"/>
    <w:rsid w:val="0952B1D8"/>
    <w:rsid w:val="09591916"/>
    <w:rsid w:val="096296EC"/>
    <w:rsid w:val="09653311"/>
    <w:rsid w:val="0969F7AA"/>
    <w:rsid w:val="096C6333"/>
    <w:rsid w:val="09818CDA"/>
    <w:rsid w:val="0983BBBF"/>
    <w:rsid w:val="0987F0F5"/>
    <w:rsid w:val="09918096"/>
    <w:rsid w:val="099D5213"/>
    <w:rsid w:val="09A69072"/>
    <w:rsid w:val="09B26478"/>
    <w:rsid w:val="09B963BC"/>
    <w:rsid w:val="09BC0E39"/>
    <w:rsid w:val="09C0048C"/>
    <w:rsid w:val="09C43437"/>
    <w:rsid w:val="09C6FFAD"/>
    <w:rsid w:val="09C7EB6C"/>
    <w:rsid w:val="09C8C7BE"/>
    <w:rsid w:val="09CF2C4D"/>
    <w:rsid w:val="09DD5C65"/>
    <w:rsid w:val="09DFAAD0"/>
    <w:rsid w:val="09E3D626"/>
    <w:rsid w:val="09E74173"/>
    <w:rsid w:val="09EC8A97"/>
    <w:rsid w:val="09F71E28"/>
    <w:rsid w:val="0A0281AF"/>
    <w:rsid w:val="0A0D28C4"/>
    <w:rsid w:val="0A13D067"/>
    <w:rsid w:val="0A282B2A"/>
    <w:rsid w:val="0A28AC77"/>
    <w:rsid w:val="0A3004C3"/>
    <w:rsid w:val="0A343DD5"/>
    <w:rsid w:val="0A3CEFB8"/>
    <w:rsid w:val="0A3D6A35"/>
    <w:rsid w:val="0A40893E"/>
    <w:rsid w:val="0A42F575"/>
    <w:rsid w:val="0A47C113"/>
    <w:rsid w:val="0A4ACDAE"/>
    <w:rsid w:val="0A5429BF"/>
    <w:rsid w:val="0A57E9EB"/>
    <w:rsid w:val="0A624684"/>
    <w:rsid w:val="0A637250"/>
    <w:rsid w:val="0A6C8009"/>
    <w:rsid w:val="0A794B46"/>
    <w:rsid w:val="0A7B5966"/>
    <w:rsid w:val="0A86A27B"/>
    <w:rsid w:val="0A8A58FD"/>
    <w:rsid w:val="0A91E79D"/>
    <w:rsid w:val="0A997975"/>
    <w:rsid w:val="0AA1A77F"/>
    <w:rsid w:val="0AA33667"/>
    <w:rsid w:val="0AA43882"/>
    <w:rsid w:val="0AA97522"/>
    <w:rsid w:val="0AABF308"/>
    <w:rsid w:val="0AB43E36"/>
    <w:rsid w:val="0AB5317C"/>
    <w:rsid w:val="0ABC2BBC"/>
    <w:rsid w:val="0ABE2B28"/>
    <w:rsid w:val="0AC4ABC5"/>
    <w:rsid w:val="0AC6AF9D"/>
    <w:rsid w:val="0ACE1A72"/>
    <w:rsid w:val="0AD3005F"/>
    <w:rsid w:val="0AE5C87E"/>
    <w:rsid w:val="0AEBC65B"/>
    <w:rsid w:val="0AF2BD03"/>
    <w:rsid w:val="0B0337B9"/>
    <w:rsid w:val="0B0EE960"/>
    <w:rsid w:val="0B1EA511"/>
    <w:rsid w:val="0B1FFA7A"/>
    <w:rsid w:val="0B213E9E"/>
    <w:rsid w:val="0B286E73"/>
    <w:rsid w:val="0B2D0A22"/>
    <w:rsid w:val="0B30AA31"/>
    <w:rsid w:val="0B311F3B"/>
    <w:rsid w:val="0B344513"/>
    <w:rsid w:val="0B344C31"/>
    <w:rsid w:val="0B418A0B"/>
    <w:rsid w:val="0B497096"/>
    <w:rsid w:val="0B51FB98"/>
    <w:rsid w:val="0B564128"/>
    <w:rsid w:val="0B57BDFE"/>
    <w:rsid w:val="0B583B2B"/>
    <w:rsid w:val="0B5AC6C2"/>
    <w:rsid w:val="0B5E9D9E"/>
    <w:rsid w:val="0B5EBB76"/>
    <w:rsid w:val="0B671D6D"/>
    <w:rsid w:val="0B7AB4CC"/>
    <w:rsid w:val="0B7EBC9B"/>
    <w:rsid w:val="0B8118B2"/>
    <w:rsid w:val="0B92EE89"/>
    <w:rsid w:val="0B96D186"/>
    <w:rsid w:val="0B9791E7"/>
    <w:rsid w:val="0B9B000D"/>
    <w:rsid w:val="0B9D4AA5"/>
    <w:rsid w:val="0B9E0B1B"/>
    <w:rsid w:val="0BA70CD5"/>
    <w:rsid w:val="0BAE0326"/>
    <w:rsid w:val="0BBB3F4B"/>
    <w:rsid w:val="0BC75B3C"/>
    <w:rsid w:val="0BCD15D7"/>
    <w:rsid w:val="0BD2B5EA"/>
    <w:rsid w:val="0BD57C3A"/>
    <w:rsid w:val="0BD5ABC8"/>
    <w:rsid w:val="0BEB43A5"/>
    <w:rsid w:val="0BEF891A"/>
    <w:rsid w:val="0BF03138"/>
    <w:rsid w:val="0BF105CB"/>
    <w:rsid w:val="0BFA493E"/>
    <w:rsid w:val="0C077100"/>
    <w:rsid w:val="0C097076"/>
    <w:rsid w:val="0C1729C7"/>
    <w:rsid w:val="0C1874AB"/>
    <w:rsid w:val="0C237031"/>
    <w:rsid w:val="0C24542C"/>
    <w:rsid w:val="0C3590A8"/>
    <w:rsid w:val="0C37DEB7"/>
    <w:rsid w:val="0C4151EC"/>
    <w:rsid w:val="0C446E21"/>
    <w:rsid w:val="0C58D3CB"/>
    <w:rsid w:val="0C5CEA79"/>
    <w:rsid w:val="0C63DF45"/>
    <w:rsid w:val="0C711A7C"/>
    <w:rsid w:val="0C771167"/>
    <w:rsid w:val="0C7B7E63"/>
    <w:rsid w:val="0C7DDEC0"/>
    <w:rsid w:val="0C872EED"/>
    <w:rsid w:val="0C897BE1"/>
    <w:rsid w:val="0C8E31C8"/>
    <w:rsid w:val="0C98EC80"/>
    <w:rsid w:val="0CAFCE6C"/>
    <w:rsid w:val="0CB1F6D0"/>
    <w:rsid w:val="0CB37D8A"/>
    <w:rsid w:val="0CBADA19"/>
    <w:rsid w:val="0CBF3077"/>
    <w:rsid w:val="0CCFA3EF"/>
    <w:rsid w:val="0CD7767B"/>
    <w:rsid w:val="0CE20BB2"/>
    <w:rsid w:val="0CE654C3"/>
    <w:rsid w:val="0CEBAC6C"/>
    <w:rsid w:val="0CF35F6B"/>
    <w:rsid w:val="0CF683F7"/>
    <w:rsid w:val="0CF87BF5"/>
    <w:rsid w:val="0CF9A937"/>
    <w:rsid w:val="0CFC2C1F"/>
    <w:rsid w:val="0CFF85BF"/>
    <w:rsid w:val="0D0CEED9"/>
    <w:rsid w:val="0D1291FA"/>
    <w:rsid w:val="0D153DBC"/>
    <w:rsid w:val="0D1918B4"/>
    <w:rsid w:val="0D1FC438"/>
    <w:rsid w:val="0D29096F"/>
    <w:rsid w:val="0D2CCE8A"/>
    <w:rsid w:val="0D3171E3"/>
    <w:rsid w:val="0D3308B3"/>
    <w:rsid w:val="0D44A80F"/>
    <w:rsid w:val="0D4E0A83"/>
    <w:rsid w:val="0D6E9A44"/>
    <w:rsid w:val="0D71B704"/>
    <w:rsid w:val="0D752B22"/>
    <w:rsid w:val="0D77AD9F"/>
    <w:rsid w:val="0D8B47F3"/>
    <w:rsid w:val="0D91B5AE"/>
    <w:rsid w:val="0D94171A"/>
    <w:rsid w:val="0DC09BEC"/>
    <w:rsid w:val="0DC1FC8B"/>
    <w:rsid w:val="0DC46009"/>
    <w:rsid w:val="0DCD9DFF"/>
    <w:rsid w:val="0DD880D6"/>
    <w:rsid w:val="0DE60172"/>
    <w:rsid w:val="0DEC91FF"/>
    <w:rsid w:val="0DEE5E80"/>
    <w:rsid w:val="0DF3CC7E"/>
    <w:rsid w:val="0DF667D5"/>
    <w:rsid w:val="0DF6F326"/>
    <w:rsid w:val="0DFE505F"/>
    <w:rsid w:val="0E041FE1"/>
    <w:rsid w:val="0E04EFD5"/>
    <w:rsid w:val="0E066C6E"/>
    <w:rsid w:val="0E0F678C"/>
    <w:rsid w:val="0E2192C8"/>
    <w:rsid w:val="0E22BC8C"/>
    <w:rsid w:val="0E239C05"/>
    <w:rsid w:val="0E35C4E0"/>
    <w:rsid w:val="0E3891FA"/>
    <w:rsid w:val="0E3A8F91"/>
    <w:rsid w:val="0E41DECC"/>
    <w:rsid w:val="0E43E79F"/>
    <w:rsid w:val="0E4442F5"/>
    <w:rsid w:val="0E4EB272"/>
    <w:rsid w:val="0E59DE4E"/>
    <w:rsid w:val="0E5C2EA3"/>
    <w:rsid w:val="0E6A9E98"/>
    <w:rsid w:val="0E6DD29B"/>
    <w:rsid w:val="0E7076BF"/>
    <w:rsid w:val="0E70E521"/>
    <w:rsid w:val="0E7B1961"/>
    <w:rsid w:val="0E834EE8"/>
    <w:rsid w:val="0E880524"/>
    <w:rsid w:val="0E8FFB15"/>
    <w:rsid w:val="0E93D4AB"/>
    <w:rsid w:val="0E96F126"/>
    <w:rsid w:val="0E9A9FDE"/>
    <w:rsid w:val="0EA73B68"/>
    <w:rsid w:val="0EB4EB01"/>
    <w:rsid w:val="0EB68718"/>
    <w:rsid w:val="0EB704CD"/>
    <w:rsid w:val="0EBFFBBA"/>
    <w:rsid w:val="0EC21CDE"/>
    <w:rsid w:val="0EC761AF"/>
    <w:rsid w:val="0ED24489"/>
    <w:rsid w:val="0EDF283E"/>
    <w:rsid w:val="0EE4D1D0"/>
    <w:rsid w:val="0EF26AE7"/>
    <w:rsid w:val="0EF61FCB"/>
    <w:rsid w:val="0EFAA981"/>
    <w:rsid w:val="0EFE5D08"/>
    <w:rsid w:val="0F0244B8"/>
    <w:rsid w:val="0F04D253"/>
    <w:rsid w:val="0F05F332"/>
    <w:rsid w:val="0F0DAD55"/>
    <w:rsid w:val="0F1A6186"/>
    <w:rsid w:val="0F1B3653"/>
    <w:rsid w:val="0F210D19"/>
    <w:rsid w:val="0F228DD0"/>
    <w:rsid w:val="0F276ADF"/>
    <w:rsid w:val="0F2C4574"/>
    <w:rsid w:val="0F382A77"/>
    <w:rsid w:val="0F389A44"/>
    <w:rsid w:val="0F3CB0EF"/>
    <w:rsid w:val="0F3D149C"/>
    <w:rsid w:val="0F41C22C"/>
    <w:rsid w:val="0F43640D"/>
    <w:rsid w:val="0F4D3A8C"/>
    <w:rsid w:val="0F51696C"/>
    <w:rsid w:val="0F5A139E"/>
    <w:rsid w:val="0F5C2316"/>
    <w:rsid w:val="0F5C5F2C"/>
    <w:rsid w:val="0F6419F7"/>
    <w:rsid w:val="0F684D68"/>
    <w:rsid w:val="0F732C9C"/>
    <w:rsid w:val="0F799B2A"/>
    <w:rsid w:val="0F7F9422"/>
    <w:rsid w:val="0F839FD9"/>
    <w:rsid w:val="0F950369"/>
    <w:rsid w:val="0F9A37C8"/>
    <w:rsid w:val="0F9A94FB"/>
    <w:rsid w:val="0FA83E36"/>
    <w:rsid w:val="0FA9676F"/>
    <w:rsid w:val="0FAA18AB"/>
    <w:rsid w:val="0FAA948B"/>
    <w:rsid w:val="0FAD640B"/>
    <w:rsid w:val="0FAEE692"/>
    <w:rsid w:val="0FB1908F"/>
    <w:rsid w:val="0FB826E6"/>
    <w:rsid w:val="0FB903D8"/>
    <w:rsid w:val="0FC093BF"/>
    <w:rsid w:val="0FC5B278"/>
    <w:rsid w:val="0FC63A68"/>
    <w:rsid w:val="0FDAEBE1"/>
    <w:rsid w:val="0FDBA9A3"/>
    <w:rsid w:val="0FE71800"/>
    <w:rsid w:val="0FEBA0DA"/>
    <w:rsid w:val="0FF641B1"/>
    <w:rsid w:val="0FF79F24"/>
    <w:rsid w:val="10035CDE"/>
    <w:rsid w:val="101320F0"/>
    <w:rsid w:val="10178BD2"/>
    <w:rsid w:val="10246479"/>
    <w:rsid w:val="1024A0B8"/>
    <w:rsid w:val="10288956"/>
    <w:rsid w:val="10298CA6"/>
    <w:rsid w:val="102CD7DD"/>
    <w:rsid w:val="102DE20E"/>
    <w:rsid w:val="102E4383"/>
    <w:rsid w:val="10343EB1"/>
    <w:rsid w:val="1038086D"/>
    <w:rsid w:val="104A8FEF"/>
    <w:rsid w:val="1050A4BF"/>
    <w:rsid w:val="10543AC6"/>
    <w:rsid w:val="106379E8"/>
    <w:rsid w:val="10699848"/>
    <w:rsid w:val="106A5DF8"/>
    <w:rsid w:val="106D5743"/>
    <w:rsid w:val="107327A9"/>
    <w:rsid w:val="1077C7B6"/>
    <w:rsid w:val="107A00F9"/>
    <w:rsid w:val="10871597"/>
    <w:rsid w:val="10895905"/>
    <w:rsid w:val="10902F69"/>
    <w:rsid w:val="10903E50"/>
    <w:rsid w:val="109AD93E"/>
    <w:rsid w:val="10A03AC6"/>
    <w:rsid w:val="10A5CEBF"/>
    <w:rsid w:val="10AD88BC"/>
    <w:rsid w:val="10AEEB49"/>
    <w:rsid w:val="10B74748"/>
    <w:rsid w:val="10C2C203"/>
    <w:rsid w:val="10C7F879"/>
    <w:rsid w:val="10CD7D60"/>
    <w:rsid w:val="10D2E3E4"/>
    <w:rsid w:val="10D92D10"/>
    <w:rsid w:val="10E40B4E"/>
    <w:rsid w:val="10EB341C"/>
    <w:rsid w:val="10F54D96"/>
    <w:rsid w:val="10F7E39B"/>
    <w:rsid w:val="110054FD"/>
    <w:rsid w:val="11041DC9"/>
    <w:rsid w:val="1109CAF2"/>
    <w:rsid w:val="11103941"/>
    <w:rsid w:val="1116363E"/>
    <w:rsid w:val="111D8074"/>
    <w:rsid w:val="111DEA62"/>
    <w:rsid w:val="111ED242"/>
    <w:rsid w:val="11220973"/>
    <w:rsid w:val="11271170"/>
    <w:rsid w:val="112A66AE"/>
    <w:rsid w:val="1133E42D"/>
    <w:rsid w:val="11390CBC"/>
    <w:rsid w:val="11402CFB"/>
    <w:rsid w:val="1141CC69"/>
    <w:rsid w:val="1153ABE0"/>
    <w:rsid w:val="11598510"/>
    <w:rsid w:val="1165544D"/>
    <w:rsid w:val="116624F8"/>
    <w:rsid w:val="116AF808"/>
    <w:rsid w:val="116B23E2"/>
    <w:rsid w:val="117E5508"/>
    <w:rsid w:val="117F4048"/>
    <w:rsid w:val="117FC76F"/>
    <w:rsid w:val="11859EEC"/>
    <w:rsid w:val="1189FA9E"/>
    <w:rsid w:val="11979637"/>
    <w:rsid w:val="119896C6"/>
    <w:rsid w:val="119EA4FB"/>
    <w:rsid w:val="11A0ED6E"/>
    <w:rsid w:val="11A0EF45"/>
    <w:rsid w:val="11A67398"/>
    <w:rsid w:val="11A791DC"/>
    <w:rsid w:val="11AE807E"/>
    <w:rsid w:val="11B9AD0B"/>
    <w:rsid w:val="11B9C5E6"/>
    <w:rsid w:val="11BD6C0A"/>
    <w:rsid w:val="11C2C203"/>
    <w:rsid w:val="11C371D2"/>
    <w:rsid w:val="11C9F51A"/>
    <w:rsid w:val="11CADDF5"/>
    <w:rsid w:val="11CB8005"/>
    <w:rsid w:val="11D34573"/>
    <w:rsid w:val="11DFA8C1"/>
    <w:rsid w:val="11E409BF"/>
    <w:rsid w:val="11E66050"/>
    <w:rsid w:val="11EC13B2"/>
    <w:rsid w:val="11F3302E"/>
    <w:rsid w:val="11FE2171"/>
    <w:rsid w:val="11FECB4D"/>
    <w:rsid w:val="120DCDFD"/>
    <w:rsid w:val="12149D92"/>
    <w:rsid w:val="121B839A"/>
    <w:rsid w:val="12207DD2"/>
    <w:rsid w:val="12281788"/>
    <w:rsid w:val="122EC259"/>
    <w:rsid w:val="1233D487"/>
    <w:rsid w:val="1234DEBA"/>
    <w:rsid w:val="123F4CE7"/>
    <w:rsid w:val="1240A4AA"/>
    <w:rsid w:val="1248B338"/>
    <w:rsid w:val="124AA00B"/>
    <w:rsid w:val="124AF66F"/>
    <w:rsid w:val="124E0587"/>
    <w:rsid w:val="12531006"/>
    <w:rsid w:val="1255F0A3"/>
    <w:rsid w:val="1256AAFF"/>
    <w:rsid w:val="12685C6E"/>
    <w:rsid w:val="1273CF6B"/>
    <w:rsid w:val="12744D3E"/>
    <w:rsid w:val="12761CAD"/>
    <w:rsid w:val="1278B1FA"/>
    <w:rsid w:val="12801D5C"/>
    <w:rsid w:val="1287A7F9"/>
    <w:rsid w:val="1288B33E"/>
    <w:rsid w:val="12895139"/>
    <w:rsid w:val="128F7DDA"/>
    <w:rsid w:val="128FADDD"/>
    <w:rsid w:val="1299BE73"/>
    <w:rsid w:val="12A9CF1C"/>
    <w:rsid w:val="12C1E5B2"/>
    <w:rsid w:val="12C3961F"/>
    <w:rsid w:val="12C52299"/>
    <w:rsid w:val="12C6BBF5"/>
    <w:rsid w:val="12CD466A"/>
    <w:rsid w:val="12F0FF5F"/>
    <w:rsid w:val="12F5E4AC"/>
    <w:rsid w:val="1301382D"/>
    <w:rsid w:val="13087BB3"/>
    <w:rsid w:val="13092144"/>
    <w:rsid w:val="130CC4EE"/>
    <w:rsid w:val="130E2E94"/>
    <w:rsid w:val="131BA34D"/>
    <w:rsid w:val="13216F4D"/>
    <w:rsid w:val="132E61BA"/>
    <w:rsid w:val="132EB5A5"/>
    <w:rsid w:val="1336EE93"/>
    <w:rsid w:val="13490547"/>
    <w:rsid w:val="13571441"/>
    <w:rsid w:val="1357E5BF"/>
    <w:rsid w:val="135F5F57"/>
    <w:rsid w:val="1371DFC2"/>
    <w:rsid w:val="137830B1"/>
    <w:rsid w:val="1381927E"/>
    <w:rsid w:val="138AE10A"/>
    <w:rsid w:val="138B975D"/>
    <w:rsid w:val="138F5C50"/>
    <w:rsid w:val="139008B1"/>
    <w:rsid w:val="13978810"/>
    <w:rsid w:val="139FEDCD"/>
    <w:rsid w:val="13AD02E3"/>
    <w:rsid w:val="13B3085A"/>
    <w:rsid w:val="13B31B12"/>
    <w:rsid w:val="13B47B88"/>
    <w:rsid w:val="13BD3126"/>
    <w:rsid w:val="13BE4ABE"/>
    <w:rsid w:val="13C6E3BC"/>
    <w:rsid w:val="13C70B04"/>
    <w:rsid w:val="13C79550"/>
    <w:rsid w:val="13CC943D"/>
    <w:rsid w:val="13D3E0BB"/>
    <w:rsid w:val="13D69C0F"/>
    <w:rsid w:val="13DA2129"/>
    <w:rsid w:val="13DBAAFB"/>
    <w:rsid w:val="13DDA182"/>
    <w:rsid w:val="13E0F888"/>
    <w:rsid w:val="13E1064A"/>
    <w:rsid w:val="13EC2C41"/>
    <w:rsid w:val="13ED2D7E"/>
    <w:rsid w:val="13FFEB69"/>
    <w:rsid w:val="140B805C"/>
    <w:rsid w:val="140C4BF4"/>
    <w:rsid w:val="140CDA2A"/>
    <w:rsid w:val="140D0860"/>
    <w:rsid w:val="140F5992"/>
    <w:rsid w:val="141225F9"/>
    <w:rsid w:val="1414825B"/>
    <w:rsid w:val="1416C099"/>
    <w:rsid w:val="14172C0F"/>
    <w:rsid w:val="141A79F9"/>
    <w:rsid w:val="141CD23B"/>
    <w:rsid w:val="142AE680"/>
    <w:rsid w:val="142C190A"/>
    <w:rsid w:val="142DF47F"/>
    <w:rsid w:val="143082E8"/>
    <w:rsid w:val="143380A5"/>
    <w:rsid w:val="143706ED"/>
    <w:rsid w:val="143A5599"/>
    <w:rsid w:val="144377C7"/>
    <w:rsid w:val="1445E5DD"/>
    <w:rsid w:val="14481E09"/>
    <w:rsid w:val="1450F4B9"/>
    <w:rsid w:val="1453E6D3"/>
    <w:rsid w:val="145795E3"/>
    <w:rsid w:val="1457B5F0"/>
    <w:rsid w:val="145DEC40"/>
    <w:rsid w:val="14669951"/>
    <w:rsid w:val="146A84B7"/>
    <w:rsid w:val="146C5492"/>
    <w:rsid w:val="146FDD99"/>
    <w:rsid w:val="1470AD7E"/>
    <w:rsid w:val="1476D2DD"/>
    <w:rsid w:val="147CC394"/>
    <w:rsid w:val="14813D5E"/>
    <w:rsid w:val="14959A48"/>
    <w:rsid w:val="1497E1FF"/>
    <w:rsid w:val="149F9057"/>
    <w:rsid w:val="14B1EA99"/>
    <w:rsid w:val="14B969AA"/>
    <w:rsid w:val="14B99E8F"/>
    <w:rsid w:val="14BA5A8F"/>
    <w:rsid w:val="14C20008"/>
    <w:rsid w:val="14C80751"/>
    <w:rsid w:val="14C8F686"/>
    <w:rsid w:val="14CBA5F9"/>
    <w:rsid w:val="14D1982A"/>
    <w:rsid w:val="14D6520A"/>
    <w:rsid w:val="14E6E368"/>
    <w:rsid w:val="14EE983D"/>
    <w:rsid w:val="14F41931"/>
    <w:rsid w:val="14F5C2C4"/>
    <w:rsid w:val="14F7ED41"/>
    <w:rsid w:val="14FDE18E"/>
    <w:rsid w:val="1505CF72"/>
    <w:rsid w:val="1513E8E6"/>
    <w:rsid w:val="151541C8"/>
    <w:rsid w:val="151A6563"/>
    <w:rsid w:val="151DD6B0"/>
    <w:rsid w:val="152660F7"/>
    <w:rsid w:val="152E6D0B"/>
    <w:rsid w:val="152F14C1"/>
    <w:rsid w:val="1532A367"/>
    <w:rsid w:val="15457F2B"/>
    <w:rsid w:val="15520A17"/>
    <w:rsid w:val="1558B3EE"/>
    <w:rsid w:val="155BA186"/>
    <w:rsid w:val="155F78CB"/>
    <w:rsid w:val="1562A491"/>
    <w:rsid w:val="15676EA2"/>
    <w:rsid w:val="15681B4A"/>
    <w:rsid w:val="1584BFE2"/>
    <w:rsid w:val="15867EED"/>
    <w:rsid w:val="158C3F45"/>
    <w:rsid w:val="158C7CF5"/>
    <w:rsid w:val="158E4BC1"/>
    <w:rsid w:val="158E5271"/>
    <w:rsid w:val="1593EA6D"/>
    <w:rsid w:val="1598887E"/>
    <w:rsid w:val="159CFA0C"/>
    <w:rsid w:val="15AA4CA0"/>
    <w:rsid w:val="15ACDA9A"/>
    <w:rsid w:val="15BB7773"/>
    <w:rsid w:val="15D4518B"/>
    <w:rsid w:val="15EDA9EB"/>
    <w:rsid w:val="15F94676"/>
    <w:rsid w:val="1604A092"/>
    <w:rsid w:val="16092221"/>
    <w:rsid w:val="16146B65"/>
    <w:rsid w:val="16197003"/>
    <w:rsid w:val="161D62A6"/>
    <w:rsid w:val="162645AF"/>
    <w:rsid w:val="16275C6E"/>
    <w:rsid w:val="1629003B"/>
    <w:rsid w:val="1629CD1A"/>
    <w:rsid w:val="1630F400"/>
    <w:rsid w:val="164072FD"/>
    <w:rsid w:val="164EF7D0"/>
    <w:rsid w:val="16524697"/>
    <w:rsid w:val="1652AC97"/>
    <w:rsid w:val="1659100F"/>
    <w:rsid w:val="16597605"/>
    <w:rsid w:val="1660955C"/>
    <w:rsid w:val="166165BC"/>
    <w:rsid w:val="16642F66"/>
    <w:rsid w:val="1671C0CA"/>
    <w:rsid w:val="16738794"/>
    <w:rsid w:val="167AFEE0"/>
    <w:rsid w:val="167CB40E"/>
    <w:rsid w:val="167D0939"/>
    <w:rsid w:val="1686B97D"/>
    <w:rsid w:val="16A07DDD"/>
    <w:rsid w:val="16A3BA77"/>
    <w:rsid w:val="16A6CA6F"/>
    <w:rsid w:val="16AD7FE7"/>
    <w:rsid w:val="16C0567D"/>
    <w:rsid w:val="16C16086"/>
    <w:rsid w:val="16C37744"/>
    <w:rsid w:val="16C63F37"/>
    <w:rsid w:val="16CB9317"/>
    <w:rsid w:val="16D1E8BF"/>
    <w:rsid w:val="16E19FF5"/>
    <w:rsid w:val="16E42259"/>
    <w:rsid w:val="16E47C39"/>
    <w:rsid w:val="16E6C3BD"/>
    <w:rsid w:val="16EA4977"/>
    <w:rsid w:val="16EC82A4"/>
    <w:rsid w:val="16F7BB10"/>
    <w:rsid w:val="16FD7E4B"/>
    <w:rsid w:val="16FF1ABB"/>
    <w:rsid w:val="17054D6C"/>
    <w:rsid w:val="1705832B"/>
    <w:rsid w:val="17095679"/>
    <w:rsid w:val="17104389"/>
    <w:rsid w:val="17128036"/>
    <w:rsid w:val="17171FBB"/>
    <w:rsid w:val="17222C36"/>
    <w:rsid w:val="172BB47A"/>
    <w:rsid w:val="1741F22E"/>
    <w:rsid w:val="17440712"/>
    <w:rsid w:val="1751B614"/>
    <w:rsid w:val="1757080E"/>
    <w:rsid w:val="17583D8D"/>
    <w:rsid w:val="175B971C"/>
    <w:rsid w:val="175D4C69"/>
    <w:rsid w:val="1763B9CC"/>
    <w:rsid w:val="1764D86B"/>
    <w:rsid w:val="1766B622"/>
    <w:rsid w:val="1768987B"/>
    <w:rsid w:val="176DEB1B"/>
    <w:rsid w:val="1780A338"/>
    <w:rsid w:val="17831072"/>
    <w:rsid w:val="17899C1D"/>
    <w:rsid w:val="178F17BB"/>
    <w:rsid w:val="1791F253"/>
    <w:rsid w:val="179E0115"/>
    <w:rsid w:val="179E9B23"/>
    <w:rsid w:val="17A10206"/>
    <w:rsid w:val="17A3DF82"/>
    <w:rsid w:val="17A824A8"/>
    <w:rsid w:val="17A84E40"/>
    <w:rsid w:val="17ABE2DA"/>
    <w:rsid w:val="17AF3106"/>
    <w:rsid w:val="17B03BC6"/>
    <w:rsid w:val="17BEC864"/>
    <w:rsid w:val="17C976AF"/>
    <w:rsid w:val="17CE9EF6"/>
    <w:rsid w:val="17D0FF35"/>
    <w:rsid w:val="17DFE38C"/>
    <w:rsid w:val="17E38301"/>
    <w:rsid w:val="17E3B63B"/>
    <w:rsid w:val="17ECA038"/>
    <w:rsid w:val="17EFF3E9"/>
    <w:rsid w:val="17F61107"/>
    <w:rsid w:val="17FF3B72"/>
    <w:rsid w:val="18053040"/>
    <w:rsid w:val="1808A174"/>
    <w:rsid w:val="18139778"/>
    <w:rsid w:val="1817F93D"/>
    <w:rsid w:val="182822C5"/>
    <w:rsid w:val="1828345B"/>
    <w:rsid w:val="18287F00"/>
    <w:rsid w:val="182B177A"/>
    <w:rsid w:val="18302C36"/>
    <w:rsid w:val="1833DD4A"/>
    <w:rsid w:val="1842FA86"/>
    <w:rsid w:val="184B3E73"/>
    <w:rsid w:val="184B4486"/>
    <w:rsid w:val="184D5359"/>
    <w:rsid w:val="184DA529"/>
    <w:rsid w:val="185090B7"/>
    <w:rsid w:val="18530B69"/>
    <w:rsid w:val="1862A837"/>
    <w:rsid w:val="1866929E"/>
    <w:rsid w:val="1869F18B"/>
    <w:rsid w:val="18812C82"/>
    <w:rsid w:val="18849631"/>
    <w:rsid w:val="18873EF4"/>
    <w:rsid w:val="18931D72"/>
    <w:rsid w:val="18948D26"/>
    <w:rsid w:val="1897F6EB"/>
    <w:rsid w:val="18994D2D"/>
    <w:rsid w:val="189CA494"/>
    <w:rsid w:val="189E27C9"/>
    <w:rsid w:val="18A0161B"/>
    <w:rsid w:val="18A164ED"/>
    <w:rsid w:val="18A1E71B"/>
    <w:rsid w:val="18A440C7"/>
    <w:rsid w:val="18B569BD"/>
    <w:rsid w:val="18BDF3DD"/>
    <w:rsid w:val="18C38B5E"/>
    <w:rsid w:val="18CD139D"/>
    <w:rsid w:val="18DDC0F4"/>
    <w:rsid w:val="18DECE72"/>
    <w:rsid w:val="18E02F12"/>
    <w:rsid w:val="18E1BFE7"/>
    <w:rsid w:val="18E9CD8E"/>
    <w:rsid w:val="18EAF6BF"/>
    <w:rsid w:val="18FD011C"/>
    <w:rsid w:val="18FF4BE8"/>
    <w:rsid w:val="190FFDE2"/>
    <w:rsid w:val="1910C45C"/>
    <w:rsid w:val="1910C5FC"/>
    <w:rsid w:val="191440ED"/>
    <w:rsid w:val="1918F353"/>
    <w:rsid w:val="1918F7D1"/>
    <w:rsid w:val="1932C7DC"/>
    <w:rsid w:val="193A0A74"/>
    <w:rsid w:val="193BA5F7"/>
    <w:rsid w:val="19418E7E"/>
    <w:rsid w:val="19444B93"/>
    <w:rsid w:val="1947A5D3"/>
    <w:rsid w:val="195F5540"/>
    <w:rsid w:val="196033C5"/>
    <w:rsid w:val="1962B6D2"/>
    <w:rsid w:val="196C88C2"/>
    <w:rsid w:val="198011DC"/>
    <w:rsid w:val="1989F3B8"/>
    <w:rsid w:val="198AC1A6"/>
    <w:rsid w:val="19908B29"/>
    <w:rsid w:val="19913DC5"/>
    <w:rsid w:val="1996D7F9"/>
    <w:rsid w:val="1996FCA2"/>
    <w:rsid w:val="1998BB81"/>
    <w:rsid w:val="1999799A"/>
    <w:rsid w:val="199A0F3C"/>
    <w:rsid w:val="199F4F42"/>
    <w:rsid w:val="19AAD15A"/>
    <w:rsid w:val="19ADB774"/>
    <w:rsid w:val="19BC9B35"/>
    <w:rsid w:val="19BF1D37"/>
    <w:rsid w:val="19BF33BD"/>
    <w:rsid w:val="19C83B56"/>
    <w:rsid w:val="19CA14E0"/>
    <w:rsid w:val="19CBFC97"/>
    <w:rsid w:val="19CF38CB"/>
    <w:rsid w:val="19DE3F60"/>
    <w:rsid w:val="19DFF37A"/>
    <w:rsid w:val="19E2E447"/>
    <w:rsid w:val="19E53C76"/>
    <w:rsid w:val="19E84065"/>
    <w:rsid w:val="19EBFE01"/>
    <w:rsid w:val="19FA39F2"/>
    <w:rsid w:val="1A033236"/>
    <w:rsid w:val="1A04D60F"/>
    <w:rsid w:val="1A0C59E8"/>
    <w:rsid w:val="1A0CAD4C"/>
    <w:rsid w:val="1A0EF606"/>
    <w:rsid w:val="1A191707"/>
    <w:rsid w:val="1A329721"/>
    <w:rsid w:val="1A4C9913"/>
    <w:rsid w:val="1A58D074"/>
    <w:rsid w:val="1A61374D"/>
    <w:rsid w:val="1A6703E5"/>
    <w:rsid w:val="1A68496C"/>
    <w:rsid w:val="1A6A2CB0"/>
    <w:rsid w:val="1A6AD442"/>
    <w:rsid w:val="1A6F99F6"/>
    <w:rsid w:val="1A70C5F1"/>
    <w:rsid w:val="1A73FCF1"/>
    <w:rsid w:val="1A7CF7C2"/>
    <w:rsid w:val="1A7DC012"/>
    <w:rsid w:val="1A89A9DE"/>
    <w:rsid w:val="1A9F3597"/>
    <w:rsid w:val="1AA0D8B3"/>
    <w:rsid w:val="1AA79B17"/>
    <w:rsid w:val="1AAA2C8D"/>
    <w:rsid w:val="1AB309BA"/>
    <w:rsid w:val="1AB6B811"/>
    <w:rsid w:val="1ABFEAA5"/>
    <w:rsid w:val="1AC2823E"/>
    <w:rsid w:val="1AC8FC9C"/>
    <w:rsid w:val="1ACABF3E"/>
    <w:rsid w:val="1ACFDEE8"/>
    <w:rsid w:val="1AD4F4B7"/>
    <w:rsid w:val="1AD7A981"/>
    <w:rsid w:val="1ADADBE3"/>
    <w:rsid w:val="1ADC11F7"/>
    <w:rsid w:val="1AE587E8"/>
    <w:rsid w:val="1AEAFF52"/>
    <w:rsid w:val="1AFD2D97"/>
    <w:rsid w:val="1AFE425E"/>
    <w:rsid w:val="1B059751"/>
    <w:rsid w:val="1B05C017"/>
    <w:rsid w:val="1B0FB3DD"/>
    <w:rsid w:val="1B127569"/>
    <w:rsid w:val="1B1AC313"/>
    <w:rsid w:val="1B24F51B"/>
    <w:rsid w:val="1B278511"/>
    <w:rsid w:val="1B30EBF3"/>
    <w:rsid w:val="1B346E89"/>
    <w:rsid w:val="1B3E7737"/>
    <w:rsid w:val="1B47DF35"/>
    <w:rsid w:val="1B4B383A"/>
    <w:rsid w:val="1B4F0287"/>
    <w:rsid w:val="1B4F0684"/>
    <w:rsid w:val="1B51AABB"/>
    <w:rsid w:val="1B54C856"/>
    <w:rsid w:val="1B567BF6"/>
    <w:rsid w:val="1B56A84C"/>
    <w:rsid w:val="1B5733C4"/>
    <w:rsid w:val="1B5B5EAE"/>
    <w:rsid w:val="1B62BB0E"/>
    <w:rsid w:val="1B67CCF8"/>
    <w:rsid w:val="1B764FD2"/>
    <w:rsid w:val="1B922876"/>
    <w:rsid w:val="1B970A8F"/>
    <w:rsid w:val="1B9906A6"/>
    <w:rsid w:val="1B9FB364"/>
    <w:rsid w:val="1BA0E11D"/>
    <w:rsid w:val="1BB8CD44"/>
    <w:rsid w:val="1BC3E1F8"/>
    <w:rsid w:val="1BC8426E"/>
    <w:rsid w:val="1BC8BB04"/>
    <w:rsid w:val="1BCACF80"/>
    <w:rsid w:val="1BDC2CC8"/>
    <w:rsid w:val="1BE5DA0C"/>
    <w:rsid w:val="1BEAFAB1"/>
    <w:rsid w:val="1BF70F84"/>
    <w:rsid w:val="1BF7AA27"/>
    <w:rsid w:val="1BFC5838"/>
    <w:rsid w:val="1C098E9E"/>
    <w:rsid w:val="1C0A0A98"/>
    <w:rsid w:val="1C0C3B90"/>
    <w:rsid w:val="1C1752CF"/>
    <w:rsid w:val="1C23FC64"/>
    <w:rsid w:val="1C282727"/>
    <w:rsid w:val="1C3B0C6A"/>
    <w:rsid w:val="1C3CF4A1"/>
    <w:rsid w:val="1C569007"/>
    <w:rsid w:val="1C6C6C96"/>
    <w:rsid w:val="1C796B45"/>
    <w:rsid w:val="1C808E94"/>
    <w:rsid w:val="1C813C61"/>
    <w:rsid w:val="1C8A807C"/>
    <w:rsid w:val="1C93D6C3"/>
    <w:rsid w:val="1C9592A9"/>
    <w:rsid w:val="1C98DA3B"/>
    <w:rsid w:val="1C9BE631"/>
    <w:rsid w:val="1CA38FFA"/>
    <w:rsid w:val="1CA47058"/>
    <w:rsid w:val="1CA95B4D"/>
    <w:rsid w:val="1CA9B461"/>
    <w:rsid w:val="1CAB24F5"/>
    <w:rsid w:val="1CAFDA43"/>
    <w:rsid w:val="1CC0F1FC"/>
    <w:rsid w:val="1CC12945"/>
    <w:rsid w:val="1CC2DFA6"/>
    <w:rsid w:val="1CC49E85"/>
    <w:rsid w:val="1CCC56AC"/>
    <w:rsid w:val="1CD0120D"/>
    <w:rsid w:val="1CDA88E5"/>
    <w:rsid w:val="1CDE649E"/>
    <w:rsid w:val="1CE0F252"/>
    <w:rsid w:val="1CE6469B"/>
    <w:rsid w:val="1CEA4D57"/>
    <w:rsid w:val="1CEB48C2"/>
    <w:rsid w:val="1CF5AC61"/>
    <w:rsid w:val="1CFB4471"/>
    <w:rsid w:val="1CFBCAEA"/>
    <w:rsid w:val="1CFE5C05"/>
    <w:rsid w:val="1D0304DE"/>
    <w:rsid w:val="1D05C13D"/>
    <w:rsid w:val="1D14888F"/>
    <w:rsid w:val="1D217621"/>
    <w:rsid w:val="1D2616E4"/>
    <w:rsid w:val="1D28D96B"/>
    <w:rsid w:val="1D2A3BC6"/>
    <w:rsid w:val="1D2C344C"/>
    <w:rsid w:val="1D3AFAF4"/>
    <w:rsid w:val="1D438A0C"/>
    <w:rsid w:val="1D4B129D"/>
    <w:rsid w:val="1D5B56F9"/>
    <w:rsid w:val="1D61CEB1"/>
    <w:rsid w:val="1D69783C"/>
    <w:rsid w:val="1D8EF1B2"/>
    <w:rsid w:val="1D967EBB"/>
    <w:rsid w:val="1D9735F0"/>
    <w:rsid w:val="1DA255C0"/>
    <w:rsid w:val="1DAC540A"/>
    <w:rsid w:val="1DC16460"/>
    <w:rsid w:val="1DCA8E25"/>
    <w:rsid w:val="1DD4F688"/>
    <w:rsid w:val="1DD97344"/>
    <w:rsid w:val="1DDA752C"/>
    <w:rsid w:val="1DF7D272"/>
    <w:rsid w:val="1DFE2F16"/>
    <w:rsid w:val="1DFE6E97"/>
    <w:rsid w:val="1E03B6BC"/>
    <w:rsid w:val="1E04A951"/>
    <w:rsid w:val="1E082E67"/>
    <w:rsid w:val="1E084B82"/>
    <w:rsid w:val="1E1313EB"/>
    <w:rsid w:val="1E1AC523"/>
    <w:rsid w:val="1E216379"/>
    <w:rsid w:val="1E28C4FF"/>
    <w:rsid w:val="1E2C2F97"/>
    <w:rsid w:val="1E33FDD6"/>
    <w:rsid w:val="1E34532B"/>
    <w:rsid w:val="1E3650A0"/>
    <w:rsid w:val="1E3B2351"/>
    <w:rsid w:val="1E3B7A90"/>
    <w:rsid w:val="1E3EECA6"/>
    <w:rsid w:val="1E45275C"/>
    <w:rsid w:val="1E4E450B"/>
    <w:rsid w:val="1E4FA1C2"/>
    <w:rsid w:val="1E510F71"/>
    <w:rsid w:val="1E516C20"/>
    <w:rsid w:val="1E55D1F1"/>
    <w:rsid w:val="1E5D8824"/>
    <w:rsid w:val="1E5D8CAA"/>
    <w:rsid w:val="1E64F66E"/>
    <w:rsid w:val="1E66427F"/>
    <w:rsid w:val="1E672601"/>
    <w:rsid w:val="1E7A245F"/>
    <w:rsid w:val="1E7E496E"/>
    <w:rsid w:val="1E85D040"/>
    <w:rsid w:val="1E8A2486"/>
    <w:rsid w:val="1E8B2E39"/>
    <w:rsid w:val="1E8B4F3F"/>
    <w:rsid w:val="1E99B9C4"/>
    <w:rsid w:val="1E9B4DD9"/>
    <w:rsid w:val="1EA0581F"/>
    <w:rsid w:val="1EA87EE0"/>
    <w:rsid w:val="1EABD7B2"/>
    <w:rsid w:val="1EACA8FF"/>
    <w:rsid w:val="1EB79282"/>
    <w:rsid w:val="1EB7C59A"/>
    <w:rsid w:val="1EBE3EEA"/>
    <w:rsid w:val="1ECE3F23"/>
    <w:rsid w:val="1EDB634A"/>
    <w:rsid w:val="1EE1AC01"/>
    <w:rsid w:val="1EE94F52"/>
    <w:rsid w:val="1EF3D1FD"/>
    <w:rsid w:val="1F084548"/>
    <w:rsid w:val="1F1D413C"/>
    <w:rsid w:val="1F23A34C"/>
    <w:rsid w:val="1F26090D"/>
    <w:rsid w:val="1F36029F"/>
    <w:rsid w:val="1F3CABBE"/>
    <w:rsid w:val="1F4A9BEC"/>
    <w:rsid w:val="1F4CBCAC"/>
    <w:rsid w:val="1F583052"/>
    <w:rsid w:val="1F590950"/>
    <w:rsid w:val="1F61A4FA"/>
    <w:rsid w:val="1F6D5644"/>
    <w:rsid w:val="1F6D7100"/>
    <w:rsid w:val="1F6E0D68"/>
    <w:rsid w:val="1F6E3555"/>
    <w:rsid w:val="1F7A63A4"/>
    <w:rsid w:val="1F7F2681"/>
    <w:rsid w:val="1F85EDDD"/>
    <w:rsid w:val="1F87A504"/>
    <w:rsid w:val="1F8B5F58"/>
    <w:rsid w:val="1F9001C9"/>
    <w:rsid w:val="1F991E3F"/>
    <w:rsid w:val="1FA40D58"/>
    <w:rsid w:val="1FA89ADC"/>
    <w:rsid w:val="1FB07A53"/>
    <w:rsid w:val="1FB5E60C"/>
    <w:rsid w:val="1FB920DD"/>
    <w:rsid w:val="1FBE610C"/>
    <w:rsid w:val="1FC0D680"/>
    <w:rsid w:val="1FC8A9BE"/>
    <w:rsid w:val="1FD285A8"/>
    <w:rsid w:val="1FD5387C"/>
    <w:rsid w:val="1FD5F4D7"/>
    <w:rsid w:val="1FDE4978"/>
    <w:rsid w:val="1FFB41AC"/>
    <w:rsid w:val="200502D6"/>
    <w:rsid w:val="2005501A"/>
    <w:rsid w:val="200F33B5"/>
    <w:rsid w:val="200F6CE4"/>
    <w:rsid w:val="20170E07"/>
    <w:rsid w:val="201F07C0"/>
    <w:rsid w:val="2021018A"/>
    <w:rsid w:val="20255D02"/>
    <w:rsid w:val="202C9C8F"/>
    <w:rsid w:val="20371530"/>
    <w:rsid w:val="203A9FE8"/>
    <w:rsid w:val="20418FE3"/>
    <w:rsid w:val="2042AD50"/>
    <w:rsid w:val="205CA148"/>
    <w:rsid w:val="206D6901"/>
    <w:rsid w:val="207A87B5"/>
    <w:rsid w:val="20805B3F"/>
    <w:rsid w:val="20827E49"/>
    <w:rsid w:val="2087F08F"/>
    <w:rsid w:val="208DBC36"/>
    <w:rsid w:val="208FF5A6"/>
    <w:rsid w:val="2094681B"/>
    <w:rsid w:val="20966BAC"/>
    <w:rsid w:val="209982BB"/>
    <w:rsid w:val="209F8ED7"/>
    <w:rsid w:val="20A1D8A5"/>
    <w:rsid w:val="20A5048E"/>
    <w:rsid w:val="20A8F259"/>
    <w:rsid w:val="20AA4D13"/>
    <w:rsid w:val="20ABDDE9"/>
    <w:rsid w:val="20AE0605"/>
    <w:rsid w:val="20C1AD11"/>
    <w:rsid w:val="20C3C37D"/>
    <w:rsid w:val="20C7E70A"/>
    <w:rsid w:val="20D31AB9"/>
    <w:rsid w:val="20D6ED93"/>
    <w:rsid w:val="20E1EDA4"/>
    <w:rsid w:val="20F5CE62"/>
    <w:rsid w:val="20F933B0"/>
    <w:rsid w:val="20FB6077"/>
    <w:rsid w:val="210EE18A"/>
    <w:rsid w:val="212063F0"/>
    <w:rsid w:val="21223F75"/>
    <w:rsid w:val="21262BF0"/>
    <w:rsid w:val="212862FB"/>
    <w:rsid w:val="213A681B"/>
    <w:rsid w:val="213B2401"/>
    <w:rsid w:val="213B7BDE"/>
    <w:rsid w:val="213C6679"/>
    <w:rsid w:val="213E0A1B"/>
    <w:rsid w:val="2145DF33"/>
    <w:rsid w:val="214D4DDA"/>
    <w:rsid w:val="215265E5"/>
    <w:rsid w:val="21571E0C"/>
    <w:rsid w:val="2157F22C"/>
    <w:rsid w:val="215A4B53"/>
    <w:rsid w:val="215FEDB3"/>
    <w:rsid w:val="216D2570"/>
    <w:rsid w:val="216E66C8"/>
    <w:rsid w:val="2176FCA7"/>
    <w:rsid w:val="21887A85"/>
    <w:rsid w:val="219BBCBC"/>
    <w:rsid w:val="21AE2C69"/>
    <w:rsid w:val="21B55D1C"/>
    <w:rsid w:val="21BB83FA"/>
    <w:rsid w:val="21C72DB0"/>
    <w:rsid w:val="21C8879E"/>
    <w:rsid w:val="21C969A5"/>
    <w:rsid w:val="21D5EC18"/>
    <w:rsid w:val="21DB9B88"/>
    <w:rsid w:val="21E67ADF"/>
    <w:rsid w:val="21E8E7D2"/>
    <w:rsid w:val="21E92CAD"/>
    <w:rsid w:val="21F1871D"/>
    <w:rsid w:val="21F7FE12"/>
    <w:rsid w:val="21FEC350"/>
    <w:rsid w:val="2201B594"/>
    <w:rsid w:val="22024565"/>
    <w:rsid w:val="220399B5"/>
    <w:rsid w:val="2213A0A4"/>
    <w:rsid w:val="2216B8E3"/>
    <w:rsid w:val="221DB268"/>
    <w:rsid w:val="2225E379"/>
    <w:rsid w:val="222A26D8"/>
    <w:rsid w:val="222BCD2E"/>
    <w:rsid w:val="222CD55A"/>
    <w:rsid w:val="22375C46"/>
    <w:rsid w:val="223A377D"/>
    <w:rsid w:val="223BA598"/>
    <w:rsid w:val="22449473"/>
    <w:rsid w:val="22531A87"/>
    <w:rsid w:val="2255D5D9"/>
    <w:rsid w:val="226127F4"/>
    <w:rsid w:val="226C2330"/>
    <w:rsid w:val="226F20BB"/>
    <w:rsid w:val="227C8D89"/>
    <w:rsid w:val="228FEB9F"/>
    <w:rsid w:val="22948FFC"/>
    <w:rsid w:val="22AF9E10"/>
    <w:rsid w:val="22BA23F4"/>
    <w:rsid w:val="22C285BD"/>
    <w:rsid w:val="22C951B1"/>
    <w:rsid w:val="22CAD16F"/>
    <w:rsid w:val="22D1B6C2"/>
    <w:rsid w:val="22DF16E8"/>
    <w:rsid w:val="22E05B43"/>
    <w:rsid w:val="22EDE272"/>
    <w:rsid w:val="22F0470D"/>
    <w:rsid w:val="2302A943"/>
    <w:rsid w:val="2307BE0C"/>
    <w:rsid w:val="2317A3A7"/>
    <w:rsid w:val="231952AB"/>
    <w:rsid w:val="23267F7E"/>
    <w:rsid w:val="233A2187"/>
    <w:rsid w:val="233E6A33"/>
    <w:rsid w:val="2343D42B"/>
    <w:rsid w:val="235880D5"/>
    <w:rsid w:val="235B23AF"/>
    <w:rsid w:val="2364DCD3"/>
    <w:rsid w:val="23658B8D"/>
    <w:rsid w:val="2365E745"/>
    <w:rsid w:val="23727523"/>
    <w:rsid w:val="237A6654"/>
    <w:rsid w:val="2385271B"/>
    <w:rsid w:val="23874733"/>
    <w:rsid w:val="2396A3FE"/>
    <w:rsid w:val="239A93B1"/>
    <w:rsid w:val="23B31C01"/>
    <w:rsid w:val="23B8BF74"/>
    <w:rsid w:val="23BE5BCC"/>
    <w:rsid w:val="23BFA0CE"/>
    <w:rsid w:val="23C752BB"/>
    <w:rsid w:val="23CC8A90"/>
    <w:rsid w:val="23CD9E4C"/>
    <w:rsid w:val="23D2142B"/>
    <w:rsid w:val="23D25332"/>
    <w:rsid w:val="23D3DB36"/>
    <w:rsid w:val="23DBB9F9"/>
    <w:rsid w:val="23DC81A4"/>
    <w:rsid w:val="23DDB57B"/>
    <w:rsid w:val="23DDF3F5"/>
    <w:rsid w:val="23E56548"/>
    <w:rsid w:val="23E5E17B"/>
    <w:rsid w:val="23ECBFD9"/>
    <w:rsid w:val="23EDC796"/>
    <w:rsid w:val="23EE5267"/>
    <w:rsid w:val="240174FA"/>
    <w:rsid w:val="2405222F"/>
    <w:rsid w:val="240968B4"/>
    <w:rsid w:val="2412C326"/>
    <w:rsid w:val="2418AC4F"/>
    <w:rsid w:val="241CB128"/>
    <w:rsid w:val="242651DC"/>
    <w:rsid w:val="242BA175"/>
    <w:rsid w:val="2431563E"/>
    <w:rsid w:val="2435FB66"/>
    <w:rsid w:val="243EEBBF"/>
    <w:rsid w:val="24437F72"/>
    <w:rsid w:val="2446F975"/>
    <w:rsid w:val="244723E8"/>
    <w:rsid w:val="2454E471"/>
    <w:rsid w:val="245977F8"/>
    <w:rsid w:val="245F4F61"/>
    <w:rsid w:val="245F77D8"/>
    <w:rsid w:val="2465E0DE"/>
    <w:rsid w:val="246F02C8"/>
    <w:rsid w:val="247EEBD7"/>
    <w:rsid w:val="248824D5"/>
    <w:rsid w:val="24B18B11"/>
    <w:rsid w:val="24B718B3"/>
    <w:rsid w:val="24B9FF01"/>
    <w:rsid w:val="24D33CC0"/>
    <w:rsid w:val="24D5B304"/>
    <w:rsid w:val="24DC7A0E"/>
    <w:rsid w:val="24DF5E15"/>
    <w:rsid w:val="24F40C1E"/>
    <w:rsid w:val="2501E43D"/>
    <w:rsid w:val="25052668"/>
    <w:rsid w:val="2506426A"/>
    <w:rsid w:val="250E113B"/>
    <w:rsid w:val="2511174A"/>
    <w:rsid w:val="251C8173"/>
    <w:rsid w:val="252630A7"/>
    <w:rsid w:val="25355AD3"/>
    <w:rsid w:val="254320AD"/>
    <w:rsid w:val="2544DC19"/>
    <w:rsid w:val="2549760A"/>
    <w:rsid w:val="2549E0E4"/>
    <w:rsid w:val="254B8788"/>
    <w:rsid w:val="255B2756"/>
    <w:rsid w:val="255B712F"/>
    <w:rsid w:val="255F7207"/>
    <w:rsid w:val="2560515A"/>
    <w:rsid w:val="2563D08C"/>
    <w:rsid w:val="2563D73B"/>
    <w:rsid w:val="256B0F52"/>
    <w:rsid w:val="256B1D29"/>
    <w:rsid w:val="2571251E"/>
    <w:rsid w:val="25784877"/>
    <w:rsid w:val="25899335"/>
    <w:rsid w:val="2594E147"/>
    <w:rsid w:val="25999AB5"/>
    <w:rsid w:val="25A1D91A"/>
    <w:rsid w:val="25ACC241"/>
    <w:rsid w:val="25AE4979"/>
    <w:rsid w:val="25B249A8"/>
    <w:rsid w:val="25BAE9CC"/>
    <w:rsid w:val="25C7C658"/>
    <w:rsid w:val="25C8F452"/>
    <w:rsid w:val="25C94CC0"/>
    <w:rsid w:val="25D4C051"/>
    <w:rsid w:val="25E0D8E6"/>
    <w:rsid w:val="25E0E60C"/>
    <w:rsid w:val="25E0ED52"/>
    <w:rsid w:val="25E26F53"/>
    <w:rsid w:val="25EB0872"/>
    <w:rsid w:val="25F2E7DA"/>
    <w:rsid w:val="25F8FC09"/>
    <w:rsid w:val="25F92051"/>
    <w:rsid w:val="25FD38D0"/>
    <w:rsid w:val="2604E4DF"/>
    <w:rsid w:val="2606EDFE"/>
    <w:rsid w:val="261120B9"/>
    <w:rsid w:val="261197A1"/>
    <w:rsid w:val="261DBFF4"/>
    <w:rsid w:val="26252BC3"/>
    <w:rsid w:val="26263643"/>
    <w:rsid w:val="26280164"/>
    <w:rsid w:val="262E6BDE"/>
    <w:rsid w:val="2639EBC6"/>
    <w:rsid w:val="263F45C8"/>
    <w:rsid w:val="26427F70"/>
    <w:rsid w:val="2657B108"/>
    <w:rsid w:val="2668C324"/>
    <w:rsid w:val="266B6B4D"/>
    <w:rsid w:val="267D2E2B"/>
    <w:rsid w:val="2683FD54"/>
    <w:rsid w:val="268E05B2"/>
    <w:rsid w:val="26A804D9"/>
    <w:rsid w:val="26AA67AB"/>
    <w:rsid w:val="26AD2163"/>
    <w:rsid w:val="26B4D435"/>
    <w:rsid w:val="26BA1491"/>
    <w:rsid w:val="26BAA66A"/>
    <w:rsid w:val="26CC53FC"/>
    <w:rsid w:val="26CD3884"/>
    <w:rsid w:val="26CEF6AD"/>
    <w:rsid w:val="26DD14F7"/>
    <w:rsid w:val="26DE3061"/>
    <w:rsid w:val="26E8D274"/>
    <w:rsid w:val="26F1201B"/>
    <w:rsid w:val="26F4DB5D"/>
    <w:rsid w:val="270265BF"/>
    <w:rsid w:val="270EB20D"/>
    <w:rsid w:val="2711E404"/>
    <w:rsid w:val="2720303F"/>
    <w:rsid w:val="2724B3EF"/>
    <w:rsid w:val="2725F329"/>
    <w:rsid w:val="273A3180"/>
    <w:rsid w:val="27414ECC"/>
    <w:rsid w:val="274A63E8"/>
    <w:rsid w:val="274DB705"/>
    <w:rsid w:val="27536962"/>
    <w:rsid w:val="2754A1C7"/>
    <w:rsid w:val="275A2013"/>
    <w:rsid w:val="275B1CC6"/>
    <w:rsid w:val="2761D87A"/>
    <w:rsid w:val="27634237"/>
    <w:rsid w:val="276D3560"/>
    <w:rsid w:val="276F45DC"/>
    <w:rsid w:val="2773333B"/>
    <w:rsid w:val="27819F49"/>
    <w:rsid w:val="2782FF64"/>
    <w:rsid w:val="2786D7C4"/>
    <w:rsid w:val="278CE689"/>
    <w:rsid w:val="27913317"/>
    <w:rsid w:val="2795063A"/>
    <w:rsid w:val="279C5A42"/>
    <w:rsid w:val="27A89D4A"/>
    <w:rsid w:val="27C2505A"/>
    <w:rsid w:val="27C36879"/>
    <w:rsid w:val="27C80655"/>
    <w:rsid w:val="27CACA72"/>
    <w:rsid w:val="27D9B930"/>
    <w:rsid w:val="27DD0015"/>
    <w:rsid w:val="27E1CB38"/>
    <w:rsid w:val="27E25CD6"/>
    <w:rsid w:val="27E5A3B7"/>
    <w:rsid w:val="27E6403E"/>
    <w:rsid w:val="27EA54A2"/>
    <w:rsid w:val="27EE1775"/>
    <w:rsid w:val="27F85C81"/>
    <w:rsid w:val="27FB20A0"/>
    <w:rsid w:val="27FB4B08"/>
    <w:rsid w:val="27FCA716"/>
    <w:rsid w:val="27FD3635"/>
    <w:rsid w:val="28089239"/>
    <w:rsid w:val="280BDB4D"/>
    <w:rsid w:val="28306EE7"/>
    <w:rsid w:val="283EED1E"/>
    <w:rsid w:val="284070B9"/>
    <w:rsid w:val="28412135"/>
    <w:rsid w:val="2843276A"/>
    <w:rsid w:val="2846D50E"/>
    <w:rsid w:val="285A1FAC"/>
    <w:rsid w:val="285CB705"/>
    <w:rsid w:val="28621004"/>
    <w:rsid w:val="286C77E0"/>
    <w:rsid w:val="286E04D4"/>
    <w:rsid w:val="286F899A"/>
    <w:rsid w:val="2873964F"/>
    <w:rsid w:val="28767EDB"/>
    <w:rsid w:val="287A503C"/>
    <w:rsid w:val="2881B976"/>
    <w:rsid w:val="2885F819"/>
    <w:rsid w:val="288A296D"/>
    <w:rsid w:val="288B6D24"/>
    <w:rsid w:val="2891237F"/>
    <w:rsid w:val="2892D95D"/>
    <w:rsid w:val="289FC475"/>
    <w:rsid w:val="28A6C7CD"/>
    <w:rsid w:val="28AE8CAA"/>
    <w:rsid w:val="28B9529E"/>
    <w:rsid w:val="28BB2A64"/>
    <w:rsid w:val="28BF0724"/>
    <w:rsid w:val="28C17811"/>
    <w:rsid w:val="28C2A23B"/>
    <w:rsid w:val="28CB06B5"/>
    <w:rsid w:val="28DD3808"/>
    <w:rsid w:val="28DD5B8B"/>
    <w:rsid w:val="28E59629"/>
    <w:rsid w:val="28E63449"/>
    <w:rsid w:val="28EA1AA2"/>
    <w:rsid w:val="28F522F7"/>
    <w:rsid w:val="28F863B5"/>
    <w:rsid w:val="28FBC91C"/>
    <w:rsid w:val="29077E15"/>
    <w:rsid w:val="290EF67B"/>
    <w:rsid w:val="29151FA0"/>
    <w:rsid w:val="291DFC6B"/>
    <w:rsid w:val="29256137"/>
    <w:rsid w:val="293734FE"/>
    <w:rsid w:val="293B7F52"/>
    <w:rsid w:val="2942AE8C"/>
    <w:rsid w:val="29474B40"/>
    <w:rsid w:val="2948DDC5"/>
    <w:rsid w:val="29492DFC"/>
    <w:rsid w:val="29502E3E"/>
    <w:rsid w:val="29533F4D"/>
    <w:rsid w:val="29597163"/>
    <w:rsid w:val="295E8B0A"/>
    <w:rsid w:val="296653AB"/>
    <w:rsid w:val="296910AF"/>
    <w:rsid w:val="29707F44"/>
    <w:rsid w:val="297F86A3"/>
    <w:rsid w:val="298256BF"/>
    <w:rsid w:val="2995B3EB"/>
    <w:rsid w:val="2997F75F"/>
    <w:rsid w:val="2998ED19"/>
    <w:rsid w:val="29992101"/>
    <w:rsid w:val="2999241D"/>
    <w:rsid w:val="299BAC8F"/>
    <w:rsid w:val="299C07E2"/>
    <w:rsid w:val="29A27F8C"/>
    <w:rsid w:val="29A381F9"/>
    <w:rsid w:val="29A93355"/>
    <w:rsid w:val="29AB10FA"/>
    <w:rsid w:val="29AEFABC"/>
    <w:rsid w:val="29AF736F"/>
    <w:rsid w:val="29AFE6D0"/>
    <w:rsid w:val="29BECA82"/>
    <w:rsid w:val="29C16630"/>
    <w:rsid w:val="29C8E6B1"/>
    <w:rsid w:val="29CCD404"/>
    <w:rsid w:val="29CD8510"/>
    <w:rsid w:val="29D36C2E"/>
    <w:rsid w:val="29E0E6D9"/>
    <w:rsid w:val="29E7DB62"/>
    <w:rsid w:val="2A0170FA"/>
    <w:rsid w:val="2A05341E"/>
    <w:rsid w:val="2A0DCDAA"/>
    <w:rsid w:val="2A10DC95"/>
    <w:rsid w:val="2A123D47"/>
    <w:rsid w:val="2A192956"/>
    <w:rsid w:val="2A271095"/>
    <w:rsid w:val="2A3F500C"/>
    <w:rsid w:val="2A4652CF"/>
    <w:rsid w:val="2A47D8A1"/>
    <w:rsid w:val="2A513ABD"/>
    <w:rsid w:val="2A561D1E"/>
    <w:rsid w:val="2A56880C"/>
    <w:rsid w:val="2A5911B2"/>
    <w:rsid w:val="2A59DEFE"/>
    <w:rsid w:val="2A5E0113"/>
    <w:rsid w:val="2A63EEE3"/>
    <w:rsid w:val="2A7516B9"/>
    <w:rsid w:val="2A790A02"/>
    <w:rsid w:val="2A7E6F75"/>
    <w:rsid w:val="2A82BD29"/>
    <w:rsid w:val="2A83AE5B"/>
    <w:rsid w:val="2A8B0248"/>
    <w:rsid w:val="2A9205E0"/>
    <w:rsid w:val="2A925756"/>
    <w:rsid w:val="2AA0A990"/>
    <w:rsid w:val="2AAD79F0"/>
    <w:rsid w:val="2AB5AB7A"/>
    <w:rsid w:val="2AB9E7C0"/>
    <w:rsid w:val="2ABCBAF7"/>
    <w:rsid w:val="2AC9A81F"/>
    <w:rsid w:val="2ACF1270"/>
    <w:rsid w:val="2AD5E354"/>
    <w:rsid w:val="2AD62596"/>
    <w:rsid w:val="2ADA19A8"/>
    <w:rsid w:val="2ADA6992"/>
    <w:rsid w:val="2ADB5614"/>
    <w:rsid w:val="2AE031DC"/>
    <w:rsid w:val="2AFA551D"/>
    <w:rsid w:val="2AFC20B1"/>
    <w:rsid w:val="2B11B378"/>
    <w:rsid w:val="2B171C02"/>
    <w:rsid w:val="2B18AEF2"/>
    <w:rsid w:val="2B206881"/>
    <w:rsid w:val="2B20E654"/>
    <w:rsid w:val="2B26D8AD"/>
    <w:rsid w:val="2B2B3CE4"/>
    <w:rsid w:val="2B3EC465"/>
    <w:rsid w:val="2B402A8F"/>
    <w:rsid w:val="2B4AAF52"/>
    <w:rsid w:val="2B508203"/>
    <w:rsid w:val="2B5549A1"/>
    <w:rsid w:val="2B5ADBA0"/>
    <w:rsid w:val="2B5B22D9"/>
    <w:rsid w:val="2B61344B"/>
    <w:rsid w:val="2B628C43"/>
    <w:rsid w:val="2B704FEF"/>
    <w:rsid w:val="2B7216DA"/>
    <w:rsid w:val="2B74A79F"/>
    <w:rsid w:val="2B777A03"/>
    <w:rsid w:val="2B7EA8BD"/>
    <w:rsid w:val="2B885F27"/>
    <w:rsid w:val="2B932D07"/>
    <w:rsid w:val="2BA92121"/>
    <w:rsid w:val="2BB577A1"/>
    <w:rsid w:val="2BB7B5D4"/>
    <w:rsid w:val="2BBECE2D"/>
    <w:rsid w:val="2BC93F9C"/>
    <w:rsid w:val="2BCBE136"/>
    <w:rsid w:val="2BCC7C4B"/>
    <w:rsid w:val="2BD14AD3"/>
    <w:rsid w:val="2BD6DE94"/>
    <w:rsid w:val="2BE6B66D"/>
    <w:rsid w:val="2BE950AD"/>
    <w:rsid w:val="2BED2FBE"/>
    <w:rsid w:val="2BEDB3A9"/>
    <w:rsid w:val="2BF0B076"/>
    <w:rsid w:val="2BF17434"/>
    <w:rsid w:val="2BF95260"/>
    <w:rsid w:val="2BFE0EC7"/>
    <w:rsid w:val="2C0BAE16"/>
    <w:rsid w:val="2C10065C"/>
    <w:rsid w:val="2C10E71A"/>
    <w:rsid w:val="2C171620"/>
    <w:rsid w:val="2C22D68F"/>
    <w:rsid w:val="2C44C797"/>
    <w:rsid w:val="2C4B03D4"/>
    <w:rsid w:val="2C5E9BE7"/>
    <w:rsid w:val="2C5ECD2C"/>
    <w:rsid w:val="2C638590"/>
    <w:rsid w:val="2C657562"/>
    <w:rsid w:val="2C67C54F"/>
    <w:rsid w:val="2C68DF16"/>
    <w:rsid w:val="2C68EEA3"/>
    <w:rsid w:val="2C69E146"/>
    <w:rsid w:val="2C6C2E3A"/>
    <w:rsid w:val="2C7406B8"/>
    <w:rsid w:val="2C7C869B"/>
    <w:rsid w:val="2C832233"/>
    <w:rsid w:val="2C9510DE"/>
    <w:rsid w:val="2C9B501D"/>
    <w:rsid w:val="2C9B7778"/>
    <w:rsid w:val="2C9E9332"/>
    <w:rsid w:val="2CAC8B54"/>
    <w:rsid w:val="2CB1411C"/>
    <w:rsid w:val="2CB1A068"/>
    <w:rsid w:val="2CB51509"/>
    <w:rsid w:val="2CC837BA"/>
    <w:rsid w:val="2CDBDB23"/>
    <w:rsid w:val="2CE269B5"/>
    <w:rsid w:val="2CE533C4"/>
    <w:rsid w:val="2CEAE004"/>
    <w:rsid w:val="2CEE4BA5"/>
    <w:rsid w:val="2CF2C0C9"/>
    <w:rsid w:val="2CF4DC91"/>
    <w:rsid w:val="2CF72018"/>
    <w:rsid w:val="2CFEA8F7"/>
    <w:rsid w:val="2D1235E0"/>
    <w:rsid w:val="2D1ADDC5"/>
    <w:rsid w:val="2D2AA823"/>
    <w:rsid w:val="2D538A6F"/>
    <w:rsid w:val="2D65B60D"/>
    <w:rsid w:val="2D6655E8"/>
    <w:rsid w:val="2D677001"/>
    <w:rsid w:val="2D6F6AA3"/>
    <w:rsid w:val="2D70EBC8"/>
    <w:rsid w:val="2D76307B"/>
    <w:rsid w:val="2D7A4131"/>
    <w:rsid w:val="2D85A661"/>
    <w:rsid w:val="2D884933"/>
    <w:rsid w:val="2D887B09"/>
    <w:rsid w:val="2D88B272"/>
    <w:rsid w:val="2D8FD314"/>
    <w:rsid w:val="2D9820DC"/>
    <w:rsid w:val="2D989606"/>
    <w:rsid w:val="2D9CD56A"/>
    <w:rsid w:val="2D9E77D8"/>
    <w:rsid w:val="2DA02A9D"/>
    <w:rsid w:val="2DAABFF0"/>
    <w:rsid w:val="2DB4BAE4"/>
    <w:rsid w:val="2DB4E74E"/>
    <w:rsid w:val="2DB5B374"/>
    <w:rsid w:val="2DB76EF6"/>
    <w:rsid w:val="2DCAAA00"/>
    <w:rsid w:val="2DD42136"/>
    <w:rsid w:val="2DD884EC"/>
    <w:rsid w:val="2DE64707"/>
    <w:rsid w:val="2DE880A2"/>
    <w:rsid w:val="2DF15E00"/>
    <w:rsid w:val="2DF89F8F"/>
    <w:rsid w:val="2DFEAA41"/>
    <w:rsid w:val="2E0C0E44"/>
    <w:rsid w:val="2E125F5E"/>
    <w:rsid w:val="2E1FD14B"/>
    <w:rsid w:val="2E30FEEC"/>
    <w:rsid w:val="2E38B475"/>
    <w:rsid w:val="2E3D87F8"/>
    <w:rsid w:val="2E4423F6"/>
    <w:rsid w:val="2E462CEF"/>
    <w:rsid w:val="2E512F2F"/>
    <w:rsid w:val="2E5D59F3"/>
    <w:rsid w:val="2E65D6D4"/>
    <w:rsid w:val="2E70243D"/>
    <w:rsid w:val="2E72EBE5"/>
    <w:rsid w:val="2E7D907D"/>
    <w:rsid w:val="2E7DB6C7"/>
    <w:rsid w:val="2E8B7D07"/>
    <w:rsid w:val="2E909E43"/>
    <w:rsid w:val="2E97026C"/>
    <w:rsid w:val="2E9E3B48"/>
    <w:rsid w:val="2EAF0F5E"/>
    <w:rsid w:val="2EAFC852"/>
    <w:rsid w:val="2EBF12A3"/>
    <w:rsid w:val="2ED0D2A2"/>
    <w:rsid w:val="2EE8D1D6"/>
    <w:rsid w:val="2EEC9A79"/>
    <w:rsid w:val="2EF02122"/>
    <w:rsid w:val="2EF9C531"/>
    <w:rsid w:val="2EFEC479"/>
    <w:rsid w:val="2F00E05E"/>
    <w:rsid w:val="2F258EED"/>
    <w:rsid w:val="2F279BE0"/>
    <w:rsid w:val="2F3386AB"/>
    <w:rsid w:val="2F3649D2"/>
    <w:rsid w:val="2F376006"/>
    <w:rsid w:val="2F4CFFAE"/>
    <w:rsid w:val="2F63000C"/>
    <w:rsid w:val="2F893492"/>
    <w:rsid w:val="2F9E9DAF"/>
    <w:rsid w:val="2F9F8DA9"/>
    <w:rsid w:val="2FB91C3A"/>
    <w:rsid w:val="2FB95200"/>
    <w:rsid w:val="2FBD1DBD"/>
    <w:rsid w:val="2FBE9C2D"/>
    <w:rsid w:val="2FD724BD"/>
    <w:rsid w:val="2FDA1D74"/>
    <w:rsid w:val="2FDF4828"/>
    <w:rsid w:val="2FE4ABA9"/>
    <w:rsid w:val="2FE51E0E"/>
    <w:rsid w:val="2FE900A1"/>
    <w:rsid w:val="2FE90E19"/>
    <w:rsid w:val="2FF877AD"/>
    <w:rsid w:val="2FFAD9CF"/>
    <w:rsid w:val="2FFB4132"/>
    <w:rsid w:val="2FFB8E0B"/>
    <w:rsid w:val="30023D07"/>
    <w:rsid w:val="300C7EC7"/>
    <w:rsid w:val="300D74BB"/>
    <w:rsid w:val="30128B59"/>
    <w:rsid w:val="3012DCFF"/>
    <w:rsid w:val="3021E73E"/>
    <w:rsid w:val="3025EC67"/>
    <w:rsid w:val="3026B86F"/>
    <w:rsid w:val="302C9430"/>
    <w:rsid w:val="302E4AE8"/>
    <w:rsid w:val="3037CF1C"/>
    <w:rsid w:val="3047F210"/>
    <w:rsid w:val="30495975"/>
    <w:rsid w:val="304A12DE"/>
    <w:rsid w:val="304A81C6"/>
    <w:rsid w:val="304ABC61"/>
    <w:rsid w:val="304B0F59"/>
    <w:rsid w:val="304FC2D0"/>
    <w:rsid w:val="3059889D"/>
    <w:rsid w:val="305B9616"/>
    <w:rsid w:val="305FF34A"/>
    <w:rsid w:val="3061B7AC"/>
    <w:rsid w:val="306CD4D9"/>
    <w:rsid w:val="306DF76F"/>
    <w:rsid w:val="306EF5E7"/>
    <w:rsid w:val="306FD34A"/>
    <w:rsid w:val="30706AD5"/>
    <w:rsid w:val="30780D7A"/>
    <w:rsid w:val="307C0A21"/>
    <w:rsid w:val="30929F27"/>
    <w:rsid w:val="30958E9D"/>
    <w:rsid w:val="309D9729"/>
    <w:rsid w:val="30A1F7BB"/>
    <w:rsid w:val="30A94984"/>
    <w:rsid w:val="30AA51C0"/>
    <w:rsid w:val="30B0759A"/>
    <w:rsid w:val="30B30C7E"/>
    <w:rsid w:val="30BAAA29"/>
    <w:rsid w:val="30C07C41"/>
    <w:rsid w:val="30C3895E"/>
    <w:rsid w:val="30CBE58F"/>
    <w:rsid w:val="30CCD56F"/>
    <w:rsid w:val="30DAD700"/>
    <w:rsid w:val="30E59023"/>
    <w:rsid w:val="30F2EDB9"/>
    <w:rsid w:val="30F387BD"/>
    <w:rsid w:val="30F4D1EA"/>
    <w:rsid w:val="30FFE697"/>
    <w:rsid w:val="3102D1BB"/>
    <w:rsid w:val="31048D37"/>
    <w:rsid w:val="310511BF"/>
    <w:rsid w:val="310BFDFA"/>
    <w:rsid w:val="312E7ADE"/>
    <w:rsid w:val="3131EB16"/>
    <w:rsid w:val="31381779"/>
    <w:rsid w:val="3139E223"/>
    <w:rsid w:val="31458EE6"/>
    <w:rsid w:val="314B2858"/>
    <w:rsid w:val="3150F896"/>
    <w:rsid w:val="3156B721"/>
    <w:rsid w:val="315CA790"/>
    <w:rsid w:val="31660CD8"/>
    <w:rsid w:val="31676E8E"/>
    <w:rsid w:val="316BD09B"/>
    <w:rsid w:val="317AAC74"/>
    <w:rsid w:val="317D9851"/>
    <w:rsid w:val="3183E5CA"/>
    <w:rsid w:val="318471EC"/>
    <w:rsid w:val="3186BA77"/>
    <w:rsid w:val="319A4831"/>
    <w:rsid w:val="319AF431"/>
    <w:rsid w:val="319E3526"/>
    <w:rsid w:val="31A95746"/>
    <w:rsid w:val="31AB1DFE"/>
    <w:rsid w:val="31B2555A"/>
    <w:rsid w:val="31B7372C"/>
    <w:rsid w:val="31BFF0A0"/>
    <w:rsid w:val="31C2FB28"/>
    <w:rsid w:val="31C6DE68"/>
    <w:rsid w:val="31D4302D"/>
    <w:rsid w:val="31DAF9E8"/>
    <w:rsid w:val="31DBF7FC"/>
    <w:rsid w:val="31E29853"/>
    <w:rsid w:val="31E38370"/>
    <w:rsid w:val="31E65227"/>
    <w:rsid w:val="31F0CC3B"/>
    <w:rsid w:val="31F4ACE1"/>
    <w:rsid w:val="31FF10CA"/>
    <w:rsid w:val="31FFCCEF"/>
    <w:rsid w:val="3201BF66"/>
    <w:rsid w:val="3215E1D6"/>
    <w:rsid w:val="32179B4F"/>
    <w:rsid w:val="321C6DBC"/>
    <w:rsid w:val="3223556E"/>
    <w:rsid w:val="3234599A"/>
    <w:rsid w:val="323489F7"/>
    <w:rsid w:val="323693FC"/>
    <w:rsid w:val="3236B6DE"/>
    <w:rsid w:val="32393522"/>
    <w:rsid w:val="3241E01B"/>
    <w:rsid w:val="32451EB7"/>
    <w:rsid w:val="324720C5"/>
    <w:rsid w:val="324CC10D"/>
    <w:rsid w:val="324FDF3B"/>
    <w:rsid w:val="32545ABF"/>
    <w:rsid w:val="325BBA56"/>
    <w:rsid w:val="32635A02"/>
    <w:rsid w:val="326C4BCB"/>
    <w:rsid w:val="3274FACA"/>
    <w:rsid w:val="32793E11"/>
    <w:rsid w:val="32856D54"/>
    <w:rsid w:val="328A9661"/>
    <w:rsid w:val="3295C04C"/>
    <w:rsid w:val="329A3857"/>
    <w:rsid w:val="329B219F"/>
    <w:rsid w:val="32A11655"/>
    <w:rsid w:val="32A12723"/>
    <w:rsid w:val="32A13005"/>
    <w:rsid w:val="32AA3620"/>
    <w:rsid w:val="32B0C174"/>
    <w:rsid w:val="32B4A985"/>
    <w:rsid w:val="32B88EA3"/>
    <w:rsid w:val="32CB7DF0"/>
    <w:rsid w:val="32CCC49D"/>
    <w:rsid w:val="32D102C3"/>
    <w:rsid w:val="32E5E575"/>
    <w:rsid w:val="32E89642"/>
    <w:rsid w:val="32EC4DCF"/>
    <w:rsid w:val="32EDA066"/>
    <w:rsid w:val="32EEA38E"/>
    <w:rsid w:val="32F8693A"/>
    <w:rsid w:val="32F9C21F"/>
    <w:rsid w:val="3301936C"/>
    <w:rsid w:val="330324B3"/>
    <w:rsid w:val="330BC131"/>
    <w:rsid w:val="3318F1ED"/>
    <w:rsid w:val="331D2306"/>
    <w:rsid w:val="331F181D"/>
    <w:rsid w:val="33221E22"/>
    <w:rsid w:val="33248B7E"/>
    <w:rsid w:val="332695AC"/>
    <w:rsid w:val="3327DE85"/>
    <w:rsid w:val="332AC770"/>
    <w:rsid w:val="3330C792"/>
    <w:rsid w:val="33314F95"/>
    <w:rsid w:val="333321A9"/>
    <w:rsid w:val="33383784"/>
    <w:rsid w:val="333F98B4"/>
    <w:rsid w:val="3343F96A"/>
    <w:rsid w:val="334A5CE2"/>
    <w:rsid w:val="334BCB76"/>
    <w:rsid w:val="33553AF3"/>
    <w:rsid w:val="335DF0D4"/>
    <w:rsid w:val="33676775"/>
    <w:rsid w:val="3369E11E"/>
    <w:rsid w:val="336B2C2A"/>
    <w:rsid w:val="336D957C"/>
    <w:rsid w:val="336DF222"/>
    <w:rsid w:val="33760BD6"/>
    <w:rsid w:val="337A9F5D"/>
    <w:rsid w:val="337DD614"/>
    <w:rsid w:val="337E1F60"/>
    <w:rsid w:val="337F53D1"/>
    <w:rsid w:val="33804D08"/>
    <w:rsid w:val="338053DA"/>
    <w:rsid w:val="3389139C"/>
    <w:rsid w:val="338EFD3F"/>
    <w:rsid w:val="33945237"/>
    <w:rsid w:val="339A8162"/>
    <w:rsid w:val="33A08410"/>
    <w:rsid w:val="33B26EC1"/>
    <w:rsid w:val="33C9DDBD"/>
    <w:rsid w:val="33D74213"/>
    <w:rsid w:val="33DA02BC"/>
    <w:rsid w:val="33DEDDE6"/>
    <w:rsid w:val="33DF53E1"/>
    <w:rsid w:val="33E0EA46"/>
    <w:rsid w:val="33E50014"/>
    <w:rsid w:val="33E83B6E"/>
    <w:rsid w:val="33FD2C52"/>
    <w:rsid w:val="3400F80E"/>
    <w:rsid w:val="34026CAE"/>
    <w:rsid w:val="34054DE2"/>
    <w:rsid w:val="340CECBE"/>
    <w:rsid w:val="34110BE3"/>
    <w:rsid w:val="341D99D7"/>
    <w:rsid w:val="342525EC"/>
    <w:rsid w:val="3428C334"/>
    <w:rsid w:val="3429F3E4"/>
    <w:rsid w:val="34322D56"/>
    <w:rsid w:val="34356B94"/>
    <w:rsid w:val="34400E8A"/>
    <w:rsid w:val="344593A4"/>
    <w:rsid w:val="344835BF"/>
    <w:rsid w:val="344A1FA2"/>
    <w:rsid w:val="34553B4E"/>
    <w:rsid w:val="345C4CD3"/>
    <w:rsid w:val="346121FF"/>
    <w:rsid w:val="346E0E05"/>
    <w:rsid w:val="3476E4B8"/>
    <w:rsid w:val="347B8E06"/>
    <w:rsid w:val="348744C8"/>
    <w:rsid w:val="348F3E16"/>
    <w:rsid w:val="3493E270"/>
    <w:rsid w:val="349D63CD"/>
    <w:rsid w:val="34A8F021"/>
    <w:rsid w:val="34ABB8C1"/>
    <w:rsid w:val="34B4DAB2"/>
    <w:rsid w:val="34C503E4"/>
    <w:rsid w:val="34C7AB11"/>
    <w:rsid w:val="34C9878B"/>
    <w:rsid w:val="34C9DFFE"/>
    <w:rsid w:val="34D1AD56"/>
    <w:rsid w:val="34D85D05"/>
    <w:rsid w:val="34DDFE35"/>
    <w:rsid w:val="34E45AAE"/>
    <w:rsid w:val="34EA9311"/>
    <w:rsid w:val="34EC7216"/>
    <w:rsid w:val="34F94D02"/>
    <w:rsid w:val="35009685"/>
    <w:rsid w:val="350D9BEB"/>
    <w:rsid w:val="351037B7"/>
    <w:rsid w:val="351567C9"/>
    <w:rsid w:val="351FDA13"/>
    <w:rsid w:val="3520D9F7"/>
    <w:rsid w:val="3520DAE9"/>
    <w:rsid w:val="352474DC"/>
    <w:rsid w:val="352D9407"/>
    <w:rsid w:val="35310B5C"/>
    <w:rsid w:val="35325640"/>
    <w:rsid w:val="35325804"/>
    <w:rsid w:val="353B8E2D"/>
    <w:rsid w:val="353F00B4"/>
    <w:rsid w:val="35426A20"/>
    <w:rsid w:val="35495C4C"/>
    <w:rsid w:val="35547562"/>
    <w:rsid w:val="3560A1F9"/>
    <w:rsid w:val="3568FB40"/>
    <w:rsid w:val="356E57A0"/>
    <w:rsid w:val="3574A9D6"/>
    <w:rsid w:val="357EC63D"/>
    <w:rsid w:val="35873860"/>
    <w:rsid w:val="3588C8D6"/>
    <w:rsid w:val="35906160"/>
    <w:rsid w:val="3592279F"/>
    <w:rsid w:val="3593CD57"/>
    <w:rsid w:val="3598A1BE"/>
    <w:rsid w:val="359B7A74"/>
    <w:rsid w:val="359D018F"/>
    <w:rsid w:val="35A29E6F"/>
    <w:rsid w:val="35A9D68D"/>
    <w:rsid w:val="35B21DC7"/>
    <w:rsid w:val="35B4DD0A"/>
    <w:rsid w:val="35B5E9F9"/>
    <w:rsid w:val="35B6202E"/>
    <w:rsid w:val="35C351EE"/>
    <w:rsid w:val="35C53A20"/>
    <w:rsid w:val="35C725E5"/>
    <w:rsid w:val="35D61DA7"/>
    <w:rsid w:val="35DDC548"/>
    <w:rsid w:val="35E2D129"/>
    <w:rsid w:val="35E5B4FC"/>
    <w:rsid w:val="35EBD47A"/>
    <w:rsid w:val="35EF6D44"/>
    <w:rsid w:val="35F1BB55"/>
    <w:rsid w:val="35F25776"/>
    <w:rsid w:val="35F3DFE2"/>
    <w:rsid w:val="35F950AB"/>
    <w:rsid w:val="35FD3168"/>
    <w:rsid w:val="3603871D"/>
    <w:rsid w:val="3603F429"/>
    <w:rsid w:val="3604C672"/>
    <w:rsid w:val="360BAB54"/>
    <w:rsid w:val="3625C59F"/>
    <w:rsid w:val="3626FA54"/>
    <w:rsid w:val="363E269F"/>
    <w:rsid w:val="363FB8B1"/>
    <w:rsid w:val="36417563"/>
    <w:rsid w:val="3642A4AD"/>
    <w:rsid w:val="3645CF7E"/>
    <w:rsid w:val="3645DE8C"/>
    <w:rsid w:val="36469F14"/>
    <w:rsid w:val="365B9D39"/>
    <w:rsid w:val="365BB434"/>
    <w:rsid w:val="366925CD"/>
    <w:rsid w:val="366B1344"/>
    <w:rsid w:val="36892C29"/>
    <w:rsid w:val="368EE9BA"/>
    <w:rsid w:val="369D6CC0"/>
    <w:rsid w:val="36B7C3EF"/>
    <w:rsid w:val="36B97E41"/>
    <w:rsid w:val="36BB4BEA"/>
    <w:rsid w:val="36BC5BA1"/>
    <w:rsid w:val="36BFF46C"/>
    <w:rsid w:val="36C4E931"/>
    <w:rsid w:val="36C81C7C"/>
    <w:rsid w:val="36CC5531"/>
    <w:rsid w:val="36CCDBBD"/>
    <w:rsid w:val="36CE26A1"/>
    <w:rsid w:val="36D3E0A9"/>
    <w:rsid w:val="36D917B1"/>
    <w:rsid w:val="36D93038"/>
    <w:rsid w:val="36D941EF"/>
    <w:rsid w:val="36DA1AF8"/>
    <w:rsid w:val="36DA48C4"/>
    <w:rsid w:val="36DC9C0B"/>
    <w:rsid w:val="36DF609C"/>
    <w:rsid w:val="36E1151C"/>
    <w:rsid w:val="36E74EFE"/>
    <w:rsid w:val="36FAA5E8"/>
    <w:rsid w:val="36FB912B"/>
    <w:rsid w:val="37094BDC"/>
    <w:rsid w:val="370A2801"/>
    <w:rsid w:val="3716FD59"/>
    <w:rsid w:val="371FE21D"/>
    <w:rsid w:val="372C31C1"/>
    <w:rsid w:val="37360B02"/>
    <w:rsid w:val="373DF1F8"/>
    <w:rsid w:val="373EB49A"/>
    <w:rsid w:val="374CAF34"/>
    <w:rsid w:val="374E417A"/>
    <w:rsid w:val="374EDEA0"/>
    <w:rsid w:val="3758440C"/>
    <w:rsid w:val="375F1E67"/>
    <w:rsid w:val="37666AD6"/>
    <w:rsid w:val="377FFC77"/>
    <w:rsid w:val="37845F8B"/>
    <w:rsid w:val="3793AD81"/>
    <w:rsid w:val="3793CBA4"/>
    <w:rsid w:val="379D2FDD"/>
    <w:rsid w:val="37A1F5DA"/>
    <w:rsid w:val="37A2AC30"/>
    <w:rsid w:val="37A3FB6A"/>
    <w:rsid w:val="37B6149F"/>
    <w:rsid w:val="37B6250E"/>
    <w:rsid w:val="37BF1759"/>
    <w:rsid w:val="37C0752B"/>
    <w:rsid w:val="37C237B3"/>
    <w:rsid w:val="37DD5694"/>
    <w:rsid w:val="37DE8471"/>
    <w:rsid w:val="37E949EE"/>
    <w:rsid w:val="37EAC152"/>
    <w:rsid w:val="37EB6753"/>
    <w:rsid w:val="37FA7319"/>
    <w:rsid w:val="37FB1892"/>
    <w:rsid w:val="380E0273"/>
    <w:rsid w:val="3810F3D1"/>
    <w:rsid w:val="3814E7B5"/>
    <w:rsid w:val="382233D3"/>
    <w:rsid w:val="38286A21"/>
    <w:rsid w:val="3829436D"/>
    <w:rsid w:val="38297A45"/>
    <w:rsid w:val="382AA691"/>
    <w:rsid w:val="382D8FBF"/>
    <w:rsid w:val="382F9C6B"/>
    <w:rsid w:val="38358B18"/>
    <w:rsid w:val="3842AD3A"/>
    <w:rsid w:val="384FF795"/>
    <w:rsid w:val="38503F65"/>
    <w:rsid w:val="3856427C"/>
    <w:rsid w:val="3857BACA"/>
    <w:rsid w:val="385C8EE1"/>
    <w:rsid w:val="385DC8D3"/>
    <w:rsid w:val="3862DC46"/>
    <w:rsid w:val="38637D0D"/>
    <w:rsid w:val="3864EC01"/>
    <w:rsid w:val="386911BB"/>
    <w:rsid w:val="3869F702"/>
    <w:rsid w:val="386FFA33"/>
    <w:rsid w:val="387194D0"/>
    <w:rsid w:val="387574B1"/>
    <w:rsid w:val="38762DC1"/>
    <w:rsid w:val="38895EFE"/>
    <w:rsid w:val="388AD8D0"/>
    <w:rsid w:val="38A943A8"/>
    <w:rsid w:val="38ADB78D"/>
    <w:rsid w:val="38B5619C"/>
    <w:rsid w:val="38C3282C"/>
    <w:rsid w:val="38CD4E51"/>
    <w:rsid w:val="38D5829E"/>
    <w:rsid w:val="38D68D4C"/>
    <w:rsid w:val="38DAFB65"/>
    <w:rsid w:val="38DDE6D5"/>
    <w:rsid w:val="38DE56A4"/>
    <w:rsid w:val="38DFE79C"/>
    <w:rsid w:val="38F087ED"/>
    <w:rsid w:val="38F2107A"/>
    <w:rsid w:val="38FEDF31"/>
    <w:rsid w:val="39111E72"/>
    <w:rsid w:val="391D55BE"/>
    <w:rsid w:val="393B64DD"/>
    <w:rsid w:val="393C8A70"/>
    <w:rsid w:val="39415CE8"/>
    <w:rsid w:val="3947536A"/>
    <w:rsid w:val="39587924"/>
    <w:rsid w:val="395CE960"/>
    <w:rsid w:val="395EF519"/>
    <w:rsid w:val="3976F25B"/>
    <w:rsid w:val="39796531"/>
    <w:rsid w:val="397AEB97"/>
    <w:rsid w:val="397D846E"/>
    <w:rsid w:val="397DB6FA"/>
    <w:rsid w:val="39878F37"/>
    <w:rsid w:val="39880EAC"/>
    <w:rsid w:val="399A0E1D"/>
    <w:rsid w:val="399F0CBB"/>
    <w:rsid w:val="39AAE9BC"/>
    <w:rsid w:val="39AB5C09"/>
    <w:rsid w:val="39B85B55"/>
    <w:rsid w:val="39B94A2C"/>
    <w:rsid w:val="39BC5753"/>
    <w:rsid w:val="39C13DAE"/>
    <w:rsid w:val="39C30176"/>
    <w:rsid w:val="39D8896F"/>
    <w:rsid w:val="39DF3C51"/>
    <w:rsid w:val="39E1BB6C"/>
    <w:rsid w:val="39EDA298"/>
    <w:rsid w:val="39F25534"/>
    <w:rsid w:val="39F3C67D"/>
    <w:rsid w:val="39F7DCB3"/>
    <w:rsid w:val="39F97D46"/>
    <w:rsid w:val="39F9CDE0"/>
    <w:rsid w:val="39FEF387"/>
    <w:rsid w:val="3A00E668"/>
    <w:rsid w:val="3A01A55B"/>
    <w:rsid w:val="3A04A757"/>
    <w:rsid w:val="3A054656"/>
    <w:rsid w:val="3A0C1C01"/>
    <w:rsid w:val="3A0CAF20"/>
    <w:rsid w:val="3A11BBBA"/>
    <w:rsid w:val="3A1278DB"/>
    <w:rsid w:val="3A164C45"/>
    <w:rsid w:val="3A17CB9C"/>
    <w:rsid w:val="3A18553E"/>
    <w:rsid w:val="3A1EEFC0"/>
    <w:rsid w:val="3A2285A1"/>
    <w:rsid w:val="3A22900F"/>
    <w:rsid w:val="3A23FEC6"/>
    <w:rsid w:val="3A2F4D20"/>
    <w:rsid w:val="3A3AFF9B"/>
    <w:rsid w:val="3A41C8C3"/>
    <w:rsid w:val="3A4B8D52"/>
    <w:rsid w:val="3A5118AE"/>
    <w:rsid w:val="3A5A8060"/>
    <w:rsid w:val="3A5EA25B"/>
    <w:rsid w:val="3A5F6D9D"/>
    <w:rsid w:val="3A63D283"/>
    <w:rsid w:val="3A73A054"/>
    <w:rsid w:val="3A76DDF1"/>
    <w:rsid w:val="3A78E413"/>
    <w:rsid w:val="3A82546C"/>
    <w:rsid w:val="3A872CCD"/>
    <w:rsid w:val="3A8818C5"/>
    <w:rsid w:val="3A896D60"/>
    <w:rsid w:val="3A8B9FDD"/>
    <w:rsid w:val="3A8F7405"/>
    <w:rsid w:val="3A9352E4"/>
    <w:rsid w:val="3A961D19"/>
    <w:rsid w:val="3AA32FAC"/>
    <w:rsid w:val="3AAA943A"/>
    <w:rsid w:val="3AB9261F"/>
    <w:rsid w:val="3ABBC1A1"/>
    <w:rsid w:val="3AC4DCB7"/>
    <w:rsid w:val="3ACB4263"/>
    <w:rsid w:val="3ACCC1CE"/>
    <w:rsid w:val="3ACD1A7E"/>
    <w:rsid w:val="3ACDAD47"/>
    <w:rsid w:val="3AD8554C"/>
    <w:rsid w:val="3AD8A8AC"/>
    <w:rsid w:val="3AE175B9"/>
    <w:rsid w:val="3AECB0A2"/>
    <w:rsid w:val="3AECD6F9"/>
    <w:rsid w:val="3AEFFC8A"/>
    <w:rsid w:val="3AF9F9C1"/>
    <w:rsid w:val="3AFEE167"/>
    <w:rsid w:val="3B0E4E86"/>
    <w:rsid w:val="3B15C08C"/>
    <w:rsid w:val="3B1C9FCC"/>
    <w:rsid w:val="3B24819E"/>
    <w:rsid w:val="3B3FBEA2"/>
    <w:rsid w:val="3B4209F0"/>
    <w:rsid w:val="3B42CD08"/>
    <w:rsid w:val="3B45700E"/>
    <w:rsid w:val="3B4C6B96"/>
    <w:rsid w:val="3B509FD5"/>
    <w:rsid w:val="3B5783F1"/>
    <w:rsid w:val="3B5AD2F9"/>
    <w:rsid w:val="3B61B41D"/>
    <w:rsid w:val="3B64B1A8"/>
    <w:rsid w:val="3B67F77E"/>
    <w:rsid w:val="3B6CA952"/>
    <w:rsid w:val="3B6E6BB7"/>
    <w:rsid w:val="3B763612"/>
    <w:rsid w:val="3B8F23D2"/>
    <w:rsid w:val="3B91165A"/>
    <w:rsid w:val="3B9660F3"/>
    <w:rsid w:val="3B98C094"/>
    <w:rsid w:val="3B9D4692"/>
    <w:rsid w:val="3BA05B6E"/>
    <w:rsid w:val="3BA2192D"/>
    <w:rsid w:val="3BA767E1"/>
    <w:rsid w:val="3BAD8C1B"/>
    <w:rsid w:val="3BB6702F"/>
    <w:rsid w:val="3BDB7046"/>
    <w:rsid w:val="3BE09B54"/>
    <w:rsid w:val="3BEBFC2B"/>
    <w:rsid w:val="3BF294F1"/>
    <w:rsid w:val="3BF3516D"/>
    <w:rsid w:val="3BF399F8"/>
    <w:rsid w:val="3BFB4496"/>
    <w:rsid w:val="3C028E3B"/>
    <w:rsid w:val="3C065721"/>
    <w:rsid w:val="3C09369F"/>
    <w:rsid w:val="3C0ABBF8"/>
    <w:rsid w:val="3C0E4CE4"/>
    <w:rsid w:val="3C14F630"/>
    <w:rsid w:val="3C170F74"/>
    <w:rsid w:val="3C2086D0"/>
    <w:rsid w:val="3C252CBD"/>
    <w:rsid w:val="3C32646F"/>
    <w:rsid w:val="3C38793F"/>
    <w:rsid w:val="3C3B50E2"/>
    <w:rsid w:val="3C3C8697"/>
    <w:rsid w:val="3C3D0CC6"/>
    <w:rsid w:val="3C5982A5"/>
    <w:rsid w:val="3C5C72B6"/>
    <w:rsid w:val="3C618C1D"/>
    <w:rsid w:val="3C620FF9"/>
    <w:rsid w:val="3C6F044E"/>
    <w:rsid w:val="3C7CE5A2"/>
    <w:rsid w:val="3C87F300"/>
    <w:rsid w:val="3C883211"/>
    <w:rsid w:val="3C89633D"/>
    <w:rsid w:val="3C8C12DC"/>
    <w:rsid w:val="3CA36C2B"/>
    <w:rsid w:val="3CAC1F57"/>
    <w:rsid w:val="3CACE2B1"/>
    <w:rsid w:val="3CADBC87"/>
    <w:rsid w:val="3CAE5989"/>
    <w:rsid w:val="3CB1C2C3"/>
    <w:rsid w:val="3CBB7BF3"/>
    <w:rsid w:val="3CC69542"/>
    <w:rsid w:val="3CD26409"/>
    <w:rsid w:val="3CD471D3"/>
    <w:rsid w:val="3CD9A88F"/>
    <w:rsid w:val="3CEA48B9"/>
    <w:rsid w:val="3CEA8208"/>
    <w:rsid w:val="3CF20FDB"/>
    <w:rsid w:val="3CF575C9"/>
    <w:rsid w:val="3CF6F843"/>
    <w:rsid w:val="3CF9AC7B"/>
    <w:rsid w:val="3D0268B1"/>
    <w:rsid w:val="3D047EDF"/>
    <w:rsid w:val="3D06A025"/>
    <w:rsid w:val="3D073B2E"/>
    <w:rsid w:val="3D148D3A"/>
    <w:rsid w:val="3D161121"/>
    <w:rsid w:val="3D16F51B"/>
    <w:rsid w:val="3D214ED2"/>
    <w:rsid w:val="3D226106"/>
    <w:rsid w:val="3D3CDECC"/>
    <w:rsid w:val="3D44FDC7"/>
    <w:rsid w:val="3D476213"/>
    <w:rsid w:val="3D4A0880"/>
    <w:rsid w:val="3D4C4FF9"/>
    <w:rsid w:val="3D56C9E9"/>
    <w:rsid w:val="3D59CDE8"/>
    <w:rsid w:val="3D5AE376"/>
    <w:rsid w:val="3D613C4C"/>
    <w:rsid w:val="3D6CB605"/>
    <w:rsid w:val="3D7531AB"/>
    <w:rsid w:val="3D75F557"/>
    <w:rsid w:val="3D7D2A61"/>
    <w:rsid w:val="3D7F8AEE"/>
    <w:rsid w:val="3D918C44"/>
    <w:rsid w:val="3D98F6E5"/>
    <w:rsid w:val="3D99AEAE"/>
    <w:rsid w:val="3D9B3088"/>
    <w:rsid w:val="3DA12C98"/>
    <w:rsid w:val="3DB2AFD1"/>
    <w:rsid w:val="3DB46081"/>
    <w:rsid w:val="3DB51050"/>
    <w:rsid w:val="3DB9A3DE"/>
    <w:rsid w:val="3DBA4EFB"/>
    <w:rsid w:val="3DBC961E"/>
    <w:rsid w:val="3DC2DBF8"/>
    <w:rsid w:val="3DC64520"/>
    <w:rsid w:val="3DC6AC48"/>
    <w:rsid w:val="3DD28C7C"/>
    <w:rsid w:val="3DD9E436"/>
    <w:rsid w:val="3DDCA6E9"/>
    <w:rsid w:val="3DF49E6A"/>
    <w:rsid w:val="3DF57D16"/>
    <w:rsid w:val="3DFD482F"/>
    <w:rsid w:val="3E03B561"/>
    <w:rsid w:val="3E0D8769"/>
    <w:rsid w:val="3E0FB1F6"/>
    <w:rsid w:val="3E1200AC"/>
    <w:rsid w:val="3E124BD7"/>
    <w:rsid w:val="3E12EF8F"/>
    <w:rsid w:val="3E18C983"/>
    <w:rsid w:val="3E2E27FE"/>
    <w:rsid w:val="3E30F133"/>
    <w:rsid w:val="3E31B4CE"/>
    <w:rsid w:val="3E3B45D6"/>
    <w:rsid w:val="3E3CA76B"/>
    <w:rsid w:val="3E3FC286"/>
    <w:rsid w:val="3E47505B"/>
    <w:rsid w:val="3E549621"/>
    <w:rsid w:val="3E6190FA"/>
    <w:rsid w:val="3E699F97"/>
    <w:rsid w:val="3E7F47A6"/>
    <w:rsid w:val="3E89A5D1"/>
    <w:rsid w:val="3E911896"/>
    <w:rsid w:val="3E95EB2C"/>
    <w:rsid w:val="3E9842E9"/>
    <w:rsid w:val="3EA45C14"/>
    <w:rsid w:val="3EAA5304"/>
    <w:rsid w:val="3EB037F4"/>
    <w:rsid w:val="3EC4595E"/>
    <w:rsid w:val="3ECF6D39"/>
    <w:rsid w:val="3EDCEE1A"/>
    <w:rsid w:val="3EDD6614"/>
    <w:rsid w:val="3EE336B7"/>
    <w:rsid w:val="3EE52CDD"/>
    <w:rsid w:val="3EEE4A2F"/>
    <w:rsid w:val="3EF4B702"/>
    <w:rsid w:val="3EF5F6C4"/>
    <w:rsid w:val="3F0DE15B"/>
    <w:rsid w:val="3F15C02B"/>
    <w:rsid w:val="3F186507"/>
    <w:rsid w:val="3F197F48"/>
    <w:rsid w:val="3F1B8C1C"/>
    <w:rsid w:val="3F24BF06"/>
    <w:rsid w:val="3F2A457D"/>
    <w:rsid w:val="3F2A8B9A"/>
    <w:rsid w:val="3F2EB275"/>
    <w:rsid w:val="3F425CBA"/>
    <w:rsid w:val="3F5BEE32"/>
    <w:rsid w:val="3F618171"/>
    <w:rsid w:val="3F657595"/>
    <w:rsid w:val="3F6785FA"/>
    <w:rsid w:val="3F6FB55A"/>
    <w:rsid w:val="3F72381C"/>
    <w:rsid w:val="3F73579A"/>
    <w:rsid w:val="3F89257F"/>
    <w:rsid w:val="3F906ECB"/>
    <w:rsid w:val="3F95E4F2"/>
    <w:rsid w:val="3FA41655"/>
    <w:rsid w:val="3FB28A8D"/>
    <w:rsid w:val="3FB86310"/>
    <w:rsid w:val="3FD3FAC9"/>
    <w:rsid w:val="3FD5DC7B"/>
    <w:rsid w:val="3FDC4421"/>
    <w:rsid w:val="3FDCC06D"/>
    <w:rsid w:val="3FE7A8B0"/>
    <w:rsid w:val="3FED9C88"/>
    <w:rsid w:val="3FF74948"/>
    <w:rsid w:val="3FF7F33B"/>
    <w:rsid w:val="3FF98403"/>
    <w:rsid w:val="40048B67"/>
    <w:rsid w:val="400AC71B"/>
    <w:rsid w:val="40101258"/>
    <w:rsid w:val="4010EE39"/>
    <w:rsid w:val="401667ED"/>
    <w:rsid w:val="40195282"/>
    <w:rsid w:val="403582E0"/>
    <w:rsid w:val="403B0863"/>
    <w:rsid w:val="403CE610"/>
    <w:rsid w:val="40467E46"/>
    <w:rsid w:val="404F966D"/>
    <w:rsid w:val="405CF983"/>
    <w:rsid w:val="4065708B"/>
    <w:rsid w:val="406696D6"/>
    <w:rsid w:val="4068242E"/>
    <w:rsid w:val="406F17BE"/>
    <w:rsid w:val="407D9B61"/>
    <w:rsid w:val="407F0718"/>
    <w:rsid w:val="4088EE2B"/>
    <w:rsid w:val="40925167"/>
    <w:rsid w:val="40A349D0"/>
    <w:rsid w:val="40A3A17B"/>
    <w:rsid w:val="40A936EA"/>
    <w:rsid w:val="40AD8355"/>
    <w:rsid w:val="40B02E22"/>
    <w:rsid w:val="40B31185"/>
    <w:rsid w:val="40B58DDD"/>
    <w:rsid w:val="40C5FB5E"/>
    <w:rsid w:val="40CE6DDA"/>
    <w:rsid w:val="40D437AA"/>
    <w:rsid w:val="40D60ECE"/>
    <w:rsid w:val="40DB725E"/>
    <w:rsid w:val="40E10C2F"/>
    <w:rsid w:val="40EC0143"/>
    <w:rsid w:val="40F0B1B7"/>
    <w:rsid w:val="40F3F7F3"/>
    <w:rsid w:val="40F5C4B9"/>
    <w:rsid w:val="40FD005F"/>
    <w:rsid w:val="40FE0EB3"/>
    <w:rsid w:val="41041307"/>
    <w:rsid w:val="410535B1"/>
    <w:rsid w:val="4105D592"/>
    <w:rsid w:val="410A3A25"/>
    <w:rsid w:val="411014AE"/>
    <w:rsid w:val="411F7C30"/>
    <w:rsid w:val="4126031E"/>
    <w:rsid w:val="4130DFC8"/>
    <w:rsid w:val="41398224"/>
    <w:rsid w:val="4142E8FF"/>
    <w:rsid w:val="414A0DCB"/>
    <w:rsid w:val="414F3114"/>
    <w:rsid w:val="4150F551"/>
    <w:rsid w:val="4165FBBD"/>
    <w:rsid w:val="416E9D1D"/>
    <w:rsid w:val="4180B3FE"/>
    <w:rsid w:val="41827CF2"/>
    <w:rsid w:val="41897A2D"/>
    <w:rsid w:val="418BA2BA"/>
    <w:rsid w:val="41958896"/>
    <w:rsid w:val="419A0665"/>
    <w:rsid w:val="41A054D3"/>
    <w:rsid w:val="41A4CD3A"/>
    <w:rsid w:val="41A4EE28"/>
    <w:rsid w:val="41A652B3"/>
    <w:rsid w:val="41A7E7F8"/>
    <w:rsid w:val="41A8AEAE"/>
    <w:rsid w:val="41B86995"/>
    <w:rsid w:val="41CCC4B6"/>
    <w:rsid w:val="41D2DF39"/>
    <w:rsid w:val="41D3716C"/>
    <w:rsid w:val="41D47CC2"/>
    <w:rsid w:val="41DE4A8C"/>
    <w:rsid w:val="41EDBA0C"/>
    <w:rsid w:val="4200931C"/>
    <w:rsid w:val="42039090"/>
    <w:rsid w:val="420991BC"/>
    <w:rsid w:val="421C9DF5"/>
    <w:rsid w:val="4221BE9C"/>
    <w:rsid w:val="4222D766"/>
    <w:rsid w:val="4225DD40"/>
    <w:rsid w:val="4234CA33"/>
    <w:rsid w:val="42374CD0"/>
    <w:rsid w:val="42429DC5"/>
    <w:rsid w:val="42492BE4"/>
    <w:rsid w:val="424A8166"/>
    <w:rsid w:val="425056BC"/>
    <w:rsid w:val="42560E0D"/>
    <w:rsid w:val="425935D3"/>
    <w:rsid w:val="425A6FB4"/>
    <w:rsid w:val="425AE0B8"/>
    <w:rsid w:val="425BFE9A"/>
    <w:rsid w:val="426202B3"/>
    <w:rsid w:val="4264FEA7"/>
    <w:rsid w:val="426BFC35"/>
    <w:rsid w:val="426EA947"/>
    <w:rsid w:val="4275EC24"/>
    <w:rsid w:val="4276327B"/>
    <w:rsid w:val="42811635"/>
    <w:rsid w:val="428B9CE8"/>
    <w:rsid w:val="42A0A21E"/>
    <w:rsid w:val="42A6F8B5"/>
    <w:rsid w:val="42B31D7B"/>
    <w:rsid w:val="42B3BB01"/>
    <w:rsid w:val="42B40E95"/>
    <w:rsid w:val="42B4D54E"/>
    <w:rsid w:val="42B5799D"/>
    <w:rsid w:val="42B5FD52"/>
    <w:rsid w:val="42BA697A"/>
    <w:rsid w:val="42BFB65F"/>
    <w:rsid w:val="42C16AA5"/>
    <w:rsid w:val="42C5B691"/>
    <w:rsid w:val="42C873A1"/>
    <w:rsid w:val="42E56493"/>
    <w:rsid w:val="42EED99A"/>
    <w:rsid w:val="42F36B2D"/>
    <w:rsid w:val="42FB402D"/>
    <w:rsid w:val="431BA36B"/>
    <w:rsid w:val="431BF729"/>
    <w:rsid w:val="432783EA"/>
    <w:rsid w:val="4327C806"/>
    <w:rsid w:val="432E8716"/>
    <w:rsid w:val="433074AF"/>
    <w:rsid w:val="4335D6C6"/>
    <w:rsid w:val="43420E2D"/>
    <w:rsid w:val="434530C3"/>
    <w:rsid w:val="434D05AA"/>
    <w:rsid w:val="4353E0BC"/>
    <w:rsid w:val="43575904"/>
    <w:rsid w:val="435DB065"/>
    <w:rsid w:val="43699E1D"/>
    <w:rsid w:val="43792ED8"/>
    <w:rsid w:val="437F5890"/>
    <w:rsid w:val="437FF2FA"/>
    <w:rsid w:val="438CB5EF"/>
    <w:rsid w:val="439052C6"/>
    <w:rsid w:val="43922F6A"/>
    <w:rsid w:val="43989BB7"/>
    <w:rsid w:val="43AA768A"/>
    <w:rsid w:val="43ACCEF8"/>
    <w:rsid w:val="43B6404A"/>
    <w:rsid w:val="43B6A7DA"/>
    <w:rsid w:val="43BD4729"/>
    <w:rsid w:val="43D5DC51"/>
    <w:rsid w:val="43D93593"/>
    <w:rsid w:val="43E7CEE4"/>
    <w:rsid w:val="43E865CE"/>
    <w:rsid w:val="43F2DDAA"/>
    <w:rsid w:val="43F3CEF5"/>
    <w:rsid w:val="440CEFCB"/>
    <w:rsid w:val="441F0A56"/>
    <w:rsid w:val="4420A258"/>
    <w:rsid w:val="44228781"/>
    <w:rsid w:val="442805E2"/>
    <w:rsid w:val="442A106A"/>
    <w:rsid w:val="4434EAF8"/>
    <w:rsid w:val="4435DD77"/>
    <w:rsid w:val="443B1735"/>
    <w:rsid w:val="4444D6AC"/>
    <w:rsid w:val="444BC29F"/>
    <w:rsid w:val="445394AC"/>
    <w:rsid w:val="445AD073"/>
    <w:rsid w:val="445BB093"/>
    <w:rsid w:val="4469C42C"/>
    <w:rsid w:val="44730628"/>
    <w:rsid w:val="44735610"/>
    <w:rsid w:val="44739A7F"/>
    <w:rsid w:val="44748F4D"/>
    <w:rsid w:val="447A78E0"/>
    <w:rsid w:val="447CE423"/>
    <w:rsid w:val="448C4B10"/>
    <w:rsid w:val="4490C945"/>
    <w:rsid w:val="449AD252"/>
    <w:rsid w:val="449C42DA"/>
    <w:rsid w:val="44A040F7"/>
    <w:rsid w:val="44A7701B"/>
    <w:rsid w:val="44ABC07B"/>
    <w:rsid w:val="44AC84D1"/>
    <w:rsid w:val="44AF3008"/>
    <w:rsid w:val="44B57370"/>
    <w:rsid w:val="44B8D81E"/>
    <w:rsid w:val="44BD9B14"/>
    <w:rsid w:val="44C56179"/>
    <w:rsid w:val="44C9C8D0"/>
    <w:rsid w:val="44D1A727"/>
    <w:rsid w:val="44D6F0D4"/>
    <w:rsid w:val="44DD0D9F"/>
    <w:rsid w:val="44E84917"/>
    <w:rsid w:val="44EF61DE"/>
    <w:rsid w:val="44FB8F89"/>
    <w:rsid w:val="44FE7D2B"/>
    <w:rsid w:val="45002A81"/>
    <w:rsid w:val="4509459D"/>
    <w:rsid w:val="45196AF5"/>
    <w:rsid w:val="451CA9D5"/>
    <w:rsid w:val="4526DC8E"/>
    <w:rsid w:val="45288273"/>
    <w:rsid w:val="453BDB87"/>
    <w:rsid w:val="453CE12A"/>
    <w:rsid w:val="453F6CAA"/>
    <w:rsid w:val="45489F59"/>
    <w:rsid w:val="4552783B"/>
    <w:rsid w:val="4552D35F"/>
    <w:rsid w:val="455A1D67"/>
    <w:rsid w:val="456A22A6"/>
    <w:rsid w:val="4571350E"/>
    <w:rsid w:val="4579D13B"/>
    <w:rsid w:val="457CC2F6"/>
    <w:rsid w:val="457E25B1"/>
    <w:rsid w:val="4581B51C"/>
    <w:rsid w:val="45885E20"/>
    <w:rsid w:val="45952944"/>
    <w:rsid w:val="45A64A09"/>
    <w:rsid w:val="45AAE0B7"/>
    <w:rsid w:val="45BD6CC8"/>
    <w:rsid w:val="45C2DA24"/>
    <w:rsid w:val="45C41581"/>
    <w:rsid w:val="45C4AF72"/>
    <w:rsid w:val="45CDCA4D"/>
    <w:rsid w:val="45CF1BEC"/>
    <w:rsid w:val="45D22C84"/>
    <w:rsid w:val="45D59E26"/>
    <w:rsid w:val="45DE66D5"/>
    <w:rsid w:val="45E6010C"/>
    <w:rsid w:val="45E65487"/>
    <w:rsid w:val="45EFCCCD"/>
    <w:rsid w:val="45F24F97"/>
    <w:rsid w:val="45F75B90"/>
    <w:rsid w:val="46049E52"/>
    <w:rsid w:val="4604A01D"/>
    <w:rsid w:val="460D23A3"/>
    <w:rsid w:val="460DF683"/>
    <w:rsid w:val="460F7CE4"/>
    <w:rsid w:val="4618AB62"/>
    <w:rsid w:val="461E2AA3"/>
    <w:rsid w:val="4627949D"/>
    <w:rsid w:val="4629CC2F"/>
    <w:rsid w:val="462BB824"/>
    <w:rsid w:val="4635A1C8"/>
    <w:rsid w:val="4645CED7"/>
    <w:rsid w:val="4646BE7B"/>
    <w:rsid w:val="465BBC30"/>
    <w:rsid w:val="4660E042"/>
    <w:rsid w:val="4663E0CE"/>
    <w:rsid w:val="466768C9"/>
    <w:rsid w:val="466A6523"/>
    <w:rsid w:val="466AC0C9"/>
    <w:rsid w:val="466EC09C"/>
    <w:rsid w:val="467731F8"/>
    <w:rsid w:val="467A84D0"/>
    <w:rsid w:val="4680DC65"/>
    <w:rsid w:val="46841585"/>
    <w:rsid w:val="468DFDCA"/>
    <w:rsid w:val="468E6F8A"/>
    <w:rsid w:val="46A82CAB"/>
    <w:rsid w:val="46B67594"/>
    <w:rsid w:val="46B7A710"/>
    <w:rsid w:val="46BB61AD"/>
    <w:rsid w:val="46BBA936"/>
    <w:rsid w:val="46BC1DD9"/>
    <w:rsid w:val="46BD982A"/>
    <w:rsid w:val="46C44ACE"/>
    <w:rsid w:val="46D3B5F0"/>
    <w:rsid w:val="46D8411A"/>
    <w:rsid w:val="46E01FF0"/>
    <w:rsid w:val="46E35A09"/>
    <w:rsid w:val="46EEE4CF"/>
    <w:rsid w:val="46EF9101"/>
    <w:rsid w:val="46F50F28"/>
    <w:rsid w:val="46F68205"/>
    <w:rsid w:val="46FAF1E6"/>
    <w:rsid w:val="470422E1"/>
    <w:rsid w:val="470E055E"/>
    <w:rsid w:val="470E112C"/>
    <w:rsid w:val="47129135"/>
    <w:rsid w:val="471A183D"/>
    <w:rsid w:val="47297BBA"/>
    <w:rsid w:val="473107CC"/>
    <w:rsid w:val="4733181E"/>
    <w:rsid w:val="47421A6A"/>
    <w:rsid w:val="47486507"/>
    <w:rsid w:val="474C3813"/>
    <w:rsid w:val="475438DC"/>
    <w:rsid w:val="476559D6"/>
    <w:rsid w:val="4765791F"/>
    <w:rsid w:val="4765BFC8"/>
    <w:rsid w:val="4768A910"/>
    <w:rsid w:val="476D6660"/>
    <w:rsid w:val="4771DDDA"/>
    <w:rsid w:val="47734866"/>
    <w:rsid w:val="4781289F"/>
    <w:rsid w:val="4783A429"/>
    <w:rsid w:val="4785F0E0"/>
    <w:rsid w:val="4787F6B8"/>
    <w:rsid w:val="47907780"/>
    <w:rsid w:val="4790D306"/>
    <w:rsid w:val="4792641D"/>
    <w:rsid w:val="47933F4C"/>
    <w:rsid w:val="47A183A0"/>
    <w:rsid w:val="47AD55BB"/>
    <w:rsid w:val="47AED75A"/>
    <w:rsid w:val="47BF0043"/>
    <w:rsid w:val="47C8E332"/>
    <w:rsid w:val="47CD05CF"/>
    <w:rsid w:val="47CDBDA6"/>
    <w:rsid w:val="47D09C52"/>
    <w:rsid w:val="47D26237"/>
    <w:rsid w:val="47E02180"/>
    <w:rsid w:val="47E4B7D2"/>
    <w:rsid w:val="47EA3CFC"/>
    <w:rsid w:val="47F2DA40"/>
    <w:rsid w:val="47F67EED"/>
    <w:rsid w:val="47FC2C15"/>
    <w:rsid w:val="47FC3B6F"/>
    <w:rsid w:val="4800B7E6"/>
    <w:rsid w:val="4804E2D3"/>
    <w:rsid w:val="480F0304"/>
    <w:rsid w:val="481532F5"/>
    <w:rsid w:val="481BD55D"/>
    <w:rsid w:val="48274919"/>
    <w:rsid w:val="48277E58"/>
    <w:rsid w:val="4829315B"/>
    <w:rsid w:val="482C213C"/>
    <w:rsid w:val="4838F11B"/>
    <w:rsid w:val="483E6742"/>
    <w:rsid w:val="483F1F1D"/>
    <w:rsid w:val="483F86A1"/>
    <w:rsid w:val="484D7795"/>
    <w:rsid w:val="484FE85A"/>
    <w:rsid w:val="48560E61"/>
    <w:rsid w:val="485DBDE7"/>
    <w:rsid w:val="48663FF9"/>
    <w:rsid w:val="486A0BDB"/>
    <w:rsid w:val="486FF590"/>
    <w:rsid w:val="4874A3DE"/>
    <w:rsid w:val="487DE7AD"/>
    <w:rsid w:val="487F0474"/>
    <w:rsid w:val="487F9F8B"/>
    <w:rsid w:val="4881DB16"/>
    <w:rsid w:val="4888BB57"/>
    <w:rsid w:val="4888E1E6"/>
    <w:rsid w:val="488A18FD"/>
    <w:rsid w:val="488BFC5F"/>
    <w:rsid w:val="488D8BF5"/>
    <w:rsid w:val="489D961D"/>
    <w:rsid w:val="48A485F0"/>
    <w:rsid w:val="48A805CB"/>
    <w:rsid w:val="48A9B410"/>
    <w:rsid w:val="48AC3A64"/>
    <w:rsid w:val="48B4B805"/>
    <w:rsid w:val="48B896F5"/>
    <w:rsid w:val="48B97162"/>
    <w:rsid w:val="48BCCAA9"/>
    <w:rsid w:val="48C16EAB"/>
    <w:rsid w:val="48CFF0B4"/>
    <w:rsid w:val="48D3CCC6"/>
    <w:rsid w:val="48E2A408"/>
    <w:rsid w:val="48F60661"/>
    <w:rsid w:val="48FECBE9"/>
    <w:rsid w:val="49045FAF"/>
    <w:rsid w:val="4911CE64"/>
    <w:rsid w:val="4916158D"/>
    <w:rsid w:val="4926D658"/>
    <w:rsid w:val="49306AF7"/>
    <w:rsid w:val="4933F5D6"/>
    <w:rsid w:val="49386840"/>
    <w:rsid w:val="4941B7C6"/>
    <w:rsid w:val="4945A0CD"/>
    <w:rsid w:val="494DB9C6"/>
    <w:rsid w:val="49545534"/>
    <w:rsid w:val="495672D2"/>
    <w:rsid w:val="495D7B0D"/>
    <w:rsid w:val="496182DC"/>
    <w:rsid w:val="496C7A66"/>
    <w:rsid w:val="496EC054"/>
    <w:rsid w:val="49821818"/>
    <w:rsid w:val="49882596"/>
    <w:rsid w:val="4988EAA2"/>
    <w:rsid w:val="49980BD0"/>
    <w:rsid w:val="499C8847"/>
    <w:rsid w:val="49ADD0FD"/>
    <w:rsid w:val="49C034C8"/>
    <w:rsid w:val="49C88638"/>
    <w:rsid w:val="49D6BD5F"/>
    <w:rsid w:val="49D70758"/>
    <w:rsid w:val="49D770B8"/>
    <w:rsid w:val="49D9ECBA"/>
    <w:rsid w:val="49E70F6D"/>
    <w:rsid w:val="49F4B9EB"/>
    <w:rsid w:val="4A03BE39"/>
    <w:rsid w:val="4A0C1FCF"/>
    <w:rsid w:val="4A0EB6C8"/>
    <w:rsid w:val="4A1260D4"/>
    <w:rsid w:val="4A1856E9"/>
    <w:rsid w:val="4A1E29BC"/>
    <w:rsid w:val="4A221EF9"/>
    <w:rsid w:val="4A23C979"/>
    <w:rsid w:val="4A28BE73"/>
    <w:rsid w:val="4A315DAA"/>
    <w:rsid w:val="4A320AA8"/>
    <w:rsid w:val="4A4743A5"/>
    <w:rsid w:val="4A49CC74"/>
    <w:rsid w:val="4A5A0A7E"/>
    <w:rsid w:val="4A5A7C46"/>
    <w:rsid w:val="4A5AD27B"/>
    <w:rsid w:val="4A5C6B2A"/>
    <w:rsid w:val="4A5D15B4"/>
    <w:rsid w:val="4A5EFDEE"/>
    <w:rsid w:val="4A644668"/>
    <w:rsid w:val="4A65206A"/>
    <w:rsid w:val="4A6AB923"/>
    <w:rsid w:val="4A6DE05E"/>
    <w:rsid w:val="4A6E3D1A"/>
    <w:rsid w:val="4A719FA5"/>
    <w:rsid w:val="4A7510E0"/>
    <w:rsid w:val="4A7B4FCF"/>
    <w:rsid w:val="4A8983CE"/>
    <w:rsid w:val="4A8D2032"/>
    <w:rsid w:val="4A95EAFC"/>
    <w:rsid w:val="4A9DA05A"/>
    <w:rsid w:val="4AA084AE"/>
    <w:rsid w:val="4AA7592D"/>
    <w:rsid w:val="4AA9B7BE"/>
    <w:rsid w:val="4AB51D25"/>
    <w:rsid w:val="4AC15814"/>
    <w:rsid w:val="4ACFB496"/>
    <w:rsid w:val="4AD77731"/>
    <w:rsid w:val="4ADC204D"/>
    <w:rsid w:val="4AEC6351"/>
    <w:rsid w:val="4AF443E1"/>
    <w:rsid w:val="4AF46964"/>
    <w:rsid w:val="4AF4883A"/>
    <w:rsid w:val="4AF9BB7D"/>
    <w:rsid w:val="4B00228B"/>
    <w:rsid w:val="4B0083F4"/>
    <w:rsid w:val="4B03C25C"/>
    <w:rsid w:val="4B0A546F"/>
    <w:rsid w:val="4B147E8A"/>
    <w:rsid w:val="4B157E80"/>
    <w:rsid w:val="4B1CDE86"/>
    <w:rsid w:val="4B2F161C"/>
    <w:rsid w:val="4B360D35"/>
    <w:rsid w:val="4B3858A8"/>
    <w:rsid w:val="4B3A63E0"/>
    <w:rsid w:val="4B3A9C47"/>
    <w:rsid w:val="4B3D8757"/>
    <w:rsid w:val="4B4902C6"/>
    <w:rsid w:val="4B504E1A"/>
    <w:rsid w:val="4B508361"/>
    <w:rsid w:val="4B5C0529"/>
    <w:rsid w:val="4B6460A6"/>
    <w:rsid w:val="4B6A95E7"/>
    <w:rsid w:val="4B799FF1"/>
    <w:rsid w:val="4B80B350"/>
    <w:rsid w:val="4B839DF3"/>
    <w:rsid w:val="4B8B5568"/>
    <w:rsid w:val="4B9D665B"/>
    <w:rsid w:val="4B9DAE24"/>
    <w:rsid w:val="4BA009C1"/>
    <w:rsid w:val="4BAF438C"/>
    <w:rsid w:val="4BB667F4"/>
    <w:rsid w:val="4BBB770A"/>
    <w:rsid w:val="4BBF81F3"/>
    <w:rsid w:val="4BBF9644"/>
    <w:rsid w:val="4BC0F76F"/>
    <w:rsid w:val="4BC754C9"/>
    <w:rsid w:val="4BD49F67"/>
    <w:rsid w:val="4BDA3460"/>
    <w:rsid w:val="4BEA166E"/>
    <w:rsid w:val="4BEA2A21"/>
    <w:rsid w:val="4BEEC32B"/>
    <w:rsid w:val="4BF1C54C"/>
    <w:rsid w:val="4C08FDCF"/>
    <w:rsid w:val="4C100736"/>
    <w:rsid w:val="4C1F7C94"/>
    <w:rsid w:val="4C217540"/>
    <w:rsid w:val="4C227B97"/>
    <w:rsid w:val="4C320F66"/>
    <w:rsid w:val="4C3A8953"/>
    <w:rsid w:val="4C4633EC"/>
    <w:rsid w:val="4C478C33"/>
    <w:rsid w:val="4C4CB49C"/>
    <w:rsid w:val="4C53EE88"/>
    <w:rsid w:val="4C5D8D2F"/>
    <w:rsid w:val="4C5EE4B0"/>
    <w:rsid w:val="4C6645F0"/>
    <w:rsid w:val="4C67A4AA"/>
    <w:rsid w:val="4C6854F9"/>
    <w:rsid w:val="4C7091B5"/>
    <w:rsid w:val="4C7BA8E2"/>
    <w:rsid w:val="4C823795"/>
    <w:rsid w:val="4C8403D9"/>
    <w:rsid w:val="4C8EBE4C"/>
    <w:rsid w:val="4C970EFA"/>
    <w:rsid w:val="4C97268C"/>
    <w:rsid w:val="4C9840B8"/>
    <w:rsid w:val="4C9C26FF"/>
    <w:rsid w:val="4C9C2B38"/>
    <w:rsid w:val="4C9E4A7B"/>
    <w:rsid w:val="4CAB7E81"/>
    <w:rsid w:val="4CAD2628"/>
    <w:rsid w:val="4CAD827C"/>
    <w:rsid w:val="4CADA702"/>
    <w:rsid w:val="4CAF0183"/>
    <w:rsid w:val="4CB869B2"/>
    <w:rsid w:val="4CBCA5B8"/>
    <w:rsid w:val="4CC05C8A"/>
    <w:rsid w:val="4CC74C44"/>
    <w:rsid w:val="4CD93313"/>
    <w:rsid w:val="4CE096C6"/>
    <w:rsid w:val="4CE4F3B6"/>
    <w:rsid w:val="4CEED136"/>
    <w:rsid w:val="4CF498BE"/>
    <w:rsid w:val="4CFC5D7E"/>
    <w:rsid w:val="4CFEC37F"/>
    <w:rsid w:val="4D03F60A"/>
    <w:rsid w:val="4D05ACC1"/>
    <w:rsid w:val="4D11F35D"/>
    <w:rsid w:val="4D1C61A5"/>
    <w:rsid w:val="4D2349D4"/>
    <w:rsid w:val="4D2A9276"/>
    <w:rsid w:val="4D3A88E1"/>
    <w:rsid w:val="4D411A18"/>
    <w:rsid w:val="4D43318C"/>
    <w:rsid w:val="4D4AE698"/>
    <w:rsid w:val="4D631E96"/>
    <w:rsid w:val="4D64E7F8"/>
    <w:rsid w:val="4D676DCC"/>
    <w:rsid w:val="4D69D75D"/>
    <w:rsid w:val="4D69F25D"/>
    <w:rsid w:val="4D6C70D3"/>
    <w:rsid w:val="4D6D3AAC"/>
    <w:rsid w:val="4D6F1455"/>
    <w:rsid w:val="4D74C85F"/>
    <w:rsid w:val="4D764DEA"/>
    <w:rsid w:val="4D80A144"/>
    <w:rsid w:val="4D8EA7DE"/>
    <w:rsid w:val="4D8F507B"/>
    <w:rsid w:val="4D96B659"/>
    <w:rsid w:val="4D9DA664"/>
    <w:rsid w:val="4D9EAE27"/>
    <w:rsid w:val="4DAE09AF"/>
    <w:rsid w:val="4DAED7B8"/>
    <w:rsid w:val="4DB8A4A9"/>
    <w:rsid w:val="4DBBF0E8"/>
    <w:rsid w:val="4DBD1D3C"/>
    <w:rsid w:val="4DC0BA1F"/>
    <w:rsid w:val="4DD56B49"/>
    <w:rsid w:val="4DD72A1F"/>
    <w:rsid w:val="4DD772BC"/>
    <w:rsid w:val="4DD97468"/>
    <w:rsid w:val="4DD9D70F"/>
    <w:rsid w:val="4DDC3174"/>
    <w:rsid w:val="4DF0491A"/>
    <w:rsid w:val="4DFAF2C2"/>
    <w:rsid w:val="4E00634F"/>
    <w:rsid w:val="4E143642"/>
    <w:rsid w:val="4E146037"/>
    <w:rsid w:val="4E1564EF"/>
    <w:rsid w:val="4E16C59C"/>
    <w:rsid w:val="4E19FDC9"/>
    <w:rsid w:val="4E1A8EC9"/>
    <w:rsid w:val="4E1CABE3"/>
    <w:rsid w:val="4E253E48"/>
    <w:rsid w:val="4E296417"/>
    <w:rsid w:val="4E313232"/>
    <w:rsid w:val="4E34647B"/>
    <w:rsid w:val="4E388E5C"/>
    <w:rsid w:val="4E3C12FF"/>
    <w:rsid w:val="4E3C4BB0"/>
    <w:rsid w:val="4E3FF842"/>
    <w:rsid w:val="4E486DF0"/>
    <w:rsid w:val="4E5675C0"/>
    <w:rsid w:val="4E5F601D"/>
    <w:rsid w:val="4E6EFB65"/>
    <w:rsid w:val="4E781426"/>
    <w:rsid w:val="4E85397C"/>
    <w:rsid w:val="4E8B08E5"/>
    <w:rsid w:val="4E9250A4"/>
    <w:rsid w:val="4E931CE8"/>
    <w:rsid w:val="4E93A5EB"/>
    <w:rsid w:val="4E93DCF1"/>
    <w:rsid w:val="4E982DDF"/>
    <w:rsid w:val="4E9D8115"/>
    <w:rsid w:val="4EA658EC"/>
    <w:rsid w:val="4EA7A442"/>
    <w:rsid w:val="4EA87841"/>
    <w:rsid w:val="4EAD8965"/>
    <w:rsid w:val="4EB8676B"/>
    <w:rsid w:val="4EC0D104"/>
    <w:rsid w:val="4EC58F90"/>
    <w:rsid w:val="4EC82B0E"/>
    <w:rsid w:val="4EC94F3A"/>
    <w:rsid w:val="4EDB605A"/>
    <w:rsid w:val="4EE2A176"/>
    <w:rsid w:val="4EE5D543"/>
    <w:rsid w:val="4EF1F24D"/>
    <w:rsid w:val="4EFB3728"/>
    <w:rsid w:val="4F060132"/>
    <w:rsid w:val="4F082B0C"/>
    <w:rsid w:val="4F119DF4"/>
    <w:rsid w:val="4F1B86E4"/>
    <w:rsid w:val="4F2FF4A9"/>
    <w:rsid w:val="4F34AC98"/>
    <w:rsid w:val="4F3830E9"/>
    <w:rsid w:val="4F3A3FCA"/>
    <w:rsid w:val="4F3F992D"/>
    <w:rsid w:val="4F41F370"/>
    <w:rsid w:val="4F498DAC"/>
    <w:rsid w:val="4F547B36"/>
    <w:rsid w:val="4F5C5D86"/>
    <w:rsid w:val="4F6D125D"/>
    <w:rsid w:val="4F6ED69B"/>
    <w:rsid w:val="4F7B094C"/>
    <w:rsid w:val="4F7D0C5D"/>
    <w:rsid w:val="4F8444FA"/>
    <w:rsid w:val="4F93D912"/>
    <w:rsid w:val="4F945410"/>
    <w:rsid w:val="4F9462B9"/>
    <w:rsid w:val="4FA1EA84"/>
    <w:rsid w:val="4FA27B48"/>
    <w:rsid w:val="4FA28971"/>
    <w:rsid w:val="4FAD847A"/>
    <w:rsid w:val="4FB1131B"/>
    <w:rsid w:val="4FB4E589"/>
    <w:rsid w:val="4FB83D59"/>
    <w:rsid w:val="4FCF9C01"/>
    <w:rsid w:val="4FD25E0B"/>
    <w:rsid w:val="4FD5E485"/>
    <w:rsid w:val="4FDF29F9"/>
    <w:rsid w:val="4FF34197"/>
    <w:rsid w:val="50028A7A"/>
    <w:rsid w:val="50069E27"/>
    <w:rsid w:val="50087F82"/>
    <w:rsid w:val="50099F30"/>
    <w:rsid w:val="500CA500"/>
    <w:rsid w:val="5011D1E7"/>
    <w:rsid w:val="5012C4E8"/>
    <w:rsid w:val="501332B6"/>
    <w:rsid w:val="501459CE"/>
    <w:rsid w:val="5018F276"/>
    <w:rsid w:val="5029AA3C"/>
    <w:rsid w:val="503005E1"/>
    <w:rsid w:val="503038B2"/>
    <w:rsid w:val="50325471"/>
    <w:rsid w:val="5033D5DD"/>
    <w:rsid w:val="50394E79"/>
    <w:rsid w:val="503DB0FF"/>
    <w:rsid w:val="503FD4BE"/>
    <w:rsid w:val="5040CEA9"/>
    <w:rsid w:val="5056C11B"/>
    <w:rsid w:val="505FED21"/>
    <w:rsid w:val="5062BFCC"/>
    <w:rsid w:val="5069C191"/>
    <w:rsid w:val="5069E000"/>
    <w:rsid w:val="506C1076"/>
    <w:rsid w:val="5072C8EB"/>
    <w:rsid w:val="5074FCD0"/>
    <w:rsid w:val="507DFD6C"/>
    <w:rsid w:val="507E71D7"/>
    <w:rsid w:val="50891CBD"/>
    <w:rsid w:val="50926A04"/>
    <w:rsid w:val="509669E5"/>
    <w:rsid w:val="50970AB0"/>
    <w:rsid w:val="509E7522"/>
    <w:rsid w:val="50B6503D"/>
    <w:rsid w:val="50C67977"/>
    <w:rsid w:val="50CC5738"/>
    <w:rsid w:val="50CD9547"/>
    <w:rsid w:val="50D24A76"/>
    <w:rsid w:val="50D476C2"/>
    <w:rsid w:val="50DA8787"/>
    <w:rsid w:val="50DBC591"/>
    <w:rsid w:val="50E2BD0E"/>
    <w:rsid w:val="50E433EC"/>
    <w:rsid w:val="50E8D112"/>
    <w:rsid w:val="50EBF9AF"/>
    <w:rsid w:val="5100437E"/>
    <w:rsid w:val="51016343"/>
    <w:rsid w:val="5109220D"/>
    <w:rsid w:val="5109D490"/>
    <w:rsid w:val="5113C319"/>
    <w:rsid w:val="5113E2AB"/>
    <w:rsid w:val="511662FB"/>
    <w:rsid w:val="51177FB8"/>
    <w:rsid w:val="511B76A7"/>
    <w:rsid w:val="511D28B7"/>
    <w:rsid w:val="51260455"/>
    <w:rsid w:val="5128B365"/>
    <w:rsid w:val="51292AD4"/>
    <w:rsid w:val="512E27C0"/>
    <w:rsid w:val="51378238"/>
    <w:rsid w:val="513F8A99"/>
    <w:rsid w:val="51418AA5"/>
    <w:rsid w:val="51463834"/>
    <w:rsid w:val="51487429"/>
    <w:rsid w:val="51528FBA"/>
    <w:rsid w:val="5152F165"/>
    <w:rsid w:val="51551626"/>
    <w:rsid w:val="515CEBDF"/>
    <w:rsid w:val="51640D97"/>
    <w:rsid w:val="5180923B"/>
    <w:rsid w:val="518AAF95"/>
    <w:rsid w:val="518F3697"/>
    <w:rsid w:val="51919197"/>
    <w:rsid w:val="51974E3E"/>
    <w:rsid w:val="519B4C68"/>
    <w:rsid w:val="51A63B20"/>
    <w:rsid w:val="51AB0514"/>
    <w:rsid w:val="51AD19CC"/>
    <w:rsid w:val="51BE6FCD"/>
    <w:rsid w:val="51C3672D"/>
    <w:rsid w:val="51C4DD47"/>
    <w:rsid w:val="51D17BD5"/>
    <w:rsid w:val="51D31503"/>
    <w:rsid w:val="51D4D63F"/>
    <w:rsid w:val="51DCA300"/>
    <w:rsid w:val="51DCBFA3"/>
    <w:rsid w:val="51DEEBD9"/>
    <w:rsid w:val="51E2F5A2"/>
    <w:rsid w:val="51E648ED"/>
    <w:rsid w:val="51E721ED"/>
    <w:rsid w:val="52044488"/>
    <w:rsid w:val="520E994C"/>
    <w:rsid w:val="5215D9F0"/>
    <w:rsid w:val="521B0AC4"/>
    <w:rsid w:val="521DDABD"/>
    <w:rsid w:val="5222E8A9"/>
    <w:rsid w:val="52234F7F"/>
    <w:rsid w:val="5230389A"/>
    <w:rsid w:val="52344181"/>
    <w:rsid w:val="5235B61D"/>
    <w:rsid w:val="5246FBD3"/>
    <w:rsid w:val="524BA8D6"/>
    <w:rsid w:val="52573B3E"/>
    <w:rsid w:val="52602523"/>
    <w:rsid w:val="5267B358"/>
    <w:rsid w:val="52712C67"/>
    <w:rsid w:val="5279B1E7"/>
    <w:rsid w:val="527A4667"/>
    <w:rsid w:val="5283591A"/>
    <w:rsid w:val="528C8EDD"/>
    <w:rsid w:val="529049F8"/>
    <w:rsid w:val="5294819E"/>
    <w:rsid w:val="52979A9F"/>
    <w:rsid w:val="52A00CFE"/>
    <w:rsid w:val="52AA739A"/>
    <w:rsid w:val="52AC6C57"/>
    <w:rsid w:val="52B8BF21"/>
    <w:rsid w:val="52BD7D8C"/>
    <w:rsid w:val="52BF03B3"/>
    <w:rsid w:val="52C078C7"/>
    <w:rsid w:val="52C2B638"/>
    <w:rsid w:val="52C624B5"/>
    <w:rsid w:val="52C644DB"/>
    <w:rsid w:val="52C77A8C"/>
    <w:rsid w:val="52D35299"/>
    <w:rsid w:val="52FFDDF8"/>
    <w:rsid w:val="53072861"/>
    <w:rsid w:val="530A24D9"/>
    <w:rsid w:val="530B8B6B"/>
    <w:rsid w:val="530B95CF"/>
    <w:rsid w:val="531B9153"/>
    <w:rsid w:val="531E3A99"/>
    <w:rsid w:val="53217ADF"/>
    <w:rsid w:val="532FE361"/>
    <w:rsid w:val="533E67C7"/>
    <w:rsid w:val="53411F1A"/>
    <w:rsid w:val="53430B2C"/>
    <w:rsid w:val="534DB3D6"/>
    <w:rsid w:val="5355BAE9"/>
    <w:rsid w:val="53560DE3"/>
    <w:rsid w:val="535C79D2"/>
    <w:rsid w:val="5361D293"/>
    <w:rsid w:val="53628E1F"/>
    <w:rsid w:val="5367170E"/>
    <w:rsid w:val="536E2DF2"/>
    <w:rsid w:val="5372B6C8"/>
    <w:rsid w:val="537756BF"/>
    <w:rsid w:val="537CFF74"/>
    <w:rsid w:val="537E902A"/>
    <w:rsid w:val="538FD87A"/>
    <w:rsid w:val="5390482A"/>
    <w:rsid w:val="5391C37C"/>
    <w:rsid w:val="53929B01"/>
    <w:rsid w:val="539A089A"/>
    <w:rsid w:val="539D857F"/>
    <w:rsid w:val="53AE86EF"/>
    <w:rsid w:val="53B4DF19"/>
    <w:rsid w:val="53B5B31E"/>
    <w:rsid w:val="53BFB05E"/>
    <w:rsid w:val="53C47049"/>
    <w:rsid w:val="53C54083"/>
    <w:rsid w:val="53C72A0D"/>
    <w:rsid w:val="53CC99E2"/>
    <w:rsid w:val="53CEDC12"/>
    <w:rsid w:val="53D1DB98"/>
    <w:rsid w:val="53DBAA59"/>
    <w:rsid w:val="53E3FF44"/>
    <w:rsid w:val="53E9228A"/>
    <w:rsid w:val="53E9876D"/>
    <w:rsid w:val="53F11869"/>
    <w:rsid w:val="53F55A9B"/>
    <w:rsid w:val="5408446E"/>
    <w:rsid w:val="540C4BFE"/>
    <w:rsid w:val="540F8793"/>
    <w:rsid w:val="541BB0B3"/>
    <w:rsid w:val="54217E64"/>
    <w:rsid w:val="5423393E"/>
    <w:rsid w:val="5425DDE6"/>
    <w:rsid w:val="54266C98"/>
    <w:rsid w:val="542BB170"/>
    <w:rsid w:val="5432577D"/>
    <w:rsid w:val="54374097"/>
    <w:rsid w:val="544065E8"/>
    <w:rsid w:val="5443ED67"/>
    <w:rsid w:val="5445BC82"/>
    <w:rsid w:val="5449AA05"/>
    <w:rsid w:val="545232FA"/>
    <w:rsid w:val="54687FC0"/>
    <w:rsid w:val="54694E5A"/>
    <w:rsid w:val="5472BFCB"/>
    <w:rsid w:val="5474443E"/>
    <w:rsid w:val="54747C78"/>
    <w:rsid w:val="547F7D73"/>
    <w:rsid w:val="5481CF65"/>
    <w:rsid w:val="5488F882"/>
    <w:rsid w:val="549777FC"/>
    <w:rsid w:val="549BAE59"/>
    <w:rsid w:val="54A30693"/>
    <w:rsid w:val="54A8E100"/>
    <w:rsid w:val="54A93B98"/>
    <w:rsid w:val="54B806A1"/>
    <w:rsid w:val="54B8B57D"/>
    <w:rsid w:val="54C37CE3"/>
    <w:rsid w:val="54C90FFD"/>
    <w:rsid w:val="54E0334F"/>
    <w:rsid w:val="54E95A21"/>
    <w:rsid w:val="54F27C7D"/>
    <w:rsid w:val="54F4CDA5"/>
    <w:rsid w:val="54FB9161"/>
    <w:rsid w:val="5501AB89"/>
    <w:rsid w:val="5501F257"/>
    <w:rsid w:val="5502E76F"/>
    <w:rsid w:val="5505F5D4"/>
    <w:rsid w:val="550D46E0"/>
    <w:rsid w:val="5517FD6F"/>
    <w:rsid w:val="551D5499"/>
    <w:rsid w:val="552C9413"/>
    <w:rsid w:val="552E3728"/>
    <w:rsid w:val="5530DB19"/>
    <w:rsid w:val="5531C14F"/>
    <w:rsid w:val="553A2B08"/>
    <w:rsid w:val="55405363"/>
    <w:rsid w:val="55486DF3"/>
    <w:rsid w:val="554EB768"/>
    <w:rsid w:val="55515E80"/>
    <w:rsid w:val="5553AE2F"/>
    <w:rsid w:val="5556D3ED"/>
    <w:rsid w:val="55603AF3"/>
    <w:rsid w:val="5561445B"/>
    <w:rsid w:val="5561F161"/>
    <w:rsid w:val="5562FFED"/>
    <w:rsid w:val="55672DD7"/>
    <w:rsid w:val="556A381B"/>
    <w:rsid w:val="556F01AE"/>
    <w:rsid w:val="5573300F"/>
    <w:rsid w:val="5580D549"/>
    <w:rsid w:val="558FF65A"/>
    <w:rsid w:val="55958E27"/>
    <w:rsid w:val="559F42A4"/>
    <w:rsid w:val="55A268F7"/>
    <w:rsid w:val="55B93E0A"/>
    <w:rsid w:val="55BB56FF"/>
    <w:rsid w:val="55BFFF54"/>
    <w:rsid w:val="55C7BB61"/>
    <w:rsid w:val="55DA5D36"/>
    <w:rsid w:val="55DC6285"/>
    <w:rsid w:val="55DDB8B3"/>
    <w:rsid w:val="55DF948B"/>
    <w:rsid w:val="55E5EE3A"/>
    <w:rsid w:val="55E7D93C"/>
    <w:rsid w:val="55F006D7"/>
    <w:rsid w:val="55F53D04"/>
    <w:rsid w:val="55FA7456"/>
    <w:rsid w:val="560059C6"/>
    <w:rsid w:val="5608B221"/>
    <w:rsid w:val="560A46EF"/>
    <w:rsid w:val="560F0468"/>
    <w:rsid w:val="561159A9"/>
    <w:rsid w:val="5611FB0B"/>
    <w:rsid w:val="56120C76"/>
    <w:rsid w:val="562BD049"/>
    <w:rsid w:val="56377EBA"/>
    <w:rsid w:val="56384866"/>
    <w:rsid w:val="5638857B"/>
    <w:rsid w:val="564A7F41"/>
    <w:rsid w:val="564BD826"/>
    <w:rsid w:val="564E87D4"/>
    <w:rsid w:val="5652DBC3"/>
    <w:rsid w:val="5668EC9A"/>
    <w:rsid w:val="566DA315"/>
    <w:rsid w:val="566FA498"/>
    <w:rsid w:val="567CE1B7"/>
    <w:rsid w:val="567D7A18"/>
    <w:rsid w:val="5682066C"/>
    <w:rsid w:val="56884224"/>
    <w:rsid w:val="5695049A"/>
    <w:rsid w:val="56A1CEC3"/>
    <w:rsid w:val="56B3A9A6"/>
    <w:rsid w:val="56B891DA"/>
    <w:rsid w:val="56CA279C"/>
    <w:rsid w:val="56CE5027"/>
    <w:rsid w:val="56D53DB6"/>
    <w:rsid w:val="56DE2D8E"/>
    <w:rsid w:val="56DFCCB8"/>
    <w:rsid w:val="56E7DFB7"/>
    <w:rsid w:val="56EB7330"/>
    <w:rsid w:val="57035BB5"/>
    <w:rsid w:val="57071882"/>
    <w:rsid w:val="570FC6FC"/>
    <w:rsid w:val="571A9FB1"/>
    <w:rsid w:val="571D49CF"/>
    <w:rsid w:val="571F933C"/>
    <w:rsid w:val="572244D7"/>
    <w:rsid w:val="5723F3F2"/>
    <w:rsid w:val="5724C3A7"/>
    <w:rsid w:val="5729B662"/>
    <w:rsid w:val="572BC6BB"/>
    <w:rsid w:val="5730F6E0"/>
    <w:rsid w:val="5736D633"/>
    <w:rsid w:val="5751296E"/>
    <w:rsid w:val="5751C53F"/>
    <w:rsid w:val="575A4288"/>
    <w:rsid w:val="57709F6F"/>
    <w:rsid w:val="5771079C"/>
    <w:rsid w:val="57750EC4"/>
    <w:rsid w:val="5779B3E2"/>
    <w:rsid w:val="577EF951"/>
    <w:rsid w:val="57811988"/>
    <w:rsid w:val="578DF746"/>
    <w:rsid w:val="578F5816"/>
    <w:rsid w:val="57908160"/>
    <w:rsid w:val="57967EE5"/>
    <w:rsid w:val="579BB8B6"/>
    <w:rsid w:val="57A062A2"/>
    <w:rsid w:val="57A63411"/>
    <w:rsid w:val="57A965BC"/>
    <w:rsid w:val="57ABAC96"/>
    <w:rsid w:val="57AD4011"/>
    <w:rsid w:val="57B1A5E2"/>
    <w:rsid w:val="57BA958A"/>
    <w:rsid w:val="57C287C3"/>
    <w:rsid w:val="57C5C3A5"/>
    <w:rsid w:val="57CE5476"/>
    <w:rsid w:val="57D02612"/>
    <w:rsid w:val="57E57310"/>
    <w:rsid w:val="57E7289F"/>
    <w:rsid w:val="57E87C8C"/>
    <w:rsid w:val="57F5895F"/>
    <w:rsid w:val="57F9EE85"/>
    <w:rsid w:val="57FDE27C"/>
    <w:rsid w:val="58035FA0"/>
    <w:rsid w:val="5806F0B9"/>
    <w:rsid w:val="580A5106"/>
    <w:rsid w:val="580AEF66"/>
    <w:rsid w:val="580F35DF"/>
    <w:rsid w:val="58110A2B"/>
    <w:rsid w:val="58118A9B"/>
    <w:rsid w:val="5816AC20"/>
    <w:rsid w:val="581704F4"/>
    <w:rsid w:val="5818B4F5"/>
    <w:rsid w:val="581EEA26"/>
    <w:rsid w:val="5823E090"/>
    <w:rsid w:val="5824054B"/>
    <w:rsid w:val="582A8E80"/>
    <w:rsid w:val="582DAE9C"/>
    <w:rsid w:val="584C394F"/>
    <w:rsid w:val="5850C72B"/>
    <w:rsid w:val="5855DC93"/>
    <w:rsid w:val="58565CE2"/>
    <w:rsid w:val="58569B4C"/>
    <w:rsid w:val="585B7950"/>
    <w:rsid w:val="585DACBB"/>
    <w:rsid w:val="58641939"/>
    <w:rsid w:val="5879336B"/>
    <w:rsid w:val="588406A5"/>
    <w:rsid w:val="58845FFE"/>
    <w:rsid w:val="589AE8F5"/>
    <w:rsid w:val="589E16AC"/>
    <w:rsid w:val="589E8153"/>
    <w:rsid w:val="589FCC62"/>
    <w:rsid w:val="58A006AA"/>
    <w:rsid w:val="58A1D3DE"/>
    <w:rsid w:val="58ABCC95"/>
    <w:rsid w:val="58BA9FFB"/>
    <w:rsid w:val="58BB6592"/>
    <w:rsid w:val="58BC5485"/>
    <w:rsid w:val="58BD78EB"/>
    <w:rsid w:val="58C028FA"/>
    <w:rsid w:val="58C7971C"/>
    <w:rsid w:val="58C91A0A"/>
    <w:rsid w:val="58C9E159"/>
    <w:rsid w:val="58CB89A3"/>
    <w:rsid w:val="58CE74E0"/>
    <w:rsid w:val="58DD640B"/>
    <w:rsid w:val="58E07FB2"/>
    <w:rsid w:val="58E32E10"/>
    <w:rsid w:val="58E933C9"/>
    <w:rsid w:val="58E9C688"/>
    <w:rsid w:val="58ECF9CF"/>
    <w:rsid w:val="58FEA9F3"/>
    <w:rsid w:val="59170EF1"/>
    <w:rsid w:val="591F702D"/>
    <w:rsid w:val="592C3693"/>
    <w:rsid w:val="5930C320"/>
    <w:rsid w:val="5933D9EB"/>
    <w:rsid w:val="5936956E"/>
    <w:rsid w:val="59399FE8"/>
    <w:rsid w:val="593A1D69"/>
    <w:rsid w:val="593B2545"/>
    <w:rsid w:val="593C373A"/>
    <w:rsid w:val="594EE3ED"/>
    <w:rsid w:val="5951D6F4"/>
    <w:rsid w:val="5955DF5F"/>
    <w:rsid w:val="5956A829"/>
    <w:rsid w:val="5976CD45"/>
    <w:rsid w:val="5982C4E3"/>
    <w:rsid w:val="5987B0FC"/>
    <w:rsid w:val="598FADC5"/>
    <w:rsid w:val="5992294B"/>
    <w:rsid w:val="59929B19"/>
    <w:rsid w:val="59946C01"/>
    <w:rsid w:val="5994E138"/>
    <w:rsid w:val="5997C125"/>
    <w:rsid w:val="599B31DF"/>
    <w:rsid w:val="599BED54"/>
    <w:rsid w:val="59A1EC39"/>
    <w:rsid w:val="59A2D16C"/>
    <w:rsid w:val="59AC7715"/>
    <w:rsid w:val="59AECD07"/>
    <w:rsid w:val="59B056A0"/>
    <w:rsid w:val="59BA9997"/>
    <w:rsid w:val="59BF49CA"/>
    <w:rsid w:val="59C85A8F"/>
    <w:rsid w:val="59CBFC19"/>
    <w:rsid w:val="59CF6043"/>
    <w:rsid w:val="59D0F972"/>
    <w:rsid w:val="59D1CFA3"/>
    <w:rsid w:val="59E56760"/>
    <w:rsid w:val="59E9268A"/>
    <w:rsid w:val="59EDF1D9"/>
    <w:rsid w:val="59F0172E"/>
    <w:rsid w:val="59F6B1D8"/>
    <w:rsid w:val="5A060BA5"/>
    <w:rsid w:val="5A0938C4"/>
    <w:rsid w:val="5A0EDD0F"/>
    <w:rsid w:val="5A0F0501"/>
    <w:rsid w:val="5A145732"/>
    <w:rsid w:val="5A17A1D5"/>
    <w:rsid w:val="5A19129C"/>
    <w:rsid w:val="5A1F067F"/>
    <w:rsid w:val="5A25F6B0"/>
    <w:rsid w:val="5A38658B"/>
    <w:rsid w:val="5A399FBC"/>
    <w:rsid w:val="5A42D056"/>
    <w:rsid w:val="5A4D5E3D"/>
    <w:rsid w:val="5A56705C"/>
    <w:rsid w:val="5A583EB1"/>
    <w:rsid w:val="5A59FAC1"/>
    <w:rsid w:val="5A63677D"/>
    <w:rsid w:val="5A63D5A5"/>
    <w:rsid w:val="5A68CC69"/>
    <w:rsid w:val="5A721D06"/>
    <w:rsid w:val="5A75A28E"/>
    <w:rsid w:val="5A82FBF7"/>
    <w:rsid w:val="5A83E5FD"/>
    <w:rsid w:val="5A8735DB"/>
    <w:rsid w:val="5A883B6A"/>
    <w:rsid w:val="5A8C42D4"/>
    <w:rsid w:val="5A8CF00F"/>
    <w:rsid w:val="5A8DAC8C"/>
    <w:rsid w:val="5A8F0D7C"/>
    <w:rsid w:val="5A91D9C6"/>
    <w:rsid w:val="5A97E0EF"/>
    <w:rsid w:val="5A9925F5"/>
    <w:rsid w:val="5AA38F22"/>
    <w:rsid w:val="5AA9126E"/>
    <w:rsid w:val="5AB1346E"/>
    <w:rsid w:val="5ABBB9B4"/>
    <w:rsid w:val="5ABE5B22"/>
    <w:rsid w:val="5ABEA607"/>
    <w:rsid w:val="5AD3C8BD"/>
    <w:rsid w:val="5AD67592"/>
    <w:rsid w:val="5AD7EFAE"/>
    <w:rsid w:val="5ADA5938"/>
    <w:rsid w:val="5AE8D126"/>
    <w:rsid w:val="5AEB9447"/>
    <w:rsid w:val="5AEBA5F7"/>
    <w:rsid w:val="5B088AE2"/>
    <w:rsid w:val="5B16A7BE"/>
    <w:rsid w:val="5B16D429"/>
    <w:rsid w:val="5B18EBE4"/>
    <w:rsid w:val="5B1E9544"/>
    <w:rsid w:val="5B256F8B"/>
    <w:rsid w:val="5B25732E"/>
    <w:rsid w:val="5B2E30B5"/>
    <w:rsid w:val="5B43A76F"/>
    <w:rsid w:val="5B45D19E"/>
    <w:rsid w:val="5B4ECC56"/>
    <w:rsid w:val="5B4F57A7"/>
    <w:rsid w:val="5B50EB3B"/>
    <w:rsid w:val="5B5616A7"/>
    <w:rsid w:val="5B5BA460"/>
    <w:rsid w:val="5B5EF9FB"/>
    <w:rsid w:val="5B60641C"/>
    <w:rsid w:val="5B60EE1C"/>
    <w:rsid w:val="5B7941E5"/>
    <w:rsid w:val="5B828765"/>
    <w:rsid w:val="5B834390"/>
    <w:rsid w:val="5B9B28B6"/>
    <w:rsid w:val="5BA61AD4"/>
    <w:rsid w:val="5BABD5D8"/>
    <w:rsid w:val="5BB73CB5"/>
    <w:rsid w:val="5BC2103A"/>
    <w:rsid w:val="5BD14554"/>
    <w:rsid w:val="5BDAE769"/>
    <w:rsid w:val="5BDDA880"/>
    <w:rsid w:val="5BE3B0DA"/>
    <w:rsid w:val="5BE5884B"/>
    <w:rsid w:val="5BF05089"/>
    <w:rsid w:val="5BF31764"/>
    <w:rsid w:val="5BFE1D42"/>
    <w:rsid w:val="5BFFCD94"/>
    <w:rsid w:val="5C01E3AF"/>
    <w:rsid w:val="5C049A4A"/>
    <w:rsid w:val="5C0DDC0C"/>
    <w:rsid w:val="5C0E325A"/>
    <w:rsid w:val="5C1F6458"/>
    <w:rsid w:val="5C28A7C9"/>
    <w:rsid w:val="5C2A8EDE"/>
    <w:rsid w:val="5C2AF3C8"/>
    <w:rsid w:val="5C30A9FD"/>
    <w:rsid w:val="5C390328"/>
    <w:rsid w:val="5C521F5E"/>
    <w:rsid w:val="5C522FCE"/>
    <w:rsid w:val="5C5FEDE9"/>
    <w:rsid w:val="5C70746E"/>
    <w:rsid w:val="5C708CC7"/>
    <w:rsid w:val="5C73DAC6"/>
    <w:rsid w:val="5C746AAB"/>
    <w:rsid w:val="5C75A766"/>
    <w:rsid w:val="5C79A534"/>
    <w:rsid w:val="5C7B2489"/>
    <w:rsid w:val="5C7B9A31"/>
    <w:rsid w:val="5C7E8C23"/>
    <w:rsid w:val="5C868831"/>
    <w:rsid w:val="5C9FDFC0"/>
    <w:rsid w:val="5CA879EE"/>
    <w:rsid w:val="5CAF4E44"/>
    <w:rsid w:val="5CB5EB17"/>
    <w:rsid w:val="5CBC1C69"/>
    <w:rsid w:val="5CC1729E"/>
    <w:rsid w:val="5CCCC428"/>
    <w:rsid w:val="5CD26310"/>
    <w:rsid w:val="5CDCA919"/>
    <w:rsid w:val="5CE0468F"/>
    <w:rsid w:val="5CE9F1AA"/>
    <w:rsid w:val="5CECA50B"/>
    <w:rsid w:val="5CF55975"/>
    <w:rsid w:val="5D05FA57"/>
    <w:rsid w:val="5D097065"/>
    <w:rsid w:val="5D0A3D28"/>
    <w:rsid w:val="5D14C15D"/>
    <w:rsid w:val="5D188776"/>
    <w:rsid w:val="5D18FFD7"/>
    <w:rsid w:val="5D207BFD"/>
    <w:rsid w:val="5D2448D4"/>
    <w:rsid w:val="5D25E5B4"/>
    <w:rsid w:val="5D294DB6"/>
    <w:rsid w:val="5D2D9426"/>
    <w:rsid w:val="5D2FAF27"/>
    <w:rsid w:val="5D300278"/>
    <w:rsid w:val="5D3AD69F"/>
    <w:rsid w:val="5D41F6B2"/>
    <w:rsid w:val="5D42B470"/>
    <w:rsid w:val="5D439288"/>
    <w:rsid w:val="5D510D51"/>
    <w:rsid w:val="5D52BD01"/>
    <w:rsid w:val="5D564CEC"/>
    <w:rsid w:val="5D56BD5E"/>
    <w:rsid w:val="5D595B37"/>
    <w:rsid w:val="5D5C5BF3"/>
    <w:rsid w:val="5D5E8BB3"/>
    <w:rsid w:val="5D5FD4D2"/>
    <w:rsid w:val="5D661513"/>
    <w:rsid w:val="5D7583A8"/>
    <w:rsid w:val="5D7614CD"/>
    <w:rsid w:val="5D765A06"/>
    <w:rsid w:val="5D7784F0"/>
    <w:rsid w:val="5D89CC13"/>
    <w:rsid w:val="5D8E5B7D"/>
    <w:rsid w:val="5D95402C"/>
    <w:rsid w:val="5D9B083F"/>
    <w:rsid w:val="5D9B8A6B"/>
    <w:rsid w:val="5DA25EE7"/>
    <w:rsid w:val="5DAB576D"/>
    <w:rsid w:val="5DB704D2"/>
    <w:rsid w:val="5DBB4BC9"/>
    <w:rsid w:val="5DBEDE59"/>
    <w:rsid w:val="5DC9A9CE"/>
    <w:rsid w:val="5DCA889A"/>
    <w:rsid w:val="5DCF4DF7"/>
    <w:rsid w:val="5DD38209"/>
    <w:rsid w:val="5DD468D3"/>
    <w:rsid w:val="5DDCFF06"/>
    <w:rsid w:val="5DDE67C1"/>
    <w:rsid w:val="5DE61E3C"/>
    <w:rsid w:val="5DF1669E"/>
    <w:rsid w:val="5DF31795"/>
    <w:rsid w:val="5DFC2C19"/>
    <w:rsid w:val="5E021440"/>
    <w:rsid w:val="5E0B9771"/>
    <w:rsid w:val="5E0D7EDC"/>
    <w:rsid w:val="5E0E0C9C"/>
    <w:rsid w:val="5E0FDDF8"/>
    <w:rsid w:val="5E112F13"/>
    <w:rsid w:val="5E129370"/>
    <w:rsid w:val="5E14AF55"/>
    <w:rsid w:val="5E15CF2B"/>
    <w:rsid w:val="5E1980F0"/>
    <w:rsid w:val="5E1EA9E6"/>
    <w:rsid w:val="5E2E2CE9"/>
    <w:rsid w:val="5E361BEF"/>
    <w:rsid w:val="5E3B7230"/>
    <w:rsid w:val="5E3E5F99"/>
    <w:rsid w:val="5E46AB78"/>
    <w:rsid w:val="5E4EADDA"/>
    <w:rsid w:val="5E51D69C"/>
    <w:rsid w:val="5E535408"/>
    <w:rsid w:val="5E54D4C0"/>
    <w:rsid w:val="5E67D693"/>
    <w:rsid w:val="5E6DD00C"/>
    <w:rsid w:val="5E6E6A1D"/>
    <w:rsid w:val="5E6EC536"/>
    <w:rsid w:val="5E752D45"/>
    <w:rsid w:val="5E79B37A"/>
    <w:rsid w:val="5E7CBE02"/>
    <w:rsid w:val="5E822383"/>
    <w:rsid w:val="5E83BD98"/>
    <w:rsid w:val="5E854B39"/>
    <w:rsid w:val="5E9684A3"/>
    <w:rsid w:val="5EA7E3D2"/>
    <w:rsid w:val="5EA7EA73"/>
    <w:rsid w:val="5EAC3C60"/>
    <w:rsid w:val="5EACE900"/>
    <w:rsid w:val="5EB42295"/>
    <w:rsid w:val="5EBC3214"/>
    <w:rsid w:val="5ED2BF56"/>
    <w:rsid w:val="5ED9F916"/>
    <w:rsid w:val="5EE403A1"/>
    <w:rsid w:val="5EEEC4C1"/>
    <w:rsid w:val="5EF8FB72"/>
    <w:rsid w:val="5F085F5E"/>
    <w:rsid w:val="5F09860B"/>
    <w:rsid w:val="5F0B3A81"/>
    <w:rsid w:val="5F0E1D99"/>
    <w:rsid w:val="5F17FEA1"/>
    <w:rsid w:val="5F1DF54B"/>
    <w:rsid w:val="5F21C4C4"/>
    <w:rsid w:val="5F265D5F"/>
    <w:rsid w:val="5F311724"/>
    <w:rsid w:val="5F36D8A0"/>
    <w:rsid w:val="5F3C6672"/>
    <w:rsid w:val="5F4AC9DE"/>
    <w:rsid w:val="5F4AE4D1"/>
    <w:rsid w:val="5F4C07A2"/>
    <w:rsid w:val="5F4C86BF"/>
    <w:rsid w:val="5F548B65"/>
    <w:rsid w:val="5F5C3B53"/>
    <w:rsid w:val="5F5DDB10"/>
    <w:rsid w:val="5F6192FF"/>
    <w:rsid w:val="5F6738F7"/>
    <w:rsid w:val="5F73307B"/>
    <w:rsid w:val="5F819AC6"/>
    <w:rsid w:val="5F842970"/>
    <w:rsid w:val="5F86DE55"/>
    <w:rsid w:val="5F8C50D7"/>
    <w:rsid w:val="5F8D0E29"/>
    <w:rsid w:val="5F91CC45"/>
    <w:rsid w:val="5F9E3CAF"/>
    <w:rsid w:val="5FA13285"/>
    <w:rsid w:val="5FAF16B0"/>
    <w:rsid w:val="5FB384F9"/>
    <w:rsid w:val="5FB7C460"/>
    <w:rsid w:val="5FB8E96E"/>
    <w:rsid w:val="5FBA4030"/>
    <w:rsid w:val="5FBB5606"/>
    <w:rsid w:val="5FC37206"/>
    <w:rsid w:val="5FC977CE"/>
    <w:rsid w:val="5FCE9504"/>
    <w:rsid w:val="5FD33341"/>
    <w:rsid w:val="5FD59541"/>
    <w:rsid w:val="5FDCE5C0"/>
    <w:rsid w:val="5FE3DC93"/>
    <w:rsid w:val="5FE8AD2A"/>
    <w:rsid w:val="5FF0D77D"/>
    <w:rsid w:val="5FF126D5"/>
    <w:rsid w:val="5FF1A884"/>
    <w:rsid w:val="5FF48B6C"/>
    <w:rsid w:val="5FF87BE8"/>
    <w:rsid w:val="5FFA704C"/>
    <w:rsid w:val="600195F5"/>
    <w:rsid w:val="6005210C"/>
    <w:rsid w:val="600D22F6"/>
    <w:rsid w:val="6012BC48"/>
    <w:rsid w:val="602989C4"/>
    <w:rsid w:val="602E901E"/>
    <w:rsid w:val="6030D638"/>
    <w:rsid w:val="6033FE75"/>
    <w:rsid w:val="60352F24"/>
    <w:rsid w:val="60391698"/>
    <w:rsid w:val="60443C8B"/>
    <w:rsid w:val="6048C23D"/>
    <w:rsid w:val="604DA0A9"/>
    <w:rsid w:val="60520F90"/>
    <w:rsid w:val="6052B78F"/>
    <w:rsid w:val="60535ACA"/>
    <w:rsid w:val="60538A5E"/>
    <w:rsid w:val="6055893D"/>
    <w:rsid w:val="6062E78C"/>
    <w:rsid w:val="6065AAFE"/>
    <w:rsid w:val="60682728"/>
    <w:rsid w:val="606CDD2F"/>
    <w:rsid w:val="606ED57F"/>
    <w:rsid w:val="6071687E"/>
    <w:rsid w:val="6074770D"/>
    <w:rsid w:val="6079D3CE"/>
    <w:rsid w:val="607F69AF"/>
    <w:rsid w:val="60801B1B"/>
    <w:rsid w:val="60888A98"/>
    <w:rsid w:val="608C1A74"/>
    <w:rsid w:val="608D9CC6"/>
    <w:rsid w:val="60903AF3"/>
    <w:rsid w:val="6092D766"/>
    <w:rsid w:val="60939AB5"/>
    <w:rsid w:val="60A28D9E"/>
    <w:rsid w:val="60A656A8"/>
    <w:rsid w:val="60B65F6D"/>
    <w:rsid w:val="60BDE694"/>
    <w:rsid w:val="60BF6E1C"/>
    <w:rsid w:val="60D86B5D"/>
    <w:rsid w:val="60E082C4"/>
    <w:rsid w:val="60E3ECAE"/>
    <w:rsid w:val="60E6536A"/>
    <w:rsid w:val="610009B5"/>
    <w:rsid w:val="610D3DDB"/>
    <w:rsid w:val="6117B286"/>
    <w:rsid w:val="61187D0B"/>
    <w:rsid w:val="611952B5"/>
    <w:rsid w:val="611F1288"/>
    <w:rsid w:val="612034AC"/>
    <w:rsid w:val="61204DBC"/>
    <w:rsid w:val="6121106C"/>
    <w:rsid w:val="6121B75D"/>
    <w:rsid w:val="61271629"/>
    <w:rsid w:val="613C0258"/>
    <w:rsid w:val="6141C30E"/>
    <w:rsid w:val="614A74D6"/>
    <w:rsid w:val="614AE3BE"/>
    <w:rsid w:val="614B5C98"/>
    <w:rsid w:val="6156F491"/>
    <w:rsid w:val="615BF37A"/>
    <w:rsid w:val="61626E86"/>
    <w:rsid w:val="6164662A"/>
    <w:rsid w:val="617902CD"/>
    <w:rsid w:val="61796A3F"/>
    <w:rsid w:val="619106F9"/>
    <w:rsid w:val="61923F48"/>
    <w:rsid w:val="619BFDC0"/>
    <w:rsid w:val="619C02D6"/>
    <w:rsid w:val="619EFB5B"/>
    <w:rsid w:val="61A027FC"/>
    <w:rsid w:val="61A66EC6"/>
    <w:rsid w:val="61AD04E1"/>
    <w:rsid w:val="61B68C47"/>
    <w:rsid w:val="61B7D728"/>
    <w:rsid w:val="61BA595F"/>
    <w:rsid w:val="61BB7283"/>
    <w:rsid w:val="61BC65C9"/>
    <w:rsid w:val="61BEFDD2"/>
    <w:rsid w:val="61C455F1"/>
    <w:rsid w:val="61CE3B7F"/>
    <w:rsid w:val="61E3F24A"/>
    <w:rsid w:val="61EB0930"/>
    <w:rsid w:val="61FC7BD2"/>
    <w:rsid w:val="62013AAB"/>
    <w:rsid w:val="62014248"/>
    <w:rsid w:val="621142F2"/>
    <w:rsid w:val="62122CA1"/>
    <w:rsid w:val="6215A42F"/>
    <w:rsid w:val="621A9135"/>
    <w:rsid w:val="621E35BD"/>
    <w:rsid w:val="62226302"/>
    <w:rsid w:val="622DBE69"/>
    <w:rsid w:val="6230E0CF"/>
    <w:rsid w:val="6236DFF9"/>
    <w:rsid w:val="6242CFC9"/>
    <w:rsid w:val="62550C57"/>
    <w:rsid w:val="625649AB"/>
    <w:rsid w:val="625A011B"/>
    <w:rsid w:val="6262367A"/>
    <w:rsid w:val="626245E3"/>
    <w:rsid w:val="626A02DD"/>
    <w:rsid w:val="626A25C6"/>
    <w:rsid w:val="6271C3BF"/>
    <w:rsid w:val="62762721"/>
    <w:rsid w:val="627CBC14"/>
    <w:rsid w:val="627F9EE9"/>
    <w:rsid w:val="6281FCD8"/>
    <w:rsid w:val="6284ADC3"/>
    <w:rsid w:val="6284D81E"/>
    <w:rsid w:val="62858249"/>
    <w:rsid w:val="6290C610"/>
    <w:rsid w:val="62947E68"/>
    <w:rsid w:val="6295C583"/>
    <w:rsid w:val="629A7867"/>
    <w:rsid w:val="629F1E76"/>
    <w:rsid w:val="62A99F23"/>
    <w:rsid w:val="62B494AC"/>
    <w:rsid w:val="62B4EBD1"/>
    <w:rsid w:val="62B850D5"/>
    <w:rsid w:val="62D8C2E6"/>
    <w:rsid w:val="62E00C8A"/>
    <w:rsid w:val="62E64537"/>
    <w:rsid w:val="62EDE36F"/>
    <w:rsid w:val="62EEC8E3"/>
    <w:rsid w:val="62EF8EE0"/>
    <w:rsid w:val="62F1B18A"/>
    <w:rsid w:val="62F2E8DF"/>
    <w:rsid w:val="630B0098"/>
    <w:rsid w:val="630C56B7"/>
    <w:rsid w:val="6312AAEA"/>
    <w:rsid w:val="6321B9A3"/>
    <w:rsid w:val="6323EC35"/>
    <w:rsid w:val="6324BAA2"/>
    <w:rsid w:val="632B9D4F"/>
    <w:rsid w:val="632D8EE4"/>
    <w:rsid w:val="633793E8"/>
    <w:rsid w:val="6337B93D"/>
    <w:rsid w:val="6339BB90"/>
    <w:rsid w:val="633C4306"/>
    <w:rsid w:val="63491252"/>
    <w:rsid w:val="635742E4"/>
    <w:rsid w:val="63678573"/>
    <w:rsid w:val="636A3799"/>
    <w:rsid w:val="636BCF89"/>
    <w:rsid w:val="6387D55D"/>
    <w:rsid w:val="6393C4F6"/>
    <w:rsid w:val="6396223D"/>
    <w:rsid w:val="6396AF13"/>
    <w:rsid w:val="639F37E3"/>
    <w:rsid w:val="639F97BD"/>
    <w:rsid w:val="63ABD3B4"/>
    <w:rsid w:val="63B67C79"/>
    <w:rsid w:val="63B9A5E1"/>
    <w:rsid w:val="63D62F25"/>
    <w:rsid w:val="63DD5CB7"/>
    <w:rsid w:val="63DD6B45"/>
    <w:rsid w:val="63E98B21"/>
    <w:rsid w:val="63ED87AA"/>
    <w:rsid w:val="63F07387"/>
    <w:rsid w:val="63F33022"/>
    <w:rsid w:val="63FEC598"/>
    <w:rsid w:val="6401BDF0"/>
    <w:rsid w:val="640733DA"/>
    <w:rsid w:val="640F54D7"/>
    <w:rsid w:val="640F5623"/>
    <w:rsid w:val="6411F782"/>
    <w:rsid w:val="641807F5"/>
    <w:rsid w:val="64214B6A"/>
    <w:rsid w:val="6423B109"/>
    <w:rsid w:val="642C75F1"/>
    <w:rsid w:val="644377D4"/>
    <w:rsid w:val="644D4B95"/>
    <w:rsid w:val="644FCA71"/>
    <w:rsid w:val="645C17B9"/>
    <w:rsid w:val="6460EB85"/>
    <w:rsid w:val="646A9CF4"/>
    <w:rsid w:val="646B2DFE"/>
    <w:rsid w:val="646BC7D9"/>
    <w:rsid w:val="6478098A"/>
    <w:rsid w:val="64803835"/>
    <w:rsid w:val="6486D09F"/>
    <w:rsid w:val="648970E5"/>
    <w:rsid w:val="648AB387"/>
    <w:rsid w:val="648C1F27"/>
    <w:rsid w:val="648EB940"/>
    <w:rsid w:val="649A67C3"/>
    <w:rsid w:val="649ECE80"/>
    <w:rsid w:val="64A8FD7B"/>
    <w:rsid w:val="64AC4221"/>
    <w:rsid w:val="64B6F446"/>
    <w:rsid w:val="64B7F81C"/>
    <w:rsid w:val="64BB5A6B"/>
    <w:rsid w:val="64BDB69A"/>
    <w:rsid w:val="64BE3A9C"/>
    <w:rsid w:val="64C497F8"/>
    <w:rsid w:val="64C5778A"/>
    <w:rsid w:val="64DAE2A9"/>
    <w:rsid w:val="64EF77EA"/>
    <w:rsid w:val="64F9FDFF"/>
    <w:rsid w:val="650035FF"/>
    <w:rsid w:val="650D716C"/>
    <w:rsid w:val="650F3CBA"/>
    <w:rsid w:val="6516F54C"/>
    <w:rsid w:val="651BF5F7"/>
    <w:rsid w:val="652FB707"/>
    <w:rsid w:val="65337D52"/>
    <w:rsid w:val="653BF5F9"/>
    <w:rsid w:val="653D04EB"/>
    <w:rsid w:val="654220B3"/>
    <w:rsid w:val="6545F484"/>
    <w:rsid w:val="654738A4"/>
    <w:rsid w:val="655BE156"/>
    <w:rsid w:val="65691092"/>
    <w:rsid w:val="65693B87"/>
    <w:rsid w:val="656ED815"/>
    <w:rsid w:val="6575C140"/>
    <w:rsid w:val="65823BD9"/>
    <w:rsid w:val="658A9716"/>
    <w:rsid w:val="658B9D6F"/>
    <w:rsid w:val="65968004"/>
    <w:rsid w:val="65969E9B"/>
    <w:rsid w:val="659CAED8"/>
    <w:rsid w:val="65AC3932"/>
    <w:rsid w:val="65AF8ED0"/>
    <w:rsid w:val="65B65A86"/>
    <w:rsid w:val="65BA5459"/>
    <w:rsid w:val="65BF4B59"/>
    <w:rsid w:val="65C91041"/>
    <w:rsid w:val="65CD172E"/>
    <w:rsid w:val="65D0E316"/>
    <w:rsid w:val="65D32C3C"/>
    <w:rsid w:val="65E4FB64"/>
    <w:rsid w:val="66064C9F"/>
    <w:rsid w:val="66085F45"/>
    <w:rsid w:val="660ED8A7"/>
    <w:rsid w:val="661131DA"/>
    <w:rsid w:val="66123976"/>
    <w:rsid w:val="66136DF9"/>
    <w:rsid w:val="6615C344"/>
    <w:rsid w:val="662336FA"/>
    <w:rsid w:val="6623F016"/>
    <w:rsid w:val="6626EF4F"/>
    <w:rsid w:val="6627DF2E"/>
    <w:rsid w:val="662BD112"/>
    <w:rsid w:val="663508DB"/>
    <w:rsid w:val="66377A9A"/>
    <w:rsid w:val="6657AD27"/>
    <w:rsid w:val="665B0536"/>
    <w:rsid w:val="665C2F1A"/>
    <w:rsid w:val="665F1AC4"/>
    <w:rsid w:val="66628D1A"/>
    <w:rsid w:val="66654FA1"/>
    <w:rsid w:val="6665C6E8"/>
    <w:rsid w:val="666BC425"/>
    <w:rsid w:val="666CD6B5"/>
    <w:rsid w:val="666EA288"/>
    <w:rsid w:val="666F6EA6"/>
    <w:rsid w:val="667407F8"/>
    <w:rsid w:val="667B02D2"/>
    <w:rsid w:val="66829466"/>
    <w:rsid w:val="66914067"/>
    <w:rsid w:val="66934B1A"/>
    <w:rsid w:val="669746CA"/>
    <w:rsid w:val="6697B7D3"/>
    <w:rsid w:val="66A017BC"/>
    <w:rsid w:val="66A0852D"/>
    <w:rsid w:val="66A1AE21"/>
    <w:rsid w:val="66A3A477"/>
    <w:rsid w:val="66A40B1C"/>
    <w:rsid w:val="66A470A8"/>
    <w:rsid w:val="66AC25BF"/>
    <w:rsid w:val="66BB4296"/>
    <w:rsid w:val="66BC3ECB"/>
    <w:rsid w:val="66BE7CC2"/>
    <w:rsid w:val="66D195A7"/>
    <w:rsid w:val="66D2CEA4"/>
    <w:rsid w:val="66D338ED"/>
    <w:rsid w:val="66DD3955"/>
    <w:rsid w:val="66EAA645"/>
    <w:rsid w:val="66EEDBCB"/>
    <w:rsid w:val="66F4629D"/>
    <w:rsid w:val="670663F7"/>
    <w:rsid w:val="670B9237"/>
    <w:rsid w:val="670BC978"/>
    <w:rsid w:val="671C8EA9"/>
    <w:rsid w:val="6724BF5F"/>
    <w:rsid w:val="6735B706"/>
    <w:rsid w:val="673B5603"/>
    <w:rsid w:val="674223CA"/>
    <w:rsid w:val="6746285A"/>
    <w:rsid w:val="6747D4C4"/>
    <w:rsid w:val="67499844"/>
    <w:rsid w:val="6755BA0E"/>
    <w:rsid w:val="67597779"/>
    <w:rsid w:val="676152F3"/>
    <w:rsid w:val="6764B457"/>
    <w:rsid w:val="676526B2"/>
    <w:rsid w:val="676CF6E9"/>
    <w:rsid w:val="67758862"/>
    <w:rsid w:val="67861016"/>
    <w:rsid w:val="678E6674"/>
    <w:rsid w:val="678FC459"/>
    <w:rsid w:val="678FC9F1"/>
    <w:rsid w:val="67994142"/>
    <w:rsid w:val="679D0A8C"/>
    <w:rsid w:val="67A5010F"/>
    <w:rsid w:val="67A872B9"/>
    <w:rsid w:val="67B344FF"/>
    <w:rsid w:val="67B352EC"/>
    <w:rsid w:val="67B896D7"/>
    <w:rsid w:val="67BAC73B"/>
    <w:rsid w:val="67BB9E93"/>
    <w:rsid w:val="67C2BFB0"/>
    <w:rsid w:val="67C931F2"/>
    <w:rsid w:val="67CAEBD8"/>
    <w:rsid w:val="67CB3F29"/>
    <w:rsid w:val="67DA96B2"/>
    <w:rsid w:val="67DC1FF1"/>
    <w:rsid w:val="67DE9429"/>
    <w:rsid w:val="67E180A2"/>
    <w:rsid w:val="67E23629"/>
    <w:rsid w:val="67E322EB"/>
    <w:rsid w:val="67E7D400"/>
    <w:rsid w:val="67E8708A"/>
    <w:rsid w:val="67F8EA38"/>
    <w:rsid w:val="67FD184C"/>
    <w:rsid w:val="6813453F"/>
    <w:rsid w:val="6814B252"/>
    <w:rsid w:val="681ECDAF"/>
    <w:rsid w:val="681F51B1"/>
    <w:rsid w:val="6824F26F"/>
    <w:rsid w:val="682CA693"/>
    <w:rsid w:val="682DA081"/>
    <w:rsid w:val="68356DB1"/>
    <w:rsid w:val="6836652F"/>
    <w:rsid w:val="68372C00"/>
    <w:rsid w:val="683BE81D"/>
    <w:rsid w:val="683D6113"/>
    <w:rsid w:val="683D7E82"/>
    <w:rsid w:val="683E837A"/>
    <w:rsid w:val="6844BB7E"/>
    <w:rsid w:val="684D5903"/>
    <w:rsid w:val="685ADE3F"/>
    <w:rsid w:val="685C619A"/>
    <w:rsid w:val="6866BAE4"/>
    <w:rsid w:val="688007BC"/>
    <w:rsid w:val="6884ABE1"/>
    <w:rsid w:val="6887E9C0"/>
    <w:rsid w:val="689166D4"/>
    <w:rsid w:val="68940A60"/>
    <w:rsid w:val="68A4290E"/>
    <w:rsid w:val="68AAE25B"/>
    <w:rsid w:val="68B06D53"/>
    <w:rsid w:val="68BD27A7"/>
    <w:rsid w:val="68BE8950"/>
    <w:rsid w:val="68E168C9"/>
    <w:rsid w:val="68E2B727"/>
    <w:rsid w:val="68E392D8"/>
    <w:rsid w:val="68EF4CE8"/>
    <w:rsid w:val="68F1744F"/>
    <w:rsid w:val="6917A056"/>
    <w:rsid w:val="691F862E"/>
    <w:rsid w:val="69215C70"/>
    <w:rsid w:val="6922DC96"/>
    <w:rsid w:val="6926CC03"/>
    <w:rsid w:val="6928B767"/>
    <w:rsid w:val="693765D9"/>
    <w:rsid w:val="6941EDAD"/>
    <w:rsid w:val="6962E949"/>
    <w:rsid w:val="6967B93A"/>
    <w:rsid w:val="6968C411"/>
    <w:rsid w:val="696FE4A6"/>
    <w:rsid w:val="69759E3B"/>
    <w:rsid w:val="6978E8E0"/>
    <w:rsid w:val="698D1CA0"/>
    <w:rsid w:val="6992C51B"/>
    <w:rsid w:val="699505EE"/>
    <w:rsid w:val="69992C70"/>
    <w:rsid w:val="69A393C8"/>
    <w:rsid w:val="69A4C2BC"/>
    <w:rsid w:val="69A95A4A"/>
    <w:rsid w:val="69ACCFA0"/>
    <w:rsid w:val="69AF3A09"/>
    <w:rsid w:val="69B33B52"/>
    <w:rsid w:val="69B696DF"/>
    <w:rsid w:val="69B86B64"/>
    <w:rsid w:val="69BE78BF"/>
    <w:rsid w:val="69C777AE"/>
    <w:rsid w:val="69CA0FB7"/>
    <w:rsid w:val="69CAEBDC"/>
    <w:rsid w:val="69D13E12"/>
    <w:rsid w:val="69E17CC5"/>
    <w:rsid w:val="69E91769"/>
    <w:rsid w:val="69ECF59C"/>
    <w:rsid w:val="69FB5D03"/>
    <w:rsid w:val="69FB80C6"/>
    <w:rsid w:val="6A0BEDF3"/>
    <w:rsid w:val="6A0C5421"/>
    <w:rsid w:val="6A0D75D7"/>
    <w:rsid w:val="6A0FCCB9"/>
    <w:rsid w:val="6A107E1D"/>
    <w:rsid w:val="6A198CD0"/>
    <w:rsid w:val="6A20C6A9"/>
    <w:rsid w:val="6A2B523E"/>
    <w:rsid w:val="6A2F005E"/>
    <w:rsid w:val="6A36A142"/>
    <w:rsid w:val="6A3A2402"/>
    <w:rsid w:val="6A42C6DA"/>
    <w:rsid w:val="6A45F58F"/>
    <w:rsid w:val="6A46FD90"/>
    <w:rsid w:val="6A5055F5"/>
    <w:rsid w:val="6A50D909"/>
    <w:rsid w:val="6A58C1B6"/>
    <w:rsid w:val="6A5C08BD"/>
    <w:rsid w:val="6A5FF256"/>
    <w:rsid w:val="6A60DC9C"/>
    <w:rsid w:val="6A780744"/>
    <w:rsid w:val="6A7CA00D"/>
    <w:rsid w:val="6A82FEC9"/>
    <w:rsid w:val="6A87C9B1"/>
    <w:rsid w:val="6A8FE345"/>
    <w:rsid w:val="6A9008EE"/>
    <w:rsid w:val="6A9DD876"/>
    <w:rsid w:val="6AABA169"/>
    <w:rsid w:val="6ABC1C75"/>
    <w:rsid w:val="6ABFECEE"/>
    <w:rsid w:val="6AC7E6D7"/>
    <w:rsid w:val="6AC9F572"/>
    <w:rsid w:val="6ACDFF39"/>
    <w:rsid w:val="6AD5BA30"/>
    <w:rsid w:val="6AD9C1FF"/>
    <w:rsid w:val="6AE53D89"/>
    <w:rsid w:val="6AEABB4D"/>
    <w:rsid w:val="6AEF1041"/>
    <w:rsid w:val="6AEF73F7"/>
    <w:rsid w:val="6AFDFAC4"/>
    <w:rsid w:val="6B035535"/>
    <w:rsid w:val="6B0585B6"/>
    <w:rsid w:val="6B09A8AA"/>
    <w:rsid w:val="6B171623"/>
    <w:rsid w:val="6B18B725"/>
    <w:rsid w:val="6B1AD878"/>
    <w:rsid w:val="6B1F7891"/>
    <w:rsid w:val="6B257D37"/>
    <w:rsid w:val="6B36AF34"/>
    <w:rsid w:val="6B36E460"/>
    <w:rsid w:val="6B3DDCD9"/>
    <w:rsid w:val="6B41BEA3"/>
    <w:rsid w:val="6B4272A8"/>
    <w:rsid w:val="6B492C6C"/>
    <w:rsid w:val="6B4C5314"/>
    <w:rsid w:val="6B55305E"/>
    <w:rsid w:val="6B60305A"/>
    <w:rsid w:val="6B65E018"/>
    <w:rsid w:val="6B69EB1C"/>
    <w:rsid w:val="6B6D0E73"/>
    <w:rsid w:val="6B7B65A6"/>
    <w:rsid w:val="6B7F7CDD"/>
    <w:rsid w:val="6B7FF434"/>
    <w:rsid w:val="6B822079"/>
    <w:rsid w:val="6B85DDCA"/>
    <w:rsid w:val="6B8BE300"/>
    <w:rsid w:val="6B8E7060"/>
    <w:rsid w:val="6B92BBC8"/>
    <w:rsid w:val="6BA27FAE"/>
    <w:rsid w:val="6BB32244"/>
    <w:rsid w:val="6BBC21E2"/>
    <w:rsid w:val="6BC5161F"/>
    <w:rsid w:val="6BCE8BE9"/>
    <w:rsid w:val="6BD76BD3"/>
    <w:rsid w:val="6BDE625A"/>
    <w:rsid w:val="6BE6EC70"/>
    <w:rsid w:val="6BE7A43B"/>
    <w:rsid w:val="6BF085D5"/>
    <w:rsid w:val="6BFB11A6"/>
    <w:rsid w:val="6BFE0938"/>
    <w:rsid w:val="6C04F4CC"/>
    <w:rsid w:val="6C070286"/>
    <w:rsid w:val="6C083564"/>
    <w:rsid w:val="6C088765"/>
    <w:rsid w:val="6C13B9CB"/>
    <w:rsid w:val="6C14A6F0"/>
    <w:rsid w:val="6C176892"/>
    <w:rsid w:val="6C23E464"/>
    <w:rsid w:val="6C2BEDFE"/>
    <w:rsid w:val="6C4461DE"/>
    <w:rsid w:val="6C4718EB"/>
    <w:rsid w:val="6C50E1F0"/>
    <w:rsid w:val="6C592B55"/>
    <w:rsid w:val="6C6278BB"/>
    <w:rsid w:val="6C668C21"/>
    <w:rsid w:val="6C669A3C"/>
    <w:rsid w:val="6C70A234"/>
    <w:rsid w:val="6C7345C5"/>
    <w:rsid w:val="6C74B375"/>
    <w:rsid w:val="6C7C3957"/>
    <w:rsid w:val="6C8276AC"/>
    <w:rsid w:val="6C89640E"/>
    <w:rsid w:val="6CA59AAA"/>
    <w:rsid w:val="6CA6290E"/>
    <w:rsid w:val="6CAD33A6"/>
    <w:rsid w:val="6CADA610"/>
    <w:rsid w:val="6CAF9114"/>
    <w:rsid w:val="6CC575CA"/>
    <w:rsid w:val="6CCA0A7C"/>
    <w:rsid w:val="6CD2C83E"/>
    <w:rsid w:val="6CE82375"/>
    <w:rsid w:val="6CF48803"/>
    <w:rsid w:val="6CF5D1A8"/>
    <w:rsid w:val="6CFA80CE"/>
    <w:rsid w:val="6D074569"/>
    <w:rsid w:val="6D12579B"/>
    <w:rsid w:val="6D22F194"/>
    <w:rsid w:val="6D239274"/>
    <w:rsid w:val="6D2EC283"/>
    <w:rsid w:val="6D44DBD4"/>
    <w:rsid w:val="6D51751F"/>
    <w:rsid w:val="6D52E6A4"/>
    <w:rsid w:val="6D569279"/>
    <w:rsid w:val="6D581D04"/>
    <w:rsid w:val="6D5A743A"/>
    <w:rsid w:val="6D5CD541"/>
    <w:rsid w:val="6D6360DD"/>
    <w:rsid w:val="6D64611F"/>
    <w:rsid w:val="6D6622EE"/>
    <w:rsid w:val="6D6C7835"/>
    <w:rsid w:val="6D72597C"/>
    <w:rsid w:val="6D80595C"/>
    <w:rsid w:val="6D81452F"/>
    <w:rsid w:val="6D82992E"/>
    <w:rsid w:val="6D8EF1D1"/>
    <w:rsid w:val="6D93702C"/>
    <w:rsid w:val="6D999124"/>
    <w:rsid w:val="6D9B9443"/>
    <w:rsid w:val="6D9BE27B"/>
    <w:rsid w:val="6D9EFDCB"/>
    <w:rsid w:val="6D9F4D5E"/>
    <w:rsid w:val="6DA15095"/>
    <w:rsid w:val="6DA384E1"/>
    <w:rsid w:val="6DACB287"/>
    <w:rsid w:val="6DBCCF2A"/>
    <w:rsid w:val="6DCA7B9D"/>
    <w:rsid w:val="6DCBD45A"/>
    <w:rsid w:val="6DCC68AB"/>
    <w:rsid w:val="6DD22C76"/>
    <w:rsid w:val="6DD65196"/>
    <w:rsid w:val="6DE16038"/>
    <w:rsid w:val="6DE222F8"/>
    <w:rsid w:val="6DEFB661"/>
    <w:rsid w:val="6DEFC6C1"/>
    <w:rsid w:val="6DFC853E"/>
    <w:rsid w:val="6E005ABB"/>
    <w:rsid w:val="6E053DE1"/>
    <w:rsid w:val="6E063541"/>
    <w:rsid w:val="6E2BB50C"/>
    <w:rsid w:val="6E304C9A"/>
    <w:rsid w:val="6E360983"/>
    <w:rsid w:val="6E3AAF07"/>
    <w:rsid w:val="6E4443C0"/>
    <w:rsid w:val="6E4C7FBF"/>
    <w:rsid w:val="6E511623"/>
    <w:rsid w:val="6E515212"/>
    <w:rsid w:val="6E5BA74A"/>
    <w:rsid w:val="6E5F8C4C"/>
    <w:rsid w:val="6E665AF5"/>
    <w:rsid w:val="6E6C7BC4"/>
    <w:rsid w:val="6E75D999"/>
    <w:rsid w:val="6E7AE3E8"/>
    <w:rsid w:val="6E7E04B2"/>
    <w:rsid w:val="6E84CE23"/>
    <w:rsid w:val="6E86CA6B"/>
    <w:rsid w:val="6E9ACF52"/>
    <w:rsid w:val="6EA2A5BB"/>
    <w:rsid w:val="6EA47E68"/>
    <w:rsid w:val="6EAB29A1"/>
    <w:rsid w:val="6EB09F18"/>
    <w:rsid w:val="6EB15525"/>
    <w:rsid w:val="6EB9C13B"/>
    <w:rsid w:val="6EBDBF3D"/>
    <w:rsid w:val="6EC33B0C"/>
    <w:rsid w:val="6EC3788E"/>
    <w:rsid w:val="6EC57898"/>
    <w:rsid w:val="6EC9A1D7"/>
    <w:rsid w:val="6EC9EB41"/>
    <w:rsid w:val="6EF17646"/>
    <w:rsid w:val="6EF2F2E8"/>
    <w:rsid w:val="6EF8E067"/>
    <w:rsid w:val="6EF9F522"/>
    <w:rsid w:val="6EFE4339"/>
    <w:rsid w:val="6F0D8D11"/>
    <w:rsid w:val="6F11714C"/>
    <w:rsid w:val="6F1810AD"/>
    <w:rsid w:val="6F1E44BA"/>
    <w:rsid w:val="6F1E66EF"/>
    <w:rsid w:val="6F25E541"/>
    <w:rsid w:val="6F270E86"/>
    <w:rsid w:val="6F2DE88E"/>
    <w:rsid w:val="6F3D97D5"/>
    <w:rsid w:val="6F46F466"/>
    <w:rsid w:val="6F4C4DD7"/>
    <w:rsid w:val="6F537BCE"/>
    <w:rsid w:val="6F53A038"/>
    <w:rsid w:val="6F575530"/>
    <w:rsid w:val="6F5D5B4E"/>
    <w:rsid w:val="6F5E91E9"/>
    <w:rsid w:val="6F659E76"/>
    <w:rsid w:val="6F667BF2"/>
    <w:rsid w:val="6F6F0128"/>
    <w:rsid w:val="6F77195C"/>
    <w:rsid w:val="6F8064AB"/>
    <w:rsid w:val="6F8DE8EC"/>
    <w:rsid w:val="6F99C0F7"/>
    <w:rsid w:val="6F99C982"/>
    <w:rsid w:val="6F9A6B10"/>
    <w:rsid w:val="6F9D4074"/>
    <w:rsid w:val="6F9F24DA"/>
    <w:rsid w:val="6FA375FF"/>
    <w:rsid w:val="6FA5AB3E"/>
    <w:rsid w:val="6FA627CF"/>
    <w:rsid w:val="6FAAE687"/>
    <w:rsid w:val="6FAFA63E"/>
    <w:rsid w:val="6FB21A75"/>
    <w:rsid w:val="6FB5B873"/>
    <w:rsid w:val="6FBA6510"/>
    <w:rsid w:val="6FC4F9BE"/>
    <w:rsid w:val="6FC631C0"/>
    <w:rsid w:val="6FC7AC89"/>
    <w:rsid w:val="6FC98D45"/>
    <w:rsid w:val="6FCDB4A7"/>
    <w:rsid w:val="6FD0BEC5"/>
    <w:rsid w:val="6FD771DD"/>
    <w:rsid w:val="6FDC9B32"/>
    <w:rsid w:val="6FE400D7"/>
    <w:rsid w:val="6FE405BE"/>
    <w:rsid w:val="6FE780FC"/>
    <w:rsid w:val="6FE7D273"/>
    <w:rsid w:val="6FE83595"/>
    <w:rsid w:val="6FF5DEBC"/>
    <w:rsid w:val="6FF7C6E1"/>
    <w:rsid w:val="6FFA6C08"/>
    <w:rsid w:val="6FFBF112"/>
    <w:rsid w:val="6FFD448E"/>
    <w:rsid w:val="70100C06"/>
    <w:rsid w:val="7019BC38"/>
    <w:rsid w:val="701E1BD8"/>
    <w:rsid w:val="701F989E"/>
    <w:rsid w:val="7021E0AE"/>
    <w:rsid w:val="70234518"/>
    <w:rsid w:val="702A5832"/>
    <w:rsid w:val="70332590"/>
    <w:rsid w:val="7035ECDD"/>
    <w:rsid w:val="703D3D1C"/>
    <w:rsid w:val="703D596C"/>
    <w:rsid w:val="7049734D"/>
    <w:rsid w:val="704BF230"/>
    <w:rsid w:val="704F1B46"/>
    <w:rsid w:val="7052EE00"/>
    <w:rsid w:val="705BB953"/>
    <w:rsid w:val="705C16CA"/>
    <w:rsid w:val="7060776E"/>
    <w:rsid w:val="70705FC2"/>
    <w:rsid w:val="707A34A7"/>
    <w:rsid w:val="7083385E"/>
    <w:rsid w:val="7087FD62"/>
    <w:rsid w:val="708CBCE3"/>
    <w:rsid w:val="709FB437"/>
    <w:rsid w:val="70AFDEDF"/>
    <w:rsid w:val="70B35FDC"/>
    <w:rsid w:val="70B76D6C"/>
    <w:rsid w:val="70BAF258"/>
    <w:rsid w:val="70BCDFAC"/>
    <w:rsid w:val="70C05CEA"/>
    <w:rsid w:val="70C12A5C"/>
    <w:rsid w:val="70C168F0"/>
    <w:rsid w:val="70C83E98"/>
    <w:rsid w:val="70C92C72"/>
    <w:rsid w:val="70CA317A"/>
    <w:rsid w:val="70CB3CA3"/>
    <w:rsid w:val="70CBEFDC"/>
    <w:rsid w:val="70CE5D11"/>
    <w:rsid w:val="70D20B24"/>
    <w:rsid w:val="70D8D078"/>
    <w:rsid w:val="70E2C4C7"/>
    <w:rsid w:val="70E4529A"/>
    <w:rsid w:val="70E604A8"/>
    <w:rsid w:val="70F73825"/>
    <w:rsid w:val="70F7AA02"/>
    <w:rsid w:val="71002FBE"/>
    <w:rsid w:val="7104C643"/>
    <w:rsid w:val="710F5B97"/>
    <w:rsid w:val="711094B3"/>
    <w:rsid w:val="7113872A"/>
    <w:rsid w:val="71169238"/>
    <w:rsid w:val="711CFF5A"/>
    <w:rsid w:val="71217F4F"/>
    <w:rsid w:val="7121E90F"/>
    <w:rsid w:val="71295D06"/>
    <w:rsid w:val="7134DC43"/>
    <w:rsid w:val="71394D98"/>
    <w:rsid w:val="7146B6E8"/>
    <w:rsid w:val="714F5C77"/>
    <w:rsid w:val="7151165E"/>
    <w:rsid w:val="7155E7CF"/>
    <w:rsid w:val="7161A5BB"/>
    <w:rsid w:val="7163BEAE"/>
    <w:rsid w:val="717217AA"/>
    <w:rsid w:val="71775CEC"/>
    <w:rsid w:val="717B4E15"/>
    <w:rsid w:val="717EC14C"/>
    <w:rsid w:val="7188F2D4"/>
    <w:rsid w:val="718FBDA4"/>
    <w:rsid w:val="71915F09"/>
    <w:rsid w:val="7191B833"/>
    <w:rsid w:val="7191F12A"/>
    <w:rsid w:val="71955663"/>
    <w:rsid w:val="7197998A"/>
    <w:rsid w:val="719E812B"/>
    <w:rsid w:val="71B2AE33"/>
    <w:rsid w:val="71BCE617"/>
    <w:rsid w:val="71BD9099"/>
    <w:rsid w:val="71C2B765"/>
    <w:rsid w:val="71C62893"/>
    <w:rsid w:val="71C89786"/>
    <w:rsid w:val="71CC1038"/>
    <w:rsid w:val="71D276CF"/>
    <w:rsid w:val="71D6C14F"/>
    <w:rsid w:val="71D87B1A"/>
    <w:rsid w:val="71E93488"/>
    <w:rsid w:val="71EAA72A"/>
    <w:rsid w:val="71EBE0FC"/>
    <w:rsid w:val="71EDBCD4"/>
    <w:rsid w:val="71F2202D"/>
    <w:rsid w:val="71F3DBE4"/>
    <w:rsid w:val="71FA5AE8"/>
    <w:rsid w:val="7204BEC4"/>
    <w:rsid w:val="720755E9"/>
    <w:rsid w:val="7216234C"/>
    <w:rsid w:val="72181A26"/>
    <w:rsid w:val="721DEAA7"/>
    <w:rsid w:val="722A292B"/>
    <w:rsid w:val="722B7A2F"/>
    <w:rsid w:val="7239DDB1"/>
    <w:rsid w:val="724D7C66"/>
    <w:rsid w:val="7251C764"/>
    <w:rsid w:val="725E1078"/>
    <w:rsid w:val="72618DAA"/>
    <w:rsid w:val="72662889"/>
    <w:rsid w:val="726A2FB4"/>
    <w:rsid w:val="726D7905"/>
    <w:rsid w:val="726FFAC9"/>
    <w:rsid w:val="7284E16C"/>
    <w:rsid w:val="728D0985"/>
    <w:rsid w:val="728E467E"/>
    <w:rsid w:val="7292CE21"/>
    <w:rsid w:val="72962F2E"/>
    <w:rsid w:val="72AC30E3"/>
    <w:rsid w:val="72B70C19"/>
    <w:rsid w:val="72B90540"/>
    <w:rsid w:val="72B94269"/>
    <w:rsid w:val="72BD543A"/>
    <w:rsid w:val="72BEE58E"/>
    <w:rsid w:val="72C3119F"/>
    <w:rsid w:val="72CB3C5E"/>
    <w:rsid w:val="72CDC0E2"/>
    <w:rsid w:val="72D14B73"/>
    <w:rsid w:val="72D8CD34"/>
    <w:rsid w:val="72DDB432"/>
    <w:rsid w:val="72DFF82F"/>
    <w:rsid w:val="72E89D22"/>
    <w:rsid w:val="72F4914F"/>
    <w:rsid w:val="730073E0"/>
    <w:rsid w:val="73034F32"/>
    <w:rsid w:val="73057257"/>
    <w:rsid w:val="73066581"/>
    <w:rsid w:val="7316A419"/>
    <w:rsid w:val="731D11C1"/>
    <w:rsid w:val="7322EE15"/>
    <w:rsid w:val="73252B8C"/>
    <w:rsid w:val="733399A3"/>
    <w:rsid w:val="7339883E"/>
    <w:rsid w:val="7339CC49"/>
    <w:rsid w:val="73465C16"/>
    <w:rsid w:val="7348DC26"/>
    <w:rsid w:val="734A4799"/>
    <w:rsid w:val="734BFCDD"/>
    <w:rsid w:val="734CD4A8"/>
    <w:rsid w:val="73528B00"/>
    <w:rsid w:val="7357C9A0"/>
    <w:rsid w:val="735C79B4"/>
    <w:rsid w:val="735FFEBE"/>
    <w:rsid w:val="7366193A"/>
    <w:rsid w:val="736D4F2E"/>
    <w:rsid w:val="7370F1FD"/>
    <w:rsid w:val="73762681"/>
    <w:rsid w:val="737AE6B0"/>
    <w:rsid w:val="737C7AA9"/>
    <w:rsid w:val="73800731"/>
    <w:rsid w:val="7385A26A"/>
    <w:rsid w:val="73860DA3"/>
    <w:rsid w:val="73914680"/>
    <w:rsid w:val="739B036D"/>
    <w:rsid w:val="739CFB24"/>
    <w:rsid w:val="73A1689C"/>
    <w:rsid w:val="73A2E979"/>
    <w:rsid w:val="73A89588"/>
    <w:rsid w:val="73AC8C5D"/>
    <w:rsid w:val="73AF9D05"/>
    <w:rsid w:val="73B02D52"/>
    <w:rsid w:val="73B0E862"/>
    <w:rsid w:val="73B484DF"/>
    <w:rsid w:val="73B65D83"/>
    <w:rsid w:val="73BA841F"/>
    <w:rsid w:val="73BD8369"/>
    <w:rsid w:val="73C509B3"/>
    <w:rsid w:val="73D10EA8"/>
    <w:rsid w:val="73D2A28A"/>
    <w:rsid w:val="73D3DAAA"/>
    <w:rsid w:val="73E196C9"/>
    <w:rsid w:val="73E77FA1"/>
    <w:rsid w:val="73E8823B"/>
    <w:rsid w:val="73ED97C5"/>
    <w:rsid w:val="73F19CF6"/>
    <w:rsid w:val="73FE771E"/>
    <w:rsid w:val="740949E6"/>
    <w:rsid w:val="7409C8DB"/>
    <w:rsid w:val="7417C72F"/>
    <w:rsid w:val="741EEE8C"/>
    <w:rsid w:val="74223617"/>
    <w:rsid w:val="74265295"/>
    <w:rsid w:val="7429228E"/>
    <w:rsid w:val="7429506A"/>
    <w:rsid w:val="742ED8E7"/>
    <w:rsid w:val="74360C42"/>
    <w:rsid w:val="74441F16"/>
    <w:rsid w:val="7447F015"/>
    <w:rsid w:val="744FAAF4"/>
    <w:rsid w:val="74530A74"/>
    <w:rsid w:val="745569A8"/>
    <w:rsid w:val="745736B8"/>
    <w:rsid w:val="745B4EBD"/>
    <w:rsid w:val="745DDC24"/>
    <w:rsid w:val="745E98D8"/>
    <w:rsid w:val="74607A9C"/>
    <w:rsid w:val="74625955"/>
    <w:rsid w:val="7462C21E"/>
    <w:rsid w:val="7463C345"/>
    <w:rsid w:val="7463E6B9"/>
    <w:rsid w:val="74687902"/>
    <w:rsid w:val="7475F480"/>
    <w:rsid w:val="74837164"/>
    <w:rsid w:val="7484D913"/>
    <w:rsid w:val="74973CA7"/>
    <w:rsid w:val="74A56C34"/>
    <w:rsid w:val="74AFEA6E"/>
    <w:rsid w:val="74B78F7F"/>
    <w:rsid w:val="74C5E335"/>
    <w:rsid w:val="74C6130B"/>
    <w:rsid w:val="74DACFA8"/>
    <w:rsid w:val="74DF42F0"/>
    <w:rsid w:val="74E24F96"/>
    <w:rsid w:val="74ED1D59"/>
    <w:rsid w:val="74EE6097"/>
    <w:rsid w:val="74F78631"/>
    <w:rsid w:val="74F8C41C"/>
    <w:rsid w:val="74FBA117"/>
    <w:rsid w:val="750FE4A0"/>
    <w:rsid w:val="75152B25"/>
    <w:rsid w:val="7517DB83"/>
    <w:rsid w:val="75213569"/>
    <w:rsid w:val="7521BC8B"/>
    <w:rsid w:val="7526F165"/>
    <w:rsid w:val="752BF771"/>
    <w:rsid w:val="75354BC6"/>
    <w:rsid w:val="7547BEB7"/>
    <w:rsid w:val="754893CE"/>
    <w:rsid w:val="754BC5C0"/>
    <w:rsid w:val="75508295"/>
    <w:rsid w:val="75513DAC"/>
    <w:rsid w:val="75552DE8"/>
    <w:rsid w:val="7557B8B8"/>
    <w:rsid w:val="7568078C"/>
    <w:rsid w:val="7574FEB0"/>
    <w:rsid w:val="757B8C0C"/>
    <w:rsid w:val="758A1930"/>
    <w:rsid w:val="758BBE68"/>
    <w:rsid w:val="75944D30"/>
    <w:rsid w:val="7598E0B7"/>
    <w:rsid w:val="759D0D8D"/>
    <w:rsid w:val="75A76C8B"/>
    <w:rsid w:val="75AC37B9"/>
    <w:rsid w:val="75B3F068"/>
    <w:rsid w:val="75B6D2F6"/>
    <w:rsid w:val="75BDAF6D"/>
    <w:rsid w:val="75C76411"/>
    <w:rsid w:val="75D0B2D7"/>
    <w:rsid w:val="75F0E00A"/>
    <w:rsid w:val="75F72696"/>
    <w:rsid w:val="75FA0F13"/>
    <w:rsid w:val="75FAE4BF"/>
    <w:rsid w:val="76040AEF"/>
    <w:rsid w:val="760D96B4"/>
    <w:rsid w:val="76103095"/>
    <w:rsid w:val="761379B8"/>
    <w:rsid w:val="7613A9EF"/>
    <w:rsid w:val="762CC824"/>
    <w:rsid w:val="7633A922"/>
    <w:rsid w:val="763AD7C6"/>
    <w:rsid w:val="763CBF94"/>
    <w:rsid w:val="763DBC5F"/>
    <w:rsid w:val="763EDC13"/>
    <w:rsid w:val="7641D135"/>
    <w:rsid w:val="764ADC49"/>
    <w:rsid w:val="76554F9A"/>
    <w:rsid w:val="7658BB52"/>
    <w:rsid w:val="7667D3A9"/>
    <w:rsid w:val="766BBBD6"/>
    <w:rsid w:val="766EF8D8"/>
    <w:rsid w:val="7677D440"/>
    <w:rsid w:val="767D002B"/>
    <w:rsid w:val="7683010B"/>
    <w:rsid w:val="768FA34D"/>
    <w:rsid w:val="76942137"/>
    <w:rsid w:val="769990D9"/>
    <w:rsid w:val="769B0D1C"/>
    <w:rsid w:val="769C08A9"/>
    <w:rsid w:val="769C1905"/>
    <w:rsid w:val="769E507A"/>
    <w:rsid w:val="769FBA19"/>
    <w:rsid w:val="76A63251"/>
    <w:rsid w:val="76B315A7"/>
    <w:rsid w:val="76B3D139"/>
    <w:rsid w:val="76BC3B37"/>
    <w:rsid w:val="76BD695B"/>
    <w:rsid w:val="76C6FB79"/>
    <w:rsid w:val="76C73DF1"/>
    <w:rsid w:val="76D274F0"/>
    <w:rsid w:val="76D63720"/>
    <w:rsid w:val="76DA7772"/>
    <w:rsid w:val="76DEC7A8"/>
    <w:rsid w:val="76E3D983"/>
    <w:rsid w:val="76E40365"/>
    <w:rsid w:val="76E511D2"/>
    <w:rsid w:val="76EA0DDD"/>
    <w:rsid w:val="76EDAA98"/>
    <w:rsid w:val="76F13E50"/>
    <w:rsid w:val="76F3CD18"/>
    <w:rsid w:val="76FAF184"/>
    <w:rsid w:val="770042A8"/>
    <w:rsid w:val="77006D8B"/>
    <w:rsid w:val="77013E99"/>
    <w:rsid w:val="77075B01"/>
    <w:rsid w:val="770980B5"/>
    <w:rsid w:val="771076DA"/>
    <w:rsid w:val="771100E7"/>
    <w:rsid w:val="771EAFE9"/>
    <w:rsid w:val="772786DD"/>
    <w:rsid w:val="77294FC0"/>
    <w:rsid w:val="7745A170"/>
    <w:rsid w:val="774F56B9"/>
    <w:rsid w:val="77528044"/>
    <w:rsid w:val="77564F87"/>
    <w:rsid w:val="7757A616"/>
    <w:rsid w:val="775A841A"/>
    <w:rsid w:val="7766C622"/>
    <w:rsid w:val="7767BCEE"/>
    <w:rsid w:val="7770C84E"/>
    <w:rsid w:val="77733FBD"/>
    <w:rsid w:val="77742ECC"/>
    <w:rsid w:val="777797F7"/>
    <w:rsid w:val="777E42A4"/>
    <w:rsid w:val="777FA206"/>
    <w:rsid w:val="77825F1B"/>
    <w:rsid w:val="77832D55"/>
    <w:rsid w:val="7787058F"/>
    <w:rsid w:val="7788AA49"/>
    <w:rsid w:val="778C5A0F"/>
    <w:rsid w:val="7791B4E4"/>
    <w:rsid w:val="779719C7"/>
    <w:rsid w:val="77A0F95A"/>
    <w:rsid w:val="77A5CFDF"/>
    <w:rsid w:val="77A90CF2"/>
    <w:rsid w:val="77ABBD73"/>
    <w:rsid w:val="77AD9542"/>
    <w:rsid w:val="77B3AA0F"/>
    <w:rsid w:val="77BB42A6"/>
    <w:rsid w:val="77C05F61"/>
    <w:rsid w:val="77C22249"/>
    <w:rsid w:val="77C2F71D"/>
    <w:rsid w:val="77C3EC9B"/>
    <w:rsid w:val="77CF9078"/>
    <w:rsid w:val="77D5337B"/>
    <w:rsid w:val="77D708C9"/>
    <w:rsid w:val="77D9D3B2"/>
    <w:rsid w:val="77EBDE91"/>
    <w:rsid w:val="77EF83A4"/>
    <w:rsid w:val="77F2C23D"/>
    <w:rsid w:val="77F81FAE"/>
    <w:rsid w:val="77FEB033"/>
    <w:rsid w:val="78099F6D"/>
    <w:rsid w:val="781F6E00"/>
    <w:rsid w:val="7823A737"/>
    <w:rsid w:val="782B3AC3"/>
    <w:rsid w:val="782C3AA5"/>
    <w:rsid w:val="7830823E"/>
    <w:rsid w:val="78339DEF"/>
    <w:rsid w:val="783433B0"/>
    <w:rsid w:val="7836014E"/>
    <w:rsid w:val="7840C63B"/>
    <w:rsid w:val="784E3A22"/>
    <w:rsid w:val="784FEC94"/>
    <w:rsid w:val="7856084D"/>
    <w:rsid w:val="78567EFF"/>
    <w:rsid w:val="78670DE4"/>
    <w:rsid w:val="7871AD59"/>
    <w:rsid w:val="78770C74"/>
    <w:rsid w:val="787A3B0A"/>
    <w:rsid w:val="787CE23C"/>
    <w:rsid w:val="7880FE96"/>
    <w:rsid w:val="7892D221"/>
    <w:rsid w:val="78960DDD"/>
    <w:rsid w:val="789807F8"/>
    <w:rsid w:val="78989533"/>
    <w:rsid w:val="789A83FA"/>
    <w:rsid w:val="789DFC45"/>
    <w:rsid w:val="789FAF38"/>
    <w:rsid w:val="78A814BA"/>
    <w:rsid w:val="78AA3ECC"/>
    <w:rsid w:val="78ACCD8C"/>
    <w:rsid w:val="78B35D0D"/>
    <w:rsid w:val="78B7C624"/>
    <w:rsid w:val="78B8D017"/>
    <w:rsid w:val="78BA3A65"/>
    <w:rsid w:val="78C7521A"/>
    <w:rsid w:val="78CB894B"/>
    <w:rsid w:val="78CF063C"/>
    <w:rsid w:val="78D37B3B"/>
    <w:rsid w:val="78DBA385"/>
    <w:rsid w:val="78DC83ED"/>
    <w:rsid w:val="78DD764F"/>
    <w:rsid w:val="78E5E926"/>
    <w:rsid w:val="78F7E745"/>
    <w:rsid w:val="78FCA6E3"/>
    <w:rsid w:val="7906E277"/>
    <w:rsid w:val="790913D4"/>
    <w:rsid w:val="791CC755"/>
    <w:rsid w:val="79200AD4"/>
    <w:rsid w:val="79226CA6"/>
    <w:rsid w:val="7927EA23"/>
    <w:rsid w:val="792E3CE2"/>
    <w:rsid w:val="7941A040"/>
    <w:rsid w:val="7947AB81"/>
    <w:rsid w:val="7947D157"/>
    <w:rsid w:val="794CE4B7"/>
    <w:rsid w:val="794D3C0E"/>
    <w:rsid w:val="7958F6C9"/>
    <w:rsid w:val="795C6761"/>
    <w:rsid w:val="795E99B2"/>
    <w:rsid w:val="7968FBFB"/>
    <w:rsid w:val="79850297"/>
    <w:rsid w:val="79929C6F"/>
    <w:rsid w:val="7999861A"/>
    <w:rsid w:val="799A3645"/>
    <w:rsid w:val="79A0C5A4"/>
    <w:rsid w:val="79A106BF"/>
    <w:rsid w:val="79AF61E5"/>
    <w:rsid w:val="79BA00FF"/>
    <w:rsid w:val="79CCAF9E"/>
    <w:rsid w:val="79D0FD22"/>
    <w:rsid w:val="79D400DC"/>
    <w:rsid w:val="79D62705"/>
    <w:rsid w:val="79D6B062"/>
    <w:rsid w:val="79D90CD7"/>
    <w:rsid w:val="79E4F50F"/>
    <w:rsid w:val="79E80E86"/>
    <w:rsid w:val="79EC2C0B"/>
    <w:rsid w:val="79F3751F"/>
    <w:rsid w:val="79F754EF"/>
    <w:rsid w:val="79FBF100"/>
    <w:rsid w:val="7A01F025"/>
    <w:rsid w:val="7A1CE71D"/>
    <w:rsid w:val="7A229FCB"/>
    <w:rsid w:val="7A28AC76"/>
    <w:rsid w:val="7A28AF9B"/>
    <w:rsid w:val="7A296CEB"/>
    <w:rsid w:val="7A31E2BF"/>
    <w:rsid w:val="7A3506C8"/>
    <w:rsid w:val="7A36FCBF"/>
    <w:rsid w:val="7A3A93A2"/>
    <w:rsid w:val="7A3CA00B"/>
    <w:rsid w:val="7A476401"/>
    <w:rsid w:val="7A48179C"/>
    <w:rsid w:val="7A4EB14D"/>
    <w:rsid w:val="7A55EB2E"/>
    <w:rsid w:val="7A5D8A53"/>
    <w:rsid w:val="7A5DA15B"/>
    <w:rsid w:val="7A5DD088"/>
    <w:rsid w:val="7A6CF036"/>
    <w:rsid w:val="7A6EADF6"/>
    <w:rsid w:val="7A7C1F46"/>
    <w:rsid w:val="7A8396AB"/>
    <w:rsid w:val="7A8B028F"/>
    <w:rsid w:val="7A92F4C7"/>
    <w:rsid w:val="7A98DAEB"/>
    <w:rsid w:val="7A9DF3C9"/>
    <w:rsid w:val="7AA03F91"/>
    <w:rsid w:val="7AA14113"/>
    <w:rsid w:val="7AA66B79"/>
    <w:rsid w:val="7AA6A33B"/>
    <w:rsid w:val="7AA92E99"/>
    <w:rsid w:val="7AB649D3"/>
    <w:rsid w:val="7AB81E0C"/>
    <w:rsid w:val="7AB89060"/>
    <w:rsid w:val="7AB8A041"/>
    <w:rsid w:val="7ABE0F9F"/>
    <w:rsid w:val="7AD4E680"/>
    <w:rsid w:val="7AD8C08A"/>
    <w:rsid w:val="7ADA62D3"/>
    <w:rsid w:val="7ADCD4BA"/>
    <w:rsid w:val="7ADF66C1"/>
    <w:rsid w:val="7AE1E84B"/>
    <w:rsid w:val="7AE29767"/>
    <w:rsid w:val="7AF139E6"/>
    <w:rsid w:val="7AF7537B"/>
    <w:rsid w:val="7AFC90EF"/>
    <w:rsid w:val="7AFE7342"/>
    <w:rsid w:val="7B0399AB"/>
    <w:rsid w:val="7B1A7102"/>
    <w:rsid w:val="7B33BD9E"/>
    <w:rsid w:val="7B3C326C"/>
    <w:rsid w:val="7B3C89FD"/>
    <w:rsid w:val="7B3C951A"/>
    <w:rsid w:val="7B438AE2"/>
    <w:rsid w:val="7B49C343"/>
    <w:rsid w:val="7B4E1AFD"/>
    <w:rsid w:val="7B6030B8"/>
    <w:rsid w:val="7B6325A3"/>
    <w:rsid w:val="7B703AF1"/>
    <w:rsid w:val="7B71002D"/>
    <w:rsid w:val="7B764FB2"/>
    <w:rsid w:val="7B7C291B"/>
    <w:rsid w:val="7B7CCABE"/>
    <w:rsid w:val="7B7F877B"/>
    <w:rsid w:val="7B82A85B"/>
    <w:rsid w:val="7B85FB33"/>
    <w:rsid w:val="7B87FC6C"/>
    <w:rsid w:val="7B88ACC1"/>
    <w:rsid w:val="7B909E24"/>
    <w:rsid w:val="7B9728D5"/>
    <w:rsid w:val="7B98B142"/>
    <w:rsid w:val="7B9B9A25"/>
    <w:rsid w:val="7BA2CCF1"/>
    <w:rsid w:val="7BA89414"/>
    <w:rsid w:val="7BB85B82"/>
    <w:rsid w:val="7BC16F68"/>
    <w:rsid w:val="7BC25F1E"/>
    <w:rsid w:val="7BC4AF73"/>
    <w:rsid w:val="7BD1C015"/>
    <w:rsid w:val="7BD250C3"/>
    <w:rsid w:val="7BD2EC32"/>
    <w:rsid w:val="7BDEEC8F"/>
    <w:rsid w:val="7BEB76D9"/>
    <w:rsid w:val="7BEF6909"/>
    <w:rsid w:val="7BF02C63"/>
    <w:rsid w:val="7BF8ACC2"/>
    <w:rsid w:val="7C00C876"/>
    <w:rsid w:val="7C06217D"/>
    <w:rsid w:val="7C0F7E3C"/>
    <w:rsid w:val="7C13B106"/>
    <w:rsid w:val="7C1B4902"/>
    <w:rsid w:val="7C1BF760"/>
    <w:rsid w:val="7C1C1AE4"/>
    <w:rsid w:val="7C1E45BE"/>
    <w:rsid w:val="7C292287"/>
    <w:rsid w:val="7C2CF4E4"/>
    <w:rsid w:val="7C2EF998"/>
    <w:rsid w:val="7C39EACC"/>
    <w:rsid w:val="7C3CFEBD"/>
    <w:rsid w:val="7C3FC9CD"/>
    <w:rsid w:val="7C413884"/>
    <w:rsid w:val="7C4A20CD"/>
    <w:rsid w:val="7C4BDFDF"/>
    <w:rsid w:val="7C4E8307"/>
    <w:rsid w:val="7C4F77CE"/>
    <w:rsid w:val="7C5732B7"/>
    <w:rsid w:val="7C589561"/>
    <w:rsid w:val="7C593265"/>
    <w:rsid w:val="7C60482A"/>
    <w:rsid w:val="7C67956B"/>
    <w:rsid w:val="7C67AA73"/>
    <w:rsid w:val="7C69964E"/>
    <w:rsid w:val="7C6A995C"/>
    <w:rsid w:val="7C77D33F"/>
    <w:rsid w:val="7C7A6DD7"/>
    <w:rsid w:val="7C7F97F7"/>
    <w:rsid w:val="7C8B4A49"/>
    <w:rsid w:val="7C8C3370"/>
    <w:rsid w:val="7C8C48A0"/>
    <w:rsid w:val="7CB2B187"/>
    <w:rsid w:val="7CBCD256"/>
    <w:rsid w:val="7CC3124C"/>
    <w:rsid w:val="7CD150E0"/>
    <w:rsid w:val="7CD1B859"/>
    <w:rsid w:val="7CD92081"/>
    <w:rsid w:val="7CE5E270"/>
    <w:rsid w:val="7CE9F9FE"/>
    <w:rsid w:val="7CE9FB8C"/>
    <w:rsid w:val="7CECF0E4"/>
    <w:rsid w:val="7CF40240"/>
    <w:rsid w:val="7CF568D9"/>
    <w:rsid w:val="7CFD1EB6"/>
    <w:rsid w:val="7CFFC24D"/>
    <w:rsid w:val="7D06996C"/>
    <w:rsid w:val="7D0E2087"/>
    <w:rsid w:val="7D13D6F8"/>
    <w:rsid w:val="7D1C5B9C"/>
    <w:rsid w:val="7D21764A"/>
    <w:rsid w:val="7D23F51A"/>
    <w:rsid w:val="7D308BA2"/>
    <w:rsid w:val="7D38BB0E"/>
    <w:rsid w:val="7D3DF08B"/>
    <w:rsid w:val="7D4A47A9"/>
    <w:rsid w:val="7D4D4928"/>
    <w:rsid w:val="7D5A52F0"/>
    <w:rsid w:val="7D604D38"/>
    <w:rsid w:val="7D60926B"/>
    <w:rsid w:val="7D715899"/>
    <w:rsid w:val="7D74F414"/>
    <w:rsid w:val="7D76B67B"/>
    <w:rsid w:val="7D78FB2F"/>
    <w:rsid w:val="7D7BCFFC"/>
    <w:rsid w:val="7D8207CE"/>
    <w:rsid w:val="7D83D9D3"/>
    <w:rsid w:val="7D8609BA"/>
    <w:rsid w:val="7D900624"/>
    <w:rsid w:val="7D952B15"/>
    <w:rsid w:val="7D95DF8D"/>
    <w:rsid w:val="7D9BCBB3"/>
    <w:rsid w:val="7DA86AF0"/>
    <w:rsid w:val="7DBB91FA"/>
    <w:rsid w:val="7DBF24E6"/>
    <w:rsid w:val="7DC0BAEF"/>
    <w:rsid w:val="7DC59BCC"/>
    <w:rsid w:val="7DC86BE9"/>
    <w:rsid w:val="7DD8505F"/>
    <w:rsid w:val="7DDB9C35"/>
    <w:rsid w:val="7DDCFBAA"/>
    <w:rsid w:val="7DE52EB8"/>
    <w:rsid w:val="7DEBF413"/>
    <w:rsid w:val="7DED65BF"/>
    <w:rsid w:val="7DF5BBAD"/>
    <w:rsid w:val="7DF99D34"/>
    <w:rsid w:val="7E082FF3"/>
    <w:rsid w:val="7E0A3938"/>
    <w:rsid w:val="7E1447F9"/>
    <w:rsid w:val="7E1C3D1D"/>
    <w:rsid w:val="7E291C84"/>
    <w:rsid w:val="7E2F420A"/>
    <w:rsid w:val="7E308252"/>
    <w:rsid w:val="7E342F78"/>
    <w:rsid w:val="7E36647D"/>
    <w:rsid w:val="7E39BD97"/>
    <w:rsid w:val="7E42337F"/>
    <w:rsid w:val="7E4E7968"/>
    <w:rsid w:val="7E542245"/>
    <w:rsid w:val="7E545CCF"/>
    <w:rsid w:val="7E5503C5"/>
    <w:rsid w:val="7E60292E"/>
    <w:rsid w:val="7E756513"/>
    <w:rsid w:val="7E7808DE"/>
    <w:rsid w:val="7E8125A0"/>
    <w:rsid w:val="7E81572A"/>
    <w:rsid w:val="7E9A6863"/>
    <w:rsid w:val="7EB66A3B"/>
    <w:rsid w:val="7EC2E51E"/>
    <w:rsid w:val="7ED1777D"/>
    <w:rsid w:val="7ED3CD71"/>
    <w:rsid w:val="7ED595F6"/>
    <w:rsid w:val="7EE09D81"/>
    <w:rsid w:val="7EE77EAE"/>
    <w:rsid w:val="7EE82D71"/>
    <w:rsid w:val="7EEEE4A0"/>
    <w:rsid w:val="7EF586F7"/>
    <w:rsid w:val="7EF7E55A"/>
    <w:rsid w:val="7F057639"/>
    <w:rsid w:val="7F0FF034"/>
    <w:rsid w:val="7F1565A7"/>
    <w:rsid w:val="7F1831AE"/>
    <w:rsid w:val="7F1FD15D"/>
    <w:rsid w:val="7F224E6A"/>
    <w:rsid w:val="7F23F769"/>
    <w:rsid w:val="7F277C6A"/>
    <w:rsid w:val="7F2976C3"/>
    <w:rsid w:val="7F2B9A89"/>
    <w:rsid w:val="7F3B6859"/>
    <w:rsid w:val="7F40C710"/>
    <w:rsid w:val="7F4123C3"/>
    <w:rsid w:val="7F4A3C17"/>
    <w:rsid w:val="7F4D0532"/>
    <w:rsid w:val="7F4FF696"/>
    <w:rsid w:val="7F51E39B"/>
    <w:rsid w:val="7F61398B"/>
    <w:rsid w:val="7F63775F"/>
    <w:rsid w:val="7F718B8E"/>
    <w:rsid w:val="7F81F697"/>
    <w:rsid w:val="7F8AE170"/>
    <w:rsid w:val="7F9B88C6"/>
    <w:rsid w:val="7F9C6EBA"/>
    <w:rsid w:val="7FA2D9EC"/>
    <w:rsid w:val="7FA62B84"/>
    <w:rsid w:val="7FA89961"/>
    <w:rsid w:val="7FAE3CEC"/>
    <w:rsid w:val="7FB41ED7"/>
    <w:rsid w:val="7FBC0B69"/>
    <w:rsid w:val="7FBCF93C"/>
    <w:rsid w:val="7FBFB4BF"/>
    <w:rsid w:val="7FC52CD4"/>
    <w:rsid w:val="7FD621E4"/>
    <w:rsid w:val="7FDA2490"/>
    <w:rsid w:val="7FDB2FD6"/>
    <w:rsid w:val="7FE4B62F"/>
    <w:rsid w:val="7FE5E9FC"/>
    <w:rsid w:val="7FE93CC4"/>
    <w:rsid w:val="7FEB7F0A"/>
    <w:rsid w:val="7FEC6C0D"/>
    <w:rsid w:val="7FFB4C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35B3"/>
  <w15:chartTrackingRefBased/>
  <w15:docId w15:val="{341791F2-FAED-4EF8-9179-90A3ADF8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B3C"/>
    <w:pPr>
      <w:spacing w:after="200" w:line="276" w:lineRule="auto"/>
    </w:pPr>
    <w:rPr>
      <w:rFonts w:ascii="Calibri" w:eastAsia="Calibri" w:hAnsi="Calibri" w:cs="Times New Roman"/>
    </w:rPr>
  </w:style>
  <w:style w:type="paragraph" w:styleId="Heading1">
    <w:name w:val="heading 1"/>
    <w:basedOn w:val="Heading10"/>
    <w:next w:val="Normal"/>
    <w:link w:val="Heading1Char"/>
    <w:uiPriority w:val="9"/>
    <w:qFormat/>
    <w:rsid w:val="008C4B3C"/>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4C7458"/>
    <w:pPr>
      <w:keepNext/>
      <w:keepLines/>
      <w:tabs>
        <w:tab w:val="left" w:pos="1701"/>
      </w:tabs>
      <w:spacing w:before="360" w:after="12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713728"/>
    <w:pPr>
      <w:tabs>
        <w:tab w:val="clear" w:pos="1701"/>
      </w:tabs>
      <w:spacing w:line="276" w:lineRule="auto"/>
      <w:outlineLvl w:val="2"/>
    </w:pPr>
    <w:rPr>
      <w:rFonts w:ascii="Calibri" w:eastAsia="MS Gothic" w:hAnsi="Calibri" w:cs="Times New Roman"/>
      <w:b/>
      <w:bCs/>
      <w:i/>
      <w:color w:val="auto"/>
      <w:sz w:val="24"/>
      <w:szCs w:val="24"/>
    </w:rPr>
  </w:style>
  <w:style w:type="paragraph" w:styleId="Heading4">
    <w:name w:val="heading 4"/>
    <w:basedOn w:val="Normal"/>
    <w:next w:val="Normal"/>
    <w:link w:val="Heading4Char"/>
    <w:uiPriority w:val="9"/>
    <w:unhideWhenUsed/>
    <w:qFormat/>
    <w:rsid w:val="00AB56F3"/>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8E7"/>
    <w:rPr>
      <w:rFonts w:ascii="Times New Roman" w:hAnsi="Times New Roman" w:cs="Times New Roman" w:hint="default"/>
      <w:color w:val="0000FF"/>
      <w:u w:val="single"/>
    </w:rPr>
  </w:style>
  <w:style w:type="paragraph" w:customStyle="1" w:styleId="Heading10">
    <w:name w:val="Heading1"/>
    <w:rsid w:val="006478E7"/>
    <w:pPr>
      <w:spacing w:after="200" w:line="240" w:lineRule="auto"/>
    </w:pPr>
    <w:rPr>
      <w:rFonts w:ascii="Calibri" w:eastAsia="Calibri" w:hAnsi="Calibri" w:cs="Calibri"/>
      <w:b/>
      <w:bCs/>
      <w:color w:val="000000"/>
      <w:sz w:val="36"/>
      <w:szCs w:val="36"/>
      <w:u w:color="000000"/>
      <w:lang w:val="en-US" w:eastAsia="en-AU"/>
    </w:rPr>
  </w:style>
  <w:style w:type="character" w:customStyle="1" w:styleId="Heading2Char">
    <w:name w:val="Heading 2 Char"/>
    <w:basedOn w:val="DefaultParagraphFont"/>
    <w:link w:val="Heading2"/>
    <w:uiPriority w:val="9"/>
    <w:rsid w:val="004C7458"/>
    <w:rPr>
      <w:rFonts w:ascii="Franklin Gothic Medium" w:eastAsiaTheme="majorEastAsia" w:hAnsi="Franklin Gothic Medium" w:cstheme="majorBidi"/>
      <w:color w:val="000000" w:themeColor="text1"/>
      <w:sz w:val="32"/>
      <w:szCs w:val="26"/>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BulletPoints,Styl moj,Akapit z listą11,ES Paragraph,PBAC ES Paragraph"/>
    <w:basedOn w:val="Normal"/>
    <w:link w:val="ListParagraphChar"/>
    <w:uiPriority w:val="34"/>
    <w:qFormat/>
    <w:rsid w:val="006478E7"/>
    <w:pPr>
      <w:ind w:left="720"/>
      <w:contextualSpacing/>
    </w:pPr>
  </w:style>
  <w:style w:type="table" w:styleId="TableGrid">
    <w:name w:val="Table Grid"/>
    <w:aliases w:val="HealthConsult"/>
    <w:basedOn w:val="TableNormal"/>
    <w:uiPriority w:val="59"/>
    <w:rsid w:val="002F3E4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3267F"/>
    <w:pPr>
      <w:keepNext/>
      <w:spacing w:before="360" w:after="120" w:line="240" w:lineRule="auto"/>
      <w:ind w:left="709" w:hanging="709"/>
      <w:outlineLvl w:val="3"/>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0939E0"/>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0939E0"/>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0939E0"/>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0939E0"/>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0939E0"/>
    <w:pPr>
      <w:widowControl w:val="0"/>
      <w:spacing w:after="120" w:line="240" w:lineRule="auto"/>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0939E0"/>
    <w:rPr>
      <w:rFonts w:ascii="Arial Narrow" w:eastAsia="Times New Roman" w:hAnsi="Arial Narrow" w:cs="Arial"/>
      <w:snapToGrid w:val="0"/>
      <w:sz w:val="18"/>
      <w:szCs w:val="20"/>
    </w:rPr>
  </w:style>
  <w:style w:type="paragraph" w:customStyle="1" w:styleId="TableName">
    <w:name w:val="TableName"/>
    <w:basedOn w:val="Normal"/>
    <w:qFormat/>
    <w:rsid w:val="00891488"/>
    <w:pPr>
      <w:keepNext/>
      <w:spacing w:after="240" w:line="240" w:lineRule="auto"/>
      <w:ind w:left="1134" w:hanging="1134"/>
    </w:pPr>
    <w:rPr>
      <w:rFonts w:ascii="Franklin Gothic Medium" w:eastAsiaTheme="minorHAnsi" w:hAnsi="Franklin Gothic Medium" w:cstheme="minorBidi"/>
    </w:rPr>
  </w:style>
  <w:style w:type="character" w:customStyle="1" w:styleId="ListParagraphChar">
    <w:name w:val="List Paragraph Char"/>
    <w:aliases w:val="Numbered para Char,BulletPoints Char,Styl moj Char,Akapit z listą11 Char,ES Paragraph Char,PBAC ES Paragraph Char"/>
    <w:basedOn w:val="DefaultParagraphFont"/>
    <w:link w:val="ListParagraph"/>
    <w:uiPriority w:val="34"/>
    <w:rsid w:val="00D867D5"/>
    <w:rPr>
      <w:rFonts w:ascii="Calibri" w:eastAsia="Calibri" w:hAnsi="Calibri" w:cs="Times New Roman"/>
    </w:rPr>
  </w:style>
  <w:style w:type="paragraph" w:styleId="Header">
    <w:name w:val="header"/>
    <w:basedOn w:val="Normal"/>
    <w:link w:val="HeaderChar"/>
    <w:uiPriority w:val="99"/>
    <w:unhideWhenUsed/>
    <w:rsid w:val="0016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5C"/>
    <w:rPr>
      <w:rFonts w:ascii="Calibri" w:eastAsia="Calibri" w:hAnsi="Calibri" w:cs="Times New Roman"/>
    </w:rPr>
  </w:style>
  <w:style w:type="paragraph" w:styleId="Footer">
    <w:name w:val="footer"/>
    <w:basedOn w:val="Normal"/>
    <w:link w:val="FooterChar"/>
    <w:uiPriority w:val="99"/>
    <w:unhideWhenUsed/>
    <w:rsid w:val="0016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5C"/>
    <w:rPr>
      <w:rFonts w:ascii="Calibri" w:eastAsia="Calibri" w:hAnsi="Calibri" w:cs="Times New Roman"/>
    </w:rPr>
  </w:style>
  <w:style w:type="paragraph" w:styleId="Subtitle">
    <w:name w:val="Subtitle"/>
    <w:basedOn w:val="Normal"/>
    <w:next w:val="Normal"/>
    <w:link w:val="SubtitleChar"/>
    <w:uiPriority w:val="11"/>
    <w:qFormat/>
    <w:rsid w:val="006F01C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3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26"/>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D84E12"/>
    <w:rPr>
      <w:sz w:val="16"/>
      <w:szCs w:val="16"/>
    </w:rPr>
  </w:style>
  <w:style w:type="paragraph" w:styleId="CommentText">
    <w:name w:val="annotation text"/>
    <w:basedOn w:val="Normal"/>
    <w:link w:val="CommentTextChar"/>
    <w:uiPriority w:val="99"/>
    <w:unhideWhenUsed/>
    <w:rsid w:val="00D84E12"/>
    <w:pPr>
      <w:spacing w:line="240" w:lineRule="auto"/>
    </w:pPr>
    <w:rPr>
      <w:sz w:val="20"/>
      <w:szCs w:val="20"/>
    </w:rPr>
  </w:style>
  <w:style w:type="character" w:customStyle="1" w:styleId="CommentTextChar">
    <w:name w:val="Comment Text Char"/>
    <w:basedOn w:val="DefaultParagraphFont"/>
    <w:link w:val="CommentText"/>
    <w:uiPriority w:val="99"/>
    <w:rsid w:val="00D84E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4E12"/>
    <w:rPr>
      <w:b/>
      <w:bCs/>
    </w:rPr>
  </w:style>
  <w:style w:type="character" w:customStyle="1" w:styleId="CommentSubjectChar">
    <w:name w:val="Comment Subject Char"/>
    <w:basedOn w:val="CommentTextChar"/>
    <w:link w:val="CommentSubject"/>
    <w:uiPriority w:val="99"/>
    <w:semiHidden/>
    <w:rsid w:val="00D84E12"/>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C4B3C"/>
    <w:rPr>
      <w:color w:val="954F72" w:themeColor="followedHyperlink"/>
      <w:u w:val="single"/>
    </w:rPr>
  </w:style>
  <w:style w:type="character" w:customStyle="1" w:styleId="Heading1Char">
    <w:name w:val="Heading 1 Char"/>
    <w:basedOn w:val="DefaultParagraphFont"/>
    <w:link w:val="Heading1"/>
    <w:uiPriority w:val="9"/>
    <w:rsid w:val="008C4B3C"/>
    <w:rPr>
      <w:rFonts w:ascii="Calibri" w:eastAsia="Calibri" w:hAnsi="Calibri" w:cs="Calibri"/>
      <w:b/>
      <w:bCs/>
      <w:color w:val="000000"/>
      <w:sz w:val="72"/>
      <w:szCs w:val="72"/>
      <w:u w:color="000000"/>
      <w:lang w:val="en-US" w:eastAsia="en-AU"/>
    </w:rPr>
  </w:style>
  <w:style w:type="paragraph" w:customStyle="1" w:styleId="Instructionaltext">
    <w:name w:val="Instructional text"/>
    <w:basedOn w:val="Normal"/>
    <w:link w:val="InstructionaltextChar"/>
    <w:qFormat/>
    <w:rsid w:val="006A467F"/>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6A467F"/>
    <w:rPr>
      <w:rFonts w:ascii="Calibri" w:hAnsi="Calibri"/>
      <w:color w:val="258221"/>
    </w:rPr>
  </w:style>
  <w:style w:type="character" w:customStyle="1" w:styleId="Heading3Char">
    <w:name w:val="Heading 3 Char"/>
    <w:basedOn w:val="DefaultParagraphFont"/>
    <w:link w:val="Heading3"/>
    <w:uiPriority w:val="9"/>
    <w:rsid w:val="00713728"/>
    <w:rPr>
      <w:rFonts w:ascii="Calibri" w:eastAsia="MS Gothic" w:hAnsi="Calibri" w:cs="Times New Roman"/>
      <w:b/>
      <w:bCs/>
      <w:i/>
      <w:sz w:val="24"/>
      <w:szCs w:val="24"/>
    </w:rPr>
  </w:style>
  <w:style w:type="paragraph" w:customStyle="1" w:styleId="Instructionaltext-bullet">
    <w:name w:val="Instructional text - bullet"/>
    <w:basedOn w:val="Instructionaltext"/>
    <w:qFormat/>
    <w:rsid w:val="006A467F"/>
    <w:pPr>
      <w:numPr>
        <w:numId w:val="11"/>
      </w:numPr>
      <w:spacing w:before="0" w:after="0"/>
    </w:pPr>
  </w:style>
  <w:style w:type="paragraph" w:customStyle="1" w:styleId="Guidelinescross-ref">
    <w:name w:val="Guidelines cross-ref"/>
    <w:basedOn w:val="Normal"/>
    <w:qFormat/>
    <w:rsid w:val="00E01349"/>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qFormat/>
    <w:rsid w:val="00E01349"/>
    <w:pPr>
      <w:spacing w:before="360"/>
    </w:pPr>
  </w:style>
  <w:style w:type="paragraph" w:styleId="Revision">
    <w:name w:val="Revision"/>
    <w:hidden/>
    <w:uiPriority w:val="99"/>
    <w:semiHidden/>
    <w:rsid w:val="004E3ABF"/>
    <w:pPr>
      <w:spacing w:after="0" w:line="240" w:lineRule="auto"/>
    </w:pPr>
    <w:rPr>
      <w:rFonts w:ascii="Calibri" w:eastAsia="Calibri" w:hAnsi="Calibri" w:cs="Times New Roman"/>
    </w:rPr>
  </w:style>
  <w:style w:type="paragraph" w:customStyle="1" w:styleId="TableText0">
    <w:name w:val="Table Text"/>
    <w:basedOn w:val="Normal"/>
    <w:link w:val="TableTextChar0"/>
    <w:qFormat/>
    <w:rsid w:val="000D1FCF"/>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rsid w:val="000D1FCF"/>
    <w:rPr>
      <w:rFonts w:ascii="Arial Narrow" w:hAnsi="Arial Narrow"/>
      <w:sz w:val="20"/>
    </w:rPr>
  </w:style>
  <w:style w:type="character" w:styleId="PageNumber">
    <w:name w:val="page number"/>
    <w:basedOn w:val="DefaultParagraphFont"/>
    <w:uiPriority w:val="99"/>
    <w:semiHidden/>
    <w:unhideWhenUsed/>
    <w:rsid w:val="00685355"/>
  </w:style>
  <w:style w:type="character" w:styleId="UnresolvedMention">
    <w:name w:val="Unresolved Mention"/>
    <w:basedOn w:val="DefaultParagraphFont"/>
    <w:uiPriority w:val="99"/>
    <w:unhideWhenUsed/>
    <w:rsid w:val="00BB0FFB"/>
    <w:rPr>
      <w:color w:val="605E5C"/>
      <w:shd w:val="clear" w:color="auto" w:fill="E1DFDD"/>
    </w:rPr>
  </w:style>
  <w:style w:type="character" w:customStyle="1" w:styleId="normaltextrun">
    <w:name w:val="normaltextrun"/>
    <w:basedOn w:val="DefaultParagraphFont"/>
    <w:rsid w:val="00A26878"/>
  </w:style>
  <w:style w:type="character" w:customStyle="1" w:styleId="font71">
    <w:name w:val="font71"/>
    <w:basedOn w:val="DefaultParagraphFont"/>
    <w:rsid w:val="00A26878"/>
    <w:rPr>
      <w:rFonts w:ascii="Calibri" w:hAnsi="Calibri" w:cs="Calibri" w:hint="default"/>
      <w:b w:val="0"/>
      <w:bCs w:val="0"/>
      <w:i w:val="0"/>
      <w:iCs w:val="0"/>
      <w:strike w:val="0"/>
      <w:dstrike w:val="0"/>
      <w:color w:val="000000"/>
      <w:sz w:val="22"/>
      <w:szCs w:val="22"/>
      <w:u w:val="none"/>
      <w:effect w:val="none"/>
    </w:rPr>
  </w:style>
  <w:style w:type="character" w:customStyle="1" w:styleId="font01">
    <w:name w:val="font01"/>
    <w:basedOn w:val="DefaultParagraphFont"/>
    <w:rsid w:val="00A26878"/>
    <w:rPr>
      <w:rFonts w:ascii="Calibri" w:hAnsi="Calibri" w:cs="Calibri" w:hint="default"/>
      <w:b w:val="0"/>
      <w:bCs w:val="0"/>
      <w:i w:val="0"/>
      <w:iCs w:val="0"/>
      <w:strike w:val="0"/>
      <w:dstrike w:val="0"/>
      <w:color w:val="000000"/>
      <w:sz w:val="22"/>
      <w:szCs w:val="22"/>
      <w:u w:val="none"/>
      <w:effect w:val="none"/>
    </w:rPr>
  </w:style>
  <w:style w:type="character" w:styleId="Mention">
    <w:name w:val="Mention"/>
    <w:basedOn w:val="DefaultParagraphFont"/>
    <w:uiPriority w:val="99"/>
    <w:unhideWhenUsed/>
    <w:rsid w:val="0017570C"/>
    <w:rPr>
      <w:color w:val="2B579A"/>
      <w:shd w:val="clear" w:color="auto" w:fill="E1DFDD"/>
    </w:rPr>
  </w:style>
  <w:style w:type="character" w:customStyle="1" w:styleId="cf01">
    <w:name w:val="cf01"/>
    <w:basedOn w:val="DefaultParagraphFont"/>
    <w:rsid w:val="007537D0"/>
    <w:rPr>
      <w:rFonts w:ascii="Segoe UI" w:hAnsi="Segoe UI" w:cs="Segoe UI" w:hint="default"/>
      <w:sz w:val="18"/>
      <w:szCs w:val="18"/>
    </w:rPr>
  </w:style>
  <w:style w:type="character" w:customStyle="1" w:styleId="Heading4Char">
    <w:name w:val="Heading 4 Char"/>
    <w:basedOn w:val="DefaultParagraphFont"/>
    <w:link w:val="Heading4"/>
    <w:uiPriority w:val="9"/>
    <w:rsid w:val="00AB56F3"/>
    <w:rPr>
      <w:rFonts w:ascii="Calibri" w:eastAsia="Calibri" w:hAnsi="Calibri" w:cs="Times New Roman"/>
      <w:u w:val="single"/>
    </w:rPr>
  </w:style>
  <w:style w:type="paragraph" w:styleId="FootnoteText">
    <w:name w:val="footnote text"/>
    <w:basedOn w:val="Normal"/>
    <w:link w:val="FootnoteTextChar"/>
    <w:uiPriority w:val="99"/>
    <w:semiHidden/>
    <w:unhideWhenUsed/>
    <w:rsid w:val="00967B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7B3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967B3F"/>
    <w:rPr>
      <w:vertAlign w:val="superscript"/>
    </w:rPr>
  </w:style>
  <w:style w:type="table" w:customStyle="1" w:styleId="HealthConsult1">
    <w:name w:val="HealthConsult1"/>
    <w:basedOn w:val="TableNormal"/>
    <w:next w:val="TableGrid"/>
    <w:uiPriority w:val="59"/>
    <w:rsid w:val="008E64E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2">
    <w:name w:val="HealthConsult2"/>
    <w:basedOn w:val="TableNormal"/>
    <w:next w:val="TableGrid"/>
    <w:uiPriority w:val="59"/>
    <w:rsid w:val="008E64E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3">
    <w:name w:val="HealthConsult3"/>
    <w:basedOn w:val="TableNormal"/>
    <w:next w:val="TableGrid"/>
    <w:uiPriority w:val="59"/>
    <w:rsid w:val="008E64E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4">
    <w:name w:val="HealthConsult4"/>
    <w:basedOn w:val="TableNormal"/>
    <w:next w:val="TableGrid"/>
    <w:uiPriority w:val="59"/>
    <w:rsid w:val="008E64E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5">
    <w:name w:val="HealthConsult5"/>
    <w:basedOn w:val="TableNormal"/>
    <w:next w:val="TableGrid"/>
    <w:uiPriority w:val="59"/>
    <w:rsid w:val="008E64E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6">
    <w:name w:val="HealthConsult6"/>
    <w:basedOn w:val="TableNormal"/>
    <w:next w:val="TableGrid"/>
    <w:uiPriority w:val="59"/>
    <w:rsid w:val="008E64E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7">
    <w:name w:val="HealthConsult7"/>
    <w:basedOn w:val="TableNormal"/>
    <w:next w:val="TableGrid"/>
    <w:uiPriority w:val="59"/>
    <w:rsid w:val="008E64E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8">
    <w:name w:val="HealthConsult8"/>
    <w:basedOn w:val="TableNormal"/>
    <w:next w:val="TableGrid"/>
    <w:uiPriority w:val="59"/>
    <w:rsid w:val="008E64E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9">
    <w:name w:val="HealthConsult9"/>
    <w:basedOn w:val="TableNormal"/>
    <w:next w:val="TableGrid"/>
    <w:uiPriority w:val="59"/>
    <w:rsid w:val="008E64E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DE3785"/>
    <w:pPr>
      <w:spacing w:before="100" w:beforeAutospacing="1" w:after="100" w:afterAutospacing="1" w:line="240" w:lineRule="auto"/>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0520">
      <w:bodyDiv w:val="1"/>
      <w:marLeft w:val="0"/>
      <w:marRight w:val="0"/>
      <w:marTop w:val="0"/>
      <w:marBottom w:val="0"/>
      <w:divBdr>
        <w:top w:val="none" w:sz="0" w:space="0" w:color="auto"/>
        <w:left w:val="none" w:sz="0" w:space="0" w:color="auto"/>
        <w:bottom w:val="none" w:sz="0" w:space="0" w:color="auto"/>
        <w:right w:val="none" w:sz="0" w:space="0" w:color="auto"/>
      </w:divBdr>
    </w:div>
    <w:div w:id="116920213">
      <w:bodyDiv w:val="1"/>
      <w:marLeft w:val="0"/>
      <w:marRight w:val="0"/>
      <w:marTop w:val="0"/>
      <w:marBottom w:val="0"/>
      <w:divBdr>
        <w:top w:val="none" w:sz="0" w:space="0" w:color="auto"/>
        <w:left w:val="none" w:sz="0" w:space="0" w:color="auto"/>
        <w:bottom w:val="none" w:sz="0" w:space="0" w:color="auto"/>
        <w:right w:val="none" w:sz="0" w:space="0" w:color="auto"/>
      </w:divBdr>
    </w:div>
    <w:div w:id="253638378">
      <w:bodyDiv w:val="1"/>
      <w:marLeft w:val="0"/>
      <w:marRight w:val="0"/>
      <w:marTop w:val="0"/>
      <w:marBottom w:val="0"/>
      <w:divBdr>
        <w:top w:val="none" w:sz="0" w:space="0" w:color="auto"/>
        <w:left w:val="none" w:sz="0" w:space="0" w:color="auto"/>
        <w:bottom w:val="none" w:sz="0" w:space="0" w:color="auto"/>
        <w:right w:val="none" w:sz="0" w:space="0" w:color="auto"/>
      </w:divBdr>
    </w:div>
    <w:div w:id="378169523">
      <w:bodyDiv w:val="1"/>
      <w:marLeft w:val="0"/>
      <w:marRight w:val="0"/>
      <w:marTop w:val="0"/>
      <w:marBottom w:val="0"/>
      <w:divBdr>
        <w:top w:val="none" w:sz="0" w:space="0" w:color="auto"/>
        <w:left w:val="none" w:sz="0" w:space="0" w:color="auto"/>
        <w:bottom w:val="none" w:sz="0" w:space="0" w:color="auto"/>
        <w:right w:val="none" w:sz="0" w:space="0" w:color="auto"/>
      </w:divBdr>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510267069">
      <w:bodyDiv w:val="1"/>
      <w:marLeft w:val="0"/>
      <w:marRight w:val="0"/>
      <w:marTop w:val="0"/>
      <w:marBottom w:val="0"/>
      <w:divBdr>
        <w:top w:val="none" w:sz="0" w:space="0" w:color="auto"/>
        <w:left w:val="none" w:sz="0" w:space="0" w:color="auto"/>
        <w:bottom w:val="none" w:sz="0" w:space="0" w:color="auto"/>
        <w:right w:val="none" w:sz="0" w:space="0" w:color="auto"/>
      </w:divBdr>
    </w:div>
    <w:div w:id="557087695">
      <w:bodyDiv w:val="1"/>
      <w:marLeft w:val="0"/>
      <w:marRight w:val="0"/>
      <w:marTop w:val="0"/>
      <w:marBottom w:val="0"/>
      <w:divBdr>
        <w:top w:val="none" w:sz="0" w:space="0" w:color="auto"/>
        <w:left w:val="none" w:sz="0" w:space="0" w:color="auto"/>
        <w:bottom w:val="none" w:sz="0" w:space="0" w:color="auto"/>
        <w:right w:val="none" w:sz="0" w:space="0" w:color="auto"/>
      </w:divBdr>
    </w:div>
    <w:div w:id="658120364">
      <w:bodyDiv w:val="1"/>
      <w:marLeft w:val="0"/>
      <w:marRight w:val="0"/>
      <w:marTop w:val="0"/>
      <w:marBottom w:val="0"/>
      <w:divBdr>
        <w:top w:val="none" w:sz="0" w:space="0" w:color="auto"/>
        <w:left w:val="none" w:sz="0" w:space="0" w:color="auto"/>
        <w:bottom w:val="none" w:sz="0" w:space="0" w:color="auto"/>
        <w:right w:val="none" w:sz="0" w:space="0" w:color="auto"/>
      </w:divBdr>
    </w:div>
    <w:div w:id="688532201">
      <w:bodyDiv w:val="1"/>
      <w:marLeft w:val="0"/>
      <w:marRight w:val="0"/>
      <w:marTop w:val="0"/>
      <w:marBottom w:val="0"/>
      <w:divBdr>
        <w:top w:val="none" w:sz="0" w:space="0" w:color="auto"/>
        <w:left w:val="none" w:sz="0" w:space="0" w:color="auto"/>
        <w:bottom w:val="none" w:sz="0" w:space="0" w:color="auto"/>
        <w:right w:val="none" w:sz="0" w:space="0" w:color="auto"/>
      </w:divBdr>
    </w:div>
    <w:div w:id="1023242140">
      <w:bodyDiv w:val="1"/>
      <w:marLeft w:val="0"/>
      <w:marRight w:val="0"/>
      <w:marTop w:val="0"/>
      <w:marBottom w:val="0"/>
      <w:divBdr>
        <w:top w:val="none" w:sz="0" w:space="0" w:color="auto"/>
        <w:left w:val="none" w:sz="0" w:space="0" w:color="auto"/>
        <w:bottom w:val="none" w:sz="0" w:space="0" w:color="auto"/>
        <w:right w:val="none" w:sz="0" w:space="0" w:color="auto"/>
      </w:divBdr>
    </w:div>
    <w:div w:id="1170829849">
      <w:bodyDiv w:val="1"/>
      <w:marLeft w:val="0"/>
      <w:marRight w:val="0"/>
      <w:marTop w:val="0"/>
      <w:marBottom w:val="0"/>
      <w:divBdr>
        <w:top w:val="none" w:sz="0" w:space="0" w:color="auto"/>
        <w:left w:val="none" w:sz="0" w:space="0" w:color="auto"/>
        <w:bottom w:val="none" w:sz="0" w:space="0" w:color="auto"/>
        <w:right w:val="none" w:sz="0" w:space="0" w:color="auto"/>
      </w:divBdr>
    </w:div>
    <w:div w:id="1179849502">
      <w:bodyDiv w:val="1"/>
      <w:marLeft w:val="0"/>
      <w:marRight w:val="0"/>
      <w:marTop w:val="0"/>
      <w:marBottom w:val="0"/>
      <w:divBdr>
        <w:top w:val="none" w:sz="0" w:space="0" w:color="auto"/>
        <w:left w:val="none" w:sz="0" w:space="0" w:color="auto"/>
        <w:bottom w:val="none" w:sz="0" w:space="0" w:color="auto"/>
        <w:right w:val="none" w:sz="0" w:space="0" w:color="auto"/>
      </w:divBdr>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 w:id="1308127376">
      <w:bodyDiv w:val="1"/>
      <w:marLeft w:val="0"/>
      <w:marRight w:val="0"/>
      <w:marTop w:val="0"/>
      <w:marBottom w:val="0"/>
      <w:divBdr>
        <w:top w:val="none" w:sz="0" w:space="0" w:color="auto"/>
        <w:left w:val="none" w:sz="0" w:space="0" w:color="auto"/>
        <w:bottom w:val="none" w:sz="0" w:space="0" w:color="auto"/>
        <w:right w:val="none" w:sz="0" w:space="0" w:color="auto"/>
      </w:divBdr>
    </w:div>
    <w:div w:id="1311903885">
      <w:bodyDiv w:val="1"/>
      <w:marLeft w:val="0"/>
      <w:marRight w:val="0"/>
      <w:marTop w:val="0"/>
      <w:marBottom w:val="0"/>
      <w:divBdr>
        <w:top w:val="none" w:sz="0" w:space="0" w:color="auto"/>
        <w:left w:val="none" w:sz="0" w:space="0" w:color="auto"/>
        <w:bottom w:val="none" w:sz="0" w:space="0" w:color="auto"/>
        <w:right w:val="none" w:sz="0" w:space="0" w:color="auto"/>
      </w:divBdr>
      <w:divsChild>
        <w:div w:id="557479503">
          <w:marLeft w:val="0"/>
          <w:marRight w:val="0"/>
          <w:marTop w:val="0"/>
          <w:marBottom w:val="0"/>
          <w:divBdr>
            <w:top w:val="none" w:sz="0" w:space="0" w:color="auto"/>
            <w:left w:val="none" w:sz="0" w:space="0" w:color="auto"/>
            <w:bottom w:val="none" w:sz="0" w:space="0" w:color="auto"/>
            <w:right w:val="none" w:sz="0" w:space="0" w:color="auto"/>
          </w:divBdr>
        </w:div>
      </w:divsChild>
    </w:div>
    <w:div w:id="1511987132">
      <w:bodyDiv w:val="1"/>
      <w:marLeft w:val="0"/>
      <w:marRight w:val="0"/>
      <w:marTop w:val="0"/>
      <w:marBottom w:val="0"/>
      <w:divBdr>
        <w:top w:val="none" w:sz="0" w:space="0" w:color="auto"/>
        <w:left w:val="none" w:sz="0" w:space="0" w:color="auto"/>
        <w:bottom w:val="none" w:sz="0" w:space="0" w:color="auto"/>
        <w:right w:val="none" w:sz="0" w:space="0" w:color="auto"/>
      </w:divBdr>
    </w:div>
    <w:div w:id="1559246317">
      <w:bodyDiv w:val="1"/>
      <w:marLeft w:val="0"/>
      <w:marRight w:val="0"/>
      <w:marTop w:val="0"/>
      <w:marBottom w:val="0"/>
      <w:divBdr>
        <w:top w:val="none" w:sz="0" w:space="0" w:color="auto"/>
        <w:left w:val="none" w:sz="0" w:space="0" w:color="auto"/>
        <w:bottom w:val="none" w:sz="0" w:space="0" w:color="auto"/>
        <w:right w:val="none" w:sz="0" w:space="0" w:color="auto"/>
      </w:divBdr>
    </w:div>
    <w:div w:id="1571770930">
      <w:bodyDiv w:val="1"/>
      <w:marLeft w:val="0"/>
      <w:marRight w:val="0"/>
      <w:marTop w:val="0"/>
      <w:marBottom w:val="0"/>
      <w:divBdr>
        <w:top w:val="none" w:sz="0" w:space="0" w:color="auto"/>
        <w:left w:val="none" w:sz="0" w:space="0" w:color="auto"/>
        <w:bottom w:val="none" w:sz="0" w:space="0" w:color="auto"/>
        <w:right w:val="none" w:sz="0" w:space="0" w:color="auto"/>
      </w:divBdr>
    </w:div>
    <w:div w:id="1580866285">
      <w:bodyDiv w:val="1"/>
      <w:marLeft w:val="0"/>
      <w:marRight w:val="0"/>
      <w:marTop w:val="0"/>
      <w:marBottom w:val="0"/>
      <w:divBdr>
        <w:top w:val="none" w:sz="0" w:space="0" w:color="auto"/>
        <w:left w:val="none" w:sz="0" w:space="0" w:color="auto"/>
        <w:bottom w:val="none" w:sz="0" w:space="0" w:color="auto"/>
        <w:right w:val="none" w:sz="0" w:space="0" w:color="auto"/>
      </w:divBdr>
    </w:div>
    <w:div w:id="1689982625">
      <w:bodyDiv w:val="1"/>
      <w:marLeft w:val="0"/>
      <w:marRight w:val="0"/>
      <w:marTop w:val="0"/>
      <w:marBottom w:val="0"/>
      <w:divBdr>
        <w:top w:val="none" w:sz="0" w:space="0" w:color="auto"/>
        <w:left w:val="none" w:sz="0" w:space="0" w:color="auto"/>
        <w:bottom w:val="none" w:sz="0" w:space="0" w:color="auto"/>
        <w:right w:val="none" w:sz="0" w:space="0" w:color="auto"/>
      </w:divBdr>
    </w:div>
    <w:div w:id="1776095209">
      <w:bodyDiv w:val="1"/>
      <w:marLeft w:val="0"/>
      <w:marRight w:val="0"/>
      <w:marTop w:val="0"/>
      <w:marBottom w:val="0"/>
      <w:divBdr>
        <w:top w:val="none" w:sz="0" w:space="0" w:color="auto"/>
        <w:left w:val="none" w:sz="0" w:space="0" w:color="auto"/>
        <w:bottom w:val="none" w:sz="0" w:space="0" w:color="auto"/>
        <w:right w:val="none" w:sz="0" w:space="0" w:color="auto"/>
      </w:divBdr>
    </w:div>
    <w:div w:id="2032880099">
      <w:bodyDiv w:val="1"/>
      <w:marLeft w:val="0"/>
      <w:marRight w:val="0"/>
      <w:marTop w:val="0"/>
      <w:marBottom w:val="0"/>
      <w:divBdr>
        <w:top w:val="none" w:sz="0" w:space="0" w:color="auto"/>
        <w:left w:val="none" w:sz="0" w:space="0" w:color="auto"/>
        <w:bottom w:val="none" w:sz="0" w:space="0" w:color="auto"/>
        <w:right w:val="none" w:sz="0" w:space="0" w:color="auto"/>
      </w:divBdr>
    </w:div>
    <w:div w:id="204991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sac.gov.au/internet/msac/publishing.nsf/Content/6BD2AA1FD1FBAD31CA25892C000161C6/$File/1739%20Application%20PICO%20Set.pdf" TargetMode="External"/><Relationship Id="rId18" Type="http://schemas.openxmlformats.org/officeDocument/2006/relationships/hyperlink" Target="https://doi.org/10.1097/j.pain.0000000000000492" TargetMode="External"/><Relationship Id="rId26" Type="http://schemas.openxmlformats.org/officeDocument/2006/relationships/hyperlink" Target="https://doi.org/10.1017/CBO9781139152211.002" TargetMode="External"/><Relationship Id="rId3" Type="http://schemas.openxmlformats.org/officeDocument/2006/relationships/customXml" Target="../customXml/item3.xml"/><Relationship Id="rId21" Type="http://schemas.openxmlformats.org/officeDocument/2006/relationships/hyperlink" Target="https://www.healthdirect.gov.au/neuropathy"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oi.org/10.1097/j.pain.0000000000001340" TargetMode="External"/><Relationship Id="rId25" Type="http://schemas.openxmlformats.org/officeDocument/2006/relationships/hyperlink" Target="https://doi.org/10.1017/CBO9781139152211.006"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doi.org/10.3390/app11094257" TargetMode="External"/><Relationship Id="rId20" Type="http://schemas.openxmlformats.org/officeDocument/2006/relationships/hyperlink" Target="https://doi.org/10.2337/diacare.23.3.365" TargetMode="External"/><Relationship Id="rId29" Type="http://schemas.openxmlformats.org/officeDocument/2006/relationships/hyperlink" Target="https://doi.org/10.1016/j.pain.2008.09.00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i.org/10.1056/NEJM199309303291401"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i.org/10.1371/journal.pone.0280593" TargetMode="External"/><Relationship Id="rId23" Type="http://schemas.openxmlformats.org/officeDocument/2006/relationships/hyperlink" Target="https://doi.org/10.1111/j.1526-4637.2011.01215.x" TargetMode="External"/><Relationship Id="rId28" Type="http://schemas.openxmlformats.org/officeDocument/2006/relationships/hyperlink" Target="https://doi.org/10.1159/000509621"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i.org/10.1097/00000542-199912000-00012"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93/pm/pnz075" TargetMode="External"/><Relationship Id="rId22" Type="http://schemas.openxmlformats.org/officeDocument/2006/relationships/hyperlink" Target="https://www.iasp-pain.org/resources/terminology/" TargetMode="External"/><Relationship Id="rId27" Type="http://schemas.openxmlformats.org/officeDocument/2006/relationships/hyperlink" Target="https://doi.org/10.1007/978-3-030-91455-4_13" TargetMode="External"/><Relationship Id="rId30" Type="http://schemas.openxmlformats.org/officeDocument/2006/relationships/header" Target="header1.xml"/><Relationship Id="rId35"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gov.au/resources/publications/taskforce-final-report-pain-management-mbs-i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1A330C116768438AB798B167F68AA6" ma:contentTypeVersion="4" ma:contentTypeDescription="Create a new document." ma:contentTypeScope="" ma:versionID="35886e81f47dce7bdc1971e0b51434e4">
  <xsd:schema xmlns:xsd="http://www.w3.org/2001/XMLSchema" xmlns:xs="http://www.w3.org/2001/XMLSchema" xmlns:p="http://schemas.microsoft.com/office/2006/metadata/properties" xmlns:ns2="e7d54a9e-4aca-451b-99db-b94fe438e987" xmlns:ns3="9c3981ce-8620-49b5-91ad-b5e9900eae53" targetNamespace="http://schemas.microsoft.com/office/2006/metadata/properties" ma:root="true" ma:fieldsID="271456550fb50745c49b38d82c53eb1b" ns2:_="" ns3:_="">
    <xsd:import namespace="e7d54a9e-4aca-451b-99db-b94fe438e987"/>
    <xsd:import namespace="9c3981ce-8620-49b5-91ad-b5e9900eae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d54a9e-4aca-451b-99db-b94fe438e9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3981ce-8620-49b5-91ad-b5e9900eae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8D2C7-B4C8-4211-902C-462DC0F35495}">
  <ds:schemaRefs>
    <ds:schemaRef ds:uri="http://purl.org/dc/elements/1.1/"/>
    <ds:schemaRef ds:uri="http://schemas.microsoft.com/office/2006/metadata/properties"/>
    <ds:schemaRef ds:uri="9c3981ce-8620-49b5-91ad-b5e9900eae5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7d54a9e-4aca-451b-99db-b94fe438e987"/>
    <ds:schemaRef ds:uri="http://www.w3.org/XML/1998/namespace"/>
    <ds:schemaRef ds:uri="http://purl.org/dc/dcmitype/"/>
  </ds:schemaRefs>
</ds:datastoreItem>
</file>

<file path=customXml/itemProps2.xml><?xml version="1.0" encoding="utf-8"?>
<ds:datastoreItem xmlns:ds="http://schemas.openxmlformats.org/officeDocument/2006/customXml" ds:itemID="{B05FF89E-0878-4C02-99ED-5DF65E18A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d54a9e-4aca-451b-99db-b94fe438e987"/>
    <ds:schemaRef ds:uri="9c3981ce-8620-49b5-91ad-b5e9900ea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1ADC2A-F151-4990-A917-1D6A127CAF90}">
  <ds:schemaRefs>
    <ds:schemaRef ds:uri="http://schemas.microsoft.com/sharepoint/v3/contenttype/forms"/>
  </ds:schemaRefs>
</ds:datastoreItem>
</file>

<file path=customXml/itemProps4.xml><?xml version="1.0" encoding="utf-8"?>
<ds:datastoreItem xmlns:ds="http://schemas.openxmlformats.org/officeDocument/2006/customXml" ds:itemID="{3CCC0ADB-7CCF-4BC9-8F3A-D8E39C8F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22</Pages>
  <Words>9115</Words>
  <Characters>51961</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Natasha</dc:creator>
  <cp:keywords/>
  <dc:description/>
  <cp:lastModifiedBy>Maynard Gold</cp:lastModifiedBy>
  <cp:revision>7</cp:revision>
  <cp:lastPrinted>2023-06-21T05:35:00Z</cp:lastPrinted>
  <dcterms:created xsi:type="dcterms:W3CDTF">2023-06-21T05:34:00Z</dcterms:created>
  <dcterms:modified xsi:type="dcterms:W3CDTF">2023-06-27T04:44:00Z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0x010100351A330C116768438AB798B167F68AA6</vt:lpwstr>
  </property>
  <property fmtid="{D5CDD505-2E9C-101B-9397-08002B2CF9AE}" pid="3" name="MediaServiceImageTags">
    <vt:lpwstr/>
  </property>
</Properties>
</file>