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A7733"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2F66BBB9" wp14:editId="133C6B45">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3E4BB77E"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79CB400D" w14:textId="77777777" w:rsidR="00BC1364" w:rsidRPr="00F715D1" w:rsidRDefault="00BC1364" w:rsidP="00F715D1">
      <w:pPr>
        <w:pStyle w:val="Subtitle"/>
      </w:pPr>
      <w:r w:rsidRPr="00F715D1">
        <w:t xml:space="preserve">Application No. </w:t>
      </w:r>
      <w:r w:rsidR="00B35595" w:rsidRPr="00F715D1">
        <w:t>1</w:t>
      </w:r>
      <w:r w:rsidR="0055056C">
        <w:t>372.1</w:t>
      </w:r>
      <w:r w:rsidRPr="00F715D1">
        <w:t xml:space="preserve"> – </w:t>
      </w:r>
      <w:r w:rsidR="0055056C" w:rsidRPr="0055056C">
        <w:t>MRI of the liver for patients with colorectal carcinoma (CRC) with suspected hepatic metastases or patients with suspected hepatocellular carcinoma (HCC) for the purposes of staging</w:t>
      </w:r>
    </w:p>
    <w:p w14:paraId="0565266A" w14:textId="77777777" w:rsidR="00BC1364" w:rsidRPr="00F715D1" w:rsidRDefault="00B35595" w:rsidP="0055056C">
      <w:pPr>
        <w:tabs>
          <w:tab w:val="left" w:pos="3686"/>
        </w:tabs>
        <w:spacing w:after="240"/>
        <w:ind w:left="3686" w:hanging="3686"/>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55056C">
        <w:rPr>
          <w:rFonts w:ascii="Arial" w:hAnsi="Arial" w:cs="Arial"/>
          <w:b/>
          <w:szCs w:val="24"/>
        </w:rPr>
        <w:t xml:space="preserve">The Royal Australian </w:t>
      </w:r>
      <w:r w:rsidR="009F1089">
        <w:rPr>
          <w:rFonts w:ascii="Arial" w:hAnsi="Arial" w:cs="Arial"/>
          <w:b/>
          <w:szCs w:val="24"/>
        </w:rPr>
        <w:t xml:space="preserve">and New Zealand </w:t>
      </w:r>
      <w:r w:rsidR="0055056C">
        <w:rPr>
          <w:rFonts w:ascii="Arial" w:hAnsi="Arial" w:cs="Arial"/>
          <w:b/>
          <w:szCs w:val="24"/>
        </w:rPr>
        <w:t>College of Radiologists (RANZCR)</w:t>
      </w:r>
    </w:p>
    <w:p w14:paraId="147F755F"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FC0F04">
        <w:rPr>
          <w:rFonts w:ascii="Arial" w:hAnsi="Arial" w:cs="Arial"/>
          <w:b/>
          <w:szCs w:val="24"/>
        </w:rPr>
        <w:t>72</w:t>
      </w:r>
      <w:r w:rsidR="00FC0F04" w:rsidRPr="00FC0F04">
        <w:rPr>
          <w:rFonts w:ascii="Arial" w:hAnsi="Arial" w:cs="Arial"/>
          <w:b/>
          <w:szCs w:val="24"/>
          <w:vertAlign w:val="superscript"/>
        </w:rPr>
        <w:t>nd</w:t>
      </w:r>
      <w:r w:rsidR="00EB6B6F" w:rsidRPr="00F715D1">
        <w:rPr>
          <w:rFonts w:ascii="Arial" w:hAnsi="Arial" w:cs="Arial"/>
          <w:b/>
          <w:szCs w:val="24"/>
        </w:rPr>
        <w:t xml:space="preserve"> </w:t>
      </w:r>
      <w:r w:rsidRPr="00F715D1">
        <w:rPr>
          <w:rFonts w:ascii="Arial" w:hAnsi="Arial" w:cs="Arial"/>
          <w:b/>
          <w:szCs w:val="24"/>
        </w:rPr>
        <w:t xml:space="preserve">Meeting, </w:t>
      </w:r>
      <w:r w:rsidR="00FC0F04">
        <w:rPr>
          <w:rFonts w:ascii="Arial" w:hAnsi="Arial" w:cs="Arial"/>
          <w:b/>
          <w:szCs w:val="24"/>
        </w:rPr>
        <w:t>28-29 March 2018</w:t>
      </w:r>
    </w:p>
    <w:p w14:paraId="78C66E36"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6F7F105D" w14:textId="77777777" w:rsidR="003D7F29" w:rsidRPr="00F715D1" w:rsidRDefault="003D7F29" w:rsidP="00F715D1">
      <w:pPr>
        <w:pStyle w:val="Heading1"/>
      </w:pPr>
      <w:r w:rsidRPr="00F715D1">
        <w:t>Purpose of application</w:t>
      </w:r>
      <w:r w:rsidR="00822C7E" w:rsidRPr="00F715D1">
        <w:t xml:space="preserve"> </w:t>
      </w:r>
    </w:p>
    <w:p w14:paraId="78A3BEA3" w14:textId="468AFB2D" w:rsidR="00015426" w:rsidRDefault="00015426" w:rsidP="00015426">
      <w:pPr>
        <w:spacing w:before="240"/>
        <w:rPr>
          <w:szCs w:val="24"/>
        </w:rPr>
      </w:pPr>
      <w:r w:rsidRPr="00974AAF">
        <w:rPr>
          <w:szCs w:val="24"/>
        </w:rPr>
        <w:t xml:space="preserve">An application requesting Medicare Benefits Schedule (MBS) listing of </w:t>
      </w:r>
      <w:r w:rsidR="00460930">
        <w:rPr>
          <w:szCs w:val="24"/>
        </w:rPr>
        <w:t>magnetic resonance imaging (</w:t>
      </w:r>
      <w:r w:rsidRPr="00974AAF">
        <w:rPr>
          <w:szCs w:val="24"/>
        </w:rPr>
        <w:t>MRI</w:t>
      </w:r>
      <w:r w:rsidR="00460930">
        <w:rPr>
          <w:szCs w:val="24"/>
        </w:rPr>
        <w:t>)</w:t>
      </w:r>
      <w:r w:rsidRPr="00974AAF">
        <w:rPr>
          <w:szCs w:val="24"/>
        </w:rPr>
        <w:t xml:space="preserve"> of the liver for pati</w:t>
      </w:r>
      <w:r>
        <w:rPr>
          <w:szCs w:val="24"/>
        </w:rPr>
        <w:t>ents with</w:t>
      </w:r>
      <w:r w:rsidR="00204679">
        <w:rPr>
          <w:szCs w:val="24"/>
        </w:rPr>
        <w:t xml:space="preserve"> colorectal cancer (</w:t>
      </w:r>
      <w:r w:rsidRPr="00974AAF">
        <w:rPr>
          <w:szCs w:val="24"/>
        </w:rPr>
        <w:t>CRC</w:t>
      </w:r>
      <w:r w:rsidR="00204679">
        <w:rPr>
          <w:szCs w:val="24"/>
        </w:rPr>
        <w:t>)</w:t>
      </w:r>
      <w:r w:rsidRPr="00974AAF">
        <w:rPr>
          <w:szCs w:val="24"/>
        </w:rPr>
        <w:t xml:space="preserve"> with suspected hepatic metastases or patients with su</w:t>
      </w:r>
      <w:r>
        <w:rPr>
          <w:szCs w:val="24"/>
        </w:rPr>
        <w:t xml:space="preserve">spected </w:t>
      </w:r>
      <w:r w:rsidR="00204679">
        <w:rPr>
          <w:szCs w:val="24"/>
        </w:rPr>
        <w:t>hepatocellular carcinoma (</w:t>
      </w:r>
      <w:r w:rsidRPr="00974AAF">
        <w:rPr>
          <w:szCs w:val="24"/>
        </w:rPr>
        <w:t>HCC</w:t>
      </w:r>
      <w:r w:rsidR="00204679">
        <w:rPr>
          <w:szCs w:val="24"/>
        </w:rPr>
        <w:t>)</w:t>
      </w:r>
      <w:r w:rsidRPr="00974AAF">
        <w:rPr>
          <w:szCs w:val="24"/>
        </w:rPr>
        <w:t xml:space="preserve"> for the purposes of staging </w:t>
      </w:r>
      <w:r>
        <w:rPr>
          <w:szCs w:val="24"/>
        </w:rPr>
        <w:t xml:space="preserve">was received </w:t>
      </w:r>
      <w:r w:rsidRPr="00974AAF">
        <w:rPr>
          <w:szCs w:val="24"/>
        </w:rPr>
        <w:t xml:space="preserve">from the Royal Australian </w:t>
      </w:r>
      <w:r>
        <w:rPr>
          <w:szCs w:val="24"/>
        </w:rPr>
        <w:t xml:space="preserve">and New Zealand </w:t>
      </w:r>
      <w:r w:rsidRPr="00974AAF">
        <w:rPr>
          <w:szCs w:val="24"/>
        </w:rPr>
        <w:t>College of Radiologists (RANZCR) by the Department of Health.</w:t>
      </w:r>
    </w:p>
    <w:p w14:paraId="3CD560FC" w14:textId="77777777" w:rsidR="00E977EE" w:rsidRPr="00F715D1" w:rsidRDefault="00E977EE" w:rsidP="00F715D1">
      <w:pPr>
        <w:pStyle w:val="Heading1"/>
      </w:pPr>
      <w:r w:rsidRPr="00F715D1">
        <w:t>MSAC’s advice to the Minister</w:t>
      </w:r>
    </w:p>
    <w:p w14:paraId="60F6816E" w14:textId="77777777" w:rsidR="0063465D" w:rsidRPr="0063465D" w:rsidRDefault="0063465D" w:rsidP="00161FD8">
      <w:pPr>
        <w:spacing w:after="120"/>
      </w:pPr>
      <w:r w:rsidRPr="0063465D">
        <w:t>After considering the strength of the available evidence in relation to comparative safety, clinical effectiveness and cos</w:t>
      </w:r>
      <w:r w:rsidR="00FA1E26">
        <w:t>t effectiveness</w:t>
      </w:r>
      <w:r w:rsidRPr="0063465D">
        <w:t xml:space="preserve">, MSAC supported </w:t>
      </w:r>
      <w:r>
        <w:t>MBS funding for</w:t>
      </w:r>
      <w:r w:rsidRPr="0063465D">
        <w:t xml:space="preserve"> gadolinium-enhanced magnetic resonance imaging </w:t>
      </w:r>
      <w:r w:rsidR="00204679">
        <w:t xml:space="preserve">with a hepatobiliary contrast agent </w:t>
      </w:r>
      <w:r w:rsidRPr="0063465D">
        <w:t>(GA-MRI) of the liver for:</w:t>
      </w:r>
    </w:p>
    <w:p w14:paraId="6BD049A7" w14:textId="1D6CAB65" w:rsidR="0063465D" w:rsidRPr="0063465D" w:rsidRDefault="0063465D" w:rsidP="0063465D">
      <w:pPr>
        <w:pStyle w:val="ListParagraph"/>
        <w:numPr>
          <w:ilvl w:val="0"/>
          <w:numId w:val="29"/>
        </w:numPr>
        <w:spacing w:after="160"/>
      </w:pPr>
      <w:r w:rsidRPr="0063465D">
        <w:t>patients with known CRC with suspected or proven liver metastases for the purpose of characterisation and intervention planning; and</w:t>
      </w:r>
    </w:p>
    <w:p w14:paraId="30A66CB4" w14:textId="03BB33CD" w:rsidR="0063465D" w:rsidRPr="0063465D" w:rsidRDefault="0063465D" w:rsidP="0063465D">
      <w:pPr>
        <w:pStyle w:val="ListParagraph"/>
        <w:numPr>
          <w:ilvl w:val="0"/>
          <w:numId w:val="29"/>
        </w:numPr>
        <w:spacing w:after="160"/>
      </w:pPr>
      <w:proofErr w:type="gramStart"/>
      <w:r w:rsidRPr="0063465D">
        <w:t>patients</w:t>
      </w:r>
      <w:proofErr w:type="gramEnd"/>
      <w:r w:rsidRPr="0063465D">
        <w:t xml:space="preserve"> with known or suspected HCC for the purposes of diagnosis and staging. </w:t>
      </w:r>
    </w:p>
    <w:p w14:paraId="7BA4F18E" w14:textId="77777777" w:rsidR="0063465D" w:rsidRPr="0063465D" w:rsidRDefault="0063465D" w:rsidP="0063465D">
      <w:r w:rsidRPr="0063465D">
        <w:t xml:space="preserve">MSAC recommended listing </w:t>
      </w:r>
      <w:r>
        <w:t xml:space="preserve">an </w:t>
      </w:r>
      <w:r w:rsidRPr="0063465D">
        <w:t>MBS</w:t>
      </w:r>
      <w:r>
        <w:t xml:space="preserve"> item</w:t>
      </w:r>
      <w:r w:rsidRPr="0063465D">
        <w:t xml:space="preserve"> for each population (metastatic CRC and HCC)</w:t>
      </w:r>
      <w:r>
        <w:t>,</w:t>
      </w:r>
      <w:r w:rsidRPr="0063465D">
        <w:t xml:space="preserve"> with</w:t>
      </w:r>
      <w:r>
        <w:t xml:space="preserve"> the</w:t>
      </w:r>
      <w:r w:rsidRPr="0063465D">
        <w:t xml:space="preserve"> item descriptors specify</w:t>
      </w:r>
      <w:r>
        <w:t>ing</w:t>
      </w:r>
      <w:r w:rsidRPr="0063465D">
        <w:t xml:space="preserve"> use on only one occasion for diagnostic purposes in any 12-month period. MSAC recommended a </w:t>
      </w:r>
      <w:r>
        <w:t xml:space="preserve">consolidated </w:t>
      </w:r>
      <w:r w:rsidRPr="0063465D">
        <w:t xml:space="preserve">fee of $800 which includes the cost of </w:t>
      </w:r>
      <w:r>
        <w:t xml:space="preserve">the </w:t>
      </w:r>
      <w:r w:rsidRPr="0063465D">
        <w:t>contrast agent.</w:t>
      </w:r>
    </w:p>
    <w:p w14:paraId="01D3CF53" w14:textId="77777777" w:rsidR="0063465D" w:rsidRPr="0063465D" w:rsidRDefault="0063465D" w:rsidP="0063465D">
      <w:pPr>
        <w:spacing w:before="240"/>
      </w:pPr>
      <w:r w:rsidRPr="0063465D">
        <w:t>MSAC recommended that these MBS items should be reviewed two years after implementation, with regards to the overall utilisation, the cost of the contrast agent, and whether there are multiple MRIs being performed per patient per year.</w:t>
      </w:r>
    </w:p>
    <w:p w14:paraId="35C544A5" w14:textId="77777777" w:rsidR="00550354" w:rsidRPr="00F715D1" w:rsidRDefault="00550354" w:rsidP="00F715D1">
      <w:pPr>
        <w:pStyle w:val="Heading1"/>
      </w:pPr>
      <w:r w:rsidRPr="00F715D1">
        <w:lastRenderedPageBreak/>
        <w:t xml:space="preserve">Summary of consideration and rationale for MSAC’s advice </w:t>
      </w:r>
    </w:p>
    <w:p w14:paraId="6BE74F33" w14:textId="77777777" w:rsidR="00927A49" w:rsidRPr="00927A49" w:rsidRDefault="00927A49" w:rsidP="00927A49">
      <w:pPr>
        <w:spacing w:after="120"/>
        <w:rPr>
          <w:szCs w:val="24"/>
        </w:rPr>
      </w:pPr>
      <w:r w:rsidRPr="00927A49">
        <w:rPr>
          <w:szCs w:val="24"/>
        </w:rPr>
        <w:t xml:space="preserve">MSAC recalled the previous application (MSAC Application 1372) </w:t>
      </w:r>
      <w:r w:rsidR="00161FD8">
        <w:rPr>
          <w:szCs w:val="24"/>
        </w:rPr>
        <w:t>was not supported at the</w:t>
      </w:r>
      <w:r w:rsidRPr="00927A49">
        <w:rPr>
          <w:szCs w:val="24"/>
        </w:rPr>
        <w:t xml:space="preserve"> July 2015 </w:t>
      </w:r>
      <w:r w:rsidR="00161FD8">
        <w:rPr>
          <w:szCs w:val="24"/>
        </w:rPr>
        <w:t xml:space="preserve">MSAC meeting </w:t>
      </w:r>
      <w:r w:rsidRPr="00927A49">
        <w:rPr>
          <w:szCs w:val="24"/>
        </w:rPr>
        <w:t>due to uncertain effectiveness and cost-effectiveness. MSAC noted that the proposed populati</w:t>
      </w:r>
      <w:r w:rsidR="00161FD8">
        <w:rPr>
          <w:szCs w:val="24"/>
        </w:rPr>
        <w:t xml:space="preserve">ons in the current application </w:t>
      </w:r>
      <w:r w:rsidRPr="00927A49">
        <w:rPr>
          <w:szCs w:val="24"/>
        </w:rPr>
        <w:t>have been narrowed sin</w:t>
      </w:r>
      <w:r w:rsidR="00161FD8">
        <w:rPr>
          <w:szCs w:val="24"/>
        </w:rPr>
        <w:t>ce the previous application to</w:t>
      </w:r>
      <w:r w:rsidRPr="00927A49">
        <w:rPr>
          <w:szCs w:val="24"/>
        </w:rPr>
        <w:t xml:space="preserve">: </w:t>
      </w:r>
    </w:p>
    <w:p w14:paraId="23D63F88" w14:textId="77777777" w:rsidR="00927A49" w:rsidRPr="00927A49" w:rsidRDefault="00927A49" w:rsidP="00927A49">
      <w:pPr>
        <w:pStyle w:val="ListParagraph"/>
        <w:numPr>
          <w:ilvl w:val="0"/>
          <w:numId w:val="32"/>
        </w:numPr>
        <w:spacing w:after="240"/>
        <w:ind w:left="709" w:hanging="349"/>
        <w:rPr>
          <w:szCs w:val="24"/>
        </w:rPr>
      </w:pPr>
      <w:r w:rsidRPr="00927A49">
        <w:rPr>
          <w:szCs w:val="24"/>
        </w:rPr>
        <w:t>patients with known colorectal carcinoma (CRC) with suspected or proven liver metastases for the purpose of characterisation and intervention planning (population one); and</w:t>
      </w:r>
    </w:p>
    <w:p w14:paraId="6D4FFC60" w14:textId="77777777" w:rsidR="00927A49" w:rsidRPr="00927A49" w:rsidRDefault="00927A49" w:rsidP="00927A49">
      <w:pPr>
        <w:pStyle w:val="ListParagraph"/>
        <w:numPr>
          <w:ilvl w:val="0"/>
          <w:numId w:val="32"/>
        </w:numPr>
        <w:spacing w:after="240"/>
        <w:ind w:left="709" w:hanging="349"/>
        <w:rPr>
          <w:szCs w:val="24"/>
        </w:rPr>
      </w:pPr>
      <w:proofErr w:type="gramStart"/>
      <w:r w:rsidRPr="00927A49">
        <w:rPr>
          <w:szCs w:val="24"/>
        </w:rPr>
        <w:t>patients</w:t>
      </w:r>
      <w:proofErr w:type="gramEnd"/>
      <w:r w:rsidRPr="00927A49">
        <w:rPr>
          <w:szCs w:val="24"/>
        </w:rPr>
        <w:t xml:space="preserve"> with known or suspected hepatocellular carcinoma (HCC) for the purposes of diagnosis and staging (population two). </w:t>
      </w:r>
    </w:p>
    <w:p w14:paraId="3091E304" w14:textId="3FBEE7B6" w:rsidR="00927A49" w:rsidRPr="00927A49" w:rsidRDefault="00927A49" w:rsidP="00927A49">
      <w:pPr>
        <w:spacing w:after="240"/>
        <w:rPr>
          <w:szCs w:val="24"/>
        </w:rPr>
      </w:pPr>
      <w:r w:rsidRPr="00927A49">
        <w:rPr>
          <w:szCs w:val="24"/>
        </w:rPr>
        <w:t>MSAC noted that the comparator for GA-MRI is contrast</w:t>
      </w:r>
      <w:r w:rsidR="00204679">
        <w:rPr>
          <w:szCs w:val="24"/>
        </w:rPr>
        <w:t>-</w:t>
      </w:r>
      <w:r w:rsidRPr="00927A49">
        <w:rPr>
          <w:szCs w:val="24"/>
        </w:rPr>
        <w:t xml:space="preserve">enhanced </w:t>
      </w:r>
      <w:r w:rsidR="00204679">
        <w:rPr>
          <w:szCs w:val="24"/>
        </w:rPr>
        <w:t xml:space="preserve">X-ray </w:t>
      </w:r>
      <w:r w:rsidRPr="00927A49">
        <w:rPr>
          <w:szCs w:val="24"/>
        </w:rPr>
        <w:t>computed tomography (CE-CT) in both population groups.</w:t>
      </w:r>
    </w:p>
    <w:p w14:paraId="67BED8E8" w14:textId="77777777" w:rsidR="00927A49" w:rsidRPr="00927A49" w:rsidRDefault="00927A49" w:rsidP="00927A49">
      <w:pPr>
        <w:spacing w:after="240"/>
        <w:rPr>
          <w:szCs w:val="24"/>
        </w:rPr>
      </w:pPr>
      <w:r w:rsidRPr="00927A49">
        <w:rPr>
          <w:szCs w:val="24"/>
        </w:rPr>
        <w:t xml:space="preserve">MSAC acknowledged the claim that in both populations GA-MRI can be used to determine the pathology, vascularity and </w:t>
      </w:r>
      <w:proofErr w:type="spellStart"/>
      <w:r w:rsidRPr="00927A49">
        <w:rPr>
          <w:szCs w:val="24"/>
        </w:rPr>
        <w:t>resectability</w:t>
      </w:r>
      <w:proofErr w:type="spellEnd"/>
      <w:r w:rsidRPr="00927A49">
        <w:rPr>
          <w:szCs w:val="24"/>
        </w:rPr>
        <w:t xml:space="preserve"> of the cancer. MSAC acknowledged that GA-MRI can potentially avoid biopsy procedures and aid treatment decisions such as staging of cancer, surgical planning (including resection or ablation), or palliative chemotherapy.</w:t>
      </w:r>
    </w:p>
    <w:p w14:paraId="1F942EED" w14:textId="77777777" w:rsidR="00927A49" w:rsidRPr="00927A49" w:rsidRDefault="00927A49" w:rsidP="00927A49">
      <w:pPr>
        <w:spacing w:after="240"/>
        <w:rPr>
          <w:szCs w:val="24"/>
        </w:rPr>
      </w:pPr>
      <w:r w:rsidRPr="00927A49">
        <w:rPr>
          <w:szCs w:val="24"/>
        </w:rPr>
        <w:t>MSAC accepted that in patients without known contraindications (such as renal impairment or pregnancy), GA-MRI has non-inferior safety compared with CE-CT.</w:t>
      </w:r>
    </w:p>
    <w:p w14:paraId="12D8EA21" w14:textId="77777777" w:rsidR="00927A49" w:rsidRPr="00927A49" w:rsidRDefault="00927A49" w:rsidP="00927A49">
      <w:pPr>
        <w:spacing w:after="240"/>
        <w:rPr>
          <w:szCs w:val="24"/>
        </w:rPr>
      </w:pPr>
      <w:r w:rsidRPr="00927A49">
        <w:rPr>
          <w:szCs w:val="24"/>
        </w:rPr>
        <w:t>MSAC noted that there was a lack of good quality studies comparing patient outcomes between GA-MRI and CE-CT and accepted that a linked evidence approach was appropriate.</w:t>
      </w:r>
    </w:p>
    <w:p w14:paraId="269AB806" w14:textId="77777777" w:rsidR="00927A49" w:rsidRPr="00927A49" w:rsidRDefault="00927A49" w:rsidP="00927A49">
      <w:pPr>
        <w:spacing w:after="240"/>
        <w:rPr>
          <w:szCs w:val="24"/>
        </w:rPr>
      </w:pPr>
      <w:r w:rsidRPr="00927A49">
        <w:rPr>
          <w:szCs w:val="24"/>
        </w:rPr>
        <w:t>MSAC considered that GA-MRI had similar specificity to CE-CT when compared with biopsy in the metastatic CRC population with pooled values of 93% (95% confidence interval [CI] 91% to 95%) and 96% (95% CI 93% to 97%), respectively. MSAC considered that GA-MRI had better sensitivity than CE-CT when compared with biopsy for the metastatic CRC population with pooled sensitivity values for GA-MRI and CE-CT of 93% (95% CI 91% to 95%) and 75% (95% CI 71% to 78%), respectively.</w:t>
      </w:r>
    </w:p>
    <w:p w14:paraId="18929553" w14:textId="77777777" w:rsidR="00927A49" w:rsidRPr="00927A49" w:rsidRDefault="00927A49" w:rsidP="00927A49">
      <w:pPr>
        <w:spacing w:after="240"/>
        <w:rPr>
          <w:szCs w:val="24"/>
        </w:rPr>
      </w:pPr>
      <w:r w:rsidRPr="00927A49">
        <w:rPr>
          <w:szCs w:val="24"/>
        </w:rPr>
        <w:t>MSAC considered that GA-MRI had slightly better specificity than CE-CT when compared with biopsy in the HCC population with pooled values of 96% (95% CI 92% to 98%) and 91% (95% CI 86% to 95%), respectively. MSAC considered that GA-MRI had better sensitivity than CE-CT when compared with biopsy for the HCC population with pooled sensitivity values for GA-MRI and CE-CT at 84% (95% CI 81% to 86%) and 75% (95% CI 72% to 77%), respectively.</w:t>
      </w:r>
    </w:p>
    <w:p w14:paraId="4A774E25" w14:textId="19CBF95A" w:rsidR="00927A49" w:rsidRPr="00927A49" w:rsidRDefault="00927A49" w:rsidP="00927A49">
      <w:pPr>
        <w:spacing w:after="240"/>
        <w:rPr>
          <w:szCs w:val="24"/>
        </w:rPr>
      </w:pPr>
      <w:r w:rsidRPr="00927A49">
        <w:rPr>
          <w:szCs w:val="24"/>
        </w:rPr>
        <w:t xml:space="preserve">MSAC considered that GA-MRI was more sensitive and had at least similar specificity when compared with CE-CT for both populations suggesting better diagnostic accuracy which may lead to earlier treatment and/or changes in management. MSAC noted that the rate of change in management from the use of GA-MRI for the metastatic CRC population and the HCC population were up to 38% and </w:t>
      </w:r>
      <w:r w:rsidR="00204679">
        <w:rPr>
          <w:szCs w:val="24"/>
        </w:rPr>
        <w:t>41</w:t>
      </w:r>
      <w:r w:rsidRPr="00927A49">
        <w:rPr>
          <w:szCs w:val="24"/>
        </w:rPr>
        <w:t>%, respectively. MSAC considered that a change in management is likely to lead to better outcomes for both populations through the avoidance of inappropriate surgical procedures and avoidance of incomplete surgical intervention due to unidentified tumours.</w:t>
      </w:r>
    </w:p>
    <w:p w14:paraId="5DFDB5BC" w14:textId="4129A911" w:rsidR="00927A49" w:rsidRPr="00927A49" w:rsidRDefault="00927A49" w:rsidP="00927A49">
      <w:pPr>
        <w:tabs>
          <w:tab w:val="left" w:pos="426"/>
          <w:tab w:val="left" w:pos="709"/>
        </w:tabs>
        <w:spacing w:after="240"/>
        <w:rPr>
          <w:szCs w:val="24"/>
        </w:rPr>
      </w:pPr>
      <w:r w:rsidRPr="00927A49">
        <w:rPr>
          <w:szCs w:val="24"/>
        </w:rPr>
        <w:t xml:space="preserve">Based on the presented evidence, MSAC accepted that GA-MRI has reasonable safety and effectiveness relative to CE-CT in both populations. MSAC noted that the incremental cost effectiveness ratio (ICER) for the metastatic CRC population and the HCC population were </w:t>
      </w:r>
      <w:r w:rsidRPr="00927A49">
        <w:rPr>
          <w:szCs w:val="24"/>
        </w:rPr>
        <w:lastRenderedPageBreak/>
        <w:t>$22,893 per quality</w:t>
      </w:r>
      <w:r w:rsidR="005F440E">
        <w:rPr>
          <w:szCs w:val="24"/>
        </w:rPr>
        <w:t>-</w:t>
      </w:r>
      <w:r w:rsidRPr="00927A49">
        <w:rPr>
          <w:szCs w:val="24"/>
        </w:rPr>
        <w:t>adjusted life year (QALY) and $12,737 per QALY, respectively. MSAC accepted that although there were some uncertainties in the economic modelling, the cost effectiveness of GA-MRI upon sensitivity analysis was still considered acceptable.</w:t>
      </w:r>
    </w:p>
    <w:p w14:paraId="6931D465" w14:textId="03CC2015" w:rsidR="00927A49" w:rsidRPr="00927A49" w:rsidRDefault="00927A49" w:rsidP="00927A49">
      <w:pPr>
        <w:tabs>
          <w:tab w:val="left" w:pos="426"/>
        </w:tabs>
        <w:spacing w:after="240"/>
        <w:rPr>
          <w:szCs w:val="24"/>
        </w:rPr>
      </w:pPr>
      <w:r w:rsidRPr="00927A49">
        <w:rPr>
          <w:szCs w:val="24"/>
        </w:rPr>
        <w:t xml:space="preserve">Based on current utilisation of CE-CT, MSAC </w:t>
      </w:r>
      <w:r w:rsidR="00161FD8">
        <w:rPr>
          <w:szCs w:val="24"/>
        </w:rPr>
        <w:t>noted</w:t>
      </w:r>
      <w:r w:rsidRPr="00927A49">
        <w:rPr>
          <w:szCs w:val="24"/>
        </w:rPr>
        <w:t xml:space="preserve"> that there would be an estimated 11,973 services in year 1 rising to 12,370 services in year 5. MSAC noted that the HCC population would primarily receive GA-MRI without a CE-CT scan. MSAC considered that the</w:t>
      </w:r>
      <w:r w:rsidR="0047338A">
        <w:rPr>
          <w:szCs w:val="24"/>
        </w:rPr>
        <w:t>re would be no</w:t>
      </w:r>
      <w:r w:rsidRPr="00927A49">
        <w:rPr>
          <w:szCs w:val="24"/>
        </w:rPr>
        <w:t xml:space="preserve"> substitution of CE-CT with GA-MRI in the metastatic CRC population and considered an estimate of 20% replacement of CE-CT with GA-MRI </w:t>
      </w:r>
      <w:r w:rsidR="0047338A">
        <w:rPr>
          <w:szCs w:val="24"/>
        </w:rPr>
        <w:t xml:space="preserve">in the HCC population </w:t>
      </w:r>
      <w:r w:rsidRPr="00927A49">
        <w:rPr>
          <w:szCs w:val="24"/>
        </w:rPr>
        <w:t xml:space="preserve">to be </w:t>
      </w:r>
      <w:r w:rsidR="0047338A">
        <w:rPr>
          <w:szCs w:val="24"/>
        </w:rPr>
        <w:t xml:space="preserve">a </w:t>
      </w:r>
      <w:r w:rsidRPr="00927A49">
        <w:rPr>
          <w:szCs w:val="24"/>
        </w:rPr>
        <w:t>more realistic</w:t>
      </w:r>
      <w:r w:rsidR="0047338A">
        <w:rPr>
          <w:szCs w:val="24"/>
        </w:rPr>
        <w:t xml:space="preserve"> upper limit</w:t>
      </w:r>
      <w:r w:rsidRPr="00927A49">
        <w:rPr>
          <w:szCs w:val="24"/>
        </w:rPr>
        <w:t>.</w:t>
      </w:r>
    </w:p>
    <w:p w14:paraId="37AE247F" w14:textId="77777777" w:rsidR="00927A49" w:rsidRPr="00927A49" w:rsidRDefault="00927A49" w:rsidP="00161FD8">
      <w:pPr>
        <w:spacing w:after="120"/>
        <w:rPr>
          <w:szCs w:val="24"/>
        </w:rPr>
      </w:pPr>
      <w:r w:rsidRPr="00927A49">
        <w:rPr>
          <w:szCs w:val="24"/>
        </w:rPr>
        <w:t xml:space="preserve">MSAC noted that the net cost to the MBS for GA-MRI for both metastatic CRC and HCC would be approximately $44 million over five years and $8.8 million per year. Costs were based upon: </w:t>
      </w:r>
    </w:p>
    <w:p w14:paraId="2EBAF501" w14:textId="48F77AAE" w:rsidR="00927A49" w:rsidRPr="00927A49" w:rsidRDefault="00927A49" w:rsidP="00927A49">
      <w:pPr>
        <w:pStyle w:val="ListParagraph"/>
        <w:numPr>
          <w:ilvl w:val="1"/>
          <w:numId w:val="34"/>
        </w:numPr>
        <w:spacing w:after="240"/>
        <w:ind w:left="709" w:hanging="283"/>
        <w:rPr>
          <w:szCs w:val="24"/>
        </w:rPr>
      </w:pPr>
      <w:r w:rsidRPr="00927A49">
        <w:rPr>
          <w:szCs w:val="24"/>
        </w:rPr>
        <w:t xml:space="preserve">a 20% replacement of approximately 11,500 services of CE-CT with GA-MRI for the metastatic </w:t>
      </w:r>
      <w:r w:rsidR="0047338A">
        <w:rPr>
          <w:szCs w:val="24"/>
        </w:rPr>
        <w:t>HCC</w:t>
      </w:r>
      <w:r w:rsidR="0047338A" w:rsidRPr="00927A49">
        <w:rPr>
          <w:szCs w:val="24"/>
        </w:rPr>
        <w:t xml:space="preserve"> </w:t>
      </w:r>
      <w:r w:rsidRPr="00927A49">
        <w:rPr>
          <w:szCs w:val="24"/>
        </w:rPr>
        <w:t>population;</w:t>
      </w:r>
    </w:p>
    <w:p w14:paraId="5555EB2C" w14:textId="53EBDDBE" w:rsidR="00927A49" w:rsidRPr="00927A49" w:rsidRDefault="00927A49" w:rsidP="00927A49">
      <w:pPr>
        <w:pStyle w:val="ListParagraph"/>
        <w:numPr>
          <w:ilvl w:val="1"/>
          <w:numId w:val="34"/>
        </w:numPr>
        <w:spacing w:after="240"/>
        <w:ind w:left="709" w:hanging="283"/>
        <w:rPr>
          <w:szCs w:val="24"/>
        </w:rPr>
      </w:pPr>
      <w:r w:rsidRPr="00927A49">
        <w:rPr>
          <w:szCs w:val="24"/>
        </w:rPr>
        <w:t>a cost offset from the replacement of CE-CT with GA-MRI</w:t>
      </w:r>
      <w:r w:rsidR="0047338A">
        <w:rPr>
          <w:szCs w:val="24"/>
        </w:rPr>
        <w:t xml:space="preserve"> for the HCC population</w:t>
      </w:r>
      <w:r w:rsidRPr="00927A49">
        <w:rPr>
          <w:szCs w:val="24"/>
        </w:rPr>
        <w:t>;</w:t>
      </w:r>
    </w:p>
    <w:p w14:paraId="5C2BDF95" w14:textId="77777777" w:rsidR="00927A49" w:rsidRPr="00927A49" w:rsidRDefault="00927A49" w:rsidP="00927A49">
      <w:pPr>
        <w:pStyle w:val="ListParagraph"/>
        <w:numPr>
          <w:ilvl w:val="1"/>
          <w:numId w:val="34"/>
        </w:numPr>
        <w:spacing w:after="240"/>
        <w:ind w:left="709" w:hanging="283"/>
        <w:rPr>
          <w:szCs w:val="24"/>
        </w:rPr>
      </w:pPr>
      <w:r w:rsidRPr="00927A49">
        <w:rPr>
          <w:szCs w:val="24"/>
        </w:rPr>
        <w:t>a consolidated fee of $800 (combined MRI fee of $600 and contrast agent fee of $200); and</w:t>
      </w:r>
    </w:p>
    <w:p w14:paraId="1A2D46DA" w14:textId="77777777" w:rsidR="00927A49" w:rsidRPr="00927A49" w:rsidRDefault="00927A49" w:rsidP="00927A49">
      <w:pPr>
        <w:pStyle w:val="ListParagraph"/>
        <w:numPr>
          <w:ilvl w:val="1"/>
          <w:numId w:val="34"/>
        </w:numPr>
        <w:spacing w:after="240"/>
        <w:ind w:left="709" w:hanging="283"/>
        <w:rPr>
          <w:szCs w:val="24"/>
        </w:rPr>
      </w:pPr>
      <w:r w:rsidRPr="00927A49">
        <w:rPr>
          <w:szCs w:val="24"/>
        </w:rPr>
        <w:t>100% cost shift of public/private patients to the MBS.</w:t>
      </w:r>
    </w:p>
    <w:p w14:paraId="5603C600" w14:textId="77777777" w:rsidR="00927A49" w:rsidRPr="00927A49" w:rsidRDefault="00927A49" w:rsidP="00927A49">
      <w:pPr>
        <w:spacing w:after="240"/>
        <w:rPr>
          <w:szCs w:val="24"/>
        </w:rPr>
      </w:pPr>
      <w:r w:rsidRPr="00927A49">
        <w:rPr>
          <w:szCs w:val="24"/>
        </w:rPr>
        <w:t xml:space="preserve">MSAC considered that a fee of approximately $600 for the proposed MBS items to be appropriate. MSAC noted this was consistent with the fee for MRI for staging of the pelvis and abdomen for cervical cancer (MBS item 63473; MBS fee $627.40). </w:t>
      </w:r>
    </w:p>
    <w:p w14:paraId="69CFDFAA" w14:textId="592A2FC3" w:rsidR="00927A49" w:rsidRPr="00927A49" w:rsidRDefault="00927A49" w:rsidP="00927A49">
      <w:pPr>
        <w:spacing w:after="240"/>
        <w:rPr>
          <w:szCs w:val="24"/>
        </w:rPr>
      </w:pPr>
      <w:r w:rsidRPr="00927A49">
        <w:rPr>
          <w:szCs w:val="24"/>
        </w:rPr>
        <w:t xml:space="preserve">MSAC noted that MRI </w:t>
      </w:r>
      <w:r w:rsidR="005F440E">
        <w:rPr>
          <w:szCs w:val="24"/>
        </w:rPr>
        <w:t xml:space="preserve">of the liver for these indications </w:t>
      </w:r>
      <w:r w:rsidRPr="00927A49">
        <w:rPr>
          <w:szCs w:val="24"/>
        </w:rPr>
        <w:t>would always require a contrast agent. MSAC noted that a separate modification of the MBS items for the use of contrast agent (</w:t>
      </w:r>
      <w:proofErr w:type="spellStart"/>
      <w:r w:rsidRPr="00927A49">
        <w:rPr>
          <w:szCs w:val="24"/>
        </w:rPr>
        <w:t>gadobenate</w:t>
      </w:r>
      <w:proofErr w:type="spellEnd"/>
      <w:r w:rsidRPr="00927A49">
        <w:rPr>
          <w:szCs w:val="24"/>
        </w:rPr>
        <w:t xml:space="preserve"> </w:t>
      </w:r>
      <w:proofErr w:type="spellStart"/>
      <w:r w:rsidRPr="00927A49">
        <w:rPr>
          <w:szCs w:val="24"/>
        </w:rPr>
        <w:t>dimeglumine</w:t>
      </w:r>
      <w:proofErr w:type="spellEnd"/>
      <w:r w:rsidRPr="00927A49">
        <w:rPr>
          <w:szCs w:val="24"/>
        </w:rPr>
        <w:t xml:space="preserve"> [</w:t>
      </w:r>
      <w:proofErr w:type="spellStart"/>
      <w:r w:rsidRPr="00927A49">
        <w:rPr>
          <w:szCs w:val="24"/>
        </w:rPr>
        <w:t>MultiHance</w:t>
      </w:r>
      <w:proofErr w:type="spellEnd"/>
      <w:r w:rsidRPr="00927A49">
        <w:rPr>
          <w:szCs w:val="24"/>
        </w:rPr>
        <w:t xml:space="preserve">] and </w:t>
      </w:r>
      <w:proofErr w:type="spellStart"/>
      <w:r w:rsidRPr="00927A49">
        <w:rPr>
          <w:szCs w:val="24"/>
        </w:rPr>
        <w:t>gadoxetic</w:t>
      </w:r>
      <w:proofErr w:type="spellEnd"/>
      <w:r w:rsidRPr="00927A49">
        <w:rPr>
          <w:szCs w:val="24"/>
        </w:rPr>
        <w:t xml:space="preserve"> acid [</w:t>
      </w:r>
      <w:proofErr w:type="spellStart"/>
      <w:r w:rsidRPr="00927A49">
        <w:rPr>
          <w:szCs w:val="24"/>
        </w:rPr>
        <w:t>Primovist</w:t>
      </w:r>
      <w:proofErr w:type="spellEnd"/>
      <w:r w:rsidRPr="00927A49">
        <w:rPr>
          <w:szCs w:val="24"/>
        </w:rPr>
        <w:t xml:space="preserve">]) had originally been proposed. </w:t>
      </w:r>
      <w:r w:rsidR="00460930">
        <w:rPr>
          <w:szCs w:val="24"/>
        </w:rPr>
        <w:t>From the Applicant pre-MSAC response</w:t>
      </w:r>
      <w:r w:rsidRPr="00927A49">
        <w:rPr>
          <w:szCs w:val="24"/>
        </w:rPr>
        <w:t xml:space="preserve">, MSAC </w:t>
      </w:r>
      <w:r w:rsidR="00161FD8">
        <w:rPr>
          <w:szCs w:val="24"/>
        </w:rPr>
        <w:t>was advised</w:t>
      </w:r>
      <w:r w:rsidRPr="00927A49">
        <w:rPr>
          <w:szCs w:val="24"/>
        </w:rPr>
        <w:t xml:space="preserve"> that </w:t>
      </w:r>
      <w:proofErr w:type="spellStart"/>
      <w:r w:rsidRPr="00927A49">
        <w:rPr>
          <w:szCs w:val="24"/>
        </w:rPr>
        <w:t>gadobenate</w:t>
      </w:r>
      <w:proofErr w:type="spellEnd"/>
      <w:r w:rsidRPr="00927A49">
        <w:rPr>
          <w:szCs w:val="24"/>
        </w:rPr>
        <w:t xml:space="preserve"> </w:t>
      </w:r>
      <w:proofErr w:type="spellStart"/>
      <w:r w:rsidRPr="00927A49">
        <w:rPr>
          <w:szCs w:val="24"/>
        </w:rPr>
        <w:t>dimeglumine</w:t>
      </w:r>
      <w:proofErr w:type="spellEnd"/>
      <w:r w:rsidRPr="00927A49">
        <w:rPr>
          <w:szCs w:val="24"/>
        </w:rPr>
        <w:t xml:space="preserve"> (</w:t>
      </w:r>
      <w:proofErr w:type="spellStart"/>
      <w:r w:rsidRPr="00927A49">
        <w:rPr>
          <w:szCs w:val="24"/>
        </w:rPr>
        <w:t>MultiHance</w:t>
      </w:r>
      <w:proofErr w:type="spellEnd"/>
      <w:r w:rsidRPr="00927A49">
        <w:rPr>
          <w:szCs w:val="24"/>
        </w:rPr>
        <w:t xml:space="preserve">) is no longer available in Australia. MSAC noted that the market price for </w:t>
      </w:r>
      <w:proofErr w:type="spellStart"/>
      <w:r w:rsidRPr="00927A49">
        <w:rPr>
          <w:szCs w:val="24"/>
        </w:rPr>
        <w:t>gadoxetic</w:t>
      </w:r>
      <w:proofErr w:type="spellEnd"/>
      <w:r w:rsidRPr="00927A49">
        <w:rPr>
          <w:szCs w:val="24"/>
        </w:rPr>
        <w:t xml:space="preserve"> acid (</w:t>
      </w:r>
      <w:proofErr w:type="spellStart"/>
      <w:r w:rsidRPr="00927A49">
        <w:rPr>
          <w:szCs w:val="24"/>
        </w:rPr>
        <w:t>Primovist</w:t>
      </w:r>
      <w:proofErr w:type="spellEnd"/>
      <w:r w:rsidRPr="00927A49">
        <w:rPr>
          <w:szCs w:val="24"/>
        </w:rPr>
        <w:t>) is $250.</w:t>
      </w:r>
    </w:p>
    <w:p w14:paraId="66C46BA6" w14:textId="77777777" w:rsidR="00927A49" w:rsidRPr="00927A49" w:rsidRDefault="00927A49" w:rsidP="00927A49">
      <w:pPr>
        <w:spacing w:after="240"/>
        <w:rPr>
          <w:szCs w:val="24"/>
        </w:rPr>
      </w:pPr>
      <w:r w:rsidRPr="00927A49">
        <w:rPr>
          <w:szCs w:val="24"/>
        </w:rPr>
        <w:t xml:space="preserve">MSAC recommended a consolidated fee of $800 that covers the cost of the GA-MRI imaging service and the cost of the contrast agent. MSAC recommended that this fee be revisited in two years to ensure that the cost for the contrast agent remains in line with market prices for </w:t>
      </w:r>
      <w:proofErr w:type="spellStart"/>
      <w:r w:rsidRPr="00927A49">
        <w:rPr>
          <w:szCs w:val="24"/>
        </w:rPr>
        <w:t>gadoxetic</w:t>
      </w:r>
      <w:proofErr w:type="spellEnd"/>
      <w:r w:rsidRPr="00927A49">
        <w:rPr>
          <w:szCs w:val="24"/>
        </w:rPr>
        <w:t xml:space="preserve"> acid (</w:t>
      </w:r>
      <w:proofErr w:type="spellStart"/>
      <w:r w:rsidRPr="00927A49">
        <w:rPr>
          <w:szCs w:val="24"/>
        </w:rPr>
        <w:t>Primovist</w:t>
      </w:r>
      <w:proofErr w:type="spellEnd"/>
      <w:r w:rsidRPr="00927A49">
        <w:rPr>
          <w:szCs w:val="24"/>
        </w:rPr>
        <w:t>) and any other suitable contrast agents that may enter the market.</w:t>
      </w:r>
    </w:p>
    <w:p w14:paraId="1862B8EB" w14:textId="77777777" w:rsidR="00927A49" w:rsidRPr="00927A49" w:rsidRDefault="00927A49" w:rsidP="00927A49">
      <w:pPr>
        <w:spacing w:after="240"/>
        <w:rPr>
          <w:szCs w:val="24"/>
        </w:rPr>
      </w:pPr>
      <w:r w:rsidRPr="00927A49">
        <w:rPr>
          <w:szCs w:val="24"/>
        </w:rPr>
        <w:t xml:space="preserve">MSAC recommended separate MBS items for metastatic CRC patients and HCC patients to enable ongoing monitoring of utilisation. </w:t>
      </w:r>
    </w:p>
    <w:p w14:paraId="1E5CBB48" w14:textId="77777777" w:rsidR="00927A49" w:rsidRPr="00927A49" w:rsidRDefault="00927A49" w:rsidP="00927A49">
      <w:pPr>
        <w:spacing w:after="240"/>
        <w:rPr>
          <w:szCs w:val="24"/>
        </w:rPr>
      </w:pPr>
      <w:r w:rsidRPr="00927A49">
        <w:rPr>
          <w:szCs w:val="24"/>
        </w:rPr>
        <w:t xml:space="preserve">MSAC recommended GA-MRI be restricted to only one service every 12 months for diagnostic purposes. MSAC considered that while there may be some repeat GA-MRI following liver </w:t>
      </w:r>
      <w:proofErr w:type="gramStart"/>
      <w:r w:rsidRPr="00927A49">
        <w:rPr>
          <w:szCs w:val="24"/>
        </w:rPr>
        <w:t>resection,</w:t>
      </w:r>
      <w:proofErr w:type="gramEnd"/>
      <w:r w:rsidRPr="00927A49">
        <w:rPr>
          <w:szCs w:val="24"/>
        </w:rPr>
        <w:t xml:space="preserve"> this was likely to be very low.</w:t>
      </w:r>
    </w:p>
    <w:p w14:paraId="43A2F74C" w14:textId="77777777" w:rsidR="00927A49" w:rsidRPr="00927A49" w:rsidRDefault="00927A49" w:rsidP="00927A49">
      <w:pPr>
        <w:spacing w:after="240"/>
        <w:rPr>
          <w:szCs w:val="24"/>
        </w:rPr>
      </w:pPr>
      <w:r w:rsidRPr="00927A49">
        <w:rPr>
          <w:szCs w:val="24"/>
        </w:rPr>
        <w:t>MSAC acknowledged the applicant’s pre-MSAC response that the inclusion of “has confirmed histology” in the proposed item descriptor for population one was confusing as it may imply the need for biopsy results for eligibility to access GA-MRI. MSAC recommended that the item descriptor be amended to eliminate ambiguity regarding patient eligibility.</w:t>
      </w:r>
    </w:p>
    <w:p w14:paraId="5DF5ED5C" w14:textId="77777777" w:rsidR="00927A49" w:rsidRPr="00927A49" w:rsidRDefault="00927A49" w:rsidP="00927A49">
      <w:pPr>
        <w:spacing w:after="240"/>
        <w:rPr>
          <w:szCs w:val="24"/>
        </w:rPr>
      </w:pPr>
      <w:r w:rsidRPr="00927A49">
        <w:rPr>
          <w:szCs w:val="24"/>
        </w:rPr>
        <w:lastRenderedPageBreak/>
        <w:t>MSAC advised that MRI machines need a minimum specification of 1.5 Tesla to adequately image the liver. MSAC recommended against including new NK (classification of MRI machines on the ‘capital sensitivity’ measure) MBS items for liver MRI on the MBS.</w:t>
      </w:r>
    </w:p>
    <w:p w14:paraId="3E9FB897" w14:textId="77777777" w:rsidR="00550354" w:rsidRPr="00927A49" w:rsidRDefault="00927A49" w:rsidP="00927A49">
      <w:pPr>
        <w:spacing w:after="240"/>
        <w:rPr>
          <w:szCs w:val="24"/>
        </w:rPr>
      </w:pPr>
      <w:r w:rsidRPr="00927A49">
        <w:rPr>
          <w:szCs w:val="24"/>
        </w:rPr>
        <w:t>MSAC recommended that these MBS items be reviewed two years after implementation, with regards to the overall utilisation, the cost of the contrast agent, and whether there are multiple MRIs being performed per patient per year.</w:t>
      </w:r>
    </w:p>
    <w:p w14:paraId="10794E5A" w14:textId="77777777" w:rsidR="00BC1364" w:rsidRPr="00F715D1" w:rsidRDefault="00BC1364" w:rsidP="00F715D1">
      <w:pPr>
        <w:pStyle w:val="Heading1"/>
      </w:pPr>
      <w:r w:rsidRPr="00F715D1">
        <w:t>Background</w:t>
      </w:r>
    </w:p>
    <w:p w14:paraId="18BF8FD7" w14:textId="77777777" w:rsidR="00AF73B3" w:rsidRPr="00371A8A" w:rsidRDefault="00AF73B3" w:rsidP="00AF73B3">
      <w:r w:rsidRPr="00213FBA">
        <w:rPr>
          <w:szCs w:val="24"/>
        </w:rPr>
        <w:t xml:space="preserve">At its </w:t>
      </w:r>
      <w:r>
        <w:rPr>
          <w:szCs w:val="24"/>
        </w:rPr>
        <w:t>July 2015</w:t>
      </w:r>
      <w:r w:rsidRPr="00213FBA">
        <w:rPr>
          <w:szCs w:val="24"/>
        </w:rPr>
        <w:t xml:space="preserve"> meeting, MSAC considered Application</w:t>
      </w:r>
      <w:r>
        <w:rPr>
          <w:szCs w:val="24"/>
        </w:rPr>
        <w:t xml:space="preserve"> 1372 for </w:t>
      </w:r>
      <w:r>
        <w:t>MBS listing</w:t>
      </w:r>
      <w:r w:rsidR="00460930">
        <w:t xml:space="preserve"> of </w:t>
      </w:r>
      <w:r>
        <w:t>MRI of the liver for patients with known extrahepatic malignancy who are being considered by a specialist for hepatic therapies (including but not limited to percutaneous ablation, resection or transplantation); and patients with known focal liver lesions requiring characterisation.</w:t>
      </w:r>
    </w:p>
    <w:p w14:paraId="07FDE6FA" w14:textId="77777777" w:rsidR="00AF73B3" w:rsidRDefault="00AF73B3" w:rsidP="00DB7671">
      <w:pPr>
        <w:spacing w:before="240" w:after="240"/>
      </w:pPr>
      <w:r w:rsidRPr="006E369E">
        <w:t xml:space="preserve">MSAC </w:t>
      </w:r>
      <w:r>
        <w:t>did not support public funding because of the uncertain clinical effectiveness, and cost effectiveness</w:t>
      </w:r>
      <w:r w:rsidRPr="00F26265">
        <w:t xml:space="preserve"> </w:t>
      </w:r>
      <w:r w:rsidRPr="006E369E">
        <w:t xml:space="preserve">due to weak </w:t>
      </w:r>
      <w:r>
        <w:t>data associated with change in clinical management</w:t>
      </w:r>
      <w:r w:rsidRPr="006E369E">
        <w:t xml:space="preserve"> and no </w:t>
      </w:r>
      <w:r>
        <w:t>translation of imaging performance to improved health outcomes.</w:t>
      </w:r>
    </w:p>
    <w:p w14:paraId="3292BD51" w14:textId="77777777" w:rsidR="00AF73B3" w:rsidRPr="00B02E35" w:rsidRDefault="00AF73B3" w:rsidP="00AF73B3">
      <w:pPr>
        <w:tabs>
          <w:tab w:val="left" w:pos="720"/>
          <w:tab w:val="left" w:pos="1140"/>
        </w:tabs>
        <w:spacing w:before="240" w:after="240"/>
        <w:rPr>
          <w:szCs w:val="24"/>
        </w:rPr>
      </w:pPr>
      <w:r>
        <w:rPr>
          <w:szCs w:val="24"/>
        </w:rPr>
        <w:t>The Public Summary Document (PSD) for this application</w:t>
      </w:r>
      <w:r w:rsidRPr="00213FBA">
        <w:rPr>
          <w:szCs w:val="24"/>
        </w:rPr>
        <w:t xml:space="preserve"> can be found on the MSAC website at </w:t>
      </w:r>
      <w:hyperlink r:id="rId10" w:tooltip="Link to Medical Services Advisory Committee website" w:history="1">
        <w:r w:rsidRPr="00213FBA">
          <w:rPr>
            <w:rStyle w:val="Hyperlink"/>
            <w:szCs w:val="24"/>
          </w:rPr>
          <w:t>www.msac.gov.au</w:t>
        </w:r>
      </w:hyperlink>
      <w:r w:rsidRPr="00213FBA">
        <w:rPr>
          <w:szCs w:val="24"/>
        </w:rPr>
        <w:t>.</w:t>
      </w:r>
    </w:p>
    <w:p w14:paraId="4275A49E" w14:textId="77777777" w:rsidR="00BC1364" w:rsidRPr="00F715D1" w:rsidRDefault="00BC1364" w:rsidP="00F715D1">
      <w:pPr>
        <w:pStyle w:val="Heading1"/>
      </w:pPr>
      <w:r w:rsidRPr="00F715D1">
        <w:t>Prerequisites to implementation of any funding advice</w:t>
      </w:r>
    </w:p>
    <w:p w14:paraId="36391339" w14:textId="3D65A102" w:rsidR="00DB7671" w:rsidRDefault="005F440E" w:rsidP="00CA0501">
      <w:pPr>
        <w:spacing w:after="240"/>
      </w:pPr>
      <w:r>
        <w:t>All</w:t>
      </w:r>
      <w:r w:rsidR="00AF73B3" w:rsidRPr="00C90AAA">
        <w:t xml:space="preserve"> contrast ag</w:t>
      </w:r>
      <w:r w:rsidR="00AF73B3">
        <w:t xml:space="preserve">ents for </w:t>
      </w:r>
      <w:r>
        <w:t xml:space="preserve">clinical </w:t>
      </w:r>
      <w:r w:rsidR="00AF73B3">
        <w:t>MRI in Australia</w:t>
      </w:r>
      <w:r>
        <w:t xml:space="preserve"> are gadolinium-based</w:t>
      </w:r>
      <w:r w:rsidR="00AF73B3">
        <w:t xml:space="preserve">. Gadolinium-based hepatobiliary agents, which are TGA-listed for use in Australia, are </w:t>
      </w:r>
      <w:proofErr w:type="spellStart"/>
      <w:r w:rsidR="00AF73B3">
        <w:t>gadoxetic</w:t>
      </w:r>
      <w:proofErr w:type="spellEnd"/>
      <w:r w:rsidR="00AF73B3">
        <w:t xml:space="preserve"> acid (</w:t>
      </w:r>
      <w:proofErr w:type="spellStart"/>
      <w:r w:rsidR="00AF73B3" w:rsidRPr="00B66166">
        <w:t>Primovist</w:t>
      </w:r>
      <w:proofErr w:type="spellEnd"/>
      <w:r w:rsidR="00AF73B3">
        <w:t xml:space="preserve">®) and </w:t>
      </w:r>
      <w:bookmarkStart w:id="1" w:name="_Hlk488673596"/>
      <w:proofErr w:type="spellStart"/>
      <w:r w:rsidR="00AF73B3">
        <w:t>gadobenate</w:t>
      </w:r>
      <w:proofErr w:type="spellEnd"/>
      <w:r w:rsidR="00AF73B3">
        <w:t xml:space="preserve"> </w:t>
      </w:r>
      <w:proofErr w:type="spellStart"/>
      <w:r w:rsidR="00AF73B3">
        <w:t>dimeglumine</w:t>
      </w:r>
      <w:proofErr w:type="spellEnd"/>
      <w:r w:rsidR="00AF73B3">
        <w:t xml:space="preserve"> (</w:t>
      </w:r>
      <w:proofErr w:type="spellStart"/>
      <w:r w:rsidR="00AF73B3">
        <w:t>MultiHance</w:t>
      </w:r>
      <w:proofErr w:type="spellEnd"/>
      <w:r w:rsidR="00AF73B3">
        <w:t>®).</w:t>
      </w:r>
      <w:bookmarkEnd w:id="1"/>
    </w:p>
    <w:p w14:paraId="46A332AB" w14:textId="77777777" w:rsidR="00AF73B3" w:rsidRDefault="00DB7671" w:rsidP="00CA0501">
      <w:pPr>
        <w:spacing w:after="240"/>
      </w:pPr>
      <w:r>
        <w:t xml:space="preserve">In its pre-MSAC response, the applicant advised that </w:t>
      </w:r>
      <w:proofErr w:type="spellStart"/>
      <w:r w:rsidRPr="00862F5F">
        <w:t>Multihance</w:t>
      </w:r>
      <w:proofErr w:type="spellEnd"/>
      <w:r w:rsidRPr="00862F5F">
        <w:t xml:space="preserve"> is no longer available in Australia</w:t>
      </w:r>
      <w:r>
        <w:t>.</w:t>
      </w:r>
    </w:p>
    <w:p w14:paraId="7DDBB677" w14:textId="77777777" w:rsidR="00AF73B3" w:rsidRPr="00B02E35" w:rsidRDefault="00AF73B3" w:rsidP="00AF73B3">
      <w:pPr>
        <w:rPr>
          <w:b/>
          <w:szCs w:val="24"/>
        </w:rPr>
      </w:pPr>
      <w:r w:rsidRPr="003A7EAE">
        <w:rPr>
          <w:rFonts w:eastAsia="Calibri"/>
          <w:szCs w:val="24"/>
        </w:rPr>
        <w:t xml:space="preserve">MRI devices </w:t>
      </w:r>
      <w:r>
        <w:rPr>
          <w:rFonts w:eastAsia="Calibri"/>
          <w:szCs w:val="24"/>
        </w:rPr>
        <w:t xml:space="preserve">are </w:t>
      </w:r>
      <w:r w:rsidRPr="003A7EAE">
        <w:rPr>
          <w:rFonts w:eastAsia="Calibri"/>
          <w:szCs w:val="24"/>
        </w:rPr>
        <w:t>included on the Australia</w:t>
      </w:r>
      <w:r>
        <w:rPr>
          <w:rFonts w:eastAsia="Calibri"/>
          <w:szCs w:val="24"/>
        </w:rPr>
        <w:t xml:space="preserve">n Register of Therapeutic Goods </w:t>
      </w:r>
      <w:r w:rsidRPr="003A7EAE">
        <w:rPr>
          <w:rFonts w:eastAsia="Calibri"/>
          <w:szCs w:val="24"/>
        </w:rPr>
        <w:t>(ARTG</w:t>
      </w:r>
      <w:r>
        <w:rPr>
          <w:rFonts w:eastAsia="Calibri"/>
          <w:szCs w:val="24"/>
        </w:rPr>
        <w:t>).</w:t>
      </w:r>
    </w:p>
    <w:p w14:paraId="70F3E618" w14:textId="77777777" w:rsidR="00BC1364" w:rsidRPr="00F715D1" w:rsidRDefault="00BC1364" w:rsidP="00F715D1">
      <w:pPr>
        <w:pStyle w:val="Heading1"/>
      </w:pPr>
      <w:r w:rsidRPr="00F715D1">
        <w:t>Proposal for public funding</w:t>
      </w:r>
    </w:p>
    <w:p w14:paraId="57CF1217" w14:textId="647C9C4A" w:rsidR="00FA2FFC" w:rsidRPr="00FA2FFC" w:rsidRDefault="00FA2FFC" w:rsidP="00FA2FFC">
      <w:pPr>
        <w:rPr>
          <w:color w:val="000000"/>
          <w:szCs w:val="24"/>
        </w:rPr>
      </w:pPr>
      <w:r w:rsidRPr="00FA2FFC">
        <w:rPr>
          <w:color w:val="000000"/>
        </w:rPr>
        <w:t>Both eligible p</w:t>
      </w:r>
      <w:r w:rsidR="00926686">
        <w:rPr>
          <w:color w:val="000000"/>
        </w:rPr>
        <w:t>opulations in the resubmission we</w:t>
      </w:r>
      <w:r w:rsidRPr="00FA2FFC">
        <w:rPr>
          <w:color w:val="000000"/>
        </w:rPr>
        <w:t xml:space="preserve">re more restricted in scope than those proposed in the original MSAC Application 1372.  </w:t>
      </w:r>
    </w:p>
    <w:p w14:paraId="3DF5E16F" w14:textId="77777777" w:rsidR="00FA2FFC" w:rsidRPr="00FA2FFC" w:rsidRDefault="00FA2FFC" w:rsidP="00CA0501">
      <w:pPr>
        <w:spacing w:before="240" w:after="240"/>
        <w:rPr>
          <w:color w:val="000000"/>
          <w:szCs w:val="24"/>
        </w:rPr>
      </w:pPr>
      <w:r w:rsidRPr="00FA2FFC">
        <w:rPr>
          <w:color w:val="000000"/>
          <w:szCs w:val="24"/>
        </w:rPr>
        <w:t xml:space="preserve">The applicant proposed a fee of $1,200 for this service based on time required in the scanner. In comparison, MRI procedures for the </w:t>
      </w:r>
      <w:r w:rsidR="005F440E">
        <w:rPr>
          <w:color w:val="000000"/>
          <w:szCs w:val="24"/>
        </w:rPr>
        <w:t xml:space="preserve">pelvic </w:t>
      </w:r>
      <w:r w:rsidRPr="00FA2FFC">
        <w:rPr>
          <w:color w:val="000000"/>
          <w:szCs w:val="24"/>
        </w:rPr>
        <w:t>staging of rectal (Item 63476) and cervical (Item 63470) cancers both carry a Medicare fee for benefit of $403.20, while MRI of the pelvis and upper abdomen for staging of cervical cancer (Item 63</w:t>
      </w:r>
      <w:r w:rsidR="00CA0501">
        <w:rPr>
          <w:color w:val="000000"/>
          <w:szCs w:val="24"/>
        </w:rPr>
        <w:t xml:space="preserve">473) carries a fee of $627.20. </w:t>
      </w:r>
    </w:p>
    <w:p w14:paraId="1CD63A71" w14:textId="77777777" w:rsidR="00DB7671" w:rsidRDefault="00FA2FFC" w:rsidP="00FA2FFC">
      <w:pPr>
        <w:spacing w:after="240"/>
        <w:rPr>
          <w:color w:val="000000"/>
          <w:szCs w:val="24"/>
        </w:rPr>
      </w:pPr>
      <w:r w:rsidRPr="00FA2FFC">
        <w:rPr>
          <w:color w:val="000000"/>
          <w:szCs w:val="24"/>
        </w:rPr>
        <w:t>The use of MRI services is attached to a modifying item (MBS item 63491 with a fee of $44.80) for use of a</w:t>
      </w:r>
      <w:r w:rsidR="005F440E">
        <w:rPr>
          <w:color w:val="000000"/>
          <w:szCs w:val="24"/>
        </w:rPr>
        <w:t>n extracellular</w:t>
      </w:r>
      <w:r w:rsidRPr="00FA2FFC">
        <w:rPr>
          <w:color w:val="000000"/>
          <w:szCs w:val="24"/>
        </w:rPr>
        <w:t xml:space="preserve"> contrast agent eligible in current MRI items. </w:t>
      </w:r>
      <w:r w:rsidR="00DB7671">
        <w:rPr>
          <w:color w:val="000000"/>
          <w:szCs w:val="24"/>
        </w:rPr>
        <w:t>T</w:t>
      </w:r>
      <w:r w:rsidRPr="00FA2FFC">
        <w:rPr>
          <w:color w:val="000000"/>
          <w:szCs w:val="24"/>
        </w:rPr>
        <w:t xml:space="preserve">he applicant proposed an additional modifying MBS item for the use of a hepatobiliary-specific contrast agent (e.g. </w:t>
      </w:r>
      <w:proofErr w:type="spellStart"/>
      <w:r w:rsidRPr="00FA2FFC">
        <w:rPr>
          <w:color w:val="000000"/>
          <w:szCs w:val="24"/>
        </w:rPr>
        <w:t>gadoxetic</w:t>
      </w:r>
      <w:proofErr w:type="spellEnd"/>
      <w:r w:rsidRPr="00FA2FFC">
        <w:rPr>
          <w:color w:val="000000"/>
          <w:szCs w:val="24"/>
        </w:rPr>
        <w:t xml:space="preserve"> acid). The applicant advised that the cost of the most commonly used hepatobiliary contrast agent, </w:t>
      </w:r>
      <w:proofErr w:type="spellStart"/>
      <w:r w:rsidRPr="00FA2FFC">
        <w:rPr>
          <w:color w:val="000000"/>
          <w:szCs w:val="24"/>
        </w:rPr>
        <w:t>Primovist</w:t>
      </w:r>
      <w:proofErr w:type="spellEnd"/>
      <w:r w:rsidRPr="00FA2FFC">
        <w:rPr>
          <w:color w:val="000000"/>
          <w:szCs w:val="24"/>
        </w:rPr>
        <w:t xml:space="preserve"> (</w:t>
      </w:r>
      <w:proofErr w:type="spellStart"/>
      <w:r w:rsidRPr="00FA2FFC">
        <w:rPr>
          <w:bCs/>
          <w:color w:val="000000"/>
          <w:szCs w:val="24"/>
          <w:lang w:val="en"/>
        </w:rPr>
        <w:t>gadoxetate</w:t>
      </w:r>
      <w:proofErr w:type="spellEnd"/>
      <w:r w:rsidRPr="00FA2FFC">
        <w:rPr>
          <w:bCs/>
          <w:color w:val="000000"/>
          <w:szCs w:val="24"/>
          <w:lang w:val="en"/>
        </w:rPr>
        <w:t xml:space="preserve"> disodium), is $250 (current market rate), which is proposed to be reimbursed via a separate contrast modifying item, similar to MBS item </w:t>
      </w:r>
      <w:r w:rsidRPr="00FA2FFC">
        <w:rPr>
          <w:color w:val="000000"/>
          <w:szCs w:val="24"/>
        </w:rPr>
        <w:t xml:space="preserve">63491. </w:t>
      </w:r>
    </w:p>
    <w:p w14:paraId="767EE125" w14:textId="662A9930" w:rsidR="00050EEF" w:rsidRDefault="00926686" w:rsidP="00184A70">
      <w:pPr>
        <w:spacing w:after="240"/>
        <w:rPr>
          <w:szCs w:val="24"/>
        </w:rPr>
      </w:pPr>
      <w:r>
        <w:rPr>
          <w:color w:val="000000"/>
          <w:szCs w:val="24"/>
        </w:rPr>
        <w:t xml:space="preserve">MSAC </w:t>
      </w:r>
      <w:r w:rsidR="004564EE">
        <w:rPr>
          <w:color w:val="000000"/>
          <w:szCs w:val="24"/>
        </w:rPr>
        <w:t>initially</w:t>
      </w:r>
      <w:r w:rsidR="00522DFC">
        <w:rPr>
          <w:color w:val="000000"/>
          <w:szCs w:val="24"/>
        </w:rPr>
        <w:t xml:space="preserve"> recommended </w:t>
      </w:r>
      <w:r w:rsidRPr="00927A49">
        <w:rPr>
          <w:szCs w:val="24"/>
        </w:rPr>
        <w:t xml:space="preserve">a consolidated fee of $800 </w:t>
      </w:r>
      <w:r>
        <w:rPr>
          <w:szCs w:val="24"/>
        </w:rPr>
        <w:t>which</w:t>
      </w:r>
      <w:r w:rsidRPr="00927A49">
        <w:rPr>
          <w:szCs w:val="24"/>
        </w:rPr>
        <w:t xml:space="preserve"> </w:t>
      </w:r>
      <w:r w:rsidR="00522DFC" w:rsidRPr="00927A49">
        <w:rPr>
          <w:szCs w:val="24"/>
        </w:rPr>
        <w:t>cover</w:t>
      </w:r>
      <w:r w:rsidR="00522DFC">
        <w:rPr>
          <w:szCs w:val="24"/>
        </w:rPr>
        <w:t>ed</w:t>
      </w:r>
      <w:r w:rsidR="00522DFC" w:rsidRPr="00927A49">
        <w:rPr>
          <w:szCs w:val="24"/>
        </w:rPr>
        <w:t xml:space="preserve"> </w:t>
      </w:r>
      <w:r w:rsidRPr="00927A49">
        <w:rPr>
          <w:szCs w:val="24"/>
        </w:rPr>
        <w:t>the cost of the GA-MRI imaging service and the cost of the contrast agent.</w:t>
      </w:r>
      <w:r w:rsidR="00184A70">
        <w:rPr>
          <w:szCs w:val="24"/>
        </w:rPr>
        <w:t xml:space="preserve"> </w:t>
      </w:r>
      <w:r w:rsidR="00050EEF" w:rsidRPr="00050EEF">
        <w:rPr>
          <w:szCs w:val="24"/>
        </w:rPr>
        <w:t xml:space="preserve">At its 1 June 2018 meeting, the </w:t>
      </w:r>
      <w:r w:rsidR="00050EEF" w:rsidRPr="00050EEF">
        <w:rPr>
          <w:szCs w:val="24"/>
        </w:rPr>
        <w:lastRenderedPageBreak/>
        <w:t>MSAC Executive considered further expert clinical opinion and decided to separate the contrast agent from the new MRI liver items with a revised fee of $550 for the liver MRI items, a new separate hepatobiliary specific contrast agent item with a fee of $250, and that the liver MRI item descriptors should allow practitioners to select an extracellular contrast agent in cases when this was clinically indicated.</w:t>
      </w:r>
    </w:p>
    <w:p w14:paraId="0B43AA65" w14:textId="5B384C7A" w:rsidR="00184A70" w:rsidRPr="00184A70" w:rsidRDefault="00184A70" w:rsidP="00184A70">
      <w:pPr>
        <w:rPr>
          <w:szCs w:val="24"/>
        </w:rPr>
      </w:pPr>
      <w:r w:rsidRPr="00FA2FFC">
        <w:rPr>
          <w:color w:val="000000"/>
          <w:szCs w:val="24"/>
        </w:rPr>
        <w:t>The proposed MBS item descriptors for MRI of the liver are presented</w:t>
      </w:r>
      <w:r>
        <w:rPr>
          <w:color w:val="000000"/>
          <w:szCs w:val="24"/>
        </w:rPr>
        <w:t xml:space="preserve"> in Table 1, Table 2, Table 3 and Table 4</w:t>
      </w:r>
      <w:r w:rsidRPr="00FA2FFC">
        <w:rPr>
          <w:color w:val="000000"/>
          <w:szCs w:val="24"/>
        </w:rPr>
        <w:t>.</w:t>
      </w:r>
    </w:p>
    <w:p w14:paraId="45B8B09F" w14:textId="77777777" w:rsidR="00050EEF" w:rsidRDefault="00050EEF" w:rsidP="0047338A">
      <w:pPr>
        <w:keepNext/>
        <w:widowControl w:val="0"/>
        <w:rPr>
          <w:b/>
          <w:bCs/>
          <w:snapToGrid w:val="0"/>
          <w:sz w:val="18"/>
          <w:szCs w:val="18"/>
          <w:lang w:val="en-US" w:eastAsia="en-US"/>
        </w:rPr>
      </w:pPr>
    </w:p>
    <w:p w14:paraId="5E558E0E" w14:textId="2600841B" w:rsidR="0047338A" w:rsidRPr="004C4D2A" w:rsidRDefault="00926686" w:rsidP="0047338A">
      <w:pPr>
        <w:keepNext/>
        <w:widowControl w:val="0"/>
        <w:rPr>
          <w:b/>
          <w:bCs/>
          <w:snapToGrid w:val="0"/>
          <w:sz w:val="18"/>
          <w:szCs w:val="18"/>
          <w:lang w:val="en-US" w:eastAsia="en-US"/>
        </w:rPr>
      </w:pPr>
      <w:r>
        <w:rPr>
          <w:b/>
          <w:bCs/>
          <w:snapToGrid w:val="0"/>
          <w:sz w:val="18"/>
          <w:szCs w:val="18"/>
          <w:lang w:val="en-US" w:eastAsia="en-US"/>
        </w:rPr>
        <w:t>Table 1</w:t>
      </w:r>
      <w:r>
        <w:rPr>
          <w:b/>
          <w:bCs/>
          <w:snapToGrid w:val="0"/>
          <w:sz w:val="18"/>
          <w:szCs w:val="18"/>
          <w:lang w:val="en-US" w:eastAsia="en-US"/>
        </w:rPr>
        <w:tab/>
      </w:r>
      <w:r w:rsidR="0047338A" w:rsidRPr="004C4D2A">
        <w:rPr>
          <w:b/>
          <w:bCs/>
          <w:snapToGrid w:val="0"/>
          <w:sz w:val="18"/>
          <w:szCs w:val="18"/>
          <w:lang w:val="en-US" w:eastAsia="en-US"/>
        </w:rPr>
        <w:t>Proposed GA-MRI item descriptor for liver MRI Population Group 1 (</w:t>
      </w:r>
      <w:proofErr w:type="spellStart"/>
      <w:r w:rsidR="0047338A" w:rsidRPr="004C4D2A">
        <w:rPr>
          <w:b/>
          <w:bCs/>
          <w:snapToGrid w:val="0"/>
          <w:sz w:val="18"/>
          <w:szCs w:val="18"/>
          <w:lang w:val="en-US" w:eastAsia="en-US"/>
        </w:rPr>
        <w:t>mCRC</w:t>
      </w:r>
      <w:proofErr w:type="spellEnd"/>
      <w:r w:rsidR="0047338A" w:rsidRPr="004C4D2A">
        <w:rPr>
          <w:b/>
          <w:bCs/>
          <w:snapToGrid w:val="0"/>
          <w:sz w:val="18"/>
          <w:szCs w:val="18"/>
          <w:lang w:val="en-US" w:eastAsia="en-US"/>
        </w:rPr>
        <w:t>)</w:t>
      </w:r>
    </w:p>
    <w:tbl>
      <w:tblPr>
        <w:tblStyle w:val="TableGrid1"/>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9"/>
      </w:tblGrid>
      <w:tr w:rsidR="0047338A" w:rsidRPr="004C4D2A" w14:paraId="57331F3F" w14:textId="77777777" w:rsidTr="0047338A">
        <w:trPr>
          <w:cantSplit/>
          <w:tblHeader/>
        </w:trPr>
        <w:tc>
          <w:tcPr>
            <w:tcW w:w="9019" w:type="dxa"/>
          </w:tcPr>
          <w:p w14:paraId="13379A9C" w14:textId="77777777" w:rsidR="0047338A" w:rsidRPr="004C4D2A" w:rsidRDefault="0047338A" w:rsidP="0047338A">
            <w:pPr>
              <w:keepNext/>
              <w:spacing w:before="40" w:after="40"/>
              <w:rPr>
                <w:rFonts w:ascii="Arial Narrow" w:hAnsi="Arial Narrow" w:cs="Tahoma"/>
                <w:sz w:val="20"/>
                <w:szCs w:val="22"/>
                <w:lang w:eastAsia="en-US"/>
              </w:rPr>
            </w:pPr>
            <w:r w:rsidRPr="004C4D2A">
              <w:rPr>
                <w:rFonts w:ascii="Arial Narrow" w:hAnsi="Arial Narrow" w:cs="Tahoma"/>
                <w:sz w:val="20"/>
                <w:szCs w:val="22"/>
                <w:lang w:eastAsia="en-US"/>
              </w:rPr>
              <w:t>Category 5 – DIAGNOSTIC IMAGING SERVICES</w:t>
            </w:r>
          </w:p>
        </w:tc>
      </w:tr>
      <w:tr w:rsidR="0047338A" w:rsidRPr="004C4D2A" w14:paraId="70524AD1" w14:textId="77777777" w:rsidTr="0047338A">
        <w:trPr>
          <w:cantSplit/>
          <w:tblHeader/>
        </w:trPr>
        <w:tc>
          <w:tcPr>
            <w:tcW w:w="9019" w:type="dxa"/>
          </w:tcPr>
          <w:p w14:paraId="1128FE46" w14:textId="18BEA815" w:rsidR="0047338A" w:rsidRDefault="0047338A" w:rsidP="00493886">
            <w:pPr>
              <w:spacing w:before="40" w:after="240"/>
              <w:rPr>
                <w:rFonts w:ascii="Arial Narrow" w:eastAsia="SimSun" w:hAnsi="Arial Narrow" w:cs="Tahoma"/>
                <w:sz w:val="20"/>
              </w:rPr>
            </w:pPr>
            <w:r w:rsidRPr="004C4D2A">
              <w:rPr>
                <w:rFonts w:ascii="Arial Narrow" w:eastAsia="SimSun" w:hAnsi="Arial Narrow" w:cs="Tahoma"/>
                <w:sz w:val="20"/>
              </w:rPr>
              <w:t>Note: Benefits are payable on only one occasion in any 12-month period</w:t>
            </w:r>
          </w:p>
          <w:p w14:paraId="3CBEB715" w14:textId="4BBDCCAF" w:rsidR="007C262C" w:rsidRDefault="007C262C" w:rsidP="00493886">
            <w:pPr>
              <w:spacing w:before="40" w:after="240"/>
              <w:rPr>
                <w:rFonts w:ascii="Arial Narrow" w:eastAsia="SimSun" w:hAnsi="Arial Narrow" w:cs="Tahoma"/>
                <w:sz w:val="20"/>
              </w:rPr>
            </w:pPr>
            <w:r w:rsidRPr="007C262C">
              <w:rPr>
                <w:rFonts w:ascii="Arial Narrow" w:eastAsia="SimSun" w:hAnsi="Arial Narrow" w:cs="Tahoma"/>
                <w:sz w:val="20"/>
              </w:rPr>
              <w:t>MAGNETIC RESONANCE IMAGING with a hepatobiliary-specific contrast agent, including delayed imaging when performed, performed under the professional supervision of an eligible provider at an eligible location where the patient is referred by a specialist or consultant physician –</w:t>
            </w:r>
            <w:r w:rsidR="00493886">
              <w:rPr>
                <w:rFonts w:ascii="Arial Narrow" w:eastAsia="SimSun" w:hAnsi="Arial Narrow" w:cs="Tahoma"/>
                <w:sz w:val="20"/>
              </w:rPr>
              <w:t xml:space="preserve"> multiphase scans of liver for:</w:t>
            </w:r>
          </w:p>
          <w:p w14:paraId="43B0AA9E" w14:textId="77777777" w:rsidR="007C262C" w:rsidRPr="007C262C" w:rsidRDefault="007C262C" w:rsidP="007C262C">
            <w:pPr>
              <w:spacing w:before="40" w:after="40"/>
              <w:rPr>
                <w:rFonts w:ascii="Arial Narrow" w:eastAsia="SimSun" w:hAnsi="Arial Narrow" w:cs="Tahoma"/>
                <w:sz w:val="20"/>
              </w:rPr>
            </w:pPr>
            <w:r w:rsidRPr="007C262C">
              <w:rPr>
                <w:rFonts w:ascii="Arial Narrow" w:eastAsia="SimSun" w:hAnsi="Arial Narrow" w:cs="Tahoma"/>
                <w:sz w:val="20"/>
              </w:rPr>
              <w:t>A patient with known colorectal carcinoma with known, suspected or possible liver metastasis, for the purpose of characterisation or intervention planning, where:</w:t>
            </w:r>
          </w:p>
          <w:p w14:paraId="7B828554" w14:textId="01AF0C14" w:rsidR="007C262C" w:rsidRPr="00493886" w:rsidRDefault="007C262C" w:rsidP="00493886">
            <w:pPr>
              <w:numPr>
                <w:ilvl w:val="0"/>
                <w:numId w:val="35"/>
              </w:numPr>
              <w:spacing w:before="40" w:after="240"/>
              <w:rPr>
                <w:rFonts w:ascii="Arial Narrow" w:eastAsia="SimSun" w:hAnsi="Arial Narrow" w:cs="Tahoma"/>
                <w:sz w:val="20"/>
              </w:rPr>
            </w:pPr>
            <w:proofErr w:type="gramStart"/>
            <w:r w:rsidRPr="007C262C">
              <w:rPr>
                <w:rFonts w:ascii="Arial Narrow" w:eastAsia="SimSun" w:hAnsi="Arial Narrow" w:cs="Tahoma"/>
                <w:sz w:val="20"/>
              </w:rPr>
              <w:t>the</w:t>
            </w:r>
            <w:proofErr w:type="gramEnd"/>
            <w:r w:rsidRPr="007C262C">
              <w:rPr>
                <w:rFonts w:ascii="Arial Narrow" w:eastAsia="SimSun" w:hAnsi="Arial Narrow" w:cs="Tahoma"/>
                <w:sz w:val="20"/>
              </w:rPr>
              <w:t xml:space="preserve"> patient has had a mass lesion detected in the liver on previous CT scanning or ultrasound.</w:t>
            </w:r>
          </w:p>
          <w:p w14:paraId="3841509F" w14:textId="13B87631" w:rsidR="007C262C" w:rsidRDefault="007C262C" w:rsidP="00493886">
            <w:pPr>
              <w:spacing w:before="40" w:after="240"/>
              <w:rPr>
                <w:rFonts w:ascii="Arial Narrow" w:eastAsia="SimSun" w:hAnsi="Arial Narrow" w:cs="Tahoma"/>
                <w:sz w:val="20"/>
              </w:rPr>
            </w:pPr>
            <w:r>
              <w:rPr>
                <w:rFonts w:ascii="Arial Narrow" w:eastAsia="SimSun" w:hAnsi="Arial Narrow" w:cs="Tahoma"/>
                <w:sz w:val="20"/>
              </w:rPr>
              <w:t xml:space="preserve">For </w:t>
            </w:r>
            <w:r w:rsidRPr="007C262C">
              <w:rPr>
                <w:rFonts w:ascii="Arial Narrow" w:eastAsia="SimSun" w:hAnsi="Arial Narrow" w:cs="Tahoma"/>
                <w:sz w:val="20"/>
              </w:rPr>
              <w:t xml:space="preserve">use </w:t>
            </w:r>
            <w:r>
              <w:rPr>
                <w:rFonts w:ascii="Arial Narrow" w:eastAsia="SimSun" w:hAnsi="Arial Narrow" w:cs="Tahoma"/>
                <w:sz w:val="20"/>
              </w:rPr>
              <w:t>with</w:t>
            </w:r>
            <w:r w:rsidRPr="007C262C">
              <w:rPr>
                <w:rFonts w:ascii="Arial Narrow" w:eastAsia="SimSun" w:hAnsi="Arial Narrow" w:cs="Tahoma"/>
                <w:sz w:val="20"/>
              </w:rPr>
              <w:t xml:space="preserve"> HEPATOBILIARY-SPECIFIC CONTRAST AGENT (item XXXX</w:t>
            </w:r>
            <w:r>
              <w:rPr>
                <w:rFonts w:ascii="Arial Narrow" w:eastAsia="SimSun" w:hAnsi="Arial Narrow" w:cs="Tahoma"/>
                <w:sz w:val="20"/>
              </w:rPr>
              <w:t>X</w:t>
            </w:r>
            <w:r w:rsidRPr="007C262C">
              <w:rPr>
                <w:rFonts w:ascii="Arial Narrow" w:eastAsia="SimSun" w:hAnsi="Arial Narrow" w:cs="Tahoma"/>
                <w:sz w:val="20"/>
              </w:rPr>
              <w:t xml:space="preserve">). If a patient has known or suspected clinical indication/s considered by a specialist or consultant physician to clinically indicate the need for imaging with an extracellular contrast agent, the modifying MRI item </w:t>
            </w:r>
            <w:r>
              <w:rPr>
                <w:rFonts w:ascii="Arial Narrow" w:eastAsia="SimSun" w:hAnsi="Arial Narrow" w:cs="Tahoma"/>
                <w:sz w:val="20"/>
              </w:rPr>
              <w:t xml:space="preserve">63491 </w:t>
            </w:r>
            <w:r w:rsidR="007868E8">
              <w:rPr>
                <w:rFonts w:ascii="Arial Narrow" w:eastAsia="SimSun" w:hAnsi="Arial Narrow" w:cs="Tahoma"/>
                <w:sz w:val="20"/>
              </w:rPr>
              <w:t xml:space="preserve">can </w:t>
            </w:r>
            <w:r w:rsidR="00493886">
              <w:rPr>
                <w:rFonts w:ascii="Arial Narrow" w:eastAsia="SimSun" w:hAnsi="Arial Narrow" w:cs="Tahoma"/>
                <w:sz w:val="20"/>
              </w:rPr>
              <w:t xml:space="preserve">be used with this item. </w:t>
            </w:r>
          </w:p>
          <w:p w14:paraId="53BDC8B2" w14:textId="77777777" w:rsidR="0047338A" w:rsidRPr="004C4D2A" w:rsidRDefault="0047338A" w:rsidP="0047338A">
            <w:pPr>
              <w:spacing w:before="40" w:after="40"/>
              <w:rPr>
                <w:rFonts w:ascii="Arial Narrow" w:eastAsia="SimSun" w:hAnsi="Arial Narrow" w:cs="Tahoma"/>
                <w:sz w:val="20"/>
              </w:rPr>
            </w:pPr>
            <w:r w:rsidRPr="004C4D2A">
              <w:rPr>
                <w:rFonts w:ascii="Arial Narrow" w:eastAsia="SimSun" w:hAnsi="Arial Narrow" w:cs="Tahoma"/>
                <w:sz w:val="20"/>
              </w:rPr>
              <w:t>Bulk bill incentive</w:t>
            </w:r>
          </w:p>
          <w:p w14:paraId="32C932DA" w14:textId="6541DF33" w:rsidR="0047338A" w:rsidRPr="004C4D2A" w:rsidRDefault="0047338A" w:rsidP="0047338A">
            <w:pPr>
              <w:spacing w:before="40" w:after="40"/>
              <w:rPr>
                <w:rFonts w:ascii="Arial Narrow" w:eastAsia="SimSun" w:hAnsi="Arial Narrow" w:cs="Tahoma"/>
                <w:sz w:val="20"/>
              </w:rPr>
            </w:pPr>
            <w:r w:rsidRPr="004C4D2A">
              <w:rPr>
                <w:rFonts w:ascii="Arial Narrow" w:eastAsia="SimSun" w:hAnsi="Arial Narrow" w:cs="Tahoma"/>
                <w:sz w:val="20"/>
              </w:rPr>
              <w:t>Fee: $</w:t>
            </w:r>
            <w:r w:rsidR="007C262C">
              <w:rPr>
                <w:rFonts w:ascii="Arial Narrow" w:eastAsia="SimSun" w:hAnsi="Arial Narrow" w:cs="Tahoma"/>
                <w:sz w:val="20"/>
              </w:rPr>
              <w:t>550</w:t>
            </w:r>
            <w:r w:rsidRPr="004C4D2A">
              <w:rPr>
                <w:rFonts w:ascii="Arial Narrow" w:eastAsia="SimSun" w:hAnsi="Arial Narrow" w:cs="Tahoma"/>
                <w:sz w:val="20"/>
              </w:rPr>
              <w:t xml:space="preserve">   Benefit: 75% = $</w:t>
            </w:r>
            <w:r w:rsidR="007C262C">
              <w:rPr>
                <w:rFonts w:ascii="Arial Narrow" w:eastAsia="SimSun" w:hAnsi="Arial Narrow" w:cs="Tahoma"/>
                <w:sz w:val="20"/>
              </w:rPr>
              <w:t>412.50</w:t>
            </w:r>
            <w:r w:rsidRPr="004C4D2A">
              <w:rPr>
                <w:rFonts w:ascii="Arial Narrow" w:eastAsia="SimSun" w:hAnsi="Arial Narrow" w:cs="Tahoma"/>
                <w:sz w:val="20"/>
              </w:rPr>
              <w:t xml:space="preserve">  85% = $</w:t>
            </w:r>
            <w:r w:rsidR="007C262C">
              <w:rPr>
                <w:rFonts w:ascii="Arial Narrow" w:eastAsia="SimSun" w:hAnsi="Arial Narrow" w:cs="Tahoma"/>
                <w:sz w:val="20"/>
              </w:rPr>
              <w:t>467.50</w:t>
            </w:r>
          </w:p>
          <w:p w14:paraId="6BB09508" w14:textId="77777777" w:rsidR="0047338A" w:rsidRPr="004C4D2A" w:rsidRDefault="0047338A" w:rsidP="0047338A">
            <w:pPr>
              <w:spacing w:before="40" w:after="40"/>
              <w:rPr>
                <w:rFonts w:ascii="Arial Narrow" w:hAnsi="Arial Narrow" w:cs="Tahoma"/>
                <w:sz w:val="20"/>
              </w:rPr>
            </w:pPr>
            <w:r w:rsidRPr="004C4D2A">
              <w:rPr>
                <w:rFonts w:ascii="Arial Narrow" w:eastAsia="SimSun" w:hAnsi="Arial Narrow" w:cs="Tahoma"/>
                <w:sz w:val="20"/>
              </w:rPr>
              <w:t>(See para DIQ of explanatory notes to this category)</w:t>
            </w:r>
          </w:p>
        </w:tc>
      </w:tr>
    </w:tbl>
    <w:p w14:paraId="315CD85D" w14:textId="7CD8C437" w:rsidR="0047338A" w:rsidRPr="004C4D2A" w:rsidRDefault="00926686" w:rsidP="00493886">
      <w:pPr>
        <w:keepNext/>
        <w:widowControl w:val="0"/>
        <w:spacing w:before="240"/>
        <w:rPr>
          <w:b/>
          <w:bCs/>
          <w:snapToGrid w:val="0"/>
          <w:sz w:val="18"/>
          <w:szCs w:val="18"/>
          <w:lang w:val="en-US" w:eastAsia="en-US"/>
        </w:rPr>
      </w:pPr>
      <w:r>
        <w:rPr>
          <w:b/>
          <w:bCs/>
          <w:snapToGrid w:val="0"/>
          <w:sz w:val="18"/>
          <w:szCs w:val="18"/>
          <w:lang w:val="en-US" w:eastAsia="en-US"/>
        </w:rPr>
        <w:t>Table 2</w:t>
      </w:r>
      <w:r>
        <w:rPr>
          <w:b/>
          <w:bCs/>
          <w:snapToGrid w:val="0"/>
          <w:sz w:val="18"/>
          <w:szCs w:val="18"/>
          <w:lang w:val="en-US" w:eastAsia="en-US"/>
        </w:rPr>
        <w:tab/>
      </w:r>
      <w:r w:rsidR="0047338A" w:rsidRPr="004C4D2A">
        <w:rPr>
          <w:b/>
          <w:bCs/>
          <w:snapToGrid w:val="0"/>
          <w:sz w:val="18"/>
          <w:szCs w:val="18"/>
          <w:lang w:val="en-US" w:eastAsia="en-US"/>
        </w:rPr>
        <w:t>Proposed GA-MRI item descriptor for liver MRI Population Group 2 (HCC)</w:t>
      </w:r>
    </w:p>
    <w:tbl>
      <w:tblPr>
        <w:tblStyle w:val="TableGrid1"/>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9"/>
      </w:tblGrid>
      <w:tr w:rsidR="0047338A" w:rsidRPr="004C4D2A" w14:paraId="608CA5E5" w14:textId="77777777" w:rsidTr="0047338A">
        <w:trPr>
          <w:cantSplit/>
          <w:tblHeader/>
        </w:trPr>
        <w:tc>
          <w:tcPr>
            <w:tcW w:w="9019" w:type="dxa"/>
          </w:tcPr>
          <w:p w14:paraId="51E530C4" w14:textId="77777777" w:rsidR="0047338A" w:rsidRPr="004C4D2A" w:rsidRDefault="0047338A" w:rsidP="0047338A">
            <w:pPr>
              <w:keepNext/>
              <w:spacing w:before="40" w:after="40"/>
              <w:rPr>
                <w:rFonts w:ascii="Arial Narrow" w:hAnsi="Arial Narrow" w:cs="Tahoma"/>
                <w:sz w:val="20"/>
                <w:szCs w:val="22"/>
                <w:lang w:eastAsia="en-US"/>
              </w:rPr>
            </w:pPr>
            <w:r w:rsidRPr="004C4D2A">
              <w:rPr>
                <w:rFonts w:ascii="Arial Narrow" w:hAnsi="Arial Narrow" w:cs="Tahoma"/>
                <w:sz w:val="20"/>
                <w:szCs w:val="22"/>
                <w:lang w:eastAsia="en-US"/>
              </w:rPr>
              <w:t>Category 5 – DIAGNOSTIC IMAGING SERVICES</w:t>
            </w:r>
          </w:p>
        </w:tc>
      </w:tr>
      <w:tr w:rsidR="0047338A" w:rsidRPr="004C4D2A" w14:paraId="19105229" w14:textId="77777777" w:rsidTr="0047338A">
        <w:trPr>
          <w:cantSplit/>
          <w:tblHeader/>
        </w:trPr>
        <w:tc>
          <w:tcPr>
            <w:tcW w:w="9019" w:type="dxa"/>
          </w:tcPr>
          <w:p w14:paraId="6A88F84C" w14:textId="42DB7C62" w:rsidR="0047338A" w:rsidRDefault="0047338A" w:rsidP="00493886">
            <w:pPr>
              <w:spacing w:before="40" w:after="240"/>
              <w:rPr>
                <w:rFonts w:ascii="Arial Narrow" w:eastAsia="SimSun" w:hAnsi="Arial Narrow" w:cs="Tahoma"/>
                <w:sz w:val="20"/>
              </w:rPr>
            </w:pPr>
            <w:r w:rsidRPr="004C4D2A">
              <w:rPr>
                <w:rFonts w:ascii="Arial Narrow" w:eastAsia="SimSun" w:hAnsi="Arial Narrow" w:cs="Tahoma"/>
                <w:sz w:val="20"/>
              </w:rPr>
              <w:t>Note: Benefits are payable on only one occasion in any 12-month period</w:t>
            </w:r>
          </w:p>
          <w:p w14:paraId="4EF2482A" w14:textId="46960647" w:rsidR="007C262C" w:rsidRPr="007C262C" w:rsidRDefault="007C262C" w:rsidP="00493886">
            <w:pPr>
              <w:spacing w:before="40" w:after="240"/>
              <w:rPr>
                <w:rFonts w:ascii="Arial Narrow" w:eastAsia="SimSun" w:hAnsi="Arial Narrow" w:cs="Tahoma"/>
                <w:sz w:val="20"/>
              </w:rPr>
            </w:pPr>
            <w:r w:rsidRPr="007C262C">
              <w:rPr>
                <w:rFonts w:ascii="Arial Narrow" w:eastAsia="SimSun" w:hAnsi="Arial Narrow" w:cs="Tahoma"/>
                <w:sz w:val="20"/>
              </w:rPr>
              <w:t>MAGNETIC RESONANCE IMAGING with a hepatobiliary-specific contrast agent, including delayed imaging when performed, performed under the professional supervision of an eligible provider at an eligible location where the patient is referred by a specialist or consultant physician –</w:t>
            </w:r>
            <w:r w:rsidR="00493886">
              <w:rPr>
                <w:rFonts w:ascii="Arial Narrow" w:eastAsia="SimSun" w:hAnsi="Arial Narrow" w:cs="Tahoma"/>
                <w:sz w:val="20"/>
              </w:rPr>
              <w:t xml:space="preserve"> multiphase scans of liver for:</w:t>
            </w:r>
          </w:p>
          <w:p w14:paraId="3FC74348" w14:textId="77777777" w:rsidR="007C262C" w:rsidRPr="007C262C" w:rsidRDefault="007C262C" w:rsidP="007C262C">
            <w:pPr>
              <w:spacing w:before="40" w:after="40"/>
              <w:rPr>
                <w:rFonts w:ascii="Arial Narrow" w:eastAsia="SimSun" w:hAnsi="Arial Narrow" w:cs="Tahoma"/>
                <w:sz w:val="20"/>
              </w:rPr>
            </w:pPr>
            <w:r w:rsidRPr="007C262C">
              <w:rPr>
                <w:rFonts w:ascii="Arial Narrow" w:eastAsia="SimSun" w:hAnsi="Arial Narrow" w:cs="Tahoma"/>
                <w:sz w:val="20"/>
              </w:rPr>
              <w:t>A patient with known or suspected hepatocellular carcinoma for the purposes of diagnosis or staging where:</w:t>
            </w:r>
          </w:p>
          <w:p w14:paraId="5A6CFAB2" w14:textId="6DE73CAE" w:rsidR="007C262C" w:rsidRPr="007C262C" w:rsidRDefault="007C262C" w:rsidP="007C262C">
            <w:pPr>
              <w:spacing w:before="40" w:after="40"/>
              <w:rPr>
                <w:rFonts w:ascii="Arial Narrow" w:eastAsia="SimSun" w:hAnsi="Arial Narrow" w:cs="Tahoma"/>
                <w:sz w:val="20"/>
              </w:rPr>
            </w:pPr>
            <w:r w:rsidRPr="007C262C">
              <w:rPr>
                <w:rFonts w:ascii="Arial Narrow" w:eastAsia="SimSun" w:hAnsi="Arial Narrow" w:cs="Tahoma"/>
                <w:sz w:val="20"/>
              </w:rPr>
              <w:t>·   the patient has pre-existing chronic liver disease, confirmed by a specialist; and</w:t>
            </w:r>
          </w:p>
          <w:p w14:paraId="21DA5AD4" w14:textId="0634DF98" w:rsidR="007C262C" w:rsidRPr="007C262C" w:rsidRDefault="007C262C" w:rsidP="007C262C">
            <w:pPr>
              <w:spacing w:before="40" w:after="40"/>
              <w:rPr>
                <w:rFonts w:ascii="Arial Narrow" w:eastAsia="SimSun" w:hAnsi="Arial Narrow" w:cs="Tahoma"/>
                <w:sz w:val="20"/>
              </w:rPr>
            </w:pPr>
            <w:r w:rsidRPr="007C262C">
              <w:rPr>
                <w:rFonts w:ascii="Arial Narrow" w:eastAsia="SimSun" w:hAnsi="Arial Narrow" w:cs="Tahoma"/>
                <w:sz w:val="20"/>
              </w:rPr>
              <w:t>·</w:t>
            </w:r>
            <w:r w:rsidR="00ED11F0">
              <w:rPr>
                <w:rFonts w:ascii="Arial Narrow" w:eastAsia="SimSun" w:hAnsi="Arial Narrow" w:cs="Tahoma"/>
                <w:sz w:val="20"/>
              </w:rPr>
              <w:t xml:space="preserve">  </w:t>
            </w:r>
            <w:r w:rsidRPr="007C262C">
              <w:rPr>
                <w:rFonts w:ascii="Arial Narrow" w:eastAsia="SimSun" w:hAnsi="Arial Narrow" w:cs="Tahoma"/>
                <w:sz w:val="20"/>
              </w:rPr>
              <w:t xml:space="preserve"> has an identified hepatic lesion over 10mm in diameter; and</w:t>
            </w:r>
          </w:p>
          <w:p w14:paraId="056119C6" w14:textId="7B57899C" w:rsidR="007C262C" w:rsidRPr="007C262C" w:rsidRDefault="007C262C" w:rsidP="00493886">
            <w:pPr>
              <w:spacing w:before="40" w:after="240"/>
              <w:rPr>
                <w:rFonts w:ascii="Arial Narrow" w:eastAsia="SimSun" w:hAnsi="Arial Narrow" w:cs="Tahoma"/>
                <w:sz w:val="20"/>
              </w:rPr>
            </w:pPr>
            <w:r w:rsidRPr="007C262C">
              <w:rPr>
                <w:rFonts w:ascii="Arial Narrow" w:eastAsia="SimSun" w:hAnsi="Arial Narrow" w:cs="Tahoma"/>
                <w:sz w:val="20"/>
              </w:rPr>
              <w:t>·</w:t>
            </w:r>
            <w:r w:rsidR="00ED11F0">
              <w:rPr>
                <w:rFonts w:ascii="Arial Narrow" w:eastAsia="SimSun" w:hAnsi="Arial Narrow" w:cs="Tahoma"/>
                <w:sz w:val="20"/>
              </w:rPr>
              <w:t xml:space="preserve">  </w:t>
            </w:r>
            <w:r w:rsidRPr="007C262C">
              <w:rPr>
                <w:rFonts w:ascii="Arial Narrow" w:eastAsia="SimSun" w:hAnsi="Arial Narrow" w:cs="Tahoma"/>
                <w:sz w:val="20"/>
              </w:rPr>
              <w:t xml:space="preserve"> has been assessed as having a Child-Pu</w:t>
            </w:r>
            <w:r w:rsidR="00493886">
              <w:rPr>
                <w:rFonts w:ascii="Arial Narrow" w:eastAsia="SimSun" w:hAnsi="Arial Narrow" w:cs="Tahoma"/>
                <w:sz w:val="20"/>
              </w:rPr>
              <w:t>gh class A or B liver function.</w:t>
            </w:r>
          </w:p>
          <w:p w14:paraId="27B408FC" w14:textId="12F0D489" w:rsidR="007C262C" w:rsidRDefault="007C262C" w:rsidP="00493886">
            <w:pPr>
              <w:spacing w:before="40" w:after="240"/>
              <w:rPr>
                <w:rFonts w:ascii="Arial Narrow" w:eastAsia="SimSun" w:hAnsi="Arial Narrow" w:cs="Tahoma"/>
                <w:sz w:val="20"/>
              </w:rPr>
            </w:pPr>
            <w:r>
              <w:rPr>
                <w:rFonts w:ascii="Arial Narrow" w:eastAsia="SimSun" w:hAnsi="Arial Narrow" w:cs="Tahoma"/>
                <w:sz w:val="20"/>
              </w:rPr>
              <w:t>For use with</w:t>
            </w:r>
            <w:r w:rsidRPr="007C262C">
              <w:rPr>
                <w:rFonts w:ascii="Arial Narrow" w:eastAsia="SimSun" w:hAnsi="Arial Narrow" w:cs="Tahoma"/>
                <w:sz w:val="20"/>
              </w:rPr>
              <w:t xml:space="preserve"> HEPATOBILIARY-SPECIFIC CONTRAST AGENT (item XXXXX). If a patient has known or suspected clinical indication/s considered by a specialist or consultant physician to clinically indicate the need for imaging with an extracellular contrast agent, the modifying MRI item </w:t>
            </w:r>
            <w:r>
              <w:rPr>
                <w:rFonts w:ascii="Arial Narrow" w:eastAsia="SimSun" w:hAnsi="Arial Narrow" w:cs="Tahoma"/>
                <w:sz w:val="20"/>
              </w:rPr>
              <w:t xml:space="preserve">63491 </w:t>
            </w:r>
            <w:r w:rsidRPr="007C262C">
              <w:rPr>
                <w:rFonts w:ascii="Arial Narrow" w:eastAsia="SimSun" w:hAnsi="Arial Narrow" w:cs="Tahoma"/>
                <w:sz w:val="20"/>
              </w:rPr>
              <w:t>can be used</w:t>
            </w:r>
            <w:r w:rsidR="007868E8">
              <w:rPr>
                <w:rFonts w:ascii="Arial Narrow" w:eastAsia="SimSun" w:hAnsi="Arial Narrow" w:cs="Tahoma"/>
                <w:sz w:val="20"/>
              </w:rPr>
              <w:t xml:space="preserve"> with this item</w:t>
            </w:r>
            <w:r w:rsidR="00493886">
              <w:rPr>
                <w:rFonts w:ascii="Arial Narrow" w:eastAsia="SimSun" w:hAnsi="Arial Narrow" w:cs="Tahoma"/>
                <w:sz w:val="20"/>
              </w:rPr>
              <w:t xml:space="preserve">. </w:t>
            </w:r>
          </w:p>
          <w:p w14:paraId="00F9D315" w14:textId="77777777" w:rsidR="0047338A" w:rsidRPr="004C4D2A" w:rsidRDefault="0047338A" w:rsidP="0047338A">
            <w:pPr>
              <w:spacing w:before="40" w:after="40"/>
              <w:rPr>
                <w:rFonts w:ascii="Arial Narrow" w:eastAsia="SimSun" w:hAnsi="Arial Narrow" w:cs="Tahoma"/>
                <w:sz w:val="20"/>
              </w:rPr>
            </w:pPr>
            <w:r w:rsidRPr="004C4D2A">
              <w:rPr>
                <w:rFonts w:ascii="Arial Narrow" w:eastAsia="SimSun" w:hAnsi="Arial Narrow" w:cs="Tahoma"/>
                <w:sz w:val="20"/>
              </w:rPr>
              <w:t>Bulk bill incentive</w:t>
            </w:r>
          </w:p>
          <w:p w14:paraId="791CBA56" w14:textId="77777777" w:rsidR="007C262C" w:rsidRPr="007C262C" w:rsidRDefault="007C262C" w:rsidP="007C262C">
            <w:pPr>
              <w:spacing w:before="40" w:after="40"/>
              <w:rPr>
                <w:rFonts w:ascii="Arial Narrow" w:eastAsia="SimSun" w:hAnsi="Arial Narrow" w:cs="Tahoma"/>
                <w:sz w:val="20"/>
              </w:rPr>
            </w:pPr>
            <w:r w:rsidRPr="007C262C">
              <w:rPr>
                <w:rFonts w:ascii="Arial Narrow" w:eastAsia="SimSun" w:hAnsi="Arial Narrow" w:cs="Tahoma"/>
                <w:sz w:val="20"/>
              </w:rPr>
              <w:t>Fee: $550   Benefit: 75% = $412.50  85% = $467.50</w:t>
            </w:r>
          </w:p>
          <w:p w14:paraId="6955BBBE" w14:textId="5E255E97" w:rsidR="0047338A" w:rsidRPr="004C4D2A" w:rsidRDefault="007C262C" w:rsidP="007C262C">
            <w:pPr>
              <w:spacing w:before="40" w:after="40"/>
              <w:rPr>
                <w:rFonts w:ascii="Arial Narrow" w:hAnsi="Arial Narrow" w:cs="Tahoma"/>
                <w:sz w:val="20"/>
              </w:rPr>
            </w:pPr>
            <w:r w:rsidRPr="007C262C">
              <w:rPr>
                <w:rFonts w:ascii="Arial Narrow" w:eastAsia="SimSun" w:hAnsi="Arial Narrow" w:cs="Tahoma"/>
                <w:sz w:val="20"/>
              </w:rPr>
              <w:t xml:space="preserve"> </w:t>
            </w:r>
            <w:r w:rsidR="0047338A" w:rsidRPr="004C4D2A">
              <w:rPr>
                <w:rFonts w:ascii="Arial Narrow" w:eastAsia="SimSun" w:hAnsi="Arial Narrow" w:cs="Tahoma"/>
                <w:sz w:val="20"/>
              </w:rPr>
              <w:t>(See para DIQ of explanatory notes to this category)</w:t>
            </w:r>
          </w:p>
        </w:tc>
      </w:tr>
    </w:tbl>
    <w:p w14:paraId="0A4896BA" w14:textId="77777777" w:rsidR="007868E8" w:rsidRDefault="007868E8">
      <w:pPr>
        <w:rPr>
          <w:b/>
          <w:bCs/>
          <w:snapToGrid w:val="0"/>
          <w:sz w:val="18"/>
          <w:szCs w:val="18"/>
          <w:lang w:val="en-US" w:eastAsia="en-US"/>
        </w:rPr>
      </w:pPr>
      <w:r>
        <w:rPr>
          <w:b/>
          <w:bCs/>
          <w:snapToGrid w:val="0"/>
          <w:sz w:val="18"/>
          <w:szCs w:val="18"/>
          <w:lang w:val="en-US" w:eastAsia="en-US"/>
        </w:rPr>
        <w:br w:type="page"/>
      </w:r>
    </w:p>
    <w:p w14:paraId="4C58AFED" w14:textId="2CC7DBD0" w:rsidR="007868E8" w:rsidRDefault="007868E8" w:rsidP="007868E8">
      <w:pPr>
        <w:keepNext/>
        <w:widowControl w:val="0"/>
        <w:rPr>
          <w:b/>
          <w:bCs/>
          <w:snapToGrid w:val="0"/>
          <w:sz w:val="18"/>
          <w:szCs w:val="18"/>
          <w:lang w:val="en-US" w:eastAsia="en-US"/>
        </w:rPr>
      </w:pPr>
      <w:r>
        <w:rPr>
          <w:b/>
          <w:bCs/>
          <w:snapToGrid w:val="0"/>
          <w:sz w:val="18"/>
          <w:szCs w:val="18"/>
          <w:lang w:val="en-US" w:eastAsia="en-US"/>
        </w:rPr>
        <w:lastRenderedPageBreak/>
        <w:t>Table 3</w:t>
      </w:r>
      <w:r>
        <w:rPr>
          <w:b/>
          <w:bCs/>
          <w:snapToGrid w:val="0"/>
          <w:sz w:val="18"/>
          <w:szCs w:val="18"/>
          <w:lang w:val="en-US" w:eastAsia="en-US"/>
        </w:rPr>
        <w:tab/>
      </w:r>
      <w:r w:rsidRPr="004C4D2A">
        <w:rPr>
          <w:b/>
          <w:bCs/>
          <w:snapToGrid w:val="0"/>
          <w:sz w:val="18"/>
          <w:szCs w:val="18"/>
          <w:lang w:val="en-US" w:eastAsia="en-US"/>
        </w:rPr>
        <w:t xml:space="preserve">Proposed </w:t>
      </w:r>
      <w:r>
        <w:rPr>
          <w:b/>
          <w:bCs/>
          <w:snapToGrid w:val="0"/>
          <w:sz w:val="18"/>
          <w:szCs w:val="18"/>
          <w:lang w:val="en-US" w:eastAsia="en-US"/>
        </w:rPr>
        <w:t xml:space="preserve">new </w:t>
      </w:r>
      <w:r w:rsidRPr="004C4D2A">
        <w:rPr>
          <w:b/>
          <w:bCs/>
          <w:snapToGrid w:val="0"/>
          <w:sz w:val="18"/>
          <w:szCs w:val="18"/>
          <w:lang w:val="en-US" w:eastAsia="en-US"/>
        </w:rPr>
        <w:t xml:space="preserve">item descriptor for liver MRI </w:t>
      </w:r>
      <w:r>
        <w:rPr>
          <w:b/>
          <w:bCs/>
          <w:snapToGrid w:val="0"/>
          <w:sz w:val="18"/>
          <w:szCs w:val="18"/>
          <w:lang w:val="en-US" w:eastAsia="en-US"/>
        </w:rPr>
        <w:t>liver contrast agent</w:t>
      </w:r>
    </w:p>
    <w:tbl>
      <w:tblPr>
        <w:tblStyle w:val="TableGrid"/>
        <w:tblW w:w="0" w:type="auto"/>
        <w:tblLook w:val="04A0" w:firstRow="1" w:lastRow="0" w:firstColumn="1" w:lastColumn="0" w:noHBand="0" w:noVBand="1"/>
        <w:tblDescription w:val="Proposed item descriptor"/>
      </w:tblPr>
      <w:tblGrid>
        <w:gridCol w:w="9019"/>
      </w:tblGrid>
      <w:tr w:rsidR="007868E8" w:rsidRPr="00184A70" w14:paraId="116A21D6" w14:textId="77777777" w:rsidTr="007868E8">
        <w:trPr>
          <w:cantSplit/>
          <w:tblHeader/>
        </w:trPr>
        <w:tc>
          <w:tcPr>
            <w:tcW w:w="9019" w:type="dxa"/>
          </w:tcPr>
          <w:p w14:paraId="1711655B" w14:textId="77777777" w:rsidR="007868E8" w:rsidRPr="00184A70" w:rsidRDefault="007868E8" w:rsidP="00184A70">
            <w:pPr>
              <w:tabs>
                <w:tab w:val="num" w:pos="426"/>
              </w:tabs>
              <w:spacing w:after="0"/>
              <w:ind w:left="0"/>
              <w:rPr>
                <w:rFonts w:ascii="Arial Narrow" w:hAnsi="Arial Narrow"/>
                <w:sz w:val="20"/>
              </w:rPr>
            </w:pPr>
            <w:r w:rsidRPr="00184A70">
              <w:rPr>
                <w:rFonts w:ascii="Arial Narrow" w:hAnsi="Arial Narrow"/>
                <w:sz w:val="20"/>
              </w:rPr>
              <w:t>Category 5 – DIAGNOSTIC IMAGING SERVICES</w:t>
            </w:r>
          </w:p>
        </w:tc>
      </w:tr>
      <w:tr w:rsidR="007868E8" w:rsidRPr="00184A70" w14:paraId="6ED9F7ED" w14:textId="77777777" w:rsidTr="007868E8">
        <w:trPr>
          <w:cantSplit/>
          <w:tblHeader/>
        </w:trPr>
        <w:tc>
          <w:tcPr>
            <w:tcW w:w="9019" w:type="dxa"/>
          </w:tcPr>
          <w:p w14:paraId="4866CC10" w14:textId="2E4A2F99" w:rsidR="007868E8" w:rsidRPr="00184A70" w:rsidRDefault="00493886" w:rsidP="00493886">
            <w:pPr>
              <w:tabs>
                <w:tab w:val="num" w:pos="426"/>
              </w:tabs>
              <w:ind w:left="0"/>
              <w:rPr>
                <w:rFonts w:ascii="Arial Narrow" w:hAnsi="Arial Narrow"/>
                <w:sz w:val="20"/>
              </w:rPr>
            </w:pPr>
            <w:r>
              <w:rPr>
                <w:rFonts w:ascii="Arial Narrow" w:hAnsi="Arial Narrow"/>
                <w:sz w:val="20"/>
              </w:rPr>
              <w:t>Item XXXXX</w:t>
            </w:r>
          </w:p>
          <w:p w14:paraId="2513DF11" w14:textId="4B78497D" w:rsidR="007868E8" w:rsidRPr="00184A70" w:rsidRDefault="007868E8" w:rsidP="00493886">
            <w:pPr>
              <w:tabs>
                <w:tab w:val="num" w:pos="426"/>
              </w:tabs>
              <w:ind w:left="0"/>
              <w:rPr>
                <w:rFonts w:ascii="Arial Narrow" w:hAnsi="Arial Narrow"/>
                <w:sz w:val="20"/>
              </w:rPr>
            </w:pPr>
            <w:r w:rsidRPr="00184A70">
              <w:rPr>
                <w:rFonts w:ascii="Arial Narrow" w:hAnsi="Arial Narrow"/>
                <w:sz w:val="20"/>
              </w:rPr>
              <w:t>NOTE: Benefits in Subgroup 22 are only payable for modifying items where claimed simultaneously with MRI services. Modifiers for sedation and anaesthesia may not be</w:t>
            </w:r>
            <w:r w:rsidR="00493886">
              <w:rPr>
                <w:rFonts w:ascii="Arial Narrow" w:hAnsi="Arial Narrow"/>
                <w:sz w:val="20"/>
              </w:rPr>
              <w:t xml:space="preserve"> claimed for the same service. </w:t>
            </w:r>
          </w:p>
          <w:p w14:paraId="5CED8AD6" w14:textId="0E1D5D47" w:rsidR="007868E8" w:rsidRPr="00184A70" w:rsidRDefault="007868E8" w:rsidP="00493886">
            <w:pPr>
              <w:tabs>
                <w:tab w:val="num" w:pos="426"/>
              </w:tabs>
              <w:ind w:left="0"/>
              <w:rPr>
                <w:rFonts w:ascii="Arial Narrow" w:hAnsi="Arial Narrow"/>
                <w:sz w:val="20"/>
              </w:rPr>
            </w:pPr>
            <w:r w:rsidRPr="00184A70">
              <w:rPr>
                <w:rFonts w:ascii="Arial Narrow" w:hAnsi="Arial Narrow"/>
                <w:sz w:val="20"/>
              </w:rPr>
              <w:t>Modifying item for use with MAGNETIC RESONANCE IMAGING performed under the professional supervision of an eligible provider at an eligible location where the service requested by a specialist or by</w:t>
            </w:r>
            <w:r w:rsidR="00493886">
              <w:rPr>
                <w:rFonts w:ascii="Arial Narrow" w:hAnsi="Arial Narrow"/>
                <w:sz w:val="20"/>
              </w:rPr>
              <w:t xml:space="preserve"> a consultant. Scan performed: </w:t>
            </w:r>
          </w:p>
          <w:p w14:paraId="75152C9F" w14:textId="35701E99" w:rsidR="007868E8" w:rsidRPr="00184A70" w:rsidRDefault="007868E8" w:rsidP="00493886">
            <w:pPr>
              <w:tabs>
                <w:tab w:val="num" w:pos="426"/>
              </w:tabs>
              <w:ind w:left="0"/>
              <w:rPr>
                <w:rFonts w:ascii="Arial Narrow" w:hAnsi="Arial Narrow"/>
                <w:sz w:val="20"/>
              </w:rPr>
            </w:pPr>
            <w:r w:rsidRPr="00184A70">
              <w:rPr>
                <w:rFonts w:ascii="Arial Narrow" w:hAnsi="Arial Narrow"/>
                <w:sz w:val="20"/>
              </w:rPr>
              <w:t xml:space="preserve">- involves the use of HEPATOBILIARY SPECIFIC contrast agent, as clinically indicated for eligible Magnetic Resonance Imaging items MBS item </w:t>
            </w:r>
            <w:r w:rsidR="00493886">
              <w:rPr>
                <w:rFonts w:ascii="Arial Narrow" w:hAnsi="Arial Narrow"/>
                <w:sz w:val="20"/>
              </w:rPr>
              <w:t>XXXXX and MBS item XXXXX</w:t>
            </w:r>
          </w:p>
          <w:p w14:paraId="4E067642" w14:textId="0089A407" w:rsidR="007868E8" w:rsidRPr="00493886" w:rsidRDefault="00493886" w:rsidP="00493886">
            <w:pPr>
              <w:tabs>
                <w:tab w:val="num" w:pos="426"/>
              </w:tabs>
              <w:ind w:left="0"/>
              <w:rPr>
                <w:rFonts w:ascii="Arial Narrow" w:hAnsi="Arial Narrow"/>
                <w:sz w:val="20"/>
              </w:rPr>
            </w:pPr>
            <w:r>
              <w:rPr>
                <w:rFonts w:ascii="Arial Narrow" w:hAnsi="Arial Narrow"/>
                <w:sz w:val="20"/>
              </w:rPr>
              <w:t>Bulk bill incentive</w:t>
            </w:r>
          </w:p>
          <w:p w14:paraId="68F3A362" w14:textId="156AD6CD" w:rsidR="007868E8" w:rsidRPr="00184A70" w:rsidRDefault="007868E8" w:rsidP="007868E8">
            <w:pPr>
              <w:tabs>
                <w:tab w:val="num" w:pos="426"/>
              </w:tabs>
              <w:spacing w:after="0"/>
              <w:ind w:left="0"/>
              <w:rPr>
                <w:rFonts w:ascii="Arial Narrow" w:hAnsi="Arial Narrow"/>
                <w:sz w:val="20"/>
              </w:rPr>
            </w:pPr>
            <w:r w:rsidRPr="00184A70">
              <w:rPr>
                <w:rFonts w:ascii="Arial Narrow" w:hAnsi="Arial Narrow"/>
                <w:b/>
                <w:sz w:val="20"/>
              </w:rPr>
              <w:t>Fee</w:t>
            </w:r>
            <w:r w:rsidRPr="00184A70">
              <w:rPr>
                <w:rFonts w:ascii="Arial Narrow" w:hAnsi="Arial Narrow"/>
                <w:sz w:val="20"/>
              </w:rPr>
              <w:t xml:space="preserve">: $250 </w:t>
            </w:r>
            <w:r w:rsidRPr="00184A70">
              <w:rPr>
                <w:rFonts w:ascii="Arial Narrow" w:hAnsi="Arial Narrow"/>
                <w:b/>
                <w:sz w:val="20"/>
              </w:rPr>
              <w:t>Benefit:</w:t>
            </w:r>
            <w:r w:rsidRPr="00184A70">
              <w:rPr>
                <w:rFonts w:ascii="Arial Narrow" w:hAnsi="Arial Narrow"/>
                <w:sz w:val="20"/>
              </w:rPr>
              <w:t xml:space="preserve"> 75% = $187.50 85% = $212.50 </w:t>
            </w:r>
          </w:p>
          <w:p w14:paraId="65CFC589" w14:textId="77777777" w:rsidR="007868E8" w:rsidRPr="00184A70" w:rsidRDefault="007868E8" w:rsidP="007868E8">
            <w:pPr>
              <w:tabs>
                <w:tab w:val="num" w:pos="426"/>
              </w:tabs>
              <w:spacing w:after="0"/>
              <w:ind w:left="0"/>
              <w:rPr>
                <w:rFonts w:ascii="Arial Narrow" w:hAnsi="Arial Narrow"/>
                <w:sz w:val="20"/>
              </w:rPr>
            </w:pPr>
            <w:r w:rsidRPr="00184A70">
              <w:rPr>
                <w:rFonts w:ascii="Arial Narrow" w:hAnsi="Arial Narrow"/>
                <w:sz w:val="20"/>
              </w:rPr>
              <w:t>(See para IN.0.19 of explanatory notes to this category)</w:t>
            </w:r>
          </w:p>
        </w:tc>
      </w:tr>
    </w:tbl>
    <w:p w14:paraId="76A9F9CD" w14:textId="76AD318F" w:rsidR="007868E8" w:rsidRDefault="007868E8" w:rsidP="00493886">
      <w:pPr>
        <w:keepNext/>
        <w:widowControl w:val="0"/>
        <w:spacing w:before="240"/>
        <w:rPr>
          <w:b/>
          <w:bCs/>
          <w:snapToGrid w:val="0"/>
          <w:sz w:val="18"/>
          <w:szCs w:val="18"/>
          <w:lang w:val="en-US" w:eastAsia="en-US"/>
        </w:rPr>
      </w:pPr>
      <w:r>
        <w:rPr>
          <w:b/>
          <w:bCs/>
          <w:snapToGrid w:val="0"/>
          <w:sz w:val="18"/>
          <w:szCs w:val="18"/>
          <w:lang w:val="en-US" w:eastAsia="en-US"/>
        </w:rPr>
        <w:t>Table 4</w:t>
      </w:r>
      <w:r>
        <w:rPr>
          <w:b/>
          <w:bCs/>
          <w:snapToGrid w:val="0"/>
          <w:sz w:val="18"/>
          <w:szCs w:val="18"/>
          <w:lang w:val="en-US" w:eastAsia="en-US"/>
        </w:rPr>
        <w:tab/>
        <w:t xml:space="preserve">Existing MRI modifying </w:t>
      </w:r>
      <w:r w:rsidRPr="004C4D2A">
        <w:rPr>
          <w:b/>
          <w:bCs/>
          <w:snapToGrid w:val="0"/>
          <w:sz w:val="18"/>
          <w:szCs w:val="18"/>
          <w:lang w:val="en-US" w:eastAsia="en-US"/>
        </w:rPr>
        <w:t>item</w:t>
      </w:r>
      <w:r>
        <w:rPr>
          <w:b/>
          <w:bCs/>
          <w:snapToGrid w:val="0"/>
          <w:sz w:val="18"/>
          <w:szCs w:val="18"/>
          <w:lang w:val="en-US" w:eastAsia="en-US"/>
        </w:rPr>
        <w:t xml:space="preserve"> for use with </w:t>
      </w:r>
      <w:r w:rsidRPr="004C4D2A">
        <w:rPr>
          <w:b/>
          <w:bCs/>
          <w:snapToGrid w:val="0"/>
          <w:sz w:val="18"/>
          <w:szCs w:val="18"/>
          <w:lang w:val="en-US" w:eastAsia="en-US"/>
        </w:rPr>
        <w:t xml:space="preserve">liver MRI </w:t>
      </w:r>
    </w:p>
    <w:tbl>
      <w:tblPr>
        <w:tblStyle w:val="TableGrid"/>
        <w:tblW w:w="0" w:type="auto"/>
        <w:tblLook w:val="04A0" w:firstRow="1" w:lastRow="0" w:firstColumn="1" w:lastColumn="0" w:noHBand="0" w:noVBand="1"/>
        <w:tblDescription w:val="Proposed item descriptor"/>
      </w:tblPr>
      <w:tblGrid>
        <w:gridCol w:w="9019"/>
      </w:tblGrid>
      <w:tr w:rsidR="007868E8" w:rsidRPr="00184A70" w14:paraId="6E2A549E" w14:textId="77777777" w:rsidTr="007868E8">
        <w:trPr>
          <w:cantSplit/>
          <w:tblHeader/>
        </w:trPr>
        <w:tc>
          <w:tcPr>
            <w:tcW w:w="9019" w:type="dxa"/>
          </w:tcPr>
          <w:p w14:paraId="0EE7D02F" w14:textId="77777777" w:rsidR="007868E8" w:rsidRPr="00184A70" w:rsidRDefault="007868E8" w:rsidP="00184A70">
            <w:pPr>
              <w:tabs>
                <w:tab w:val="num" w:pos="426"/>
              </w:tabs>
              <w:spacing w:after="0"/>
              <w:ind w:left="0"/>
              <w:rPr>
                <w:rFonts w:ascii="Arial Narrow" w:hAnsi="Arial Narrow"/>
                <w:sz w:val="20"/>
              </w:rPr>
            </w:pPr>
            <w:r w:rsidRPr="00184A70">
              <w:rPr>
                <w:rFonts w:ascii="Arial Narrow" w:hAnsi="Arial Narrow"/>
                <w:sz w:val="20"/>
              </w:rPr>
              <w:t>Category 5 – DIAGNOSTIC IMAGING SERVICES</w:t>
            </w:r>
          </w:p>
        </w:tc>
      </w:tr>
      <w:tr w:rsidR="007868E8" w:rsidRPr="00184A70" w14:paraId="6A5FD72B" w14:textId="77777777" w:rsidTr="007868E8">
        <w:trPr>
          <w:cantSplit/>
          <w:tblHeader/>
        </w:trPr>
        <w:tc>
          <w:tcPr>
            <w:tcW w:w="9019" w:type="dxa"/>
          </w:tcPr>
          <w:p w14:paraId="57A2DF99" w14:textId="0F22FFBE" w:rsidR="007868E8" w:rsidRPr="00184A70" w:rsidRDefault="00493886" w:rsidP="00493886">
            <w:pPr>
              <w:tabs>
                <w:tab w:val="num" w:pos="426"/>
              </w:tabs>
              <w:ind w:left="0"/>
              <w:rPr>
                <w:rFonts w:ascii="Arial Narrow" w:hAnsi="Arial Narrow"/>
                <w:sz w:val="20"/>
              </w:rPr>
            </w:pPr>
            <w:r>
              <w:rPr>
                <w:rFonts w:ascii="Arial Narrow" w:hAnsi="Arial Narrow"/>
                <w:sz w:val="20"/>
              </w:rPr>
              <w:t>Item 63491</w:t>
            </w:r>
          </w:p>
          <w:p w14:paraId="6DC3B997" w14:textId="046885B9" w:rsidR="007868E8" w:rsidRPr="00184A70" w:rsidRDefault="007868E8" w:rsidP="00493886">
            <w:pPr>
              <w:tabs>
                <w:tab w:val="num" w:pos="426"/>
              </w:tabs>
              <w:ind w:left="0"/>
              <w:rPr>
                <w:rFonts w:ascii="Arial Narrow" w:hAnsi="Arial Narrow"/>
                <w:sz w:val="20"/>
              </w:rPr>
            </w:pPr>
            <w:r w:rsidRPr="00184A70">
              <w:rPr>
                <w:rFonts w:ascii="Arial Narrow" w:hAnsi="Arial Narrow"/>
                <w:sz w:val="20"/>
              </w:rPr>
              <w:t>NOTE: Benefits in Subgroup 22 are only payable for modifying items where claimed simultaneously with MRI services. Modifiers for sedation and anaesthesia may not be</w:t>
            </w:r>
            <w:r w:rsidR="00493886">
              <w:rPr>
                <w:rFonts w:ascii="Arial Narrow" w:hAnsi="Arial Narrow"/>
                <w:sz w:val="20"/>
              </w:rPr>
              <w:t xml:space="preserve"> claimed for the same service. </w:t>
            </w:r>
          </w:p>
          <w:p w14:paraId="713CC7D7" w14:textId="30093008" w:rsidR="007868E8" w:rsidRPr="00184A70" w:rsidRDefault="007868E8" w:rsidP="00493886">
            <w:pPr>
              <w:tabs>
                <w:tab w:val="num" w:pos="426"/>
              </w:tabs>
              <w:ind w:left="0"/>
              <w:rPr>
                <w:rFonts w:ascii="Arial Narrow" w:hAnsi="Arial Narrow"/>
                <w:sz w:val="20"/>
              </w:rPr>
            </w:pPr>
            <w:r w:rsidRPr="00184A70">
              <w:rPr>
                <w:rFonts w:ascii="Arial Narrow" w:hAnsi="Arial Narrow"/>
                <w:sz w:val="20"/>
              </w:rPr>
              <w:t>Modifying items for use with MAGNETIC RESONANCE IMAGING or MAGNETIC RESONANCE ANGIOGRAPHY performed under the professional supervision of an eligible provider at an eligible location where the service requested by a specialist or by</w:t>
            </w:r>
            <w:r w:rsidR="00493886">
              <w:rPr>
                <w:rFonts w:ascii="Arial Narrow" w:hAnsi="Arial Narrow"/>
                <w:sz w:val="20"/>
              </w:rPr>
              <w:t xml:space="preserve"> a consultant. Scan performed: </w:t>
            </w:r>
          </w:p>
          <w:p w14:paraId="43CB6569" w14:textId="77777777" w:rsidR="007868E8" w:rsidRPr="00184A70" w:rsidRDefault="007868E8" w:rsidP="007868E8">
            <w:pPr>
              <w:tabs>
                <w:tab w:val="num" w:pos="426"/>
              </w:tabs>
              <w:spacing w:after="0"/>
              <w:ind w:left="0"/>
              <w:rPr>
                <w:rFonts w:ascii="Arial Narrow" w:hAnsi="Arial Narrow"/>
                <w:sz w:val="20"/>
              </w:rPr>
            </w:pPr>
            <w:r w:rsidRPr="00184A70">
              <w:rPr>
                <w:rFonts w:ascii="Arial Narrow" w:hAnsi="Arial Narrow"/>
                <w:sz w:val="20"/>
              </w:rPr>
              <w:t xml:space="preserve">- involves the use of contrast agent for eligible Magnetic Resonance Imaging items (Note: (Contrast) denotes an item eligible for use with this item) </w:t>
            </w:r>
          </w:p>
          <w:p w14:paraId="73C1EE86" w14:textId="100D60DA" w:rsidR="007868E8" w:rsidRPr="00184A70" w:rsidRDefault="00493886" w:rsidP="00493886">
            <w:pPr>
              <w:tabs>
                <w:tab w:val="num" w:pos="426"/>
              </w:tabs>
              <w:ind w:left="0"/>
              <w:rPr>
                <w:rFonts w:ascii="Arial Narrow" w:hAnsi="Arial Narrow"/>
                <w:sz w:val="20"/>
              </w:rPr>
            </w:pPr>
            <w:r>
              <w:rPr>
                <w:rFonts w:ascii="Arial Narrow" w:hAnsi="Arial Narrow"/>
                <w:sz w:val="20"/>
              </w:rPr>
              <w:t>Bulk bill incentive</w:t>
            </w:r>
          </w:p>
          <w:p w14:paraId="71E8833D" w14:textId="77777777" w:rsidR="007868E8" w:rsidRPr="00184A70" w:rsidRDefault="007868E8" w:rsidP="007868E8">
            <w:pPr>
              <w:tabs>
                <w:tab w:val="num" w:pos="426"/>
              </w:tabs>
              <w:spacing w:after="0"/>
              <w:ind w:left="0"/>
              <w:rPr>
                <w:rFonts w:ascii="Arial Narrow" w:hAnsi="Arial Narrow"/>
                <w:sz w:val="20"/>
              </w:rPr>
            </w:pPr>
            <w:r w:rsidRPr="00184A70">
              <w:rPr>
                <w:rFonts w:ascii="Arial Narrow" w:hAnsi="Arial Narrow"/>
                <w:sz w:val="20"/>
              </w:rPr>
              <w:t>Fee: $44.80 Benefit: 75% = $33.60 85% = $38.10</w:t>
            </w:r>
          </w:p>
          <w:p w14:paraId="0C85216C" w14:textId="22C04FBB" w:rsidR="007868E8" w:rsidRPr="00184A70" w:rsidRDefault="007868E8" w:rsidP="00184A70">
            <w:pPr>
              <w:tabs>
                <w:tab w:val="num" w:pos="426"/>
              </w:tabs>
              <w:spacing w:after="0"/>
              <w:ind w:left="0"/>
              <w:rPr>
                <w:rFonts w:ascii="Arial Narrow" w:hAnsi="Arial Narrow"/>
                <w:sz w:val="20"/>
              </w:rPr>
            </w:pPr>
            <w:r w:rsidRPr="00184A70">
              <w:rPr>
                <w:rFonts w:ascii="Arial Narrow" w:hAnsi="Arial Narrow"/>
                <w:sz w:val="20"/>
              </w:rPr>
              <w:t>(See para </w:t>
            </w:r>
            <w:hyperlink r:id="rId11" w:history="1">
              <w:r w:rsidRPr="00184A70">
                <w:rPr>
                  <w:rFonts w:ascii="Arial Narrow" w:hAnsi="Arial Narrow"/>
                  <w:sz w:val="20"/>
                </w:rPr>
                <w:t>IN.0.19</w:t>
              </w:r>
            </w:hyperlink>
            <w:r w:rsidRPr="00184A70">
              <w:rPr>
                <w:rFonts w:ascii="Arial Narrow" w:hAnsi="Arial Narrow"/>
                <w:sz w:val="20"/>
              </w:rPr>
              <w:t> of explanatory notes to this Category)</w:t>
            </w:r>
          </w:p>
        </w:tc>
      </w:tr>
    </w:tbl>
    <w:p w14:paraId="6A84829C"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78937D59" w14:textId="7EDE9028" w:rsidR="00FA2FFC" w:rsidRPr="003D26BB" w:rsidRDefault="00FA2FFC" w:rsidP="00FA2FFC">
      <w:pPr>
        <w:tabs>
          <w:tab w:val="num" w:pos="426"/>
        </w:tabs>
      </w:pPr>
      <w:r>
        <w:t>The Department received one</w:t>
      </w:r>
      <w:r w:rsidRPr="003D26BB">
        <w:t xml:space="preserve"> response from </w:t>
      </w:r>
      <w:r>
        <w:t xml:space="preserve">an organisation. The response </w:t>
      </w:r>
      <w:r w:rsidRPr="003D26BB">
        <w:t>strongly supported the use of MRI for patients with CRC with suspected hepatic metastases and patients with suspected HCC for the purposes of staging.</w:t>
      </w:r>
    </w:p>
    <w:p w14:paraId="4D3CC800" w14:textId="77777777" w:rsidR="00BC1364" w:rsidRPr="00F715D1" w:rsidRDefault="00BC1364" w:rsidP="00F715D1">
      <w:pPr>
        <w:pStyle w:val="Heading1"/>
      </w:pPr>
      <w:r w:rsidRPr="00F715D1">
        <w:t>Proposed intervention’s place in clinical management</w:t>
      </w:r>
    </w:p>
    <w:p w14:paraId="2FD18DD4" w14:textId="77777777" w:rsidR="00680EF2" w:rsidRDefault="00680EF2" w:rsidP="00680EF2">
      <w:pPr>
        <w:spacing w:before="240"/>
      </w:pPr>
      <w:r>
        <w:t>MRI</w:t>
      </w:r>
      <w:r w:rsidRPr="00736F37">
        <w:t xml:space="preserve"> is well established for the </w:t>
      </w:r>
      <w:r w:rsidR="0045501E">
        <w:t>imaging assessment of the liver, it</w:t>
      </w:r>
      <w:r>
        <w:t xml:space="preserve"> requires use of hepatobiliary contrast agents which are selectively taken up by liver cells and excreted into the biliary tree.</w:t>
      </w:r>
    </w:p>
    <w:p w14:paraId="153AD217" w14:textId="77777777" w:rsidR="00FA2FFC" w:rsidRDefault="00FA2FFC" w:rsidP="0045501E">
      <w:pPr>
        <w:spacing w:before="240"/>
      </w:pPr>
      <w:r>
        <w:t>The clinical management algorithms are similar to those in MSAC Application 1372 although, ESC questioned the appropriateness of the algorithm used for population 1 (metastatic CRC).</w:t>
      </w:r>
    </w:p>
    <w:p w14:paraId="0C9A6831" w14:textId="77777777" w:rsidR="00BC1364" w:rsidRPr="00F715D1" w:rsidRDefault="00BC1364" w:rsidP="00F715D1">
      <w:pPr>
        <w:pStyle w:val="Heading1"/>
      </w:pPr>
      <w:r w:rsidRPr="00F715D1">
        <w:t xml:space="preserve">Comparator </w:t>
      </w:r>
    </w:p>
    <w:p w14:paraId="1A9BDD3F" w14:textId="77777777" w:rsidR="00FA2FFC" w:rsidRDefault="00FA2FFC" w:rsidP="00FA2FFC">
      <w:pPr>
        <w:spacing w:before="240"/>
        <w:rPr>
          <w:szCs w:val="24"/>
        </w:rPr>
      </w:pPr>
      <w:r>
        <w:rPr>
          <w:szCs w:val="24"/>
        </w:rPr>
        <w:t>For</w:t>
      </w:r>
      <w:r w:rsidRPr="0019424F">
        <w:rPr>
          <w:szCs w:val="24"/>
        </w:rPr>
        <w:t xml:space="preserve"> the </w:t>
      </w:r>
      <w:r>
        <w:rPr>
          <w:szCs w:val="24"/>
        </w:rPr>
        <w:t>resubmission, the comparator is</w:t>
      </w:r>
      <w:r w:rsidRPr="0019424F">
        <w:rPr>
          <w:szCs w:val="24"/>
        </w:rPr>
        <w:t xml:space="preserve"> multiphase </w:t>
      </w:r>
      <w:r>
        <w:rPr>
          <w:szCs w:val="24"/>
        </w:rPr>
        <w:t>contrast enhanced (CE)-</w:t>
      </w:r>
      <w:r w:rsidRPr="0019424F">
        <w:rPr>
          <w:szCs w:val="24"/>
        </w:rPr>
        <w:t>CT</w:t>
      </w:r>
      <w:r>
        <w:rPr>
          <w:szCs w:val="24"/>
        </w:rPr>
        <w:t xml:space="preserve"> </w:t>
      </w:r>
      <w:r w:rsidRPr="0019424F">
        <w:rPr>
          <w:szCs w:val="24"/>
        </w:rPr>
        <w:t xml:space="preserve">for the majority of patients, with additional biopsy in a smaller proportion of patients. </w:t>
      </w:r>
    </w:p>
    <w:p w14:paraId="68836B43" w14:textId="77777777" w:rsidR="00BC1364" w:rsidRPr="00F715D1" w:rsidRDefault="00BC1364" w:rsidP="00F715D1">
      <w:pPr>
        <w:pStyle w:val="Heading1"/>
      </w:pPr>
      <w:r w:rsidRPr="00F715D1">
        <w:lastRenderedPageBreak/>
        <w:t>Comparative safety</w:t>
      </w:r>
    </w:p>
    <w:p w14:paraId="14B6DE15" w14:textId="3B4D44D8" w:rsidR="00FA2FFC" w:rsidRPr="00F97F38" w:rsidRDefault="00FA2FFC" w:rsidP="00FA2FFC">
      <w:pPr>
        <w:spacing w:before="240"/>
        <w:rPr>
          <w:szCs w:val="24"/>
        </w:rPr>
      </w:pPr>
      <w:r>
        <w:rPr>
          <w:szCs w:val="24"/>
        </w:rPr>
        <w:t xml:space="preserve">The safety data </w:t>
      </w:r>
      <w:r w:rsidR="005F440E">
        <w:rPr>
          <w:szCs w:val="24"/>
        </w:rPr>
        <w:t xml:space="preserve">were </w:t>
      </w:r>
      <w:r>
        <w:rPr>
          <w:szCs w:val="24"/>
        </w:rPr>
        <w:t xml:space="preserve">reviewed as part of </w:t>
      </w:r>
      <w:r w:rsidR="0045501E">
        <w:rPr>
          <w:szCs w:val="24"/>
        </w:rPr>
        <w:t xml:space="preserve">MSAC </w:t>
      </w:r>
      <w:r>
        <w:rPr>
          <w:szCs w:val="24"/>
        </w:rPr>
        <w:t>application 137</w:t>
      </w:r>
      <w:r w:rsidR="0045501E">
        <w:rPr>
          <w:szCs w:val="24"/>
        </w:rPr>
        <w:t>2 and accepted.</w:t>
      </w:r>
    </w:p>
    <w:p w14:paraId="46727EF4" w14:textId="77777777" w:rsidR="00BC1364" w:rsidRPr="00F715D1" w:rsidRDefault="00BC1364" w:rsidP="00F715D1">
      <w:pPr>
        <w:pStyle w:val="Heading1"/>
      </w:pPr>
      <w:r w:rsidRPr="00F715D1">
        <w:t>Comparative effectiveness</w:t>
      </w:r>
    </w:p>
    <w:p w14:paraId="317D40BE" w14:textId="77777777" w:rsidR="00FA2FFC" w:rsidRPr="00FA325E" w:rsidRDefault="00FA2FFC" w:rsidP="00FE38E4">
      <w:pPr>
        <w:pStyle w:val="Heading2"/>
      </w:pPr>
      <w:r w:rsidRPr="00FA325E">
        <w:t>Direct effectiveness</w:t>
      </w:r>
    </w:p>
    <w:p w14:paraId="2D29744B" w14:textId="06A070CA" w:rsidR="00FA2FFC" w:rsidRDefault="00FA2FFC" w:rsidP="00CA0501">
      <w:pPr>
        <w:spacing w:after="240"/>
        <w:rPr>
          <w:szCs w:val="24"/>
        </w:rPr>
      </w:pPr>
      <w:r w:rsidRPr="00FA325E">
        <w:rPr>
          <w:szCs w:val="24"/>
        </w:rPr>
        <w:t xml:space="preserve">MSAC Application 1372 identified 4 studies on the direct effectiveness </w:t>
      </w:r>
      <w:r w:rsidR="00B74993">
        <w:rPr>
          <w:szCs w:val="24"/>
        </w:rPr>
        <w:t xml:space="preserve">(decision impact) </w:t>
      </w:r>
      <w:r w:rsidRPr="00FA325E">
        <w:rPr>
          <w:szCs w:val="24"/>
        </w:rPr>
        <w:t>of MRI relative to CT</w:t>
      </w:r>
      <w:r w:rsidR="00B74993">
        <w:rPr>
          <w:szCs w:val="24"/>
        </w:rPr>
        <w:t xml:space="preserve"> in patients with metastatic CRC and 2 studies in patients with HCC;</w:t>
      </w:r>
      <w:r w:rsidRPr="00FA325E">
        <w:rPr>
          <w:szCs w:val="24"/>
        </w:rPr>
        <w:t xml:space="preserve"> </w:t>
      </w:r>
      <w:r>
        <w:rPr>
          <w:szCs w:val="24"/>
        </w:rPr>
        <w:t>however n</w:t>
      </w:r>
      <w:r w:rsidRPr="00FA325E">
        <w:rPr>
          <w:szCs w:val="24"/>
        </w:rPr>
        <w:t xml:space="preserve">one of the studies </w:t>
      </w:r>
      <w:r w:rsidR="005F440E">
        <w:rPr>
          <w:szCs w:val="24"/>
        </w:rPr>
        <w:t>was</w:t>
      </w:r>
      <w:r w:rsidR="005F440E" w:rsidRPr="00FA325E">
        <w:rPr>
          <w:szCs w:val="24"/>
        </w:rPr>
        <w:t xml:space="preserve"> </w:t>
      </w:r>
      <w:r w:rsidRPr="00FA325E">
        <w:rPr>
          <w:szCs w:val="24"/>
        </w:rPr>
        <w:t>considered to be of adequate quality to provide the primary evidence for the cl</w:t>
      </w:r>
      <w:r w:rsidR="00CA0501">
        <w:rPr>
          <w:szCs w:val="24"/>
        </w:rPr>
        <w:t>inical and economic evaluation.</w:t>
      </w:r>
    </w:p>
    <w:p w14:paraId="2A5F2EB9" w14:textId="4FB7A71F" w:rsidR="00FA2FFC" w:rsidRDefault="00FA2FFC" w:rsidP="00CA0501">
      <w:pPr>
        <w:spacing w:after="240"/>
        <w:rPr>
          <w:szCs w:val="24"/>
        </w:rPr>
      </w:pPr>
      <w:r w:rsidRPr="00FA325E">
        <w:rPr>
          <w:szCs w:val="24"/>
        </w:rPr>
        <w:t xml:space="preserve">The literature search update </w:t>
      </w:r>
      <w:r w:rsidR="00B74993">
        <w:rPr>
          <w:szCs w:val="24"/>
        </w:rPr>
        <w:t>identified one additional study</w:t>
      </w:r>
      <w:r w:rsidRPr="00FA325E">
        <w:rPr>
          <w:szCs w:val="24"/>
        </w:rPr>
        <w:t xml:space="preserve"> on the </w:t>
      </w:r>
      <w:r w:rsidR="00B74993">
        <w:rPr>
          <w:szCs w:val="24"/>
        </w:rPr>
        <w:t>decision impact</w:t>
      </w:r>
      <w:r w:rsidR="00CA0501">
        <w:rPr>
          <w:szCs w:val="24"/>
        </w:rPr>
        <w:t xml:space="preserve"> of MRI relative to CT</w:t>
      </w:r>
      <w:r w:rsidR="00B74993">
        <w:rPr>
          <w:szCs w:val="24"/>
        </w:rPr>
        <w:t xml:space="preserve"> in patients with HCC</w:t>
      </w:r>
      <w:r w:rsidR="00CA0501">
        <w:rPr>
          <w:szCs w:val="24"/>
        </w:rPr>
        <w:t>.</w:t>
      </w:r>
    </w:p>
    <w:p w14:paraId="20904201" w14:textId="77777777" w:rsidR="00FA2FFC" w:rsidRPr="00FA325E" w:rsidRDefault="00FA2FFC" w:rsidP="00FE38E4">
      <w:pPr>
        <w:pStyle w:val="Heading2"/>
      </w:pPr>
      <w:r w:rsidRPr="00FA325E">
        <w:t>Effectiveness from linked evidence</w:t>
      </w:r>
    </w:p>
    <w:p w14:paraId="5940EF30" w14:textId="77777777" w:rsidR="00FA2FFC" w:rsidRPr="00FA325E" w:rsidRDefault="00FA2FFC" w:rsidP="00FE38E4">
      <w:pPr>
        <w:pStyle w:val="Heading3"/>
      </w:pPr>
      <w:r w:rsidRPr="00FA325E">
        <w:t>Accuracy</w:t>
      </w:r>
    </w:p>
    <w:p w14:paraId="2B24E193" w14:textId="77777777" w:rsidR="00FA2FFC" w:rsidRPr="00FA325E" w:rsidRDefault="00FA2FFC" w:rsidP="00FE38E4">
      <w:pPr>
        <w:pStyle w:val="Heading4"/>
      </w:pPr>
      <w:r w:rsidRPr="00FA325E">
        <w:t>Patient group 1: patients with known CRC with suspected or possible liver malignancy</w:t>
      </w:r>
    </w:p>
    <w:p w14:paraId="40EE95C6" w14:textId="53933D22" w:rsidR="00FA2FFC" w:rsidRDefault="00FA2FFC" w:rsidP="00FA2FFC">
      <w:pPr>
        <w:rPr>
          <w:szCs w:val="24"/>
        </w:rPr>
      </w:pPr>
      <w:r w:rsidRPr="00FA325E">
        <w:rPr>
          <w:szCs w:val="24"/>
        </w:rPr>
        <w:t>The results demonstrate</w:t>
      </w:r>
      <w:r w:rsidR="002E57D4">
        <w:rPr>
          <w:szCs w:val="24"/>
        </w:rPr>
        <w:t>d</w:t>
      </w:r>
      <w:r w:rsidRPr="00FA325E">
        <w:rPr>
          <w:szCs w:val="24"/>
        </w:rPr>
        <w:t xml:space="preserve"> GA-MRI consistently provides superior sensitivity compared to CE-CT. For GA-MRI, sensitivity values ranged from 90% (Schulz et al., 2016) to 100% (Patel et al., 2014), whereas for CE-CT sensitivity ranged from 63% (</w:t>
      </w:r>
      <w:proofErr w:type="spellStart"/>
      <w:r w:rsidRPr="00FA325E">
        <w:rPr>
          <w:szCs w:val="24"/>
        </w:rPr>
        <w:t>Muhi</w:t>
      </w:r>
      <w:proofErr w:type="spellEnd"/>
      <w:r w:rsidRPr="00FA325E">
        <w:rPr>
          <w:szCs w:val="24"/>
        </w:rPr>
        <w:t xml:space="preserve"> et al., 2011) to 85% (Kim et al., 2015). The difference between the 2 tests range</w:t>
      </w:r>
      <w:r w:rsidR="005F440E">
        <w:rPr>
          <w:szCs w:val="24"/>
        </w:rPr>
        <w:t>d</w:t>
      </w:r>
      <w:r w:rsidRPr="00FA325E">
        <w:rPr>
          <w:szCs w:val="24"/>
        </w:rPr>
        <w:t xml:space="preserve"> from 10% (</w:t>
      </w:r>
      <w:proofErr w:type="spellStart"/>
      <w:r w:rsidRPr="00FA325E">
        <w:rPr>
          <w:szCs w:val="24"/>
        </w:rPr>
        <w:t>Asato</w:t>
      </w:r>
      <w:proofErr w:type="spellEnd"/>
      <w:r w:rsidRPr="00FA325E">
        <w:rPr>
          <w:szCs w:val="24"/>
        </w:rPr>
        <w:t xml:space="preserve"> et al., 2017; Kim et al., 2015) to 32% (</w:t>
      </w:r>
      <w:proofErr w:type="spellStart"/>
      <w:r w:rsidRPr="00FA325E">
        <w:rPr>
          <w:szCs w:val="24"/>
        </w:rPr>
        <w:t>Muhi</w:t>
      </w:r>
      <w:proofErr w:type="spellEnd"/>
      <w:r w:rsidRPr="00FA325E">
        <w:rPr>
          <w:szCs w:val="24"/>
        </w:rPr>
        <w:t xml:space="preserve"> et al., 2011). The data across all eligible studies were pooled to provide sensitivity estimates of 93% for GA-MRI and 75% for CE-CT, with a difference of 18%.</w:t>
      </w:r>
    </w:p>
    <w:p w14:paraId="1BF4B0D0" w14:textId="77777777" w:rsidR="00FA2FFC" w:rsidRPr="00FA325E" w:rsidRDefault="00FA2FFC" w:rsidP="00CA0501">
      <w:pPr>
        <w:spacing w:before="240" w:after="240"/>
        <w:rPr>
          <w:szCs w:val="24"/>
        </w:rPr>
      </w:pPr>
      <w:r w:rsidRPr="00FA325E">
        <w:rPr>
          <w:szCs w:val="24"/>
        </w:rPr>
        <w:t>Only 2 studies reported specificity results. The data across both studies were pooled to provide specificity estimates of 93% for GA-MRI and 96% for CE-CT, with a difference of 3%. This result would suggest that both tests classify “true” patients in whom resection is not necessary at an equal rate.</w:t>
      </w:r>
    </w:p>
    <w:p w14:paraId="152FD3E9" w14:textId="20B58D76" w:rsidR="00FA2FFC" w:rsidRPr="00D102F0" w:rsidRDefault="00FA2FFC" w:rsidP="00D102F0">
      <w:pPr>
        <w:rPr>
          <w:rFonts w:ascii="Arial Narrow" w:hAnsi="Arial Narrow"/>
          <w:b/>
          <w:sz w:val="20"/>
        </w:rPr>
      </w:pPr>
      <w:bookmarkStart w:id="2" w:name="_Toc494983759"/>
      <w:r w:rsidRPr="00D102F0">
        <w:rPr>
          <w:rFonts w:ascii="Arial Narrow" w:hAnsi="Arial Narrow"/>
          <w:b/>
          <w:sz w:val="20"/>
        </w:rPr>
        <w:t xml:space="preserve">Table </w:t>
      </w:r>
      <w:r w:rsidR="00AD1852">
        <w:rPr>
          <w:rFonts w:ascii="Arial Narrow" w:hAnsi="Arial Narrow"/>
          <w:b/>
          <w:sz w:val="20"/>
        </w:rPr>
        <w:t>5</w:t>
      </w:r>
      <w:r w:rsidRPr="00D102F0">
        <w:rPr>
          <w:rFonts w:ascii="Arial Narrow" w:hAnsi="Arial Narrow"/>
          <w:b/>
          <w:sz w:val="20"/>
        </w:rPr>
        <w:tab/>
        <w:t xml:space="preserve">Summary statistics for GA-MRI compared to CE-CT in patient group 1: patients with known CRC with </w:t>
      </w:r>
      <w:r w:rsidRPr="00D102F0">
        <w:rPr>
          <w:rFonts w:ascii="Arial Narrow" w:hAnsi="Arial Narrow"/>
          <w:b/>
          <w:sz w:val="20"/>
        </w:rPr>
        <w:tab/>
        <w:t>suspected or possible liver malignancy</w:t>
      </w:r>
      <w:bookmarkEnd w:id="2"/>
    </w:p>
    <w:tbl>
      <w:tblPr>
        <w:tblStyle w:val="TableGrid2"/>
        <w:tblW w:w="5000" w:type="pct"/>
        <w:tblLook w:val="04A0" w:firstRow="1" w:lastRow="0" w:firstColumn="1" w:lastColumn="0" w:noHBand="0" w:noVBand="1"/>
        <w:tblDescription w:val="Results for the pooled estimates for GA-MRI compared with CE-CT for patients with known CRC"/>
      </w:tblPr>
      <w:tblGrid>
        <w:gridCol w:w="3640"/>
        <w:gridCol w:w="2765"/>
        <w:gridCol w:w="2837"/>
      </w:tblGrid>
      <w:tr w:rsidR="00FA2FFC" w:rsidRPr="00D102F0" w14:paraId="3B6FD60D" w14:textId="77777777" w:rsidTr="007A5009">
        <w:trPr>
          <w:cnfStyle w:val="100000000000" w:firstRow="1" w:lastRow="0" w:firstColumn="0" w:lastColumn="0" w:oddVBand="0" w:evenVBand="0" w:oddHBand="0" w:evenHBand="0" w:firstRowFirstColumn="0" w:firstRowLastColumn="0" w:lastRowFirstColumn="0" w:lastRowLastColumn="0"/>
          <w:trHeight w:val="469"/>
          <w:tblHeader/>
        </w:trPr>
        <w:tc>
          <w:tcPr>
            <w:tcW w:w="1969" w:type="pct"/>
          </w:tcPr>
          <w:p w14:paraId="66E15BE5" w14:textId="77777777" w:rsidR="00FA2FFC" w:rsidRPr="00D102F0" w:rsidRDefault="00FA2FFC" w:rsidP="00D102F0">
            <w:pPr>
              <w:spacing w:before="0" w:after="0"/>
              <w:rPr>
                <w:b/>
                <w:sz w:val="20"/>
              </w:rPr>
            </w:pPr>
            <w:r w:rsidRPr="00D102F0">
              <w:rPr>
                <w:b/>
                <w:sz w:val="20"/>
              </w:rPr>
              <w:t>Accuracy (k=7)</w:t>
            </w:r>
          </w:p>
        </w:tc>
        <w:tc>
          <w:tcPr>
            <w:tcW w:w="1496" w:type="pct"/>
          </w:tcPr>
          <w:p w14:paraId="6E8F609E" w14:textId="77777777" w:rsidR="00FA2FFC" w:rsidRPr="00D102F0" w:rsidRDefault="00FA2FFC" w:rsidP="00D102F0">
            <w:pPr>
              <w:spacing w:before="0" w:after="0"/>
              <w:rPr>
                <w:b/>
                <w:sz w:val="20"/>
              </w:rPr>
            </w:pPr>
            <w:r w:rsidRPr="00D102F0">
              <w:rPr>
                <w:b/>
                <w:sz w:val="20"/>
              </w:rPr>
              <w:t>Index test</w:t>
            </w:r>
          </w:p>
          <w:p w14:paraId="0D7A73FB" w14:textId="77777777" w:rsidR="00FA2FFC" w:rsidRPr="00D102F0" w:rsidRDefault="00FA2FFC" w:rsidP="00D102F0">
            <w:pPr>
              <w:spacing w:before="0" w:after="0"/>
              <w:rPr>
                <w:b/>
                <w:sz w:val="20"/>
              </w:rPr>
            </w:pPr>
          </w:p>
        </w:tc>
        <w:tc>
          <w:tcPr>
            <w:tcW w:w="1535" w:type="pct"/>
          </w:tcPr>
          <w:p w14:paraId="2DC00AEC" w14:textId="77777777" w:rsidR="00FA2FFC" w:rsidRPr="00D102F0" w:rsidRDefault="00FA2FFC" w:rsidP="00D102F0">
            <w:pPr>
              <w:spacing w:before="0" w:after="0"/>
              <w:rPr>
                <w:b/>
                <w:sz w:val="20"/>
              </w:rPr>
            </w:pPr>
            <w:r w:rsidRPr="00D102F0">
              <w:rPr>
                <w:b/>
                <w:sz w:val="20"/>
              </w:rPr>
              <w:t>Comparator</w:t>
            </w:r>
          </w:p>
        </w:tc>
      </w:tr>
      <w:tr w:rsidR="00FA2FFC" w:rsidRPr="00D102F0" w14:paraId="6F167057" w14:textId="77777777" w:rsidTr="00FE38E4">
        <w:trPr>
          <w:trHeight w:val="255"/>
        </w:trPr>
        <w:tc>
          <w:tcPr>
            <w:tcW w:w="1969" w:type="pct"/>
          </w:tcPr>
          <w:p w14:paraId="4C739427" w14:textId="77777777" w:rsidR="00FA2FFC" w:rsidRPr="00D102F0" w:rsidRDefault="00FA2FFC" w:rsidP="00D102F0">
            <w:pPr>
              <w:spacing w:before="0" w:after="0"/>
              <w:rPr>
                <w:sz w:val="20"/>
              </w:rPr>
            </w:pPr>
            <w:r w:rsidRPr="00D102F0">
              <w:rPr>
                <w:sz w:val="20"/>
              </w:rPr>
              <w:t>Sensitivity [95% CI]</w:t>
            </w:r>
          </w:p>
        </w:tc>
        <w:tc>
          <w:tcPr>
            <w:tcW w:w="1496" w:type="pct"/>
          </w:tcPr>
          <w:p w14:paraId="0907776F" w14:textId="77777777" w:rsidR="00FA2FFC" w:rsidRPr="00D102F0" w:rsidRDefault="00FA2FFC" w:rsidP="00D102F0">
            <w:pPr>
              <w:spacing w:before="0" w:after="0"/>
              <w:rPr>
                <w:sz w:val="20"/>
              </w:rPr>
            </w:pPr>
            <w:r w:rsidRPr="00D102F0">
              <w:rPr>
                <w:sz w:val="20"/>
              </w:rPr>
              <w:t>0.93 [0.91, 0.95]</w:t>
            </w:r>
          </w:p>
          <w:p w14:paraId="7E7D99F0" w14:textId="77777777" w:rsidR="00FA2FFC" w:rsidRPr="00D102F0" w:rsidRDefault="00FA2FFC" w:rsidP="00D102F0">
            <w:pPr>
              <w:spacing w:before="0" w:after="0"/>
              <w:rPr>
                <w:sz w:val="20"/>
              </w:rPr>
            </w:pPr>
            <w:r w:rsidRPr="00D102F0">
              <w:rPr>
                <w:sz w:val="20"/>
              </w:rPr>
              <w:t>(n=1178)</w:t>
            </w:r>
          </w:p>
        </w:tc>
        <w:tc>
          <w:tcPr>
            <w:tcW w:w="1535" w:type="pct"/>
          </w:tcPr>
          <w:p w14:paraId="33878A5E" w14:textId="77777777" w:rsidR="00FA2FFC" w:rsidRPr="00D102F0" w:rsidRDefault="00FA2FFC" w:rsidP="00D102F0">
            <w:pPr>
              <w:spacing w:before="0" w:after="0"/>
              <w:rPr>
                <w:sz w:val="20"/>
              </w:rPr>
            </w:pPr>
            <w:r w:rsidRPr="00D102F0">
              <w:rPr>
                <w:sz w:val="20"/>
              </w:rPr>
              <w:t>0.75 [0.71, 0.78]</w:t>
            </w:r>
          </w:p>
          <w:p w14:paraId="71D40D7D" w14:textId="77777777" w:rsidR="00FA2FFC" w:rsidRPr="00D102F0" w:rsidRDefault="00FA2FFC" w:rsidP="00D102F0">
            <w:pPr>
              <w:spacing w:before="0" w:after="0"/>
              <w:rPr>
                <w:sz w:val="20"/>
              </w:rPr>
            </w:pPr>
            <w:r w:rsidRPr="00D102F0">
              <w:rPr>
                <w:sz w:val="20"/>
              </w:rPr>
              <w:t>(n=1187)</w:t>
            </w:r>
          </w:p>
        </w:tc>
      </w:tr>
      <w:tr w:rsidR="00FA2FFC" w:rsidRPr="00D102F0" w14:paraId="25238FF5" w14:textId="77777777" w:rsidTr="00FE38E4">
        <w:trPr>
          <w:trHeight w:val="421"/>
        </w:trPr>
        <w:tc>
          <w:tcPr>
            <w:tcW w:w="1969" w:type="pct"/>
          </w:tcPr>
          <w:p w14:paraId="4AE0A43A" w14:textId="77777777" w:rsidR="00FA2FFC" w:rsidRPr="00D102F0" w:rsidRDefault="00FA2FFC" w:rsidP="00D102F0">
            <w:pPr>
              <w:spacing w:before="0" w:after="0"/>
              <w:rPr>
                <w:sz w:val="20"/>
              </w:rPr>
            </w:pPr>
            <w:r w:rsidRPr="00D102F0">
              <w:rPr>
                <w:sz w:val="20"/>
              </w:rPr>
              <w:t>Specificity [95% CI]</w:t>
            </w:r>
          </w:p>
        </w:tc>
        <w:tc>
          <w:tcPr>
            <w:tcW w:w="1496" w:type="pct"/>
          </w:tcPr>
          <w:p w14:paraId="27093132" w14:textId="77777777" w:rsidR="00FA2FFC" w:rsidRPr="00D102F0" w:rsidRDefault="00FA2FFC" w:rsidP="00D102F0">
            <w:pPr>
              <w:spacing w:before="0" w:after="0"/>
              <w:rPr>
                <w:sz w:val="20"/>
              </w:rPr>
            </w:pPr>
            <w:r w:rsidRPr="00D102F0">
              <w:rPr>
                <w:sz w:val="20"/>
              </w:rPr>
              <w:t>0.93 [0.91, 0.95]</w:t>
            </w:r>
          </w:p>
          <w:p w14:paraId="26B102C3" w14:textId="77777777" w:rsidR="00FA2FFC" w:rsidRPr="00D102F0" w:rsidRDefault="00FA2FFC" w:rsidP="00D102F0">
            <w:pPr>
              <w:spacing w:before="0" w:after="0"/>
              <w:rPr>
                <w:sz w:val="20"/>
              </w:rPr>
            </w:pPr>
            <w:r w:rsidRPr="00D102F0">
              <w:rPr>
                <w:sz w:val="20"/>
              </w:rPr>
              <w:t>(n=771)</w:t>
            </w:r>
          </w:p>
        </w:tc>
        <w:tc>
          <w:tcPr>
            <w:tcW w:w="1535" w:type="pct"/>
          </w:tcPr>
          <w:p w14:paraId="6FC3C422" w14:textId="77777777" w:rsidR="00FA2FFC" w:rsidRPr="00D102F0" w:rsidRDefault="00FA2FFC" w:rsidP="00D102F0">
            <w:pPr>
              <w:spacing w:before="0" w:after="0"/>
              <w:rPr>
                <w:sz w:val="20"/>
              </w:rPr>
            </w:pPr>
            <w:r w:rsidRPr="00D102F0">
              <w:rPr>
                <w:sz w:val="20"/>
              </w:rPr>
              <w:t>0.96 [0.93, 0.97]</w:t>
            </w:r>
          </w:p>
          <w:p w14:paraId="44484FA0" w14:textId="77777777" w:rsidR="00FA2FFC" w:rsidRPr="00D102F0" w:rsidRDefault="00FA2FFC" w:rsidP="00D102F0">
            <w:pPr>
              <w:spacing w:before="0" w:after="0"/>
              <w:rPr>
                <w:sz w:val="20"/>
              </w:rPr>
            </w:pPr>
            <w:r w:rsidRPr="00D102F0">
              <w:rPr>
                <w:sz w:val="20"/>
              </w:rPr>
              <w:t>(n=705)</w:t>
            </w:r>
          </w:p>
        </w:tc>
      </w:tr>
      <w:tr w:rsidR="00FA2FFC" w:rsidRPr="00D102F0" w14:paraId="4E00F8E7" w14:textId="77777777" w:rsidTr="00FE38E4">
        <w:trPr>
          <w:trHeight w:val="421"/>
        </w:trPr>
        <w:tc>
          <w:tcPr>
            <w:tcW w:w="1969" w:type="pct"/>
          </w:tcPr>
          <w:p w14:paraId="605673E2" w14:textId="0644A05A" w:rsidR="00FA2FFC" w:rsidRPr="00D102F0" w:rsidRDefault="00D102F0" w:rsidP="00D102F0">
            <w:pPr>
              <w:spacing w:before="0" w:after="0"/>
              <w:rPr>
                <w:sz w:val="20"/>
              </w:rPr>
            </w:pPr>
            <w:r>
              <w:rPr>
                <w:sz w:val="20"/>
              </w:rPr>
              <w:t>Positive predictive value</w:t>
            </w:r>
          </w:p>
        </w:tc>
        <w:tc>
          <w:tcPr>
            <w:tcW w:w="1496" w:type="pct"/>
          </w:tcPr>
          <w:p w14:paraId="6FA882AF" w14:textId="77777777" w:rsidR="00FA2FFC" w:rsidRPr="00D102F0" w:rsidRDefault="00FA2FFC" w:rsidP="00D102F0">
            <w:pPr>
              <w:spacing w:before="0" w:after="0"/>
              <w:rPr>
                <w:sz w:val="20"/>
              </w:rPr>
            </w:pPr>
            <w:r w:rsidRPr="00D102F0">
              <w:rPr>
                <w:sz w:val="20"/>
              </w:rPr>
              <w:t>0.9</w:t>
            </w:r>
          </w:p>
          <w:p w14:paraId="2EAA6EC2" w14:textId="77777777" w:rsidR="00FA2FFC" w:rsidRPr="00D102F0" w:rsidRDefault="00FA2FFC" w:rsidP="00D102F0">
            <w:pPr>
              <w:spacing w:before="0" w:after="0"/>
              <w:rPr>
                <w:sz w:val="20"/>
              </w:rPr>
            </w:pPr>
            <w:r w:rsidRPr="00D102F0">
              <w:rPr>
                <w:sz w:val="20"/>
              </w:rPr>
              <w:t>(n=1178)</w:t>
            </w:r>
          </w:p>
        </w:tc>
        <w:tc>
          <w:tcPr>
            <w:tcW w:w="1535" w:type="pct"/>
          </w:tcPr>
          <w:p w14:paraId="5B67D3A1" w14:textId="77777777" w:rsidR="00FA2FFC" w:rsidRPr="00D102F0" w:rsidRDefault="00FA2FFC" w:rsidP="00D102F0">
            <w:pPr>
              <w:spacing w:before="0" w:after="0"/>
              <w:rPr>
                <w:sz w:val="20"/>
              </w:rPr>
            </w:pPr>
            <w:r w:rsidRPr="00D102F0">
              <w:rPr>
                <w:sz w:val="20"/>
              </w:rPr>
              <w:t>0.87</w:t>
            </w:r>
          </w:p>
          <w:p w14:paraId="392EA872" w14:textId="77777777" w:rsidR="00FA2FFC" w:rsidRPr="00D102F0" w:rsidRDefault="00FA2FFC" w:rsidP="00D102F0">
            <w:pPr>
              <w:spacing w:before="0" w:after="0"/>
              <w:rPr>
                <w:sz w:val="20"/>
              </w:rPr>
            </w:pPr>
            <w:r w:rsidRPr="00D102F0">
              <w:rPr>
                <w:sz w:val="20"/>
              </w:rPr>
              <w:t>(n=1187)</w:t>
            </w:r>
          </w:p>
        </w:tc>
      </w:tr>
      <w:tr w:rsidR="00FA2FFC" w:rsidRPr="00D102F0" w14:paraId="675D80FD" w14:textId="77777777" w:rsidTr="00FE38E4">
        <w:trPr>
          <w:trHeight w:val="421"/>
        </w:trPr>
        <w:tc>
          <w:tcPr>
            <w:tcW w:w="1969" w:type="pct"/>
          </w:tcPr>
          <w:p w14:paraId="16598771" w14:textId="38997C26" w:rsidR="00FA2FFC" w:rsidRPr="00D102F0" w:rsidRDefault="00D102F0" w:rsidP="00D102F0">
            <w:pPr>
              <w:spacing w:before="0" w:after="0"/>
              <w:rPr>
                <w:sz w:val="20"/>
              </w:rPr>
            </w:pPr>
            <w:r>
              <w:rPr>
                <w:sz w:val="20"/>
              </w:rPr>
              <w:t>Negative predictive value</w:t>
            </w:r>
          </w:p>
        </w:tc>
        <w:tc>
          <w:tcPr>
            <w:tcW w:w="1496" w:type="pct"/>
          </w:tcPr>
          <w:p w14:paraId="03ADC582" w14:textId="77777777" w:rsidR="00FA2FFC" w:rsidRPr="00D102F0" w:rsidRDefault="00FA2FFC" w:rsidP="00D102F0">
            <w:pPr>
              <w:spacing w:before="0" w:after="0"/>
              <w:rPr>
                <w:sz w:val="20"/>
              </w:rPr>
            </w:pPr>
            <w:r w:rsidRPr="00D102F0">
              <w:rPr>
                <w:sz w:val="20"/>
              </w:rPr>
              <w:t>0.96</w:t>
            </w:r>
          </w:p>
          <w:p w14:paraId="3C7EBC55" w14:textId="77777777" w:rsidR="00FA2FFC" w:rsidRPr="00D102F0" w:rsidRDefault="00FA2FFC" w:rsidP="00D102F0">
            <w:pPr>
              <w:spacing w:before="0" w:after="0"/>
              <w:rPr>
                <w:sz w:val="20"/>
              </w:rPr>
            </w:pPr>
            <w:r w:rsidRPr="00D102F0">
              <w:rPr>
                <w:sz w:val="20"/>
              </w:rPr>
              <w:t>(n=771)</w:t>
            </w:r>
          </w:p>
        </w:tc>
        <w:tc>
          <w:tcPr>
            <w:tcW w:w="1535" w:type="pct"/>
          </w:tcPr>
          <w:p w14:paraId="650BD3E1" w14:textId="77777777" w:rsidR="00FA2FFC" w:rsidRPr="00D102F0" w:rsidRDefault="00FA2FFC" w:rsidP="00D102F0">
            <w:pPr>
              <w:spacing w:before="0" w:after="0"/>
              <w:rPr>
                <w:sz w:val="20"/>
              </w:rPr>
            </w:pPr>
            <w:r w:rsidRPr="00D102F0">
              <w:rPr>
                <w:sz w:val="20"/>
              </w:rPr>
              <w:t>0.88</w:t>
            </w:r>
          </w:p>
          <w:p w14:paraId="11CC5820" w14:textId="77777777" w:rsidR="00FA2FFC" w:rsidRPr="00D102F0" w:rsidRDefault="00FA2FFC" w:rsidP="00D102F0">
            <w:pPr>
              <w:spacing w:before="0" w:after="0"/>
              <w:rPr>
                <w:sz w:val="20"/>
              </w:rPr>
            </w:pPr>
            <w:r w:rsidRPr="00D102F0">
              <w:rPr>
                <w:sz w:val="20"/>
              </w:rPr>
              <w:t>(n=1187)</w:t>
            </w:r>
          </w:p>
        </w:tc>
      </w:tr>
    </w:tbl>
    <w:p w14:paraId="092A610D" w14:textId="77777777" w:rsidR="00FA2FFC" w:rsidRPr="00FE38E4" w:rsidRDefault="00FA2FFC" w:rsidP="00FE38E4">
      <w:pPr>
        <w:pStyle w:val="Heading4"/>
        <w:spacing w:before="240"/>
      </w:pPr>
      <w:r w:rsidRPr="00FE38E4">
        <w:rPr>
          <w:rStyle w:val="Heading4Char"/>
          <w:i/>
        </w:rPr>
        <w:t>Patient</w:t>
      </w:r>
      <w:r w:rsidRPr="00FE38E4">
        <w:t xml:space="preserve"> group 2: patients with suspected HCC</w:t>
      </w:r>
    </w:p>
    <w:p w14:paraId="39D9DBDB" w14:textId="77777777" w:rsidR="00FA2FFC" w:rsidRPr="00FA325E" w:rsidRDefault="00FA2FFC" w:rsidP="00FA2FFC">
      <w:pPr>
        <w:spacing w:after="240"/>
        <w:rPr>
          <w:szCs w:val="24"/>
        </w:rPr>
      </w:pPr>
      <w:r w:rsidRPr="00FA325E">
        <w:rPr>
          <w:szCs w:val="24"/>
        </w:rPr>
        <w:t>The evidence base for diagnostic accuracy in patients with suspected HCC consisted of 10</w:t>
      </w:r>
      <w:r>
        <w:rPr>
          <w:szCs w:val="24"/>
        </w:rPr>
        <w:t> </w:t>
      </w:r>
      <w:r w:rsidRPr="00FA325E">
        <w:rPr>
          <w:szCs w:val="24"/>
        </w:rPr>
        <w:t xml:space="preserve">studies, including 7 that were included in MSAC Application 1372 and three that were identified in the updated literature search. All studies included patients who were known to have HCC or who were suspected to have HCC on the basis of previous tests. The eligible studies were further limited to those that included patients with suspected HCC, pre-existing chronic liver disease, hepatic lesions &gt; 10 mm and Child-Pugh classification A or B. The </w:t>
      </w:r>
      <w:r w:rsidRPr="00FA325E">
        <w:rPr>
          <w:szCs w:val="24"/>
        </w:rPr>
        <w:lastRenderedPageBreak/>
        <w:t>included studies were a mix of retrospective and prospective study designs, and many had a low to moderate risk of bias.</w:t>
      </w:r>
    </w:p>
    <w:p w14:paraId="75D439DF" w14:textId="77777777" w:rsidR="00FA2FFC" w:rsidRDefault="00FA2FFC" w:rsidP="00FA2FFC">
      <w:pPr>
        <w:spacing w:after="240"/>
        <w:rPr>
          <w:szCs w:val="24"/>
        </w:rPr>
      </w:pPr>
      <w:r w:rsidRPr="00FA325E">
        <w:rPr>
          <w:szCs w:val="24"/>
        </w:rPr>
        <w:t>In the 10 included studies, GA-MRI was shown to demonstrate superior sensitivity compared to CE-CT in all but one study (</w:t>
      </w:r>
      <w:proofErr w:type="spellStart"/>
      <w:r w:rsidRPr="00FA325E">
        <w:rPr>
          <w:szCs w:val="24"/>
        </w:rPr>
        <w:t>Joo</w:t>
      </w:r>
      <w:proofErr w:type="spellEnd"/>
      <w:r w:rsidRPr="00FA325E">
        <w:rPr>
          <w:szCs w:val="24"/>
        </w:rPr>
        <w:t xml:space="preserve"> et al., 2017). The studies reported a wide range of sensitivity estimates for both GA-MRI and CE-CT. For GA-MRI, sensitivity values ranged from 60% (Kawada et al., 2010) to 95% (</w:t>
      </w:r>
      <w:proofErr w:type="spellStart"/>
      <w:r w:rsidRPr="00FA325E">
        <w:rPr>
          <w:szCs w:val="24"/>
        </w:rPr>
        <w:t>Imbriaco</w:t>
      </w:r>
      <w:proofErr w:type="spellEnd"/>
      <w:r w:rsidRPr="00FA325E">
        <w:rPr>
          <w:szCs w:val="24"/>
        </w:rPr>
        <w:t xml:space="preserve"> et al., 2017). By comparison, for CE-CT, sensitivity values ranged from 40% (Kawada et al., 2010) to 91% (Toyota et al., 2013). The data across all eligible studies were pooled to provide sensitivity estimates of 84% for GA-MRI and 75% for CE-CT, with a difference of 9%. The results suggest</w:t>
      </w:r>
      <w:r w:rsidR="002E57D4">
        <w:rPr>
          <w:szCs w:val="24"/>
        </w:rPr>
        <w:t>ed</w:t>
      </w:r>
      <w:r w:rsidRPr="00FA325E">
        <w:rPr>
          <w:szCs w:val="24"/>
        </w:rPr>
        <w:t xml:space="preserve"> that GA-MRI more accurately identifies liver lesions associated with HCC than CE-CT.</w:t>
      </w:r>
    </w:p>
    <w:p w14:paraId="69BD0DA1" w14:textId="77777777" w:rsidR="00FA2FFC" w:rsidRPr="00FA325E" w:rsidRDefault="00FA2FFC" w:rsidP="00FA2FFC">
      <w:pPr>
        <w:spacing w:after="240"/>
        <w:rPr>
          <w:szCs w:val="24"/>
        </w:rPr>
      </w:pPr>
      <w:r w:rsidRPr="00FA325E">
        <w:rPr>
          <w:szCs w:val="24"/>
        </w:rPr>
        <w:t>The pooled specificity was 96% for GA-MRI compared to 91% for CE-CT. These results suggest</w:t>
      </w:r>
      <w:r w:rsidR="002E57D4">
        <w:rPr>
          <w:szCs w:val="24"/>
        </w:rPr>
        <w:t>ed</w:t>
      </w:r>
      <w:r w:rsidRPr="00FA325E">
        <w:rPr>
          <w:szCs w:val="24"/>
        </w:rPr>
        <w:t xml:space="preserve"> both tests identify patients who </w:t>
      </w:r>
      <w:r>
        <w:rPr>
          <w:szCs w:val="24"/>
        </w:rPr>
        <w:t>do not</w:t>
      </w:r>
      <w:r w:rsidRPr="00FA325E">
        <w:rPr>
          <w:szCs w:val="24"/>
        </w:rPr>
        <w:t xml:space="preserve"> require treatment for HCC at a roughly equal rate. As was the case for patient group 1, the diagnostic accuracy data presented do not account for the ability of MRI to identify lesions in addition to those already identified by CE-CT in an individual patient.  </w:t>
      </w:r>
    </w:p>
    <w:p w14:paraId="14C0CFCE" w14:textId="6387E2CD" w:rsidR="00FA2FFC" w:rsidRPr="00F97F38" w:rsidRDefault="00FA2FFC" w:rsidP="00FA2FFC">
      <w:pPr>
        <w:pStyle w:val="Caption"/>
        <w:keepNext/>
        <w:spacing w:after="0"/>
        <w:rPr>
          <w:rFonts w:ascii="Arial Narrow" w:hAnsi="Arial Narrow" w:cs="Tahoma"/>
          <w:b w:val="0"/>
          <w:bCs w:val="0"/>
          <w:sz w:val="20"/>
          <w:szCs w:val="22"/>
        </w:rPr>
      </w:pPr>
      <w:bookmarkStart w:id="3" w:name="_Toc494983760"/>
      <w:r w:rsidRPr="007A5698">
        <w:rPr>
          <w:rFonts w:ascii="Arial Narrow" w:hAnsi="Arial Narrow"/>
          <w:color w:val="auto"/>
          <w:sz w:val="20"/>
          <w:szCs w:val="20"/>
        </w:rPr>
        <w:t xml:space="preserve">Table </w:t>
      </w:r>
      <w:r w:rsidR="00AD1852">
        <w:rPr>
          <w:rFonts w:ascii="Arial Narrow" w:hAnsi="Arial Narrow"/>
          <w:color w:val="auto"/>
          <w:sz w:val="20"/>
          <w:szCs w:val="20"/>
        </w:rPr>
        <w:t>6</w:t>
      </w:r>
      <w:r w:rsidRPr="007A5698">
        <w:rPr>
          <w:rFonts w:ascii="Arial Narrow" w:hAnsi="Arial Narrow"/>
          <w:color w:val="auto"/>
          <w:sz w:val="20"/>
          <w:szCs w:val="20"/>
        </w:rPr>
        <w:tab/>
      </w:r>
      <w:r w:rsidRPr="007A5698">
        <w:rPr>
          <w:rFonts w:ascii="Arial Narrow" w:hAnsi="Arial Narrow" w:cs="Tahoma"/>
          <w:color w:val="auto"/>
          <w:sz w:val="20"/>
          <w:szCs w:val="20"/>
        </w:rPr>
        <w:t xml:space="preserve">Summary statistics for GA-MRI compared to CE-CT in patient group 1: patients with known CRC with </w:t>
      </w:r>
      <w:r>
        <w:rPr>
          <w:rFonts w:ascii="Arial Narrow" w:hAnsi="Arial Narrow" w:cs="Tahoma"/>
          <w:color w:val="auto"/>
          <w:sz w:val="20"/>
          <w:szCs w:val="20"/>
        </w:rPr>
        <w:tab/>
      </w:r>
      <w:r w:rsidRPr="007A5698">
        <w:rPr>
          <w:rFonts w:ascii="Arial Narrow" w:hAnsi="Arial Narrow" w:cs="Tahoma"/>
          <w:color w:val="auto"/>
          <w:sz w:val="20"/>
          <w:szCs w:val="20"/>
        </w:rPr>
        <w:t>suspected or possible liver malignancy</w:t>
      </w:r>
      <w:bookmarkEnd w:id="3"/>
    </w:p>
    <w:tbl>
      <w:tblPr>
        <w:tblStyle w:val="TableGrid2"/>
        <w:tblW w:w="5000" w:type="pct"/>
        <w:tblLook w:val="04A0" w:firstRow="1" w:lastRow="0" w:firstColumn="1" w:lastColumn="0" w:noHBand="0" w:noVBand="1"/>
        <w:tblDescription w:val="Results for the pooled estimates for GA-MRI compared to CE-CT in population 1"/>
      </w:tblPr>
      <w:tblGrid>
        <w:gridCol w:w="3640"/>
        <w:gridCol w:w="2765"/>
        <w:gridCol w:w="2837"/>
      </w:tblGrid>
      <w:tr w:rsidR="00FA2FFC" w:rsidRPr="00F97F38" w14:paraId="4656FA4B" w14:textId="77777777" w:rsidTr="007A5009">
        <w:trPr>
          <w:cnfStyle w:val="100000000000" w:firstRow="1" w:lastRow="0" w:firstColumn="0" w:lastColumn="0" w:oddVBand="0" w:evenVBand="0" w:oddHBand="0" w:evenHBand="0" w:firstRowFirstColumn="0" w:firstRowLastColumn="0" w:lastRowFirstColumn="0" w:lastRowLastColumn="0"/>
          <w:trHeight w:val="469"/>
          <w:tblHeader/>
        </w:trPr>
        <w:tc>
          <w:tcPr>
            <w:tcW w:w="1969" w:type="pct"/>
          </w:tcPr>
          <w:p w14:paraId="43F0BE0B" w14:textId="77777777" w:rsidR="00FA2FFC" w:rsidRPr="00F97F38" w:rsidRDefault="00FA2FFC" w:rsidP="007A5009">
            <w:pPr>
              <w:keepNext/>
              <w:spacing w:before="0" w:after="0"/>
              <w:jc w:val="center"/>
              <w:rPr>
                <w:rFonts w:cs="Arial"/>
                <w:color w:val="1F497D"/>
                <w:sz w:val="20"/>
                <w:lang w:eastAsia="en-US"/>
              </w:rPr>
            </w:pPr>
            <w:r w:rsidRPr="00F97F38">
              <w:rPr>
                <w:rFonts w:cs="Tahoma"/>
                <w:b/>
                <w:sz w:val="20"/>
                <w:szCs w:val="22"/>
                <w:lang w:eastAsia="en-US"/>
              </w:rPr>
              <w:t xml:space="preserve">Accuracy </w:t>
            </w:r>
            <w:r w:rsidRPr="00F97F38">
              <w:rPr>
                <w:rFonts w:cs="Tahoma"/>
                <w:sz w:val="20"/>
                <w:szCs w:val="22"/>
                <w:lang w:eastAsia="en-US"/>
              </w:rPr>
              <w:t>(k=10)</w:t>
            </w:r>
          </w:p>
        </w:tc>
        <w:tc>
          <w:tcPr>
            <w:tcW w:w="1496" w:type="pct"/>
          </w:tcPr>
          <w:p w14:paraId="05B78C48" w14:textId="77777777" w:rsidR="00FA2FFC" w:rsidRPr="00F97F38" w:rsidRDefault="00FA2FFC" w:rsidP="007A5009">
            <w:pPr>
              <w:keepNext/>
              <w:spacing w:before="0" w:after="0"/>
              <w:jc w:val="center"/>
              <w:rPr>
                <w:rFonts w:cs="Tahoma"/>
                <w:b/>
                <w:sz w:val="20"/>
                <w:szCs w:val="22"/>
                <w:lang w:eastAsia="en-US"/>
              </w:rPr>
            </w:pPr>
            <w:r w:rsidRPr="00F97F38">
              <w:rPr>
                <w:rFonts w:cs="Tahoma"/>
                <w:b/>
                <w:sz w:val="20"/>
                <w:szCs w:val="22"/>
                <w:lang w:eastAsia="en-US"/>
              </w:rPr>
              <w:t>Index test</w:t>
            </w:r>
          </w:p>
          <w:p w14:paraId="6D8D694A" w14:textId="77777777" w:rsidR="00FA2FFC" w:rsidRPr="00F97F38" w:rsidRDefault="00FA2FFC" w:rsidP="007A5009">
            <w:pPr>
              <w:keepNext/>
              <w:spacing w:before="0" w:after="0"/>
              <w:rPr>
                <w:rFonts w:cs="Tahoma"/>
                <w:sz w:val="20"/>
                <w:szCs w:val="22"/>
                <w:lang w:eastAsia="en-US"/>
              </w:rPr>
            </w:pPr>
          </w:p>
        </w:tc>
        <w:tc>
          <w:tcPr>
            <w:tcW w:w="1535" w:type="pct"/>
          </w:tcPr>
          <w:p w14:paraId="650D327E" w14:textId="77777777" w:rsidR="00FA2FFC" w:rsidRPr="00F97F38" w:rsidRDefault="00FA2FFC" w:rsidP="007A5009">
            <w:pPr>
              <w:keepNext/>
              <w:spacing w:before="0" w:after="0"/>
              <w:jc w:val="center"/>
              <w:rPr>
                <w:rFonts w:cs="Tahoma"/>
                <w:b/>
                <w:sz w:val="20"/>
                <w:szCs w:val="22"/>
                <w:lang w:eastAsia="en-US"/>
              </w:rPr>
            </w:pPr>
            <w:r w:rsidRPr="00F97F38">
              <w:rPr>
                <w:rFonts w:cs="Tahoma"/>
                <w:b/>
                <w:sz w:val="20"/>
                <w:szCs w:val="22"/>
                <w:lang w:eastAsia="en-US"/>
              </w:rPr>
              <w:t>Comparator</w:t>
            </w:r>
          </w:p>
        </w:tc>
      </w:tr>
      <w:tr w:rsidR="00FA2FFC" w:rsidRPr="00F97F38" w14:paraId="3DCF2F35" w14:textId="77777777" w:rsidTr="007A5009">
        <w:trPr>
          <w:trHeight w:val="255"/>
        </w:trPr>
        <w:tc>
          <w:tcPr>
            <w:tcW w:w="1969" w:type="pct"/>
          </w:tcPr>
          <w:p w14:paraId="11CCE604" w14:textId="77777777" w:rsidR="00FA2FFC" w:rsidRPr="00F97F38" w:rsidRDefault="00FA2FFC" w:rsidP="007A5009">
            <w:pPr>
              <w:spacing w:before="0" w:after="0" w:line="312" w:lineRule="auto"/>
              <w:rPr>
                <w:rFonts w:cs="Tahoma"/>
                <w:sz w:val="20"/>
                <w:szCs w:val="22"/>
                <w:lang w:eastAsia="en-US"/>
              </w:rPr>
            </w:pPr>
            <w:r w:rsidRPr="00F97F38">
              <w:rPr>
                <w:rFonts w:cs="Tahoma"/>
                <w:sz w:val="20"/>
                <w:szCs w:val="22"/>
                <w:lang w:eastAsia="en-US"/>
              </w:rPr>
              <w:t>Sensitivity,  [95% CI]</w:t>
            </w:r>
          </w:p>
        </w:tc>
        <w:tc>
          <w:tcPr>
            <w:tcW w:w="1496" w:type="pct"/>
          </w:tcPr>
          <w:p w14:paraId="7CA0E7F7" w14:textId="77777777" w:rsidR="00FA2FFC" w:rsidRPr="00F97F38" w:rsidRDefault="00FA2FFC" w:rsidP="007A5009">
            <w:pPr>
              <w:keepNext/>
              <w:spacing w:before="0" w:after="0"/>
              <w:jc w:val="center"/>
              <w:rPr>
                <w:rFonts w:cs="Tahoma"/>
                <w:sz w:val="20"/>
                <w:szCs w:val="22"/>
                <w:lang w:eastAsia="en-US"/>
              </w:rPr>
            </w:pPr>
            <w:r w:rsidRPr="00F97F38">
              <w:rPr>
                <w:rFonts w:cs="Tahoma"/>
                <w:sz w:val="20"/>
                <w:szCs w:val="22"/>
                <w:lang w:eastAsia="en-US"/>
              </w:rPr>
              <w:t>0.84 [0.81, 0.86]</w:t>
            </w:r>
          </w:p>
          <w:p w14:paraId="43EFD7A1" w14:textId="77777777" w:rsidR="00FA2FFC" w:rsidRPr="00F97F38" w:rsidRDefault="00FA2FFC" w:rsidP="007A5009">
            <w:pPr>
              <w:keepNext/>
              <w:spacing w:before="0" w:after="0"/>
              <w:jc w:val="center"/>
              <w:rPr>
                <w:rFonts w:cs="Tahoma"/>
                <w:sz w:val="20"/>
                <w:szCs w:val="22"/>
                <w:lang w:eastAsia="en-US"/>
              </w:rPr>
            </w:pPr>
            <w:r w:rsidRPr="00F97F38">
              <w:rPr>
                <w:rFonts w:cs="Tahoma"/>
                <w:sz w:val="20"/>
                <w:szCs w:val="22"/>
                <w:lang w:eastAsia="en-US"/>
              </w:rPr>
              <w:t>(n=1165)</w:t>
            </w:r>
          </w:p>
        </w:tc>
        <w:tc>
          <w:tcPr>
            <w:tcW w:w="1535" w:type="pct"/>
          </w:tcPr>
          <w:p w14:paraId="633020B7" w14:textId="77777777" w:rsidR="00FA2FFC" w:rsidRPr="00F97F38" w:rsidRDefault="00FA2FFC" w:rsidP="007A5009">
            <w:pPr>
              <w:keepNext/>
              <w:spacing w:before="0" w:after="0"/>
              <w:jc w:val="center"/>
              <w:rPr>
                <w:rFonts w:cs="Tahoma"/>
                <w:sz w:val="20"/>
                <w:szCs w:val="22"/>
                <w:lang w:eastAsia="en-US"/>
              </w:rPr>
            </w:pPr>
            <w:r w:rsidRPr="00F97F38">
              <w:rPr>
                <w:rFonts w:cs="Tahoma"/>
                <w:sz w:val="20"/>
                <w:szCs w:val="22"/>
                <w:lang w:eastAsia="en-US"/>
              </w:rPr>
              <w:t>0.75 [0.72, 0.77]</w:t>
            </w:r>
          </w:p>
          <w:p w14:paraId="4863F588" w14:textId="77777777" w:rsidR="00FA2FFC" w:rsidRPr="00F97F38" w:rsidRDefault="00FA2FFC" w:rsidP="007A5009">
            <w:pPr>
              <w:keepNext/>
              <w:spacing w:before="0" w:after="0"/>
              <w:jc w:val="center"/>
              <w:rPr>
                <w:rFonts w:cs="Tahoma"/>
                <w:sz w:val="20"/>
                <w:szCs w:val="22"/>
                <w:lang w:eastAsia="en-US"/>
              </w:rPr>
            </w:pPr>
            <w:r w:rsidRPr="00F97F38">
              <w:rPr>
                <w:rFonts w:cs="Tahoma"/>
                <w:sz w:val="20"/>
                <w:szCs w:val="22"/>
                <w:lang w:eastAsia="en-US"/>
              </w:rPr>
              <w:t>(n=1165)</w:t>
            </w:r>
          </w:p>
        </w:tc>
      </w:tr>
      <w:tr w:rsidR="00FA2FFC" w:rsidRPr="00F97F38" w14:paraId="6EA37F85" w14:textId="77777777" w:rsidTr="007A5009">
        <w:trPr>
          <w:trHeight w:val="421"/>
        </w:trPr>
        <w:tc>
          <w:tcPr>
            <w:tcW w:w="1969" w:type="pct"/>
          </w:tcPr>
          <w:p w14:paraId="5052E510" w14:textId="77777777" w:rsidR="00FA2FFC" w:rsidRPr="00F97F38" w:rsidRDefault="00FA2FFC" w:rsidP="007A5009">
            <w:pPr>
              <w:keepNext/>
              <w:spacing w:before="0" w:after="0"/>
              <w:rPr>
                <w:rFonts w:cs="Tahoma"/>
                <w:sz w:val="20"/>
                <w:szCs w:val="22"/>
                <w:lang w:eastAsia="en-US"/>
              </w:rPr>
            </w:pPr>
            <w:r w:rsidRPr="00F97F38">
              <w:rPr>
                <w:rFonts w:cs="Tahoma"/>
                <w:sz w:val="20"/>
                <w:szCs w:val="22"/>
                <w:lang w:eastAsia="en-US"/>
              </w:rPr>
              <w:t>Specificity,  [95% CI]</w:t>
            </w:r>
          </w:p>
        </w:tc>
        <w:tc>
          <w:tcPr>
            <w:tcW w:w="1496" w:type="pct"/>
          </w:tcPr>
          <w:p w14:paraId="172A645E" w14:textId="77777777" w:rsidR="00FA2FFC" w:rsidRPr="00F97F38" w:rsidRDefault="00FA2FFC" w:rsidP="007A5009">
            <w:pPr>
              <w:keepNext/>
              <w:spacing w:before="0" w:after="0"/>
              <w:jc w:val="center"/>
              <w:rPr>
                <w:rFonts w:cs="Tahoma"/>
                <w:sz w:val="20"/>
                <w:szCs w:val="22"/>
                <w:lang w:eastAsia="en-US"/>
              </w:rPr>
            </w:pPr>
            <w:r w:rsidRPr="00F97F38">
              <w:rPr>
                <w:rFonts w:cs="Tahoma"/>
                <w:sz w:val="20"/>
                <w:szCs w:val="22"/>
                <w:lang w:eastAsia="en-US"/>
              </w:rPr>
              <w:t>0.96 [0.92, 0.98]</w:t>
            </w:r>
          </w:p>
          <w:p w14:paraId="50591D8C" w14:textId="77777777" w:rsidR="00FA2FFC" w:rsidRPr="00F97F38" w:rsidRDefault="00FA2FFC" w:rsidP="007A5009">
            <w:pPr>
              <w:keepNext/>
              <w:spacing w:before="0" w:after="0"/>
              <w:jc w:val="center"/>
              <w:rPr>
                <w:rFonts w:cs="Tahoma"/>
                <w:sz w:val="20"/>
                <w:szCs w:val="22"/>
                <w:lang w:eastAsia="en-US"/>
              </w:rPr>
            </w:pPr>
            <w:r w:rsidRPr="00F97F38">
              <w:rPr>
                <w:rFonts w:cs="Tahoma"/>
                <w:sz w:val="20"/>
                <w:szCs w:val="22"/>
                <w:lang w:eastAsia="en-US"/>
              </w:rPr>
              <w:t>(n=575)</w:t>
            </w:r>
          </w:p>
        </w:tc>
        <w:tc>
          <w:tcPr>
            <w:tcW w:w="1535" w:type="pct"/>
          </w:tcPr>
          <w:p w14:paraId="05CF74EE" w14:textId="77777777" w:rsidR="00FA2FFC" w:rsidRPr="00F97F38" w:rsidRDefault="00FA2FFC" w:rsidP="007A5009">
            <w:pPr>
              <w:keepNext/>
              <w:spacing w:before="0" w:after="0"/>
              <w:jc w:val="center"/>
              <w:rPr>
                <w:rFonts w:cs="Tahoma"/>
                <w:sz w:val="20"/>
                <w:szCs w:val="22"/>
                <w:lang w:eastAsia="en-US"/>
              </w:rPr>
            </w:pPr>
            <w:r w:rsidRPr="00F97F38">
              <w:rPr>
                <w:rFonts w:cs="Tahoma"/>
                <w:sz w:val="20"/>
                <w:szCs w:val="22"/>
                <w:lang w:eastAsia="en-US"/>
              </w:rPr>
              <w:t>0.91 [0.86, 0.95]</w:t>
            </w:r>
          </w:p>
          <w:p w14:paraId="02C5859D" w14:textId="77777777" w:rsidR="00FA2FFC" w:rsidRPr="00F97F38" w:rsidRDefault="00FA2FFC" w:rsidP="007A5009">
            <w:pPr>
              <w:keepNext/>
              <w:spacing w:before="0" w:after="0"/>
              <w:jc w:val="center"/>
              <w:rPr>
                <w:rFonts w:cs="Tahoma"/>
                <w:sz w:val="20"/>
                <w:szCs w:val="22"/>
                <w:lang w:eastAsia="en-US"/>
              </w:rPr>
            </w:pPr>
            <w:r w:rsidRPr="00F97F38">
              <w:rPr>
                <w:rFonts w:cs="Tahoma"/>
                <w:sz w:val="20"/>
                <w:szCs w:val="22"/>
                <w:lang w:eastAsia="en-US"/>
              </w:rPr>
              <w:t>(n=575)</w:t>
            </w:r>
          </w:p>
        </w:tc>
      </w:tr>
      <w:tr w:rsidR="00FA2FFC" w:rsidRPr="00F97F38" w14:paraId="46C01CFA" w14:textId="77777777" w:rsidTr="007A5009">
        <w:trPr>
          <w:trHeight w:val="421"/>
        </w:trPr>
        <w:tc>
          <w:tcPr>
            <w:tcW w:w="1969" w:type="pct"/>
          </w:tcPr>
          <w:p w14:paraId="116006F6" w14:textId="551E43FF" w:rsidR="00FA2FFC" w:rsidRPr="00F97F38" w:rsidRDefault="00D102F0" w:rsidP="007A5009">
            <w:pPr>
              <w:keepNext/>
              <w:spacing w:before="0" w:after="0"/>
              <w:rPr>
                <w:rFonts w:cs="Tahoma"/>
                <w:sz w:val="20"/>
                <w:szCs w:val="22"/>
                <w:lang w:eastAsia="en-US"/>
              </w:rPr>
            </w:pPr>
            <w:r>
              <w:rPr>
                <w:rFonts w:cs="Tahoma"/>
                <w:sz w:val="20"/>
                <w:szCs w:val="22"/>
                <w:lang w:eastAsia="en-US"/>
              </w:rPr>
              <w:t>Positive predictive value</w:t>
            </w:r>
          </w:p>
        </w:tc>
        <w:tc>
          <w:tcPr>
            <w:tcW w:w="1496" w:type="pct"/>
          </w:tcPr>
          <w:p w14:paraId="2BF7B64D" w14:textId="77777777" w:rsidR="00FA2FFC" w:rsidRPr="00F97F38" w:rsidRDefault="00FA2FFC" w:rsidP="007A5009">
            <w:pPr>
              <w:keepNext/>
              <w:spacing w:before="0" w:after="0"/>
              <w:jc w:val="center"/>
              <w:rPr>
                <w:rFonts w:cs="Tahoma"/>
                <w:color w:val="000000"/>
                <w:sz w:val="20"/>
                <w:lang w:eastAsia="en-US"/>
              </w:rPr>
            </w:pPr>
            <w:r w:rsidRPr="00F97F38">
              <w:rPr>
                <w:rFonts w:cs="Tahoma"/>
                <w:color w:val="000000"/>
                <w:sz w:val="20"/>
                <w:lang w:eastAsia="en-US"/>
              </w:rPr>
              <w:t>0.97</w:t>
            </w:r>
          </w:p>
          <w:p w14:paraId="591984E2" w14:textId="77777777" w:rsidR="00FA2FFC" w:rsidRPr="00F97F38" w:rsidRDefault="00FA2FFC" w:rsidP="007A5009">
            <w:pPr>
              <w:keepNext/>
              <w:spacing w:before="0" w:after="0"/>
              <w:jc w:val="center"/>
              <w:rPr>
                <w:rFonts w:cs="Tahoma"/>
                <w:sz w:val="20"/>
                <w:szCs w:val="22"/>
                <w:lang w:eastAsia="en-US"/>
              </w:rPr>
            </w:pPr>
            <w:r w:rsidRPr="00F97F38">
              <w:rPr>
                <w:rFonts w:cs="Tahoma"/>
                <w:sz w:val="20"/>
                <w:szCs w:val="22"/>
                <w:lang w:eastAsia="en-US"/>
              </w:rPr>
              <w:t>(n=1165)</w:t>
            </w:r>
          </w:p>
        </w:tc>
        <w:tc>
          <w:tcPr>
            <w:tcW w:w="1535" w:type="pct"/>
          </w:tcPr>
          <w:p w14:paraId="430BB4EF" w14:textId="77777777" w:rsidR="00FA2FFC" w:rsidRPr="00F97F38" w:rsidRDefault="00FA2FFC" w:rsidP="007A5009">
            <w:pPr>
              <w:keepNext/>
              <w:spacing w:before="0" w:after="0"/>
              <w:jc w:val="center"/>
              <w:rPr>
                <w:rFonts w:cs="Tahoma"/>
                <w:color w:val="000000"/>
                <w:sz w:val="20"/>
                <w:lang w:eastAsia="en-US"/>
              </w:rPr>
            </w:pPr>
            <w:r w:rsidRPr="00F97F38">
              <w:rPr>
                <w:rFonts w:cs="Tahoma"/>
                <w:color w:val="000000"/>
                <w:sz w:val="20"/>
                <w:lang w:eastAsia="en-US"/>
              </w:rPr>
              <w:t>0.96</w:t>
            </w:r>
          </w:p>
          <w:p w14:paraId="3328FEB4" w14:textId="77777777" w:rsidR="00FA2FFC" w:rsidRPr="00F97F38" w:rsidRDefault="00FA2FFC" w:rsidP="007A5009">
            <w:pPr>
              <w:keepNext/>
              <w:spacing w:before="0" w:after="0"/>
              <w:jc w:val="center"/>
              <w:rPr>
                <w:rFonts w:cs="Tahoma"/>
                <w:sz w:val="20"/>
                <w:szCs w:val="22"/>
                <w:lang w:eastAsia="en-US"/>
              </w:rPr>
            </w:pPr>
            <w:r w:rsidRPr="00F97F38">
              <w:rPr>
                <w:rFonts w:cs="Tahoma"/>
                <w:sz w:val="20"/>
                <w:szCs w:val="22"/>
                <w:lang w:eastAsia="en-US"/>
              </w:rPr>
              <w:t>(n=1165)</w:t>
            </w:r>
          </w:p>
        </w:tc>
      </w:tr>
      <w:tr w:rsidR="00FA2FFC" w:rsidRPr="00F97F38" w14:paraId="52CA051E" w14:textId="77777777" w:rsidTr="007A5009">
        <w:trPr>
          <w:trHeight w:val="421"/>
        </w:trPr>
        <w:tc>
          <w:tcPr>
            <w:tcW w:w="1969" w:type="pct"/>
          </w:tcPr>
          <w:p w14:paraId="532477A3" w14:textId="6F0D0D05" w:rsidR="00FA2FFC" w:rsidRPr="00F97F38" w:rsidRDefault="00D102F0" w:rsidP="007A5009">
            <w:pPr>
              <w:keepNext/>
              <w:spacing w:before="0" w:after="0"/>
              <w:rPr>
                <w:rFonts w:cs="Tahoma"/>
                <w:sz w:val="20"/>
                <w:szCs w:val="22"/>
                <w:lang w:eastAsia="en-US"/>
              </w:rPr>
            </w:pPr>
            <w:r>
              <w:rPr>
                <w:rFonts w:cs="Tahoma"/>
                <w:sz w:val="20"/>
                <w:szCs w:val="22"/>
                <w:lang w:eastAsia="en-US"/>
              </w:rPr>
              <w:t>Negative predictive value</w:t>
            </w:r>
          </w:p>
        </w:tc>
        <w:tc>
          <w:tcPr>
            <w:tcW w:w="1496" w:type="pct"/>
          </w:tcPr>
          <w:p w14:paraId="390E99BB" w14:textId="77777777" w:rsidR="00FA2FFC" w:rsidRPr="00F97F38" w:rsidRDefault="00FA2FFC" w:rsidP="007A5009">
            <w:pPr>
              <w:keepNext/>
              <w:spacing w:before="0" w:after="0"/>
              <w:jc w:val="center"/>
              <w:rPr>
                <w:rFonts w:cs="Tahoma"/>
                <w:color w:val="000000"/>
                <w:sz w:val="20"/>
                <w:lang w:eastAsia="en-US"/>
              </w:rPr>
            </w:pPr>
            <w:r w:rsidRPr="00F97F38">
              <w:rPr>
                <w:rFonts w:cs="Tahoma"/>
                <w:color w:val="000000"/>
                <w:sz w:val="20"/>
                <w:lang w:eastAsia="en-US"/>
              </w:rPr>
              <w:t>0.83</w:t>
            </w:r>
          </w:p>
          <w:p w14:paraId="002C7BE5" w14:textId="77777777" w:rsidR="00FA2FFC" w:rsidRPr="00F97F38" w:rsidRDefault="00FA2FFC" w:rsidP="007A5009">
            <w:pPr>
              <w:keepNext/>
              <w:spacing w:before="0" w:after="0"/>
              <w:jc w:val="center"/>
              <w:rPr>
                <w:rFonts w:cs="Tahoma"/>
                <w:sz w:val="20"/>
                <w:szCs w:val="22"/>
                <w:lang w:eastAsia="en-US"/>
              </w:rPr>
            </w:pPr>
            <w:r w:rsidRPr="00F97F38">
              <w:rPr>
                <w:rFonts w:cs="Tahoma"/>
                <w:sz w:val="20"/>
                <w:szCs w:val="22"/>
                <w:lang w:eastAsia="en-US"/>
              </w:rPr>
              <w:t>(n=575)</w:t>
            </w:r>
          </w:p>
        </w:tc>
        <w:tc>
          <w:tcPr>
            <w:tcW w:w="1535" w:type="pct"/>
          </w:tcPr>
          <w:p w14:paraId="4599B551" w14:textId="77777777" w:rsidR="00FA2FFC" w:rsidRPr="00F97F38" w:rsidRDefault="00FA2FFC" w:rsidP="007A5009">
            <w:pPr>
              <w:keepNext/>
              <w:spacing w:before="0" w:after="0"/>
              <w:jc w:val="center"/>
              <w:rPr>
                <w:rFonts w:cs="Tahoma"/>
                <w:color w:val="000000"/>
                <w:sz w:val="20"/>
                <w:lang w:eastAsia="en-US"/>
              </w:rPr>
            </w:pPr>
            <w:r w:rsidRPr="00F97F38">
              <w:rPr>
                <w:rFonts w:cs="Tahoma"/>
                <w:color w:val="000000"/>
                <w:sz w:val="20"/>
                <w:lang w:eastAsia="en-US"/>
              </w:rPr>
              <w:t>0.67</w:t>
            </w:r>
          </w:p>
          <w:p w14:paraId="34CDB5F3" w14:textId="77777777" w:rsidR="00FA2FFC" w:rsidRPr="00F97F38" w:rsidRDefault="00FA2FFC" w:rsidP="007A5009">
            <w:pPr>
              <w:keepNext/>
              <w:spacing w:before="0" w:after="0"/>
              <w:jc w:val="center"/>
              <w:rPr>
                <w:rFonts w:cs="Tahoma"/>
                <w:sz w:val="20"/>
                <w:szCs w:val="22"/>
                <w:lang w:eastAsia="en-US"/>
              </w:rPr>
            </w:pPr>
            <w:r w:rsidRPr="00F97F38">
              <w:rPr>
                <w:rFonts w:cs="Tahoma"/>
                <w:sz w:val="20"/>
                <w:szCs w:val="22"/>
                <w:lang w:eastAsia="en-US"/>
              </w:rPr>
              <w:t>(n=575)</w:t>
            </w:r>
          </w:p>
        </w:tc>
      </w:tr>
    </w:tbl>
    <w:p w14:paraId="2B332192" w14:textId="77777777" w:rsidR="00FA2FFC" w:rsidRPr="00F33658" w:rsidRDefault="00FA2FFC" w:rsidP="00FE38E4">
      <w:pPr>
        <w:pStyle w:val="Heading3"/>
        <w:spacing w:before="240"/>
      </w:pPr>
      <w:r w:rsidRPr="00F33658">
        <w:t>Therapeutic efficacy (change in management)</w:t>
      </w:r>
    </w:p>
    <w:p w14:paraId="639BB76D" w14:textId="77777777" w:rsidR="00FA2FFC" w:rsidRPr="00FA325E" w:rsidRDefault="00FA2FFC" w:rsidP="00FE38E4">
      <w:pPr>
        <w:pStyle w:val="Heading4"/>
      </w:pPr>
      <w:r w:rsidRPr="00FA325E">
        <w:t>Patient group 1: patients with known CRC with suspected or possible liver malignancy</w:t>
      </w:r>
    </w:p>
    <w:p w14:paraId="67D8C52F" w14:textId="77777777" w:rsidR="00FA2FFC" w:rsidRPr="00FA325E" w:rsidRDefault="00FA2FFC" w:rsidP="00CA0501">
      <w:pPr>
        <w:spacing w:after="240"/>
        <w:rPr>
          <w:szCs w:val="24"/>
        </w:rPr>
      </w:pPr>
      <w:r w:rsidRPr="00FA325E">
        <w:rPr>
          <w:szCs w:val="24"/>
        </w:rPr>
        <w:t xml:space="preserve">The evidence base for the decision impact studies in patients with known CRC and suspected liver metastases consisted of 4 studies, all of which had been previously included in MSAC Application 1372 (Cho et al. 2015; Kim et al. 2015b; Patel et al. 2014; </w:t>
      </w:r>
      <w:proofErr w:type="spellStart"/>
      <w:r w:rsidRPr="00FA325E">
        <w:rPr>
          <w:szCs w:val="24"/>
        </w:rPr>
        <w:t>Zech</w:t>
      </w:r>
      <w:proofErr w:type="spellEnd"/>
      <w:r w:rsidRPr="00FA325E">
        <w:rPr>
          <w:szCs w:val="24"/>
        </w:rPr>
        <w:t xml:space="preserve"> et al. 2014). All 4 studies included patients with CRC and known or suspected liver metastases identifie</w:t>
      </w:r>
      <w:r w:rsidR="00CA0501">
        <w:rPr>
          <w:szCs w:val="24"/>
        </w:rPr>
        <w:t>d on prior ultrasound or CE-CT.</w:t>
      </w:r>
    </w:p>
    <w:p w14:paraId="02118E32" w14:textId="77777777" w:rsidR="00FA2FFC" w:rsidRPr="00FA325E" w:rsidRDefault="00FA2FFC" w:rsidP="00CA0501">
      <w:pPr>
        <w:spacing w:after="240"/>
        <w:rPr>
          <w:szCs w:val="24"/>
        </w:rPr>
      </w:pPr>
      <w:r w:rsidRPr="00FA325E">
        <w:rPr>
          <w:szCs w:val="24"/>
        </w:rPr>
        <w:t>Change in patient management ranged from 8.5% (Kim et al., 2015) to 38.4% (</w:t>
      </w:r>
      <w:proofErr w:type="spellStart"/>
      <w:r w:rsidRPr="00FA325E">
        <w:rPr>
          <w:szCs w:val="24"/>
        </w:rPr>
        <w:t>Zech</w:t>
      </w:r>
      <w:proofErr w:type="spellEnd"/>
      <w:r w:rsidRPr="00FA325E">
        <w:rPr>
          <w:szCs w:val="24"/>
        </w:rPr>
        <w:t xml:space="preserve"> et al., 2014). In the 2 most applicable studies, which included patients who were candidates for resection, the rates of change in patient management were 9.2% (Cho et al., 2015) and 8.5% (Kim et al., 2015). Change in patient management included extended surgical plans, re-allocation to surgery and radiofrequency ablation. Collectively, these results suggest that the superior sensitivity of GA-MRI relative to CE-CT translates to changes in patient management in clinical practice.</w:t>
      </w:r>
    </w:p>
    <w:p w14:paraId="7688B9C6" w14:textId="77777777" w:rsidR="00FA2FFC" w:rsidRPr="00FA325E" w:rsidRDefault="00FA2FFC" w:rsidP="00FE38E4">
      <w:pPr>
        <w:pStyle w:val="Heading4"/>
      </w:pPr>
      <w:r w:rsidRPr="00FA325E">
        <w:t>Patient group 2: patients with suspected HCC</w:t>
      </w:r>
    </w:p>
    <w:p w14:paraId="764BE82D" w14:textId="77777777" w:rsidR="00FA2FFC" w:rsidRPr="00FA325E" w:rsidRDefault="00FA2FFC" w:rsidP="00CA0501">
      <w:pPr>
        <w:spacing w:after="240"/>
        <w:rPr>
          <w:szCs w:val="24"/>
        </w:rPr>
      </w:pPr>
      <w:r w:rsidRPr="00FA325E">
        <w:rPr>
          <w:szCs w:val="24"/>
        </w:rPr>
        <w:t xml:space="preserve">The evidence base for the decision impact studies in patients with suspected HCC consisted of 2 studies that were included in MSAC Application 1372 (Cha et al., 2014; </w:t>
      </w:r>
      <w:proofErr w:type="spellStart"/>
      <w:r w:rsidRPr="00FA325E">
        <w:rPr>
          <w:szCs w:val="24"/>
        </w:rPr>
        <w:t>Yoo</w:t>
      </w:r>
      <w:proofErr w:type="spellEnd"/>
      <w:r w:rsidRPr="00FA325E">
        <w:rPr>
          <w:szCs w:val="24"/>
        </w:rPr>
        <w:t xml:space="preserve"> et al., 2013), and one study which was identified in the updated literature search (Wang et al., 2016). All 3 studies assessed the impact of additional GA-MRI on management including </w:t>
      </w:r>
      <w:r w:rsidRPr="00FA325E">
        <w:rPr>
          <w:szCs w:val="24"/>
        </w:rPr>
        <w:lastRenderedPageBreak/>
        <w:t>diagnosis, staging, and therapeutic decisions for patients with hepatic nodule</w:t>
      </w:r>
      <w:r w:rsidR="00CA0501">
        <w:rPr>
          <w:szCs w:val="24"/>
        </w:rPr>
        <w:t>s suspected or known to be HCC.</w:t>
      </w:r>
    </w:p>
    <w:p w14:paraId="5916F1DE" w14:textId="77777777" w:rsidR="00FA2FFC" w:rsidRPr="00FA325E" w:rsidRDefault="00FA2FFC" w:rsidP="00FA2FFC">
      <w:pPr>
        <w:rPr>
          <w:szCs w:val="24"/>
        </w:rPr>
      </w:pPr>
      <w:r w:rsidRPr="00FA325E">
        <w:rPr>
          <w:szCs w:val="24"/>
        </w:rPr>
        <w:t xml:space="preserve">The proportion of patients experiencing a change in patient management was roughly 40% in the studies by Cha et al. (2014) and </w:t>
      </w:r>
      <w:proofErr w:type="spellStart"/>
      <w:r w:rsidRPr="00FA325E">
        <w:rPr>
          <w:szCs w:val="24"/>
        </w:rPr>
        <w:t>Yoo</w:t>
      </w:r>
      <w:proofErr w:type="spellEnd"/>
      <w:r w:rsidRPr="00FA325E">
        <w:rPr>
          <w:szCs w:val="24"/>
        </w:rPr>
        <w:t xml:space="preserve"> et al. (2013), and 18.9% in the prospective study by Wang et al. (2016). The studies further suggest</w:t>
      </w:r>
      <w:r w:rsidR="00F33658">
        <w:rPr>
          <w:szCs w:val="24"/>
        </w:rPr>
        <w:t>ed</w:t>
      </w:r>
      <w:r w:rsidRPr="00FA325E">
        <w:rPr>
          <w:szCs w:val="24"/>
        </w:rPr>
        <w:t xml:space="preserve"> that GA-MRI was associated with more appropriately targeted treatment of HCC compared with CE-CT. This included the use of </w:t>
      </w:r>
      <w:r w:rsidR="00B74993">
        <w:rPr>
          <w:szCs w:val="24"/>
        </w:rPr>
        <w:t>radiofrequency ablation (</w:t>
      </w:r>
      <w:r w:rsidRPr="00FA325E">
        <w:rPr>
          <w:szCs w:val="24"/>
        </w:rPr>
        <w:t>RFA</w:t>
      </w:r>
      <w:r w:rsidR="00B74993">
        <w:rPr>
          <w:szCs w:val="24"/>
        </w:rPr>
        <w:t>)</w:t>
      </w:r>
      <w:r w:rsidRPr="00FA325E">
        <w:rPr>
          <w:szCs w:val="24"/>
        </w:rPr>
        <w:t xml:space="preserve"> or </w:t>
      </w:r>
      <w:r w:rsidR="00B74993">
        <w:rPr>
          <w:szCs w:val="24"/>
        </w:rPr>
        <w:t xml:space="preserve">trans-arterial </w:t>
      </w:r>
      <w:proofErr w:type="spellStart"/>
      <w:r w:rsidR="00B74993">
        <w:rPr>
          <w:szCs w:val="24"/>
        </w:rPr>
        <w:t>chemoembolisation</w:t>
      </w:r>
      <w:proofErr w:type="spellEnd"/>
      <w:r w:rsidR="00B74993">
        <w:rPr>
          <w:szCs w:val="24"/>
        </w:rPr>
        <w:t xml:space="preserve"> (</w:t>
      </w:r>
      <w:r w:rsidRPr="00FA325E">
        <w:rPr>
          <w:szCs w:val="24"/>
        </w:rPr>
        <w:t>TACE</w:t>
      </w:r>
      <w:r w:rsidR="00B74993">
        <w:rPr>
          <w:szCs w:val="24"/>
        </w:rPr>
        <w:t>)</w:t>
      </w:r>
      <w:r w:rsidRPr="00FA325E">
        <w:rPr>
          <w:szCs w:val="24"/>
        </w:rPr>
        <w:t>, avoidance of surgery for unresectable disease and changes to planned resection margins. Collectively, these results suggest</w:t>
      </w:r>
      <w:r w:rsidR="00F33658">
        <w:rPr>
          <w:szCs w:val="24"/>
        </w:rPr>
        <w:t>ed</w:t>
      </w:r>
      <w:r w:rsidRPr="00FA325E">
        <w:rPr>
          <w:szCs w:val="24"/>
        </w:rPr>
        <w:t xml:space="preserve"> that the superior sensitivity of GA-MRI relative to CE-CT translates to changes in patient management in clinical practice.</w:t>
      </w:r>
    </w:p>
    <w:p w14:paraId="6049C4A9" w14:textId="77777777" w:rsidR="00FA2FFC" w:rsidRPr="00FA325E" w:rsidRDefault="00FA2FFC" w:rsidP="00FE38E4">
      <w:pPr>
        <w:pStyle w:val="Heading3"/>
        <w:spacing w:before="240"/>
      </w:pPr>
      <w:r w:rsidRPr="00FA325E">
        <w:t>Therapeutic effectiveness (health benefit from change in management)</w:t>
      </w:r>
    </w:p>
    <w:p w14:paraId="090A80A2" w14:textId="25E09D4E" w:rsidR="00FA2FFC" w:rsidRPr="00FA325E" w:rsidRDefault="00FA2FFC" w:rsidP="00CA0501">
      <w:pPr>
        <w:spacing w:after="240"/>
        <w:rPr>
          <w:szCs w:val="24"/>
        </w:rPr>
      </w:pPr>
      <w:r w:rsidRPr="00FA325E">
        <w:rPr>
          <w:szCs w:val="24"/>
        </w:rPr>
        <w:t>Estimates of 5-year surviva</w:t>
      </w:r>
      <w:r w:rsidR="00CE097A">
        <w:rPr>
          <w:szCs w:val="24"/>
        </w:rPr>
        <w:t>l in different patient groups are</w:t>
      </w:r>
      <w:r w:rsidRPr="00FA325E">
        <w:rPr>
          <w:szCs w:val="24"/>
        </w:rPr>
        <w:t xml:space="preserve"> presented </w:t>
      </w:r>
      <w:r w:rsidRPr="00D102F0">
        <w:rPr>
          <w:szCs w:val="24"/>
        </w:rPr>
        <w:t xml:space="preserve">in </w:t>
      </w:r>
      <w:r w:rsidR="00AD1852">
        <w:rPr>
          <w:szCs w:val="24"/>
        </w:rPr>
        <w:t>Table 7</w:t>
      </w:r>
      <w:r w:rsidR="00D102F0">
        <w:rPr>
          <w:szCs w:val="24"/>
        </w:rPr>
        <w:t xml:space="preserve"> </w:t>
      </w:r>
      <w:r w:rsidRPr="00D102F0">
        <w:rPr>
          <w:szCs w:val="24"/>
        </w:rPr>
        <w:t>and</w:t>
      </w:r>
      <w:r w:rsidR="00AD1852">
        <w:rPr>
          <w:szCs w:val="24"/>
        </w:rPr>
        <w:t xml:space="preserve"> Table 8</w:t>
      </w:r>
      <w:r w:rsidRPr="00FA325E">
        <w:rPr>
          <w:szCs w:val="24"/>
        </w:rPr>
        <w:t>. Based on data used in MSAC Application 1372 (Edge et al., 2009), 5-year overall survival was: 0.85 in patients with CRC and no liver metastases; 0.24 in patients with CRC and resected metastases; and 0.06 in patients with CRC and untreate</w:t>
      </w:r>
      <w:r w:rsidR="00CA0501">
        <w:rPr>
          <w:szCs w:val="24"/>
        </w:rPr>
        <w:t>d metastases (palliative care).</w:t>
      </w:r>
    </w:p>
    <w:p w14:paraId="72F57647" w14:textId="77777777" w:rsidR="00FA2FFC" w:rsidRPr="00FA325E" w:rsidRDefault="00FA2FFC" w:rsidP="00CA0501">
      <w:pPr>
        <w:spacing w:after="240"/>
        <w:rPr>
          <w:szCs w:val="24"/>
        </w:rPr>
      </w:pPr>
      <w:r w:rsidRPr="00FA325E">
        <w:rPr>
          <w:szCs w:val="24"/>
        </w:rPr>
        <w:t>Based on data used in MSAC Application 1372 (</w:t>
      </w:r>
      <w:proofErr w:type="spellStart"/>
      <w:r w:rsidRPr="00FA325E">
        <w:rPr>
          <w:szCs w:val="24"/>
        </w:rPr>
        <w:t>Altekruse</w:t>
      </w:r>
      <w:proofErr w:type="spellEnd"/>
      <w:r w:rsidRPr="00FA325E">
        <w:rPr>
          <w:szCs w:val="24"/>
        </w:rPr>
        <w:t xml:space="preserve"> et al., 2012), 5-year overall survival was: 0.47 in patients with HCC who were optimally treated with resection; 0.08 in patients with HCC who were untreated; 0.98 in patients with benign liver lesions. The economic model presented in Section D </w:t>
      </w:r>
      <w:r w:rsidR="00B74993">
        <w:rPr>
          <w:szCs w:val="24"/>
        </w:rPr>
        <w:t xml:space="preserve">of the Assessment Report </w:t>
      </w:r>
      <w:r w:rsidRPr="00FA325E">
        <w:rPr>
          <w:szCs w:val="24"/>
        </w:rPr>
        <w:t>further assumes patients with optimal treatment have better outcomes (survival) than sub-optimally treated patients. Optimally treated patients are those who have had a change to their management plan as a direct result of their GA-MRI results. In this group, it was assumed that survival would be 0.35, the same as the cohort achieving local tumour destruction.</w:t>
      </w:r>
    </w:p>
    <w:p w14:paraId="4DC7812C" w14:textId="495C9270" w:rsidR="00FA2FFC" w:rsidRPr="007A5698" w:rsidRDefault="00FA2FFC" w:rsidP="00FA2FFC">
      <w:pPr>
        <w:pStyle w:val="Caption"/>
        <w:keepNext/>
        <w:spacing w:after="0"/>
        <w:rPr>
          <w:rFonts w:ascii="Arial Narrow" w:hAnsi="Arial Narrow"/>
          <w:color w:val="auto"/>
          <w:sz w:val="20"/>
          <w:szCs w:val="20"/>
        </w:rPr>
      </w:pPr>
      <w:bookmarkStart w:id="4" w:name="_Ref508178748"/>
      <w:bookmarkStart w:id="5" w:name="_Ref493174281"/>
      <w:bookmarkStart w:id="6" w:name="_Toc494983761"/>
      <w:r w:rsidRPr="007A5698">
        <w:rPr>
          <w:rFonts w:ascii="Arial Narrow" w:hAnsi="Arial Narrow"/>
          <w:color w:val="auto"/>
          <w:sz w:val="20"/>
          <w:szCs w:val="20"/>
        </w:rPr>
        <w:t xml:space="preserve">Table </w:t>
      </w:r>
      <w:bookmarkEnd w:id="4"/>
      <w:r w:rsidR="00AD1852">
        <w:rPr>
          <w:rFonts w:ascii="Arial Narrow" w:hAnsi="Arial Narrow"/>
          <w:color w:val="auto"/>
          <w:sz w:val="20"/>
          <w:szCs w:val="20"/>
        </w:rPr>
        <w:t>7</w:t>
      </w:r>
      <w:r w:rsidRPr="007A5698">
        <w:rPr>
          <w:rFonts w:ascii="Arial Narrow" w:hAnsi="Arial Narrow"/>
          <w:color w:val="auto"/>
          <w:sz w:val="20"/>
          <w:szCs w:val="20"/>
        </w:rPr>
        <w:tab/>
      </w:r>
      <w:r w:rsidRPr="007A5698">
        <w:rPr>
          <w:rFonts w:ascii="Arial Narrow" w:hAnsi="Arial Narrow" w:cs="Tahoma"/>
          <w:snapToGrid w:val="0"/>
          <w:color w:val="auto"/>
          <w:sz w:val="20"/>
          <w:szCs w:val="20"/>
          <w:lang w:eastAsia="en-US"/>
        </w:rPr>
        <w:t>5-year overall survival in patients with CRC and suspected liver metastases</w:t>
      </w:r>
    </w:p>
    <w:tbl>
      <w:tblPr>
        <w:tblStyle w:val="TableGrid2"/>
        <w:tblW w:w="5000" w:type="pct"/>
        <w:tblLook w:val="04A0" w:firstRow="1" w:lastRow="0" w:firstColumn="1" w:lastColumn="0" w:noHBand="0" w:noVBand="1"/>
        <w:tblDescription w:val="From Altekruse et al, the 5-year overall survival results in patients with CRC and suspected liver metastases"/>
      </w:tblPr>
      <w:tblGrid>
        <w:gridCol w:w="2786"/>
        <w:gridCol w:w="3458"/>
        <w:gridCol w:w="2998"/>
      </w:tblGrid>
      <w:tr w:rsidR="00FA2FFC" w:rsidRPr="00F97F38" w14:paraId="43FF87A4" w14:textId="77777777" w:rsidTr="007A5009">
        <w:trPr>
          <w:cnfStyle w:val="100000000000" w:firstRow="1" w:lastRow="0" w:firstColumn="0" w:lastColumn="0" w:oddVBand="0" w:evenVBand="0" w:oddHBand="0" w:evenHBand="0" w:firstRowFirstColumn="0" w:firstRowLastColumn="0" w:lastRowFirstColumn="0" w:lastRowLastColumn="0"/>
          <w:tblHeader/>
        </w:trPr>
        <w:tc>
          <w:tcPr>
            <w:tcW w:w="1507" w:type="pct"/>
          </w:tcPr>
          <w:bookmarkEnd w:id="5"/>
          <w:bookmarkEnd w:id="6"/>
          <w:p w14:paraId="79B346BA" w14:textId="77777777" w:rsidR="00FA2FFC" w:rsidRPr="00F97F38" w:rsidRDefault="00FA2FFC" w:rsidP="007A5009">
            <w:pPr>
              <w:spacing w:before="0" w:after="0"/>
              <w:rPr>
                <w:rFonts w:cs="Tahoma"/>
                <w:b/>
                <w:snapToGrid w:val="0"/>
                <w:sz w:val="20"/>
                <w:lang w:eastAsia="en-US"/>
              </w:rPr>
            </w:pPr>
            <w:r w:rsidRPr="00F97F38">
              <w:rPr>
                <w:rFonts w:cs="Tahoma"/>
                <w:b/>
                <w:snapToGrid w:val="0"/>
                <w:sz w:val="20"/>
                <w:lang w:eastAsia="en-US"/>
              </w:rPr>
              <w:t>Population</w:t>
            </w:r>
          </w:p>
        </w:tc>
        <w:tc>
          <w:tcPr>
            <w:tcW w:w="1871" w:type="pct"/>
          </w:tcPr>
          <w:p w14:paraId="6DAD544A" w14:textId="77777777" w:rsidR="00FA2FFC" w:rsidRPr="00F97F38" w:rsidRDefault="00FA2FFC" w:rsidP="007A5009">
            <w:pPr>
              <w:spacing w:before="0" w:after="0"/>
              <w:rPr>
                <w:rFonts w:cs="Tahoma"/>
                <w:b/>
                <w:snapToGrid w:val="0"/>
                <w:sz w:val="20"/>
                <w:lang w:eastAsia="en-US"/>
              </w:rPr>
            </w:pPr>
            <w:r w:rsidRPr="00F97F38">
              <w:rPr>
                <w:rFonts w:cs="Tahoma"/>
                <w:b/>
                <w:snapToGrid w:val="0"/>
                <w:sz w:val="20"/>
                <w:lang w:eastAsia="en-US"/>
              </w:rPr>
              <w:t>5-year overall survival (SE)</w:t>
            </w:r>
          </w:p>
        </w:tc>
        <w:tc>
          <w:tcPr>
            <w:tcW w:w="1622" w:type="pct"/>
          </w:tcPr>
          <w:p w14:paraId="2D878B80" w14:textId="77777777" w:rsidR="00FA2FFC" w:rsidRPr="00F97F38" w:rsidRDefault="00FA2FFC" w:rsidP="007A5009">
            <w:pPr>
              <w:spacing w:before="0" w:after="0"/>
              <w:rPr>
                <w:rFonts w:cs="Tahoma"/>
                <w:b/>
                <w:snapToGrid w:val="0"/>
                <w:sz w:val="20"/>
                <w:lang w:eastAsia="en-US"/>
              </w:rPr>
            </w:pPr>
            <w:r w:rsidRPr="00F97F38">
              <w:rPr>
                <w:rFonts w:cs="Tahoma"/>
                <w:b/>
                <w:snapToGrid w:val="0"/>
                <w:sz w:val="20"/>
                <w:lang w:eastAsia="en-US"/>
              </w:rPr>
              <w:t>Source</w:t>
            </w:r>
          </w:p>
        </w:tc>
      </w:tr>
      <w:tr w:rsidR="00FA2FFC" w:rsidRPr="00F97F38" w14:paraId="4C492B33" w14:textId="77777777" w:rsidTr="007A5009">
        <w:tc>
          <w:tcPr>
            <w:tcW w:w="1507" w:type="pct"/>
          </w:tcPr>
          <w:p w14:paraId="3D0365C3" w14:textId="77777777" w:rsidR="00FA2FFC" w:rsidRPr="00F97F38" w:rsidRDefault="00FA2FFC" w:rsidP="007A5009">
            <w:pPr>
              <w:spacing w:before="0" w:after="0"/>
              <w:rPr>
                <w:rFonts w:cs="Tahoma"/>
                <w:snapToGrid w:val="0"/>
                <w:sz w:val="20"/>
                <w:szCs w:val="22"/>
                <w:lang w:eastAsia="en-US"/>
              </w:rPr>
            </w:pPr>
            <w:r w:rsidRPr="00F97F38">
              <w:rPr>
                <w:rFonts w:cs="Tahoma"/>
                <w:snapToGrid w:val="0"/>
                <w:sz w:val="20"/>
                <w:szCs w:val="22"/>
                <w:lang w:eastAsia="en-US"/>
              </w:rPr>
              <w:t>No metastases</w:t>
            </w:r>
          </w:p>
        </w:tc>
        <w:tc>
          <w:tcPr>
            <w:tcW w:w="1871" w:type="pct"/>
          </w:tcPr>
          <w:p w14:paraId="4663B2BF" w14:textId="77777777" w:rsidR="00FA2FFC" w:rsidRPr="00F97F38" w:rsidRDefault="00FA2FFC" w:rsidP="007A5009">
            <w:pPr>
              <w:spacing w:before="0" w:after="0"/>
              <w:rPr>
                <w:rFonts w:cs="Tahoma"/>
                <w:snapToGrid w:val="0"/>
                <w:sz w:val="20"/>
                <w:szCs w:val="22"/>
                <w:lang w:eastAsia="en-US"/>
              </w:rPr>
            </w:pPr>
            <w:r w:rsidRPr="00F97F38">
              <w:rPr>
                <w:rFonts w:cs="Tahoma"/>
                <w:snapToGrid w:val="0"/>
                <w:sz w:val="20"/>
                <w:szCs w:val="22"/>
                <w:lang w:eastAsia="en-US"/>
              </w:rPr>
              <w:t>0.85 (0.01)</w:t>
            </w:r>
          </w:p>
        </w:tc>
        <w:tc>
          <w:tcPr>
            <w:tcW w:w="1622" w:type="pct"/>
          </w:tcPr>
          <w:p w14:paraId="79CD191B" w14:textId="77777777" w:rsidR="00FA2FFC" w:rsidRPr="00F97F38" w:rsidRDefault="00FA2FFC" w:rsidP="007A5009">
            <w:pPr>
              <w:keepNext/>
              <w:spacing w:before="0" w:after="0"/>
              <w:rPr>
                <w:rFonts w:cs="Tahoma"/>
                <w:snapToGrid w:val="0"/>
                <w:sz w:val="20"/>
                <w:szCs w:val="22"/>
                <w:lang w:eastAsia="en-US"/>
              </w:rPr>
            </w:pPr>
            <w:r w:rsidRPr="00F97F38">
              <w:rPr>
                <w:rFonts w:cs="Tahoma"/>
                <w:snapToGrid w:val="0"/>
                <w:sz w:val="20"/>
                <w:szCs w:val="22"/>
                <w:lang w:eastAsia="en-US"/>
              </w:rPr>
              <w:t>AJCC (Edge et al., 2009)</w:t>
            </w:r>
          </w:p>
        </w:tc>
      </w:tr>
      <w:tr w:rsidR="00FA2FFC" w:rsidRPr="00F97F38" w14:paraId="46EF319C" w14:textId="77777777" w:rsidTr="007A5009">
        <w:tc>
          <w:tcPr>
            <w:tcW w:w="1507" w:type="pct"/>
          </w:tcPr>
          <w:p w14:paraId="2E0B3040" w14:textId="77777777" w:rsidR="00FA2FFC" w:rsidRPr="00F97F38" w:rsidRDefault="00FA2FFC" w:rsidP="007A5009">
            <w:pPr>
              <w:spacing w:before="0" w:after="0"/>
              <w:rPr>
                <w:rFonts w:cs="Tahoma"/>
                <w:snapToGrid w:val="0"/>
                <w:sz w:val="20"/>
                <w:szCs w:val="22"/>
                <w:lang w:eastAsia="en-US"/>
              </w:rPr>
            </w:pPr>
            <w:r w:rsidRPr="00F97F38">
              <w:rPr>
                <w:rFonts w:cs="Tahoma"/>
                <w:snapToGrid w:val="0"/>
                <w:sz w:val="20"/>
                <w:szCs w:val="22"/>
                <w:lang w:eastAsia="en-US"/>
              </w:rPr>
              <w:t xml:space="preserve">Metastases with resection </w:t>
            </w:r>
          </w:p>
        </w:tc>
        <w:tc>
          <w:tcPr>
            <w:tcW w:w="1871" w:type="pct"/>
          </w:tcPr>
          <w:p w14:paraId="7E46D03A" w14:textId="77777777" w:rsidR="00FA2FFC" w:rsidRPr="00F97F38" w:rsidRDefault="00FA2FFC" w:rsidP="007A5009">
            <w:pPr>
              <w:spacing w:before="0" w:after="0"/>
              <w:rPr>
                <w:rFonts w:cs="Tahoma"/>
                <w:snapToGrid w:val="0"/>
                <w:sz w:val="20"/>
                <w:szCs w:val="22"/>
                <w:lang w:eastAsia="en-US"/>
              </w:rPr>
            </w:pPr>
            <w:r w:rsidRPr="00F97F38">
              <w:rPr>
                <w:rFonts w:cs="Tahoma"/>
                <w:snapToGrid w:val="0"/>
                <w:sz w:val="20"/>
                <w:szCs w:val="22"/>
                <w:lang w:eastAsia="en-US"/>
              </w:rPr>
              <w:t>0.24 (0.03)</w:t>
            </w:r>
          </w:p>
        </w:tc>
        <w:tc>
          <w:tcPr>
            <w:tcW w:w="1622" w:type="pct"/>
          </w:tcPr>
          <w:p w14:paraId="7DAF3E1F" w14:textId="77777777" w:rsidR="00FA2FFC" w:rsidRPr="00F97F38" w:rsidRDefault="00FA2FFC" w:rsidP="007A5009">
            <w:pPr>
              <w:keepNext/>
              <w:spacing w:before="0" w:after="0"/>
              <w:rPr>
                <w:rFonts w:cs="Tahoma"/>
                <w:snapToGrid w:val="0"/>
                <w:sz w:val="20"/>
                <w:szCs w:val="22"/>
                <w:lang w:eastAsia="en-US"/>
              </w:rPr>
            </w:pPr>
            <w:r w:rsidRPr="00F97F38">
              <w:rPr>
                <w:rFonts w:cs="Tahoma"/>
                <w:snapToGrid w:val="0"/>
                <w:sz w:val="20"/>
                <w:szCs w:val="22"/>
                <w:lang w:eastAsia="en-US"/>
              </w:rPr>
              <w:t>AJCC (Edge et al., 2009)</w:t>
            </w:r>
          </w:p>
        </w:tc>
      </w:tr>
      <w:tr w:rsidR="00FA2FFC" w:rsidRPr="00F97F38" w14:paraId="3944F850" w14:textId="77777777" w:rsidTr="007A5009">
        <w:tc>
          <w:tcPr>
            <w:tcW w:w="1507" w:type="pct"/>
          </w:tcPr>
          <w:p w14:paraId="614EFB5F" w14:textId="77777777" w:rsidR="00FA2FFC" w:rsidRPr="00F97F38" w:rsidRDefault="00FA2FFC" w:rsidP="007A5009">
            <w:pPr>
              <w:spacing w:before="0" w:after="0"/>
              <w:rPr>
                <w:rFonts w:cs="Tahoma"/>
                <w:snapToGrid w:val="0"/>
                <w:sz w:val="20"/>
                <w:szCs w:val="22"/>
                <w:lang w:eastAsia="en-US"/>
              </w:rPr>
            </w:pPr>
            <w:r w:rsidRPr="00F97F38">
              <w:rPr>
                <w:rFonts w:cs="Tahoma"/>
                <w:snapToGrid w:val="0"/>
                <w:sz w:val="20"/>
                <w:szCs w:val="22"/>
                <w:lang w:eastAsia="en-US"/>
              </w:rPr>
              <w:t>Inoperable metastases</w:t>
            </w:r>
          </w:p>
        </w:tc>
        <w:tc>
          <w:tcPr>
            <w:tcW w:w="1871" w:type="pct"/>
          </w:tcPr>
          <w:p w14:paraId="2E0E5337" w14:textId="77777777" w:rsidR="00FA2FFC" w:rsidRPr="00F97F38" w:rsidRDefault="00FA2FFC" w:rsidP="007A5009">
            <w:pPr>
              <w:spacing w:before="0" w:after="0"/>
              <w:rPr>
                <w:rFonts w:cs="Tahoma"/>
                <w:snapToGrid w:val="0"/>
                <w:sz w:val="20"/>
                <w:szCs w:val="22"/>
                <w:lang w:eastAsia="en-US"/>
              </w:rPr>
            </w:pPr>
            <w:r w:rsidRPr="00F97F38">
              <w:rPr>
                <w:rFonts w:cs="Tahoma"/>
                <w:snapToGrid w:val="0"/>
                <w:sz w:val="20"/>
                <w:szCs w:val="22"/>
                <w:lang w:eastAsia="en-US"/>
              </w:rPr>
              <w:t>0.06 (0.04)</w:t>
            </w:r>
          </w:p>
        </w:tc>
        <w:tc>
          <w:tcPr>
            <w:tcW w:w="1622" w:type="pct"/>
          </w:tcPr>
          <w:p w14:paraId="769B2770" w14:textId="77777777" w:rsidR="00FA2FFC" w:rsidRPr="00F97F38" w:rsidRDefault="00FA2FFC" w:rsidP="007A5009">
            <w:pPr>
              <w:keepNext/>
              <w:spacing w:before="0" w:after="0"/>
              <w:rPr>
                <w:rFonts w:cs="Tahoma"/>
                <w:snapToGrid w:val="0"/>
                <w:sz w:val="20"/>
                <w:szCs w:val="22"/>
                <w:lang w:eastAsia="en-US"/>
              </w:rPr>
            </w:pPr>
            <w:r w:rsidRPr="00F97F38">
              <w:rPr>
                <w:rFonts w:cs="Tahoma"/>
                <w:snapToGrid w:val="0"/>
                <w:sz w:val="20"/>
                <w:szCs w:val="22"/>
                <w:lang w:eastAsia="en-US"/>
              </w:rPr>
              <w:t>AJCC (Edge et al., 2009)</w:t>
            </w:r>
          </w:p>
        </w:tc>
      </w:tr>
    </w:tbl>
    <w:p w14:paraId="25F6DC06" w14:textId="77777777" w:rsidR="00FA2FFC" w:rsidRPr="00F97F38" w:rsidRDefault="00FA2FFC" w:rsidP="00F33658">
      <w:pPr>
        <w:widowControl w:val="0"/>
        <w:spacing w:after="240"/>
        <w:jc w:val="both"/>
        <w:rPr>
          <w:rFonts w:ascii="Arial Narrow" w:hAnsi="Arial Narrow" w:cs="Arial"/>
          <w:snapToGrid w:val="0"/>
          <w:sz w:val="18"/>
          <w:lang w:eastAsia="en-US"/>
        </w:rPr>
      </w:pPr>
      <w:r w:rsidRPr="00F97F38">
        <w:rPr>
          <w:rFonts w:ascii="Arial Narrow" w:hAnsi="Arial Narrow" w:cs="Arial"/>
          <w:snapToGrid w:val="0"/>
          <w:sz w:val="18"/>
          <w:lang w:eastAsia="en-US"/>
        </w:rPr>
        <w:t>Abbreviations: AJCC, American Joint Committee on Cancer; CRC, colorectal carcinoma</w:t>
      </w:r>
    </w:p>
    <w:p w14:paraId="0A63862F" w14:textId="390AD87E" w:rsidR="00FA2FFC" w:rsidRPr="007A5698" w:rsidRDefault="00FA2FFC" w:rsidP="00FA2FFC">
      <w:pPr>
        <w:pStyle w:val="Caption"/>
        <w:keepNext/>
        <w:spacing w:after="0"/>
        <w:rPr>
          <w:rFonts w:ascii="Arial Narrow" w:hAnsi="Arial Narrow"/>
          <w:color w:val="auto"/>
          <w:sz w:val="20"/>
          <w:szCs w:val="20"/>
        </w:rPr>
      </w:pPr>
      <w:bookmarkStart w:id="7" w:name="_Ref508178775"/>
      <w:bookmarkStart w:id="8" w:name="_Ref493174282"/>
      <w:bookmarkStart w:id="9" w:name="_Toc494983762"/>
      <w:r w:rsidRPr="007A5698">
        <w:rPr>
          <w:rFonts w:ascii="Arial Narrow" w:hAnsi="Arial Narrow"/>
          <w:color w:val="auto"/>
          <w:sz w:val="20"/>
          <w:szCs w:val="20"/>
        </w:rPr>
        <w:t xml:space="preserve">Table </w:t>
      </w:r>
      <w:bookmarkEnd w:id="7"/>
      <w:r w:rsidR="00AD1852">
        <w:rPr>
          <w:rFonts w:ascii="Arial Narrow" w:hAnsi="Arial Narrow"/>
          <w:color w:val="auto"/>
          <w:sz w:val="20"/>
          <w:szCs w:val="20"/>
        </w:rPr>
        <w:t>8</w:t>
      </w:r>
      <w:r w:rsidRPr="007A5698">
        <w:rPr>
          <w:rFonts w:ascii="Arial Narrow" w:hAnsi="Arial Narrow"/>
          <w:color w:val="auto"/>
          <w:sz w:val="20"/>
          <w:szCs w:val="20"/>
        </w:rPr>
        <w:tab/>
      </w:r>
      <w:r w:rsidRPr="007A5698">
        <w:rPr>
          <w:rFonts w:ascii="Arial Narrow" w:hAnsi="Arial Narrow" w:cs="Tahoma"/>
          <w:snapToGrid w:val="0"/>
          <w:color w:val="auto"/>
          <w:sz w:val="20"/>
          <w:szCs w:val="20"/>
          <w:lang w:eastAsia="en-US"/>
        </w:rPr>
        <w:t>5-year overall survival in patients with suspected HCC</w:t>
      </w:r>
    </w:p>
    <w:tbl>
      <w:tblPr>
        <w:tblStyle w:val="TableGrid2"/>
        <w:tblW w:w="5000" w:type="pct"/>
        <w:tblLook w:val="04A0" w:firstRow="1" w:lastRow="0" w:firstColumn="1" w:lastColumn="0" w:noHBand="0" w:noVBand="1"/>
        <w:tblDescription w:val="From Altekruse et al, the 5-year overall survival results in patients with suspected HCC"/>
      </w:tblPr>
      <w:tblGrid>
        <w:gridCol w:w="2786"/>
        <w:gridCol w:w="3458"/>
        <w:gridCol w:w="2998"/>
      </w:tblGrid>
      <w:tr w:rsidR="00FA2FFC" w:rsidRPr="00F97F38" w14:paraId="1DC0E884" w14:textId="77777777" w:rsidTr="007A5009">
        <w:trPr>
          <w:cnfStyle w:val="100000000000" w:firstRow="1" w:lastRow="0" w:firstColumn="0" w:lastColumn="0" w:oddVBand="0" w:evenVBand="0" w:oddHBand="0" w:evenHBand="0" w:firstRowFirstColumn="0" w:firstRowLastColumn="0" w:lastRowFirstColumn="0" w:lastRowLastColumn="0"/>
          <w:tblHeader/>
        </w:trPr>
        <w:tc>
          <w:tcPr>
            <w:tcW w:w="1507" w:type="pct"/>
          </w:tcPr>
          <w:bookmarkEnd w:id="8"/>
          <w:bookmarkEnd w:id="9"/>
          <w:p w14:paraId="271F6ECD" w14:textId="77777777" w:rsidR="00FA2FFC" w:rsidRPr="00F97F38" w:rsidRDefault="00FA2FFC" w:rsidP="007A5009">
            <w:pPr>
              <w:spacing w:before="0" w:after="0"/>
              <w:rPr>
                <w:rFonts w:cs="Tahoma"/>
                <w:b/>
                <w:snapToGrid w:val="0"/>
                <w:sz w:val="20"/>
                <w:lang w:eastAsia="en-US"/>
              </w:rPr>
            </w:pPr>
            <w:r w:rsidRPr="00F97F38">
              <w:rPr>
                <w:rFonts w:cs="Tahoma"/>
                <w:b/>
                <w:snapToGrid w:val="0"/>
                <w:sz w:val="20"/>
                <w:lang w:eastAsia="en-US"/>
              </w:rPr>
              <w:t>Population</w:t>
            </w:r>
          </w:p>
        </w:tc>
        <w:tc>
          <w:tcPr>
            <w:tcW w:w="1871" w:type="pct"/>
          </w:tcPr>
          <w:p w14:paraId="7BEA6B03" w14:textId="77777777" w:rsidR="00FA2FFC" w:rsidRPr="00F97F38" w:rsidRDefault="00FA2FFC" w:rsidP="007A5009">
            <w:pPr>
              <w:spacing w:before="0" w:after="0"/>
              <w:rPr>
                <w:rFonts w:cs="Tahoma"/>
                <w:b/>
                <w:snapToGrid w:val="0"/>
                <w:sz w:val="20"/>
                <w:lang w:eastAsia="en-US"/>
              </w:rPr>
            </w:pPr>
            <w:r w:rsidRPr="00F97F38">
              <w:rPr>
                <w:rFonts w:cs="Tahoma"/>
                <w:b/>
                <w:snapToGrid w:val="0"/>
                <w:sz w:val="20"/>
                <w:lang w:eastAsia="en-US"/>
              </w:rPr>
              <w:t>5-year overall survival (SE)</w:t>
            </w:r>
          </w:p>
        </w:tc>
        <w:tc>
          <w:tcPr>
            <w:tcW w:w="1622" w:type="pct"/>
          </w:tcPr>
          <w:p w14:paraId="6B18494C" w14:textId="77777777" w:rsidR="00FA2FFC" w:rsidRPr="00F97F38" w:rsidRDefault="00FA2FFC" w:rsidP="007A5009">
            <w:pPr>
              <w:spacing w:before="0" w:after="0"/>
              <w:rPr>
                <w:rFonts w:cs="Tahoma"/>
                <w:b/>
                <w:snapToGrid w:val="0"/>
                <w:sz w:val="20"/>
                <w:lang w:eastAsia="en-US"/>
              </w:rPr>
            </w:pPr>
            <w:r w:rsidRPr="00F97F38">
              <w:rPr>
                <w:rFonts w:cs="Tahoma"/>
                <w:b/>
                <w:snapToGrid w:val="0"/>
                <w:sz w:val="20"/>
                <w:lang w:eastAsia="en-US"/>
              </w:rPr>
              <w:t>Source</w:t>
            </w:r>
          </w:p>
        </w:tc>
      </w:tr>
      <w:tr w:rsidR="00FA2FFC" w:rsidRPr="00F97F38" w14:paraId="7347033C" w14:textId="77777777" w:rsidTr="007A5009">
        <w:tc>
          <w:tcPr>
            <w:tcW w:w="1507" w:type="pct"/>
          </w:tcPr>
          <w:p w14:paraId="0CA4C5D4" w14:textId="77777777" w:rsidR="00FA2FFC" w:rsidRPr="00F97F38" w:rsidRDefault="00FA2FFC" w:rsidP="007A5009">
            <w:pPr>
              <w:spacing w:before="0" w:after="0"/>
              <w:rPr>
                <w:rFonts w:cs="Tahoma"/>
                <w:snapToGrid w:val="0"/>
                <w:sz w:val="20"/>
                <w:szCs w:val="22"/>
                <w:lang w:eastAsia="en-US"/>
              </w:rPr>
            </w:pPr>
            <w:r w:rsidRPr="00F97F38">
              <w:rPr>
                <w:rFonts w:cs="Tahoma"/>
                <w:snapToGrid w:val="0"/>
                <w:sz w:val="20"/>
                <w:szCs w:val="22"/>
                <w:lang w:eastAsia="en-US"/>
              </w:rPr>
              <w:t>Liver transplant</w:t>
            </w:r>
          </w:p>
        </w:tc>
        <w:tc>
          <w:tcPr>
            <w:tcW w:w="1871" w:type="pct"/>
          </w:tcPr>
          <w:p w14:paraId="2846207F" w14:textId="77777777" w:rsidR="00FA2FFC" w:rsidRPr="00F97F38" w:rsidRDefault="00FA2FFC" w:rsidP="007A5009">
            <w:pPr>
              <w:spacing w:before="0" w:after="0"/>
              <w:rPr>
                <w:rFonts w:cs="Tahoma"/>
                <w:snapToGrid w:val="0"/>
                <w:sz w:val="20"/>
                <w:szCs w:val="22"/>
                <w:lang w:eastAsia="en-US"/>
              </w:rPr>
            </w:pPr>
            <w:r w:rsidRPr="00F97F38">
              <w:rPr>
                <w:rFonts w:cs="Tahoma"/>
                <w:snapToGrid w:val="0"/>
                <w:sz w:val="20"/>
                <w:szCs w:val="22"/>
                <w:lang w:eastAsia="en-US"/>
              </w:rPr>
              <w:t>0.84 (0.03)</w:t>
            </w:r>
          </w:p>
        </w:tc>
        <w:tc>
          <w:tcPr>
            <w:tcW w:w="1622" w:type="pct"/>
          </w:tcPr>
          <w:p w14:paraId="255970BF" w14:textId="77777777" w:rsidR="00FA2FFC" w:rsidRPr="00F97F38" w:rsidRDefault="00FA2FFC" w:rsidP="007A5009">
            <w:pPr>
              <w:keepNext/>
              <w:spacing w:before="0" w:after="0"/>
              <w:rPr>
                <w:rFonts w:cs="Tahoma"/>
                <w:snapToGrid w:val="0"/>
                <w:sz w:val="20"/>
                <w:szCs w:val="22"/>
                <w:lang w:eastAsia="en-US"/>
              </w:rPr>
            </w:pPr>
            <w:proofErr w:type="spellStart"/>
            <w:r w:rsidRPr="00F97F38">
              <w:rPr>
                <w:rFonts w:cs="Tahoma"/>
                <w:snapToGrid w:val="0"/>
                <w:sz w:val="20"/>
                <w:szCs w:val="22"/>
                <w:lang w:eastAsia="en-US"/>
              </w:rPr>
              <w:t>Altekruse</w:t>
            </w:r>
            <w:proofErr w:type="spellEnd"/>
            <w:r w:rsidRPr="00F97F38">
              <w:rPr>
                <w:rFonts w:cs="Tahoma"/>
                <w:snapToGrid w:val="0"/>
                <w:sz w:val="20"/>
                <w:szCs w:val="22"/>
                <w:lang w:eastAsia="en-US"/>
              </w:rPr>
              <w:t xml:space="preserve"> et al., 2012</w:t>
            </w:r>
          </w:p>
        </w:tc>
      </w:tr>
      <w:tr w:rsidR="00FA2FFC" w:rsidRPr="00F97F38" w14:paraId="60FF2EDC" w14:textId="77777777" w:rsidTr="007A5009">
        <w:tc>
          <w:tcPr>
            <w:tcW w:w="1507" w:type="pct"/>
          </w:tcPr>
          <w:p w14:paraId="06540950" w14:textId="77777777" w:rsidR="00FA2FFC" w:rsidRPr="00F97F38" w:rsidRDefault="00FA2FFC" w:rsidP="007A5009">
            <w:pPr>
              <w:spacing w:before="0" w:after="0"/>
              <w:rPr>
                <w:rFonts w:cs="Tahoma"/>
                <w:snapToGrid w:val="0"/>
                <w:sz w:val="20"/>
                <w:szCs w:val="22"/>
                <w:lang w:eastAsia="en-US"/>
              </w:rPr>
            </w:pPr>
            <w:r w:rsidRPr="00F97F38">
              <w:rPr>
                <w:rFonts w:cs="Tahoma"/>
                <w:snapToGrid w:val="0"/>
                <w:sz w:val="20"/>
                <w:szCs w:val="22"/>
                <w:lang w:eastAsia="en-US"/>
              </w:rPr>
              <w:t>RFA</w:t>
            </w:r>
          </w:p>
        </w:tc>
        <w:tc>
          <w:tcPr>
            <w:tcW w:w="1871" w:type="pct"/>
          </w:tcPr>
          <w:p w14:paraId="60F606EB" w14:textId="77777777" w:rsidR="00FA2FFC" w:rsidRPr="00F97F38" w:rsidRDefault="00FA2FFC" w:rsidP="007A5009">
            <w:pPr>
              <w:spacing w:before="0" w:after="0"/>
              <w:rPr>
                <w:rFonts w:cs="Tahoma"/>
                <w:snapToGrid w:val="0"/>
                <w:sz w:val="20"/>
                <w:szCs w:val="22"/>
                <w:lang w:eastAsia="en-US"/>
              </w:rPr>
            </w:pPr>
            <w:r w:rsidRPr="00F97F38">
              <w:rPr>
                <w:rFonts w:cs="Tahoma"/>
                <w:snapToGrid w:val="0"/>
                <w:sz w:val="20"/>
                <w:szCs w:val="22"/>
                <w:lang w:eastAsia="en-US"/>
              </w:rPr>
              <w:t>0.53 (0.05)</w:t>
            </w:r>
          </w:p>
        </w:tc>
        <w:tc>
          <w:tcPr>
            <w:tcW w:w="1622" w:type="pct"/>
          </w:tcPr>
          <w:p w14:paraId="597462CD" w14:textId="77777777" w:rsidR="00FA2FFC" w:rsidRPr="00F97F38" w:rsidRDefault="00FA2FFC" w:rsidP="007A5009">
            <w:pPr>
              <w:keepNext/>
              <w:spacing w:before="0" w:after="0"/>
              <w:rPr>
                <w:rFonts w:cs="Tahoma"/>
                <w:snapToGrid w:val="0"/>
                <w:sz w:val="20"/>
                <w:szCs w:val="22"/>
                <w:lang w:eastAsia="en-US"/>
              </w:rPr>
            </w:pPr>
            <w:proofErr w:type="spellStart"/>
            <w:r w:rsidRPr="00F97F38">
              <w:rPr>
                <w:rFonts w:cs="Tahoma"/>
                <w:snapToGrid w:val="0"/>
                <w:sz w:val="20"/>
                <w:szCs w:val="22"/>
                <w:lang w:eastAsia="en-US"/>
              </w:rPr>
              <w:t>Altekruse</w:t>
            </w:r>
            <w:proofErr w:type="spellEnd"/>
            <w:r w:rsidRPr="00F97F38">
              <w:rPr>
                <w:rFonts w:cs="Tahoma"/>
                <w:snapToGrid w:val="0"/>
                <w:sz w:val="20"/>
                <w:szCs w:val="22"/>
                <w:lang w:eastAsia="en-US"/>
              </w:rPr>
              <w:t xml:space="preserve"> et al., 2012</w:t>
            </w:r>
          </w:p>
        </w:tc>
      </w:tr>
      <w:tr w:rsidR="00FA2FFC" w:rsidRPr="00F97F38" w14:paraId="0ED8468F" w14:textId="77777777" w:rsidTr="007A5009">
        <w:tc>
          <w:tcPr>
            <w:tcW w:w="1507" w:type="pct"/>
          </w:tcPr>
          <w:p w14:paraId="38B58657" w14:textId="77777777" w:rsidR="00FA2FFC" w:rsidRPr="00F97F38" w:rsidRDefault="00FA2FFC" w:rsidP="007A5009">
            <w:pPr>
              <w:spacing w:before="0" w:after="0"/>
              <w:rPr>
                <w:rFonts w:cs="Tahoma"/>
                <w:snapToGrid w:val="0"/>
                <w:sz w:val="20"/>
                <w:szCs w:val="22"/>
                <w:lang w:eastAsia="en-US"/>
              </w:rPr>
            </w:pPr>
            <w:r w:rsidRPr="00F97F38">
              <w:rPr>
                <w:rFonts w:cs="Tahoma"/>
                <w:snapToGrid w:val="0"/>
                <w:sz w:val="20"/>
                <w:szCs w:val="22"/>
                <w:lang w:eastAsia="en-US"/>
              </w:rPr>
              <w:t>Liver resection</w:t>
            </w:r>
          </w:p>
        </w:tc>
        <w:tc>
          <w:tcPr>
            <w:tcW w:w="1871" w:type="pct"/>
          </w:tcPr>
          <w:p w14:paraId="26EF77F9" w14:textId="77777777" w:rsidR="00FA2FFC" w:rsidRPr="00F97F38" w:rsidRDefault="00FA2FFC" w:rsidP="007A5009">
            <w:pPr>
              <w:spacing w:before="0" w:after="0"/>
              <w:rPr>
                <w:rFonts w:cs="Tahoma"/>
                <w:snapToGrid w:val="0"/>
                <w:sz w:val="20"/>
                <w:szCs w:val="22"/>
                <w:lang w:eastAsia="en-US"/>
              </w:rPr>
            </w:pPr>
            <w:r w:rsidRPr="00F97F38">
              <w:rPr>
                <w:rFonts w:cs="Tahoma"/>
                <w:snapToGrid w:val="0"/>
                <w:sz w:val="20"/>
                <w:szCs w:val="22"/>
                <w:lang w:eastAsia="en-US"/>
              </w:rPr>
              <w:t>0.47 (0.02)</w:t>
            </w:r>
          </w:p>
        </w:tc>
        <w:tc>
          <w:tcPr>
            <w:tcW w:w="1622" w:type="pct"/>
          </w:tcPr>
          <w:p w14:paraId="4BDA400E" w14:textId="77777777" w:rsidR="00FA2FFC" w:rsidRPr="00F97F38" w:rsidRDefault="00FA2FFC" w:rsidP="007A5009">
            <w:pPr>
              <w:keepNext/>
              <w:spacing w:before="0" w:after="0"/>
              <w:rPr>
                <w:rFonts w:cs="Tahoma"/>
                <w:snapToGrid w:val="0"/>
                <w:sz w:val="20"/>
                <w:szCs w:val="22"/>
                <w:lang w:eastAsia="en-US"/>
              </w:rPr>
            </w:pPr>
            <w:proofErr w:type="spellStart"/>
            <w:r w:rsidRPr="00F97F38">
              <w:rPr>
                <w:rFonts w:cs="Tahoma"/>
                <w:snapToGrid w:val="0"/>
                <w:sz w:val="20"/>
                <w:szCs w:val="22"/>
                <w:lang w:eastAsia="en-US"/>
              </w:rPr>
              <w:t>Altekruse</w:t>
            </w:r>
            <w:proofErr w:type="spellEnd"/>
            <w:r w:rsidRPr="00F97F38">
              <w:rPr>
                <w:rFonts w:cs="Tahoma"/>
                <w:snapToGrid w:val="0"/>
                <w:sz w:val="20"/>
                <w:szCs w:val="22"/>
                <w:lang w:eastAsia="en-US"/>
              </w:rPr>
              <w:t xml:space="preserve"> et al., 2012</w:t>
            </w:r>
          </w:p>
        </w:tc>
      </w:tr>
      <w:tr w:rsidR="00FA2FFC" w:rsidRPr="00F97F38" w14:paraId="100FA7DE" w14:textId="77777777" w:rsidTr="007A5009">
        <w:tc>
          <w:tcPr>
            <w:tcW w:w="1507" w:type="pct"/>
          </w:tcPr>
          <w:p w14:paraId="1A179DE4" w14:textId="77777777" w:rsidR="00FA2FFC" w:rsidRPr="00F97F38" w:rsidRDefault="00FA2FFC" w:rsidP="007A5009">
            <w:pPr>
              <w:spacing w:before="0" w:after="0"/>
              <w:rPr>
                <w:rFonts w:cs="Tahoma"/>
                <w:snapToGrid w:val="0"/>
                <w:sz w:val="20"/>
                <w:szCs w:val="22"/>
                <w:lang w:eastAsia="en-US"/>
              </w:rPr>
            </w:pPr>
            <w:r w:rsidRPr="00F97F38">
              <w:rPr>
                <w:rFonts w:cs="Tahoma"/>
                <w:snapToGrid w:val="0"/>
                <w:sz w:val="20"/>
                <w:szCs w:val="22"/>
                <w:lang w:eastAsia="en-US"/>
              </w:rPr>
              <w:t>Local tumour destruction</w:t>
            </w:r>
          </w:p>
        </w:tc>
        <w:tc>
          <w:tcPr>
            <w:tcW w:w="1871" w:type="pct"/>
          </w:tcPr>
          <w:p w14:paraId="1710E150" w14:textId="77777777" w:rsidR="00FA2FFC" w:rsidRPr="00F97F38" w:rsidRDefault="00FA2FFC" w:rsidP="007A5009">
            <w:pPr>
              <w:spacing w:before="0" w:after="0"/>
              <w:rPr>
                <w:rFonts w:cs="Tahoma"/>
                <w:snapToGrid w:val="0"/>
                <w:sz w:val="20"/>
                <w:szCs w:val="22"/>
                <w:lang w:eastAsia="en-US"/>
              </w:rPr>
            </w:pPr>
            <w:r w:rsidRPr="00F97F38">
              <w:rPr>
                <w:rFonts w:cs="Tahoma"/>
                <w:snapToGrid w:val="0"/>
                <w:sz w:val="20"/>
                <w:szCs w:val="22"/>
                <w:lang w:eastAsia="en-US"/>
              </w:rPr>
              <w:t>0.35 (0.03)</w:t>
            </w:r>
          </w:p>
        </w:tc>
        <w:tc>
          <w:tcPr>
            <w:tcW w:w="1622" w:type="pct"/>
          </w:tcPr>
          <w:p w14:paraId="7DA0775A" w14:textId="77777777" w:rsidR="00FA2FFC" w:rsidRPr="00F97F38" w:rsidRDefault="00FA2FFC" w:rsidP="007A5009">
            <w:pPr>
              <w:keepNext/>
              <w:spacing w:before="0" w:after="0"/>
              <w:rPr>
                <w:rFonts w:cs="Tahoma"/>
                <w:snapToGrid w:val="0"/>
                <w:sz w:val="20"/>
                <w:szCs w:val="22"/>
                <w:lang w:eastAsia="en-US"/>
              </w:rPr>
            </w:pPr>
            <w:proofErr w:type="spellStart"/>
            <w:r w:rsidRPr="00F97F38">
              <w:rPr>
                <w:rFonts w:cs="Tahoma"/>
                <w:snapToGrid w:val="0"/>
                <w:sz w:val="20"/>
                <w:szCs w:val="22"/>
                <w:lang w:eastAsia="en-US"/>
              </w:rPr>
              <w:t>Altekruse</w:t>
            </w:r>
            <w:proofErr w:type="spellEnd"/>
            <w:r w:rsidRPr="00F97F38">
              <w:rPr>
                <w:rFonts w:cs="Tahoma"/>
                <w:snapToGrid w:val="0"/>
                <w:sz w:val="20"/>
                <w:szCs w:val="22"/>
                <w:lang w:eastAsia="en-US"/>
              </w:rPr>
              <w:t xml:space="preserve"> et al., 2012</w:t>
            </w:r>
          </w:p>
        </w:tc>
      </w:tr>
      <w:tr w:rsidR="00FA2FFC" w:rsidRPr="00F97F38" w14:paraId="08BF42B6" w14:textId="77777777" w:rsidTr="007A5009">
        <w:tc>
          <w:tcPr>
            <w:tcW w:w="1507" w:type="pct"/>
          </w:tcPr>
          <w:p w14:paraId="43A79FFA" w14:textId="77777777" w:rsidR="00FA2FFC" w:rsidRPr="00F97F38" w:rsidRDefault="00FA2FFC" w:rsidP="007A5009">
            <w:pPr>
              <w:spacing w:before="0" w:after="0"/>
              <w:rPr>
                <w:rFonts w:cs="Tahoma"/>
                <w:snapToGrid w:val="0"/>
                <w:sz w:val="20"/>
                <w:szCs w:val="22"/>
                <w:lang w:eastAsia="en-US"/>
              </w:rPr>
            </w:pPr>
            <w:r w:rsidRPr="00F97F38">
              <w:rPr>
                <w:rFonts w:cs="Tahoma"/>
                <w:snapToGrid w:val="0"/>
                <w:sz w:val="20"/>
                <w:szCs w:val="22"/>
                <w:lang w:eastAsia="en-US"/>
              </w:rPr>
              <w:t>No invasive surgery or local tumour destruction</w:t>
            </w:r>
          </w:p>
        </w:tc>
        <w:tc>
          <w:tcPr>
            <w:tcW w:w="1871" w:type="pct"/>
          </w:tcPr>
          <w:p w14:paraId="10B119BB" w14:textId="77777777" w:rsidR="00FA2FFC" w:rsidRPr="00F97F38" w:rsidRDefault="00FA2FFC" w:rsidP="007A5009">
            <w:pPr>
              <w:spacing w:before="0" w:after="0"/>
              <w:rPr>
                <w:rFonts w:cs="Tahoma"/>
                <w:snapToGrid w:val="0"/>
                <w:sz w:val="20"/>
                <w:szCs w:val="22"/>
                <w:lang w:eastAsia="en-US"/>
              </w:rPr>
            </w:pPr>
            <w:r w:rsidRPr="00F97F38">
              <w:rPr>
                <w:rFonts w:cs="Tahoma"/>
                <w:snapToGrid w:val="0"/>
                <w:sz w:val="20"/>
                <w:szCs w:val="22"/>
                <w:lang w:eastAsia="en-US"/>
              </w:rPr>
              <w:t>0.08 (0.0)</w:t>
            </w:r>
          </w:p>
        </w:tc>
        <w:tc>
          <w:tcPr>
            <w:tcW w:w="1622" w:type="pct"/>
          </w:tcPr>
          <w:p w14:paraId="7534E197" w14:textId="77777777" w:rsidR="00FA2FFC" w:rsidRPr="00F97F38" w:rsidRDefault="00FA2FFC" w:rsidP="007A5009">
            <w:pPr>
              <w:keepNext/>
              <w:spacing w:before="0" w:after="0"/>
              <w:rPr>
                <w:rFonts w:cs="Tahoma"/>
                <w:snapToGrid w:val="0"/>
                <w:sz w:val="20"/>
                <w:szCs w:val="22"/>
                <w:lang w:eastAsia="en-US"/>
              </w:rPr>
            </w:pPr>
            <w:proofErr w:type="spellStart"/>
            <w:r w:rsidRPr="00F97F38">
              <w:rPr>
                <w:rFonts w:cs="Tahoma"/>
                <w:snapToGrid w:val="0"/>
                <w:sz w:val="20"/>
                <w:szCs w:val="22"/>
                <w:lang w:eastAsia="en-US"/>
              </w:rPr>
              <w:t>Altekruse</w:t>
            </w:r>
            <w:proofErr w:type="spellEnd"/>
            <w:r w:rsidRPr="00F97F38">
              <w:rPr>
                <w:rFonts w:cs="Tahoma"/>
                <w:snapToGrid w:val="0"/>
                <w:sz w:val="20"/>
                <w:szCs w:val="22"/>
                <w:lang w:eastAsia="en-US"/>
              </w:rPr>
              <w:t xml:space="preserve"> et al., 2012</w:t>
            </w:r>
          </w:p>
        </w:tc>
      </w:tr>
      <w:tr w:rsidR="00FA2FFC" w:rsidRPr="00F97F38" w14:paraId="080DB0AB" w14:textId="77777777" w:rsidTr="007A5009">
        <w:tc>
          <w:tcPr>
            <w:tcW w:w="1507" w:type="pct"/>
          </w:tcPr>
          <w:p w14:paraId="2C6F067A" w14:textId="77777777" w:rsidR="00FA2FFC" w:rsidRPr="00F97F38" w:rsidRDefault="00FA2FFC" w:rsidP="007A5009">
            <w:pPr>
              <w:spacing w:before="0" w:after="0"/>
              <w:rPr>
                <w:rFonts w:cs="Tahoma"/>
                <w:snapToGrid w:val="0"/>
                <w:sz w:val="20"/>
                <w:szCs w:val="22"/>
                <w:lang w:eastAsia="en-US"/>
              </w:rPr>
            </w:pPr>
            <w:r w:rsidRPr="00F97F38">
              <w:rPr>
                <w:rFonts w:cs="Tahoma"/>
                <w:snapToGrid w:val="0"/>
                <w:sz w:val="20"/>
                <w:szCs w:val="22"/>
                <w:lang w:eastAsia="en-US"/>
              </w:rPr>
              <w:t>Benign lesions</w:t>
            </w:r>
          </w:p>
        </w:tc>
        <w:tc>
          <w:tcPr>
            <w:tcW w:w="1871" w:type="pct"/>
          </w:tcPr>
          <w:p w14:paraId="3A583F4D" w14:textId="77777777" w:rsidR="00FA2FFC" w:rsidRPr="00F97F38" w:rsidRDefault="00FA2FFC" w:rsidP="007A5009">
            <w:pPr>
              <w:spacing w:before="0" w:after="0"/>
              <w:rPr>
                <w:rFonts w:cs="Tahoma"/>
                <w:snapToGrid w:val="0"/>
                <w:sz w:val="20"/>
                <w:szCs w:val="22"/>
                <w:lang w:eastAsia="en-US"/>
              </w:rPr>
            </w:pPr>
            <w:r w:rsidRPr="00F97F38">
              <w:rPr>
                <w:rFonts w:cs="Tahoma"/>
                <w:snapToGrid w:val="0"/>
                <w:sz w:val="20"/>
                <w:szCs w:val="22"/>
                <w:lang w:eastAsia="en-US"/>
              </w:rPr>
              <w:t>0.98</w:t>
            </w:r>
          </w:p>
        </w:tc>
        <w:tc>
          <w:tcPr>
            <w:tcW w:w="1622" w:type="pct"/>
          </w:tcPr>
          <w:p w14:paraId="668143AA" w14:textId="77777777" w:rsidR="00FA2FFC" w:rsidRPr="00F97F38" w:rsidRDefault="00FA2FFC" w:rsidP="007A5009">
            <w:pPr>
              <w:keepNext/>
              <w:spacing w:before="0" w:after="0"/>
              <w:rPr>
                <w:rFonts w:cs="Tahoma"/>
                <w:snapToGrid w:val="0"/>
                <w:sz w:val="20"/>
                <w:szCs w:val="22"/>
                <w:lang w:eastAsia="en-US"/>
              </w:rPr>
            </w:pPr>
            <w:r w:rsidRPr="00F97F38">
              <w:rPr>
                <w:rFonts w:cs="Tahoma"/>
                <w:snapToGrid w:val="0"/>
                <w:sz w:val="20"/>
                <w:szCs w:val="22"/>
                <w:lang w:eastAsia="en-US"/>
              </w:rPr>
              <w:t>ABS life tables</w:t>
            </w:r>
          </w:p>
        </w:tc>
      </w:tr>
    </w:tbl>
    <w:p w14:paraId="103F56C8" w14:textId="77777777" w:rsidR="00FA2FFC" w:rsidRPr="005408EA" w:rsidRDefault="00FA2FFC" w:rsidP="00FA2FFC">
      <w:pPr>
        <w:widowControl w:val="0"/>
        <w:spacing w:after="120"/>
        <w:jc w:val="both"/>
        <w:rPr>
          <w:rFonts w:ascii="Arial Narrow" w:hAnsi="Arial Narrow" w:cs="Arial"/>
          <w:snapToGrid w:val="0"/>
          <w:sz w:val="18"/>
          <w:lang w:eastAsia="en-US"/>
        </w:rPr>
      </w:pPr>
      <w:r w:rsidRPr="00F97F38">
        <w:rPr>
          <w:rFonts w:ascii="Arial Narrow" w:hAnsi="Arial Narrow" w:cs="Arial"/>
          <w:snapToGrid w:val="0"/>
          <w:sz w:val="18"/>
          <w:lang w:eastAsia="en-US"/>
        </w:rPr>
        <w:t>Abbreviations: HCC, hepatocellular carcinoma; RFA, radiofrequency ablation</w:t>
      </w:r>
    </w:p>
    <w:p w14:paraId="68F0F525" w14:textId="77777777" w:rsidR="00F37B9C" w:rsidRDefault="00F37B9C" w:rsidP="00F33658">
      <w:pPr>
        <w:tabs>
          <w:tab w:val="left" w:pos="720"/>
          <w:tab w:val="left" w:pos="1140"/>
        </w:tabs>
        <w:spacing w:before="240" w:after="120"/>
        <w:rPr>
          <w:b/>
          <w:szCs w:val="24"/>
        </w:rPr>
      </w:pPr>
      <w:r w:rsidRPr="00F37B9C">
        <w:rPr>
          <w:b/>
          <w:szCs w:val="24"/>
        </w:rPr>
        <w:t>Clinical Claim</w:t>
      </w:r>
    </w:p>
    <w:p w14:paraId="7EF97902" w14:textId="6FB8DD84" w:rsidR="00C23FC9" w:rsidRPr="00C23FC9" w:rsidRDefault="00C23FC9" w:rsidP="00C23FC9">
      <w:pPr>
        <w:rPr>
          <w:szCs w:val="24"/>
        </w:rPr>
      </w:pPr>
      <w:r w:rsidRPr="00C23FC9">
        <w:rPr>
          <w:szCs w:val="24"/>
        </w:rPr>
        <w:t>The applicant claim</w:t>
      </w:r>
      <w:r w:rsidR="00F33658">
        <w:rPr>
          <w:szCs w:val="24"/>
        </w:rPr>
        <w:t>ed</w:t>
      </w:r>
      <w:r w:rsidRPr="00C23FC9">
        <w:rPr>
          <w:szCs w:val="24"/>
        </w:rPr>
        <w:t xml:space="preserve"> that GA-MRI is superior in safety and effec</w:t>
      </w:r>
      <w:r w:rsidR="00F33658">
        <w:rPr>
          <w:szCs w:val="24"/>
        </w:rPr>
        <w:t>tiveness compared to CE-CT. It wa</w:t>
      </w:r>
      <w:r w:rsidRPr="00C23FC9">
        <w:rPr>
          <w:szCs w:val="24"/>
        </w:rPr>
        <w:t xml:space="preserve">s also noted that MRI will be more costly. There may be some savings associated with MRI in terms of reduced inappropriate </w:t>
      </w:r>
      <w:r w:rsidR="00B74993" w:rsidRPr="00C23FC9">
        <w:rPr>
          <w:szCs w:val="24"/>
        </w:rPr>
        <w:t>surger</w:t>
      </w:r>
      <w:r w:rsidR="00B74993">
        <w:rPr>
          <w:szCs w:val="24"/>
        </w:rPr>
        <w:t>y</w:t>
      </w:r>
      <w:r w:rsidR="00B74993" w:rsidRPr="00C23FC9">
        <w:rPr>
          <w:szCs w:val="24"/>
        </w:rPr>
        <w:t xml:space="preserve"> </w:t>
      </w:r>
      <w:r w:rsidRPr="00C23FC9">
        <w:rPr>
          <w:szCs w:val="24"/>
        </w:rPr>
        <w:t xml:space="preserve">or avoided adverse events </w:t>
      </w:r>
      <w:r w:rsidR="00B74993">
        <w:rPr>
          <w:szCs w:val="24"/>
        </w:rPr>
        <w:t>from</w:t>
      </w:r>
      <w:r w:rsidR="00B74993" w:rsidRPr="00C23FC9">
        <w:rPr>
          <w:szCs w:val="24"/>
        </w:rPr>
        <w:t xml:space="preserve"> </w:t>
      </w:r>
      <w:r w:rsidRPr="00C23FC9">
        <w:rPr>
          <w:szCs w:val="24"/>
        </w:rPr>
        <w:t>biopsy, CT or avoided surgery. The appropriate economic evaluation is therefore a cost-utility analysis using a decision analytic model with information on the accuracy of testing, the impact of testing on decision-making, and treatment outcomes including quality of life.</w:t>
      </w:r>
    </w:p>
    <w:p w14:paraId="43A4497F" w14:textId="77777777" w:rsidR="00BC1364" w:rsidRPr="00F715D1" w:rsidRDefault="00BC1364" w:rsidP="00F715D1">
      <w:pPr>
        <w:pStyle w:val="Heading1"/>
      </w:pPr>
      <w:r w:rsidRPr="00F715D1">
        <w:lastRenderedPageBreak/>
        <w:t>Economic evaluation</w:t>
      </w:r>
    </w:p>
    <w:p w14:paraId="10A46C13" w14:textId="658ED6E5" w:rsidR="00FA2FFC" w:rsidRPr="005408EA" w:rsidRDefault="00FA2FFC" w:rsidP="00FA2FFC">
      <w:pPr>
        <w:tabs>
          <w:tab w:val="left" w:pos="1134"/>
        </w:tabs>
        <w:spacing w:after="120"/>
        <w:ind w:left="1134" w:hanging="1134"/>
        <w:jc w:val="both"/>
        <w:rPr>
          <w:bCs/>
          <w:szCs w:val="24"/>
        </w:rPr>
      </w:pPr>
      <w:r w:rsidRPr="005408EA">
        <w:rPr>
          <w:bCs/>
          <w:szCs w:val="24"/>
        </w:rPr>
        <w:t>A summary of the key characteristics of the economic evaluation is shown i</w:t>
      </w:r>
      <w:r w:rsidRPr="00D102F0">
        <w:rPr>
          <w:bCs/>
          <w:szCs w:val="24"/>
        </w:rPr>
        <w:t>n</w:t>
      </w:r>
      <w:r w:rsidR="00AD1852">
        <w:rPr>
          <w:bCs/>
          <w:szCs w:val="24"/>
        </w:rPr>
        <w:t xml:space="preserve"> Table 9</w:t>
      </w:r>
      <w:r w:rsidRPr="005408EA">
        <w:rPr>
          <w:bCs/>
          <w:szCs w:val="24"/>
        </w:rPr>
        <w:t>.</w:t>
      </w:r>
    </w:p>
    <w:p w14:paraId="482A19BA" w14:textId="57AAFE96" w:rsidR="00FA2FFC" w:rsidRPr="00D102F0" w:rsidRDefault="00FA2FFC" w:rsidP="00813456">
      <w:pPr>
        <w:rPr>
          <w:rFonts w:ascii="Arial Narrow" w:hAnsi="Arial Narrow"/>
          <w:b/>
          <w:sz w:val="20"/>
        </w:rPr>
      </w:pPr>
      <w:bookmarkStart w:id="10" w:name="_Ref508178801"/>
      <w:r w:rsidRPr="00D102F0">
        <w:rPr>
          <w:rFonts w:ascii="Arial Narrow" w:hAnsi="Arial Narrow"/>
          <w:b/>
          <w:sz w:val="20"/>
        </w:rPr>
        <w:t xml:space="preserve">Table </w:t>
      </w:r>
      <w:bookmarkEnd w:id="10"/>
      <w:r w:rsidR="00AD1852">
        <w:rPr>
          <w:rFonts w:ascii="Arial Narrow" w:hAnsi="Arial Narrow"/>
          <w:b/>
          <w:sz w:val="20"/>
        </w:rPr>
        <w:t>9</w:t>
      </w:r>
      <w:r w:rsidRPr="00D102F0">
        <w:rPr>
          <w:rFonts w:ascii="Arial Narrow" w:hAnsi="Arial Narrow"/>
          <w:b/>
          <w:sz w:val="20"/>
        </w:rPr>
        <w:tab/>
      </w:r>
      <w:r w:rsidRPr="00D102F0">
        <w:rPr>
          <w:rFonts w:ascii="Arial Narrow" w:hAnsi="Arial Narrow" w:cs="Tahoma"/>
          <w:b/>
          <w:sz w:val="20"/>
        </w:rPr>
        <w:t>Summary of the economic evaluation</w:t>
      </w:r>
    </w:p>
    <w:tbl>
      <w:tblPr>
        <w:tblStyle w:val="TableGrid2"/>
        <w:tblW w:w="0" w:type="auto"/>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3119"/>
        <w:gridCol w:w="2915"/>
        <w:gridCol w:w="3038"/>
      </w:tblGrid>
      <w:tr w:rsidR="00FA2FFC" w:rsidRPr="007A2DF0" w14:paraId="3444A817" w14:textId="77777777" w:rsidTr="003B1058">
        <w:trPr>
          <w:cnfStyle w:val="100000000000" w:firstRow="1" w:lastRow="0" w:firstColumn="0" w:lastColumn="0" w:oddVBand="0" w:evenVBand="0" w:oddHBand="0" w:evenHBand="0" w:firstRowFirstColumn="0" w:firstRowLastColumn="0" w:lastRowFirstColumn="0" w:lastRowLastColumn="0"/>
          <w:trHeight w:val="20"/>
          <w:tblHeader/>
        </w:trPr>
        <w:tc>
          <w:tcPr>
            <w:tcW w:w="3119" w:type="dxa"/>
          </w:tcPr>
          <w:p w14:paraId="1229DC46" w14:textId="77777777" w:rsidR="00FA2FFC" w:rsidRPr="007A2DF0" w:rsidRDefault="00FA2FFC" w:rsidP="003B1058">
            <w:pPr>
              <w:pStyle w:val="Tabletext"/>
              <w:spacing w:before="0" w:after="0"/>
              <w:rPr>
                <w:b/>
              </w:rPr>
            </w:pPr>
            <w:r w:rsidRPr="007A2DF0">
              <w:rPr>
                <w:b/>
              </w:rPr>
              <w:t>Perspective</w:t>
            </w:r>
          </w:p>
        </w:tc>
        <w:tc>
          <w:tcPr>
            <w:tcW w:w="5953" w:type="dxa"/>
            <w:gridSpan w:val="2"/>
          </w:tcPr>
          <w:p w14:paraId="6AF42BE4" w14:textId="77777777" w:rsidR="00FA2FFC" w:rsidRPr="00783F73" w:rsidRDefault="00FA2FFC" w:rsidP="003B1058">
            <w:pPr>
              <w:pStyle w:val="Tabletext"/>
              <w:spacing w:before="0" w:after="0"/>
            </w:pPr>
            <w:r>
              <w:t>Health care system</w:t>
            </w:r>
          </w:p>
        </w:tc>
      </w:tr>
      <w:tr w:rsidR="00FA2FFC" w:rsidRPr="007A2DF0" w14:paraId="047655B0" w14:textId="77777777" w:rsidTr="009F6EAD">
        <w:trPr>
          <w:trHeight w:val="20"/>
        </w:trPr>
        <w:tc>
          <w:tcPr>
            <w:tcW w:w="3119" w:type="dxa"/>
          </w:tcPr>
          <w:p w14:paraId="48F14150" w14:textId="77777777" w:rsidR="00FA2FFC" w:rsidRPr="007A2DF0" w:rsidRDefault="00FA2FFC" w:rsidP="003B1058">
            <w:pPr>
              <w:pStyle w:val="Tabletext"/>
              <w:spacing w:before="0" w:after="0"/>
              <w:rPr>
                <w:b/>
              </w:rPr>
            </w:pPr>
            <w:r w:rsidRPr="007A2DF0">
              <w:rPr>
                <w:b/>
              </w:rPr>
              <w:t>Comparator</w:t>
            </w:r>
          </w:p>
        </w:tc>
        <w:tc>
          <w:tcPr>
            <w:tcW w:w="5953" w:type="dxa"/>
            <w:gridSpan w:val="2"/>
          </w:tcPr>
          <w:p w14:paraId="6A63746C" w14:textId="77777777" w:rsidR="00FA2FFC" w:rsidRPr="00783F73" w:rsidRDefault="00FA2FFC" w:rsidP="003B1058">
            <w:pPr>
              <w:pStyle w:val="Tabletext"/>
              <w:spacing w:before="0" w:after="0"/>
            </w:pPr>
            <w:r>
              <w:t>CE-CT</w:t>
            </w:r>
          </w:p>
        </w:tc>
      </w:tr>
      <w:tr w:rsidR="00FA2FFC" w:rsidRPr="007A2DF0" w14:paraId="45EDC2DF" w14:textId="77777777" w:rsidTr="009F6EAD">
        <w:trPr>
          <w:trHeight w:val="20"/>
        </w:trPr>
        <w:tc>
          <w:tcPr>
            <w:tcW w:w="3119" w:type="dxa"/>
          </w:tcPr>
          <w:p w14:paraId="4AC1FD7B" w14:textId="77777777" w:rsidR="00FA2FFC" w:rsidRPr="007A2DF0" w:rsidRDefault="00FA2FFC" w:rsidP="003B1058">
            <w:pPr>
              <w:pStyle w:val="Tabletext"/>
              <w:spacing w:before="0" w:after="0"/>
              <w:rPr>
                <w:b/>
              </w:rPr>
            </w:pPr>
            <w:r w:rsidRPr="007A2DF0">
              <w:rPr>
                <w:b/>
              </w:rPr>
              <w:t>Type of economic evaluation</w:t>
            </w:r>
          </w:p>
        </w:tc>
        <w:tc>
          <w:tcPr>
            <w:tcW w:w="5953" w:type="dxa"/>
            <w:gridSpan w:val="2"/>
          </w:tcPr>
          <w:p w14:paraId="0F262889" w14:textId="77777777" w:rsidR="00FA2FFC" w:rsidRPr="00783F73" w:rsidRDefault="00FA2FFC" w:rsidP="003B1058">
            <w:pPr>
              <w:pStyle w:val="Tabletext"/>
              <w:spacing w:before="0" w:after="0"/>
            </w:pPr>
            <w:r>
              <w:t>CUA</w:t>
            </w:r>
          </w:p>
        </w:tc>
      </w:tr>
      <w:tr w:rsidR="00FA2FFC" w:rsidRPr="00183E4D" w14:paraId="44CAB2D1" w14:textId="77777777" w:rsidTr="009F6EAD">
        <w:trPr>
          <w:trHeight w:val="20"/>
        </w:trPr>
        <w:tc>
          <w:tcPr>
            <w:tcW w:w="3119" w:type="dxa"/>
          </w:tcPr>
          <w:p w14:paraId="4D59BA34" w14:textId="77777777" w:rsidR="00FA2FFC" w:rsidRPr="007A2DF0" w:rsidRDefault="00FA2FFC" w:rsidP="003B1058">
            <w:pPr>
              <w:pStyle w:val="Tabletext"/>
              <w:spacing w:before="0" w:after="0"/>
              <w:rPr>
                <w:b/>
              </w:rPr>
            </w:pPr>
            <w:r w:rsidRPr="007A2DF0">
              <w:rPr>
                <w:b/>
              </w:rPr>
              <w:t>Sources of evidence</w:t>
            </w:r>
          </w:p>
        </w:tc>
        <w:tc>
          <w:tcPr>
            <w:tcW w:w="5953" w:type="dxa"/>
            <w:gridSpan w:val="2"/>
          </w:tcPr>
          <w:p w14:paraId="06494AE4" w14:textId="77777777" w:rsidR="00FA2FFC" w:rsidRPr="00783F73" w:rsidRDefault="00FA2FFC" w:rsidP="003B1058">
            <w:pPr>
              <w:pStyle w:val="Tabletext"/>
              <w:spacing w:before="0" w:after="0"/>
            </w:pPr>
            <w:r>
              <w:t>Systematic review of prospective, retrospective and clinical trials</w:t>
            </w:r>
          </w:p>
        </w:tc>
      </w:tr>
      <w:tr w:rsidR="00FA2FFC" w:rsidRPr="00183E4D" w14:paraId="6B0188A0" w14:textId="77777777" w:rsidTr="009F6EAD">
        <w:trPr>
          <w:trHeight w:val="20"/>
        </w:trPr>
        <w:tc>
          <w:tcPr>
            <w:tcW w:w="3119" w:type="dxa"/>
            <w:hideMark/>
          </w:tcPr>
          <w:p w14:paraId="2F3AD94A" w14:textId="77777777" w:rsidR="00FA2FFC" w:rsidRPr="00183E4D" w:rsidRDefault="00FA2FFC" w:rsidP="003B1058">
            <w:pPr>
              <w:pStyle w:val="Tabletext"/>
              <w:spacing w:before="0" w:after="0"/>
              <w:rPr>
                <w:b/>
              </w:rPr>
            </w:pPr>
            <w:r w:rsidRPr="00183E4D">
              <w:rPr>
                <w:b/>
              </w:rPr>
              <w:t>Time horizon</w:t>
            </w:r>
          </w:p>
        </w:tc>
        <w:tc>
          <w:tcPr>
            <w:tcW w:w="5953" w:type="dxa"/>
            <w:gridSpan w:val="2"/>
            <w:hideMark/>
          </w:tcPr>
          <w:p w14:paraId="7FAEABCB" w14:textId="77777777" w:rsidR="00FA2FFC" w:rsidRPr="00783F73" w:rsidRDefault="00FA2FFC" w:rsidP="003B1058">
            <w:pPr>
              <w:pStyle w:val="Tabletext"/>
              <w:spacing w:before="0" w:after="0"/>
            </w:pPr>
            <w:r>
              <w:t>Five years</w:t>
            </w:r>
          </w:p>
        </w:tc>
      </w:tr>
      <w:tr w:rsidR="00FA2FFC" w:rsidRPr="00183E4D" w14:paraId="72E84212" w14:textId="77777777" w:rsidTr="009F6EAD">
        <w:trPr>
          <w:trHeight w:val="20"/>
        </w:trPr>
        <w:tc>
          <w:tcPr>
            <w:tcW w:w="3119" w:type="dxa"/>
            <w:hideMark/>
          </w:tcPr>
          <w:p w14:paraId="34E341F6" w14:textId="77777777" w:rsidR="00FA2FFC" w:rsidRPr="00183E4D" w:rsidRDefault="00FA2FFC" w:rsidP="003B1058">
            <w:pPr>
              <w:pStyle w:val="Tabletext"/>
              <w:spacing w:before="0" w:after="0"/>
              <w:rPr>
                <w:b/>
              </w:rPr>
            </w:pPr>
            <w:r w:rsidRPr="00183E4D">
              <w:rPr>
                <w:b/>
              </w:rPr>
              <w:t>Outcomes</w:t>
            </w:r>
          </w:p>
        </w:tc>
        <w:tc>
          <w:tcPr>
            <w:tcW w:w="5953" w:type="dxa"/>
            <w:gridSpan w:val="2"/>
          </w:tcPr>
          <w:p w14:paraId="0D663A22" w14:textId="77777777" w:rsidR="00FA2FFC" w:rsidRDefault="00FA2FFC" w:rsidP="003B1058">
            <w:pPr>
              <w:pStyle w:val="Tabletext"/>
              <w:spacing w:before="0" w:after="0"/>
            </w:pPr>
            <w:r>
              <w:t>Costs</w:t>
            </w:r>
          </w:p>
          <w:p w14:paraId="25D0F3EF" w14:textId="77777777" w:rsidR="00FA2FFC" w:rsidRDefault="00FA2FFC" w:rsidP="003B1058">
            <w:pPr>
              <w:pStyle w:val="Tabletext"/>
              <w:spacing w:before="0" w:after="0"/>
            </w:pPr>
            <w:r>
              <w:t>QALYs</w:t>
            </w:r>
          </w:p>
          <w:p w14:paraId="5C2AD989" w14:textId="77777777" w:rsidR="00FA2FFC" w:rsidRPr="00783F73" w:rsidRDefault="00FA2FFC" w:rsidP="003B1058">
            <w:pPr>
              <w:pStyle w:val="Tabletext"/>
              <w:spacing w:before="0" w:after="0"/>
            </w:pPr>
            <w:r>
              <w:t>Incremental cost per QALY gained</w:t>
            </w:r>
          </w:p>
        </w:tc>
      </w:tr>
      <w:tr w:rsidR="00FA2FFC" w:rsidRPr="00183E4D" w14:paraId="4A92FB8A" w14:textId="77777777" w:rsidTr="009F6EAD">
        <w:trPr>
          <w:trHeight w:val="20"/>
        </w:trPr>
        <w:tc>
          <w:tcPr>
            <w:tcW w:w="3119" w:type="dxa"/>
            <w:hideMark/>
          </w:tcPr>
          <w:p w14:paraId="533B9C8E" w14:textId="77777777" w:rsidR="00FA2FFC" w:rsidRPr="00183E4D" w:rsidRDefault="00FA2FFC" w:rsidP="003B1058">
            <w:pPr>
              <w:pStyle w:val="Tabletext"/>
              <w:spacing w:before="0" w:after="0"/>
              <w:rPr>
                <w:b/>
              </w:rPr>
            </w:pPr>
            <w:r w:rsidRPr="00183E4D">
              <w:rPr>
                <w:b/>
              </w:rPr>
              <w:t>Methods used to generate results</w:t>
            </w:r>
          </w:p>
        </w:tc>
        <w:tc>
          <w:tcPr>
            <w:tcW w:w="5953" w:type="dxa"/>
            <w:gridSpan w:val="2"/>
          </w:tcPr>
          <w:p w14:paraId="30F1E2B5" w14:textId="77777777" w:rsidR="00FA2FFC" w:rsidRPr="00783F73" w:rsidRDefault="00FA2FFC" w:rsidP="003B1058">
            <w:pPr>
              <w:pStyle w:val="Tabletext"/>
              <w:spacing w:before="0" w:after="0"/>
            </w:pPr>
            <w:r>
              <w:t>Markov cohort analysis</w:t>
            </w:r>
          </w:p>
        </w:tc>
      </w:tr>
      <w:tr w:rsidR="00FA2FFC" w:rsidRPr="00183E4D" w14:paraId="755A2383" w14:textId="77777777" w:rsidTr="009F6EAD">
        <w:trPr>
          <w:trHeight w:val="3297"/>
        </w:trPr>
        <w:tc>
          <w:tcPr>
            <w:tcW w:w="3119" w:type="dxa"/>
          </w:tcPr>
          <w:p w14:paraId="03C8C968" w14:textId="77777777" w:rsidR="00FA2FFC" w:rsidRPr="00183E4D" w:rsidRDefault="00FA2FFC" w:rsidP="003B1058">
            <w:pPr>
              <w:pStyle w:val="Tabletext"/>
              <w:spacing w:before="0" w:after="0"/>
              <w:rPr>
                <w:b/>
              </w:rPr>
            </w:pPr>
            <w:r>
              <w:rPr>
                <w:b/>
              </w:rPr>
              <w:t>Health states</w:t>
            </w:r>
          </w:p>
        </w:tc>
        <w:tc>
          <w:tcPr>
            <w:tcW w:w="2915" w:type="dxa"/>
          </w:tcPr>
          <w:p w14:paraId="48E36051" w14:textId="77777777" w:rsidR="00FA2FFC" w:rsidRPr="008F2AC6" w:rsidRDefault="00FA2FFC" w:rsidP="003B1058">
            <w:pPr>
              <w:pStyle w:val="Tabletext"/>
              <w:spacing w:before="0" w:after="0"/>
              <w:jc w:val="both"/>
              <w:rPr>
                <w:b/>
              </w:rPr>
            </w:pPr>
            <w:r w:rsidRPr="008F2AC6">
              <w:rPr>
                <w:b/>
              </w:rPr>
              <w:t>Population 1</w:t>
            </w:r>
          </w:p>
          <w:p w14:paraId="55F2CC7B" w14:textId="77777777" w:rsidR="00FA2FFC" w:rsidRDefault="00FA2FFC" w:rsidP="003B1058">
            <w:pPr>
              <w:pStyle w:val="Tabletext"/>
              <w:spacing w:before="0" w:after="0"/>
              <w:jc w:val="both"/>
            </w:pPr>
            <w:r>
              <w:t xml:space="preserve">Operable </w:t>
            </w:r>
            <w:proofErr w:type="spellStart"/>
            <w:r>
              <w:t>mCRC</w:t>
            </w:r>
            <w:proofErr w:type="spellEnd"/>
            <w:r>
              <w:t>; Undergoing evaluation</w:t>
            </w:r>
          </w:p>
          <w:p w14:paraId="5E9B6858" w14:textId="77777777" w:rsidR="00FA2FFC" w:rsidRDefault="00FA2FFC" w:rsidP="003B1058">
            <w:pPr>
              <w:pStyle w:val="Tabletext"/>
              <w:spacing w:before="0" w:after="0"/>
              <w:jc w:val="both"/>
            </w:pPr>
            <w:r>
              <w:t xml:space="preserve">Inoperable </w:t>
            </w:r>
            <w:proofErr w:type="spellStart"/>
            <w:r>
              <w:t>mCRC</w:t>
            </w:r>
            <w:proofErr w:type="spellEnd"/>
            <w:r>
              <w:t>; Undergoing evaluation</w:t>
            </w:r>
          </w:p>
          <w:p w14:paraId="0AFED3C2" w14:textId="77777777" w:rsidR="00FA2FFC" w:rsidRDefault="00FA2FFC" w:rsidP="003B1058">
            <w:pPr>
              <w:pStyle w:val="Tabletext"/>
              <w:spacing w:before="0" w:after="0"/>
              <w:jc w:val="both"/>
            </w:pPr>
            <w:r>
              <w:t xml:space="preserve">No </w:t>
            </w:r>
            <w:proofErr w:type="spellStart"/>
            <w:r>
              <w:t>mCRC</w:t>
            </w:r>
            <w:proofErr w:type="spellEnd"/>
            <w:r>
              <w:t>; Undergoing evaluation</w:t>
            </w:r>
          </w:p>
          <w:p w14:paraId="6D0E8082" w14:textId="77777777" w:rsidR="00FA2FFC" w:rsidRDefault="00FA2FFC" w:rsidP="003B1058">
            <w:pPr>
              <w:pStyle w:val="Tabletext"/>
              <w:spacing w:before="0" w:after="0"/>
              <w:jc w:val="both"/>
            </w:pPr>
            <w:r>
              <w:t xml:space="preserve">Operable </w:t>
            </w:r>
            <w:proofErr w:type="spellStart"/>
            <w:r>
              <w:t>mCRC</w:t>
            </w:r>
            <w:proofErr w:type="spellEnd"/>
            <w:r>
              <w:t>; True positive</w:t>
            </w:r>
          </w:p>
          <w:p w14:paraId="6064DC8F" w14:textId="77777777" w:rsidR="00FA2FFC" w:rsidRDefault="00FA2FFC" w:rsidP="003B1058">
            <w:pPr>
              <w:pStyle w:val="Tabletext"/>
              <w:spacing w:before="0" w:after="0"/>
              <w:jc w:val="both"/>
            </w:pPr>
            <w:r>
              <w:t xml:space="preserve">Operable </w:t>
            </w:r>
            <w:proofErr w:type="spellStart"/>
            <w:r>
              <w:t>mCRC</w:t>
            </w:r>
            <w:proofErr w:type="spellEnd"/>
            <w:r>
              <w:t>; FN</w:t>
            </w:r>
          </w:p>
          <w:p w14:paraId="186E31FE" w14:textId="77777777" w:rsidR="00FA2FFC" w:rsidRDefault="00FA2FFC" w:rsidP="003B1058">
            <w:pPr>
              <w:pStyle w:val="Tabletext"/>
              <w:spacing w:before="0" w:after="0"/>
              <w:jc w:val="both"/>
            </w:pPr>
            <w:r>
              <w:t xml:space="preserve">Inoperable </w:t>
            </w:r>
            <w:proofErr w:type="spellStart"/>
            <w:r>
              <w:t>mCRC</w:t>
            </w:r>
            <w:proofErr w:type="spellEnd"/>
            <w:r>
              <w:t>; True positive</w:t>
            </w:r>
          </w:p>
          <w:p w14:paraId="5680A128" w14:textId="77777777" w:rsidR="00FA2FFC" w:rsidRDefault="00FA2FFC" w:rsidP="003B1058">
            <w:pPr>
              <w:pStyle w:val="Tabletext"/>
              <w:spacing w:before="0" w:after="0"/>
              <w:jc w:val="both"/>
            </w:pPr>
            <w:r>
              <w:t xml:space="preserve">Inoperable </w:t>
            </w:r>
            <w:proofErr w:type="spellStart"/>
            <w:r>
              <w:t>mCRC</w:t>
            </w:r>
            <w:proofErr w:type="spellEnd"/>
            <w:r>
              <w:t>; FN</w:t>
            </w:r>
          </w:p>
          <w:p w14:paraId="1FB36B1A" w14:textId="77777777" w:rsidR="00FA2FFC" w:rsidRDefault="00FA2FFC" w:rsidP="003B1058">
            <w:pPr>
              <w:pStyle w:val="Tabletext"/>
              <w:spacing w:before="0" w:after="0"/>
              <w:jc w:val="both"/>
            </w:pPr>
            <w:r>
              <w:t xml:space="preserve">No </w:t>
            </w:r>
            <w:proofErr w:type="spellStart"/>
            <w:r>
              <w:t>mCRC</w:t>
            </w:r>
            <w:proofErr w:type="spellEnd"/>
            <w:r>
              <w:t>; TN</w:t>
            </w:r>
          </w:p>
          <w:p w14:paraId="412089AE" w14:textId="77777777" w:rsidR="00FA2FFC" w:rsidRDefault="00FA2FFC" w:rsidP="003B1058">
            <w:pPr>
              <w:pStyle w:val="Tabletext"/>
              <w:spacing w:before="0" w:after="0"/>
              <w:jc w:val="both"/>
            </w:pPr>
            <w:r>
              <w:t>Dead</w:t>
            </w:r>
          </w:p>
        </w:tc>
        <w:tc>
          <w:tcPr>
            <w:tcW w:w="3038" w:type="dxa"/>
          </w:tcPr>
          <w:p w14:paraId="184EABC2" w14:textId="77777777" w:rsidR="00FA2FFC" w:rsidRPr="008F2AC6" w:rsidRDefault="00FA2FFC" w:rsidP="003B1058">
            <w:pPr>
              <w:pStyle w:val="Tabletext"/>
              <w:spacing w:before="0" w:after="0"/>
              <w:jc w:val="both"/>
              <w:rPr>
                <w:b/>
              </w:rPr>
            </w:pPr>
            <w:r>
              <w:rPr>
                <w:b/>
              </w:rPr>
              <w:t>Population 2</w:t>
            </w:r>
          </w:p>
          <w:p w14:paraId="1D1FF943" w14:textId="77777777" w:rsidR="00FA2FFC" w:rsidRDefault="00FA2FFC" w:rsidP="003B1058">
            <w:pPr>
              <w:pStyle w:val="Tabletext"/>
              <w:spacing w:before="0" w:after="0"/>
              <w:jc w:val="both"/>
            </w:pPr>
            <w:r>
              <w:t>HCC; Undergoing evaluation</w:t>
            </w:r>
          </w:p>
          <w:p w14:paraId="6EAA3343" w14:textId="77777777" w:rsidR="00FA2FFC" w:rsidRDefault="00FA2FFC" w:rsidP="003B1058">
            <w:pPr>
              <w:pStyle w:val="Tabletext"/>
              <w:spacing w:before="0" w:after="0"/>
              <w:jc w:val="both"/>
            </w:pPr>
            <w:r>
              <w:t>No HCC; Undergoing evaluation</w:t>
            </w:r>
          </w:p>
          <w:p w14:paraId="127D8CD3" w14:textId="77777777" w:rsidR="00FA2FFC" w:rsidRDefault="00FA2FFC" w:rsidP="003B1058">
            <w:pPr>
              <w:pStyle w:val="Tabletext"/>
              <w:spacing w:before="0" w:after="0"/>
              <w:jc w:val="both"/>
            </w:pPr>
            <w:r>
              <w:t>HCC; True positive; Optimally treated</w:t>
            </w:r>
          </w:p>
          <w:p w14:paraId="75903B50" w14:textId="77777777" w:rsidR="00FA2FFC" w:rsidRDefault="00FA2FFC" w:rsidP="003B1058">
            <w:pPr>
              <w:pStyle w:val="Tabletext"/>
              <w:spacing w:before="0" w:after="0"/>
              <w:jc w:val="both"/>
            </w:pPr>
            <w:r>
              <w:t>HCC; True positive; Sub-optimally treated</w:t>
            </w:r>
          </w:p>
          <w:p w14:paraId="394062E6" w14:textId="77777777" w:rsidR="00FA2FFC" w:rsidRDefault="00FA2FFC" w:rsidP="003B1058">
            <w:pPr>
              <w:pStyle w:val="Tabletext"/>
              <w:spacing w:before="0" w:after="0"/>
              <w:jc w:val="both"/>
            </w:pPr>
            <w:r>
              <w:t>HCC; FN; Untreated</w:t>
            </w:r>
          </w:p>
          <w:p w14:paraId="761EEEB0" w14:textId="77777777" w:rsidR="00FA2FFC" w:rsidRDefault="00FA2FFC" w:rsidP="003B1058">
            <w:pPr>
              <w:pStyle w:val="Tabletext"/>
              <w:spacing w:before="0" w:after="0"/>
              <w:jc w:val="both"/>
            </w:pPr>
            <w:r>
              <w:t>No HCC; TN</w:t>
            </w:r>
          </w:p>
          <w:p w14:paraId="1BB7CDAD" w14:textId="77777777" w:rsidR="00FA2FFC" w:rsidRPr="0084217D" w:rsidRDefault="00FA2FFC" w:rsidP="003B1058">
            <w:pPr>
              <w:pStyle w:val="Tabletext"/>
              <w:spacing w:before="0" w:after="0"/>
              <w:jc w:val="both"/>
            </w:pPr>
            <w:r>
              <w:t>Dead</w:t>
            </w:r>
          </w:p>
        </w:tc>
      </w:tr>
      <w:tr w:rsidR="00FA2FFC" w:rsidRPr="00183E4D" w14:paraId="08B1ED8B" w14:textId="77777777" w:rsidTr="009F6EAD">
        <w:trPr>
          <w:trHeight w:val="20"/>
        </w:trPr>
        <w:tc>
          <w:tcPr>
            <w:tcW w:w="3119" w:type="dxa"/>
            <w:hideMark/>
          </w:tcPr>
          <w:p w14:paraId="1E11453D" w14:textId="77777777" w:rsidR="00FA2FFC" w:rsidRPr="00183E4D" w:rsidRDefault="00FA2FFC" w:rsidP="003B1058">
            <w:pPr>
              <w:pStyle w:val="Tabletext"/>
              <w:spacing w:before="0" w:after="0"/>
              <w:rPr>
                <w:b/>
              </w:rPr>
            </w:pPr>
            <w:r>
              <w:rPr>
                <w:b/>
              </w:rPr>
              <w:t>Cycle length</w:t>
            </w:r>
          </w:p>
        </w:tc>
        <w:tc>
          <w:tcPr>
            <w:tcW w:w="5953" w:type="dxa"/>
            <w:gridSpan w:val="2"/>
          </w:tcPr>
          <w:p w14:paraId="1799F753" w14:textId="77777777" w:rsidR="00FA2FFC" w:rsidRPr="00783F73" w:rsidRDefault="00FA2FFC" w:rsidP="003B1058">
            <w:pPr>
              <w:pStyle w:val="Tabletext"/>
              <w:spacing w:before="0" w:after="0"/>
            </w:pPr>
            <w:r>
              <w:t>Six months</w:t>
            </w:r>
          </w:p>
        </w:tc>
      </w:tr>
      <w:tr w:rsidR="00FA2FFC" w:rsidRPr="00183E4D" w14:paraId="1299B519" w14:textId="77777777" w:rsidTr="009F6EAD">
        <w:trPr>
          <w:trHeight w:val="20"/>
        </w:trPr>
        <w:tc>
          <w:tcPr>
            <w:tcW w:w="3119" w:type="dxa"/>
            <w:hideMark/>
          </w:tcPr>
          <w:p w14:paraId="2CF29E6D" w14:textId="77777777" w:rsidR="00FA2FFC" w:rsidRPr="00183E4D" w:rsidRDefault="00FA2FFC" w:rsidP="003B1058">
            <w:pPr>
              <w:pStyle w:val="Tabletext"/>
              <w:spacing w:before="0" w:after="0"/>
              <w:rPr>
                <w:b/>
              </w:rPr>
            </w:pPr>
            <w:r w:rsidRPr="00183E4D">
              <w:rPr>
                <w:b/>
              </w:rPr>
              <w:t>Discount rate</w:t>
            </w:r>
          </w:p>
        </w:tc>
        <w:tc>
          <w:tcPr>
            <w:tcW w:w="5953" w:type="dxa"/>
            <w:gridSpan w:val="2"/>
          </w:tcPr>
          <w:p w14:paraId="72B48686" w14:textId="77777777" w:rsidR="00FA2FFC" w:rsidRPr="00783F73" w:rsidRDefault="00FA2FFC" w:rsidP="003B1058">
            <w:pPr>
              <w:pStyle w:val="Tabletext"/>
              <w:spacing w:before="0" w:after="0"/>
            </w:pPr>
            <w:r>
              <w:t>5 percent per annum</w:t>
            </w:r>
          </w:p>
        </w:tc>
      </w:tr>
      <w:tr w:rsidR="00FA2FFC" w:rsidRPr="00183E4D" w14:paraId="1B215E99" w14:textId="77777777" w:rsidTr="009F6EAD">
        <w:trPr>
          <w:trHeight w:val="20"/>
        </w:trPr>
        <w:tc>
          <w:tcPr>
            <w:tcW w:w="3119" w:type="dxa"/>
            <w:hideMark/>
          </w:tcPr>
          <w:p w14:paraId="2DC541A5" w14:textId="77777777" w:rsidR="00FA2FFC" w:rsidRPr="00183E4D" w:rsidRDefault="00FA2FFC" w:rsidP="003B1058">
            <w:pPr>
              <w:pStyle w:val="Tabletext"/>
              <w:spacing w:before="0" w:after="0"/>
              <w:rPr>
                <w:b/>
              </w:rPr>
            </w:pPr>
            <w:r w:rsidRPr="00183E4D">
              <w:rPr>
                <w:b/>
              </w:rPr>
              <w:t>Software packages used</w:t>
            </w:r>
          </w:p>
        </w:tc>
        <w:tc>
          <w:tcPr>
            <w:tcW w:w="5953" w:type="dxa"/>
            <w:gridSpan w:val="2"/>
          </w:tcPr>
          <w:p w14:paraId="03742E50" w14:textId="77777777" w:rsidR="00FA2FFC" w:rsidRPr="00783F73" w:rsidRDefault="00FA2FFC" w:rsidP="003B1058">
            <w:pPr>
              <w:pStyle w:val="Tabletext"/>
              <w:spacing w:before="0" w:after="0"/>
            </w:pPr>
            <w:proofErr w:type="spellStart"/>
            <w:r>
              <w:t>TreeAge</w:t>
            </w:r>
            <w:proofErr w:type="spellEnd"/>
            <w:r>
              <w:t xml:space="preserve"> Pro 2017</w:t>
            </w:r>
          </w:p>
        </w:tc>
      </w:tr>
    </w:tbl>
    <w:p w14:paraId="6A36DB83" w14:textId="77777777" w:rsidR="00FA2FFC" w:rsidRDefault="00FA2FFC" w:rsidP="00CA0501">
      <w:pPr>
        <w:spacing w:before="240" w:after="240"/>
        <w:rPr>
          <w:szCs w:val="24"/>
        </w:rPr>
      </w:pPr>
      <w:r w:rsidRPr="004420E3">
        <w:rPr>
          <w:szCs w:val="24"/>
        </w:rPr>
        <w:t xml:space="preserve">For model 1, </w:t>
      </w:r>
      <w:r>
        <w:rPr>
          <w:szCs w:val="24"/>
        </w:rPr>
        <w:t xml:space="preserve">at a modelled MBS fee of $500, </w:t>
      </w:r>
      <w:r w:rsidRPr="004420E3">
        <w:rPr>
          <w:szCs w:val="24"/>
        </w:rPr>
        <w:t>additional costs of $491 per patient and QALY gains of 0.0214 per patient results in an ICER of $22,893. For model 2, additional costs of $654 per patient and QALY gains of 0.0514 per patient</w:t>
      </w:r>
      <w:r w:rsidR="00CA0501">
        <w:rPr>
          <w:szCs w:val="24"/>
        </w:rPr>
        <w:t xml:space="preserve"> results in an ICER of $12,737.</w:t>
      </w:r>
    </w:p>
    <w:p w14:paraId="559018D0" w14:textId="77777777" w:rsidR="00FA2FFC" w:rsidRDefault="00FA2FFC" w:rsidP="00FC77BC">
      <w:pPr>
        <w:spacing w:after="240"/>
        <w:rPr>
          <w:szCs w:val="24"/>
        </w:rPr>
      </w:pPr>
      <w:r w:rsidRPr="004420E3">
        <w:rPr>
          <w:szCs w:val="24"/>
        </w:rPr>
        <w:t>The ICERs in populations 1 and 2 at the applicant’s requested MBS fee of $1200 increase to $46,953 and $41,189, respectively.</w:t>
      </w:r>
    </w:p>
    <w:p w14:paraId="1414D6CE" w14:textId="495CA9FE" w:rsidR="00FA2FFC" w:rsidRPr="00A05CB4" w:rsidRDefault="00FA2FFC" w:rsidP="00FA2FFC">
      <w:pPr>
        <w:pStyle w:val="Caption"/>
        <w:keepNext/>
        <w:spacing w:after="0"/>
        <w:jc w:val="both"/>
        <w:rPr>
          <w:rFonts w:ascii="Arial Narrow" w:hAnsi="Arial Narrow"/>
          <w:color w:val="auto"/>
          <w:sz w:val="20"/>
          <w:szCs w:val="20"/>
        </w:rPr>
      </w:pPr>
      <w:bookmarkStart w:id="11" w:name="_Toc494983763"/>
      <w:r w:rsidRPr="007A5698">
        <w:rPr>
          <w:rFonts w:ascii="Arial Narrow" w:hAnsi="Arial Narrow"/>
          <w:color w:val="auto"/>
          <w:sz w:val="20"/>
          <w:szCs w:val="20"/>
        </w:rPr>
        <w:t xml:space="preserve">Table </w:t>
      </w:r>
      <w:r w:rsidR="00AD1852">
        <w:rPr>
          <w:rFonts w:ascii="Arial Narrow" w:hAnsi="Arial Narrow"/>
          <w:color w:val="auto"/>
          <w:sz w:val="20"/>
          <w:szCs w:val="20"/>
        </w:rPr>
        <w:t>10</w:t>
      </w:r>
      <w:r w:rsidRPr="007A5698">
        <w:rPr>
          <w:rFonts w:ascii="Arial Narrow" w:hAnsi="Arial Narrow"/>
          <w:color w:val="auto"/>
          <w:sz w:val="20"/>
          <w:szCs w:val="20"/>
        </w:rPr>
        <w:tab/>
      </w:r>
      <w:r w:rsidRPr="007A5698">
        <w:rPr>
          <w:rFonts w:ascii="Arial Narrow" w:hAnsi="Arial Narrow" w:cs="Tahoma"/>
          <w:color w:val="auto"/>
          <w:sz w:val="20"/>
          <w:szCs w:val="20"/>
        </w:rPr>
        <w:t xml:space="preserve">Results: Incremental cost-effectiveness of MRI in each population At PICO confirmed MBS fee of $500 </w:t>
      </w:r>
      <w:r w:rsidRPr="007A5698">
        <w:rPr>
          <w:rFonts w:ascii="Arial Narrow" w:hAnsi="Arial Narrow" w:cs="Tahoma"/>
          <w:color w:val="auto"/>
          <w:sz w:val="20"/>
          <w:szCs w:val="20"/>
        </w:rPr>
        <w:tab/>
        <w:t>[and applicant requested fee of $1200]</w:t>
      </w:r>
      <w:bookmarkEnd w:id="11"/>
    </w:p>
    <w:tbl>
      <w:tblPr>
        <w:tblStyle w:val="TableGrid2"/>
        <w:tblW w:w="5000" w:type="pct"/>
        <w:tblLook w:val="04A0" w:firstRow="1" w:lastRow="0" w:firstColumn="1" w:lastColumn="0" w:noHBand="0" w:noVBand="1"/>
        <w:tblDescription w:val="Results: Incremental cost-effectiveness of MRI in each population At PICO confirmed MBS fee of $500 [and applicant requested fee of $1200]"/>
      </w:tblPr>
      <w:tblGrid>
        <w:gridCol w:w="2252"/>
        <w:gridCol w:w="2251"/>
        <w:gridCol w:w="1580"/>
        <w:gridCol w:w="1580"/>
        <w:gridCol w:w="1579"/>
      </w:tblGrid>
      <w:tr w:rsidR="00FA2FFC" w:rsidRPr="00F97F38" w14:paraId="72BAABAA" w14:textId="77777777" w:rsidTr="00680EF2">
        <w:trPr>
          <w:cnfStyle w:val="100000000000" w:firstRow="1" w:lastRow="0" w:firstColumn="0" w:lastColumn="0" w:oddVBand="0" w:evenVBand="0" w:oddHBand="0" w:evenHBand="0" w:firstRowFirstColumn="0" w:firstRowLastColumn="0" w:lastRowFirstColumn="0" w:lastRowLastColumn="0"/>
          <w:tblHeader/>
        </w:trPr>
        <w:tc>
          <w:tcPr>
            <w:tcW w:w="1218" w:type="pct"/>
          </w:tcPr>
          <w:p w14:paraId="7E815E3F" w14:textId="77777777" w:rsidR="00FA2FFC" w:rsidRPr="00F97F38" w:rsidRDefault="00FA2FFC" w:rsidP="00680EF2">
            <w:pPr>
              <w:keepNext/>
              <w:keepLines/>
              <w:spacing w:before="0" w:after="0"/>
              <w:rPr>
                <w:rFonts w:cs="Tahoma"/>
                <w:b/>
                <w:sz w:val="20"/>
              </w:rPr>
            </w:pPr>
            <w:r w:rsidRPr="00F97F38">
              <w:rPr>
                <w:rFonts w:cs="Tahoma"/>
                <w:b/>
                <w:sz w:val="20"/>
              </w:rPr>
              <w:t>Model</w:t>
            </w:r>
          </w:p>
        </w:tc>
        <w:tc>
          <w:tcPr>
            <w:tcW w:w="1218" w:type="pct"/>
          </w:tcPr>
          <w:p w14:paraId="440986AE" w14:textId="77777777" w:rsidR="00FA2FFC" w:rsidRPr="00F97F38" w:rsidRDefault="00FA2FFC" w:rsidP="00680EF2">
            <w:pPr>
              <w:keepNext/>
              <w:keepLines/>
              <w:spacing w:before="0" w:after="0"/>
              <w:jc w:val="both"/>
              <w:rPr>
                <w:rFonts w:cs="Tahoma"/>
                <w:b/>
                <w:sz w:val="20"/>
              </w:rPr>
            </w:pPr>
            <w:r w:rsidRPr="00F97F38">
              <w:rPr>
                <w:rFonts w:cs="Tahoma"/>
                <w:b/>
                <w:sz w:val="20"/>
              </w:rPr>
              <w:t>Item</w:t>
            </w:r>
          </w:p>
        </w:tc>
        <w:tc>
          <w:tcPr>
            <w:tcW w:w="855" w:type="pct"/>
          </w:tcPr>
          <w:p w14:paraId="3C809B5A" w14:textId="77777777" w:rsidR="00FA2FFC" w:rsidRPr="00F97F38" w:rsidRDefault="00FA2FFC" w:rsidP="00680EF2">
            <w:pPr>
              <w:keepNext/>
              <w:keepLines/>
              <w:spacing w:before="0" w:after="0"/>
              <w:jc w:val="both"/>
              <w:rPr>
                <w:rFonts w:cs="Tahoma"/>
                <w:b/>
                <w:sz w:val="20"/>
              </w:rPr>
            </w:pPr>
            <w:r w:rsidRPr="00F97F38">
              <w:rPr>
                <w:rFonts w:cs="Tahoma"/>
                <w:b/>
                <w:sz w:val="20"/>
              </w:rPr>
              <w:t>GA-MRI</w:t>
            </w:r>
          </w:p>
        </w:tc>
        <w:tc>
          <w:tcPr>
            <w:tcW w:w="855" w:type="pct"/>
          </w:tcPr>
          <w:p w14:paraId="2CD492E1" w14:textId="77777777" w:rsidR="00FA2FFC" w:rsidRPr="00F97F38" w:rsidRDefault="00FA2FFC" w:rsidP="00680EF2">
            <w:pPr>
              <w:keepNext/>
              <w:keepLines/>
              <w:spacing w:before="0" w:after="0"/>
              <w:jc w:val="both"/>
              <w:rPr>
                <w:rFonts w:cs="Tahoma"/>
                <w:b/>
                <w:sz w:val="20"/>
              </w:rPr>
            </w:pPr>
            <w:r w:rsidRPr="00F97F38">
              <w:rPr>
                <w:rFonts w:cs="Tahoma"/>
                <w:b/>
                <w:sz w:val="20"/>
              </w:rPr>
              <w:t>CE-CT</w:t>
            </w:r>
          </w:p>
        </w:tc>
        <w:tc>
          <w:tcPr>
            <w:tcW w:w="854" w:type="pct"/>
          </w:tcPr>
          <w:p w14:paraId="72138AA4" w14:textId="77777777" w:rsidR="00FA2FFC" w:rsidRPr="00F97F38" w:rsidRDefault="00FA2FFC" w:rsidP="00680EF2">
            <w:pPr>
              <w:keepNext/>
              <w:keepLines/>
              <w:spacing w:before="0" w:after="0"/>
              <w:jc w:val="both"/>
              <w:rPr>
                <w:rFonts w:cs="Tahoma"/>
                <w:b/>
                <w:sz w:val="20"/>
              </w:rPr>
            </w:pPr>
            <w:r w:rsidRPr="00F97F38">
              <w:rPr>
                <w:rFonts w:cs="Tahoma"/>
                <w:b/>
                <w:sz w:val="20"/>
              </w:rPr>
              <w:t>Incremental</w:t>
            </w:r>
          </w:p>
        </w:tc>
      </w:tr>
      <w:tr w:rsidR="00FA2FFC" w:rsidRPr="00F97F38" w14:paraId="06A51B80" w14:textId="77777777" w:rsidTr="00680EF2">
        <w:trPr>
          <w:cnfStyle w:val="100000000000" w:firstRow="1" w:lastRow="0" w:firstColumn="0" w:lastColumn="0" w:oddVBand="0" w:evenVBand="0" w:oddHBand="0" w:evenHBand="0" w:firstRowFirstColumn="0" w:firstRowLastColumn="0" w:lastRowFirstColumn="0" w:lastRowLastColumn="0"/>
          <w:tblHeader/>
        </w:trPr>
        <w:tc>
          <w:tcPr>
            <w:tcW w:w="1218" w:type="pct"/>
            <w:vMerge w:val="restart"/>
          </w:tcPr>
          <w:p w14:paraId="7E587CC9" w14:textId="77777777" w:rsidR="00FA2FFC" w:rsidRPr="00F97F38" w:rsidRDefault="00FA2FFC" w:rsidP="00680EF2">
            <w:pPr>
              <w:keepNext/>
              <w:keepLines/>
              <w:spacing w:before="0" w:after="0"/>
              <w:rPr>
                <w:rFonts w:cs="Tahoma"/>
                <w:sz w:val="20"/>
              </w:rPr>
            </w:pPr>
            <w:r w:rsidRPr="00F97F38">
              <w:rPr>
                <w:rFonts w:cs="Tahoma"/>
                <w:sz w:val="20"/>
              </w:rPr>
              <w:t>Economic model 1:</w:t>
            </w:r>
            <w:r w:rsidRPr="00F97F38">
              <w:rPr>
                <w:rFonts w:cs="Tahoma"/>
                <w:sz w:val="20"/>
              </w:rPr>
              <w:br/>
              <w:t>Patient population with known CRC with suspected or possible liver malignancy</w:t>
            </w:r>
          </w:p>
        </w:tc>
        <w:tc>
          <w:tcPr>
            <w:tcW w:w="1218" w:type="pct"/>
          </w:tcPr>
          <w:p w14:paraId="23B817BE" w14:textId="77777777" w:rsidR="00FA2FFC" w:rsidRPr="00F97F38" w:rsidRDefault="00FA2FFC" w:rsidP="00680EF2">
            <w:pPr>
              <w:keepNext/>
              <w:keepLines/>
              <w:spacing w:before="0" w:after="0"/>
              <w:jc w:val="both"/>
              <w:rPr>
                <w:rFonts w:cs="Tahoma"/>
                <w:sz w:val="20"/>
              </w:rPr>
            </w:pPr>
            <w:r w:rsidRPr="00F97F38">
              <w:rPr>
                <w:rFonts w:cs="Tahoma"/>
                <w:sz w:val="20"/>
              </w:rPr>
              <w:t>Cost</w:t>
            </w:r>
            <w:r w:rsidRPr="00F97F38">
              <w:rPr>
                <w:rFonts w:cs="Tahoma"/>
                <w:sz w:val="20"/>
              </w:rPr>
              <w:br/>
              <w:t>[at applicant fee of $1200]</w:t>
            </w:r>
          </w:p>
        </w:tc>
        <w:tc>
          <w:tcPr>
            <w:tcW w:w="855" w:type="pct"/>
          </w:tcPr>
          <w:p w14:paraId="68739D14" w14:textId="77777777" w:rsidR="00FA2FFC" w:rsidRPr="00F97F38" w:rsidRDefault="00FA2FFC" w:rsidP="00680EF2">
            <w:pPr>
              <w:keepNext/>
              <w:keepLines/>
              <w:spacing w:before="0" w:after="0"/>
              <w:jc w:val="both"/>
              <w:rPr>
                <w:rFonts w:cs="Tahoma"/>
                <w:sz w:val="20"/>
              </w:rPr>
            </w:pPr>
            <w:r w:rsidRPr="00F97F38">
              <w:rPr>
                <w:rFonts w:cs="Tahoma"/>
                <w:sz w:val="20"/>
              </w:rPr>
              <w:t>$12,989.02</w:t>
            </w:r>
            <w:r w:rsidRPr="00F97F38">
              <w:rPr>
                <w:rFonts w:cs="Tahoma"/>
                <w:sz w:val="20"/>
              </w:rPr>
              <w:br/>
              <w:t>[$13,504.77]</w:t>
            </w:r>
          </w:p>
        </w:tc>
        <w:tc>
          <w:tcPr>
            <w:tcW w:w="855" w:type="pct"/>
          </w:tcPr>
          <w:p w14:paraId="365DE5ED" w14:textId="77777777" w:rsidR="00FA2FFC" w:rsidRPr="00F97F38" w:rsidRDefault="00FA2FFC" w:rsidP="00680EF2">
            <w:pPr>
              <w:keepNext/>
              <w:keepLines/>
              <w:spacing w:before="0" w:after="0"/>
              <w:jc w:val="both"/>
              <w:rPr>
                <w:rFonts w:cs="Tahoma"/>
                <w:sz w:val="20"/>
              </w:rPr>
            </w:pPr>
            <w:r w:rsidRPr="00F97F38">
              <w:rPr>
                <w:rFonts w:cs="Tahoma"/>
                <w:sz w:val="20"/>
              </w:rPr>
              <w:t>$12,498.30</w:t>
            </w:r>
          </w:p>
        </w:tc>
        <w:tc>
          <w:tcPr>
            <w:tcW w:w="854" w:type="pct"/>
          </w:tcPr>
          <w:p w14:paraId="4B4A90E2" w14:textId="77777777" w:rsidR="00FA2FFC" w:rsidRPr="00F97F38" w:rsidRDefault="00FA2FFC" w:rsidP="00680EF2">
            <w:pPr>
              <w:keepNext/>
              <w:keepLines/>
              <w:spacing w:before="0" w:after="0"/>
              <w:jc w:val="both"/>
              <w:rPr>
                <w:rFonts w:cs="Tahoma"/>
                <w:sz w:val="20"/>
              </w:rPr>
            </w:pPr>
            <w:r w:rsidRPr="00F97F38">
              <w:rPr>
                <w:rFonts w:cs="Tahoma"/>
                <w:sz w:val="20"/>
              </w:rPr>
              <w:t>$490.72</w:t>
            </w:r>
            <w:r w:rsidRPr="00F97F38">
              <w:rPr>
                <w:rFonts w:cs="Tahoma"/>
                <w:sz w:val="20"/>
              </w:rPr>
              <w:br/>
              <w:t>[$1,006.47]</w:t>
            </w:r>
          </w:p>
        </w:tc>
      </w:tr>
      <w:tr w:rsidR="00FA2FFC" w:rsidRPr="00F97F38" w14:paraId="7F07F0FB" w14:textId="77777777" w:rsidTr="00680EF2">
        <w:trPr>
          <w:cnfStyle w:val="100000000000" w:firstRow="1" w:lastRow="0" w:firstColumn="0" w:lastColumn="0" w:oddVBand="0" w:evenVBand="0" w:oddHBand="0" w:evenHBand="0" w:firstRowFirstColumn="0" w:firstRowLastColumn="0" w:lastRowFirstColumn="0" w:lastRowLastColumn="0"/>
          <w:tblHeader/>
        </w:trPr>
        <w:tc>
          <w:tcPr>
            <w:tcW w:w="1218" w:type="pct"/>
            <w:vMerge/>
          </w:tcPr>
          <w:p w14:paraId="071CB879" w14:textId="77777777" w:rsidR="00FA2FFC" w:rsidRPr="00F97F38" w:rsidRDefault="00FA2FFC" w:rsidP="00680EF2">
            <w:pPr>
              <w:keepNext/>
              <w:keepLines/>
              <w:spacing w:before="0" w:after="0"/>
              <w:rPr>
                <w:rFonts w:cs="Tahoma"/>
                <w:sz w:val="20"/>
              </w:rPr>
            </w:pPr>
          </w:p>
        </w:tc>
        <w:tc>
          <w:tcPr>
            <w:tcW w:w="1218" w:type="pct"/>
            <w:tcBorders>
              <w:bottom w:val="single" w:sz="4" w:space="0" w:color="auto"/>
            </w:tcBorders>
          </w:tcPr>
          <w:p w14:paraId="73DDAB8F" w14:textId="77777777" w:rsidR="00FA2FFC" w:rsidRPr="00F97F38" w:rsidRDefault="00FA2FFC" w:rsidP="00680EF2">
            <w:pPr>
              <w:keepNext/>
              <w:keepLines/>
              <w:spacing w:before="0" w:after="0"/>
              <w:jc w:val="both"/>
              <w:rPr>
                <w:rFonts w:cs="Tahoma"/>
                <w:sz w:val="20"/>
              </w:rPr>
            </w:pPr>
            <w:r w:rsidRPr="00F97F38">
              <w:rPr>
                <w:rFonts w:cs="Tahoma"/>
                <w:sz w:val="20"/>
              </w:rPr>
              <w:t>QALYs</w:t>
            </w:r>
          </w:p>
        </w:tc>
        <w:tc>
          <w:tcPr>
            <w:tcW w:w="855" w:type="pct"/>
            <w:tcBorders>
              <w:bottom w:val="single" w:sz="4" w:space="0" w:color="auto"/>
            </w:tcBorders>
          </w:tcPr>
          <w:p w14:paraId="1A0B703B" w14:textId="77777777" w:rsidR="00FA2FFC" w:rsidRPr="00F97F38" w:rsidRDefault="00FA2FFC" w:rsidP="00680EF2">
            <w:pPr>
              <w:keepNext/>
              <w:keepLines/>
              <w:spacing w:before="0" w:after="0"/>
              <w:jc w:val="both"/>
              <w:rPr>
                <w:rFonts w:cs="Tahoma"/>
                <w:sz w:val="20"/>
              </w:rPr>
            </w:pPr>
            <w:r w:rsidRPr="00F97F38">
              <w:rPr>
                <w:rFonts w:cs="Tahoma"/>
                <w:sz w:val="20"/>
              </w:rPr>
              <w:t>1.8283</w:t>
            </w:r>
          </w:p>
        </w:tc>
        <w:tc>
          <w:tcPr>
            <w:tcW w:w="855" w:type="pct"/>
            <w:tcBorders>
              <w:bottom w:val="single" w:sz="4" w:space="0" w:color="auto"/>
            </w:tcBorders>
          </w:tcPr>
          <w:p w14:paraId="43DD54D6" w14:textId="77777777" w:rsidR="00FA2FFC" w:rsidRPr="00F97F38" w:rsidRDefault="00FA2FFC" w:rsidP="00680EF2">
            <w:pPr>
              <w:keepNext/>
              <w:keepLines/>
              <w:spacing w:before="0" w:after="0"/>
              <w:jc w:val="both"/>
              <w:rPr>
                <w:rFonts w:cs="Tahoma"/>
                <w:sz w:val="20"/>
              </w:rPr>
            </w:pPr>
            <w:r w:rsidRPr="00F97F38">
              <w:rPr>
                <w:rFonts w:cs="Tahoma"/>
                <w:sz w:val="20"/>
              </w:rPr>
              <w:t>1.8069</w:t>
            </w:r>
          </w:p>
        </w:tc>
        <w:tc>
          <w:tcPr>
            <w:tcW w:w="854" w:type="pct"/>
            <w:tcBorders>
              <w:bottom w:val="single" w:sz="4" w:space="0" w:color="auto"/>
            </w:tcBorders>
          </w:tcPr>
          <w:p w14:paraId="1D0C6192" w14:textId="77777777" w:rsidR="00FA2FFC" w:rsidRPr="00F97F38" w:rsidRDefault="00FA2FFC" w:rsidP="00680EF2">
            <w:pPr>
              <w:keepNext/>
              <w:keepLines/>
              <w:spacing w:before="0" w:after="0"/>
              <w:jc w:val="both"/>
              <w:rPr>
                <w:rFonts w:cs="Tahoma"/>
                <w:sz w:val="20"/>
              </w:rPr>
            </w:pPr>
            <w:r w:rsidRPr="00F97F38">
              <w:rPr>
                <w:rFonts w:cs="Tahoma"/>
                <w:sz w:val="20"/>
              </w:rPr>
              <w:t>0.0214</w:t>
            </w:r>
          </w:p>
        </w:tc>
      </w:tr>
      <w:tr w:rsidR="00FA2FFC" w:rsidRPr="00F97F38" w14:paraId="09F38219" w14:textId="77777777" w:rsidTr="00680EF2">
        <w:trPr>
          <w:cnfStyle w:val="100000000000" w:firstRow="1" w:lastRow="0" w:firstColumn="0" w:lastColumn="0" w:oddVBand="0" w:evenVBand="0" w:oddHBand="0" w:evenHBand="0" w:firstRowFirstColumn="0" w:firstRowLastColumn="0" w:lastRowFirstColumn="0" w:lastRowLastColumn="0"/>
          <w:tblHeader/>
        </w:trPr>
        <w:tc>
          <w:tcPr>
            <w:tcW w:w="1218" w:type="pct"/>
            <w:vMerge/>
            <w:tcBorders>
              <w:right w:val="single" w:sz="4" w:space="0" w:color="auto"/>
            </w:tcBorders>
          </w:tcPr>
          <w:p w14:paraId="6EB4D04E" w14:textId="77777777" w:rsidR="00FA2FFC" w:rsidRPr="00F97F38" w:rsidRDefault="00FA2FFC" w:rsidP="00680EF2">
            <w:pPr>
              <w:keepNext/>
              <w:keepLines/>
              <w:spacing w:before="0" w:after="0"/>
              <w:rPr>
                <w:rFonts w:cs="Tahoma"/>
                <w:sz w:val="20"/>
              </w:rPr>
            </w:pPr>
          </w:p>
        </w:tc>
        <w:tc>
          <w:tcPr>
            <w:tcW w:w="2928" w:type="pct"/>
            <w:gridSpan w:val="3"/>
            <w:tcBorders>
              <w:top w:val="single" w:sz="4" w:space="0" w:color="auto"/>
              <w:left w:val="single" w:sz="4" w:space="0" w:color="auto"/>
              <w:bottom w:val="single" w:sz="4" w:space="0" w:color="auto"/>
              <w:right w:val="single" w:sz="4" w:space="0" w:color="auto"/>
            </w:tcBorders>
            <w:shd w:val="clear" w:color="auto" w:fill="auto"/>
          </w:tcPr>
          <w:p w14:paraId="29A83BBF" w14:textId="77777777" w:rsidR="00FA2FFC" w:rsidRPr="00F97F38" w:rsidRDefault="00FA2FFC" w:rsidP="00680EF2">
            <w:pPr>
              <w:keepNext/>
              <w:keepLines/>
              <w:spacing w:before="0" w:after="0"/>
              <w:rPr>
                <w:rFonts w:cs="Tahoma"/>
                <w:sz w:val="20"/>
              </w:rPr>
            </w:pPr>
            <w:r w:rsidRPr="00F97F38">
              <w:rPr>
                <w:rFonts w:cs="Tahoma"/>
                <w:b/>
                <w:sz w:val="20"/>
              </w:rPr>
              <w:t>IC/QALY gained</w:t>
            </w:r>
            <w:r w:rsidRPr="00F97F38">
              <w:rPr>
                <w:rFonts w:cs="Tahoma"/>
                <w:b/>
                <w:sz w:val="20"/>
              </w:rPr>
              <w:br/>
              <w:t>[at applicant fee of $1200]</w:t>
            </w:r>
          </w:p>
        </w:tc>
        <w:tc>
          <w:tcPr>
            <w:tcW w:w="854" w:type="pct"/>
            <w:tcBorders>
              <w:left w:val="single" w:sz="4" w:space="0" w:color="auto"/>
              <w:bottom w:val="single" w:sz="4" w:space="0" w:color="auto"/>
            </w:tcBorders>
          </w:tcPr>
          <w:p w14:paraId="3608C828" w14:textId="77777777" w:rsidR="00FA2FFC" w:rsidRPr="00F97F38" w:rsidRDefault="00FA2FFC" w:rsidP="00680EF2">
            <w:pPr>
              <w:keepNext/>
              <w:keepLines/>
              <w:spacing w:before="0" w:after="0"/>
              <w:jc w:val="both"/>
              <w:rPr>
                <w:rFonts w:cs="Tahoma"/>
                <w:b/>
                <w:sz w:val="20"/>
              </w:rPr>
            </w:pPr>
            <w:r w:rsidRPr="00F97F38">
              <w:rPr>
                <w:rFonts w:cs="Tahoma"/>
                <w:b/>
                <w:sz w:val="20"/>
              </w:rPr>
              <w:t>$22,893</w:t>
            </w:r>
            <w:r w:rsidRPr="00F97F38">
              <w:rPr>
                <w:rFonts w:cs="Tahoma"/>
                <w:b/>
                <w:sz w:val="20"/>
              </w:rPr>
              <w:br/>
              <w:t>[$46,953]</w:t>
            </w:r>
          </w:p>
        </w:tc>
      </w:tr>
      <w:tr w:rsidR="00FA2FFC" w:rsidRPr="00F97F38" w14:paraId="5F666F1D" w14:textId="77777777" w:rsidTr="00680EF2">
        <w:trPr>
          <w:cnfStyle w:val="100000000000" w:firstRow="1" w:lastRow="0" w:firstColumn="0" w:lastColumn="0" w:oddVBand="0" w:evenVBand="0" w:oddHBand="0" w:evenHBand="0" w:firstRowFirstColumn="0" w:firstRowLastColumn="0" w:lastRowFirstColumn="0" w:lastRowLastColumn="0"/>
          <w:tblHeader/>
        </w:trPr>
        <w:tc>
          <w:tcPr>
            <w:tcW w:w="1218" w:type="pct"/>
            <w:vMerge w:val="restart"/>
          </w:tcPr>
          <w:p w14:paraId="5DD2AB35" w14:textId="77777777" w:rsidR="00FA2FFC" w:rsidRPr="00F97F38" w:rsidRDefault="00FA2FFC" w:rsidP="00680EF2">
            <w:pPr>
              <w:keepNext/>
              <w:keepLines/>
              <w:spacing w:before="0" w:after="0"/>
              <w:rPr>
                <w:rFonts w:cs="Tahoma"/>
                <w:sz w:val="20"/>
              </w:rPr>
            </w:pPr>
            <w:r w:rsidRPr="00F97F38">
              <w:rPr>
                <w:rFonts w:cs="Tahoma"/>
                <w:sz w:val="20"/>
              </w:rPr>
              <w:t>Economic model 2:</w:t>
            </w:r>
            <w:r w:rsidRPr="00F97F38">
              <w:rPr>
                <w:rFonts w:cs="Tahoma"/>
                <w:sz w:val="20"/>
              </w:rPr>
              <w:br/>
              <w:t>Patient population with suspected HCC</w:t>
            </w:r>
          </w:p>
        </w:tc>
        <w:tc>
          <w:tcPr>
            <w:tcW w:w="1218" w:type="pct"/>
            <w:tcBorders>
              <w:top w:val="single" w:sz="4" w:space="0" w:color="auto"/>
              <w:bottom w:val="single" w:sz="4" w:space="0" w:color="auto"/>
            </w:tcBorders>
          </w:tcPr>
          <w:p w14:paraId="75FEFDF2" w14:textId="77777777" w:rsidR="00FA2FFC" w:rsidRPr="00F97F38" w:rsidRDefault="00FA2FFC" w:rsidP="00680EF2">
            <w:pPr>
              <w:keepNext/>
              <w:keepLines/>
              <w:spacing w:before="0" w:after="0"/>
              <w:jc w:val="both"/>
              <w:rPr>
                <w:rFonts w:cs="Tahoma"/>
                <w:sz w:val="20"/>
              </w:rPr>
            </w:pPr>
            <w:r w:rsidRPr="00F97F38">
              <w:rPr>
                <w:rFonts w:cs="Tahoma"/>
                <w:sz w:val="20"/>
              </w:rPr>
              <w:t>Cost</w:t>
            </w:r>
            <w:r w:rsidRPr="00F97F38">
              <w:rPr>
                <w:rFonts w:cs="Tahoma"/>
                <w:sz w:val="20"/>
              </w:rPr>
              <w:br/>
              <w:t>[applicant fee of $1200]</w:t>
            </w:r>
          </w:p>
        </w:tc>
        <w:tc>
          <w:tcPr>
            <w:tcW w:w="855" w:type="pct"/>
            <w:tcBorders>
              <w:top w:val="single" w:sz="4" w:space="0" w:color="auto"/>
              <w:bottom w:val="single" w:sz="4" w:space="0" w:color="auto"/>
            </w:tcBorders>
          </w:tcPr>
          <w:p w14:paraId="52612A1E" w14:textId="77777777" w:rsidR="00FA2FFC" w:rsidRPr="00F97F38" w:rsidRDefault="00FA2FFC" w:rsidP="00680EF2">
            <w:pPr>
              <w:keepNext/>
              <w:keepLines/>
              <w:spacing w:before="0" w:after="0"/>
              <w:jc w:val="both"/>
              <w:rPr>
                <w:rFonts w:cs="Tahoma"/>
                <w:sz w:val="20"/>
              </w:rPr>
            </w:pPr>
            <w:r w:rsidRPr="00F97F38">
              <w:rPr>
                <w:rFonts w:cs="Tahoma"/>
                <w:sz w:val="20"/>
              </w:rPr>
              <w:t>$4,253.97</w:t>
            </w:r>
            <w:r w:rsidRPr="00F97F38">
              <w:rPr>
                <w:rFonts w:cs="Tahoma"/>
                <w:sz w:val="20"/>
              </w:rPr>
              <w:br/>
              <w:t>[$5,715.97]</w:t>
            </w:r>
          </w:p>
        </w:tc>
        <w:tc>
          <w:tcPr>
            <w:tcW w:w="855" w:type="pct"/>
            <w:tcBorders>
              <w:top w:val="single" w:sz="4" w:space="0" w:color="auto"/>
              <w:bottom w:val="single" w:sz="4" w:space="0" w:color="auto"/>
            </w:tcBorders>
          </w:tcPr>
          <w:p w14:paraId="7499AED1" w14:textId="77777777" w:rsidR="00FA2FFC" w:rsidRPr="00F97F38" w:rsidRDefault="00FA2FFC" w:rsidP="00680EF2">
            <w:pPr>
              <w:keepNext/>
              <w:keepLines/>
              <w:spacing w:before="0" w:after="0"/>
              <w:jc w:val="both"/>
              <w:rPr>
                <w:rFonts w:cs="Tahoma"/>
                <w:sz w:val="20"/>
              </w:rPr>
            </w:pPr>
            <w:r w:rsidRPr="00F97F38">
              <w:rPr>
                <w:rFonts w:cs="Tahoma"/>
                <w:sz w:val="20"/>
              </w:rPr>
              <w:t>$3,599.48</w:t>
            </w:r>
          </w:p>
        </w:tc>
        <w:tc>
          <w:tcPr>
            <w:tcW w:w="854" w:type="pct"/>
            <w:tcBorders>
              <w:bottom w:val="single" w:sz="4" w:space="0" w:color="auto"/>
            </w:tcBorders>
          </w:tcPr>
          <w:p w14:paraId="46D473AC" w14:textId="77777777" w:rsidR="00FA2FFC" w:rsidRPr="00F97F38" w:rsidRDefault="00FA2FFC" w:rsidP="00680EF2">
            <w:pPr>
              <w:keepNext/>
              <w:keepLines/>
              <w:spacing w:before="0" w:after="0"/>
              <w:jc w:val="both"/>
              <w:rPr>
                <w:rFonts w:cs="Tahoma"/>
                <w:sz w:val="20"/>
              </w:rPr>
            </w:pPr>
            <w:r w:rsidRPr="00F97F38">
              <w:rPr>
                <w:rFonts w:cs="Tahoma"/>
                <w:sz w:val="20"/>
              </w:rPr>
              <w:t>$654.50</w:t>
            </w:r>
            <w:r w:rsidRPr="00F97F38">
              <w:rPr>
                <w:rFonts w:cs="Tahoma"/>
                <w:sz w:val="20"/>
              </w:rPr>
              <w:br/>
              <w:t>[$2,116.49]</w:t>
            </w:r>
          </w:p>
        </w:tc>
      </w:tr>
      <w:tr w:rsidR="00FA2FFC" w:rsidRPr="00F97F38" w14:paraId="069FEF9F" w14:textId="77777777" w:rsidTr="00680EF2">
        <w:trPr>
          <w:cnfStyle w:val="100000000000" w:firstRow="1" w:lastRow="0" w:firstColumn="0" w:lastColumn="0" w:oddVBand="0" w:evenVBand="0" w:oddHBand="0" w:evenHBand="0" w:firstRowFirstColumn="0" w:firstRowLastColumn="0" w:lastRowFirstColumn="0" w:lastRowLastColumn="0"/>
          <w:tblHeader/>
        </w:trPr>
        <w:tc>
          <w:tcPr>
            <w:tcW w:w="1218" w:type="pct"/>
            <w:vMerge/>
          </w:tcPr>
          <w:p w14:paraId="77C19F5F" w14:textId="77777777" w:rsidR="00FA2FFC" w:rsidRPr="00F97F38" w:rsidRDefault="00FA2FFC" w:rsidP="00680EF2">
            <w:pPr>
              <w:keepNext/>
              <w:keepLines/>
              <w:spacing w:before="0" w:after="0"/>
              <w:rPr>
                <w:rFonts w:cs="Tahoma"/>
                <w:sz w:val="20"/>
              </w:rPr>
            </w:pPr>
          </w:p>
        </w:tc>
        <w:tc>
          <w:tcPr>
            <w:tcW w:w="1218" w:type="pct"/>
            <w:tcBorders>
              <w:bottom w:val="single" w:sz="4" w:space="0" w:color="auto"/>
            </w:tcBorders>
          </w:tcPr>
          <w:p w14:paraId="5A0BF8AB" w14:textId="77777777" w:rsidR="00FA2FFC" w:rsidRPr="00F97F38" w:rsidRDefault="00FA2FFC" w:rsidP="00680EF2">
            <w:pPr>
              <w:keepNext/>
              <w:keepLines/>
              <w:spacing w:before="0" w:after="0"/>
              <w:jc w:val="both"/>
              <w:rPr>
                <w:rFonts w:cs="Tahoma"/>
                <w:sz w:val="20"/>
              </w:rPr>
            </w:pPr>
            <w:r w:rsidRPr="00F97F38">
              <w:rPr>
                <w:rFonts w:cs="Tahoma"/>
                <w:sz w:val="20"/>
              </w:rPr>
              <w:t>QALYs</w:t>
            </w:r>
          </w:p>
        </w:tc>
        <w:tc>
          <w:tcPr>
            <w:tcW w:w="855" w:type="pct"/>
            <w:tcBorders>
              <w:bottom w:val="single" w:sz="4" w:space="0" w:color="auto"/>
            </w:tcBorders>
          </w:tcPr>
          <w:p w14:paraId="184FAD63" w14:textId="77777777" w:rsidR="00FA2FFC" w:rsidRPr="00F97F38" w:rsidRDefault="00FA2FFC" w:rsidP="00680EF2">
            <w:pPr>
              <w:keepNext/>
              <w:keepLines/>
              <w:spacing w:before="0" w:after="0"/>
              <w:jc w:val="both"/>
              <w:rPr>
                <w:rFonts w:cs="Tahoma"/>
                <w:sz w:val="20"/>
              </w:rPr>
            </w:pPr>
            <w:r w:rsidRPr="00F97F38">
              <w:rPr>
                <w:rFonts w:cs="Tahoma"/>
                <w:sz w:val="20"/>
              </w:rPr>
              <w:t>2.7887</w:t>
            </w:r>
          </w:p>
        </w:tc>
        <w:tc>
          <w:tcPr>
            <w:tcW w:w="855" w:type="pct"/>
            <w:tcBorders>
              <w:bottom w:val="single" w:sz="4" w:space="0" w:color="auto"/>
            </w:tcBorders>
          </w:tcPr>
          <w:p w14:paraId="43BB6CB5" w14:textId="77777777" w:rsidR="00FA2FFC" w:rsidRPr="00F97F38" w:rsidRDefault="00FA2FFC" w:rsidP="00680EF2">
            <w:pPr>
              <w:keepNext/>
              <w:keepLines/>
              <w:spacing w:before="0" w:after="0"/>
              <w:jc w:val="both"/>
              <w:rPr>
                <w:rFonts w:cs="Tahoma"/>
                <w:sz w:val="20"/>
              </w:rPr>
            </w:pPr>
            <w:r w:rsidRPr="00F97F38">
              <w:rPr>
                <w:rFonts w:cs="Tahoma"/>
                <w:sz w:val="20"/>
              </w:rPr>
              <w:t>2.7373</w:t>
            </w:r>
          </w:p>
        </w:tc>
        <w:tc>
          <w:tcPr>
            <w:tcW w:w="854" w:type="pct"/>
            <w:tcBorders>
              <w:bottom w:val="single" w:sz="4" w:space="0" w:color="auto"/>
            </w:tcBorders>
          </w:tcPr>
          <w:p w14:paraId="08462902" w14:textId="77777777" w:rsidR="00FA2FFC" w:rsidRPr="00F97F38" w:rsidRDefault="00FA2FFC" w:rsidP="00680EF2">
            <w:pPr>
              <w:keepNext/>
              <w:keepLines/>
              <w:spacing w:before="0" w:after="0"/>
              <w:jc w:val="both"/>
              <w:rPr>
                <w:rFonts w:cs="Tahoma"/>
                <w:sz w:val="20"/>
              </w:rPr>
            </w:pPr>
            <w:r w:rsidRPr="00F97F38">
              <w:rPr>
                <w:rFonts w:cs="Tahoma"/>
                <w:sz w:val="20"/>
              </w:rPr>
              <w:t>0.0514</w:t>
            </w:r>
          </w:p>
        </w:tc>
      </w:tr>
      <w:tr w:rsidR="00FA2FFC" w:rsidRPr="00F97F38" w14:paraId="17EB4A85" w14:textId="77777777" w:rsidTr="00680EF2">
        <w:trPr>
          <w:cnfStyle w:val="100000000000" w:firstRow="1" w:lastRow="0" w:firstColumn="0" w:lastColumn="0" w:oddVBand="0" w:evenVBand="0" w:oddHBand="0" w:evenHBand="0" w:firstRowFirstColumn="0" w:firstRowLastColumn="0" w:lastRowFirstColumn="0" w:lastRowLastColumn="0"/>
          <w:tblHeader/>
        </w:trPr>
        <w:tc>
          <w:tcPr>
            <w:tcW w:w="1218" w:type="pct"/>
            <w:vMerge/>
            <w:tcBorders>
              <w:right w:val="single" w:sz="4" w:space="0" w:color="auto"/>
            </w:tcBorders>
          </w:tcPr>
          <w:p w14:paraId="40B85B96" w14:textId="77777777" w:rsidR="00FA2FFC" w:rsidRPr="00F97F38" w:rsidRDefault="00FA2FFC" w:rsidP="00680EF2">
            <w:pPr>
              <w:keepNext/>
              <w:keepLines/>
              <w:spacing w:before="0" w:after="0"/>
              <w:rPr>
                <w:rFonts w:cs="Tahoma"/>
                <w:sz w:val="20"/>
              </w:rPr>
            </w:pPr>
          </w:p>
        </w:tc>
        <w:tc>
          <w:tcPr>
            <w:tcW w:w="2928" w:type="pct"/>
            <w:gridSpan w:val="3"/>
            <w:tcBorders>
              <w:top w:val="single" w:sz="4" w:space="0" w:color="auto"/>
              <w:left w:val="single" w:sz="4" w:space="0" w:color="auto"/>
              <w:bottom w:val="single" w:sz="4" w:space="0" w:color="auto"/>
              <w:right w:val="single" w:sz="4" w:space="0" w:color="auto"/>
            </w:tcBorders>
          </w:tcPr>
          <w:p w14:paraId="7B9E6580" w14:textId="77777777" w:rsidR="00FA2FFC" w:rsidRPr="00F97F38" w:rsidRDefault="00FA2FFC" w:rsidP="00680EF2">
            <w:pPr>
              <w:keepNext/>
              <w:keepLines/>
              <w:spacing w:before="0" w:after="0"/>
              <w:rPr>
                <w:rFonts w:cs="Tahoma"/>
                <w:sz w:val="20"/>
              </w:rPr>
            </w:pPr>
            <w:r w:rsidRPr="00F97F38">
              <w:rPr>
                <w:rFonts w:cs="Tahoma"/>
                <w:b/>
                <w:sz w:val="20"/>
              </w:rPr>
              <w:t>IC/QALY gained</w:t>
            </w:r>
            <w:r w:rsidRPr="00F97F38">
              <w:rPr>
                <w:rFonts w:cs="Tahoma"/>
                <w:b/>
                <w:sz w:val="20"/>
              </w:rPr>
              <w:br/>
              <w:t>[at applicant fee of $1200]</w:t>
            </w:r>
          </w:p>
        </w:tc>
        <w:tc>
          <w:tcPr>
            <w:tcW w:w="854" w:type="pct"/>
            <w:tcBorders>
              <w:left w:val="single" w:sz="4" w:space="0" w:color="auto"/>
            </w:tcBorders>
          </w:tcPr>
          <w:p w14:paraId="06A8E1CE" w14:textId="77777777" w:rsidR="00FA2FFC" w:rsidRPr="00F97F38" w:rsidRDefault="00FA2FFC" w:rsidP="00680EF2">
            <w:pPr>
              <w:keepNext/>
              <w:keepLines/>
              <w:spacing w:before="0" w:after="0"/>
              <w:jc w:val="both"/>
              <w:rPr>
                <w:rFonts w:cs="Tahoma"/>
                <w:b/>
                <w:sz w:val="20"/>
              </w:rPr>
            </w:pPr>
            <w:r w:rsidRPr="00F97F38">
              <w:rPr>
                <w:rFonts w:cs="Tahoma"/>
                <w:b/>
                <w:sz w:val="20"/>
              </w:rPr>
              <w:t>$12,737</w:t>
            </w:r>
            <w:r w:rsidRPr="00F97F38">
              <w:rPr>
                <w:rFonts w:cs="Tahoma"/>
                <w:b/>
                <w:sz w:val="20"/>
              </w:rPr>
              <w:br/>
              <w:t>[$41,189]</w:t>
            </w:r>
          </w:p>
        </w:tc>
      </w:tr>
    </w:tbl>
    <w:p w14:paraId="023969B0" w14:textId="502EBE6D" w:rsidR="00460930" w:rsidRPr="00D102F0" w:rsidRDefault="00FA2FFC" w:rsidP="00CE097A">
      <w:pPr>
        <w:spacing w:before="240"/>
        <w:rPr>
          <w:szCs w:val="24"/>
        </w:rPr>
      </w:pPr>
      <w:r w:rsidRPr="00A21593">
        <w:rPr>
          <w:szCs w:val="24"/>
        </w:rPr>
        <w:t xml:space="preserve">The key drivers of model 1 and 2 are presented in </w:t>
      </w:r>
      <w:r w:rsidR="00AD1852">
        <w:rPr>
          <w:szCs w:val="24"/>
        </w:rPr>
        <w:t>Table 11 and Table 12</w:t>
      </w:r>
      <w:r w:rsidR="00D102F0">
        <w:rPr>
          <w:szCs w:val="24"/>
        </w:rPr>
        <w:t xml:space="preserve"> </w:t>
      </w:r>
      <w:r w:rsidRPr="00D102F0">
        <w:rPr>
          <w:szCs w:val="24"/>
        </w:rPr>
        <w:t>respectively. For model 1, the model was most sensitive to the prevalence of</w:t>
      </w:r>
      <w:r w:rsidRPr="00A21593">
        <w:rPr>
          <w:szCs w:val="24"/>
        </w:rPr>
        <w:t xml:space="preserve"> operable liver metastases, and the probability of confirmatory biopsies. For model 2, the model was most sensitive to the decision impact of GA-MRI, the prevalence of HCC, and the 5-year survival of optimally treated HCC relative to sub-optimally treated HCC.</w:t>
      </w:r>
      <w:bookmarkStart w:id="12" w:name="_Ref508178851"/>
      <w:bookmarkStart w:id="13" w:name="_Toc494983764"/>
    </w:p>
    <w:p w14:paraId="6F983B2F" w14:textId="02491FC3" w:rsidR="00FA2FFC" w:rsidRPr="007A5698" w:rsidRDefault="00FA2FFC" w:rsidP="003B1058">
      <w:pPr>
        <w:pStyle w:val="Caption"/>
        <w:keepNext/>
        <w:spacing w:before="240" w:after="0"/>
        <w:rPr>
          <w:rFonts w:ascii="Arial Narrow" w:hAnsi="Arial Narrow"/>
          <w:color w:val="auto"/>
          <w:sz w:val="20"/>
          <w:szCs w:val="20"/>
        </w:rPr>
      </w:pPr>
      <w:r w:rsidRPr="007A5698">
        <w:rPr>
          <w:rFonts w:ascii="Arial Narrow" w:hAnsi="Arial Narrow"/>
          <w:color w:val="auto"/>
          <w:sz w:val="20"/>
          <w:szCs w:val="20"/>
        </w:rPr>
        <w:lastRenderedPageBreak/>
        <w:t xml:space="preserve">Table </w:t>
      </w:r>
      <w:bookmarkEnd w:id="12"/>
      <w:r w:rsidR="00AD1852">
        <w:rPr>
          <w:rFonts w:ascii="Arial Narrow" w:hAnsi="Arial Narrow"/>
          <w:color w:val="auto"/>
          <w:sz w:val="20"/>
          <w:szCs w:val="20"/>
        </w:rPr>
        <w:t>11</w:t>
      </w:r>
      <w:r w:rsidRPr="007A5698">
        <w:rPr>
          <w:rFonts w:ascii="Arial Narrow" w:hAnsi="Arial Narrow"/>
          <w:color w:val="auto"/>
          <w:sz w:val="20"/>
          <w:szCs w:val="20"/>
        </w:rPr>
        <w:tab/>
      </w:r>
      <w:r w:rsidRPr="007A5698">
        <w:rPr>
          <w:rFonts w:ascii="Arial Narrow" w:hAnsi="Arial Narrow" w:cs="Arial"/>
          <w:snapToGrid w:val="0"/>
          <w:color w:val="auto"/>
          <w:sz w:val="20"/>
          <w:szCs w:val="20"/>
          <w:lang w:eastAsia="en-US"/>
        </w:rPr>
        <w:t>Key drivers of the economic model (model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ummary of the economic model 1 key drivers "/>
      </w:tblPr>
      <w:tblGrid>
        <w:gridCol w:w="2438"/>
        <w:gridCol w:w="4176"/>
        <w:gridCol w:w="2628"/>
      </w:tblGrid>
      <w:tr w:rsidR="00FA2FFC" w:rsidRPr="00F97F38" w14:paraId="603D2052" w14:textId="77777777" w:rsidTr="00ED11F0">
        <w:tc>
          <w:tcPr>
            <w:tcW w:w="1319" w:type="pct"/>
          </w:tcPr>
          <w:bookmarkEnd w:id="13"/>
          <w:p w14:paraId="3E236766" w14:textId="77777777" w:rsidR="00FA2FFC" w:rsidRPr="00F97F38" w:rsidRDefault="00FA2FFC" w:rsidP="003B1058">
            <w:pPr>
              <w:keepNext/>
              <w:rPr>
                <w:rFonts w:cs="Tahoma"/>
                <w:b/>
                <w:snapToGrid w:val="0"/>
                <w:sz w:val="20"/>
                <w:lang w:eastAsia="en-US"/>
              </w:rPr>
            </w:pPr>
            <w:r w:rsidRPr="00F97F38">
              <w:rPr>
                <w:rFonts w:cs="Tahoma"/>
                <w:b/>
                <w:snapToGrid w:val="0"/>
                <w:sz w:val="20"/>
                <w:lang w:eastAsia="en-US"/>
              </w:rPr>
              <w:t>Description</w:t>
            </w:r>
          </w:p>
        </w:tc>
        <w:tc>
          <w:tcPr>
            <w:tcW w:w="2259" w:type="pct"/>
          </w:tcPr>
          <w:p w14:paraId="6F427F0E" w14:textId="77777777" w:rsidR="00FA2FFC" w:rsidRPr="00F97F38" w:rsidRDefault="00FA2FFC" w:rsidP="003B1058">
            <w:pPr>
              <w:keepNext/>
              <w:rPr>
                <w:rFonts w:cs="Tahoma"/>
                <w:b/>
                <w:snapToGrid w:val="0"/>
                <w:sz w:val="20"/>
                <w:lang w:eastAsia="en-US"/>
              </w:rPr>
            </w:pPr>
            <w:r w:rsidRPr="00F97F38">
              <w:rPr>
                <w:rFonts w:cs="Tahoma"/>
                <w:b/>
                <w:snapToGrid w:val="0"/>
                <w:sz w:val="20"/>
                <w:lang w:eastAsia="en-US"/>
              </w:rPr>
              <w:t>Method/Value</w:t>
            </w:r>
          </w:p>
        </w:tc>
        <w:tc>
          <w:tcPr>
            <w:tcW w:w="1422" w:type="pct"/>
          </w:tcPr>
          <w:p w14:paraId="65113578" w14:textId="77777777" w:rsidR="00FA2FFC" w:rsidRPr="00F97F38" w:rsidRDefault="00FA2FFC" w:rsidP="003B1058">
            <w:pPr>
              <w:keepNext/>
              <w:rPr>
                <w:rFonts w:cs="Tahoma"/>
                <w:b/>
                <w:snapToGrid w:val="0"/>
                <w:sz w:val="20"/>
                <w:lang w:eastAsia="en-US"/>
              </w:rPr>
            </w:pPr>
            <w:r w:rsidRPr="00F97F38">
              <w:rPr>
                <w:rFonts w:cs="Tahoma"/>
                <w:b/>
                <w:snapToGrid w:val="0"/>
                <w:sz w:val="20"/>
                <w:lang w:eastAsia="en-US"/>
              </w:rPr>
              <w:t>Impact</w:t>
            </w:r>
          </w:p>
        </w:tc>
      </w:tr>
      <w:tr w:rsidR="00ED11F0" w:rsidRPr="00F97F38" w14:paraId="16D9FCD3" w14:textId="77777777" w:rsidTr="00ED11F0">
        <w:trPr>
          <w:hidden/>
        </w:trPr>
        <w:tc>
          <w:tcPr>
            <w:tcW w:w="1319" w:type="pct"/>
          </w:tcPr>
          <w:p w14:paraId="19F9BFB6" w14:textId="35A158C1" w:rsidR="00ED11F0" w:rsidRPr="00F97F38" w:rsidRDefault="00ED11F0" w:rsidP="003B1058">
            <w:pPr>
              <w:rPr>
                <w:rFonts w:cs="Tahoma"/>
                <w:snapToGrid w:val="0"/>
                <w:vanish/>
                <w:sz w:val="20"/>
                <w:lang w:eastAsia="en-US"/>
              </w:rPr>
            </w:pPr>
            <w:r w:rsidRPr="00F97F38">
              <w:rPr>
                <w:rFonts w:cs="Tahoma"/>
                <w:snapToGrid w:val="0"/>
                <w:vanish/>
                <w:sz w:val="20"/>
                <w:lang w:eastAsia="en-US"/>
              </w:rPr>
              <w:t>Test accuracy (sensitivity/specificity)</w:t>
            </w:r>
          </w:p>
        </w:tc>
        <w:tc>
          <w:tcPr>
            <w:tcW w:w="2259" w:type="pct"/>
          </w:tcPr>
          <w:p w14:paraId="11E86228" w14:textId="77777777" w:rsidR="00ED11F0" w:rsidRPr="00F97F38" w:rsidRDefault="00ED11F0" w:rsidP="00ED11F0">
            <w:pPr>
              <w:rPr>
                <w:rFonts w:cs="Tahoma"/>
                <w:snapToGrid w:val="0"/>
                <w:vanish/>
                <w:sz w:val="20"/>
                <w:lang w:eastAsia="en-US"/>
              </w:rPr>
            </w:pPr>
            <w:r w:rsidRPr="00F97F38">
              <w:rPr>
                <w:rFonts w:cs="Tahoma"/>
                <w:snapToGrid w:val="0"/>
                <w:vanish/>
                <w:sz w:val="20"/>
                <w:lang w:eastAsia="en-US"/>
              </w:rPr>
              <w:t>GA-MRI sensitivity = 0.93</w:t>
            </w:r>
          </w:p>
          <w:p w14:paraId="1B0A4E42" w14:textId="77777777" w:rsidR="00ED11F0" w:rsidRPr="00F97F38" w:rsidRDefault="00ED11F0" w:rsidP="00ED11F0">
            <w:pPr>
              <w:rPr>
                <w:rFonts w:cs="Tahoma"/>
                <w:snapToGrid w:val="0"/>
                <w:vanish/>
                <w:sz w:val="20"/>
                <w:lang w:eastAsia="en-US"/>
              </w:rPr>
            </w:pPr>
            <w:r w:rsidRPr="00F97F38">
              <w:rPr>
                <w:rFonts w:cs="Tahoma"/>
                <w:snapToGrid w:val="0"/>
                <w:vanish/>
                <w:sz w:val="20"/>
                <w:lang w:eastAsia="en-US"/>
              </w:rPr>
              <w:t>GA-MRI specificity = 0.96</w:t>
            </w:r>
          </w:p>
          <w:p w14:paraId="1D3C6CA1" w14:textId="7568F684" w:rsidR="00ED11F0" w:rsidRPr="00F97F38" w:rsidRDefault="00ED11F0" w:rsidP="00ED11F0">
            <w:pPr>
              <w:rPr>
                <w:rFonts w:cs="Tahoma"/>
                <w:snapToGrid w:val="0"/>
                <w:sz w:val="20"/>
                <w:lang w:eastAsia="en-US"/>
              </w:rPr>
            </w:pPr>
            <w:r w:rsidRPr="00F97F38">
              <w:rPr>
                <w:rFonts w:cs="Tahoma"/>
                <w:snapToGrid w:val="0"/>
                <w:vanish/>
                <w:sz w:val="20"/>
                <w:lang w:eastAsia="en-US"/>
              </w:rPr>
              <w:t>(Pooled analysis – Section B)</w:t>
            </w:r>
          </w:p>
        </w:tc>
        <w:tc>
          <w:tcPr>
            <w:tcW w:w="1422" w:type="pct"/>
          </w:tcPr>
          <w:p w14:paraId="32202937" w14:textId="2696A2D4" w:rsidR="00ED11F0" w:rsidRPr="00F97F38" w:rsidRDefault="00ED11F0" w:rsidP="003B1058">
            <w:pPr>
              <w:rPr>
                <w:rFonts w:cs="Tahoma"/>
                <w:snapToGrid w:val="0"/>
                <w:sz w:val="20"/>
                <w:lang w:eastAsia="en-US"/>
              </w:rPr>
            </w:pPr>
            <w:r w:rsidRPr="00F97F38">
              <w:rPr>
                <w:rFonts w:cs="Tahoma"/>
                <w:snapToGrid w:val="0"/>
                <w:vanish/>
                <w:sz w:val="20"/>
                <w:lang w:eastAsia="en-US"/>
              </w:rPr>
              <w:t>Moderate (but values are certain)</w:t>
            </w:r>
          </w:p>
        </w:tc>
      </w:tr>
      <w:tr w:rsidR="00ED11F0" w:rsidRPr="00F97F38" w14:paraId="30443425" w14:textId="77777777" w:rsidTr="00ED11F0">
        <w:trPr>
          <w:hidden/>
        </w:trPr>
        <w:tc>
          <w:tcPr>
            <w:tcW w:w="1319" w:type="pct"/>
          </w:tcPr>
          <w:p w14:paraId="43C4D5F6" w14:textId="01317738" w:rsidR="00ED11F0" w:rsidRPr="00F97F38" w:rsidRDefault="00ED11F0" w:rsidP="003B1058">
            <w:pPr>
              <w:rPr>
                <w:rFonts w:cs="Tahoma"/>
                <w:snapToGrid w:val="0"/>
                <w:vanish/>
                <w:sz w:val="20"/>
                <w:lang w:eastAsia="en-US"/>
              </w:rPr>
            </w:pPr>
            <w:r w:rsidRPr="00F97F38">
              <w:rPr>
                <w:rFonts w:cs="Tahoma"/>
                <w:snapToGrid w:val="0"/>
                <w:vanish/>
                <w:sz w:val="20"/>
                <w:lang w:eastAsia="en-US"/>
              </w:rPr>
              <w:t>Prevalence of operable liver metastases</w:t>
            </w:r>
          </w:p>
        </w:tc>
        <w:tc>
          <w:tcPr>
            <w:tcW w:w="2259" w:type="pct"/>
          </w:tcPr>
          <w:p w14:paraId="325AE947" w14:textId="77777777" w:rsidR="00ED11F0" w:rsidRPr="00F97F38" w:rsidRDefault="00ED11F0" w:rsidP="00ED11F0">
            <w:pPr>
              <w:rPr>
                <w:rFonts w:cs="Tahoma"/>
                <w:snapToGrid w:val="0"/>
                <w:vanish/>
                <w:sz w:val="20"/>
                <w:lang w:eastAsia="en-US"/>
              </w:rPr>
            </w:pPr>
            <w:r w:rsidRPr="00F97F38">
              <w:rPr>
                <w:rFonts w:cs="Tahoma"/>
                <w:snapToGrid w:val="0"/>
                <w:vanish/>
                <w:sz w:val="20"/>
                <w:lang w:eastAsia="en-US"/>
              </w:rPr>
              <w:t>Prevalence of liver metastases = 92%</w:t>
            </w:r>
          </w:p>
          <w:p w14:paraId="64B422A1" w14:textId="77777777" w:rsidR="00ED11F0" w:rsidRPr="00F97F38" w:rsidRDefault="00ED11F0" w:rsidP="00ED11F0">
            <w:pPr>
              <w:rPr>
                <w:rFonts w:cs="Tahoma"/>
                <w:snapToGrid w:val="0"/>
                <w:vanish/>
                <w:sz w:val="20"/>
                <w:lang w:eastAsia="en-US"/>
              </w:rPr>
            </w:pPr>
            <w:r w:rsidRPr="00F97F38">
              <w:rPr>
                <w:rFonts w:cs="Tahoma"/>
                <w:snapToGrid w:val="0"/>
                <w:vanish/>
                <w:sz w:val="20"/>
                <w:lang w:eastAsia="en-US"/>
              </w:rPr>
              <w:t>% of liver metastases which are operable = 84%</w:t>
            </w:r>
          </w:p>
          <w:p w14:paraId="715117C1" w14:textId="6DA17285" w:rsidR="00ED11F0" w:rsidRPr="00F97F38" w:rsidRDefault="00ED11F0" w:rsidP="00ED11F0">
            <w:pPr>
              <w:rPr>
                <w:rFonts w:cs="Tahoma"/>
                <w:snapToGrid w:val="0"/>
                <w:sz w:val="20"/>
                <w:lang w:eastAsia="en-US"/>
              </w:rPr>
            </w:pPr>
            <w:r w:rsidRPr="00F97F38">
              <w:rPr>
                <w:rFonts w:cs="Tahoma"/>
                <w:snapToGrid w:val="0"/>
                <w:vanish/>
                <w:sz w:val="20"/>
                <w:lang w:eastAsia="en-US"/>
              </w:rPr>
              <w:t>(Kim et al, 2015)</w:t>
            </w:r>
          </w:p>
        </w:tc>
        <w:tc>
          <w:tcPr>
            <w:tcW w:w="1422" w:type="pct"/>
          </w:tcPr>
          <w:p w14:paraId="4F093BB3" w14:textId="7D07DA0F" w:rsidR="00ED11F0" w:rsidRPr="00F97F38" w:rsidRDefault="00ED11F0" w:rsidP="003B1058">
            <w:pPr>
              <w:rPr>
                <w:rFonts w:cs="Tahoma"/>
                <w:snapToGrid w:val="0"/>
                <w:sz w:val="20"/>
                <w:lang w:eastAsia="en-US"/>
              </w:rPr>
            </w:pPr>
            <w:r w:rsidRPr="00F97F38">
              <w:rPr>
                <w:rFonts w:cs="Tahoma"/>
                <w:snapToGrid w:val="0"/>
                <w:vanish/>
                <w:sz w:val="20"/>
                <w:lang w:eastAsia="en-US"/>
              </w:rPr>
              <w:t>Moderate to high</w:t>
            </w:r>
          </w:p>
        </w:tc>
      </w:tr>
      <w:tr w:rsidR="00ED11F0" w:rsidRPr="00F97F38" w14:paraId="0A8B0C88" w14:textId="77777777" w:rsidTr="00ED11F0">
        <w:trPr>
          <w:hidden/>
        </w:trPr>
        <w:tc>
          <w:tcPr>
            <w:tcW w:w="1319" w:type="pct"/>
          </w:tcPr>
          <w:p w14:paraId="42C6DFD6" w14:textId="77777777" w:rsidR="00ED11F0" w:rsidRPr="00F97F38" w:rsidRDefault="00ED11F0" w:rsidP="003B1058">
            <w:pPr>
              <w:rPr>
                <w:rFonts w:cs="Tahoma"/>
                <w:snapToGrid w:val="0"/>
                <w:vanish/>
                <w:sz w:val="20"/>
                <w:lang w:eastAsia="en-US"/>
              </w:rPr>
            </w:pPr>
            <w:r w:rsidRPr="00F97F38">
              <w:rPr>
                <w:rFonts w:cs="Tahoma"/>
                <w:snapToGrid w:val="0"/>
                <w:vanish/>
                <w:sz w:val="20"/>
                <w:lang w:eastAsia="en-US"/>
              </w:rPr>
              <w:t>Disutility for delayed surgery</w:t>
            </w:r>
          </w:p>
        </w:tc>
        <w:tc>
          <w:tcPr>
            <w:tcW w:w="2259" w:type="pct"/>
          </w:tcPr>
          <w:p w14:paraId="6285F480" w14:textId="77777777" w:rsidR="00ED11F0" w:rsidRPr="00F97F38" w:rsidRDefault="00ED11F0" w:rsidP="003B1058">
            <w:pPr>
              <w:rPr>
                <w:rFonts w:cs="Tahoma"/>
                <w:snapToGrid w:val="0"/>
                <w:sz w:val="20"/>
                <w:lang w:eastAsia="en-US"/>
              </w:rPr>
            </w:pPr>
            <w:r w:rsidRPr="00F97F38">
              <w:rPr>
                <w:rFonts w:cs="Tahoma"/>
                <w:snapToGrid w:val="0"/>
                <w:sz w:val="20"/>
                <w:lang w:eastAsia="en-US"/>
              </w:rPr>
              <w:t>0.3</w:t>
            </w:r>
          </w:p>
          <w:p w14:paraId="4801B195" w14:textId="77777777" w:rsidR="00ED11F0" w:rsidRPr="00F97F38" w:rsidRDefault="00ED11F0" w:rsidP="003B1058">
            <w:pPr>
              <w:rPr>
                <w:rFonts w:cs="Tahoma"/>
                <w:snapToGrid w:val="0"/>
                <w:sz w:val="20"/>
                <w:lang w:eastAsia="en-US"/>
              </w:rPr>
            </w:pPr>
            <w:r w:rsidRPr="00F97F38">
              <w:rPr>
                <w:rFonts w:cs="Tahoma"/>
                <w:snapToGrid w:val="0"/>
                <w:sz w:val="20"/>
                <w:lang w:eastAsia="en-US"/>
              </w:rPr>
              <w:t>(</w:t>
            </w:r>
            <w:proofErr w:type="spellStart"/>
            <w:r w:rsidRPr="00F97F38">
              <w:rPr>
                <w:rFonts w:cs="Tahoma"/>
                <w:snapToGrid w:val="0"/>
                <w:sz w:val="20"/>
                <w:lang w:eastAsia="en-US"/>
              </w:rPr>
              <w:t>Wierring</w:t>
            </w:r>
            <w:proofErr w:type="spellEnd"/>
            <w:r w:rsidRPr="00F97F38">
              <w:rPr>
                <w:rFonts w:cs="Tahoma"/>
                <w:snapToGrid w:val="0"/>
                <w:sz w:val="20"/>
                <w:lang w:eastAsia="en-US"/>
              </w:rPr>
              <w:t>, 2011)</w:t>
            </w:r>
          </w:p>
        </w:tc>
        <w:tc>
          <w:tcPr>
            <w:tcW w:w="1422" w:type="pct"/>
          </w:tcPr>
          <w:p w14:paraId="04068E3A" w14:textId="77777777" w:rsidR="00ED11F0" w:rsidRPr="00F97F38" w:rsidRDefault="00ED11F0" w:rsidP="003B1058">
            <w:pPr>
              <w:rPr>
                <w:rFonts w:cs="Tahoma"/>
                <w:snapToGrid w:val="0"/>
                <w:sz w:val="20"/>
                <w:lang w:eastAsia="en-US"/>
              </w:rPr>
            </w:pPr>
            <w:r w:rsidRPr="00F97F38">
              <w:rPr>
                <w:rFonts w:cs="Tahoma"/>
                <w:snapToGrid w:val="0"/>
                <w:sz w:val="20"/>
                <w:lang w:eastAsia="en-US"/>
              </w:rPr>
              <w:t>Moderate</w:t>
            </w:r>
          </w:p>
        </w:tc>
      </w:tr>
      <w:tr w:rsidR="00ED11F0" w:rsidRPr="00F97F38" w14:paraId="3D2764FD" w14:textId="77777777" w:rsidTr="00ED11F0">
        <w:tc>
          <w:tcPr>
            <w:tcW w:w="1319" w:type="pct"/>
          </w:tcPr>
          <w:p w14:paraId="136C7F7F" w14:textId="77777777" w:rsidR="00ED11F0" w:rsidRPr="00F97F38" w:rsidRDefault="00ED11F0" w:rsidP="003B1058">
            <w:pPr>
              <w:rPr>
                <w:rFonts w:cs="Tahoma"/>
                <w:snapToGrid w:val="0"/>
                <w:sz w:val="20"/>
                <w:lang w:eastAsia="en-US"/>
              </w:rPr>
            </w:pPr>
            <w:r w:rsidRPr="00F97F38">
              <w:rPr>
                <w:rFonts w:cs="Tahoma"/>
                <w:snapToGrid w:val="0"/>
                <w:sz w:val="20"/>
                <w:lang w:eastAsia="en-US"/>
              </w:rPr>
              <w:t>5-year survival for operable/inoperable liver metastases</w:t>
            </w:r>
          </w:p>
        </w:tc>
        <w:tc>
          <w:tcPr>
            <w:tcW w:w="2259" w:type="pct"/>
          </w:tcPr>
          <w:p w14:paraId="4463E68E" w14:textId="77777777" w:rsidR="00ED11F0" w:rsidRPr="00F97F38" w:rsidRDefault="00ED11F0" w:rsidP="003B1058">
            <w:pPr>
              <w:rPr>
                <w:rFonts w:cs="Tahoma"/>
                <w:snapToGrid w:val="0"/>
                <w:sz w:val="20"/>
                <w:lang w:eastAsia="en-US"/>
              </w:rPr>
            </w:pPr>
            <w:r w:rsidRPr="00F97F38">
              <w:rPr>
                <w:rFonts w:cs="Tahoma"/>
                <w:snapToGrid w:val="0"/>
                <w:sz w:val="20"/>
                <w:lang w:eastAsia="en-US"/>
              </w:rPr>
              <w:t>Operable liver metastases = 0.24</w:t>
            </w:r>
          </w:p>
          <w:p w14:paraId="4790B100" w14:textId="77777777" w:rsidR="00ED11F0" w:rsidRPr="00F97F38" w:rsidRDefault="00ED11F0" w:rsidP="003B1058">
            <w:pPr>
              <w:rPr>
                <w:rFonts w:cs="Tahoma"/>
                <w:snapToGrid w:val="0"/>
                <w:sz w:val="20"/>
                <w:lang w:eastAsia="en-US"/>
              </w:rPr>
            </w:pPr>
            <w:r w:rsidRPr="00F97F38">
              <w:rPr>
                <w:rFonts w:cs="Tahoma"/>
                <w:snapToGrid w:val="0"/>
                <w:sz w:val="20"/>
                <w:lang w:eastAsia="en-US"/>
              </w:rPr>
              <w:t>Inoperable liver metastases = 0.06</w:t>
            </w:r>
          </w:p>
          <w:p w14:paraId="14E3178E" w14:textId="77777777" w:rsidR="00ED11F0" w:rsidRPr="00F97F38" w:rsidRDefault="00ED11F0" w:rsidP="003B1058">
            <w:pPr>
              <w:rPr>
                <w:rFonts w:cs="Tahoma"/>
                <w:snapToGrid w:val="0"/>
                <w:sz w:val="20"/>
                <w:lang w:eastAsia="en-US"/>
              </w:rPr>
            </w:pPr>
            <w:r w:rsidRPr="00F97F38">
              <w:rPr>
                <w:rFonts w:cs="Tahoma"/>
                <w:snapToGrid w:val="0"/>
                <w:sz w:val="20"/>
                <w:lang w:eastAsia="en-US"/>
              </w:rPr>
              <w:t>(AJCC – Edge et al, 2009)</w:t>
            </w:r>
          </w:p>
        </w:tc>
        <w:tc>
          <w:tcPr>
            <w:tcW w:w="1422" w:type="pct"/>
          </w:tcPr>
          <w:p w14:paraId="670B7228" w14:textId="77777777" w:rsidR="00ED11F0" w:rsidRPr="00F97F38" w:rsidRDefault="00ED11F0" w:rsidP="003B1058">
            <w:pPr>
              <w:rPr>
                <w:rFonts w:cs="Tahoma"/>
                <w:snapToGrid w:val="0"/>
                <w:sz w:val="20"/>
                <w:lang w:eastAsia="en-US"/>
              </w:rPr>
            </w:pPr>
            <w:r w:rsidRPr="00F97F38">
              <w:rPr>
                <w:rFonts w:cs="Tahoma"/>
                <w:snapToGrid w:val="0"/>
                <w:sz w:val="20"/>
                <w:lang w:eastAsia="en-US"/>
              </w:rPr>
              <w:t>Moderate</w:t>
            </w:r>
          </w:p>
        </w:tc>
      </w:tr>
      <w:tr w:rsidR="00ED11F0" w:rsidRPr="00F97F38" w14:paraId="3390E9BB" w14:textId="77777777" w:rsidTr="00ED11F0">
        <w:tc>
          <w:tcPr>
            <w:tcW w:w="1319" w:type="pct"/>
          </w:tcPr>
          <w:p w14:paraId="2B5A0C70" w14:textId="77777777" w:rsidR="00ED11F0" w:rsidRPr="00F97F38" w:rsidRDefault="00ED11F0" w:rsidP="003B1058">
            <w:pPr>
              <w:rPr>
                <w:rFonts w:cs="Tahoma"/>
                <w:snapToGrid w:val="0"/>
                <w:sz w:val="20"/>
                <w:lang w:eastAsia="en-US"/>
              </w:rPr>
            </w:pPr>
            <w:r w:rsidRPr="00F97F38">
              <w:rPr>
                <w:rFonts w:cs="Tahoma"/>
                <w:snapToGrid w:val="0"/>
                <w:sz w:val="20"/>
                <w:lang w:eastAsia="en-US"/>
              </w:rPr>
              <w:t>Confirmatory biopsy rates</w:t>
            </w:r>
          </w:p>
        </w:tc>
        <w:tc>
          <w:tcPr>
            <w:tcW w:w="2259" w:type="pct"/>
          </w:tcPr>
          <w:p w14:paraId="389BE5F3" w14:textId="77777777" w:rsidR="00ED11F0" w:rsidRPr="00F97F38" w:rsidRDefault="00ED11F0" w:rsidP="003B1058">
            <w:pPr>
              <w:rPr>
                <w:rFonts w:cs="Tahoma"/>
                <w:snapToGrid w:val="0"/>
                <w:sz w:val="20"/>
                <w:lang w:eastAsia="en-US"/>
              </w:rPr>
            </w:pPr>
            <w:r w:rsidRPr="00F97F38">
              <w:rPr>
                <w:rFonts w:cs="Tahoma"/>
                <w:snapToGrid w:val="0"/>
                <w:sz w:val="20"/>
                <w:lang w:eastAsia="en-US"/>
              </w:rPr>
              <w:t>75%</w:t>
            </w:r>
          </w:p>
          <w:p w14:paraId="4FD17D22" w14:textId="77777777" w:rsidR="00ED11F0" w:rsidRPr="00F97F38" w:rsidRDefault="00ED11F0" w:rsidP="003B1058">
            <w:pPr>
              <w:rPr>
                <w:rFonts w:cs="Tahoma"/>
                <w:snapToGrid w:val="0"/>
                <w:sz w:val="20"/>
                <w:lang w:eastAsia="en-US"/>
              </w:rPr>
            </w:pPr>
            <w:r w:rsidRPr="00F97F38">
              <w:rPr>
                <w:rFonts w:cs="Tahoma"/>
                <w:snapToGrid w:val="0"/>
                <w:sz w:val="20"/>
                <w:lang w:eastAsia="en-US"/>
              </w:rPr>
              <w:t>(Kim, 2015)</w:t>
            </w:r>
          </w:p>
        </w:tc>
        <w:tc>
          <w:tcPr>
            <w:tcW w:w="1422" w:type="pct"/>
          </w:tcPr>
          <w:p w14:paraId="32BA63BC" w14:textId="77777777" w:rsidR="00ED11F0" w:rsidRPr="00F97F38" w:rsidRDefault="00ED11F0" w:rsidP="003B1058">
            <w:pPr>
              <w:rPr>
                <w:rFonts w:cs="Tahoma"/>
                <w:snapToGrid w:val="0"/>
                <w:sz w:val="20"/>
                <w:lang w:eastAsia="en-US"/>
              </w:rPr>
            </w:pPr>
            <w:r w:rsidRPr="00F97F38">
              <w:rPr>
                <w:rFonts w:cs="Tahoma"/>
                <w:snapToGrid w:val="0"/>
                <w:sz w:val="20"/>
                <w:lang w:eastAsia="en-US"/>
              </w:rPr>
              <w:t>Moderate to high</w:t>
            </w:r>
          </w:p>
        </w:tc>
      </w:tr>
    </w:tbl>
    <w:p w14:paraId="59637AE1" w14:textId="78AF7B97" w:rsidR="00FA2FFC" w:rsidRPr="00F97F38" w:rsidRDefault="00FA2FFC" w:rsidP="00FC77BC">
      <w:pPr>
        <w:pStyle w:val="Caption"/>
        <w:keepNext/>
        <w:spacing w:before="240" w:after="0"/>
        <w:rPr>
          <w:snapToGrid w:val="0"/>
          <w:lang w:eastAsia="en-US"/>
        </w:rPr>
      </w:pPr>
      <w:bookmarkStart w:id="14" w:name="_Ref508178886"/>
      <w:bookmarkStart w:id="15" w:name="_Toc494983765"/>
      <w:r w:rsidRPr="007A5698">
        <w:rPr>
          <w:rFonts w:ascii="Arial Narrow" w:hAnsi="Arial Narrow"/>
          <w:color w:val="auto"/>
          <w:sz w:val="20"/>
          <w:szCs w:val="20"/>
        </w:rPr>
        <w:t xml:space="preserve">Table </w:t>
      </w:r>
      <w:bookmarkEnd w:id="14"/>
      <w:r w:rsidR="00AD1852">
        <w:rPr>
          <w:rFonts w:ascii="Arial Narrow" w:hAnsi="Arial Narrow"/>
          <w:color w:val="auto"/>
          <w:sz w:val="20"/>
          <w:szCs w:val="20"/>
        </w:rPr>
        <w:t>12</w:t>
      </w:r>
      <w:r w:rsidRPr="007A5698">
        <w:rPr>
          <w:rFonts w:ascii="Arial Narrow" w:hAnsi="Arial Narrow"/>
          <w:color w:val="auto"/>
          <w:sz w:val="20"/>
          <w:szCs w:val="20"/>
        </w:rPr>
        <w:tab/>
      </w:r>
      <w:r w:rsidRPr="007A5698">
        <w:rPr>
          <w:rFonts w:ascii="Arial Narrow" w:hAnsi="Arial Narrow" w:cs="Arial"/>
          <w:bCs w:val="0"/>
          <w:snapToGrid w:val="0"/>
          <w:color w:val="auto"/>
          <w:sz w:val="20"/>
          <w:szCs w:val="20"/>
          <w:lang w:eastAsia="en-US"/>
        </w:rPr>
        <w:t>Key drivers of the economic model (model 2)</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ummary of the economic model 2 key drivers"/>
      </w:tblPr>
      <w:tblGrid>
        <w:gridCol w:w="2438"/>
        <w:gridCol w:w="4176"/>
        <w:gridCol w:w="2628"/>
      </w:tblGrid>
      <w:tr w:rsidR="00FA2FFC" w:rsidRPr="00F97F38" w14:paraId="45D051A4" w14:textId="77777777" w:rsidTr="00ED11F0">
        <w:tc>
          <w:tcPr>
            <w:tcW w:w="1319" w:type="pct"/>
          </w:tcPr>
          <w:p w14:paraId="586E02AC" w14:textId="77777777" w:rsidR="00FA2FFC" w:rsidRPr="00F97F38" w:rsidRDefault="00FA2FFC" w:rsidP="003B1058">
            <w:pPr>
              <w:keepNext/>
              <w:rPr>
                <w:rFonts w:cs="Tahoma"/>
                <w:b/>
                <w:snapToGrid w:val="0"/>
                <w:sz w:val="20"/>
                <w:lang w:eastAsia="en-US"/>
              </w:rPr>
            </w:pPr>
            <w:r w:rsidRPr="00F97F38">
              <w:rPr>
                <w:rFonts w:cs="Tahoma"/>
                <w:b/>
                <w:snapToGrid w:val="0"/>
                <w:sz w:val="20"/>
                <w:lang w:eastAsia="en-US"/>
              </w:rPr>
              <w:t>Description</w:t>
            </w:r>
          </w:p>
        </w:tc>
        <w:tc>
          <w:tcPr>
            <w:tcW w:w="2259" w:type="pct"/>
          </w:tcPr>
          <w:p w14:paraId="0F6960C5" w14:textId="77777777" w:rsidR="00FA2FFC" w:rsidRPr="00F97F38" w:rsidRDefault="00FA2FFC" w:rsidP="003B1058">
            <w:pPr>
              <w:keepNext/>
              <w:rPr>
                <w:rFonts w:cs="Tahoma"/>
                <w:b/>
                <w:snapToGrid w:val="0"/>
                <w:sz w:val="20"/>
                <w:lang w:eastAsia="en-US"/>
              </w:rPr>
            </w:pPr>
            <w:r w:rsidRPr="00F97F38">
              <w:rPr>
                <w:rFonts w:cs="Tahoma"/>
                <w:b/>
                <w:snapToGrid w:val="0"/>
                <w:sz w:val="20"/>
                <w:lang w:eastAsia="en-US"/>
              </w:rPr>
              <w:t>Method/Value</w:t>
            </w:r>
          </w:p>
        </w:tc>
        <w:tc>
          <w:tcPr>
            <w:tcW w:w="1422" w:type="pct"/>
          </w:tcPr>
          <w:p w14:paraId="58B228B3" w14:textId="77777777" w:rsidR="00FA2FFC" w:rsidRPr="00F97F38" w:rsidRDefault="00FA2FFC" w:rsidP="003B1058">
            <w:pPr>
              <w:keepNext/>
              <w:rPr>
                <w:rFonts w:cs="Tahoma"/>
                <w:b/>
                <w:snapToGrid w:val="0"/>
                <w:sz w:val="20"/>
                <w:lang w:eastAsia="en-US"/>
              </w:rPr>
            </w:pPr>
            <w:r w:rsidRPr="00F97F38">
              <w:rPr>
                <w:rFonts w:cs="Tahoma"/>
                <w:b/>
                <w:snapToGrid w:val="0"/>
                <w:sz w:val="20"/>
                <w:lang w:eastAsia="en-US"/>
              </w:rPr>
              <w:t>Impact</w:t>
            </w:r>
          </w:p>
        </w:tc>
      </w:tr>
      <w:tr w:rsidR="00FA2FFC" w:rsidRPr="00F97F38" w14:paraId="2692CD3D" w14:textId="77777777" w:rsidTr="00ED11F0">
        <w:trPr>
          <w:hidden/>
        </w:trPr>
        <w:tc>
          <w:tcPr>
            <w:tcW w:w="1319" w:type="pct"/>
          </w:tcPr>
          <w:p w14:paraId="63D8C8A8" w14:textId="77777777" w:rsidR="00FA2FFC" w:rsidRPr="00F97F38" w:rsidRDefault="00FA2FFC" w:rsidP="003B1058">
            <w:pPr>
              <w:rPr>
                <w:rFonts w:cs="Tahoma"/>
                <w:snapToGrid w:val="0"/>
                <w:vanish/>
                <w:sz w:val="20"/>
                <w:lang w:eastAsia="en-US"/>
              </w:rPr>
            </w:pPr>
            <w:r w:rsidRPr="00F97F38">
              <w:rPr>
                <w:rFonts w:cs="Tahoma"/>
                <w:snapToGrid w:val="0"/>
                <w:vanish/>
                <w:sz w:val="20"/>
                <w:lang w:eastAsia="en-US"/>
              </w:rPr>
              <w:t>Test accuracy (sensitivity/specificity)</w:t>
            </w:r>
          </w:p>
        </w:tc>
        <w:tc>
          <w:tcPr>
            <w:tcW w:w="2259" w:type="pct"/>
          </w:tcPr>
          <w:p w14:paraId="0E96CB32" w14:textId="77777777" w:rsidR="00FA2FFC" w:rsidRPr="00F97F38" w:rsidRDefault="00FA2FFC" w:rsidP="003B1058">
            <w:pPr>
              <w:rPr>
                <w:rFonts w:cs="Tahoma"/>
                <w:snapToGrid w:val="0"/>
                <w:vanish/>
                <w:sz w:val="20"/>
                <w:lang w:eastAsia="en-US"/>
              </w:rPr>
            </w:pPr>
            <w:r w:rsidRPr="00F97F38">
              <w:rPr>
                <w:rFonts w:cs="Tahoma"/>
                <w:snapToGrid w:val="0"/>
                <w:vanish/>
                <w:sz w:val="20"/>
                <w:lang w:eastAsia="en-US"/>
              </w:rPr>
              <w:t>GA-MRI sensitivity = 0.84</w:t>
            </w:r>
          </w:p>
          <w:p w14:paraId="49FE01CC" w14:textId="77777777" w:rsidR="00FA2FFC" w:rsidRPr="00F97F38" w:rsidRDefault="00FA2FFC" w:rsidP="003B1058">
            <w:pPr>
              <w:rPr>
                <w:rFonts w:cs="Tahoma"/>
                <w:snapToGrid w:val="0"/>
                <w:vanish/>
                <w:sz w:val="20"/>
                <w:lang w:eastAsia="en-US"/>
              </w:rPr>
            </w:pPr>
            <w:r w:rsidRPr="00F97F38">
              <w:rPr>
                <w:rFonts w:cs="Tahoma"/>
                <w:snapToGrid w:val="0"/>
                <w:vanish/>
                <w:sz w:val="20"/>
                <w:lang w:eastAsia="en-US"/>
              </w:rPr>
              <w:t>GA-MRI specificity = 0.91</w:t>
            </w:r>
          </w:p>
          <w:p w14:paraId="3097D7A3" w14:textId="77777777" w:rsidR="00FA2FFC" w:rsidRPr="00F97F38" w:rsidRDefault="00FA2FFC" w:rsidP="003B1058">
            <w:pPr>
              <w:rPr>
                <w:rFonts w:cs="Tahoma"/>
                <w:snapToGrid w:val="0"/>
                <w:vanish/>
                <w:sz w:val="20"/>
                <w:lang w:eastAsia="en-US"/>
              </w:rPr>
            </w:pPr>
            <w:r w:rsidRPr="00F97F38">
              <w:rPr>
                <w:rFonts w:cs="Tahoma"/>
                <w:snapToGrid w:val="0"/>
                <w:vanish/>
                <w:sz w:val="20"/>
                <w:lang w:eastAsia="en-US"/>
              </w:rPr>
              <w:t>(Pooled analysis – Section B)</w:t>
            </w:r>
          </w:p>
        </w:tc>
        <w:tc>
          <w:tcPr>
            <w:tcW w:w="1422" w:type="pct"/>
          </w:tcPr>
          <w:p w14:paraId="4C384A9A" w14:textId="77777777" w:rsidR="00FA2FFC" w:rsidRPr="00F97F38" w:rsidRDefault="00FA2FFC" w:rsidP="003B1058">
            <w:pPr>
              <w:rPr>
                <w:rFonts w:cs="Tahoma"/>
                <w:snapToGrid w:val="0"/>
                <w:vanish/>
                <w:sz w:val="20"/>
                <w:lang w:eastAsia="en-US"/>
              </w:rPr>
            </w:pPr>
            <w:r w:rsidRPr="00F97F38">
              <w:rPr>
                <w:rFonts w:cs="Tahoma"/>
                <w:snapToGrid w:val="0"/>
                <w:vanish/>
                <w:sz w:val="20"/>
                <w:lang w:eastAsia="en-US"/>
              </w:rPr>
              <w:t>Moderate (but values are certain)</w:t>
            </w:r>
          </w:p>
        </w:tc>
      </w:tr>
      <w:tr w:rsidR="00FA2FFC" w:rsidRPr="00F97F38" w14:paraId="09E70B45" w14:textId="77777777" w:rsidTr="00ED11F0">
        <w:trPr>
          <w:hidden/>
        </w:trPr>
        <w:tc>
          <w:tcPr>
            <w:tcW w:w="1319" w:type="pct"/>
          </w:tcPr>
          <w:p w14:paraId="68D86816" w14:textId="77777777" w:rsidR="00FA2FFC" w:rsidRPr="00F97F38" w:rsidRDefault="00FA2FFC" w:rsidP="003B1058">
            <w:pPr>
              <w:rPr>
                <w:rFonts w:cs="Tahoma"/>
                <w:snapToGrid w:val="0"/>
                <w:vanish/>
                <w:sz w:val="20"/>
                <w:lang w:eastAsia="en-US"/>
              </w:rPr>
            </w:pPr>
            <w:r w:rsidRPr="00F97F38">
              <w:rPr>
                <w:rFonts w:cs="Tahoma"/>
                <w:snapToGrid w:val="0"/>
                <w:vanish/>
                <w:sz w:val="20"/>
                <w:lang w:eastAsia="en-US"/>
              </w:rPr>
              <w:t>Decision impact</w:t>
            </w:r>
          </w:p>
        </w:tc>
        <w:tc>
          <w:tcPr>
            <w:tcW w:w="2259" w:type="pct"/>
          </w:tcPr>
          <w:p w14:paraId="511E0668" w14:textId="77777777" w:rsidR="00FA2FFC" w:rsidRPr="00F97F38" w:rsidRDefault="00FA2FFC" w:rsidP="003B1058">
            <w:pPr>
              <w:rPr>
                <w:rFonts w:cs="Tahoma"/>
                <w:snapToGrid w:val="0"/>
                <w:vanish/>
                <w:sz w:val="20"/>
                <w:lang w:eastAsia="en-US"/>
              </w:rPr>
            </w:pPr>
            <w:r w:rsidRPr="00F97F38">
              <w:rPr>
                <w:rFonts w:cs="Tahoma"/>
                <w:snapToGrid w:val="0"/>
                <w:vanish/>
                <w:sz w:val="20"/>
                <w:lang w:eastAsia="en-US"/>
              </w:rPr>
              <w:t>Change in treatment = 18.9%</w:t>
            </w:r>
          </w:p>
          <w:p w14:paraId="07E8ABA3" w14:textId="77777777" w:rsidR="00FA2FFC" w:rsidRPr="00F97F38" w:rsidRDefault="00FA2FFC" w:rsidP="003B1058">
            <w:pPr>
              <w:rPr>
                <w:rFonts w:cs="Tahoma"/>
                <w:snapToGrid w:val="0"/>
                <w:vanish/>
                <w:sz w:val="20"/>
                <w:lang w:eastAsia="en-US"/>
              </w:rPr>
            </w:pPr>
            <w:r w:rsidRPr="00F97F38">
              <w:rPr>
                <w:rFonts w:cs="Tahoma"/>
                <w:snapToGrid w:val="0"/>
                <w:vanish/>
                <w:sz w:val="20"/>
                <w:lang w:eastAsia="en-US"/>
              </w:rPr>
              <w:t>(Wang, 2016)</w:t>
            </w:r>
          </w:p>
        </w:tc>
        <w:tc>
          <w:tcPr>
            <w:tcW w:w="1422" w:type="pct"/>
          </w:tcPr>
          <w:p w14:paraId="040D3641" w14:textId="77777777" w:rsidR="00FA2FFC" w:rsidRPr="00F97F38" w:rsidRDefault="00FA2FFC" w:rsidP="003B1058">
            <w:pPr>
              <w:rPr>
                <w:rFonts w:cs="Tahoma"/>
                <w:snapToGrid w:val="0"/>
                <w:vanish/>
                <w:sz w:val="20"/>
                <w:lang w:eastAsia="en-US"/>
              </w:rPr>
            </w:pPr>
            <w:r w:rsidRPr="00F97F38">
              <w:rPr>
                <w:rFonts w:cs="Tahoma"/>
                <w:snapToGrid w:val="0"/>
                <w:vanish/>
                <w:sz w:val="20"/>
                <w:lang w:eastAsia="en-US"/>
              </w:rPr>
              <w:t>Moderate to high</w:t>
            </w:r>
          </w:p>
        </w:tc>
      </w:tr>
      <w:tr w:rsidR="00FA2FFC" w:rsidRPr="00F97F38" w14:paraId="402C30B9" w14:textId="77777777" w:rsidTr="00ED11F0">
        <w:trPr>
          <w:hidden/>
        </w:trPr>
        <w:tc>
          <w:tcPr>
            <w:tcW w:w="1319" w:type="pct"/>
          </w:tcPr>
          <w:p w14:paraId="7FA81D9F" w14:textId="77777777" w:rsidR="00FA2FFC" w:rsidRPr="00F97F38" w:rsidRDefault="00FA2FFC" w:rsidP="003B1058">
            <w:pPr>
              <w:rPr>
                <w:rFonts w:cs="Tahoma"/>
                <w:snapToGrid w:val="0"/>
                <w:vanish/>
                <w:sz w:val="20"/>
                <w:lang w:eastAsia="en-US"/>
              </w:rPr>
            </w:pPr>
            <w:r w:rsidRPr="00F97F38">
              <w:rPr>
                <w:rFonts w:cs="Tahoma"/>
                <w:snapToGrid w:val="0"/>
                <w:vanish/>
                <w:sz w:val="20"/>
                <w:lang w:eastAsia="en-US"/>
              </w:rPr>
              <w:t>Prevalence of HCC</w:t>
            </w:r>
          </w:p>
        </w:tc>
        <w:tc>
          <w:tcPr>
            <w:tcW w:w="2259" w:type="pct"/>
          </w:tcPr>
          <w:p w14:paraId="6F854882" w14:textId="77777777" w:rsidR="00FA2FFC" w:rsidRPr="00F97F38" w:rsidRDefault="00FA2FFC" w:rsidP="003B1058">
            <w:pPr>
              <w:rPr>
                <w:rFonts w:cs="Tahoma"/>
                <w:snapToGrid w:val="0"/>
                <w:vanish/>
                <w:sz w:val="20"/>
                <w:lang w:eastAsia="en-US"/>
              </w:rPr>
            </w:pPr>
            <w:r w:rsidRPr="00F97F38">
              <w:rPr>
                <w:rFonts w:cs="Tahoma"/>
                <w:snapToGrid w:val="0"/>
                <w:vanish/>
                <w:sz w:val="20"/>
                <w:lang w:eastAsia="en-US"/>
              </w:rPr>
              <w:t>52%</w:t>
            </w:r>
          </w:p>
          <w:p w14:paraId="673B84DB" w14:textId="77777777" w:rsidR="00FA2FFC" w:rsidRPr="00F97F38" w:rsidRDefault="00FA2FFC" w:rsidP="003B1058">
            <w:pPr>
              <w:rPr>
                <w:rFonts w:cs="Tahoma"/>
                <w:snapToGrid w:val="0"/>
                <w:vanish/>
                <w:sz w:val="20"/>
                <w:lang w:eastAsia="en-US"/>
              </w:rPr>
            </w:pPr>
            <w:r w:rsidRPr="00F97F38">
              <w:rPr>
                <w:rFonts w:cs="Tahoma"/>
                <w:snapToGrid w:val="0"/>
                <w:vanish/>
                <w:sz w:val="20"/>
                <w:lang w:eastAsia="en-US"/>
              </w:rPr>
              <w:t>(Imbriaco, 2017)</w:t>
            </w:r>
          </w:p>
        </w:tc>
        <w:tc>
          <w:tcPr>
            <w:tcW w:w="1422" w:type="pct"/>
          </w:tcPr>
          <w:p w14:paraId="7164B978" w14:textId="77777777" w:rsidR="00FA2FFC" w:rsidRPr="00F97F38" w:rsidRDefault="00FA2FFC" w:rsidP="003B1058">
            <w:pPr>
              <w:rPr>
                <w:rFonts w:cs="Tahoma"/>
                <w:snapToGrid w:val="0"/>
                <w:vanish/>
                <w:sz w:val="20"/>
                <w:lang w:eastAsia="en-US"/>
              </w:rPr>
            </w:pPr>
            <w:r w:rsidRPr="00F97F38">
              <w:rPr>
                <w:rFonts w:cs="Tahoma"/>
                <w:snapToGrid w:val="0"/>
                <w:vanish/>
                <w:sz w:val="20"/>
                <w:lang w:eastAsia="en-US"/>
              </w:rPr>
              <w:t>Moderate to high</w:t>
            </w:r>
          </w:p>
        </w:tc>
      </w:tr>
      <w:tr w:rsidR="00FA2FFC" w:rsidRPr="00F97F38" w14:paraId="522B317A" w14:textId="77777777" w:rsidTr="00ED11F0">
        <w:trPr>
          <w:hidden/>
        </w:trPr>
        <w:tc>
          <w:tcPr>
            <w:tcW w:w="1319" w:type="pct"/>
          </w:tcPr>
          <w:p w14:paraId="7A55F40F" w14:textId="77777777" w:rsidR="00FA2FFC" w:rsidRPr="00F97F38" w:rsidRDefault="00FA2FFC" w:rsidP="003B1058">
            <w:pPr>
              <w:rPr>
                <w:rFonts w:cs="Tahoma"/>
                <w:snapToGrid w:val="0"/>
                <w:vanish/>
                <w:sz w:val="20"/>
                <w:lang w:eastAsia="en-US"/>
              </w:rPr>
            </w:pPr>
            <w:r w:rsidRPr="00F97F38">
              <w:rPr>
                <w:rFonts w:cs="Tahoma"/>
                <w:snapToGrid w:val="0"/>
                <w:vanish/>
                <w:sz w:val="20"/>
                <w:lang w:eastAsia="en-US"/>
              </w:rPr>
              <w:t>Treated utility values for Treated/untreated HCC</w:t>
            </w:r>
          </w:p>
        </w:tc>
        <w:tc>
          <w:tcPr>
            <w:tcW w:w="2259" w:type="pct"/>
          </w:tcPr>
          <w:p w14:paraId="4E80CEE5" w14:textId="77777777" w:rsidR="00FA2FFC" w:rsidRPr="00F97F38" w:rsidRDefault="00FA2FFC" w:rsidP="003B1058">
            <w:pPr>
              <w:rPr>
                <w:rFonts w:cs="Tahoma"/>
                <w:snapToGrid w:val="0"/>
                <w:sz w:val="20"/>
                <w:lang w:eastAsia="en-US"/>
              </w:rPr>
            </w:pPr>
            <w:r w:rsidRPr="00F97F38">
              <w:rPr>
                <w:rFonts w:cs="Tahoma"/>
                <w:snapToGrid w:val="0"/>
                <w:sz w:val="20"/>
                <w:lang w:eastAsia="en-US"/>
              </w:rPr>
              <w:t>Treated HCC = 0.75</w:t>
            </w:r>
          </w:p>
          <w:p w14:paraId="3E8E1350" w14:textId="77777777" w:rsidR="00FA2FFC" w:rsidRPr="00F97F38" w:rsidRDefault="00FA2FFC" w:rsidP="003B1058">
            <w:pPr>
              <w:rPr>
                <w:rFonts w:cs="Tahoma"/>
                <w:snapToGrid w:val="0"/>
                <w:sz w:val="20"/>
                <w:lang w:eastAsia="en-US"/>
              </w:rPr>
            </w:pPr>
            <w:r w:rsidRPr="00F97F38">
              <w:rPr>
                <w:rFonts w:cs="Tahoma"/>
                <w:snapToGrid w:val="0"/>
                <w:sz w:val="20"/>
                <w:lang w:eastAsia="en-US"/>
              </w:rPr>
              <w:t>Untreated HCC = 0.64</w:t>
            </w:r>
            <w:r w:rsidRPr="00F97F38">
              <w:rPr>
                <w:rFonts w:cs="Tahoma"/>
                <w:snapToGrid w:val="0"/>
                <w:sz w:val="20"/>
                <w:lang w:eastAsia="en-US"/>
              </w:rPr>
              <w:br/>
              <w:t>(Chong 2003)</w:t>
            </w:r>
          </w:p>
        </w:tc>
        <w:tc>
          <w:tcPr>
            <w:tcW w:w="1422" w:type="pct"/>
          </w:tcPr>
          <w:p w14:paraId="6B87C205" w14:textId="77777777" w:rsidR="00FA2FFC" w:rsidRPr="00F97F38" w:rsidRDefault="00FA2FFC" w:rsidP="003B1058">
            <w:pPr>
              <w:rPr>
                <w:rFonts w:cs="Tahoma"/>
                <w:snapToGrid w:val="0"/>
                <w:sz w:val="20"/>
                <w:lang w:eastAsia="en-US"/>
              </w:rPr>
            </w:pPr>
            <w:r w:rsidRPr="00F97F38">
              <w:rPr>
                <w:rFonts w:cs="Tahoma"/>
                <w:snapToGrid w:val="0"/>
                <w:sz w:val="20"/>
                <w:lang w:eastAsia="en-US"/>
              </w:rPr>
              <w:t>Moderate</w:t>
            </w:r>
          </w:p>
        </w:tc>
      </w:tr>
      <w:tr w:rsidR="00FA2FFC" w:rsidRPr="00F97F38" w14:paraId="6AF17408" w14:textId="77777777" w:rsidTr="00ED11F0">
        <w:tc>
          <w:tcPr>
            <w:tcW w:w="1319" w:type="pct"/>
          </w:tcPr>
          <w:p w14:paraId="5E15F24E" w14:textId="77777777" w:rsidR="00FA2FFC" w:rsidRPr="00F97F38" w:rsidRDefault="00FA2FFC" w:rsidP="003B1058">
            <w:pPr>
              <w:rPr>
                <w:rFonts w:cs="Tahoma"/>
                <w:snapToGrid w:val="0"/>
                <w:sz w:val="20"/>
                <w:lang w:eastAsia="en-US"/>
              </w:rPr>
            </w:pPr>
            <w:r w:rsidRPr="00F97F38">
              <w:rPr>
                <w:rFonts w:cs="Tahoma"/>
                <w:snapToGrid w:val="0"/>
                <w:sz w:val="20"/>
                <w:lang w:eastAsia="en-US"/>
              </w:rPr>
              <w:t>5-year survival for optimally treated HCC (relative to sub-optimally treated HCC)</w:t>
            </w:r>
          </w:p>
        </w:tc>
        <w:tc>
          <w:tcPr>
            <w:tcW w:w="2259" w:type="pct"/>
          </w:tcPr>
          <w:p w14:paraId="0AFD8423" w14:textId="77777777" w:rsidR="00FA2FFC" w:rsidRPr="00F97F38" w:rsidRDefault="00FA2FFC" w:rsidP="003B1058">
            <w:pPr>
              <w:rPr>
                <w:rFonts w:cs="Tahoma"/>
                <w:snapToGrid w:val="0"/>
                <w:sz w:val="20"/>
                <w:lang w:eastAsia="en-US"/>
              </w:rPr>
            </w:pPr>
            <w:r w:rsidRPr="00F97F38">
              <w:rPr>
                <w:rFonts w:cs="Tahoma"/>
                <w:snapToGrid w:val="0"/>
                <w:sz w:val="20"/>
                <w:lang w:eastAsia="en-US"/>
              </w:rPr>
              <w:t>Optimally treated HCC = 0.47</w:t>
            </w:r>
          </w:p>
          <w:p w14:paraId="3AC2F879" w14:textId="77777777" w:rsidR="00FA2FFC" w:rsidRPr="00F97F38" w:rsidRDefault="00FA2FFC" w:rsidP="003B1058">
            <w:pPr>
              <w:rPr>
                <w:rFonts w:cs="Tahoma"/>
                <w:snapToGrid w:val="0"/>
                <w:sz w:val="20"/>
                <w:lang w:eastAsia="en-US"/>
              </w:rPr>
            </w:pPr>
            <w:r w:rsidRPr="00F97F38">
              <w:rPr>
                <w:rFonts w:cs="Tahoma"/>
                <w:snapToGrid w:val="0"/>
                <w:sz w:val="20"/>
                <w:lang w:eastAsia="en-US"/>
              </w:rPr>
              <w:t>Sub-optimally treated HCC = 0.35</w:t>
            </w:r>
          </w:p>
          <w:p w14:paraId="64C317EA" w14:textId="77777777" w:rsidR="00FA2FFC" w:rsidRPr="00F97F38" w:rsidRDefault="00FA2FFC" w:rsidP="003B1058">
            <w:pPr>
              <w:rPr>
                <w:rFonts w:cs="Tahoma"/>
                <w:snapToGrid w:val="0"/>
                <w:sz w:val="20"/>
                <w:lang w:eastAsia="en-US"/>
              </w:rPr>
            </w:pPr>
            <w:r w:rsidRPr="00F97F38">
              <w:rPr>
                <w:rFonts w:cs="Tahoma"/>
                <w:snapToGrid w:val="0"/>
                <w:sz w:val="20"/>
                <w:lang w:eastAsia="en-US"/>
              </w:rPr>
              <w:t>(</w:t>
            </w:r>
            <w:proofErr w:type="spellStart"/>
            <w:r w:rsidRPr="00F97F38">
              <w:rPr>
                <w:rFonts w:cs="Tahoma"/>
                <w:snapToGrid w:val="0"/>
                <w:sz w:val="20"/>
                <w:lang w:eastAsia="en-US"/>
              </w:rPr>
              <w:t>Altekruse</w:t>
            </w:r>
            <w:proofErr w:type="spellEnd"/>
            <w:r w:rsidRPr="00F97F38">
              <w:rPr>
                <w:rFonts w:cs="Tahoma"/>
                <w:snapToGrid w:val="0"/>
                <w:sz w:val="20"/>
                <w:lang w:eastAsia="en-US"/>
              </w:rPr>
              <w:t xml:space="preserve"> 2012)</w:t>
            </w:r>
          </w:p>
        </w:tc>
        <w:tc>
          <w:tcPr>
            <w:tcW w:w="1422" w:type="pct"/>
          </w:tcPr>
          <w:p w14:paraId="2B7963AB" w14:textId="77777777" w:rsidR="00FA2FFC" w:rsidRPr="00F97F38" w:rsidRDefault="00FA2FFC" w:rsidP="003B1058">
            <w:pPr>
              <w:rPr>
                <w:rFonts w:cs="Tahoma"/>
                <w:snapToGrid w:val="0"/>
                <w:sz w:val="20"/>
                <w:lang w:eastAsia="en-US"/>
              </w:rPr>
            </w:pPr>
            <w:r w:rsidRPr="00F97F38">
              <w:rPr>
                <w:rFonts w:cs="Tahoma"/>
                <w:snapToGrid w:val="0"/>
                <w:sz w:val="20"/>
                <w:lang w:eastAsia="en-US"/>
              </w:rPr>
              <w:t>Moderate to high</w:t>
            </w:r>
          </w:p>
        </w:tc>
      </w:tr>
    </w:tbl>
    <w:p w14:paraId="4BFD39BC" w14:textId="77777777" w:rsidR="00BC1364" w:rsidRPr="00F715D1" w:rsidRDefault="00BC1364" w:rsidP="00F715D1">
      <w:pPr>
        <w:pStyle w:val="Heading1"/>
      </w:pPr>
      <w:r w:rsidRPr="00F715D1">
        <w:t>Financial/budgetary impacts</w:t>
      </w:r>
    </w:p>
    <w:p w14:paraId="4C9CD19D" w14:textId="77777777" w:rsidR="00FA2FFC" w:rsidRPr="00932225" w:rsidRDefault="00FA2FFC" w:rsidP="00FC77BC">
      <w:pPr>
        <w:spacing w:after="240"/>
        <w:rPr>
          <w:szCs w:val="24"/>
        </w:rPr>
      </w:pPr>
      <w:r w:rsidRPr="00932225">
        <w:rPr>
          <w:szCs w:val="24"/>
        </w:rPr>
        <w:t xml:space="preserve">The financial implications of funding GA-MRI in the </w:t>
      </w:r>
      <w:r>
        <w:rPr>
          <w:szCs w:val="24"/>
        </w:rPr>
        <w:t>resubmission were calculated</w:t>
      </w:r>
      <w:r w:rsidRPr="00932225">
        <w:rPr>
          <w:szCs w:val="24"/>
        </w:rPr>
        <w:t xml:space="preserve"> by updating the estimates in MSAC Application 1372, and ensuring that only the relevant population and comparators were considered.</w:t>
      </w:r>
    </w:p>
    <w:p w14:paraId="37225897" w14:textId="5CA7694F" w:rsidR="00FA2FFC" w:rsidRPr="00932225" w:rsidRDefault="00FA2FFC" w:rsidP="00FC77BC">
      <w:pPr>
        <w:spacing w:after="240"/>
        <w:rPr>
          <w:szCs w:val="24"/>
        </w:rPr>
      </w:pPr>
      <w:r w:rsidRPr="00932225">
        <w:rPr>
          <w:szCs w:val="24"/>
        </w:rPr>
        <w:t xml:space="preserve">The original application used a market share approach, due to the wide range of potential diseases (primary cancers with potential liver metastases and primary liver </w:t>
      </w:r>
      <w:r w:rsidR="00E560D9">
        <w:rPr>
          <w:szCs w:val="24"/>
        </w:rPr>
        <w:t>tumours</w:t>
      </w:r>
      <w:r w:rsidR="00E560D9" w:rsidRPr="00932225">
        <w:rPr>
          <w:szCs w:val="24"/>
        </w:rPr>
        <w:t xml:space="preserve"> </w:t>
      </w:r>
      <w:r w:rsidRPr="00932225">
        <w:rPr>
          <w:szCs w:val="24"/>
        </w:rPr>
        <w:t xml:space="preserve">(both malignant and benign) requiring assessment of the liver MRI. The approach was considered appropriate and is replicated in the current </w:t>
      </w:r>
      <w:r>
        <w:rPr>
          <w:szCs w:val="24"/>
        </w:rPr>
        <w:t>resubmission</w:t>
      </w:r>
      <w:r w:rsidRPr="00932225">
        <w:rPr>
          <w:szCs w:val="24"/>
        </w:rPr>
        <w:t>.</w:t>
      </w:r>
    </w:p>
    <w:p w14:paraId="3BAD698E" w14:textId="77777777" w:rsidR="00FA2FFC" w:rsidRPr="00FC77BC" w:rsidRDefault="00FA2FFC" w:rsidP="00FC77BC">
      <w:pPr>
        <w:spacing w:after="240"/>
        <w:rPr>
          <w:rFonts w:ascii="Calibri" w:hAnsi="Calibri" w:cs="Tahoma"/>
          <w:sz w:val="22"/>
          <w:szCs w:val="22"/>
        </w:rPr>
      </w:pPr>
      <w:r w:rsidRPr="00932225">
        <w:rPr>
          <w:szCs w:val="24"/>
        </w:rPr>
        <w:t>The financial implications</w:t>
      </w:r>
      <w:r>
        <w:rPr>
          <w:szCs w:val="24"/>
        </w:rPr>
        <w:t xml:space="preserve"> </w:t>
      </w:r>
      <w:r w:rsidRPr="00932225">
        <w:rPr>
          <w:szCs w:val="24"/>
        </w:rPr>
        <w:t xml:space="preserve">to the MBS resulting from the proposed listing of MRI are summarised in </w:t>
      </w:r>
      <w:r>
        <w:rPr>
          <w:szCs w:val="24"/>
        </w:rPr>
        <w:fldChar w:fldCharType="begin"/>
      </w:r>
      <w:r>
        <w:rPr>
          <w:szCs w:val="24"/>
        </w:rPr>
        <w:instrText xml:space="preserve"> REF _Ref508178935 \h </w:instrText>
      </w:r>
      <w:r>
        <w:rPr>
          <w:szCs w:val="24"/>
        </w:rPr>
      </w:r>
      <w:r>
        <w:rPr>
          <w:szCs w:val="24"/>
        </w:rPr>
        <w:fldChar w:fldCharType="separate"/>
      </w:r>
      <w:proofErr w:type="gramStart"/>
      <w:r w:rsidR="0052462E" w:rsidRPr="007A5698">
        <w:rPr>
          <w:rFonts w:ascii="Arial Narrow" w:hAnsi="Arial Narrow"/>
          <w:sz w:val="20"/>
        </w:rPr>
        <w:t xml:space="preserve">Table </w:t>
      </w:r>
      <w:proofErr w:type="gramEnd"/>
      <w:r>
        <w:rPr>
          <w:szCs w:val="24"/>
        </w:rPr>
        <w:fldChar w:fldCharType="end"/>
      </w:r>
      <w:r w:rsidRPr="00932225">
        <w:rPr>
          <w:szCs w:val="24"/>
        </w:rPr>
        <w:t>,</w:t>
      </w:r>
      <w:r>
        <w:rPr>
          <w:szCs w:val="24"/>
        </w:rPr>
        <w:t xml:space="preserve"> </w:t>
      </w:r>
      <w:r w:rsidRPr="00932225">
        <w:rPr>
          <w:szCs w:val="24"/>
        </w:rPr>
        <w:t>under a range of possible util</w:t>
      </w:r>
      <w:r w:rsidR="00FC77BC">
        <w:rPr>
          <w:szCs w:val="24"/>
        </w:rPr>
        <w:t>isation scenarios.</w:t>
      </w:r>
    </w:p>
    <w:p w14:paraId="06B7381E" w14:textId="25203668" w:rsidR="00FA2FFC" w:rsidRPr="00D51F3D" w:rsidRDefault="00FA2FFC" w:rsidP="00FA2FFC">
      <w:pPr>
        <w:pStyle w:val="CommentText"/>
        <w:rPr>
          <w:sz w:val="24"/>
          <w:szCs w:val="24"/>
        </w:rPr>
      </w:pPr>
      <w:r w:rsidRPr="00D51F3D">
        <w:rPr>
          <w:sz w:val="24"/>
          <w:szCs w:val="24"/>
        </w:rPr>
        <w:t>The costs are increased beyond CE-CT replacement by GA-MRI by the shift of GA-MRI public hospital/private patients to the MBS. These will be significant further costs to the MBS in addition to the cost of the CE-CT services replaced by GA-MRI services as estimated in</w:t>
      </w:r>
      <w:r w:rsidR="00AD1852">
        <w:rPr>
          <w:sz w:val="24"/>
          <w:szCs w:val="24"/>
        </w:rPr>
        <w:t xml:space="preserve"> Table 13</w:t>
      </w:r>
      <w:r w:rsidRPr="00D51F3D">
        <w:rPr>
          <w:sz w:val="24"/>
          <w:szCs w:val="24"/>
        </w:rPr>
        <w:t xml:space="preserve">. </w:t>
      </w:r>
    </w:p>
    <w:p w14:paraId="3DF08DF9" w14:textId="181C4A8F" w:rsidR="00FA2FFC" w:rsidRPr="00F97F38" w:rsidRDefault="00FA2FFC" w:rsidP="003B1058">
      <w:pPr>
        <w:pStyle w:val="Caption"/>
        <w:keepNext/>
        <w:spacing w:before="240" w:after="0"/>
      </w:pPr>
      <w:bookmarkStart w:id="16" w:name="_Ref508178935"/>
      <w:bookmarkStart w:id="17" w:name="_Ref494969391"/>
      <w:bookmarkStart w:id="18" w:name="_Toc494983767"/>
      <w:r w:rsidRPr="007A5698">
        <w:rPr>
          <w:rFonts w:ascii="Arial Narrow" w:hAnsi="Arial Narrow"/>
          <w:color w:val="auto"/>
          <w:sz w:val="20"/>
          <w:szCs w:val="20"/>
        </w:rPr>
        <w:t xml:space="preserve">Table </w:t>
      </w:r>
      <w:bookmarkEnd w:id="16"/>
      <w:r w:rsidR="00AD1852">
        <w:rPr>
          <w:rFonts w:ascii="Arial Narrow" w:hAnsi="Arial Narrow"/>
          <w:color w:val="auto"/>
          <w:sz w:val="20"/>
          <w:szCs w:val="20"/>
        </w:rPr>
        <w:t>13</w:t>
      </w:r>
      <w:r w:rsidRPr="007A5698">
        <w:rPr>
          <w:rFonts w:ascii="Arial Narrow" w:hAnsi="Arial Narrow"/>
          <w:color w:val="auto"/>
          <w:sz w:val="20"/>
          <w:szCs w:val="20"/>
        </w:rPr>
        <w:tab/>
      </w:r>
      <w:r w:rsidRPr="007A5698">
        <w:rPr>
          <w:rFonts w:ascii="Arial Narrow" w:hAnsi="Arial Narrow" w:cs="Tahoma"/>
          <w:bCs w:val="0"/>
          <w:color w:val="auto"/>
          <w:sz w:val="20"/>
          <w:szCs w:val="20"/>
        </w:rPr>
        <w:t>Net costs to the MBS associated with GA-MRI, by expected level of uptake and substitution of CT services</w:t>
      </w:r>
      <w:bookmarkEnd w:id="17"/>
      <w:bookmarkEnd w:id="18"/>
    </w:p>
    <w:tbl>
      <w:tblPr>
        <w:tblStyle w:val="TableGrid2"/>
        <w:tblW w:w="9360" w:type="dxa"/>
        <w:tblLook w:val="04A0" w:firstRow="1" w:lastRow="0" w:firstColumn="1" w:lastColumn="0" w:noHBand="0" w:noVBand="1"/>
        <w:tblDescription w:val="Summary of estimated MBS costs by uptake and substitution for CT"/>
      </w:tblPr>
      <w:tblGrid>
        <w:gridCol w:w="2360"/>
        <w:gridCol w:w="1400"/>
        <w:gridCol w:w="1400"/>
        <w:gridCol w:w="1400"/>
        <w:gridCol w:w="1400"/>
        <w:gridCol w:w="1400"/>
      </w:tblGrid>
      <w:tr w:rsidR="00FA2FFC" w:rsidRPr="00F97F38" w14:paraId="4C4F9397" w14:textId="77777777" w:rsidTr="003B1058">
        <w:trPr>
          <w:cnfStyle w:val="100000000000" w:firstRow="1" w:lastRow="0" w:firstColumn="0" w:lastColumn="0" w:oddVBand="0" w:evenVBand="0" w:oddHBand="0" w:evenHBand="0" w:firstRowFirstColumn="0" w:firstRowLastColumn="0" w:lastRowFirstColumn="0" w:lastRowLastColumn="0"/>
          <w:trHeight w:val="290"/>
          <w:tblHeader/>
        </w:trPr>
        <w:tc>
          <w:tcPr>
            <w:tcW w:w="2360" w:type="dxa"/>
            <w:noWrap/>
            <w:hideMark/>
          </w:tcPr>
          <w:p w14:paraId="50835057" w14:textId="77777777" w:rsidR="00FA2FFC" w:rsidRPr="00F97F38" w:rsidRDefault="00FA2FFC" w:rsidP="003B1058">
            <w:pPr>
              <w:keepNext/>
              <w:spacing w:before="0" w:after="0"/>
              <w:rPr>
                <w:rFonts w:cs="Tahoma"/>
                <w:b/>
                <w:sz w:val="20"/>
              </w:rPr>
            </w:pPr>
          </w:p>
        </w:tc>
        <w:tc>
          <w:tcPr>
            <w:tcW w:w="1400" w:type="dxa"/>
            <w:noWrap/>
            <w:hideMark/>
          </w:tcPr>
          <w:p w14:paraId="58ADED00" w14:textId="77777777" w:rsidR="00FA2FFC" w:rsidRPr="00F97F38" w:rsidRDefault="00FA2FFC" w:rsidP="003B1058">
            <w:pPr>
              <w:keepNext/>
              <w:spacing w:before="0" w:after="0"/>
              <w:rPr>
                <w:rFonts w:cs="Tahoma"/>
                <w:b/>
                <w:sz w:val="20"/>
              </w:rPr>
            </w:pPr>
            <w:r w:rsidRPr="00F97F38">
              <w:rPr>
                <w:rFonts w:cs="Tahoma"/>
                <w:b/>
                <w:sz w:val="20"/>
              </w:rPr>
              <w:t>Uptake of MRI</w:t>
            </w:r>
          </w:p>
        </w:tc>
        <w:tc>
          <w:tcPr>
            <w:tcW w:w="1400" w:type="dxa"/>
            <w:noWrap/>
            <w:hideMark/>
          </w:tcPr>
          <w:p w14:paraId="2369F936" w14:textId="77777777" w:rsidR="00FA2FFC" w:rsidRPr="00F97F38" w:rsidRDefault="00FA2FFC" w:rsidP="003B1058">
            <w:pPr>
              <w:keepNext/>
              <w:spacing w:before="0" w:after="0"/>
              <w:rPr>
                <w:rFonts w:cs="Tahoma"/>
                <w:b/>
                <w:sz w:val="20"/>
              </w:rPr>
            </w:pPr>
          </w:p>
        </w:tc>
        <w:tc>
          <w:tcPr>
            <w:tcW w:w="1400" w:type="dxa"/>
            <w:noWrap/>
            <w:hideMark/>
          </w:tcPr>
          <w:p w14:paraId="338A48C9" w14:textId="77777777" w:rsidR="00FA2FFC" w:rsidRPr="00F97F38" w:rsidRDefault="00FA2FFC" w:rsidP="003B1058">
            <w:pPr>
              <w:keepNext/>
              <w:spacing w:before="0" w:after="0"/>
              <w:rPr>
                <w:rFonts w:cs="Tahoma"/>
                <w:b/>
                <w:sz w:val="20"/>
              </w:rPr>
            </w:pPr>
          </w:p>
        </w:tc>
        <w:tc>
          <w:tcPr>
            <w:tcW w:w="1400" w:type="dxa"/>
            <w:noWrap/>
            <w:hideMark/>
          </w:tcPr>
          <w:p w14:paraId="5B171B63" w14:textId="77777777" w:rsidR="00FA2FFC" w:rsidRPr="00F97F38" w:rsidRDefault="00FA2FFC" w:rsidP="003B1058">
            <w:pPr>
              <w:keepNext/>
              <w:spacing w:before="0" w:after="0"/>
              <w:rPr>
                <w:rFonts w:cs="Tahoma"/>
                <w:b/>
                <w:sz w:val="20"/>
              </w:rPr>
            </w:pPr>
          </w:p>
        </w:tc>
        <w:tc>
          <w:tcPr>
            <w:tcW w:w="1400" w:type="dxa"/>
            <w:noWrap/>
            <w:hideMark/>
          </w:tcPr>
          <w:p w14:paraId="20829309" w14:textId="77777777" w:rsidR="00FA2FFC" w:rsidRPr="00F97F38" w:rsidRDefault="00FA2FFC" w:rsidP="003B1058">
            <w:pPr>
              <w:keepNext/>
              <w:spacing w:before="0" w:after="0"/>
              <w:rPr>
                <w:rFonts w:cs="Tahoma"/>
                <w:b/>
                <w:sz w:val="20"/>
              </w:rPr>
            </w:pPr>
          </w:p>
        </w:tc>
      </w:tr>
      <w:tr w:rsidR="00FA2FFC" w:rsidRPr="00F97F38" w14:paraId="34B2B165" w14:textId="77777777" w:rsidTr="003B1058">
        <w:trPr>
          <w:trHeight w:val="290"/>
        </w:trPr>
        <w:tc>
          <w:tcPr>
            <w:tcW w:w="2360" w:type="dxa"/>
            <w:noWrap/>
            <w:hideMark/>
          </w:tcPr>
          <w:p w14:paraId="23DDE119" w14:textId="77777777" w:rsidR="00FA2FFC" w:rsidRPr="00F97F38" w:rsidRDefault="00FA2FFC" w:rsidP="003B1058">
            <w:pPr>
              <w:keepNext/>
              <w:spacing w:before="0" w:after="0"/>
              <w:rPr>
                <w:rFonts w:cs="Tahoma"/>
                <w:b/>
                <w:sz w:val="20"/>
              </w:rPr>
            </w:pPr>
            <w:r w:rsidRPr="00F97F38">
              <w:rPr>
                <w:rFonts w:cs="Tahoma"/>
                <w:b/>
                <w:sz w:val="20"/>
              </w:rPr>
              <w:t>Extent of CT substitution</w:t>
            </w:r>
          </w:p>
        </w:tc>
        <w:tc>
          <w:tcPr>
            <w:tcW w:w="1400" w:type="dxa"/>
            <w:noWrap/>
            <w:hideMark/>
          </w:tcPr>
          <w:p w14:paraId="12113C60" w14:textId="77777777" w:rsidR="00FA2FFC" w:rsidRPr="00F97F38" w:rsidRDefault="00FA2FFC" w:rsidP="003B1058">
            <w:pPr>
              <w:keepNext/>
              <w:spacing w:before="0" w:after="0"/>
              <w:rPr>
                <w:rFonts w:cs="Tahoma"/>
                <w:b/>
                <w:sz w:val="20"/>
              </w:rPr>
            </w:pPr>
            <w:r w:rsidRPr="00F97F38">
              <w:rPr>
                <w:rFonts w:cs="Tahoma"/>
                <w:b/>
                <w:sz w:val="20"/>
              </w:rPr>
              <w:t>100%</w:t>
            </w:r>
          </w:p>
        </w:tc>
        <w:tc>
          <w:tcPr>
            <w:tcW w:w="1400" w:type="dxa"/>
            <w:noWrap/>
            <w:hideMark/>
          </w:tcPr>
          <w:p w14:paraId="3A45DC82" w14:textId="77777777" w:rsidR="00FA2FFC" w:rsidRPr="00F97F38" w:rsidRDefault="00FA2FFC" w:rsidP="003B1058">
            <w:pPr>
              <w:keepNext/>
              <w:spacing w:before="0" w:after="0"/>
              <w:rPr>
                <w:rFonts w:cs="Tahoma"/>
                <w:b/>
                <w:sz w:val="20"/>
              </w:rPr>
            </w:pPr>
            <w:r w:rsidRPr="00F97F38">
              <w:rPr>
                <w:rFonts w:cs="Tahoma"/>
                <w:b/>
                <w:sz w:val="20"/>
              </w:rPr>
              <w:t>80%</w:t>
            </w:r>
          </w:p>
        </w:tc>
        <w:tc>
          <w:tcPr>
            <w:tcW w:w="1400" w:type="dxa"/>
            <w:noWrap/>
            <w:hideMark/>
          </w:tcPr>
          <w:p w14:paraId="25293275" w14:textId="77777777" w:rsidR="00FA2FFC" w:rsidRPr="00F97F38" w:rsidRDefault="00FA2FFC" w:rsidP="003B1058">
            <w:pPr>
              <w:keepNext/>
              <w:spacing w:before="0" w:after="0"/>
              <w:rPr>
                <w:rFonts w:cs="Tahoma"/>
                <w:b/>
                <w:sz w:val="20"/>
              </w:rPr>
            </w:pPr>
            <w:r w:rsidRPr="00F97F38">
              <w:rPr>
                <w:rFonts w:cs="Tahoma"/>
                <w:b/>
                <w:sz w:val="20"/>
              </w:rPr>
              <w:t>60%</w:t>
            </w:r>
          </w:p>
        </w:tc>
        <w:tc>
          <w:tcPr>
            <w:tcW w:w="1400" w:type="dxa"/>
            <w:noWrap/>
            <w:hideMark/>
          </w:tcPr>
          <w:p w14:paraId="38817411" w14:textId="77777777" w:rsidR="00FA2FFC" w:rsidRPr="00F97F38" w:rsidRDefault="00FA2FFC" w:rsidP="003B1058">
            <w:pPr>
              <w:keepNext/>
              <w:spacing w:before="0" w:after="0"/>
              <w:rPr>
                <w:rFonts w:cs="Tahoma"/>
                <w:b/>
                <w:sz w:val="20"/>
              </w:rPr>
            </w:pPr>
            <w:r w:rsidRPr="00F97F38">
              <w:rPr>
                <w:rFonts w:cs="Tahoma"/>
                <w:b/>
                <w:sz w:val="20"/>
              </w:rPr>
              <w:t>40%</w:t>
            </w:r>
          </w:p>
        </w:tc>
        <w:tc>
          <w:tcPr>
            <w:tcW w:w="1400" w:type="dxa"/>
            <w:noWrap/>
            <w:hideMark/>
          </w:tcPr>
          <w:p w14:paraId="594E878A" w14:textId="77777777" w:rsidR="00FA2FFC" w:rsidRPr="00F97F38" w:rsidRDefault="00FA2FFC" w:rsidP="003B1058">
            <w:pPr>
              <w:keepNext/>
              <w:spacing w:before="0" w:after="0"/>
              <w:rPr>
                <w:rFonts w:cs="Tahoma"/>
                <w:b/>
                <w:sz w:val="20"/>
              </w:rPr>
            </w:pPr>
            <w:r w:rsidRPr="00F97F38">
              <w:rPr>
                <w:rFonts w:cs="Tahoma"/>
                <w:b/>
                <w:sz w:val="20"/>
              </w:rPr>
              <w:t>20%</w:t>
            </w:r>
          </w:p>
        </w:tc>
      </w:tr>
      <w:tr w:rsidR="00FA2FFC" w:rsidRPr="00F97F38" w14:paraId="36E5F205" w14:textId="77777777" w:rsidTr="003B1058">
        <w:trPr>
          <w:trHeight w:val="290"/>
        </w:trPr>
        <w:tc>
          <w:tcPr>
            <w:tcW w:w="2360" w:type="dxa"/>
            <w:noWrap/>
            <w:hideMark/>
          </w:tcPr>
          <w:p w14:paraId="464C379F" w14:textId="77777777" w:rsidR="00FA2FFC" w:rsidRPr="00F97F38" w:rsidRDefault="00FA2FFC" w:rsidP="003B1058">
            <w:pPr>
              <w:keepNext/>
              <w:spacing w:before="0" w:after="0"/>
              <w:rPr>
                <w:rFonts w:cs="Tahoma"/>
                <w:b/>
                <w:sz w:val="20"/>
              </w:rPr>
            </w:pPr>
            <w:r w:rsidRPr="00F97F38">
              <w:rPr>
                <w:rFonts w:cs="Tahoma"/>
                <w:b/>
                <w:sz w:val="20"/>
              </w:rPr>
              <w:tab/>
              <w:t>100%</w:t>
            </w:r>
          </w:p>
        </w:tc>
        <w:tc>
          <w:tcPr>
            <w:tcW w:w="1400" w:type="dxa"/>
            <w:noWrap/>
            <w:hideMark/>
          </w:tcPr>
          <w:p w14:paraId="74FEB6FC" w14:textId="77777777" w:rsidR="00FA2FFC" w:rsidRPr="00F97F38" w:rsidRDefault="00FA2FFC" w:rsidP="003B1058">
            <w:pPr>
              <w:spacing w:before="0" w:after="0"/>
              <w:rPr>
                <w:rFonts w:cs="Tahoma"/>
                <w:sz w:val="20"/>
              </w:rPr>
            </w:pPr>
            <w:r w:rsidRPr="00F97F38">
              <w:rPr>
                <w:rFonts w:cs="Tahoma"/>
                <w:sz w:val="20"/>
              </w:rPr>
              <w:t>$3,755,516</w:t>
            </w:r>
          </w:p>
        </w:tc>
        <w:tc>
          <w:tcPr>
            <w:tcW w:w="1400" w:type="dxa"/>
            <w:noWrap/>
            <w:hideMark/>
          </w:tcPr>
          <w:p w14:paraId="6ABED4C9" w14:textId="77777777" w:rsidR="00FA2FFC" w:rsidRPr="00F97F38" w:rsidRDefault="00FA2FFC" w:rsidP="003B1058">
            <w:pPr>
              <w:spacing w:before="0" w:after="0"/>
              <w:rPr>
                <w:rFonts w:cs="Tahoma"/>
                <w:sz w:val="20"/>
              </w:rPr>
            </w:pPr>
            <w:r w:rsidRPr="00F97F38">
              <w:rPr>
                <w:rFonts w:cs="Tahoma"/>
                <w:sz w:val="20"/>
              </w:rPr>
              <w:t>$3,004,413</w:t>
            </w:r>
          </w:p>
        </w:tc>
        <w:tc>
          <w:tcPr>
            <w:tcW w:w="1400" w:type="dxa"/>
            <w:noWrap/>
            <w:hideMark/>
          </w:tcPr>
          <w:p w14:paraId="35F60AF2" w14:textId="77777777" w:rsidR="00FA2FFC" w:rsidRPr="00F97F38" w:rsidRDefault="00FA2FFC" w:rsidP="003B1058">
            <w:pPr>
              <w:spacing w:before="0" w:after="0"/>
              <w:rPr>
                <w:rFonts w:cs="Tahoma"/>
                <w:sz w:val="20"/>
              </w:rPr>
            </w:pPr>
            <w:r w:rsidRPr="00F97F38">
              <w:rPr>
                <w:rFonts w:cs="Tahoma"/>
                <w:sz w:val="20"/>
              </w:rPr>
              <w:t>$2,253,310</w:t>
            </w:r>
          </w:p>
        </w:tc>
        <w:tc>
          <w:tcPr>
            <w:tcW w:w="1400" w:type="dxa"/>
            <w:noWrap/>
            <w:hideMark/>
          </w:tcPr>
          <w:p w14:paraId="3B0EBD48" w14:textId="77777777" w:rsidR="00FA2FFC" w:rsidRPr="00F97F38" w:rsidRDefault="00FA2FFC" w:rsidP="003B1058">
            <w:pPr>
              <w:spacing w:before="0" w:after="0"/>
              <w:rPr>
                <w:rFonts w:cs="Tahoma"/>
                <w:sz w:val="20"/>
              </w:rPr>
            </w:pPr>
            <w:r w:rsidRPr="00F97F38">
              <w:rPr>
                <w:rFonts w:cs="Tahoma"/>
                <w:sz w:val="20"/>
              </w:rPr>
              <w:t>$1,502,206</w:t>
            </w:r>
          </w:p>
        </w:tc>
        <w:tc>
          <w:tcPr>
            <w:tcW w:w="1400" w:type="dxa"/>
            <w:noWrap/>
            <w:hideMark/>
          </w:tcPr>
          <w:p w14:paraId="3F80450E" w14:textId="77777777" w:rsidR="00FA2FFC" w:rsidRPr="00F97F38" w:rsidRDefault="00FA2FFC" w:rsidP="003B1058">
            <w:pPr>
              <w:spacing w:before="0" w:after="0"/>
              <w:rPr>
                <w:rFonts w:cs="Tahoma"/>
                <w:sz w:val="20"/>
              </w:rPr>
            </w:pPr>
            <w:r w:rsidRPr="00F97F38">
              <w:rPr>
                <w:rFonts w:cs="Tahoma"/>
                <w:sz w:val="20"/>
              </w:rPr>
              <w:t>$751,103</w:t>
            </w:r>
          </w:p>
        </w:tc>
      </w:tr>
      <w:tr w:rsidR="00FA2FFC" w:rsidRPr="00F97F38" w14:paraId="2DE51219" w14:textId="77777777" w:rsidTr="003B1058">
        <w:trPr>
          <w:trHeight w:val="290"/>
        </w:trPr>
        <w:tc>
          <w:tcPr>
            <w:tcW w:w="2360" w:type="dxa"/>
            <w:noWrap/>
            <w:hideMark/>
          </w:tcPr>
          <w:p w14:paraId="2E826BAE" w14:textId="77777777" w:rsidR="00FA2FFC" w:rsidRPr="00F97F38" w:rsidRDefault="00FA2FFC" w:rsidP="003B1058">
            <w:pPr>
              <w:keepNext/>
              <w:spacing w:before="0" w:after="0"/>
              <w:rPr>
                <w:rFonts w:cs="Tahoma"/>
                <w:b/>
                <w:sz w:val="20"/>
              </w:rPr>
            </w:pPr>
            <w:r w:rsidRPr="00F97F38">
              <w:rPr>
                <w:rFonts w:cs="Tahoma"/>
                <w:b/>
                <w:sz w:val="20"/>
              </w:rPr>
              <w:tab/>
              <w:t>80%</w:t>
            </w:r>
          </w:p>
        </w:tc>
        <w:tc>
          <w:tcPr>
            <w:tcW w:w="1400" w:type="dxa"/>
            <w:noWrap/>
            <w:hideMark/>
          </w:tcPr>
          <w:p w14:paraId="5C69BF16" w14:textId="77777777" w:rsidR="00FA2FFC" w:rsidRPr="00F97F38" w:rsidRDefault="00FA2FFC" w:rsidP="003B1058">
            <w:pPr>
              <w:spacing w:before="0" w:after="0"/>
              <w:rPr>
                <w:rFonts w:cs="Tahoma"/>
                <w:sz w:val="20"/>
              </w:rPr>
            </w:pPr>
            <w:r w:rsidRPr="00F97F38">
              <w:rPr>
                <w:rFonts w:cs="Tahoma"/>
                <w:sz w:val="20"/>
              </w:rPr>
              <w:t>$4,448,842</w:t>
            </w:r>
          </w:p>
        </w:tc>
        <w:tc>
          <w:tcPr>
            <w:tcW w:w="1400" w:type="dxa"/>
            <w:noWrap/>
            <w:hideMark/>
          </w:tcPr>
          <w:p w14:paraId="5FD496C4" w14:textId="77777777" w:rsidR="00FA2FFC" w:rsidRPr="00F97F38" w:rsidRDefault="00FA2FFC" w:rsidP="003B1058">
            <w:pPr>
              <w:spacing w:before="0" w:after="0"/>
              <w:rPr>
                <w:rFonts w:cs="Tahoma"/>
                <w:sz w:val="20"/>
              </w:rPr>
            </w:pPr>
            <w:r w:rsidRPr="00F97F38">
              <w:rPr>
                <w:rFonts w:cs="Tahoma"/>
                <w:sz w:val="20"/>
              </w:rPr>
              <w:t>$3,559,074</w:t>
            </w:r>
          </w:p>
        </w:tc>
        <w:tc>
          <w:tcPr>
            <w:tcW w:w="1400" w:type="dxa"/>
            <w:noWrap/>
            <w:hideMark/>
          </w:tcPr>
          <w:p w14:paraId="79A8CCFE" w14:textId="77777777" w:rsidR="00FA2FFC" w:rsidRPr="00F97F38" w:rsidRDefault="00FA2FFC" w:rsidP="003B1058">
            <w:pPr>
              <w:spacing w:before="0" w:after="0"/>
              <w:rPr>
                <w:rFonts w:cs="Tahoma"/>
                <w:sz w:val="20"/>
              </w:rPr>
            </w:pPr>
            <w:r w:rsidRPr="00F97F38">
              <w:rPr>
                <w:rFonts w:cs="Tahoma"/>
                <w:sz w:val="20"/>
              </w:rPr>
              <w:t>$2,669,305</w:t>
            </w:r>
          </w:p>
        </w:tc>
        <w:tc>
          <w:tcPr>
            <w:tcW w:w="1400" w:type="dxa"/>
            <w:noWrap/>
            <w:hideMark/>
          </w:tcPr>
          <w:p w14:paraId="5BCD2CC6" w14:textId="77777777" w:rsidR="00FA2FFC" w:rsidRPr="00F97F38" w:rsidRDefault="00FA2FFC" w:rsidP="003B1058">
            <w:pPr>
              <w:spacing w:before="0" w:after="0"/>
              <w:rPr>
                <w:rFonts w:cs="Tahoma"/>
                <w:sz w:val="20"/>
              </w:rPr>
            </w:pPr>
            <w:r w:rsidRPr="00F97F38">
              <w:rPr>
                <w:rFonts w:cs="Tahoma"/>
                <w:sz w:val="20"/>
              </w:rPr>
              <w:t>$1,779,537</w:t>
            </w:r>
          </w:p>
        </w:tc>
        <w:tc>
          <w:tcPr>
            <w:tcW w:w="1400" w:type="dxa"/>
            <w:noWrap/>
            <w:hideMark/>
          </w:tcPr>
          <w:p w14:paraId="693B958C" w14:textId="77777777" w:rsidR="00FA2FFC" w:rsidRPr="00F97F38" w:rsidRDefault="00FA2FFC" w:rsidP="003B1058">
            <w:pPr>
              <w:spacing w:before="0" w:after="0"/>
              <w:rPr>
                <w:rFonts w:cs="Tahoma"/>
                <w:sz w:val="20"/>
              </w:rPr>
            </w:pPr>
            <w:r w:rsidRPr="00F97F38">
              <w:rPr>
                <w:rFonts w:cs="Tahoma"/>
                <w:sz w:val="20"/>
              </w:rPr>
              <w:t>$889,768</w:t>
            </w:r>
          </w:p>
        </w:tc>
      </w:tr>
      <w:tr w:rsidR="00FA2FFC" w:rsidRPr="00F97F38" w14:paraId="6D8BE425" w14:textId="77777777" w:rsidTr="003B1058">
        <w:trPr>
          <w:trHeight w:val="290"/>
        </w:trPr>
        <w:tc>
          <w:tcPr>
            <w:tcW w:w="2360" w:type="dxa"/>
            <w:noWrap/>
            <w:hideMark/>
          </w:tcPr>
          <w:p w14:paraId="47F414AF" w14:textId="77777777" w:rsidR="00FA2FFC" w:rsidRPr="00F97F38" w:rsidRDefault="00FA2FFC" w:rsidP="003B1058">
            <w:pPr>
              <w:keepNext/>
              <w:spacing w:before="0" w:after="0"/>
              <w:rPr>
                <w:rFonts w:cs="Tahoma"/>
                <w:b/>
                <w:sz w:val="20"/>
              </w:rPr>
            </w:pPr>
            <w:r w:rsidRPr="00F97F38">
              <w:rPr>
                <w:rFonts w:cs="Tahoma"/>
                <w:b/>
                <w:sz w:val="20"/>
              </w:rPr>
              <w:tab/>
              <w:t>60%</w:t>
            </w:r>
          </w:p>
        </w:tc>
        <w:tc>
          <w:tcPr>
            <w:tcW w:w="1400" w:type="dxa"/>
            <w:noWrap/>
            <w:hideMark/>
          </w:tcPr>
          <w:p w14:paraId="79CA61FA" w14:textId="77777777" w:rsidR="00FA2FFC" w:rsidRPr="00F97F38" w:rsidRDefault="00FA2FFC" w:rsidP="003B1058">
            <w:pPr>
              <w:spacing w:before="0" w:after="0"/>
              <w:rPr>
                <w:rFonts w:cs="Tahoma"/>
                <w:sz w:val="20"/>
              </w:rPr>
            </w:pPr>
            <w:r w:rsidRPr="00F97F38">
              <w:rPr>
                <w:rFonts w:cs="Tahoma"/>
                <w:sz w:val="20"/>
              </w:rPr>
              <w:t>$5,142,168</w:t>
            </w:r>
          </w:p>
        </w:tc>
        <w:tc>
          <w:tcPr>
            <w:tcW w:w="1400" w:type="dxa"/>
            <w:noWrap/>
            <w:hideMark/>
          </w:tcPr>
          <w:p w14:paraId="641D9CF1" w14:textId="77777777" w:rsidR="00FA2FFC" w:rsidRPr="00F97F38" w:rsidRDefault="00FA2FFC" w:rsidP="003B1058">
            <w:pPr>
              <w:spacing w:before="0" w:after="0"/>
              <w:rPr>
                <w:rFonts w:cs="Tahoma"/>
                <w:sz w:val="20"/>
              </w:rPr>
            </w:pPr>
            <w:r w:rsidRPr="00F97F38">
              <w:rPr>
                <w:rFonts w:cs="Tahoma"/>
                <w:sz w:val="20"/>
              </w:rPr>
              <w:t>$4,113,735</w:t>
            </w:r>
          </w:p>
        </w:tc>
        <w:tc>
          <w:tcPr>
            <w:tcW w:w="1400" w:type="dxa"/>
            <w:noWrap/>
            <w:hideMark/>
          </w:tcPr>
          <w:p w14:paraId="5F1AC3C2" w14:textId="77777777" w:rsidR="00FA2FFC" w:rsidRPr="00F97F38" w:rsidRDefault="00FA2FFC" w:rsidP="003B1058">
            <w:pPr>
              <w:spacing w:before="0" w:after="0"/>
              <w:rPr>
                <w:rFonts w:cs="Tahoma"/>
                <w:sz w:val="20"/>
              </w:rPr>
            </w:pPr>
            <w:r w:rsidRPr="00F97F38">
              <w:rPr>
                <w:rFonts w:cs="Tahoma"/>
                <w:sz w:val="20"/>
              </w:rPr>
              <w:t>$3,085,301</w:t>
            </w:r>
          </w:p>
        </w:tc>
        <w:tc>
          <w:tcPr>
            <w:tcW w:w="1400" w:type="dxa"/>
            <w:noWrap/>
            <w:hideMark/>
          </w:tcPr>
          <w:p w14:paraId="20D4CD22" w14:textId="77777777" w:rsidR="00FA2FFC" w:rsidRPr="00F97F38" w:rsidRDefault="00FA2FFC" w:rsidP="003B1058">
            <w:pPr>
              <w:spacing w:before="0" w:after="0"/>
              <w:rPr>
                <w:rFonts w:cs="Tahoma"/>
                <w:sz w:val="20"/>
              </w:rPr>
            </w:pPr>
            <w:r w:rsidRPr="00F97F38">
              <w:rPr>
                <w:rFonts w:cs="Tahoma"/>
                <w:sz w:val="20"/>
              </w:rPr>
              <w:t>$2,056,867</w:t>
            </w:r>
          </w:p>
        </w:tc>
        <w:tc>
          <w:tcPr>
            <w:tcW w:w="1400" w:type="dxa"/>
            <w:noWrap/>
            <w:hideMark/>
          </w:tcPr>
          <w:p w14:paraId="1ECE5B29" w14:textId="77777777" w:rsidR="00FA2FFC" w:rsidRPr="00F97F38" w:rsidRDefault="00FA2FFC" w:rsidP="003B1058">
            <w:pPr>
              <w:spacing w:before="0" w:after="0"/>
              <w:rPr>
                <w:rFonts w:cs="Tahoma"/>
                <w:sz w:val="20"/>
              </w:rPr>
            </w:pPr>
            <w:r w:rsidRPr="00F97F38">
              <w:rPr>
                <w:rFonts w:cs="Tahoma"/>
                <w:sz w:val="20"/>
              </w:rPr>
              <w:t>$1,028,434</w:t>
            </w:r>
          </w:p>
        </w:tc>
      </w:tr>
      <w:tr w:rsidR="00FA2FFC" w:rsidRPr="00F97F38" w14:paraId="1614B06A" w14:textId="77777777" w:rsidTr="003B1058">
        <w:trPr>
          <w:trHeight w:val="290"/>
        </w:trPr>
        <w:tc>
          <w:tcPr>
            <w:tcW w:w="2360" w:type="dxa"/>
            <w:noWrap/>
            <w:hideMark/>
          </w:tcPr>
          <w:p w14:paraId="2ABC5EBF" w14:textId="77777777" w:rsidR="00FA2FFC" w:rsidRPr="00F97F38" w:rsidRDefault="00FA2FFC" w:rsidP="003B1058">
            <w:pPr>
              <w:keepNext/>
              <w:spacing w:before="0" w:after="0"/>
              <w:rPr>
                <w:rFonts w:cs="Tahoma"/>
                <w:b/>
                <w:sz w:val="20"/>
              </w:rPr>
            </w:pPr>
            <w:r w:rsidRPr="00F97F38">
              <w:rPr>
                <w:rFonts w:cs="Tahoma"/>
                <w:b/>
                <w:sz w:val="20"/>
              </w:rPr>
              <w:tab/>
              <w:t>40%</w:t>
            </w:r>
          </w:p>
        </w:tc>
        <w:tc>
          <w:tcPr>
            <w:tcW w:w="1400" w:type="dxa"/>
            <w:noWrap/>
            <w:hideMark/>
          </w:tcPr>
          <w:p w14:paraId="178B903E" w14:textId="77777777" w:rsidR="00FA2FFC" w:rsidRPr="00F97F38" w:rsidRDefault="00FA2FFC" w:rsidP="003B1058">
            <w:pPr>
              <w:spacing w:before="0" w:after="0"/>
              <w:rPr>
                <w:rFonts w:cs="Tahoma"/>
                <w:sz w:val="20"/>
              </w:rPr>
            </w:pPr>
            <w:r w:rsidRPr="00F97F38">
              <w:rPr>
                <w:rFonts w:cs="Tahoma"/>
                <w:sz w:val="20"/>
              </w:rPr>
              <w:t>$5,835,494</w:t>
            </w:r>
          </w:p>
        </w:tc>
        <w:tc>
          <w:tcPr>
            <w:tcW w:w="1400" w:type="dxa"/>
            <w:noWrap/>
            <w:hideMark/>
          </w:tcPr>
          <w:p w14:paraId="60295F9B" w14:textId="77777777" w:rsidR="00FA2FFC" w:rsidRPr="00F97F38" w:rsidRDefault="00FA2FFC" w:rsidP="003B1058">
            <w:pPr>
              <w:spacing w:before="0" w:after="0"/>
              <w:rPr>
                <w:rFonts w:cs="Tahoma"/>
                <w:sz w:val="20"/>
              </w:rPr>
            </w:pPr>
            <w:r w:rsidRPr="00F97F38">
              <w:rPr>
                <w:rFonts w:cs="Tahoma"/>
                <w:sz w:val="20"/>
              </w:rPr>
              <w:t>$4,668,395</w:t>
            </w:r>
          </w:p>
        </w:tc>
        <w:tc>
          <w:tcPr>
            <w:tcW w:w="1400" w:type="dxa"/>
            <w:noWrap/>
            <w:hideMark/>
          </w:tcPr>
          <w:p w14:paraId="2E45A948" w14:textId="77777777" w:rsidR="00FA2FFC" w:rsidRPr="00F97F38" w:rsidRDefault="00FA2FFC" w:rsidP="003B1058">
            <w:pPr>
              <w:spacing w:before="0" w:after="0"/>
              <w:rPr>
                <w:rFonts w:cs="Tahoma"/>
                <w:sz w:val="20"/>
              </w:rPr>
            </w:pPr>
            <w:r w:rsidRPr="00F97F38">
              <w:rPr>
                <w:rFonts w:cs="Tahoma"/>
                <w:sz w:val="20"/>
              </w:rPr>
              <w:t>$3,501,297</w:t>
            </w:r>
          </w:p>
        </w:tc>
        <w:tc>
          <w:tcPr>
            <w:tcW w:w="1400" w:type="dxa"/>
            <w:noWrap/>
            <w:hideMark/>
          </w:tcPr>
          <w:p w14:paraId="417BFF2E" w14:textId="77777777" w:rsidR="00FA2FFC" w:rsidRPr="00F97F38" w:rsidRDefault="00FA2FFC" w:rsidP="003B1058">
            <w:pPr>
              <w:spacing w:before="0" w:after="0"/>
              <w:rPr>
                <w:rFonts w:cs="Tahoma"/>
                <w:sz w:val="20"/>
              </w:rPr>
            </w:pPr>
            <w:r w:rsidRPr="00F97F38">
              <w:rPr>
                <w:rFonts w:cs="Tahoma"/>
                <w:sz w:val="20"/>
              </w:rPr>
              <w:t>$2,334,198</w:t>
            </w:r>
          </w:p>
        </w:tc>
        <w:tc>
          <w:tcPr>
            <w:tcW w:w="1400" w:type="dxa"/>
            <w:noWrap/>
            <w:hideMark/>
          </w:tcPr>
          <w:p w14:paraId="4CF96140" w14:textId="77777777" w:rsidR="00FA2FFC" w:rsidRPr="00F97F38" w:rsidRDefault="00FA2FFC" w:rsidP="003B1058">
            <w:pPr>
              <w:spacing w:before="0" w:after="0"/>
              <w:rPr>
                <w:rFonts w:cs="Tahoma"/>
                <w:sz w:val="20"/>
              </w:rPr>
            </w:pPr>
            <w:r w:rsidRPr="00F97F38">
              <w:rPr>
                <w:rFonts w:cs="Tahoma"/>
                <w:sz w:val="20"/>
              </w:rPr>
              <w:t>$1,167,099</w:t>
            </w:r>
          </w:p>
        </w:tc>
      </w:tr>
      <w:tr w:rsidR="00FA2FFC" w:rsidRPr="00F97F38" w14:paraId="5CC17EE8" w14:textId="77777777" w:rsidTr="003B1058">
        <w:trPr>
          <w:trHeight w:val="290"/>
        </w:trPr>
        <w:tc>
          <w:tcPr>
            <w:tcW w:w="2360" w:type="dxa"/>
            <w:noWrap/>
            <w:hideMark/>
          </w:tcPr>
          <w:p w14:paraId="32C09605" w14:textId="77777777" w:rsidR="00FA2FFC" w:rsidRPr="00F97F38" w:rsidRDefault="00FA2FFC" w:rsidP="003B1058">
            <w:pPr>
              <w:keepNext/>
              <w:spacing w:before="0" w:after="0"/>
              <w:rPr>
                <w:rFonts w:cs="Tahoma"/>
                <w:b/>
                <w:sz w:val="20"/>
              </w:rPr>
            </w:pPr>
            <w:r w:rsidRPr="00F97F38">
              <w:rPr>
                <w:rFonts w:cs="Tahoma"/>
                <w:b/>
                <w:sz w:val="20"/>
              </w:rPr>
              <w:tab/>
              <w:t>20%</w:t>
            </w:r>
          </w:p>
        </w:tc>
        <w:tc>
          <w:tcPr>
            <w:tcW w:w="1400" w:type="dxa"/>
            <w:noWrap/>
            <w:hideMark/>
          </w:tcPr>
          <w:p w14:paraId="21480A8C" w14:textId="77777777" w:rsidR="00FA2FFC" w:rsidRPr="00F97F38" w:rsidRDefault="00FA2FFC" w:rsidP="003B1058">
            <w:pPr>
              <w:spacing w:before="0" w:after="0"/>
              <w:rPr>
                <w:rFonts w:cs="Tahoma"/>
                <w:sz w:val="20"/>
              </w:rPr>
            </w:pPr>
            <w:r w:rsidRPr="00F97F38">
              <w:rPr>
                <w:rFonts w:cs="Tahoma"/>
                <w:sz w:val="20"/>
              </w:rPr>
              <w:t>$6,528,820</w:t>
            </w:r>
          </w:p>
        </w:tc>
        <w:tc>
          <w:tcPr>
            <w:tcW w:w="1400" w:type="dxa"/>
            <w:noWrap/>
            <w:hideMark/>
          </w:tcPr>
          <w:p w14:paraId="63C95055" w14:textId="77777777" w:rsidR="00FA2FFC" w:rsidRPr="00F97F38" w:rsidRDefault="00FA2FFC" w:rsidP="003B1058">
            <w:pPr>
              <w:spacing w:before="0" w:after="0"/>
              <w:rPr>
                <w:rFonts w:cs="Tahoma"/>
                <w:sz w:val="20"/>
              </w:rPr>
            </w:pPr>
            <w:r w:rsidRPr="00F97F38">
              <w:rPr>
                <w:rFonts w:cs="Tahoma"/>
                <w:sz w:val="20"/>
              </w:rPr>
              <w:t>$5,223,056</w:t>
            </w:r>
          </w:p>
        </w:tc>
        <w:tc>
          <w:tcPr>
            <w:tcW w:w="1400" w:type="dxa"/>
            <w:noWrap/>
            <w:hideMark/>
          </w:tcPr>
          <w:p w14:paraId="3D1BC4EA" w14:textId="77777777" w:rsidR="00FA2FFC" w:rsidRPr="00F97F38" w:rsidRDefault="00FA2FFC" w:rsidP="003B1058">
            <w:pPr>
              <w:spacing w:before="0" w:after="0"/>
              <w:rPr>
                <w:rFonts w:cs="Tahoma"/>
                <w:sz w:val="20"/>
              </w:rPr>
            </w:pPr>
            <w:r w:rsidRPr="00F97F38">
              <w:rPr>
                <w:rFonts w:cs="Tahoma"/>
                <w:sz w:val="20"/>
              </w:rPr>
              <w:t>$3,917,292</w:t>
            </w:r>
          </w:p>
        </w:tc>
        <w:tc>
          <w:tcPr>
            <w:tcW w:w="1400" w:type="dxa"/>
            <w:noWrap/>
            <w:hideMark/>
          </w:tcPr>
          <w:p w14:paraId="6D5E1E65" w14:textId="77777777" w:rsidR="00FA2FFC" w:rsidRPr="00F97F38" w:rsidRDefault="00FA2FFC" w:rsidP="003B1058">
            <w:pPr>
              <w:spacing w:before="0" w:after="0"/>
              <w:rPr>
                <w:rFonts w:cs="Tahoma"/>
                <w:sz w:val="20"/>
              </w:rPr>
            </w:pPr>
            <w:r w:rsidRPr="00F97F38">
              <w:rPr>
                <w:rFonts w:cs="Tahoma"/>
                <w:sz w:val="20"/>
              </w:rPr>
              <w:t>$2,611,528</w:t>
            </w:r>
          </w:p>
        </w:tc>
        <w:tc>
          <w:tcPr>
            <w:tcW w:w="1400" w:type="dxa"/>
            <w:noWrap/>
            <w:hideMark/>
          </w:tcPr>
          <w:p w14:paraId="4EC0FD47" w14:textId="77777777" w:rsidR="00FA2FFC" w:rsidRPr="00F97F38" w:rsidRDefault="00FA2FFC" w:rsidP="003B1058">
            <w:pPr>
              <w:spacing w:before="0" w:after="0"/>
              <w:rPr>
                <w:rFonts w:cs="Tahoma"/>
                <w:sz w:val="20"/>
              </w:rPr>
            </w:pPr>
            <w:r w:rsidRPr="00F97F38">
              <w:rPr>
                <w:rFonts w:cs="Tahoma"/>
                <w:sz w:val="20"/>
              </w:rPr>
              <w:t>$1,305,764</w:t>
            </w:r>
          </w:p>
        </w:tc>
      </w:tr>
      <w:tr w:rsidR="00FA2FFC" w:rsidRPr="00F97F38" w14:paraId="675071C7" w14:textId="77777777" w:rsidTr="003B1058">
        <w:trPr>
          <w:trHeight w:val="290"/>
        </w:trPr>
        <w:tc>
          <w:tcPr>
            <w:tcW w:w="2360" w:type="dxa"/>
            <w:noWrap/>
            <w:hideMark/>
          </w:tcPr>
          <w:p w14:paraId="062E7CA0" w14:textId="77777777" w:rsidR="00FA2FFC" w:rsidRPr="00F97F38" w:rsidRDefault="00FA2FFC" w:rsidP="003B1058">
            <w:pPr>
              <w:keepNext/>
              <w:spacing w:before="0" w:after="0"/>
              <w:rPr>
                <w:rFonts w:cs="Tahoma"/>
                <w:b/>
                <w:sz w:val="20"/>
              </w:rPr>
            </w:pPr>
            <w:r w:rsidRPr="00F97F38">
              <w:rPr>
                <w:rFonts w:cs="Tahoma"/>
                <w:b/>
                <w:sz w:val="20"/>
              </w:rPr>
              <w:tab/>
              <w:t>0%</w:t>
            </w:r>
          </w:p>
        </w:tc>
        <w:tc>
          <w:tcPr>
            <w:tcW w:w="1400" w:type="dxa"/>
            <w:noWrap/>
            <w:hideMark/>
          </w:tcPr>
          <w:p w14:paraId="406FC0A5" w14:textId="77777777" w:rsidR="00FA2FFC" w:rsidRPr="00F97F38" w:rsidRDefault="00FA2FFC" w:rsidP="003B1058">
            <w:pPr>
              <w:spacing w:before="0" w:after="0"/>
              <w:rPr>
                <w:rFonts w:cs="Tahoma"/>
                <w:sz w:val="20"/>
              </w:rPr>
            </w:pPr>
            <w:r w:rsidRPr="00F97F38">
              <w:rPr>
                <w:rFonts w:cs="Tahoma"/>
                <w:sz w:val="20"/>
              </w:rPr>
              <w:t>$7,222,146</w:t>
            </w:r>
          </w:p>
        </w:tc>
        <w:tc>
          <w:tcPr>
            <w:tcW w:w="1400" w:type="dxa"/>
            <w:noWrap/>
            <w:hideMark/>
          </w:tcPr>
          <w:p w14:paraId="1A3E4E77" w14:textId="77777777" w:rsidR="00FA2FFC" w:rsidRPr="00F97F38" w:rsidRDefault="00FA2FFC" w:rsidP="003B1058">
            <w:pPr>
              <w:spacing w:before="0" w:after="0"/>
              <w:rPr>
                <w:rFonts w:cs="Tahoma"/>
                <w:sz w:val="20"/>
              </w:rPr>
            </w:pPr>
            <w:r w:rsidRPr="00F97F38">
              <w:rPr>
                <w:rFonts w:cs="Tahoma"/>
                <w:sz w:val="20"/>
              </w:rPr>
              <w:t>$5,777,717</w:t>
            </w:r>
          </w:p>
        </w:tc>
        <w:tc>
          <w:tcPr>
            <w:tcW w:w="1400" w:type="dxa"/>
            <w:noWrap/>
            <w:hideMark/>
          </w:tcPr>
          <w:p w14:paraId="6354DA82" w14:textId="77777777" w:rsidR="00FA2FFC" w:rsidRPr="00F97F38" w:rsidRDefault="00FA2FFC" w:rsidP="003B1058">
            <w:pPr>
              <w:spacing w:before="0" w:after="0"/>
              <w:rPr>
                <w:rFonts w:cs="Tahoma"/>
                <w:sz w:val="20"/>
              </w:rPr>
            </w:pPr>
            <w:r w:rsidRPr="00F97F38">
              <w:rPr>
                <w:rFonts w:cs="Tahoma"/>
                <w:sz w:val="20"/>
              </w:rPr>
              <w:t>$4,333,288</w:t>
            </w:r>
          </w:p>
        </w:tc>
        <w:tc>
          <w:tcPr>
            <w:tcW w:w="1400" w:type="dxa"/>
            <w:noWrap/>
            <w:hideMark/>
          </w:tcPr>
          <w:p w14:paraId="494F9EAB" w14:textId="77777777" w:rsidR="00FA2FFC" w:rsidRPr="00F97F38" w:rsidRDefault="00FA2FFC" w:rsidP="003B1058">
            <w:pPr>
              <w:spacing w:before="0" w:after="0"/>
              <w:rPr>
                <w:rFonts w:cs="Tahoma"/>
                <w:sz w:val="20"/>
              </w:rPr>
            </w:pPr>
            <w:r w:rsidRPr="00F97F38">
              <w:rPr>
                <w:rFonts w:cs="Tahoma"/>
                <w:sz w:val="20"/>
              </w:rPr>
              <w:t>$2,888,859</w:t>
            </w:r>
          </w:p>
        </w:tc>
        <w:tc>
          <w:tcPr>
            <w:tcW w:w="1400" w:type="dxa"/>
            <w:noWrap/>
            <w:hideMark/>
          </w:tcPr>
          <w:p w14:paraId="0E86E01D" w14:textId="77777777" w:rsidR="00FA2FFC" w:rsidRPr="00F97F38" w:rsidRDefault="00FA2FFC" w:rsidP="003B1058">
            <w:pPr>
              <w:spacing w:before="0" w:after="0"/>
              <w:rPr>
                <w:rFonts w:cs="Tahoma"/>
                <w:sz w:val="20"/>
              </w:rPr>
            </w:pPr>
            <w:r w:rsidRPr="00F97F38">
              <w:rPr>
                <w:rFonts w:cs="Tahoma"/>
                <w:sz w:val="20"/>
              </w:rPr>
              <w:t>$1,444,429</w:t>
            </w:r>
          </w:p>
        </w:tc>
      </w:tr>
    </w:tbl>
    <w:p w14:paraId="1429D6CE" w14:textId="77777777" w:rsidR="006A0D97" w:rsidRPr="00F715D1" w:rsidRDefault="006A0D97" w:rsidP="00F715D1">
      <w:pPr>
        <w:pStyle w:val="Heading1"/>
      </w:pPr>
      <w:r w:rsidRPr="00F715D1">
        <w:t>Key issues from ESC for MSAC</w:t>
      </w:r>
    </w:p>
    <w:p w14:paraId="24226BD0" w14:textId="77777777" w:rsidR="00015426" w:rsidRPr="00015426" w:rsidRDefault="00015426" w:rsidP="00015426">
      <w:pPr>
        <w:rPr>
          <w:color w:val="000000"/>
          <w:szCs w:val="24"/>
        </w:rPr>
      </w:pPr>
      <w:r w:rsidRPr="00015426">
        <w:rPr>
          <w:color w:val="000000"/>
          <w:szCs w:val="24"/>
        </w:rPr>
        <w:t xml:space="preserve">ESC noted that this was a resubmission of an application for gadolinium-enhanced magnetic resonance imaging (GA-MRI) of the liver that MSAC did not support in July 2015 due to </w:t>
      </w:r>
      <w:r w:rsidRPr="00015426">
        <w:rPr>
          <w:color w:val="000000"/>
          <w:szCs w:val="24"/>
        </w:rPr>
        <w:lastRenderedPageBreak/>
        <w:t>uncertain effectiveness and cost-effectiveness due to weak data associated with change in clinical management and no translation of imaging performance to improved health outcomes (</w:t>
      </w:r>
      <w:hyperlink r:id="rId12" w:history="1">
        <w:r w:rsidRPr="00015426">
          <w:rPr>
            <w:color w:val="00B0F0"/>
            <w:szCs w:val="24"/>
            <w:u w:val="single"/>
          </w:rPr>
          <w:t>MSAC Application 1372</w:t>
        </w:r>
      </w:hyperlink>
      <w:r w:rsidRPr="00015426">
        <w:rPr>
          <w:color w:val="000000"/>
          <w:szCs w:val="24"/>
        </w:rPr>
        <w:t>). ESC noted that the populations in the submission had been narrowed to:</w:t>
      </w:r>
    </w:p>
    <w:p w14:paraId="578ECF45" w14:textId="77777777" w:rsidR="00015426" w:rsidRPr="00015426" w:rsidRDefault="00015426" w:rsidP="00015426">
      <w:pPr>
        <w:numPr>
          <w:ilvl w:val="0"/>
          <w:numId w:val="26"/>
        </w:numPr>
        <w:spacing w:after="160" w:line="256" w:lineRule="auto"/>
        <w:contextualSpacing/>
        <w:rPr>
          <w:color w:val="000000"/>
          <w:szCs w:val="24"/>
        </w:rPr>
      </w:pPr>
      <w:r w:rsidRPr="00015426">
        <w:rPr>
          <w:color w:val="000000"/>
          <w:szCs w:val="24"/>
        </w:rPr>
        <w:t>patients with suspected hepatic metastases from colorectal cancer (CRC); and</w:t>
      </w:r>
    </w:p>
    <w:p w14:paraId="1CB27990" w14:textId="77777777" w:rsidR="00015426" w:rsidRPr="00015426" w:rsidRDefault="00015426" w:rsidP="00015426">
      <w:pPr>
        <w:numPr>
          <w:ilvl w:val="0"/>
          <w:numId w:val="26"/>
        </w:numPr>
        <w:spacing w:after="160" w:line="256" w:lineRule="auto"/>
        <w:contextualSpacing/>
        <w:rPr>
          <w:color w:val="000000"/>
          <w:szCs w:val="24"/>
        </w:rPr>
      </w:pPr>
      <w:proofErr w:type="gramStart"/>
      <w:r w:rsidRPr="00015426">
        <w:rPr>
          <w:color w:val="000000"/>
          <w:szCs w:val="24"/>
        </w:rPr>
        <w:t>staging</w:t>
      </w:r>
      <w:proofErr w:type="gramEnd"/>
      <w:r w:rsidRPr="00015426">
        <w:rPr>
          <w:color w:val="000000"/>
          <w:szCs w:val="24"/>
        </w:rPr>
        <w:t xml:space="preserve"> of patients with suspected hepatocellular carcinoma (HCC).</w:t>
      </w:r>
    </w:p>
    <w:p w14:paraId="05EE4795" w14:textId="77777777" w:rsidR="00015426" w:rsidRPr="00015426" w:rsidRDefault="00015426" w:rsidP="00FC77BC">
      <w:pPr>
        <w:spacing w:before="240" w:after="240"/>
        <w:rPr>
          <w:color w:val="000000"/>
          <w:szCs w:val="24"/>
        </w:rPr>
      </w:pPr>
      <w:r w:rsidRPr="00015426">
        <w:rPr>
          <w:color w:val="000000"/>
          <w:szCs w:val="24"/>
        </w:rPr>
        <w:t xml:space="preserve">ESC noted that use of the clinical management algorithm for population 2 from MSAC Application 1372 (patients with known focal liver lesions requiring characterisation) was only partially relevant for the metastatic CRC population, and only for those patients in whom a hepatic lesion had been identified on initial staging, usually </w:t>
      </w:r>
      <w:r w:rsidR="00FC77BC">
        <w:rPr>
          <w:color w:val="000000"/>
          <w:szCs w:val="24"/>
        </w:rPr>
        <w:t>with computed tomography (CT).</w:t>
      </w:r>
    </w:p>
    <w:p w14:paraId="213CD06F" w14:textId="77777777" w:rsidR="00015426" w:rsidRPr="00015426" w:rsidRDefault="00015426" w:rsidP="00015426">
      <w:pPr>
        <w:rPr>
          <w:color w:val="000000"/>
          <w:szCs w:val="24"/>
        </w:rPr>
      </w:pPr>
      <w:r w:rsidRPr="00015426">
        <w:rPr>
          <w:color w:val="000000"/>
          <w:szCs w:val="24"/>
        </w:rPr>
        <w:t>ESC noted that the clinical algorithm for population 1 from MSAC Application 1372 (patients with extrahepatic malignancy and suspected liver metastases being considered for hepatic therapies) should have been used (with modification) instead because it implied that extrahepatic metastases had already been excluded by other means, such as positron-emission tomography with computed tomography (PET/CT).</w:t>
      </w:r>
    </w:p>
    <w:p w14:paraId="3514F9BB" w14:textId="77777777" w:rsidR="00015426" w:rsidRPr="00015426" w:rsidRDefault="00015426" w:rsidP="00015426">
      <w:pPr>
        <w:spacing w:before="240"/>
        <w:rPr>
          <w:color w:val="000000"/>
          <w:szCs w:val="24"/>
        </w:rPr>
      </w:pPr>
      <w:r w:rsidRPr="00015426">
        <w:rPr>
          <w:color w:val="000000"/>
          <w:szCs w:val="24"/>
        </w:rPr>
        <w:t>ESC noted there are no significant safety concerns when using GA-MRI in appropriately selected patients.</w:t>
      </w:r>
    </w:p>
    <w:p w14:paraId="00BD58BF" w14:textId="77777777" w:rsidR="00015426" w:rsidRPr="00015426" w:rsidRDefault="00015426" w:rsidP="00015426">
      <w:pPr>
        <w:spacing w:before="240"/>
        <w:rPr>
          <w:color w:val="000000"/>
          <w:szCs w:val="24"/>
        </w:rPr>
      </w:pPr>
      <w:r w:rsidRPr="00015426">
        <w:rPr>
          <w:color w:val="000000"/>
          <w:szCs w:val="24"/>
        </w:rPr>
        <w:t xml:space="preserve">ESC noted that the data on the diagnostic accuracy of GA-MRI for the metastatic CRC population drew from seven observational studies considered to be at moderate to high risk of bias. ESC noted that GA-MRI appeared to be more sensitive than contrast enhanced CT (CE-CT; pooled sensitivities of 93% and 75%, respectively) and have similar specificity (pooled specificity of 93% and 96%, respectively) for the metastatic CRC population. </w:t>
      </w:r>
    </w:p>
    <w:p w14:paraId="7B025ABE" w14:textId="77777777" w:rsidR="00015426" w:rsidRPr="00015426" w:rsidRDefault="00015426" w:rsidP="00015426">
      <w:pPr>
        <w:spacing w:before="240"/>
        <w:rPr>
          <w:color w:val="000000"/>
          <w:szCs w:val="24"/>
        </w:rPr>
      </w:pPr>
      <w:r w:rsidRPr="00015426">
        <w:rPr>
          <w:color w:val="000000"/>
          <w:szCs w:val="24"/>
        </w:rPr>
        <w:t xml:space="preserve">ESC noted that the evidence from four observational studies indicated that GA-MRI changed management in 8.5% to 38.4% of patients in the metastatic CRC population (Cho ES et al 2015; Kim HD et al 2015; Patel J et al 2014; </w:t>
      </w:r>
      <w:proofErr w:type="spellStart"/>
      <w:r w:rsidRPr="00015426">
        <w:rPr>
          <w:color w:val="000000"/>
          <w:szCs w:val="24"/>
        </w:rPr>
        <w:t>Zech</w:t>
      </w:r>
      <w:proofErr w:type="spellEnd"/>
      <w:r w:rsidRPr="00015426">
        <w:rPr>
          <w:color w:val="000000"/>
          <w:szCs w:val="24"/>
        </w:rPr>
        <w:t xml:space="preserve"> CJ et al 2014).</w:t>
      </w:r>
    </w:p>
    <w:p w14:paraId="2460368B" w14:textId="77777777" w:rsidR="00015426" w:rsidRPr="00015426" w:rsidRDefault="00015426" w:rsidP="00015426">
      <w:pPr>
        <w:spacing w:before="240"/>
        <w:rPr>
          <w:color w:val="000000"/>
          <w:szCs w:val="24"/>
        </w:rPr>
      </w:pPr>
      <w:r w:rsidRPr="00015426">
        <w:rPr>
          <w:color w:val="000000"/>
          <w:szCs w:val="24"/>
        </w:rPr>
        <w:t xml:space="preserve">ESC noted that in the HCC population, there were 10 studies identified for diagnostic accuracy of GA-MRI. However these studies had a moderate to high risk of bias and significant heterogeneity. ESC noted that GA-MRI appeared to have better sensitivity than CE-CT (pooled sensitivities of 84% and 75%, respectively) and have slightly better specificity (pooled specificities of 96% and 91%, respectively) for the HCC population. </w:t>
      </w:r>
    </w:p>
    <w:p w14:paraId="1A1939C1" w14:textId="77777777" w:rsidR="00015426" w:rsidRPr="00015426" w:rsidRDefault="00015426" w:rsidP="00015426">
      <w:pPr>
        <w:spacing w:before="240"/>
        <w:rPr>
          <w:color w:val="000000"/>
          <w:szCs w:val="24"/>
        </w:rPr>
      </w:pPr>
      <w:r w:rsidRPr="00015426">
        <w:rPr>
          <w:color w:val="000000"/>
          <w:szCs w:val="24"/>
        </w:rPr>
        <w:t xml:space="preserve">ESC noted that three observational studies indicated that GA-MRI changed management in 18.9% to 41.2% of patients in the HCC population (Cha DI et al 2014; </w:t>
      </w:r>
      <w:proofErr w:type="spellStart"/>
      <w:r w:rsidRPr="00015426">
        <w:rPr>
          <w:color w:val="000000"/>
          <w:szCs w:val="24"/>
        </w:rPr>
        <w:t>Yoo</w:t>
      </w:r>
      <w:proofErr w:type="spellEnd"/>
      <w:r w:rsidRPr="00015426">
        <w:rPr>
          <w:color w:val="000000"/>
          <w:szCs w:val="24"/>
        </w:rPr>
        <w:t xml:space="preserve"> SH et al 2013; Wang JH et al 2016).</w:t>
      </w:r>
    </w:p>
    <w:p w14:paraId="54C970FC" w14:textId="77777777" w:rsidR="00015426" w:rsidRPr="00015426" w:rsidRDefault="00015426" w:rsidP="00015426">
      <w:pPr>
        <w:spacing w:before="240"/>
        <w:rPr>
          <w:color w:val="000000"/>
          <w:szCs w:val="24"/>
        </w:rPr>
      </w:pPr>
      <w:r w:rsidRPr="00015426">
        <w:rPr>
          <w:color w:val="000000"/>
          <w:szCs w:val="24"/>
        </w:rPr>
        <w:t>ESC considered that the economic model structures for both the metastatic CRC and HCC populations were appropriate.</w:t>
      </w:r>
    </w:p>
    <w:p w14:paraId="4F006583" w14:textId="77777777" w:rsidR="00015426" w:rsidRPr="00015426" w:rsidRDefault="00015426" w:rsidP="00015426">
      <w:pPr>
        <w:spacing w:before="240"/>
        <w:rPr>
          <w:color w:val="000000"/>
          <w:szCs w:val="24"/>
        </w:rPr>
      </w:pPr>
      <w:r w:rsidRPr="00015426">
        <w:rPr>
          <w:color w:val="000000"/>
          <w:szCs w:val="24"/>
        </w:rPr>
        <w:t>ESC noted that the incremental cost-effectiveness ratio (ICER) was $22,893 per quality adjusted life year (QALY) for the metastatic CRC population and $12,737 per QALY in the HCC population. ESC noted that this was based upon a GA-MRI fee of $500 with GA-MRI substituting CE-CT. ESC noted that there were a number of uncertainties in the model including:</w:t>
      </w:r>
    </w:p>
    <w:p w14:paraId="5D4336FE" w14:textId="77777777" w:rsidR="00015426" w:rsidRPr="00015426" w:rsidRDefault="00015426" w:rsidP="00015426">
      <w:pPr>
        <w:numPr>
          <w:ilvl w:val="0"/>
          <w:numId w:val="27"/>
        </w:numPr>
        <w:spacing w:after="160" w:line="256" w:lineRule="auto"/>
        <w:contextualSpacing/>
        <w:rPr>
          <w:color w:val="000000"/>
          <w:szCs w:val="24"/>
        </w:rPr>
      </w:pPr>
      <w:r w:rsidRPr="00015426">
        <w:rPr>
          <w:color w:val="000000"/>
          <w:szCs w:val="24"/>
        </w:rPr>
        <w:t xml:space="preserve">the use of international data that may not accurately reflect the background prevalence of resectable hepatic CRC metastases or primary HCC in the Australian population; </w:t>
      </w:r>
    </w:p>
    <w:p w14:paraId="76A19765" w14:textId="77777777" w:rsidR="00015426" w:rsidRPr="00015426" w:rsidRDefault="00015426" w:rsidP="00015426">
      <w:pPr>
        <w:numPr>
          <w:ilvl w:val="0"/>
          <w:numId w:val="27"/>
        </w:numPr>
        <w:spacing w:after="160" w:line="256" w:lineRule="auto"/>
        <w:contextualSpacing/>
        <w:rPr>
          <w:color w:val="000000"/>
          <w:szCs w:val="24"/>
        </w:rPr>
      </w:pPr>
      <w:proofErr w:type="gramStart"/>
      <w:r w:rsidRPr="00015426">
        <w:rPr>
          <w:color w:val="000000"/>
          <w:szCs w:val="24"/>
        </w:rPr>
        <w:lastRenderedPageBreak/>
        <w:t>insufficient</w:t>
      </w:r>
      <w:proofErr w:type="gramEnd"/>
      <w:r w:rsidRPr="00015426">
        <w:rPr>
          <w:color w:val="000000"/>
          <w:szCs w:val="24"/>
        </w:rPr>
        <w:t xml:space="preserve"> information on the number and management of patients with indeterminate results.</w:t>
      </w:r>
    </w:p>
    <w:p w14:paraId="3039F7D3" w14:textId="77777777" w:rsidR="00015426" w:rsidRPr="00015426" w:rsidRDefault="00015426" w:rsidP="00015426">
      <w:pPr>
        <w:spacing w:before="240"/>
        <w:rPr>
          <w:color w:val="000000"/>
        </w:rPr>
      </w:pPr>
      <w:r w:rsidRPr="00015426">
        <w:rPr>
          <w:color w:val="000000"/>
          <w:szCs w:val="24"/>
        </w:rPr>
        <w:t xml:space="preserve">ESC considered that complete substitution of CE-CT by GA-MRI is unrealistic and the extent to which GA-MRI will replace or be used in addition to CE-CT in both populations is unclear. </w:t>
      </w:r>
      <w:r w:rsidRPr="00015426">
        <w:rPr>
          <w:color w:val="000000"/>
        </w:rPr>
        <w:t>CE-CT comparator item can also be used for spleen and biliary imaging. In the absence of granular data policy welcomes any guidance on the most likely replacement percentage to use in the range of cost scenarios presented, noting the unrealistic 100% replacement of CE-CT, plus the 100% shift of hospital/private services to the MBS, is presented as an improbable worst-case MBS/Budget cost scenario.</w:t>
      </w:r>
    </w:p>
    <w:p w14:paraId="3AE5367D" w14:textId="77777777" w:rsidR="00015426" w:rsidRPr="00015426" w:rsidRDefault="00015426" w:rsidP="00015426">
      <w:pPr>
        <w:spacing w:before="240"/>
        <w:rPr>
          <w:color w:val="000000"/>
          <w:szCs w:val="24"/>
        </w:rPr>
      </w:pPr>
      <w:r w:rsidRPr="00015426">
        <w:rPr>
          <w:color w:val="000000"/>
          <w:szCs w:val="24"/>
        </w:rPr>
        <w:t xml:space="preserve">ESC noted that the base case ICER increased to $40,000 for the metastatic CRC population and to $28,000 for the HCC population when it was assumed that all patients received both GA-MRI and CE-CT (but assumed that diagnostic utility and health outcomes were unchanged). </w:t>
      </w:r>
    </w:p>
    <w:p w14:paraId="06683547" w14:textId="77777777" w:rsidR="00015426" w:rsidRPr="00015426" w:rsidRDefault="00015426" w:rsidP="00015426">
      <w:pPr>
        <w:spacing w:before="240"/>
        <w:rPr>
          <w:color w:val="000000"/>
          <w:szCs w:val="24"/>
        </w:rPr>
      </w:pPr>
      <w:r w:rsidRPr="00015426">
        <w:rPr>
          <w:color w:val="000000"/>
          <w:szCs w:val="24"/>
        </w:rPr>
        <w:t>ESC queried the proposed MBS fee of $1200, noted the fee of $500 applied in the economic model, and suggested that a $600 fee — similar to MBS item 63473 for MRI of the pelvis and upper abdomen — may be more appropriate. ESC noted that the applicant is willing to consider a lower fee than $1200.</w:t>
      </w:r>
    </w:p>
    <w:p w14:paraId="66D08C6E" w14:textId="77777777" w:rsidR="00015426" w:rsidRPr="00015426" w:rsidRDefault="00015426" w:rsidP="00015426">
      <w:pPr>
        <w:spacing w:before="240"/>
        <w:rPr>
          <w:color w:val="000000"/>
          <w:szCs w:val="24"/>
        </w:rPr>
      </w:pPr>
      <w:r w:rsidRPr="00015426">
        <w:rPr>
          <w:color w:val="000000"/>
          <w:szCs w:val="24"/>
        </w:rPr>
        <w:t xml:space="preserve">ESC noted that the application had not included information on the use of standard (extracellular) rather than hepatobiliary contrast agents. ESC considered that the item descriptor for the supplementary modifying agent should specify the use of hepatobiliary specific contrast agents such as disodium </w:t>
      </w:r>
      <w:proofErr w:type="spellStart"/>
      <w:r w:rsidRPr="00015426">
        <w:rPr>
          <w:color w:val="000000"/>
          <w:szCs w:val="24"/>
        </w:rPr>
        <w:t>gadoxetate</w:t>
      </w:r>
      <w:proofErr w:type="spellEnd"/>
      <w:r w:rsidRPr="00015426">
        <w:rPr>
          <w:color w:val="000000"/>
          <w:szCs w:val="24"/>
        </w:rPr>
        <w:t xml:space="preserve"> (</w:t>
      </w:r>
      <w:proofErr w:type="spellStart"/>
      <w:r w:rsidRPr="00015426">
        <w:rPr>
          <w:color w:val="000000"/>
          <w:szCs w:val="24"/>
        </w:rPr>
        <w:t>Primovist</w:t>
      </w:r>
      <w:proofErr w:type="spellEnd"/>
      <w:r w:rsidRPr="00015426">
        <w:rPr>
          <w:color w:val="000000"/>
          <w:szCs w:val="24"/>
        </w:rPr>
        <w:t xml:space="preserve">) or </w:t>
      </w:r>
      <w:proofErr w:type="spellStart"/>
      <w:r w:rsidRPr="00015426">
        <w:rPr>
          <w:color w:val="000000"/>
          <w:szCs w:val="24"/>
        </w:rPr>
        <w:t>gadobenate</w:t>
      </w:r>
      <w:proofErr w:type="spellEnd"/>
      <w:r w:rsidRPr="00015426">
        <w:rPr>
          <w:color w:val="000000"/>
          <w:szCs w:val="24"/>
        </w:rPr>
        <w:t xml:space="preserve"> </w:t>
      </w:r>
      <w:proofErr w:type="spellStart"/>
      <w:r w:rsidRPr="00015426">
        <w:rPr>
          <w:color w:val="000000"/>
          <w:szCs w:val="24"/>
        </w:rPr>
        <w:t>dimeglumine</w:t>
      </w:r>
      <w:proofErr w:type="spellEnd"/>
      <w:r w:rsidRPr="00015426">
        <w:rPr>
          <w:color w:val="000000"/>
          <w:szCs w:val="24"/>
        </w:rPr>
        <w:t xml:space="preserve"> (</w:t>
      </w:r>
      <w:proofErr w:type="spellStart"/>
      <w:r w:rsidRPr="00015426">
        <w:rPr>
          <w:color w:val="000000"/>
          <w:szCs w:val="24"/>
        </w:rPr>
        <w:t>Multihance</w:t>
      </w:r>
      <w:proofErr w:type="spellEnd"/>
      <w:r w:rsidRPr="00015426">
        <w:rPr>
          <w:color w:val="000000"/>
          <w:szCs w:val="24"/>
        </w:rPr>
        <w:t>) rather than extracellular agen</w:t>
      </w:r>
      <w:r w:rsidR="00AC3588">
        <w:rPr>
          <w:color w:val="000000"/>
          <w:szCs w:val="24"/>
        </w:rPr>
        <w:t xml:space="preserve">ts such as </w:t>
      </w:r>
      <w:proofErr w:type="spellStart"/>
      <w:r w:rsidR="00AC3588">
        <w:rPr>
          <w:color w:val="000000"/>
          <w:szCs w:val="24"/>
        </w:rPr>
        <w:t>gabutrol</w:t>
      </w:r>
      <w:proofErr w:type="spellEnd"/>
      <w:r w:rsidR="00AC3588">
        <w:rPr>
          <w:color w:val="000000"/>
          <w:szCs w:val="24"/>
        </w:rPr>
        <w:t xml:space="preserve"> (</w:t>
      </w:r>
      <w:proofErr w:type="spellStart"/>
      <w:r w:rsidR="00AC3588">
        <w:rPr>
          <w:color w:val="000000"/>
          <w:szCs w:val="24"/>
        </w:rPr>
        <w:t>Gadovist</w:t>
      </w:r>
      <w:proofErr w:type="spellEnd"/>
      <w:r w:rsidR="00AC3588">
        <w:rPr>
          <w:color w:val="000000"/>
          <w:szCs w:val="24"/>
        </w:rPr>
        <w:t>).</w:t>
      </w:r>
    </w:p>
    <w:p w14:paraId="69A8352B" w14:textId="77777777" w:rsidR="00015426" w:rsidRPr="00015426" w:rsidRDefault="00015426" w:rsidP="00015426">
      <w:pPr>
        <w:spacing w:before="240"/>
        <w:rPr>
          <w:color w:val="000000"/>
          <w:szCs w:val="24"/>
        </w:rPr>
      </w:pPr>
      <w:r w:rsidRPr="00015426">
        <w:rPr>
          <w:color w:val="000000"/>
          <w:szCs w:val="24"/>
        </w:rPr>
        <w:t xml:space="preserve">ESC foreshadowed that the use of </w:t>
      </w:r>
      <w:proofErr w:type="spellStart"/>
      <w:r w:rsidRPr="00015426">
        <w:rPr>
          <w:color w:val="000000"/>
          <w:szCs w:val="24"/>
        </w:rPr>
        <w:t>gadobenate</w:t>
      </w:r>
      <w:proofErr w:type="spellEnd"/>
      <w:r w:rsidRPr="00015426">
        <w:rPr>
          <w:color w:val="000000"/>
          <w:szCs w:val="24"/>
        </w:rPr>
        <w:t xml:space="preserve"> </w:t>
      </w:r>
      <w:proofErr w:type="spellStart"/>
      <w:r w:rsidRPr="00015426">
        <w:rPr>
          <w:color w:val="000000"/>
          <w:szCs w:val="24"/>
        </w:rPr>
        <w:t>dimeglumine</w:t>
      </w:r>
      <w:proofErr w:type="spellEnd"/>
      <w:r w:rsidRPr="00015426">
        <w:rPr>
          <w:color w:val="000000"/>
          <w:szCs w:val="24"/>
        </w:rPr>
        <w:t xml:space="preserve"> (</w:t>
      </w:r>
      <w:proofErr w:type="spellStart"/>
      <w:r w:rsidRPr="00015426">
        <w:rPr>
          <w:color w:val="000000"/>
          <w:szCs w:val="24"/>
        </w:rPr>
        <w:t>Multihance</w:t>
      </w:r>
      <w:proofErr w:type="spellEnd"/>
      <w:r w:rsidRPr="00015426">
        <w:rPr>
          <w:color w:val="000000"/>
          <w:szCs w:val="24"/>
        </w:rPr>
        <w:t xml:space="preserve">) could lead to two separate GA-MRI services being billed due to the delay in peak hepatobiliary accumulation of contrast agent. Peak hepatocellular uptake of disodium </w:t>
      </w:r>
      <w:proofErr w:type="spellStart"/>
      <w:r w:rsidRPr="00015426">
        <w:rPr>
          <w:color w:val="000000"/>
          <w:szCs w:val="24"/>
        </w:rPr>
        <w:t>gadoxetate</w:t>
      </w:r>
      <w:proofErr w:type="spellEnd"/>
      <w:r w:rsidRPr="00015426">
        <w:rPr>
          <w:color w:val="000000"/>
          <w:szCs w:val="24"/>
        </w:rPr>
        <w:t xml:space="preserve"> (</w:t>
      </w:r>
      <w:proofErr w:type="spellStart"/>
      <w:r w:rsidRPr="00015426">
        <w:rPr>
          <w:color w:val="000000"/>
          <w:szCs w:val="24"/>
        </w:rPr>
        <w:t>Primovist</w:t>
      </w:r>
      <w:proofErr w:type="spellEnd"/>
      <w:r w:rsidRPr="00015426">
        <w:rPr>
          <w:color w:val="000000"/>
          <w:szCs w:val="24"/>
        </w:rPr>
        <w:t xml:space="preserve">) occurs approximately 16 minutes after administration as opposed to 90–120 minutes for </w:t>
      </w:r>
      <w:proofErr w:type="spellStart"/>
      <w:r w:rsidRPr="00015426">
        <w:rPr>
          <w:color w:val="000000"/>
          <w:szCs w:val="24"/>
        </w:rPr>
        <w:t>gadobenate</w:t>
      </w:r>
      <w:proofErr w:type="spellEnd"/>
      <w:r w:rsidRPr="00015426">
        <w:rPr>
          <w:color w:val="000000"/>
          <w:szCs w:val="24"/>
        </w:rPr>
        <w:t xml:space="preserve"> </w:t>
      </w:r>
      <w:proofErr w:type="spellStart"/>
      <w:r w:rsidRPr="00015426">
        <w:rPr>
          <w:color w:val="000000"/>
          <w:szCs w:val="24"/>
        </w:rPr>
        <w:t>dimeglumine</w:t>
      </w:r>
      <w:proofErr w:type="spellEnd"/>
      <w:r w:rsidRPr="00015426">
        <w:rPr>
          <w:color w:val="000000"/>
          <w:szCs w:val="24"/>
        </w:rPr>
        <w:t xml:space="preserve"> (</w:t>
      </w:r>
      <w:proofErr w:type="spellStart"/>
      <w:r w:rsidRPr="00015426">
        <w:rPr>
          <w:color w:val="000000"/>
          <w:szCs w:val="24"/>
        </w:rPr>
        <w:t>Multihance</w:t>
      </w:r>
      <w:proofErr w:type="spellEnd"/>
      <w:r w:rsidRPr="00015426">
        <w:rPr>
          <w:color w:val="000000"/>
          <w:szCs w:val="24"/>
        </w:rPr>
        <w:t>). ESC considered that the item descriptor should cover both early and delayed phase GA-MRI to prevent the possibility of two billings. .</w:t>
      </w:r>
    </w:p>
    <w:p w14:paraId="750CB152" w14:textId="77777777" w:rsidR="00015426" w:rsidRPr="00015426" w:rsidRDefault="00015426" w:rsidP="00015426">
      <w:pPr>
        <w:spacing w:before="240"/>
        <w:rPr>
          <w:color w:val="000000"/>
          <w:szCs w:val="24"/>
        </w:rPr>
      </w:pPr>
      <w:r w:rsidRPr="00015426">
        <w:rPr>
          <w:color w:val="000000"/>
          <w:szCs w:val="24"/>
        </w:rPr>
        <w:t xml:space="preserve">ESC noted that while a separate item descriptor for the contrast agent had been proposed, no associated fee has been proposed. ESC noted that the current market price of disodium </w:t>
      </w:r>
      <w:proofErr w:type="spellStart"/>
      <w:r w:rsidRPr="00015426">
        <w:rPr>
          <w:color w:val="000000"/>
          <w:szCs w:val="24"/>
        </w:rPr>
        <w:t>gadoxetate</w:t>
      </w:r>
      <w:proofErr w:type="spellEnd"/>
      <w:r w:rsidRPr="00015426">
        <w:rPr>
          <w:color w:val="000000"/>
          <w:szCs w:val="24"/>
        </w:rPr>
        <w:t xml:space="preserve"> (</w:t>
      </w:r>
      <w:proofErr w:type="spellStart"/>
      <w:r w:rsidRPr="00015426">
        <w:rPr>
          <w:color w:val="000000"/>
          <w:szCs w:val="24"/>
        </w:rPr>
        <w:t>Primovist</w:t>
      </w:r>
      <w:proofErr w:type="spellEnd"/>
      <w:r w:rsidRPr="00015426">
        <w:rPr>
          <w:color w:val="000000"/>
          <w:szCs w:val="24"/>
        </w:rPr>
        <w:t xml:space="preserve">) is $250 and </w:t>
      </w:r>
      <w:proofErr w:type="spellStart"/>
      <w:r w:rsidRPr="00015426">
        <w:rPr>
          <w:color w:val="000000"/>
          <w:szCs w:val="24"/>
        </w:rPr>
        <w:t>gadobenate</w:t>
      </w:r>
      <w:proofErr w:type="spellEnd"/>
      <w:r w:rsidRPr="00015426">
        <w:rPr>
          <w:color w:val="000000"/>
          <w:szCs w:val="24"/>
        </w:rPr>
        <w:t xml:space="preserve"> </w:t>
      </w:r>
      <w:proofErr w:type="spellStart"/>
      <w:r w:rsidRPr="00015426">
        <w:rPr>
          <w:color w:val="000000"/>
          <w:szCs w:val="24"/>
        </w:rPr>
        <w:t>dimeglumine</w:t>
      </w:r>
      <w:proofErr w:type="spellEnd"/>
      <w:r w:rsidRPr="00015426">
        <w:rPr>
          <w:color w:val="000000"/>
          <w:szCs w:val="24"/>
        </w:rPr>
        <w:t xml:space="preserve"> (</w:t>
      </w:r>
      <w:proofErr w:type="spellStart"/>
      <w:r w:rsidRPr="00015426">
        <w:rPr>
          <w:color w:val="000000"/>
          <w:szCs w:val="24"/>
        </w:rPr>
        <w:t>Multihance</w:t>
      </w:r>
      <w:proofErr w:type="spellEnd"/>
      <w:r w:rsidRPr="00015426">
        <w:rPr>
          <w:color w:val="000000"/>
          <w:szCs w:val="24"/>
        </w:rPr>
        <w:t xml:space="preserve">) is approximately $20. ESC noted that there is an existing MBS item 63491 for the use of contrast agent with an associated fee of $44.80, and if this item is used there is the potential the MBS may pay a higher price than is reasonable for the </w:t>
      </w:r>
      <w:proofErr w:type="spellStart"/>
      <w:r w:rsidRPr="00015426">
        <w:rPr>
          <w:color w:val="000000"/>
          <w:szCs w:val="24"/>
        </w:rPr>
        <w:t>gadobenate</w:t>
      </w:r>
      <w:proofErr w:type="spellEnd"/>
      <w:r w:rsidRPr="00015426">
        <w:rPr>
          <w:color w:val="000000"/>
          <w:szCs w:val="24"/>
        </w:rPr>
        <w:t xml:space="preserve"> </w:t>
      </w:r>
      <w:proofErr w:type="spellStart"/>
      <w:r w:rsidRPr="00015426">
        <w:rPr>
          <w:color w:val="000000"/>
          <w:szCs w:val="24"/>
        </w:rPr>
        <w:t>dimeglumine</w:t>
      </w:r>
      <w:proofErr w:type="spellEnd"/>
      <w:r w:rsidRPr="00015426">
        <w:rPr>
          <w:color w:val="000000"/>
          <w:szCs w:val="24"/>
        </w:rPr>
        <w:t xml:space="preserve"> (</w:t>
      </w:r>
      <w:proofErr w:type="spellStart"/>
      <w:r w:rsidRPr="00015426">
        <w:rPr>
          <w:color w:val="000000"/>
          <w:szCs w:val="24"/>
        </w:rPr>
        <w:t>Multihance</w:t>
      </w:r>
      <w:proofErr w:type="spellEnd"/>
      <w:r w:rsidRPr="00015426">
        <w:rPr>
          <w:color w:val="000000"/>
          <w:szCs w:val="24"/>
        </w:rPr>
        <w:t xml:space="preserve">) contrast agent. </w:t>
      </w:r>
    </w:p>
    <w:p w14:paraId="02FB9CEA" w14:textId="77777777" w:rsidR="00015426" w:rsidRPr="00015426" w:rsidRDefault="00015426" w:rsidP="00015426">
      <w:pPr>
        <w:spacing w:before="240"/>
        <w:rPr>
          <w:color w:val="000000"/>
          <w:szCs w:val="24"/>
        </w:rPr>
      </w:pPr>
      <w:r w:rsidRPr="00015426">
        <w:rPr>
          <w:color w:val="000000"/>
          <w:szCs w:val="24"/>
        </w:rPr>
        <w:t>ESC also noted that there are concerns that consumers may be exposed to out of pocket costs if the proposed modifying agent fee is inadequate. ESC noted that there is an international trend towards a preference for macrocyclic contrast agents (</w:t>
      </w:r>
      <w:proofErr w:type="spellStart"/>
      <w:r w:rsidRPr="00015426">
        <w:rPr>
          <w:color w:val="000000"/>
          <w:szCs w:val="24"/>
        </w:rPr>
        <w:t>gadoteric</w:t>
      </w:r>
      <w:proofErr w:type="spellEnd"/>
      <w:r w:rsidRPr="00015426">
        <w:rPr>
          <w:color w:val="000000"/>
          <w:szCs w:val="24"/>
        </w:rPr>
        <w:t xml:space="preserve"> acid, </w:t>
      </w:r>
      <w:proofErr w:type="spellStart"/>
      <w:r w:rsidRPr="00015426">
        <w:rPr>
          <w:color w:val="000000"/>
          <w:szCs w:val="24"/>
        </w:rPr>
        <w:t>gadobutrol</w:t>
      </w:r>
      <w:proofErr w:type="spellEnd"/>
      <w:r w:rsidRPr="00015426">
        <w:rPr>
          <w:color w:val="000000"/>
          <w:szCs w:val="24"/>
        </w:rPr>
        <w:t xml:space="preserve"> and </w:t>
      </w:r>
      <w:proofErr w:type="spellStart"/>
      <w:r w:rsidRPr="00015426">
        <w:rPr>
          <w:color w:val="000000"/>
          <w:szCs w:val="24"/>
        </w:rPr>
        <w:t>gadoteridol</w:t>
      </w:r>
      <w:proofErr w:type="spellEnd"/>
      <w:r w:rsidRPr="00015426">
        <w:rPr>
          <w:color w:val="000000"/>
          <w:szCs w:val="24"/>
        </w:rPr>
        <w:t xml:space="preserve">) rather than linear contrast agents (including </w:t>
      </w:r>
      <w:proofErr w:type="spellStart"/>
      <w:r w:rsidRPr="00015426">
        <w:rPr>
          <w:color w:val="000000"/>
          <w:szCs w:val="24"/>
        </w:rPr>
        <w:t>gadobenate</w:t>
      </w:r>
      <w:proofErr w:type="spellEnd"/>
      <w:r w:rsidRPr="00015426">
        <w:rPr>
          <w:color w:val="000000"/>
          <w:szCs w:val="24"/>
        </w:rPr>
        <w:t xml:space="preserve"> </w:t>
      </w:r>
      <w:proofErr w:type="spellStart"/>
      <w:r w:rsidRPr="00015426">
        <w:rPr>
          <w:color w:val="000000"/>
          <w:szCs w:val="24"/>
        </w:rPr>
        <w:t>dimeglumine</w:t>
      </w:r>
      <w:proofErr w:type="spellEnd"/>
      <w:r w:rsidRPr="00015426">
        <w:rPr>
          <w:color w:val="000000"/>
          <w:szCs w:val="24"/>
        </w:rPr>
        <w:t xml:space="preserve"> [</w:t>
      </w:r>
      <w:proofErr w:type="spellStart"/>
      <w:r w:rsidRPr="00015426">
        <w:rPr>
          <w:color w:val="000000"/>
          <w:szCs w:val="24"/>
        </w:rPr>
        <w:t>Multihance</w:t>
      </w:r>
      <w:proofErr w:type="spellEnd"/>
      <w:r w:rsidRPr="00015426">
        <w:rPr>
          <w:color w:val="000000"/>
          <w:szCs w:val="24"/>
        </w:rPr>
        <w:t xml:space="preserve">] and disodium </w:t>
      </w:r>
      <w:proofErr w:type="spellStart"/>
      <w:r w:rsidRPr="00015426">
        <w:rPr>
          <w:color w:val="000000"/>
          <w:szCs w:val="24"/>
        </w:rPr>
        <w:t>gadoxetate</w:t>
      </w:r>
      <w:proofErr w:type="spellEnd"/>
      <w:r w:rsidRPr="00015426">
        <w:rPr>
          <w:color w:val="000000"/>
          <w:szCs w:val="24"/>
        </w:rPr>
        <w:t xml:space="preserve"> [</w:t>
      </w:r>
      <w:proofErr w:type="spellStart"/>
      <w:r w:rsidRPr="00015426">
        <w:rPr>
          <w:color w:val="000000"/>
          <w:szCs w:val="24"/>
        </w:rPr>
        <w:t>Primovist</w:t>
      </w:r>
      <w:proofErr w:type="spellEnd"/>
      <w:r w:rsidRPr="00015426">
        <w:rPr>
          <w:color w:val="000000"/>
          <w:szCs w:val="24"/>
        </w:rPr>
        <w:t xml:space="preserve">]) due to the potential for small amounts of gadolinium to be retained in the </w:t>
      </w:r>
      <w:proofErr w:type="spellStart"/>
      <w:r w:rsidRPr="00015426">
        <w:rPr>
          <w:color w:val="000000"/>
          <w:szCs w:val="24"/>
        </w:rPr>
        <w:t>globus</w:t>
      </w:r>
      <w:proofErr w:type="spellEnd"/>
      <w:r w:rsidRPr="00015426">
        <w:rPr>
          <w:color w:val="000000"/>
          <w:szCs w:val="24"/>
        </w:rPr>
        <w:t xml:space="preserve"> pall</w:t>
      </w:r>
      <w:r w:rsidR="00AC3588">
        <w:rPr>
          <w:color w:val="000000"/>
          <w:szCs w:val="24"/>
        </w:rPr>
        <w:t xml:space="preserve">idus and dentate nucleus </w:t>
      </w:r>
      <w:r w:rsidRPr="00015426">
        <w:rPr>
          <w:color w:val="000000"/>
          <w:szCs w:val="24"/>
        </w:rPr>
        <w:t>(</w:t>
      </w:r>
      <w:hyperlink r:id="rId13" w:tooltip="Link to Therapeutic Goods Administration website alert" w:history="1">
        <w:r w:rsidRPr="00015426">
          <w:rPr>
            <w:color w:val="00B0F0"/>
            <w:szCs w:val="24"/>
            <w:u w:val="single"/>
          </w:rPr>
          <w:t>https://www.tga.gov.au/alert/gadolinium-based-contrast-agents-mri-scans</w:t>
        </w:r>
      </w:hyperlink>
      <w:r w:rsidRPr="00015426">
        <w:rPr>
          <w:color w:val="000000"/>
          <w:szCs w:val="24"/>
        </w:rPr>
        <w:t>).</w:t>
      </w:r>
    </w:p>
    <w:p w14:paraId="02CB3C6D" w14:textId="0BDDC77D" w:rsidR="00460930" w:rsidRDefault="00015426" w:rsidP="00FC77BC">
      <w:pPr>
        <w:spacing w:before="240" w:after="240"/>
        <w:rPr>
          <w:color w:val="000000"/>
          <w:szCs w:val="24"/>
        </w:rPr>
      </w:pPr>
      <w:r w:rsidRPr="00015426">
        <w:rPr>
          <w:color w:val="000000"/>
          <w:szCs w:val="24"/>
        </w:rPr>
        <w:t>ESC noted that radiologists with MRI accreditation have sufficient expertise in conducting MRI for the populations in this application. ESC considered the possibility of cost-shift towards MBS fund</w:t>
      </w:r>
      <w:r w:rsidR="00FC77BC">
        <w:rPr>
          <w:color w:val="000000"/>
          <w:szCs w:val="24"/>
        </w:rPr>
        <w:t>s if proposed items are listed.</w:t>
      </w:r>
    </w:p>
    <w:tbl>
      <w:tblPr>
        <w:tblW w:w="8740" w:type="dxa"/>
        <w:tblCellMar>
          <w:left w:w="0" w:type="dxa"/>
          <w:right w:w="0" w:type="dxa"/>
        </w:tblCellMar>
        <w:tblLook w:val="04A0" w:firstRow="1" w:lastRow="0" w:firstColumn="1" w:lastColumn="0" w:noHBand="0" w:noVBand="1"/>
      </w:tblPr>
      <w:tblGrid>
        <w:gridCol w:w="3060"/>
        <w:gridCol w:w="5680"/>
      </w:tblGrid>
      <w:tr w:rsidR="00015426" w:rsidRPr="00015426" w14:paraId="174625AF" w14:textId="77777777" w:rsidTr="00680EF2">
        <w:trPr>
          <w:trHeight w:val="755"/>
        </w:trPr>
        <w:tc>
          <w:tcPr>
            <w:tcW w:w="306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14:paraId="2F81495B" w14:textId="77777777" w:rsidR="00015426" w:rsidRPr="00015426" w:rsidRDefault="00015426" w:rsidP="00015426">
            <w:pPr>
              <w:rPr>
                <w:color w:val="FFFFFF"/>
              </w:rPr>
            </w:pPr>
            <w:r w:rsidRPr="00015426">
              <w:rPr>
                <w:b/>
                <w:bCs/>
                <w:color w:val="FFFFFF"/>
              </w:rPr>
              <w:lastRenderedPageBreak/>
              <w:t>ESC Key ISSUES</w:t>
            </w:r>
          </w:p>
        </w:tc>
        <w:tc>
          <w:tcPr>
            <w:tcW w:w="568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14:paraId="0DE7F8F2" w14:textId="77777777" w:rsidR="00015426" w:rsidRPr="00015426" w:rsidRDefault="00015426" w:rsidP="00015426">
            <w:pPr>
              <w:rPr>
                <w:color w:val="FFFFFF"/>
              </w:rPr>
            </w:pPr>
            <w:r w:rsidRPr="00015426">
              <w:rPr>
                <w:b/>
                <w:bCs/>
                <w:color w:val="FFFFFF"/>
              </w:rPr>
              <w:t>ESC ADVICE</w:t>
            </w:r>
          </w:p>
        </w:tc>
      </w:tr>
      <w:tr w:rsidR="00015426" w:rsidRPr="00015426" w14:paraId="0326B380" w14:textId="77777777" w:rsidTr="00680EF2">
        <w:trPr>
          <w:trHeight w:val="618"/>
        </w:trPr>
        <w:tc>
          <w:tcPr>
            <w:tcW w:w="3060" w:type="dxa"/>
            <w:tcBorders>
              <w:top w:val="single" w:sz="24"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79206A86" w14:textId="77777777" w:rsidR="00015426" w:rsidRPr="00015426" w:rsidRDefault="00015426" w:rsidP="00015426">
            <w:pPr>
              <w:rPr>
                <w:bCs/>
                <w:color w:val="000000"/>
                <w:lang w:val="en-US"/>
              </w:rPr>
            </w:pPr>
            <w:proofErr w:type="spellStart"/>
            <w:r w:rsidRPr="00015426">
              <w:rPr>
                <w:bCs/>
                <w:color w:val="000000"/>
                <w:lang w:val="en-US"/>
              </w:rPr>
              <w:t>mCRC</w:t>
            </w:r>
            <w:proofErr w:type="spellEnd"/>
            <w:r w:rsidRPr="00015426">
              <w:rPr>
                <w:bCs/>
                <w:color w:val="000000"/>
                <w:lang w:val="en-US"/>
              </w:rPr>
              <w:t xml:space="preserve"> Clinical Management Algorithm</w:t>
            </w:r>
          </w:p>
        </w:tc>
        <w:tc>
          <w:tcPr>
            <w:tcW w:w="5680" w:type="dxa"/>
            <w:tcBorders>
              <w:top w:val="single" w:sz="24"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6BA384DC" w14:textId="77777777" w:rsidR="00015426" w:rsidRPr="00015426" w:rsidRDefault="00015426" w:rsidP="00015426">
            <w:pPr>
              <w:rPr>
                <w:bCs/>
                <w:color w:val="000000"/>
              </w:rPr>
            </w:pPr>
            <w:r w:rsidRPr="00015426">
              <w:rPr>
                <w:bCs/>
                <w:color w:val="000000"/>
              </w:rPr>
              <w:t xml:space="preserve">Query the appropriateness of </w:t>
            </w:r>
            <w:proofErr w:type="spellStart"/>
            <w:r w:rsidRPr="00015426">
              <w:rPr>
                <w:bCs/>
                <w:color w:val="000000"/>
              </w:rPr>
              <w:t>mCRC</w:t>
            </w:r>
            <w:proofErr w:type="spellEnd"/>
            <w:r w:rsidRPr="00015426">
              <w:rPr>
                <w:bCs/>
                <w:color w:val="000000"/>
              </w:rPr>
              <w:t xml:space="preserve"> algorithm (does not appear to have influenced economic model)</w:t>
            </w:r>
          </w:p>
          <w:p w14:paraId="7B2CDCFC" w14:textId="77777777" w:rsidR="00015426" w:rsidRPr="00015426" w:rsidRDefault="00015426" w:rsidP="00015426">
            <w:pPr>
              <w:rPr>
                <w:color w:val="000000"/>
              </w:rPr>
            </w:pPr>
          </w:p>
        </w:tc>
      </w:tr>
      <w:tr w:rsidR="00015426" w:rsidRPr="00015426" w14:paraId="6DCBC344" w14:textId="77777777" w:rsidTr="00680EF2">
        <w:trPr>
          <w:trHeight w:val="595"/>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7EC0E407" w14:textId="77777777" w:rsidR="00015426" w:rsidRPr="00015426" w:rsidRDefault="00015426" w:rsidP="00015426">
            <w:pPr>
              <w:rPr>
                <w:bCs/>
                <w:color w:val="000000"/>
                <w:lang w:val="en-US"/>
              </w:rPr>
            </w:pPr>
            <w:r w:rsidRPr="00015426">
              <w:rPr>
                <w:bCs/>
                <w:color w:val="000000"/>
                <w:lang w:val="en-US"/>
              </w:rPr>
              <w:t>Proposed item descriptor</w:t>
            </w:r>
          </w:p>
        </w:tc>
        <w:tc>
          <w:tcPr>
            <w:tcW w:w="5680" w:type="dxa"/>
            <w:tcBorders>
              <w:top w:val="single" w:sz="8" w:space="0" w:color="FFFFFF"/>
              <w:left w:val="single" w:sz="8" w:space="0" w:color="FFFFFF"/>
              <w:bottom w:val="single" w:sz="8" w:space="0" w:color="FFFFFF"/>
              <w:right w:val="single" w:sz="8" w:space="0" w:color="FFFFFF"/>
            </w:tcBorders>
            <w:shd w:val="clear" w:color="auto" w:fill="E8F3FF"/>
            <w:tcMar>
              <w:top w:w="15" w:type="dxa"/>
              <w:left w:w="93" w:type="dxa"/>
              <w:bottom w:w="0" w:type="dxa"/>
              <w:right w:w="93" w:type="dxa"/>
            </w:tcMar>
          </w:tcPr>
          <w:p w14:paraId="48F8D908" w14:textId="77777777" w:rsidR="00015426" w:rsidRPr="00015426" w:rsidRDefault="00015426" w:rsidP="00015426">
            <w:pPr>
              <w:rPr>
                <w:bCs/>
                <w:color w:val="000000"/>
              </w:rPr>
            </w:pPr>
            <w:r w:rsidRPr="00015426">
              <w:rPr>
                <w:bCs/>
                <w:color w:val="000000"/>
              </w:rPr>
              <w:t xml:space="preserve">Consider separate descriptors for </w:t>
            </w:r>
            <w:proofErr w:type="spellStart"/>
            <w:r w:rsidRPr="00015426">
              <w:rPr>
                <w:bCs/>
                <w:color w:val="000000"/>
              </w:rPr>
              <w:t>mCRC</w:t>
            </w:r>
            <w:proofErr w:type="spellEnd"/>
            <w:r w:rsidRPr="00015426">
              <w:rPr>
                <w:bCs/>
                <w:color w:val="000000"/>
              </w:rPr>
              <w:t xml:space="preserve"> and HCC populations</w:t>
            </w:r>
          </w:p>
          <w:p w14:paraId="0DAAD576" w14:textId="77777777" w:rsidR="00015426" w:rsidRPr="00015426" w:rsidRDefault="00015426" w:rsidP="00015426">
            <w:pPr>
              <w:rPr>
                <w:bCs/>
                <w:color w:val="000000"/>
              </w:rPr>
            </w:pPr>
          </w:p>
        </w:tc>
      </w:tr>
      <w:tr w:rsidR="00015426" w:rsidRPr="00015426" w14:paraId="1F272B6E" w14:textId="77777777" w:rsidTr="00680EF2">
        <w:trPr>
          <w:trHeight w:val="595"/>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3D0EF8C5" w14:textId="77777777" w:rsidR="00015426" w:rsidRPr="00015426" w:rsidRDefault="00015426" w:rsidP="00015426">
            <w:pPr>
              <w:rPr>
                <w:bCs/>
                <w:color w:val="000000"/>
                <w:lang w:val="en-US"/>
              </w:rPr>
            </w:pPr>
            <w:r w:rsidRPr="00015426">
              <w:rPr>
                <w:bCs/>
                <w:color w:val="000000"/>
                <w:lang w:val="en-US"/>
              </w:rPr>
              <w:t>Proposed Fees</w:t>
            </w:r>
          </w:p>
        </w:tc>
        <w:tc>
          <w:tcPr>
            <w:tcW w:w="5680" w:type="dxa"/>
            <w:tcBorders>
              <w:top w:val="single" w:sz="8" w:space="0" w:color="FFFFFF"/>
              <w:left w:val="single" w:sz="8" w:space="0" w:color="FFFFFF"/>
              <w:bottom w:val="single" w:sz="8" w:space="0" w:color="FFFFFF"/>
              <w:right w:val="single" w:sz="8" w:space="0" w:color="FFFFFF"/>
            </w:tcBorders>
            <w:shd w:val="clear" w:color="auto" w:fill="E8F3FF"/>
            <w:tcMar>
              <w:top w:w="15" w:type="dxa"/>
              <w:left w:w="93" w:type="dxa"/>
              <w:bottom w:w="0" w:type="dxa"/>
              <w:right w:w="93" w:type="dxa"/>
            </w:tcMar>
            <w:hideMark/>
          </w:tcPr>
          <w:p w14:paraId="026A7B28" w14:textId="77777777" w:rsidR="00015426" w:rsidRPr="00015426" w:rsidRDefault="00015426" w:rsidP="00015426">
            <w:pPr>
              <w:rPr>
                <w:bCs/>
                <w:color w:val="000000"/>
              </w:rPr>
            </w:pPr>
            <w:r w:rsidRPr="00015426">
              <w:rPr>
                <w:bCs/>
                <w:color w:val="000000"/>
              </w:rPr>
              <w:t>Provide justification for proposed fee for clinical service (to include early + delayed imaging)</w:t>
            </w:r>
          </w:p>
          <w:p w14:paraId="4A035BFD" w14:textId="77777777" w:rsidR="00015426" w:rsidRPr="00015426" w:rsidRDefault="00015426" w:rsidP="00015426">
            <w:pPr>
              <w:rPr>
                <w:bCs/>
                <w:color w:val="000000"/>
              </w:rPr>
            </w:pPr>
          </w:p>
          <w:p w14:paraId="7DECC410" w14:textId="77777777" w:rsidR="00015426" w:rsidRPr="00015426" w:rsidRDefault="00015426" w:rsidP="00015426">
            <w:pPr>
              <w:rPr>
                <w:bCs/>
                <w:color w:val="000000"/>
              </w:rPr>
            </w:pPr>
            <w:r w:rsidRPr="00015426">
              <w:rPr>
                <w:bCs/>
                <w:color w:val="000000"/>
              </w:rPr>
              <w:t xml:space="preserve">Provide justification for proposed fee for contrast agent -use of hepatobiliary </w:t>
            </w:r>
            <w:r w:rsidRPr="00015426">
              <w:rPr>
                <w:bCs/>
                <w:i/>
                <w:iCs/>
                <w:color w:val="000000"/>
              </w:rPr>
              <w:t>vs</w:t>
            </w:r>
            <w:r w:rsidRPr="00015426">
              <w:rPr>
                <w:bCs/>
                <w:color w:val="000000"/>
              </w:rPr>
              <w:t>. nonspecific (extracellular) contrast (</w:t>
            </w:r>
            <w:proofErr w:type="spellStart"/>
            <w:r w:rsidRPr="00015426">
              <w:rPr>
                <w:bCs/>
                <w:color w:val="000000"/>
              </w:rPr>
              <w:t>mCRC</w:t>
            </w:r>
            <w:proofErr w:type="spellEnd"/>
            <w:r w:rsidRPr="00015426">
              <w:rPr>
                <w:bCs/>
                <w:color w:val="000000"/>
              </w:rPr>
              <w:t>)</w:t>
            </w:r>
          </w:p>
          <w:p w14:paraId="7F2A91C5" w14:textId="77777777" w:rsidR="00015426" w:rsidRPr="00015426" w:rsidRDefault="00015426" w:rsidP="00015426">
            <w:pPr>
              <w:rPr>
                <w:color w:val="000000"/>
              </w:rPr>
            </w:pPr>
          </w:p>
        </w:tc>
      </w:tr>
    </w:tbl>
    <w:p w14:paraId="3CB9CDFD" w14:textId="77777777" w:rsidR="00D90A38" w:rsidRPr="00F715D1" w:rsidRDefault="00BC1364" w:rsidP="00F715D1">
      <w:pPr>
        <w:pStyle w:val="Heading1"/>
      </w:pPr>
      <w:r w:rsidRPr="00F715D1">
        <w:t>Other significant factors</w:t>
      </w:r>
    </w:p>
    <w:p w14:paraId="3F203123" w14:textId="77777777" w:rsidR="00BC1364" w:rsidRPr="00AC3588" w:rsidRDefault="00BC1364" w:rsidP="00F715D1">
      <w:pPr>
        <w:spacing w:after="240"/>
        <w:rPr>
          <w:szCs w:val="24"/>
        </w:rPr>
      </w:pPr>
      <w:r w:rsidRPr="00AC3588">
        <w:rPr>
          <w:szCs w:val="24"/>
        </w:rPr>
        <w:t>Nil</w:t>
      </w:r>
    </w:p>
    <w:p w14:paraId="5109D777" w14:textId="77777777" w:rsidR="00BC1364" w:rsidRPr="00F715D1" w:rsidRDefault="00BC1364" w:rsidP="00F715D1">
      <w:pPr>
        <w:pStyle w:val="Heading1"/>
      </w:pPr>
      <w:r w:rsidRPr="00F715D1">
        <w:t xml:space="preserve">Applicant’s comments on MSAC’s </w:t>
      </w:r>
      <w:r w:rsidR="00DA56AA" w:rsidRPr="00F715D1">
        <w:t>Public Summary Document</w:t>
      </w:r>
    </w:p>
    <w:p w14:paraId="019BE293" w14:textId="7F8B20B7" w:rsidR="00BC1364" w:rsidRDefault="00BF3E02" w:rsidP="00F715D1">
      <w:pPr>
        <w:spacing w:after="240"/>
        <w:rPr>
          <w:szCs w:val="24"/>
        </w:rPr>
      </w:pPr>
      <w:r>
        <w:rPr>
          <w:szCs w:val="24"/>
        </w:rPr>
        <w:t xml:space="preserve">The applicant raised </w:t>
      </w:r>
      <w:r w:rsidRPr="00BF3E02">
        <w:rPr>
          <w:szCs w:val="24"/>
        </w:rPr>
        <w:t xml:space="preserve">concerns about the </w:t>
      </w:r>
      <w:r w:rsidR="00C0566E">
        <w:rPr>
          <w:szCs w:val="24"/>
        </w:rPr>
        <w:t xml:space="preserve">proposed </w:t>
      </w:r>
      <w:r w:rsidRPr="00BF3E02">
        <w:rPr>
          <w:szCs w:val="24"/>
        </w:rPr>
        <w:t xml:space="preserve">MBS item being so specific </w:t>
      </w:r>
      <w:r>
        <w:rPr>
          <w:szCs w:val="24"/>
        </w:rPr>
        <w:t>regarding</w:t>
      </w:r>
      <w:r w:rsidRPr="00BF3E02">
        <w:rPr>
          <w:szCs w:val="24"/>
        </w:rPr>
        <w:t xml:space="preserve"> t</w:t>
      </w:r>
      <w:r w:rsidR="00C0566E">
        <w:rPr>
          <w:szCs w:val="24"/>
        </w:rPr>
        <w:t xml:space="preserve">he class of contrast agent </w:t>
      </w:r>
      <w:r>
        <w:rPr>
          <w:szCs w:val="24"/>
        </w:rPr>
        <w:t>to</w:t>
      </w:r>
      <w:r w:rsidRPr="00BF3E02">
        <w:rPr>
          <w:szCs w:val="24"/>
        </w:rPr>
        <w:t xml:space="preserve"> be administered.</w:t>
      </w:r>
      <w:r w:rsidR="00C0566E">
        <w:rPr>
          <w:szCs w:val="24"/>
        </w:rPr>
        <w:t xml:space="preserve"> The applicant stated that w</w:t>
      </w:r>
      <w:r w:rsidR="00C0566E" w:rsidRPr="00C0566E">
        <w:rPr>
          <w:szCs w:val="24"/>
        </w:rPr>
        <w:t>hile hepatocyte specific agents are very good, times exist when standard contrast agents are superior.</w:t>
      </w:r>
    </w:p>
    <w:p w14:paraId="244D8A23" w14:textId="4C738C12" w:rsidR="00BF3E02" w:rsidRDefault="00BF3E02" w:rsidP="00BF3E02">
      <w:r>
        <w:rPr>
          <w:szCs w:val="24"/>
        </w:rPr>
        <w:t xml:space="preserve">The department raised this concern with the MSAC Executive at its 1 June 2018 meeting. The MSAC Executive agreed </w:t>
      </w:r>
      <w:r>
        <w:t xml:space="preserve">that separate liver MRI scan and contrast agent items </w:t>
      </w:r>
      <w:r w:rsidR="00B6410D">
        <w:t xml:space="preserve">should </w:t>
      </w:r>
      <w:r>
        <w:t xml:space="preserve">be listed </w:t>
      </w:r>
      <w:r w:rsidR="00C0566E">
        <w:t>to support best clinical practice</w:t>
      </w:r>
      <w:r>
        <w:t>.</w:t>
      </w:r>
    </w:p>
    <w:p w14:paraId="544FDBEC" w14:textId="77777777" w:rsidR="00BC1364" w:rsidRPr="00F715D1" w:rsidRDefault="00271F18" w:rsidP="00F715D1">
      <w:pPr>
        <w:pStyle w:val="Heading1"/>
      </w:pPr>
      <w:r w:rsidRPr="00F715D1">
        <w:t>Further information on MSAC</w:t>
      </w:r>
    </w:p>
    <w:p w14:paraId="16B4C142"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4"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5"/>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ADCB6E" w15:done="0"/>
  <w15:commentEx w15:paraId="366224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ADCB6E" w16cid:durableId="1E81D2DA"/>
  <w16cid:commentId w16cid:paraId="36622403" w16cid:durableId="1E81D2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114F3" w14:textId="77777777" w:rsidR="00184A70" w:rsidRDefault="00184A70" w:rsidP="00065623">
      <w:r>
        <w:separator/>
      </w:r>
    </w:p>
  </w:endnote>
  <w:endnote w:type="continuationSeparator" w:id="0">
    <w:p w14:paraId="4F496BC8" w14:textId="77777777" w:rsidR="00184A70" w:rsidRDefault="00184A70"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45ACD589" w14:textId="77777777" w:rsidR="00184A70" w:rsidRDefault="00184A70">
        <w:pPr>
          <w:pStyle w:val="Footer"/>
          <w:jc w:val="right"/>
        </w:pPr>
        <w:r>
          <w:fldChar w:fldCharType="begin"/>
        </w:r>
        <w:r>
          <w:instrText xml:space="preserve"> PAGE   \* MERGEFORMAT </w:instrText>
        </w:r>
        <w:r>
          <w:fldChar w:fldCharType="separate"/>
        </w:r>
        <w:r w:rsidR="0052462E">
          <w:rPr>
            <w:noProof/>
          </w:rPr>
          <w:t>1</w:t>
        </w:r>
        <w:r>
          <w:rPr>
            <w:noProof/>
          </w:rPr>
          <w:fldChar w:fldCharType="end"/>
        </w:r>
      </w:p>
    </w:sdtContent>
  </w:sdt>
  <w:p w14:paraId="1288BA4B" w14:textId="77777777" w:rsidR="00184A70" w:rsidRDefault="00184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1544B" w14:textId="77777777" w:rsidR="00184A70" w:rsidRDefault="00184A70" w:rsidP="00065623">
      <w:r>
        <w:separator/>
      </w:r>
    </w:p>
  </w:footnote>
  <w:footnote w:type="continuationSeparator" w:id="0">
    <w:p w14:paraId="4FC3A8AC" w14:textId="77777777" w:rsidR="00184A70" w:rsidRDefault="00184A70"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6BE0"/>
    <w:multiLevelType w:val="hybridMultilevel"/>
    <w:tmpl w:val="7B5A9084"/>
    <w:lvl w:ilvl="0" w:tplc="0C090001">
      <w:start w:val="1"/>
      <w:numFmt w:val="bullet"/>
      <w:lvlText w:val=""/>
      <w:lvlJc w:val="left"/>
      <w:pPr>
        <w:ind w:left="792" w:hanging="360"/>
      </w:pPr>
      <w:rPr>
        <w:rFonts w:ascii="Symbol" w:hAnsi="Symbol" w:hint="default"/>
      </w:rPr>
    </w:lvl>
    <w:lvl w:ilvl="1" w:tplc="0C090003">
      <w:start w:val="1"/>
      <w:numFmt w:val="bullet"/>
      <w:lvlText w:val="o"/>
      <w:lvlJc w:val="left"/>
      <w:pPr>
        <w:ind w:left="1512" w:hanging="360"/>
      </w:pPr>
      <w:rPr>
        <w:rFonts w:ascii="Courier New" w:hAnsi="Courier New" w:cs="Courier New" w:hint="default"/>
      </w:rPr>
    </w:lvl>
    <w:lvl w:ilvl="2" w:tplc="0C090005">
      <w:start w:val="1"/>
      <w:numFmt w:val="bullet"/>
      <w:lvlText w:val=""/>
      <w:lvlJc w:val="left"/>
      <w:pPr>
        <w:ind w:left="2232" w:hanging="360"/>
      </w:pPr>
      <w:rPr>
        <w:rFonts w:ascii="Wingdings" w:hAnsi="Wingdings" w:hint="default"/>
      </w:rPr>
    </w:lvl>
    <w:lvl w:ilvl="3" w:tplc="0C090001">
      <w:start w:val="1"/>
      <w:numFmt w:val="bullet"/>
      <w:lvlText w:val=""/>
      <w:lvlJc w:val="left"/>
      <w:pPr>
        <w:ind w:left="2952" w:hanging="360"/>
      </w:pPr>
      <w:rPr>
        <w:rFonts w:ascii="Symbol" w:hAnsi="Symbol" w:hint="default"/>
      </w:rPr>
    </w:lvl>
    <w:lvl w:ilvl="4" w:tplc="0C090003">
      <w:start w:val="1"/>
      <w:numFmt w:val="bullet"/>
      <w:lvlText w:val="o"/>
      <w:lvlJc w:val="left"/>
      <w:pPr>
        <w:ind w:left="3672" w:hanging="360"/>
      </w:pPr>
      <w:rPr>
        <w:rFonts w:ascii="Courier New" w:hAnsi="Courier New" w:cs="Courier New" w:hint="default"/>
      </w:rPr>
    </w:lvl>
    <w:lvl w:ilvl="5" w:tplc="0C090005">
      <w:start w:val="1"/>
      <w:numFmt w:val="bullet"/>
      <w:lvlText w:val=""/>
      <w:lvlJc w:val="left"/>
      <w:pPr>
        <w:ind w:left="4392" w:hanging="360"/>
      </w:pPr>
      <w:rPr>
        <w:rFonts w:ascii="Wingdings" w:hAnsi="Wingdings" w:hint="default"/>
      </w:rPr>
    </w:lvl>
    <w:lvl w:ilvl="6" w:tplc="0C090001">
      <w:start w:val="1"/>
      <w:numFmt w:val="bullet"/>
      <w:lvlText w:val=""/>
      <w:lvlJc w:val="left"/>
      <w:pPr>
        <w:ind w:left="5112" w:hanging="360"/>
      </w:pPr>
      <w:rPr>
        <w:rFonts w:ascii="Symbol" w:hAnsi="Symbol" w:hint="default"/>
      </w:rPr>
    </w:lvl>
    <w:lvl w:ilvl="7" w:tplc="0C090003">
      <w:start w:val="1"/>
      <w:numFmt w:val="bullet"/>
      <w:lvlText w:val="o"/>
      <w:lvlJc w:val="left"/>
      <w:pPr>
        <w:ind w:left="5832" w:hanging="360"/>
      </w:pPr>
      <w:rPr>
        <w:rFonts w:ascii="Courier New" w:hAnsi="Courier New" w:cs="Courier New" w:hint="default"/>
      </w:rPr>
    </w:lvl>
    <w:lvl w:ilvl="8" w:tplc="0C090005">
      <w:start w:val="1"/>
      <w:numFmt w:val="bullet"/>
      <w:lvlText w:val=""/>
      <w:lvlJc w:val="left"/>
      <w:pPr>
        <w:ind w:left="6552"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1E003246"/>
    <w:lvl w:ilvl="0" w:tplc="CE66D59E">
      <w:start w:val="1"/>
      <w:numFmt w:val="decimal"/>
      <w:pStyle w:val="Heading1"/>
      <w:lvlText w:val="%1."/>
      <w:lvlJc w:val="left"/>
      <w:pPr>
        <w:ind w:left="720" w:hanging="360"/>
      </w:pPr>
    </w:lvl>
    <w:lvl w:ilvl="1" w:tplc="FAB6BDF6">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744D57"/>
    <w:multiLevelType w:val="hybridMultilevel"/>
    <w:tmpl w:val="97BA5666"/>
    <w:lvl w:ilvl="0" w:tplc="CE66D59E">
      <w:start w:val="1"/>
      <w:numFmt w:val="decimal"/>
      <w:lvlText w:val="%1."/>
      <w:lvlJc w:val="left"/>
      <w:pPr>
        <w:ind w:left="720" w:hanging="360"/>
      </w:pPr>
    </w:lvl>
    <w:lvl w:ilvl="1" w:tplc="0C090001">
      <w:start w:val="1"/>
      <w:numFmt w:val="bullet"/>
      <w:lvlText w:val=""/>
      <w:lvlJc w:val="left"/>
      <w:pPr>
        <w:ind w:left="1800" w:hanging="72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FF777C"/>
    <w:multiLevelType w:val="hybridMultilevel"/>
    <w:tmpl w:val="561CDD5A"/>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7F0962"/>
    <w:multiLevelType w:val="hybridMultilevel"/>
    <w:tmpl w:val="68C6E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4C39FB"/>
    <w:multiLevelType w:val="hybridMultilevel"/>
    <w:tmpl w:val="D57A5334"/>
    <w:lvl w:ilvl="0" w:tplc="8B74559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D71B28"/>
    <w:multiLevelType w:val="hybridMultilevel"/>
    <w:tmpl w:val="E54E9DB8"/>
    <w:lvl w:ilvl="0" w:tplc="0C090001">
      <w:start w:val="1"/>
      <w:numFmt w:val="bullet"/>
      <w:lvlText w:val=""/>
      <w:lvlJc w:val="left"/>
      <w:pPr>
        <w:ind w:left="792" w:hanging="360"/>
      </w:pPr>
      <w:rPr>
        <w:rFonts w:ascii="Symbol" w:hAnsi="Symbol" w:hint="default"/>
      </w:rPr>
    </w:lvl>
    <w:lvl w:ilvl="1" w:tplc="0C090003">
      <w:start w:val="1"/>
      <w:numFmt w:val="bullet"/>
      <w:lvlText w:val="o"/>
      <w:lvlJc w:val="left"/>
      <w:pPr>
        <w:ind w:left="1512" w:hanging="360"/>
      </w:pPr>
      <w:rPr>
        <w:rFonts w:ascii="Courier New" w:hAnsi="Courier New" w:cs="Courier New" w:hint="default"/>
      </w:rPr>
    </w:lvl>
    <w:lvl w:ilvl="2" w:tplc="0C090005">
      <w:start w:val="1"/>
      <w:numFmt w:val="bullet"/>
      <w:lvlText w:val=""/>
      <w:lvlJc w:val="left"/>
      <w:pPr>
        <w:ind w:left="2232" w:hanging="360"/>
      </w:pPr>
      <w:rPr>
        <w:rFonts w:ascii="Wingdings" w:hAnsi="Wingdings" w:hint="default"/>
      </w:rPr>
    </w:lvl>
    <w:lvl w:ilvl="3" w:tplc="0C090001">
      <w:start w:val="1"/>
      <w:numFmt w:val="bullet"/>
      <w:lvlText w:val=""/>
      <w:lvlJc w:val="left"/>
      <w:pPr>
        <w:ind w:left="2952" w:hanging="360"/>
      </w:pPr>
      <w:rPr>
        <w:rFonts w:ascii="Symbol" w:hAnsi="Symbol" w:hint="default"/>
      </w:rPr>
    </w:lvl>
    <w:lvl w:ilvl="4" w:tplc="0C090003">
      <w:start w:val="1"/>
      <w:numFmt w:val="bullet"/>
      <w:lvlText w:val="o"/>
      <w:lvlJc w:val="left"/>
      <w:pPr>
        <w:ind w:left="3672" w:hanging="360"/>
      </w:pPr>
      <w:rPr>
        <w:rFonts w:ascii="Courier New" w:hAnsi="Courier New" w:cs="Courier New" w:hint="default"/>
      </w:rPr>
    </w:lvl>
    <w:lvl w:ilvl="5" w:tplc="0C090005">
      <w:start w:val="1"/>
      <w:numFmt w:val="bullet"/>
      <w:lvlText w:val=""/>
      <w:lvlJc w:val="left"/>
      <w:pPr>
        <w:ind w:left="4392" w:hanging="360"/>
      </w:pPr>
      <w:rPr>
        <w:rFonts w:ascii="Wingdings" w:hAnsi="Wingdings" w:hint="default"/>
      </w:rPr>
    </w:lvl>
    <w:lvl w:ilvl="6" w:tplc="0C090001">
      <w:start w:val="1"/>
      <w:numFmt w:val="bullet"/>
      <w:lvlText w:val=""/>
      <w:lvlJc w:val="left"/>
      <w:pPr>
        <w:ind w:left="5112" w:hanging="360"/>
      </w:pPr>
      <w:rPr>
        <w:rFonts w:ascii="Symbol" w:hAnsi="Symbol" w:hint="default"/>
      </w:rPr>
    </w:lvl>
    <w:lvl w:ilvl="7" w:tplc="0C090003">
      <w:start w:val="1"/>
      <w:numFmt w:val="bullet"/>
      <w:lvlText w:val="o"/>
      <w:lvlJc w:val="left"/>
      <w:pPr>
        <w:ind w:left="5832" w:hanging="360"/>
      </w:pPr>
      <w:rPr>
        <w:rFonts w:ascii="Courier New" w:hAnsi="Courier New" w:cs="Courier New" w:hint="default"/>
      </w:rPr>
    </w:lvl>
    <w:lvl w:ilvl="8" w:tplc="0C090005">
      <w:start w:val="1"/>
      <w:numFmt w:val="bullet"/>
      <w:lvlText w:val=""/>
      <w:lvlJc w:val="left"/>
      <w:pPr>
        <w:ind w:left="6552" w:hanging="360"/>
      </w:pPr>
      <w:rPr>
        <w:rFonts w:ascii="Wingdings" w:hAnsi="Wingdings" w:hint="default"/>
      </w:rPr>
    </w:lvl>
  </w:abstractNum>
  <w:abstractNum w:abstractNumId="15">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802F4F"/>
    <w:multiLevelType w:val="hybridMultilevel"/>
    <w:tmpl w:val="4A226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D40498"/>
    <w:multiLevelType w:val="hybridMultilevel"/>
    <w:tmpl w:val="CD8872CC"/>
    <w:lvl w:ilvl="0" w:tplc="B25AB8C4">
      <w:numFmt w:val="bullet"/>
      <w:lvlText w:val="·"/>
      <w:lvlJc w:val="left"/>
      <w:pPr>
        <w:ind w:left="675" w:hanging="675"/>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788302C2"/>
    <w:multiLevelType w:val="hybridMultilevel"/>
    <w:tmpl w:val="BA6692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DD11631"/>
    <w:multiLevelType w:val="hybridMultilevel"/>
    <w:tmpl w:val="10ACD99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34">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9"/>
  </w:num>
  <w:num w:numId="3">
    <w:abstractNumId w:val="2"/>
  </w:num>
  <w:num w:numId="4">
    <w:abstractNumId w:val="22"/>
  </w:num>
  <w:num w:numId="5">
    <w:abstractNumId w:val="15"/>
  </w:num>
  <w:num w:numId="6">
    <w:abstractNumId w:val="20"/>
  </w:num>
  <w:num w:numId="7">
    <w:abstractNumId w:val="26"/>
  </w:num>
  <w:num w:numId="8">
    <w:abstractNumId w:val="16"/>
  </w:num>
  <w:num w:numId="9">
    <w:abstractNumId w:val="34"/>
  </w:num>
  <w:num w:numId="10">
    <w:abstractNumId w:val="1"/>
  </w:num>
  <w:num w:numId="11">
    <w:abstractNumId w:val="25"/>
  </w:num>
  <w:num w:numId="12">
    <w:abstractNumId w:val="27"/>
  </w:num>
  <w:num w:numId="13">
    <w:abstractNumId w:val="5"/>
  </w:num>
  <w:num w:numId="14">
    <w:abstractNumId w:val="31"/>
  </w:num>
  <w:num w:numId="15">
    <w:abstractNumId w:val="24"/>
  </w:num>
  <w:num w:numId="16">
    <w:abstractNumId w:val="28"/>
  </w:num>
  <w:num w:numId="17">
    <w:abstractNumId w:val="17"/>
  </w:num>
  <w:num w:numId="18">
    <w:abstractNumId w:val="18"/>
  </w:num>
  <w:num w:numId="19">
    <w:abstractNumId w:val="30"/>
  </w:num>
  <w:num w:numId="20">
    <w:abstractNumId w:val="29"/>
  </w:num>
  <w:num w:numId="21">
    <w:abstractNumId w:val="4"/>
  </w:num>
  <w:num w:numId="22">
    <w:abstractNumId w:val="13"/>
  </w:num>
  <w:num w:numId="23">
    <w:abstractNumId w:val="3"/>
  </w:num>
  <w:num w:numId="24">
    <w:abstractNumId w:val="12"/>
  </w:num>
  <w:num w:numId="25">
    <w:abstractNumId w:val="6"/>
  </w:num>
  <w:num w:numId="26">
    <w:abstractNumId w:val="0"/>
  </w:num>
  <w:num w:numId="27">
    <w:abstractNumId w:val="14"/>
  </w:num>
  <w:num w:numId="28">
    <w:abstractNumId w:val="32"/>
  </w:num>
  <w:num w:numId="29">
    <w:abstractNumId w:val="33"/>
  </w:num>
  <w:num w:numId="30">
    <w:abstractNumId w:val="10"/>
  </w:num>
  <w:num w:numId="31">
    <w:abstractNumId w:val="11"/>
  </w:num>
  <w:num w:numId="32">
    <w:abstractNumId w:val="9"/>
  </w:num>
  <w:num w:numId="33">
    <w:abstractNumId w:val="21"/>
  </w:num>
  <w:num w:numId="34">
    <w:abstractNumId w:val="7"/>
  </w:num>
  <w:num w:numId="3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derick Khafagi">
    <w15:presenceInfo w15:providerId="Windows Live" w15:userId="a520bff9aa54ec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15426"/>
    <w:rsid w:val="00047606"/>
    <w:rsid w:val="00050EEF"/>
    <w:rsid w:val="00065623"/>
    <w:rsid w:val="000756B9"/>
    <w:rsid w:val="00096B67"/>
    <w:rsid w:val="00096DAF"/>
    <w:rsid w:val="000C2F47"/>
    <w:rsid w:val="000D2B9A"/>
    <w:rsid w:val="000D6C00"/>
    <w:rsid w:val="000E4E04"/>
    <w:rsid w:val="000F14B4"/>
    <w:rsid w:val="000F75DF"/>
    <w:rsid w:val="001023DC"/>
    <w:rsid w:val="001328FA"/>
    <w:rsid w:val="00147AAF"/>
    <w:rsid w:val="001552C0"/>
    <w:rsid w:val="00161FD8"/>
    <w:rsid w:val="00163D90"/>
    <w:rsid w:val="001640B1"/>
    <w:rsid w:val="0018435E"/>
    <w:rsid w:val="00184A70"/>
    <w:rsid w:val="001B59CF"/>
    <w:rsid w:val="002041A1"/>
    <w:rsid w:val="00204679"/>
    <w:rsid w:val="002054F0"/>
    <w:rsid w:val="00230D6B"/>
    <w:rsid w:val="00232068"/>
    <w:rsid w:val="002330F2"/>
    <w:rsid w:val="00243D9E"/>
    <w:rsid w:val="00253B66"/>
    <w:rsid w:val="00261DF1"/>
    <w:rsid w:val="00271F18"/>
    <w:rsid w:val="00282779"/>
    <w:rsid w:val="0028334D"/>
    <w:rsid w:val="002B7FFA"/>
    <w:rsid w:val="002C2BCF"/>
    <w:rsid w:val="002E57D4"/>
    <w:rsid w:val="002F279D"/>
    <w:rsid w:val="002F43B8"/>
    <w:rsid w:val="00336856"/>
    <w:rsid w:val="0034554D"/>
    <w:rsid w:val="00352224"/>
    <w:rsid w:val="003671E6"/>
    <w:rsid w:val="00384272"/>
    <w:rsid w:val="003861E3"/>
    <w:rsid w:val="00386D67"/>
    <w:rsid w:val="003945B8"/>
    <w:rsid w:val="003B1058"/>
    <w:rsid w:val="003D7F29"/>
    <w:rsid w:val="00405A6B"/>
    <w:rsid w:val="00407B1F"/>
    <w:rsid w:val="0041184F"/>
    <w:rsid w:val="00414C57"/>
    <w:rsid w:val="0041758C"/>
    <w:rsid w:val="004539DE"/>
    <w:rsid w:val="0045501E"/>
    <w:rsid w:val="004564EE"/>
    <w:rsid w:val="00460930"/>
    <w:rsid w:val="0047338A"/>
    <w:rsid w:val="00490D5B"/>
    <w:rsid w:val="00493886"/>
    <w:rsid w:val="004A2CF1"/>
    <w:rsid w:val="004C3035"/>
    <w:rsid w:val="004C307F"/>
    <w:rsid w:val="004E4BA8"/>
    <w:rsid w:val="004F340F"/>
    <w:rsid w:val="004F7B7C"/>
    <w:rsid w:val="0052243D"/>
    <w:rsid w:val="00522DFC"/>
    <w:rsid w:val="0052462E"/>
    <w:rsid w:val="00532435"/>
    <w:rsid w:val="00550354"/>
    <w:rsid w:val="0055056C"/>
    <w:rsid w:val="00571236"/>
    <w:rsid w:val="005953A1"/>
    <w:rsid w:val="005A4362"/>
    <w:rsid w:val="005B5434"/>
    <w:rsid w:val="005D0332"/>
    <w:rsid w:val="005D0D8C"/>
    <w:rsid w:val="005F440E"/>
    <w:rsid w:val="0063465D"/>
    <w:rsid w:val="00645F69"/>
    <w:rsid w:val="006776AE"/>
    <w:rsid w:val="00680EF2"/>
    <w:rsid w:val="006A0D97"/>
    <w:rsid w:val="006B1F86"/>
    <w:rsid w:val="006B52A3"/>
    <w:rsid w:val="006C0A91"/>
    <w:rsid w:val="006E3F42"/>
    <w:rsid w:val="007054BB"/>
    <w:rsid w:val="00707064"/>
    <w:rsid w:val="00730683"/>
    <w:rsid w:val="0075261F"/>
    <w:rsid w:val="0075468E"/>
    <w:rsid w:val="007665D8"/>
    <w:rsid w:val="00766E36"/>
    <w:rsid w:val="007765F4"/>
    <w:rsid w:val="00776633"/>
    <w:rsid w:val="00784D53"/>
    <w:rsid w:val="007868E8"/>
    <w:rsid w:val="00797797"/>
    <w:rsid w:val="007A5009"/>
    <w:rsid w:val="007A63C9"/>
    <w:rsid w:val="007B32D1"/>
    <w:rsid w:val="007B7095"/>
    <w:rsid w:val="007C262C"/>
    <w:rsid w:val="007D24E1"/>
    <w:rsid w:val="007D6288"/>
    <w:rsid w:val="007F4CE9"/>
    <w:rsid w:val="007F4E20"/>
    <w:rsid w:val="00813456"/>
    <w:rsid w:val="00822C7E"/>
    <w:rsid w:val="00847060"/>
    <w:rsid w:val="00847A36"/>
    <w:rsid w:val="00856A33"/>
    <w:rsid w:val="00892620"/>
    <w:rsid w:val="008C7D37"/>
    <w:rsid w:val="008D5885"/>
    <w:rsid w:val="00923FA2"/>
    <w:rsid w:val="00926686"/>
    <w:rsid w:val="00927A49"/>
    <w:rsid w:val="0096060D"/>
    <w:rsid w:val="00974A50"/>
    <w:rsid w:val="0097585A"/>
    <w:rsid w:val="009924B0"/>
    <w:rsid w:val="009942C9"/>
    <w:rsid w:val="009B35C4"/>
    <w:rsid w:val="009C630A"/>
    <w:rsid w:val="009E0D98"/>
    <w:rsid w:val="009F1089"/>
    <w:rsid w:val="009F6EAD"/>
    <w:rsid w:val="00A068A1"/>
    <w:rsid w:val="00A1207D"/>
    <w:rsid w:val="00A12FD8"/>
    <w:rsid w:val="00A346FC"/>
    <w:rsid w:val="00A846F2"/>
    <w:rsid w:val="00A84F93"/>
    <w:rsid w:val="00A95EE5"/>
    <w:rsid w:val="00AA0424"/>
    <w:rsid w:val="00AB1AC5"/>
    <w:rsid w:val="00AB3BFC"/>
    <w:rsid w:val="00AC3588"/>
    <w:rsid w:val="00AC4F2E"/>
    <w:rsid w:val="00AD0C37"/>
    <w:rsid w:val="00AD1852"/>
    <w:rsid w:val="00AD385F"/>
    <w:rsid w:val="00AE6E2A"/>
    <w:rsid w:val="00AF5523"/>
    <w:rsid w:val="00AF73B3"/>
    <w:rsid w:val="00B03EAB"/>
    <w:rsid w:val="00B31E9C"/>
    <w:rsid w:val="00B35595"/>
    <w:rsid w:val="00B51C6D"/>
    <w:rsid w:val="00B6410D"/>
    <w:rsid w:val="00B74993"/>
    <w:rsid w:val="00B83DD2"/>
    <w:rsid w:val="00B86D64"/>
    <w:rsid w:val="00BA4AC5"/>
    <w:rsid w:val="00BC1364"/>
    <w:rsid w:val="00BC2667"/>
    <w:rsid w:val="00BC7DE9"/>
    <w:rsid w:val="00BE3C01"/>
    <w:rsid w:val="00BF3E02"/>
    <w:rsid w:val="00BF479B"/>
    <w:rsid w:val="00C02577"/>
    <w:rsid w:val="00C0566E"/>
    <w:rsid w:val="00C204FB"/>
    <w:rsid w:val="00C20BEE"/>
    <w:rsid w:val="00C2158D"/>
    <w:rsid w:val="00C23FC9"/>
    <w:rsid w:val="00C67DD2"/>
    <w:rsid w:val="00C725CB"/>
    <w:rsid w:val="00C76F5C"/>
    <w:rsid w:val="00C96BAD"/>
    <w:rsid w:val="00CA0501"/>
    <w:rsid w:val="00CA6944"/>
    <w:rsid w:val="00CB0F8E"/>
    <w:rsid w:val="00CB7E7D"/>
    <w:rsid w:val="00CC2911"/>
    <w:rsid w:val="00CE097A"/>
    <w:rsid w:val="00CF0C6D"/>
    <w:rsid w:val="00CF7307"/>
    <w:rsid w:val="00CF7C68"/>
    <w:rsid w:val="00D102F0"/>
    <w:rsid w:val="00D124FA"/>
    <w:rsid w:val="00D340DE"/>
    <w:rsid w:val="00D55723"/>
    <w:rsid w:val="00D62FAD"/>
    <w:rsid w:val="00D64355"/>
    <w:rsid w:val="00D70450"/>
    <w:rsid w:val="00D83BFD"/>
    <w:rsid w:val="00D90A38"/>
    <w:rsid w:val="00DA0515"/>
    <w:rsid w:val="00DA171E"/>
    <w:rsid w:val="00DA56AA"/>
    <w:rsid w:val="00DB5833"/>
    <w:rsid w:val="00DB7671"/>
    <w:rsid w:val="00DD2858"/>
    <w:rsid w:val="00E03E33"/>
    <w:rsid w:val="00E059E0"/>
    <w:rsid w:val="00E35A54"/>
    <w:rsid w:val="00E3642A"/>
    <w:rsid w:val="00E415C4"/>
    <w:rsid w:val="00E50016"/>
    <w:rsid w:val="00E50EAA"/>
    <w:rsid w:val="00E560D9"/>
    <w:rsid w:val="00E656D6"/>
    <w:rsid w:val="00E977EE"/>
    <w:rsid w:val="00EA2F24"/>
    <w:rsid w:val="00EA67A2"/>
    <w:rsid w:val="00EB630F"/>
    <w:rsid w:val="00EB6B6F"/>
    <w:rsid w:val="00EC4F98"/>
    <w:rsid w:val="00ED11F0"/>
    <w:rsid w:val="00F00FFE"/>
    <w:rsid w:val="00F12F02"/>
    <w:rsid w:val="00F32E0D"/>
    <w:rsid w:val="00F33658"/>
    <w:rsid w:val="00F35134"/>
    <w:rsid w:val="00F37B9C"/>
    <w:rsid w:val="00F41812"/>
    <w:rsid w:val="00F715D1"/>
    <w:rsid w:val="00F72715"/>
    <w:rsid w:val="00F73333"/>
    <w:rsid w:val="00F95D8F"/>
    <w:rsid w:val="00FA1E26"/>
    <w:rsid w:val="00FA2FFC"/>
    <w:rsid w:val="00FB350A"/>
    <w:rsid w:val="00FB4C5D"/>
    <w:rsid w:val="00FC0F04"/>
    <w:rsid w:val="00FC77BC"/>
    <w:rsid w:val="00FE1C3F"/>
    <w:rsid w:val="00FE38E4"/>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A0A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FE38E4"/>
    <w:pPr>
      <w:keepNext/>
      <w:spacing w:after="120"/>
      <w:outlineLvl w:val="1"/>
    </w:pPr>
    <w:rPr>
      <w:b/>
      <w:i/>
      <w:szCs w:val="24"/>
    </w:rPr>
  </w:style>
  <w:style w:type="paragraph" w:styleId="Heading3">
    <w:name w:val="heading 3"/>
    <w:basedOn w:val="Normal"/>
    <w:next w:val="Normal"/>
    <w:link w:val="Heading3Char"/>
    <w:unhideWhenUsed/>
    <w:qFormat/>
    <w:locked/>
    <w:rsid w:val="00FE38E4"/>
    <w:pPr>
      <w:keepNext/>
      <w:spacing w:after="120"/>
      <w:outlineLvl w:val="2"/>
    </w:pPr>
    <w:rPr>
      <w:szCs w:val="24"/>
      <w:u w:val="single"/>
    </w:rPr>
  </w:style>
  <w:style w:type="paragraph" w:styleId="Heading4">
    <w:name w:val="heading 4"/>
    <w:basedOn w:val="Normal"/>
    <w:next w:val="Normal"/>
    <w:link w:val="Heading4Char"/>
    <w:unhideWhenUsed/>
    <w:qFormat/>
    <w:locked/>
    <w:rsid w:val="00FE38E4"/>
    <w:pPr>
      <w:spacing w:after="120"/>
      <w:outlineLvl w:val="3"/>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rsid w:val="00974A50"/>
    <w:rPr>
      <w:sz w:val="20"/>
    </w:rPr>
  </w:style>
  <w:style w:type="character" w:customStyle="1" w:styleId="CommentTextChar">
    <w:name w:val="Comment Text Char"/>
    <w:basedOn w:val="DefaultParagraphFont"/>
    <w:link w:val="CommentText"/>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FE38E4"/>
    <w:rPr>
      <w:rFonts w:eastAsia="Times New Roman"/>
      <w:b/>
      <w:i/>
      <w:sz w:val="24"/>
      <w:szCs w:val="24"/>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59"/>
    <w:locked/>
    <w:rsid w:val="00FA2FFC"/>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locked/>
    <w:rsid w:val="00FA2FFC"/>
    <w:pPr>
      <w:spacing w:after="200"/>
    </w:pPr>
    <w:rPr>
      <w:b/>
      <w:bCs/>
      <w:color w:val="4F81BD" w:themeColor="accent1"/>
      <w:sz w:val="18"/>
      <w:szCs w:val="18"/>
    </w:rPr>
  </w:style>
  <w:style w:type="table" w:customStyle="1" w:styleId="TableGrid2">
    <w:name w:val="Table Grid2"/>
    <w:basedOn w:val="TableNormal"/>
    <w:next w:val="TableGrid"/>
    <w:rsid w:val="00FA2FFC"/>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paragraph" w:customStyle="1" w:styleId="Tabletext">
    <w:name w:val="Table text"/>
    <w:basedOn w:val="Normal"/>
    <w:link w:val="TabletextChar"/>
    <w:qFormat/>
    <w:rsid w:val="00FA2FFC"/>
    <w:pPr>
      <w:spacing w:before="40" w:after="40"/>
    </w:pPr>
    <w:rPr>
      <w:rFonts w:ascii="Arial Narrow" w:hAnsi="Arial Narrow" w:cs="Tahoma"/>
      <w:color w:val="000000" w:themeColor="text1"/>
      <w:sz w:val="20"/>
    </w:rPr>
  </w:style>
  <w:style w:type="character" w:customStyle="1" w:styleId="TabletextChar">
    <w:name w:val="Table text Char"/>
    <w:link w:val="Tabletext"/>
    <w:rsid w:val="00FA2FFC"/>
    <w:rPr>
      <w:rFonts w:ascii="Arial Narrow" w:eastAsia="Times New Roman" w:hAnsi="Arial Narrow" w:cs="Tahoma"/>
      <w:color w:val="000000" w:themeColor="text1"/>
      <w:sz w:val="20"/>
      <w:szCs w:val="20"/>
    </w:rPr>
  </w:style>
  <w:style w:type="character" w:customStyle="1" w:styleId="Heading3Char">
    <w:name w:val="Heading 3 Char"/>
    <w:basedOn w:val="DefaultParagraphFont"/>
    <w:link w:val="Heading3"/>
    <w:rsid w:val="00FE38E4"/>
    <w:rPr>
      <w:rFonts w:eastAsia="Times New Roman"/>
      <w:sz w:val="24"/>
      <w:szCs w:val="24"/>
      <w:u w:val="single"/>
    </w:rPr>
  </w:style>
  <w:style w:type="character" w:customStyle="1" w:styleId="Heading4Char">
    <w:name w:val="Heading 4 Char"/>
    <w:basedOn w:val="DefaultParagraphFont"/>
    <w:link w:val="Heading4"/>
    <w:rsid w:val="00FE38E4"/>
    <w:rPr>
      <w:rFonts w:eastAsia="Times New Roman"/>
      <w:i/>
      <w:sz w:val="24"/>
      <w:szCs w:val="24"/>
    </w:rPr>
  </w:style>
  <w:style w:type="table" w:customStyle="1" w:styleId="TableGrid1">
    <w:name w:val="Table Grid1"/>
    <w:basedOn w:val="TableNormal"/>
    <w:next w:val="TableGrid"/>
    <w:uiPriority w:val="59"/>
    <w:rsid w:val="0047338A"/>
    <w:pPr>
      <w:widowControl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FE38E4"/>
    <w:pPr>
      <w:keepNext/>
      <w:spacing w:after="120"/>
      <w:outlineLvl w:val="1"/>
    </w:pPr>
    <w:rPr>
      <w:b/>
      <w:i/>
      <w:szCs w:val="24"/>
    </w:rPr>
  </w:style>
  <w:style w:type="paragraph" w:styleId="Heading3">
    <w:name w:val="heading 3"/>
    <w:basedOn w:val="Normal"/>
    <w:next w:val="Normal"/>
    <w:link w:val="Heading3Char"/>
    <w:unhideWhenUsed/>
    <w:qFormat/>
    <w:locked/>
    <w:rsid w:val="00FE38E4"/>
    <w:pPr>
      <w:keepNext/>
      <w:spacing w:after="120"/>
      <w:outlineLvl w:val="2"/>
    </w:pPr>
    <w:rPr>
      <w:szCs w:val="24"/>
      <w:u w:val="single"/>
    </w:rPr>
  </w:style>
  <w:style w:type="paragraph" w:styleId="Heading4">
    <w:name w:val="heading 4"/>
    <w:basedOn w:val="Normal"/>
    <w:next w:val="Normal"/>
    <w:link w:val="Heading4Char"/>
    <w:unhideWhenUsed/>
    <w:qFormat/>
    <w:locked/>
    <w:rsid w:val="00FE38E4"/>
    <w:pPr>
      <w:spacing w:after="120"/>
      <w:outlineLvl w:val="3"/>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rsid w:val="00974A50"/>
    <w:rPr>
      <w:sz w:val="20"/>
    </w:rPr>
  </w:style>
  <w:style w:type="character" w:customStyle="1" w:styleId="CommentTextChar">
    <w:name w:val="Comment Text Char"/>
    <w:basedOn w:val="DefaultParagraphFont"/>
    <w:link w:val="CommentText"/>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FE38E4"/>
    <w:rPr>
      <w:rFonts w:eastAsia="Times New Roman"/>
      <w:b/>
      <w:i/>
      <w:sz w:val="24"/>
      <w:szCs w:val="24"/>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59"/>
    <w:locked/>
    <w:rsid w:val="00FA2FFC"/>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locked/>
    <w:rsid w:val="00FA2FFC"/>
    <w:pPr>
      <w:spacing w:after="200"/>
    </w:pPr>
    <w:rPr>
      <w:b/>
      <w:bCs/>
      <w:color w:val="4F81BD" w:themeColor="accent1"/>
      <w:sz w:val="18"/>
      <w:szCs w:val="18"/>
    </w:rPr>
  </w:style>
  <w:style w:type="table" w:customStyle="1" w:styleId="TableGrid2">
    <w:name w:val="Table Grid2"/>
    <w:basedOn w:val="TableNormal"/>
    <w:next w:val="TableGrid"/>
    <w:rsid w:val="00FA2FFC"/>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paragraph" w:customStyle="1" w:styleId="Tabletext">
    <w:name w:val="Table text"/>
    <w:basedOn w:val="Normal"/>
    <w:link w:val="TabletextChar"/>
    <w:qFormat/>
    <w:rsid w:val="00FA2FFC"/>
    <w:pPr>
      <w:spacing w:before="40" w:after="40"/>
    </w:pPr>
    <w:rPr>
      <w:rFonts w:ascii="Arial Narrow" w:hAnsi="Arial Narrow" w:cs="Tahoma"/>
      <w:color w:val="000000" w:themeColor="text1"/>
      <w:sz w:val="20"/>
    </w:rPr>
  </w:style>
  <w:style w:type="character" w:customStyle="1" w:styleId="TabletextChar">
    <w:name w:val="Table text Char"/>
    <w:link w:val="Tabletext"/>
    <w:rsid w:val="00FA2FFC"/>
    <w:rPr>
      <w:rFonts w:ascii="Arial Narrow" w:eastAsia="Times New Roman" w:hAnsi="Arial Narrow" w:cs="Tahoma"/>
      <w:color w:val="000000" w:themeColor="text1"/>
      <w:sz w:val="20"/>
      <w:szCs w:val="20"/>
    </w:rPr>
  </w:style>
  <w:style w:type="character" w:customStyle="1" w:styleId="Heading3Char">
    <w:name w:val="Heading 3 Char"/>
    <w:basedOn w:val="DefaultParagraphFont"/>
    <w:link w:val="Heading3"/>
    <w:rsid w:val="00FE38E4"/>
    <w:rPr>
      <w:rFonts w:eastAsia="Times New Roman"/>
      <w:sz w:val="24"/>
      <w:szCs w:val="24"/>
      <w:u w:val="single"/>
    </w:rPr>
  </w:style>
  <w:style w:type="character" w:customStyle="1" w:styleId="Heading4Char">
    <w:name w:val="Heading 4 Char"/>
    <w:basedOn w:val="DefaultParagraphFont"/>
    <w:link w:val="Heading4"/>
    <w:rsid w:val="00FE38E4"/>
    <w:rPr>
      <w:rFonts w:eastAsia="Times New Roman"/>
      <w:i/>
      <w:sz w:val="24"/>
      <w:szCs w:val="24"/>
    </w:rPr>
  </w:style>
  <w:style w:type="table" w:customStyle="1" w:styleId="TableGrid1">
    <w:name w:val="Table Grid1"/>
    <w:basedOn w:val="TableNormal"/>
    <w:next w:val="TableGrid"/>
    <w:uiPriority w:val="59"/>
    <w:rsid w:val="0047338A"/>
    <w:pPr>
      <w:widowControl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6655">
      <w:bodyDiv w:val="1"/>
      <w:marLeft w:val="0"/>
      <w:marRight w:val="0"/>
      <w:marTop w:val="0"/>
      <w:marBottom w:val="0"/>
      <w:divBdr>
        <w:top w:val="none" w:sz="0" w:space="0" w:color="auto"/>
        <w:left w:val="none" w:sz="0" w:space="0" w:color="auto"/>
        <w:bottom w:val="none" w:sz="0" w:space="0" w:color="auto"/>
        <w:right w:val="none" w:sz="0" w:space="0" w:color="auto"/>
      </w:divBdr>
    </w:div>
    <w:div w:id="416561486">
      <w:bodyDiv w:val="1"/>
      <w:marLeft w:val="0"/>
      <w:marRight w:val="0"/>
      <w:marTop w:val="0"/>
      <w:marBottom w:val="0"/>
      <w:divBdr>
        <w:top w:val="none" w:sz="0" w:space="0" w:color="auto"/>
        <w:left w:val="none" w:sz="0" w:space="0" w:color="auto"/>
        <w:bottom w:val="none" w:sz="0" w:space="0" w:color="auto"/>
        <w:right w:val="none" w:sz="0" w:space="0" w:color="auto"/>
      </w:divBdr>
    </w:div>
    <w:div w:id="567888375">
      <w:bodyDiv w:val="1"/>
      <w:marLeft w:val="0"/>
      <w:marRight w:val="0"/>
      <w:marTop w:val="0"/>
      <w:marBottom w:val="0"/>
      <w:divBdr>
        <w:top w:val="none" w:sz="0" w:space="0" w:color="auto"/>
        <w:left w:val="none" w:sz="0" w:space="0" w:color="auto"/>
        <w:bottom w:val="none" w:sz="0" w:space="0" w:color="auto"/>
        <w:right w:val="none" w:sz="0" w:space="0" w:color="auto"/>
      </w:divBdr>
    </w:div>
    <w:div w:id="1138689527">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ga.gov.au/alert/gadolinium-based-contrast-agents-mri-scans"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sac.gov.au/internet/msac/publishing.nsf/Content/1372-publi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9.health.gov.au/mbs/fullDisplay.cfm?type=note&amp;qt=NoteID&amp;q=IN.0.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ac.gov.a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5947</Words>
  <Characters>34152</Characters>
  <Application>Microsoft Office Word</Application>
  <DocSecurity>0</DocSecurity>
  <Lines>284</Lines>
  <Paragraphs>80</Paragraphs>
  <ScaleCrop>false</ScaleCrop>
  <Company/>
  <LinksUpToDate>false</LinksUpToDate>
  <CharactersWithSpaces>40019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1372.1-FinalPSD</dc:title>
  <dc:creator/>
  <cp:lastModifiedBy/>
  <cp:revision>1</cp:revision>
  <dcterms:created xsi:type="dcterms:W3CDTF">2018-06-28T05:45:00Z</dcterms:created>
  <dcterms:modified xsi:type="dcterms:W3CDTF">2018-06-28T05:45:00Z</dcterms:modified>
</cp:coreProperties>
</file>