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F371" w14:textId="77777777" w:rsidR="00E44B80" w:rsidRPr="00F637B3" w:rsidRDefault="00E44B80" w:rsidP="00297F30">
      <w:pPr>
        <w:rPr>
          <w:b/>
          <w:szCs w:val="20"/>
        </w:rPr>
      </w:pPr>
      <w:bookmarkStart w:id="0" w:name="_GoBack"/>
      <w:bookmarkEnd w:id="0"/>
      <w:r w:rsidRPr="00F637B3">
        <w:rPr>
          <w:b/>
          <w:noProof/>
          <w:szCs w:val="20"/>
          <w:lang w:eastAsia="en-AU"/>
        </w:rPr>
        <w:drawing>
          <wp:inline distT="0" distB="0" distL="0" distR="0" wp14:anchorId="522BF5B1" wp14:editId="522BF5B2">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22BF372" w14:textId="77777777" w:rsidR="008B2610" w:rsidRPr="006F20CF" w:rsidRDefault="0042686A" w:rsidP="00F971CC">
      <w:pPr>
        <w:pStyle w:val="Title"/>
        <w:spacing w:before="2600"/>
      </w:pPr>
      <w:r>
        <w:t>Application</w:t>
      </w:r>
      <w:r w:rsidR="008B2610" w:rsidRPr="001906CD">
        <w:t xml:space="preserve"> Form</w:t>
      </w:r>
      <w:r>
        <w:t>: 1372.1</w:t>
      </w:r>
    </w:p>
    <w:p w14:paraId="522BF373"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522BF374"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522BF375" w14:textId="77777777" w:rsidR="0042686A" w:rsidRPr="0042686A" w:rsidRDefault="003013A9" w:rsidP="0042686A">
      <w:pPr>
        <w:pStyle w:val="Title"/>
        <w:spacing w:before="240" w:after="2600"/>
        <w:rPr>
          <w:sz w:val="28"/>
          <w:szCs w:val="28"/>
        </w:rPr>
      </w:pPr>
      <w:r w:rsidRPr="00D73646">
        <w:rPr>
          <w:sz w:val="28"/>
          <w:szCs w:val="28"/>
        </w:rPr>
        <w:t xml:space="preserve">(Version </w:t>
      </w:r>
      <w:r w:rsidR="0005089D">
        <w:rPr>
          <w:sz w:val="28"/>
          <w:szCs w:val="28"/>
        </w:rPr>
        <w:t>2.4</w:t>
      </w:r>
      <w:r w:rsidR="0042686A">
        <w:rPr>
          <w:sz w:val="28"/>
          <w:szCs w:val="28"/>
        </w:rPr>
        <w:t>)</w:t>
      </w:r>
    </w:p>
    <w:p w14:paraId="522BF376"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522BF37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22BF378"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22BF379" w14:textId="77777777" w:rsidR="008B2610" w:rsidRPr="00154B00" w:rsidRDefault="009F5758" w:rsidP="003F7CB9">
      <w:pPr>
        <w:spacing w:before="0" w:after="0"/>
      </w:pPr>
      <w:r w:rsidRPr="00154B00">
        <w:t>Phone:  +61 2 6289 7550</w:t>
      </w:r>
    </w:p>
    <w:p w14:paraId="522BF37A" w14:textId="77777777" w:rsidR="009F5758" w:rsidRPr="00154B00" w:rsidRDefault="009F5758" w:rsidP="003F7CB9">
      <w:pPr>
        <w:spacing w:before="0" w:after="0"/>
      </w:pPr>
      <w:r w:rsidRPr="00154B00">
        <w:t>Fax:  +61 2 6289 5540</w:t>
      </w:r>
    </w:p>
    <w:p w14:paraId="522BF37B"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522BF37C"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522BF37D"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522BF37E"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22BF37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297F30">
        <w:t>Royal Australian and New Zealand College of Radiologists (RANZCR)</w:t>
      </w:r>
    </w:p>
    <w:p w14:paraId="522BF380"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fldChar w:fldCharType="begin">
          <w:ffData>
            <w:name w:val=""/>
            <w:enabled/>
            <w:calcOnExit w:val="0"/>
            <w:textInput>
              <w:default w:val="Insert corporation name here"/>
            </w:textInput>
          </w:ffData>
        </w:fldChar>
      </w:r>
      <w:r>
        <w:instrText xml:space="preserve"> FORMTEXT </w:instrText>
      </w:r>
      <w:r>
        <w:fldChar w:fldCharType="separate"/>
      </w:r>
      <w:r>
        <w:rPr>
          <w:noProof/>
        </w:rPr>
        <w:t>Insert corporation name here</w:t>
      </w:r>
      <w:r>
        <w:fldChar w:fldCharType="end"/>
      </w:r>
    </w:p>
    <w:p w14:paraId="522BF381"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977886" w:rsidRPr="00977886">
        <w:t>37 000 029 863</w:t>
      </w:r>
    </w:p>
    <w:p w14:paraId="522BF38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fldChar w:fldCharType="begin">
          <w:ffData>
            <w:name w:val=""/>
            <w:enabled/>
            <w:calcOnExit w:val="0"/>
            <w:textInput>
              <w:default w:val="Insert business trading name here"/>
            </w:textInput>
          </w:ffData>
        </w:fldChar>
      </w:r>
      <w:r>
        <w:instrText xml:space="preserve"> FORMTEXT </w:instrText>
      </w:r>
      <w:r>
        <w:fldChar w:fldCharType="separate"/>
      </w:r>
      <w:r>
        <w:rPr>
          <w:noProof/>
        </w:rPr>
        <w:t>Insert business trading name here</w:t>
      </w:r>
      <w:r>
        <w:fldChar w:fldCharType="end"/>
      </w:r>
    </w:p>
    <w:p w14:paraId="522BF383" w14:textId="77777777" w:rsidR="00C171FB" w:rsidRPr="00C171FB" w:rsidRDefault="00C171FB" w:rsidP="00C171FB"/>
    <w:p w14:paraId="522BF384" w14:textId="77777777" w:rsidR="00C171FB" w:rsidRPr="00C171FB" w:rsidRDefault="00C171FB" w:rsidP="00C171FB">
      <w:pPr>
        <w:rPr>
          <w:b/>
        </w:rPr>
      </w:pPr>
      <w:r>
        <w:rPr>
          <w:b/>
        </w:rPr>
        <w:t xml:space="preserve">Primary contact name: </w:t>
      </w:r>
      <w:r w:rsidR="00470906">
        <w:t>REDACTED</w:t>
      </w:r>
    </w:p>
    <w:p w14:paraId="522BF38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22BF386"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70906">
        <w:t>REDACTED</w:t>
      </w:r>
    </w:p>
    <w:p w14:paraId="522BF387"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470906">
        <w:t>REDACTED</w:t>
      </w:r>
    </w:p>
    <w:p w14:paraId="522BF388"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70906">
        <w:t>REDACTED</w:t>
      </w:r>
    </w:p>
    <w:p w14:paraId="522BF389" w14:textId="77777777" w:rsidR="00C171FB" w:rsidRDefault="00C171FB" w:rsidP="00C171FB">
      <w:pPr>
        <w:rPr>
          <w:b/>
        </w:rPr>
      </w:pPr>
    </w:p>
    <w:p w14:paraId="522BF38A" w14:textId="77777777" w:rsidR="00C171FB" w:rsidRPr="00C171FB" w:rsidRDefault="00C171FB" w:rsidP="00C171FB">
      <w:pPr>
        <w:rPr>
          <w:b/>
        </w:rPr>
      </w:pPr>
      <w:r>
        <w:rPr>
          <w:b/>
        </w:rPr>
        <w:t xml:space="preserve">Alternative contact name: </w:t>
      </w:r>
      <w:r>
        <w:fldChar w:fldCharType="begin">
          <w:ffData>
            <w:name w:val=""/>
            <w:enabled/>
            <w:calcOnExit w:val="0"/>
            <w:textInput>
              <w:default w:val="Insert name of alternative contact here"/>
            </w:textInput>
          </w:ffData>
        </w:fldChar>
      </w:r>
      <w:r>
        <w:instrText xml:space="preserve"> FORMTEXT </w:instrText>
      </w:r>
      <w:r>
        <w:fldChar w:fldCharType="separate"/>
      </w:r>
      <w:r>
        <w:rPr>
          <w:noProof/>
        </w:rPr>
        <w:t>Insert name of alternative contact here</w:t>
      </w:r>
      <w:r>
        <w:fldChar w:fldCharType="end"/>
      </w:r>
    </w:p>
    <w:p w14:paraId="522BF38B"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22BF38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fldChar w:fldCharType="begin">
          <w:ffData>
            <w:name w:val=""/>
            <w:enabled/>
            <w:calcOnExit w:val="0"/>
            <w:textInput>
              <w:default w:val="Insert business number here"/>
            </w:textInput>
          </w:ffData>
        </w:fldChar>
      </w:r>
      <w:r>
        <w:instrText xml:space="preserve"> FORMTEXT </w:instrText>
      </w:r>
      <w:r>
        <w:fldChar w:fldCharType="separate"/>
      </w:r>
      <w:r>
        <w:rPr>
          <w:noProof/>
        </w:rPr>
        <w:t>Insert business number here</w:t>
      </w:r>
      <w:r>
        <w:fldChar w:fldCharType="end"/>
      </w:r>
    </w:p>
    <w:p w14:paraId="522BF38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fldChar w:fldCharType="begin">
          <w:ffData>
            <w:name w:val=""/>
            <w:enabled/>
            <w:calcOnExit w:val="0"/>
            <w:textInput>
              <w:default w:val="Insert mobile number here"/>
            </w:textInput>
          </w:ffData>
        </w:fldChar>
      </w:r>
      <w:r>
        <w:instrText xml:space="preserve"> FORMTEXT </w:instrText>
      </w:r>
      <w:r>
        <w:fldChar w:fldCharType="separate"/>
      </w:r>
      <w:r>
        <w:rPr>
          <w:noProof/>
        </w:rPr>
        <w:t>Insert mobile number here</w:t>
      </w:r>
      <w:r>
        <w:fldChar w:fldCharType="end"/>
      </w:r>
    </w:p>
    <w:p w14:paraId="522BF38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14:paraId="522BF38F" w14:textId="77777777" w:rsidR="00C171FB" w:rsidRPr="00C171FB" w:rsidRDefault="00C171FB" w:rsidP="00C171FB"/>
    <w:p w14:paraId="522BF390" w14:textId="77777777" w:rsidR="00534C5F" w:rsidRPr="00154B00" w:rsidRDefault="00494011" w:rsidP="004A0BF4">
      <w:pPr>
        <w:pStyle w:val="Heading2"/>
      </w:pPr>
      <w:r>
        <w:t xml:space="preserve">(a) </w:t>
      </w:r>
      <w:r w:rsidR="00534C5F">
        <w:t>Are you a lobbyist acting on behalf of an Applicant?</w:t>
      </w:r>
    </w:p>
    <w:p w14:paraId="522BF39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Yes</w:t>
      </w:r>
    </w:p>
    <w:p w14:paraId="522BF392" w14:textId="77777777" w:rsidR="00A6491A" w:rsidRPr="00753C44" w:rsidRDefault="00297F30"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CE56EE">
        <w:rPr>
          <w:szCs w:val="20"/>
        </w:rPr>
      </w:r>
      <w:r w:rsidR="00CE56EE">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522BF393"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22BF394"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Yes</w:t>
      </w:r>
    </w:p>
    <w:p w14:paraId="522BF395"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No</w:t>
      </w:r>
      <w:r w:rsidRPr="00753C44">
        <w:rPr>
          <w:szCs w:val="20"/>
        </w:rPr>
        <w:t xml:space="preserve">  </w:t>
      </w:r>
    </w:p>
    <w:p w14:paraId="522BF396" w14:textId="77777777" w:rsidR="00E04FB3" w:rsidRDefault="00E04FB3" w:rsidP="005C333E">
      <w:pPr>
        <w:spacing w:before="0" w:after="0"/>
        <w:ind w:left="426"/>
        <w:rPr>
          <w:b/>
          <w:szCs w:val="20"/>
        </w:rPr>
      </w:pPr>
      <w:r w:rsidRPr="00154B00">
        <w:rPr>
          <w:b/>
          <w:szCs w:val="20"/>
        </w:rPr>
        <w:br w:type="page"/>
      </w:r>
    </w:p>
    <w:p w14:paraId="522BF397"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522BF398" w14:textId="77777777" w:rsidR="000B3CD0" w:rsidRDefault="000B3CD0" w:rsidP="00730C04">
      <w:pPr>
        <w:pStyle w:val="Heading2"/>
      </w:pPr>
      <w:r w:rsidRPr="00154B00">
        <w:t>Application title</w:t>
      </w:r>
      <w:r w:rsidR="00A8732C">
        <w:t xml:space="preserve"> </w:t>
      </w:r>
    </w:p>
    <w:p w14:paraId="522BF399" w14:textId="77777777" w:rsidR="009056C5" w:rsidRPr="009056C5" w:rsidRDefault="00297F30" w:rsidP="00A6491A">
      <w:pPr>
        <w:ind w:left="284"/>
      </w:pPr>
      <w:r>
        <w:t xml:space="preserve">MRI of the liver </w:t>
      </w:r>
      <w:r w:rsidR="00126E54">
        <w:t>for</w:t>
      </w:r>
      <w:r>
        <w:t xml:space="preserve"> patients with </w:t>
      </w:r>
      <w:r w:rsidR="00126E54">
        <w:t>colorectal carcinoma (CRC) with suspected hepatic metastases or patients with suspected hepatocellular carcinoma (HCC) for the purposes of staging</w:t>
      </w:r>
      <w:r w:rsidR="00977886">
        <w:t>.</w:t>
      </w:r>
    </w:p>
    <w:p w14:paraId="522BF39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22BF39B" w14:textId="77777777" w:rsidR="00126E54" w:rsidRPr="00977886" w:rsidRDefault="00126E54" w:rsidP="00126E54">
      <w:pPr>
        <w:autoSpaceDE w:val="0"/>
        <w:autoSpaceDN w:val="0"/>
        <w:adjustRightInd w:val="0"/>
        <w:spacing w:before="0" w:after="0"/>
        <w:ind w:firstLine="360"/>
        <w:rPr>
          <w:rFonts w:cs="Tahoma"/>
          <w:szCs w:val="20"/>
        </w:rPr>
      </w:pPr>
      <w:r w:rsidRPr="00977886">
        <w:rPr>
          <w:rFonts w:cs="Tahoma"/>
          <w:szCs w:val="20"/>
        </w:rPr>
        <w:t>The population of patients proposed to be eligible for the intervention (MRI of the liver) includes</w:t>
      </w:r>
      <w:r w:rsidR="00977886" w:rsidRPr="00977886">
        <w:rPr>
          <w:rFonts w:cs="Tahoma"/>
          <w:szCs w:val="20"/>
        </w:rPr>
        <w:t>:</w:t>
      </w:r>
    </w:p>
    <w:p w14:paraId="522BF39C" w14:textId="77777777" w:rsidR="00977886" w:rsidRPr="00977886" w:rsidRDefault="00977886" w:rsidP="00977886">
      <w:pPr>
        <w:pStyle w:val="ListParagraph"/>
        <w:numPr>
          <w:ilvl w:val="0"/>
          <w:numId w:val="38"/>
        </w:numPr>
        <w:autoSpaceDE w:val="0"/>
        <w:autoSpaceDN w:val="0"/>
        <w:adjustRightInd w:val="0"/>
        <w:spacing w:before="0" w:after="0"/>
        <w:rPr>
          <w:rFonts w:cs="Tahoma"/>
          <w:szCs w:val="20"/>
        </w:rPr>
      </w:pPr>
      <w:r>
        <w:rPr>
          <w:rFonts w:cs="Tahoma"/>
          <w:szCs w:val="20"/>
        </w:rPr>
        <w:t>patient</w:t>
      </w:r>
      <w:r w:rsidR="006F6044" w:rsidRPr="00977886">
        <w:rPr>
          <w:rFonts w:cs="Tahoma"/>
          <w:szCs w:val="20"/>
        </w:rPr>
        <w:t>s</w:t>
      </w:r>
      <w:r w:rsidR="00126E54" w:rsidRPr="00977886">
        <w:rPr>
          <w:rFonts w:cs="Tahoma"/>
          <w:szCs w:val="20"/>
        </w:rPr>
        <w:t xml:space="preserve"> with known </w:t>
      </w:r>
      <w:r w:rsidRPr="00977886">
        <w:rPr>
          <w:rFonts w:cs="Tahoma"/>
          <w:szCs w:val="20"/>
        </w:rPr>
        <w:t>CRC</w:t>
      </w:r>
      <w:r w:rsidR="00126E54" w:rsidRPr="00977886">
        <w:rPr>
          <w:rFonts w:cs="Tahoma"/>
          <w:szCs w:val="20"/>
        </w:rPr>
        <w:t xml:space="preserve"> with suspected liver malignancy requiring characterisation who may require hepatic interventions</w:t>
      </w:r>
      <w:r w:rsidRPr="00977886">
        <w:rPr>
          <w:rFonts w:cs="Tahoma"/>
          <w:szCs w:val="20"/>
        </w:rPr>
        <w:t>;</w:t>
      </w:r>
      <w:r w:rsidR="00126E54" w:rsidRPr="00977886">
        <w:rPr>
          <w:rFonts w:cs="Tahoma"/>
          <w:szCs w:val="20"/>
        </w:rPr>
        <w:t xml:space="preserve"> and </w:t>
      </w:r>
    </w:p>
    <w:p w14:paraId="522BF39D" w14:textId="77777777" w:rsidR="00977886" w:rsidRPr="00977886" w:rsidRDefault="00977886" w:rsidP="00977886">
      <w:pPr>
        <w:pStyle w:val="PlainText"/>
        <w:numPr>
          <w:ilvl w:val="0"/>
          <w:numId w:val="38"/>
        </w:numPr>
        <w:rPr>
          <w:rFonts w:asciiTheme="minorHAnsi" w:hAnsiTheme="minorHAnsi"/>
          <w:sz w:val="20"/>
          <w:szCs w:val="20"/>
        </w:rPr>
      </w:pPr>
      <w:r w:rsidRPr="00977886">
        <w:rPr>
          <w:rFonts w:asciiTheme="minorHAnsi" w:hAnsiTheme="minorHAnsi"/>
          <w:sz w:val="20"/>
          <w:szCs w:val="20"/>
        </w:rPr>
        <w:t xml:space="preserve">patients with suspected </w:t>
      </w:r>
      <w:r w:rsidR="00A55266">
        <w:rPr>
          <w:rFonts w:asciiTheme="minorHAnsi" w:hAnsiTheme="minorHAnsi"/>
          <w:sz w:val="20"/>
          <w:szCs w:val="20"/>
        </w:rPr>
        <w:t>HCC</w:t>
      </w:r>
      <w:r w:rsidRPr="00977886">
        <w:rPr>
          <w:rFonts w:asciiTheme="minorHAnsi" w:hAnsiTheme="minorHAnsi"/>
          <w:sz w:val="20"/>
          <w:szCs w:val="20"/>
        </w:rPr>
        <w:t xml:space="preserve"> for the purposes of staging where:</w:t>
      </w:r>
    </w:p>
    <w:p w14:paraId="522BF39E" w14:textId="77777777" w:rsidR="00977886" w:rsidRPr="00977886" w:rsidRDefault="00977886" w:rsidP="00977886">
      <w:pPr>
        <w:pStyle w:val="PlainText"/>
        <w:numPr>
          <w:ilvl w:val="0"/>
          <w:numId w:val="40"/>
        </w:numPr>
        <w:rPr>
          <w:rFonts w:asciiTheme="minorHAnsi" w:hAnsiTheme="minorHAnsi"/>
          <w:sz w:val="20"/>
          <w:szCs w:val="20"/>
        </w:rPr>
      </w:pPr>
      <w:r w:rsidRPr="00977886">
        <w:rPr>
          <w:rFonts w:asciiTheme="minorHAnsi" w:hAnsiTheme="minorHAnsi"/>
          <w:sz w:val="20"/>
          <w:szCs w:val="20"/>
        </w:rPr>
        <w:t>prior imaging in the last 12 months has identified a hepatic lesion over 10mm; or</w:t>
      </w:r>
    </w:p>
    <w:p w14:paraId="522BF39F" w14:textId="77777777" w:rsidR="00977886" w:rsidRPr="00977886" w:rsidRDefault="00977886" w:rsidP="00977886">
      <w:pPr>
        <w:pStyle w:val="PlainText"/>
        <w:numPr>
          <w:ilvl w:val="0"/>
          <w:numId w:val="40"/>
        </w:numPr>
        <w:rPr>
          <w:rFonts w:asciiTheme="minorHAnsi" w:hAnsiTheme="minorHAnsi"/>
          <w:sz w:val="20"/>
          <w:szCs w:val="20"/>
        </w:rPr>
      </w:pPr>
      <w:proofErr w:type="gramStart"/>
      <w:r w:rsidRPr="00977886">
        <w:rPr>
          <w:rFonts w:asciiTheme="minorHAnsi" w:hAnsiTheme="minorHAnsi"/>
          <w:sz w:val="20"/>
          <w:szCs w:val="20"/>
        </w:rPr>
        <w:t>the</w:t>
      </w:r>
      <w:proofErr w:type="gramEnd"/>
      <w:r w:rsidRPr="00977886">
        <w:rPr>
          <w:rFonts w:asciiTheme="minorHAnsi" w:hAnsiTheme="minorHAnsi"/>
          <w:sz w:val="20"/>
          <w:szCs w:val="20"/>
        </w:rPr>
        <w:t xml:space="preserve"> patient has been assessed as having a Child-Pugh class A and B liver function.</w:t>
      </w:r>
    </w:p>
    <w:p w14:paraId="522BF3A0" w14:textId="77777777" w:rsidR="00126E54" w:rsidRDefault="000955E7" w:rsidP="00126E5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22BF3A1" w14:textId="77777777" w:rsidR="00126E54" w:rsidRDefault="00126E54" w:rsidP="00126E54">
      <w:pPr>
        <w:pStyle w:val="Heading2"/>
        <w:numPr>
          <w:ilvl w:val="0"/>
          <w:numId w:val="0"/>
        </w:numPr>
        <w:ind w:firstLine="360"/>
        <w:rPr>
          <w:b w:val="0"/>
          <w:szCs w:val="22"/>
        </w:rPr>
      </w:pPr>
    </w:p>
    <w:p w14:paraId="522BF3A2" w14:textId="77777777" w:rsidR="006B5D5E" w:rsidRDefault="00126E54" w:rsidP="00C655BB">
      <w:pPr>
        <w:pStyle w:val="Heading2"/>
        <w:numPr>
          <w:ilvl w:val="0"/>
          <w:numId w:val="0"/>
        </w:numPr>
        <w:ind w:left="284"/>
        <w:jc w:val="both"/>
        <w:rPr>
          <w:b w:val="0"/>
        </w:rPr>
      </w:pPr>
      <w:r w:rsidRPr="00126E54">
        <w:rPr>
          <w:b w:val="0"/>
        </w:rPr>
        <w:t>MRI utilises strong, uniform magnetic fields to investigate</w:t>
      </w:r>
      <w:r w:rsidR="00C655BB">
        <w:rPr>
          <w:b w:val="0"/>
        </w:rPr>
        <w:t xml:space="preserve"> the anatomy, perfusion, tissue </w:t>
      </w:r>
      <w:r w:rsidRPr="00126E54">
        <w:rPr>
          <w:b w:val="0"/>
        </w:rPr>
        <w:t>characterisation and function of different organs and systems within the human body.</w:t>
      </w:r>
    </w:p>
    <w:p w14:paraId="522BF3A3" w14:textId="77777777" w:rsidR="006B5D5E" w:rsidRDefault="006B5D5E" w:rsidP="00C655BB">
      <w:pPr>
        <w:pStyle w:val="Heading2"/>
        <w:numPr>
          <w:ilvl w:val="0"/>
          <w:numId w:val="0"/>
        </w:numPr>
        <w:ind w:left="284"/>
        <w:jc w:val="both"/>
        <w:rPr>
          <w:b w:val="0"/>
        </w:rPr>
      </w:pPr>
    </w:p>
    <w:p w14:paraId="522BF3A4" w14:textId="77777777" w:rsidR="00126E54" w:rsidRDefault="006B5D5E" w:rsidP="00C655BB">
      <w:pPr>
        <w:pStyle w:val="Heading2"/>
        <w:numPr>
          <w:ilvl w:val="0"/>
          <w:numId w:val="0"/>
        </w:numPr>
        <w:ind w:left="284"/>
        <w:jc w:val="both"/>
        <w:rPr>
          <w:b w:val="0"/>
        </w:rPr>
      </w:pPr>
      <w:r>
        <w:rPr>
          <w:b w:val="0"/>
        </w:rPr>
        <w:t>MRI</w:t>
      </w:r>
      <w:r w:rsidRPr="006B5D5E">
        <w:rPr>
          <w:b w:val="0"/>
        </w:rPr>
        <w:t xml:space="preserve"> has </w:t>
      </w:r>
      <w:r w:rsidR="00726027">
        <w:rPr>
          <w:b w:val="0"/>
        </w:rPr>
        <w:t>advantages over</w:t>
      </w:r>
      <w:r w:rsidRPr="006B5D5E">
        <w:rPr>
          <w:b w:val="0"/>
        </w:rPr>
        <w:t xml:space="preserve"> ultrasound, computed tomography</w:t>
      </w:r>
      <w:r w:rsidR="00726027">
        <w:rPr>
          <w:b w:val="0"/>
        </w:rPr>
        <w:t xml:space="preserve"> (CT), positron emission tomography (</w:t>
      </w:r>
      <w:r w:rsidRPr="006B5D5E">
        <w:rPr>
          <w:b w:val="0"/>
        </w:rPr>
        <w:t>P</w:t>
      </w:r>
      <w:r w:rsidR="00726027">
        <w:rPr>
          <w:b w:val="0"/>
        </w:rPr>
        <w:t>ET) in diagnosing focal liver</w:t>
      </w:r>
      <w:r w:rsidRPr="006B5D5E">
        <w:rPr>
          <w:b w:val="0"/>
        </w:rPr>
        <w:t xml:space="preserve"> masses. With a combination of basic T1 and T2 weighted sequenc</w:t>
      </w:r>
      <w:r w:rsidR="00726027">
        <w:rPr>
          <w:b w:val="0"/>
        </w:rPr>
        <w:t>es, diffusion weighted imaging (DWI),</w:t>
      </w:r>
      <w:r w:rsidRPr="006B5D5E">
        <w:rPr>
          <w:b w:val="0"/>
        </w:rPr>
        <w:t xml:space="preserve"> and hepatobiliary </w:t>
      </w:r>
      <w:r w:rsidR="00726027">
        <w:rPr>
          <w:b w:val="0"/>
        </w:rPr>
        <w:t xml:space="preserve">specific </w:t>
      </w:r>
      <w:r w:rsidRPr="006B5D5E">
        <w:rPr>
          <w:b w:val="0"/>
        </w:rPr>
        <w:t xml:space="preserve">gadolinium contrast agents, most liver lesions can be diagnosed. Benign lesions, </w:t>
      </w:r>
      <w:r w:rsidR="00726027">
        <w:rPr>
          <w:b w:val="0"/>
        </w:rPr>
        <w:t xml:space="preserve">such </w:t>
      </w:r>
      <w:r w:rsidRPr="006B5D5E">
        <w:rPr>
          <w:b w:val="0"/>
        </w:rPr>
        <w:t>as cyst</w:t>
      </w:r>
      <w:r w:rsidR="00726027">
        <w:rPr>
          <w:b w:val="0"/>
        </w:rPr>
        <w:t xml:space="preserve">s and </w:t>
      </w:r>
      <w:r w:rsidRPr="006B5D5E">
        <w:rPr>
          <w:b w:val="0"/>
        </w:rPr>
        <w:t>hemangioma</w:t>
      </w:r>
      <w:r w:rsidR="00726027">
        <w:rPr>
          <w:b w:val="0"/>
        </w:rPr>
        <w:t xml:space="preserve">s </w:t>
      </w:r>
      <w:r w:rsidRPr="006B5D5E">
        <w:rPr>
          <w:b w:val="0"/>
        </w:rPr>
        <w:t>can be distinguis</w:t>
      </w:r>
      <w:r w:rsidR="00AA7F93">
        <w:rPr>
          <w:b w:val="0"/>
        </w:rPr>
        <w:t>hed from malignant lesions</w:t>
      </w:r>
    </w:p>
    <w:p w14:paraId="522BF3A5" w14:textId="77777777" w:rsidR="006B5D5E" w:rsidRPr="006B5D5E" w:rsidRDefault="006B5D5E" w:rsidP="006B5D5E"/>
    <w:p w14:paraId="522BF3A6"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22BF3A7" w14:textId="77777777" w:rsidR="00753C44" w:rsidRDefault="00297F30"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CE56EE">
        <w:rPr>
          <w:szCs w:val="20"/>
        </w:rPr>
      </w:r>
      <w:r w:rsidR="00CE56EE">
        <w:rPr>
          <w:szCs w:val="20"/>
        </w:rPr>
        <w:fldChar w:fldCharType="separate"/>
      </w:r>
      <w:r>
        <w:rPr>
          <w:szCs w:val="20"/>
        </w:rPr>
        <w:fldChar w:fldCharType="end"/>
      </w:r>
      <w:bookmarkEnd w:id="3"/>
      <w:r w:rsidR="006B6390">
        <w:rPr>
          <w:szCs w:val="20"/>
        </w:rPr>
        <w:t xml:space="preserve"> Yes</w:t>
      </w:r>
    </w:p>
    <w:p w14:paraId="522BF3A8"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22BF3A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22BF3AA"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522BF3AB" w14:textId="77777777" w:rsidR="00753C44" w:rsidRPr="00753C44" w:rsidRDefault="00297F3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522BF3A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22BF3AD" w14:textId="77777777" w:rsidR="003D795C" w:rsidRPr="00CB12EC" w:rsidRDefault="00541D8C" w:rsidP="00541D8C">
      <w:pPr>
        <w:ind w:firstLine="360"/>
      </w:pPr>
      <w:r>
        <w:t>N/A</w:t>
      </w:r>
    </w:p>
    <w:p w14:paraId="522BF3AE"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22BF3A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22BF3B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22BF3B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22BF3B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22BF3B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22BF3B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22BF3B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22BF3B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22BF3B7"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56EE">
        <w:rPr>
          <w:b/>
          <w:szCs w:val="20"/>
        </w:rPr>
      </w:r>
      <w:r w:rsidR="00CE56EE">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22BF3B8" w14:textId="77777777" w:rsidR="002A270B" w:rsidRPr="00CB12EC" w:rsidRDefault="002A270B" w:rsidP="00A6491A">
      <w:pPr>
        <w:ind w:left="284"/>
      </w:pPr>
    </w:p>
    <w:p w14:paraId="522BF3B9"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22BF3B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CE56EE">
        <w:rPr>
          <w:b/>
          <w:szCs w:val="20"/>
        </w:rPr>
      </w:r>
      <w:r w:rsidR="00CE56EE">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22BF3BB" w14:textId="77777777" w:rsidR="006B6390" w:rsidRPr="00AA2CFE" w:rsidRDefault="00297F30"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E56EE">
        <w:rPr>
          <w:b/>
          <w:szCs w:val="20"/>
        </w:rPr>
      </w:r>
      <w:r w:rsidR="00CE56EE">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22BF3B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E56EE">
        <w:rPr>
          <w:b/>
          <w:szCs w:val="20"/>
        </w:rPr>
      </w:r>
      <w:r w:rsidR="00CE56E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22BF3BD"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E56EE">
        <w:rPr>
          <w:b/>
          <w:szCs w:val="20"/>
        </w:rPr>
      </w:r>
      <w:r w:rsidR="00CE56E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22BF3BE"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22BF3BF"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p>
    <w:p w14:paraId="522BF3C0" w14:textId="77777777" w:rsidR="00626365" w:rsidRDefault="00297F30"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0A5B32" w:rsidRPr="000A5B32">
        <w:rPr>
          <w:szCs w:val="20"/>
        </w:rPr>
        <w:t xml:space="preserve"> No</w:t>
      </w:r>
    </w:p>
    <w:p w14:paraId="522BF3C1" w14:textId="77777777" w:rsidR="00626365" w:rsidRDefault="00626365" w:rsidP="00626365">
      <w:pPr>
        <w:spacing w:before="0" w:after="0"/>
        <w:ind w:left="284"/>
        <w:rPr>
          <w:szCs w:val="20"/>
        </w:rPr>
      </w:pPr>
      <w:r>
        <w:rPr>
          <w:szCs w:val="20"/>
        </w:rPr>
        <w:br w:type="page"/>
      </w:r>
    </w:p>
    <w:p w14:paraId="522BF3C2"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522BF3C3"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22BF3C4" w14:textId="77777777" w:rsidR="000A5B32" w:rsidRPr="00855944" w:rsidRDefault="00541D8C" w:rsidP="00A6491A">
      <w:pPr>
        <w:ind w:left="284"/>
        <w:rPr>
          <w:rStyle w:val="Strong"/>
        </w:rPr>
      </w:pPr>
      <w:r>
        <w:t>N/A</w:t>
      </w:r>
    </w:p>
    <w:p w14:paraId="522BF3C5" w14:textId="77777777" w:rsidR="000B3CD0" w:rsidRDefault="000B3CD0" w:rsidP="00730C04">
      <w:pPr>
        <w:pStyle w:val="Heading2"/>
      </w:pPr>
      <w:r w:rsidRPr="00154B00">
        <w:t>What is the type of service:</w:t>
      </w:r>
    </w:p>
    <w:p w14:paraId="522BF3C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Therapeutic medical service</w:t>
      </w:r>
    </w:p>
    <w:p w14:paraId="522BF3C7" w14:textId="77777777" w:rsidR="00A6594E" w:rsidRDefault="00297F3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E56EE">
        <w:rPr>
          <w:b/>
          <w:szCs w:val="20"/>
        </w:rPr>
      </w:r>
      <w:r w:rsidR="00CE56EE">
        <w:rPr>
          <w:b/>
          <w:szCs w:val="20"/>
        </w:rPr>
        <w:fldChar w:fldCharType="separate"/>
      </w:r>
      <w:r>
        <w:rPr>
          <w:b/>
          <w:szCs w:val="20"/>
        </w:rPr>
        <w:fldChar w:fldCharType="end"/>
      </w:r>
      <w:r w:rsidR="00A6594E" w:rsidRPr="0027105F">
        <w:rPr>
          <w:b/>
          <w:szCs w:val="20"/>
        </w:rPr>
        <w:t xml:space="preserve"> </w:t>
      </w:r>
      <w:r w:rsidR="00A6594E">
        <w:t>Investigative medical service</w:t>
      </w:r>
    </w:p>
    <w:p w14:paraId="522BF3C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Single consultation medical service</w:t>
      </w:r>
    </w:p>
    <w:p w14:paraId="522BF3C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Global consultation medical service</w:t>
      </w:r>
    </w:p>
    <w:p w14:paraId="522BF3C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Allied health service</w:t>
      </w:r>
    </w:p>
    <w:p w14:paraId="522BF3C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Co-dependent technology</w:t>
      </w:r>
    </w:p>
    <w:p w14:paraId="522BF3CC"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Hybrid health technology</w:t>
      </w:r>
    </w:p>
    <w:p w14:paraId="522BF3C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22BF3C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56EE">
        <w:rPr>
          <w:b/>
          <w:szCs w:val="20"/>
        </w:rPr>
      </w:r>
      <w:r w:rsidR="00CE56EE">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22BF3CF" w14:textId="77777777" w:rsidR="00A6594E" w:rsidRDefault="00297F3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E56EE">
        <w:rPr>
          <w:b/>
          <w:szCs w:val="20"/>
        </w:rPr>
      </w:r>
      <w:r w:rsidR="00CE56EE">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522BF3D0" w14:textId="77777777" w:rsidR="00A6594E" w:rsidRDefault="006F6044" w:rsidP="00AF4466">
      <w:pPr>
        <w:pStyle w:val="ListParagraph"/>
        <w:numPr>
          <w:ilvl w:val="0"/>
          <w:numId w:val="36"/>
        </w:numPr>
        <w:spacing w:before="0" w:after="0"/>
        <w:ind w:left="851" w:hanging="425"/>
      </w:pPr>
      <w:r>
        <w:rPr>
          <w:b/>
          <w:szCs w:val="20"/>
        </w:rPr>
        <w:t>x</w:t>
      </w:r>
      <w:r w:rsidR="00A6594E" w:rsidRPr="00AF4466">
        <w:rPr>
          <w:b/>
          <w:szCs w:val="20"/>
        </w:rPr>
        <w:t xml:space="preserve"> </w:t>
      </w:r>
      <w:r w:rsidR="00A6594E">
        <w:t>Provides information about prognosis</w:t>
      </w:r>
    </w:p>
    <w:p w14:paraId="522BF3D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56EE">
        <w:rPr>
          <w:b/>
          <w:szCs w:val="20"/>
        </w:rPr>
      </w:r>
      <w:r w:rsidR="00CE56EE">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522BF3D2"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56EE">
        <w:rPr>
          <w:b/>
          <w:szCs w:val="20"/>
        </w:rPr>
      </w:r>
      <w:r w:rsidR="00CE56EE">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22BF3D3"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22BF3D4"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Pharmaceutical / Biological</w:t>
      </w:r>
    </w:p>
    <w:p w14:paraId="522BF3D5"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56EE">
        <w:rPr>
          <w:b/>
          <w:szCs w:val="20"/>
        </w:rPr>
      </w:r>
      <w:r w:rsidR="00CE56EE">
        <w:rPr>
          <w:b/>
          <w:szCs w:val="20"/>
        </w:rPr>
        <w:fldChar w:fldCharType="separate"/>
      </w:r>
      <w:r w:rsidRPr="0027105F">
        <w:rPr>
          <w:b/>
          <w:szCs w:val="20"/>
        </w:rPr>
        <w:fldChar w:fldCharType="end"/>
      </w:r>
      <w:r w:rsidRPr="0027105F">
        <w:rPr>
          <w:b/>
          <w:szCs w:val="20"/>
        </w:rPr>
        <w:t xml:space="preserve"> </w:t>
      </w:r>
      <w:r>
        <w:t>Prosthesis or device</w:t>
      </w:r>
    </w:p>
    <w:p w14:paraId="522BF3D6" w14:textId="77777777" w:rsidR="00FE16C1" w:rsidRPr="00FE16C1" w:rsidRDefault="00297F3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E56EE">
        <w:rPr>
          <w:b/>
          <w:szCs w:val="20"/>
        </w:rPr>
      </w:r>
      <w:r w:rsidR="00CE56EE">
        <w:rPr>
          <w:b/>
          <w:szCs w:val="20"/>
        </w:rPr>
        <w:fldChar w:fldCharType="separate"/>
      </w:r>
      <w:r>
        <w:rPr>
          <w:b/>
          <w:szCs w:val="20"/>
        </w:rPr>
        <w:fldChar w:fldCharType="end"/>
      </w:r>
      <w:r w:rsidR="00FE16C1" w:rsidRPr="0027105F">
        <w:rPr>
          <w:b/>
          <w:szCs w:val="20"/>
        </w:rPr>
        <w:t xml:space="preserve"> </w:t>
      </w:r>
      <w:r w:rsidR="00FE16C1">
        <w:t>No</w:t>
      </w:r>
    </w:p>
    <w:p w14:paraId="522BF3D7"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22BF3D8"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p>
    <w:p w14:paraId="522BF3D9"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  </w:t>
      </w:r>
    </w:p>
    <w:p w14:paraId="522BF3DA"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22BF3DB" w14:textId="77777777" w:rsidR="007E39E4" w:rsidRPr="007E39E4" w:rsidRDefault="00541D8C" w:rsidP="00A6491A">
      <w:pPr>
        <w:ind w:left="284"/>
        <w:rPr>
          <w:b/>
          <w:szCs w:val="20"/>
        </w:rPr>
      </w:pPr>
      <w:r>
        <w:t>N/A</w:t>
      </w:r>
    </w:p>
    <w:p w14:paraId="522BF3DC"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522BF3DD"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22BF3DE" w14:textId="77777777" w:rsidR="001E6919" w:rsidRPr="007E39E4" w:rsidRDefault="007E39E4" w:rsidP="00541D8C">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00541D8C">
        <w:rPr>
          <w:szCs w:val="20"/>
        </w:rPr>
        <w:t xml:space="preserve"> No</w:t>
      </w:r>
    </w:p>
    <w:p w14:paraId="522BF3DF"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22BF3E0" w14:textId="77777777" w:rsidR="001E6958" w:rsidRDefault="001E6958" w:rsidP="00A6491A">
      <w:pPr>
        <w:spacing w:before="0" w:after="0"/>
        <w:ind w:left="284"/>
      </w:pPr>
      <w:r>
        <w:t xml:space="preserve">Trade name: </w:t>
      </w:r>
    </w:p>
    <w:p w14:paraId="522BF3E1" w14:textId="77777777" w:rsidR="001E6958" w:rsidRPr="001E6958" w:rsidRDefault="001E6958" w:rsidP="00A6491A">
      <w:pPr>
        <w:spacing w:before="0" w:after="0"/>
        <w:ind w:left="284"/>
      </w:pPr>
      <w:r>
        <w:t xml:space="preserve">Generic name: </w:t>
      </w:r>
    </w:p>
    <w:p w14:paraId="522BF3E2"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522BF3E3"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p>
    <w:p w14:paraId="522BF3E4" w14:textId="77777777" w:rsidR="001E6958" w:rsidRDefault="00297F3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1E6958">
        <w:rPr>
          <w:szCs w:val="20"/>
        </w:rPr>
        <w:t xml:space="preserve"> No  </w:t>
      </w:r>
    </w:p>
    <w:p w14:paraId="522BF3E5" w14:textId="77777777" w:rsidR="001E6919" w:rsidRDefault="001E6919" w:rsidP="00A6491A">
      <w:pPr>
        <w:spacing w:before="0" w:after="0"/>
        <w:ind w:left="284"/>
        <w:rPr>
          <w:szCs w:val="20"/>
        </w:rPr>
      </w:pPr>
      <w:r>
        <w:rPr>
          <w:szCs w:val="20"/>
        </w:rPr>
        <w:br w:type="page"/>
      </w:r>
    </w:p>
    <w:p w14:paraId="522BF3E6" w14:textId="77777777" w:rsidR="001E6919" w:rsidRPr="001E6958" w:rsidRDefault="001E6919" w:rsidP="00A6491A">
      <w:pPr>
        <w:spacing w:before="0" w:after="0"/>
        <w:ind w:left="284"/>
        <w:rPr>
          <w:szCs w:val="20"/>
        </w:rPr>
      </w:pPr>
    </w:p>
    <w:p w14:paraId="522BF3E7"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22BF3E8" w14:textId="77777777" w:rsidR="001E6958" w:rsidRDefault="001E6958" w:rsidP="00A6491A">
      <w:pPr>
        <w:spacing w:before="0" w:after="0"/>
        <w:ind w:left="284"/>
      </w:pPr>
      <w:r>
        <w:t xml:space="preserve">Billing code(s): </w:t>
      </w:r>
    </w:p>
    <w:p w14:paraId="522BF3E9" w14:textId="77777777" w:rsidR="001E6958" w:rsidRDefault="001E6958" w:rsidP="00A6491A">
      <w:pPr>
        <w:spacing w:before="0" w:after="0"/>
        <w:ind w:left="284"/>
      </w:pPr>
      <w:r>
        <w:t xml:space="preserve">Trade name of prostheses: </w:t>
      </w:r>
    </w:p>
    <w:p w14:paraId="522BF3EA" w14:textId="77777777" w:rsidR="001E6958" w:rsidRDefault="001E6958" w:rsidP="00A6491A">
      <w:pPr>
        <w:spacing w:before="0" w:after="0"/>
        <w:ind w:left="284"/>
      </w:pPr>
      <w:r>
        <w:t xml:space="preserve">Clinical name of prostheses: </w:t>
      </w:r>
    </w:p>
    <w:p w14:paraId="522BF3EB" w14:textId="77777777" w:rsidR="001E6958" w:rsidRPr="001E6958" w:rsidRDefault="001E6958" w:rsidP="00A6491A">
      <w:pPr>
        <w:spacing w:before="0" w:after="0"/>
        <w:ind w:left="284"/>
      </w:pPr>
      <w:r>
        <w:t xml:space="preserve">Other device components delivered as part of the service: </w:t>
      </w:r>
    </w:p>
    <w:p w14:paraId="522BF3EC" w14:textId="77777777" w:rsidR="009939DC" w:rsidRDefault="009939DC" w:rsidP="009939DC"/>
    <w:p w14:paraId="522BF3ED"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22BF3EE"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p>
    <w:p w14:paraId="522BF3EF"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  </w:t>
      </w:r>
    </w:p>
    <w:p w14:paraId="522BF3F0"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522BF3F1"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Yes</w:t>
      </w:r>
    </w:p>
    <w:p w14:paraId="522BF3F2"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  </w:t>
      </w:r>
    </w:p>
    <w:p w14:paraId="522BF3F3"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522BF3F4" w14:textId="77777777" w:rsidR="00016B6E" w:rsidRPr="009939DC" w:rsidRDefault="00541D8C" w:rsidP="00A6491A">
      <w:pPr>
        <w:ind w:left="284"/>
      </w:pPr>
      <w:r>
        <w:t>N/A</w:t>
      </w:r>
    </w:p>
    <w:p w14:paraId="522BF3F5"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22BF3F6" w14:textId="77777777" w:rsidR="009939DC" w:rsidRDefault="009939DC" w:rsidP="00A6491A">
      <w:pPr>
        <w:spacing w:before="0" w:after="0"/>
        <w:ind w:left="284"/>
      </w:pPr>
      <w:r w:rsidRPr="00541D8C">
        <w:rPr>
          <w:i/>
        </w:rPr>
        <w:t>Single use consumables:</w:t>
      </w:r>
      <w:r>
        <w:t xml:space="preserve"> </w:t>
      </w:r>
      <w:r w:rsidR="00297F30">
        <w:t>The service involves the use of hepatobiliary specific contrast agent which will require the creation of a ‘modifying’ MBS item which is to be claimed simultaneously with the proposed MRI item</w:t>
      </w:r>
      <w:r w:rsidR="001B7787">
        <w:t xml:space="preserve">. In the previous submission it was identified that the most appropriate and commonly administered contrast agent for </w:t>
      </w:r>
      <w:r w:rsidR="006F6044">
        <w:t>liver</w:t>
      </w:r>
      <w:r w:rsidR="001B7787">
        <w:t xml:space="preserve"> MRI scans was gadoxetate disodium, marketed as </w:t>
      </w:r>
      <w:proofErr w:type="spellStart"/>
      <w:r w:rsidR="001B7787">
        <w:t>Primovist</w:t>
      </w:r>
      <w:proofErr w:type="spellEnd"/>
      <w:r w:rsidR="001B7787">
        <w:t xml:space="preserve"> (Bayer Australia, Pymble NSW). This contrast agent is reported to be more expensive than standard contrast agents (previously stated as $280)</w:t>
      </w:r>
      <w:r w:rsidR="006F6044">
        <w:t xml:space="preserve"> but provides greater accuracy.</w:t>
      </w:r>
    </w:p>
    <w:p w14:paraId="522BF3F7" w14:textId="77777777" w:rsidR="00297F30" w:rsidRDefault="00297F30" w:rsidP="00A6491A">
      <w:pPr>
        <w:spacing w:before="0" w:after="0"/>
        <w:ind w:left="284"/>
      </w:pPr>
    </w:p>
    <w:p w14:paraId="522BF3F8" w14:textId="77777777" w:rsidR="00F301F1" w:rsidRPr="00855944" w:rsidRDefault="009939DC" w:rsidP="00A6491A">
      <w:pPr>
        <w:spacing w:before="0" w:after="0"/>
        <w:ind w:left="284"/>
      </w:pPr>
      <w:r w:rsidRPr="00541D8C">
        <w:rPr>
          <w:i/>
        </w:rPr>
        <w:t>Multi-use consumables</w:t>
      </w:r>
      <w:r>
        <w:t>:</w:t>
      </w:r>
      <w:r w:rsidRPr="009939DC">
        <w:t xml:space="preserve"> </w:t>
      </w:r>
      <w:r w:rsidR="00297F30">
        <w:t>N/A</w:t>
      </w:r>
      <w:r w:rsidR="00F301F1" w:rsidRPr="00855944">
        <w:br w:type="page"/>
      </w:r>
    </w:p>
    <w:p w14:paraId="522BF3F9"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22BF3FA"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22BF3FB"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0826CD">
        <w:rPr>
          <w:szCs w:val="20"/>
        </w:rPr>
        <w:t>Contrast Agent for diagnostic imaging (</w:t>
      </w:r>
      <w:proofErr w:type="spellStart"/>
      <w:r w:rsidR="000826CD">
        <w:rPr>
          <w:szCs w:val="20"/>
        </w:rPr>
        <w:t>gadoexetate</w:t>
      </w:r>
      <w:proofErr w:type="spellEnd"/>
      <w:r w:rsidR="000826CD">
        <w:rPr>
          <w:szCs w:val="20"/>
        </w:rPr>
        <w:t xml:space="preserve"> disodium)/</w:t>
      </w:r>
      <w:proofErr w:type="spellStart"/>
      <w:r w:rsidR="000826CD">
        <w:rPr>
          <w:szCs w:val="20"/>
        </w:rPr>
        <w:t>Primovist</w:t>
      </w:r>
      <w:proofErr w:type="spellEnd"/>
    </w:p>
    <w:p w14:paraId="522BF3FC"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0826CD">
        <w:rPr>
          <w:szCs w:val="20"/>
        </w:rPr>
        <w:t xml:space="preserve">Bayer Australia </w:t>
      </w:r>
    </w:p>
    <w:p w14:paraId="522BF3FD"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0826CD">
        <w:rPr>
          <w:szCs w:val="20"/>
        </w:rPr>
        <w:t xml:space="preserve">as above </w:t>
      </w:r>
    </w:p>
    <w:p w14:paraId="522BF3FE"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522BF3FF"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w:t>
      </w:r>
      <w:r w:rsidRPr="00615F42">
        <w:rPr>
          <w:szCs w:val="20"/>
        </w:rPr>
        <w:t>Class III</w:t>
      </w:r>
    </w:p>
    <w:p w14:paraId="522BF400"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sidRPr="000A5B32">
        <w:rPr>
          <w:szCs w:val="20"/>
        </w:rPr>
        <w:t xml:space="preserve"> </w:t>
      </w:r>
      <w:r w:rsidRPr="00615F42">
        <w:rPr>
          <w:szCs w:val="20"/>
        </w:rPr>
        <w:t>AIMD</w:t>
      </w:r>
    </w:p>
    <w:p w14:paraId="522BF401" w14:textId="77777777" w:rsidR="005E2CE3" w:rsidRPr="00154B00" w:rsidRDefault="000826C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615F42" w:rsidRPr="000A5B32">
        <w:rPr>
          <w:szCs w:val="20"/>
        </w:rPr>
        <w:t xml:space="preserve"> </w:t>
      </w:r>
      <w:r w:rsidR="00615F42" w:rsidRPr="00615F42">
        <w:rPr>
          <w:szCs w:val="20"/>
        </w:rPr>
        <w:t>N/A</w:t>
      </w:r>
      <w:r>
        <w:rPr>
          <w:szCs w:val="20"/>
        </w:rPr>
        <w:t xml:space="preserve"> – listed as a medicine with TGA</w:t>
      </w:r>
    </w:p>
    <w:p w14:paraId="522BF402"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22BF403"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22BF404" w14:textId="77777777" w:rsidR="003421AE" w:rsidRPr="00615F42" w:rsidRDefault="000826CD"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615F42">
        <w:rPr>
          <w:szCs w:val="20"/>
        </w:rPr>
        <w:t xml:space="preserve"> No</w:t>
      </w:r>
    </w:p>
    <w:p w14:paraId="522BF405"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22BF406" w14:textId="77777777" w:rsidR="0043654D" w:rsidRDefault="006F6044" w:rsidP="0043654D">
      <w:pPr>
        <w:spacing w:before="0" w:after="0"/>
        <w:ind w:left="284"/>
        <w:rPr>
          <w:szCs w:val="20"/>
        </w:rPr>
      </w:pPr>
      <w:r>
        <w:rPr>
          <w:szCs w:val="20"/>
        </w:rPr>
        <w:t>X</w:t>
      </w:r>
      <w:r w:rsidR="000826CD">
        <w:rPr>
          <w:szCs w:val="20"/>
        </w:rPr>
        <w:fldChar w:fldCharType="begin">
          <w:ffData>
            <w:name w:val=""/>
            <w:enabled/>
            <w:calcOnExit w:val="0"/>
            <w:checkBox>
              <w:sizeAuto/>
              <w:default w:val="0"/>
            </w:checkBox>
          </w:ffData>
        </w:fldChar>
      </w:r>
      <w:r w:rsidR="000826CD">
        <w:rPr>
          <w:szCs w:val="20"/>
        </w:rPr>
        <w:instrText xml:space="preserve"> FORMCHECKBOX </w:instrText>
      </w:r>
      <w:r w:rsidR="00CE56EE">
        <w:rPr>
          <w:szCs w:val="20"/>
        </w:rPr>
      </w:r>
      <w:r w:rsidR="00CE56EE">
        <w:rPr>
          <w:szCs w:val="20"/>
        </w:rPr>
        <w:fldChar w:fldCharType="separate"/>
      </w:r>
      <w:r w:rsidR="000826CD">
        <w:rPr>
          <w:szCs w:val="20"/>
        </w:rPr>
        <w:fldChar w:fldCharType="end"/>
      </w:r>
      <w:r w:rsidR="0043654D">
        <w:rPr>
          <w:szCs w:val="20"/>
        </w:rPr>
        <w:t xml:space="preserve"> Yes (if yes, please provide details below)</w:t>
      </w:r>
    </w:p>
    <w:p w14:paraId="522BF407"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w:t>
      </w:r>
    </w:p>
    <w:p w14:paraId="522BF408" w14:textId="77777777" w:rsidR="0043654D" w:rsidRPr="00615F42" w:rsidRDefault="0043654D" w:rsidP="0043654D">
      <w:pPr>
        <w:spacing w:before="0" w:after="0"/>
        <w:ind w:left="284"/>
        <w:rPr>
          <w:b/>
          <w:szCs w:val="20"/>
        </w:rPr>
      </w:pPr>
    </w:p>
    <w:p w14:paraId="522BF409"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0826CD">
        <w:t>104381 (since 2004)</w:t>
      </w:r>
    </w:p>
    <w:p w14:paraId="522BF40A" w14:textId="77777777" w:rsidR="0043654D" w:rsidRPr="00681516" w:rsidRDefault="0043654D" w:rsidP="00681516">
      <w:pPr>
        <w:autoSpaceDE w:val="0"/>
        <w:autoSpaceDN w:val="0"/>
        <w:adjustRightInd w:val="0"/>
        <w:spacing w:before="0" w:after="0"/>
        <w:ind w:left="284"/>
        <w:rPr>
          <w:rFonts w:cs="Arial"/>
          <w:szCs w:val="20"/>
        </w:rPr>
      </w:pPr>
      <w:r w:rsidRPr="0043654D">
        <w:rPr>
          <w:szCs w:val="20"/>
        </w:rPr>
        <w:t>TGA approved indication(s), if applicable:</w:t>
      </w:r>
      <w:r>
        <w:rPr>
          <w:szCs w:val="20"/>
        </w:rPr>
        <w:t xml:space="preserve">  </w:t>
      </w:r>
      <w:r w:rsidR="00681516" w:rsidRPr="00681516">
        <w:rPr>
          <w:rFonts w:cs="Arial"/>
          <w:szCs w:val="20"/>
        </w:rPr>
        <w:t>This medicinal product is for diagnostic use only. PRIMOVIST is indicated for use in adults for the enhancement of magn</w:t>
      </w:r>
      <w:r w:rsidR="00681516">
        <w:rPr>
          <w:rFonts w:cs="Arial"/>
          <w:szCs w:val="20"/>
        </w:rPr>
        <w:t xml:space="preserve">etic resonance imaging (MRI) of </w:t>
      </w:r>
      <w:r w:rsidR="00681516" w:rsidRPr="00681516">
        <w:rPr>
          <w:rFonts w:cs="Arial"/>
          <w:szCs w:val="20"/>
        </w:rPr>
        <w:t>focal liver lesion</w:t>
      </w:r>
    </w:p>
    <w:p w14:paraId="522BF40B"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522BF40C"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22BF40D"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Yes (please provide details below)</w:t>
      </w:r>
    </w:p>
    <w:p w14:paraId="522BF40E"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w:t>
      </w:r>
    </w:p>
    <w:p w14:paraId="522BF40F" w14:textId="77777777" w:rsidR="0047581D" w:rsidRDefault="0047581D" w:rsidP="0047581D">
      <w:pPr>
        <w:spacing w:before="0" w:after="0"/>
        <w:rPr>
          <w:b/>
          <w:szCs w:val="20"/>
        </w:rPr>
      </w:pPr>
    </w:p>
    <w:p w14:paraId="522BF410" w14:textId="77777777" w:rsidR="0047581D" w:rsidRPr="0047581D" w:rsidRDefault="0047581D" w:rsidP="0047581D">
      <w:pPr>
        <w:spacing w:before="0" w:after="0"/>
        <w:rPr>
          <w:szCs w:val="20"/>
        </w:rPr>
      </w:pPr>
      <w:r w:rsidRPr="0047581D">
        <w:rPr>
          <w:szCs w:val="20"/>
        </w:rPr>
        <w:t xml:space="preserve">Date of submission to TGA:  </w:t>
      </w:r>
    </w:p>
    <w:p w14:paraId="522BF411"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
    <w:p w14:paraId="522BF412" w14:textId="77777777" w:rsidR="00681516" w:rsidRDefault="0047581D" w:rsidP="0047581D">
      <w:pPr>
        <w:spacing w:before="0" w:after="0"/>
      </w:pPr>
      <w:r w:rsidRPr="0047581D">
        <w:rPr>
          <w:szCs w:val="20"/>
        </w:rPr>
        <w:t>TGA Application ID</w:t>
      </w:r>
      <w:r>
        <w:rPr>
          <w:szCs w:val="20"/>
        </w:rPr>
        <w:t xml:space="preserve">:  </w:t>
      </w:r>
    </w:p>
    <w:p w14:paraId="522BF413"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522BF414"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522BF415"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22BF41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Yes (please provide details below)</w:t>
      </w:r>
    </w:p>
    <w:p w14:paraId="522BF417"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No</w:t>
      </w:r>
    </w:p>
    <w:p w14:paraId="522BF418" w14:textId="77777777" w:rsidR="000A110D" w:rsidRDefault="000A110D" w:rsidP="00971EDB">
      <w:pPr>
        <w:spacing w:before="0" w:after="0"/>
        <w:rPr>
          <w:szCs w:val="20"/>
        </w:rPr>
      </w:pPr>
    </w:p>
    <w:p w14:paraId="522BF419"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p>
    <w:p w14:paraId="522BF41A"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522BF41B" w14:textId="77777777" w:rsidR="00971EDB" w:rsidRPr="00971EDB" w:rsidRDefault="00971EDB" w:rsidP="00971EDB">
      <w:pPr>
        <w:spacing w:before="0" w:after="0"/>
        <w:rPr>
          <w:szCs w:val="20"/>
        </w:rPr>
      </w:pPr>
      <w:r w:rsidRPr="00971EDB">
        <w:rPr>
          <w:szCs w:val="20"/>
        </w:rPr>
        <w:t>Proposed purpose(s), if applicable</w:t>
      </w:r>
      <w:r w:rsidR="00681516">
        <w:rPr>
          <w:szCs w:val="20"/>
        </w:rPr>
        <w:t xml:space="preserve">: </w:t>
      </w:r>
    </w:p>
    <w:p w14:paraId="522BF41C" w14:textId="77777777" w:rsidR="000826CD" w:rsidRPr="00541D8C" w:rsidRDefault="000826CD">
      <w:pPr>
        <w:rPr>
          <w:szCs w:val="20"/>
        </w:rPr>
        <w:sectPr w:rsidR="000826CD" w:rsidRPr="00541D8C"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r w:rsidRPr="000826CD">
        <w:rPr>
          <w:szCs w:val="20"/>
          <w:u w:val="single"/>
        </w:rPr>
        <w:t xml:space="preserve">Comment </w:t>
      </w:r>
      <w:r>
        <w:rPr>
          <w:szCs w:val="20"/>
        </w:rPr>
        <w:t xml:space="preserve">– the classification of MRI machines used for liver imaging with the TGA have not changed since the last submission – see previous submission for details on regulatory status of MRI devices </w:t>
      </w:r>
    </w:p>
    <w:p w14:paraId="522BF41D"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522BF41E" w14:textId="77777777" w:rsidR="00624F86" w:rsidRPr="00126E54" w:rsidRDefault="00DD308E" w:rsidP="00624F86">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r w:rsidR="008533DC">
        <w:rPr>
          <w:b w:val="0"/>
        </w:rPr>
        <w:t xml:space="preserve"> Below prioritises recent published studies since MSAC 2015</w:t>
      </w:r>
    </w:p>
    <w:tbl>
      <w:tblPr>
        <w:tblStyle w:val="TableGrid"/>
        <w:tblW w:w="5000" w:type="pct"/>
        <w:tblLook w:val="04A0" w:firstRow="1" w:lastRow="0" w:firstColumn="1" w:lastColumn="0" w:noHBand="0" w:noVBand="1"/>
        <w:tblCaption w:val="Summary of Evidence - Published"/>
      </w:tblPr>
      <w:tblGrid>
        <w:gridCol w:w="686"/>
        <w:gridCol w:w="2208"/>
        <w:gridCol w:w="2979"/>
        <w:gridCol w:w="2021"/>
        <w:gridCol w:w="4242"/>
        <w:gridCol w:w="2038"/>
      </w:tblGrid>
      <w:tr w:rsidR="00DD308E" w14:paraId="522BF425" w14:textId="77777777" w:rsidTr="00DE1DF7">
        <w:trPr>
          <w:cantSplit/>
          <w:tblHeader/>
        </w:trPr>
        <w:tc>
          <w:tcPr>
            <w:tcW w:w="242" w:type="pct"/>
          </w:tcPr>
          <w:p w14:paraId="522BF41F" w14:textId="77777777" w:rsidR="00DD308E" w:rsidRDefault="00DD308E" w:rsidP="00855944">
            <w:pPr>
              <w:pStyle w:val="TableHEADER"/>
            </w:pPr>
          </w:p>
        </w:tc>
        <w:tc>
          <w:tcPr>
            <w:tcW w:w="779" w:type="pct"/>
          </w:tcPr>
          <w:p w14:paraId="522BF420" w14:textId="77777777" w:rsidR="00DD308E" w:rsidRDefault="00DD308E" w:rsidP="00855944">
            <w:pPr>
              <w:pStyle w:val="TableHEADER"/>
            </w:pPr>
            <w:r>
              <w:t>Type of study design*</w:t>
            </w:r>
          </w:p>
        </w:tc>
        <w:tc>
          <w:tcPr>
            <w:tcW w:w="1051" w:type="pct"/>
          </w:tcPr>
          <w:p w14:paraId="522BF421" w14:textId="77777777" w:rsidR="00DD308E" w:rsidRDefault="00DD308E" w:rsidP="00855944">
            <w:pPr>
              <w:pStyle w:val="TableHEADER"/>
            </w:pPr>
            <w:r>
              <w:t>Title of journal article  or research project (including any trial identifier or study lead if relevant)</w:t>
            </w:r>
          </w:p>
        </w:tc>
        <w:tc>
          <w:tcPr>
            <w:tcW w:w="713" w:type="pct"/>
          </w:tcPr>
          <w:p w14:paraId="522BF422" w14:textId="77777777" w:rsidR="00DD308E" w:rsidRDefault="00DD308E" w:rsidP="00855944">
            <w:pPr>
              <w:pStyle w:val="TableHEADER"/>
            </w:pPr>
            <w:r>
              <w:t>Short description of research  (max 50 words)**</w:t>
            </w:r>
          </w:p>
        </w:tc>
        <w:tc>
          <w:tcPr>
            <w:tcW w:w="1496" w:type="pct"/>
          </w:tcPr>
          <w:p w14:paraId="522BF423" w14:textId="77777777" w:rsidR="00DD308E" w:rsidRDefault="00DD308E" w:rsidP="00855944">
            <w:pPr>
              <w:pStyle w:val="TableHEADER"/>
            </w:pPr>
            <w:r w:rsidRPr="00E82F54">
              <w:t xml:space="preserve">Website link to </w:t>
            </w:r>
            <w:r>
              <w:t>journal article or research (if available)</w:t>
            </w:r>
          </w:p>
        </w:tc>
        <w:tc>
          <w:tcPr>
            <w:tcW w:w="719" w:type="pct"/>
          </w:tcPr>
          <w:p w14:paraId="522BF424" w14:textId="77777777" w:rsidR="00DD308E" w:rsidRDefault="00DD308E" w:rsidP="00855944">
            <w:pPr>
              <w:pStyle w:val="TableHEADER"/>
            </w:pPr>
            <w:r w:rsidRPr="00E82F54">
              <w:t>Date</w:t>
            </w:r>
            <w:r>
              <w:t xml:space="preserve"> of publication</w:t>
            </w:r>
            <w:r w:rsidRPr="00E82F54">
              <w:t>*</w:t>
            </w:r>
            <w:r>
              <w:t>**</w:t>
            </w:r>
          </w:p>
        </w:tc>
      </w:tr>
      <w:tr w:rsidR="00DD308E" w14:paraId="522BF42C" w14:textId="77777777" w:rsidTr="00DE1DF7">
        <w:trPr>
          <w:cantSplit/>
        </w:trPr>
        <w:tc>
          <w:tcPr>
            <w:tcW w:w="242" w:type="pct"/>
          </w:tcPr>
          <w:p w14:paraId="522BF426" w14:textId="77777777" w:rsidR="00DD308E" w:rsidRPr="00965B6B" w:rsidRDefault="00DD308E" w:rsidP="00DD308E">
            <w:pPr>
              <w:rPr>
                <w:szCs w:val="20"/>
              </w:rPr>
            </w:pPr>
            <w:r w:rsidRPr="00965B6B">
              <w:rPr>
                <w:szCs w:val="20"/>
              </w:rPr>
              <w:t>1</w:t>
            </w:r>
            <w:r>
              <w:rPr>
                <w:szCs w:val="20"/>
              </w:rPr>
              <w:t>.</w:t>
            </w:r>
          </w:p>
        </w:tc>
        <w:tc>
          <w:tcPr>
            <w:tcW w:w="779" w:type="pct"/>
          </w:tcPr>
          <w:p w14:paraId="522BF427" w14:textId="77777777" w:rsidR="00DD308E" w:rsidRPr="00E20EBE" w:rsidRDefault="00E20EBE" w:rsidP="00DD308E">
            <w:pPr>
              <w:rPr>
                <w:szCs w:val="20"/>
              </w:rPr>
            </w:pPr>
            <w:r>
              <w:rPr>
                <w:szCs w:val="20"/>
              </w:rPr>
              <w:t>Meta analysis</w:t>
            </w:r>
          </w:p>
        </w:tc>
        <w:tc>
          <w:tcPr>
            <w:tcW w:w="1051" w:type="pct"/>
          </w:tcPr>
          <w:p w14:paraId="522BF428" w14:textId="77777777" w:rsidR="00DD308E" w:rsidRDefault="00E20EBE" w:rsidP="00DD308E">
            <w:pPr>
              <w:rPr>
                <w:b/>
                <w:szCs w:val="20"/>
              </w:rPr>
            </w:pPr>
            <w:r>
              <w:t xml:space="preserve">Hannah RF, </w:t>
            </w:r>
            <w:proofErr w:type="spellStart"/>
            <w:r>
              <w:t>Miloushev</w:t>
            </w:r>
            <w:proofErr w:type="spellEnd"/>
            <w:r>
              <w:t xml:space="preserve"> VZ et al, Comparative 13-year meta-analysis of the sensitivity and positive predictive value of ultrasound, CT, and MRI for detecting hepatocellular carcinoma, Abdominal Radiology 2016;41:71-90</w:t>
            </w:r>
          </w:p>
        </w:tc>
        <w:tc>
          <w:tcPr>
            <w:tcW w:w="713" w:type="pct"/>
          </w:tcPr>
          <w:p w14:paraId="522BF429" w14:textId="77777777" w:rsidR="00DD308E" w:rsidRDefault="00E20EBE" w:rsidP="00DD308E">
            <w:pPr>
              <w:rPr>
                <w:b/>
                <w:szCs w:val="20"/>
              </w:rPr>
            </w:pPr>
            <w:proofErr w:type="gramStart"/>
            <w:r>
              <w:t>compared</w:t>
            </w:r>
            <w:proofErr w:type="gramEnd"/>
            <w:r>
              <w:t xml:space="preserve"> the sensitivity and positive predictive value of a number of imaging modalities for the diagnosis of HCC</w:t>
            </w:r>
            <w:r w:rsidR="006F6044">
              <w:t xml:space="preserve">. </w:t>
            </w:r>
            <w:r>
              <w:t>The investigators found that contrast enhanced CT and ‘standard’ MRI had similar sensitivity and PPV’s however MRI using hepatobiliary contrast agents had a statistically significantly higher sensitivity and PPV.</w:t>
            </w:r>
          </w:p>
        </w:tc>
        <w:tc>
          <w:tcPr>
            <w:tcW w:w="1496" w:type="pct"/>
          </w:tcPr>
          <w:p w14:paraId="522BF42A" w14:textId="77777777" w:rsidR="00DD308E" w:rsidRPr="00806AAC" w:rsidRDefault="00806AAC" w:rsidP="00DD308E">
            <w:pPr>
              <w:rPr>
                <w:b/>
                <w:i/>
                <w:szCs w:val="20"/>
              </w:rPr>
            </w:pPr>
            <w:r w:rsidRPr="00806AAC">
              <w:rPr>
                <w:rStyle w:val="HTMLCite"/>
                <w:rFonts w:cs="Arial"/>
                <w:i w:val="0"/>
              </w:rPr>
              <w:t>www.ncbi.nlm.nih.gov/pubmed/26830614</w:t>
            </w:r>
          </w:p>
        </w:tc>
        <w:tc>
          <w:tcPr>
            <w:tcW w:w="719" w:type="pct"/>
          </w:tcPr>
          <w:p w14:paraId="522BF42B" w14:textId="77777777" w:rsidR="00DD308E" w:rsidRPr="00E20EBE" w:rsidRDefault="00E20EBE" w:rsidP="00DD308E">
            <w:pPr>
              <w:rPr>
                <w:szCs w:val="20"/>
              </w:rPr>
            </w:pPr>
            <w:r w:rsidRPr="00E20EBE">
              <w:rPr>
                <w:szCs w:val="20"/>
              </w:rPr>
              <w:t>2016</w:t>
            </w:r>
          </w:p>
        </w:tc>
      </w:tr>
      <w:tr w:rsidR="00DD308E" w14:paraId="522BF433" w14:textId="77777777" w:rsidTr="00DE1DF7">
        <w:trPr>
          <w:cantSplit/>
        </w:trPr>
        <w:tc>
          <w:tcPr>
            <w:tcW w:w="242" w:type="pct"/>
          </w:tcPr>
          <w:p w14:paraId="522BF42D" w14:textId="77777777" w:rsidR="00DD308E" w:rsidRPr="00965B6B" w:rsidRDefault="00DD308E" w:rsidP="00DD308E">
            <w:pPr>
              <w:rPr>
                <w:szCs w:val="20"/>
              </w:rPr>
            </w:pPr>
            <w:r>
              <w:rPr>
                <w:szCs w:val="20"/>
              </w:rPr>
              <w:lastRenderedPageBreak/>
              <w:t>2.</w:t>
            </w:r>
          </w:p>
        </w:tc>
        <w:tc>
          <w:tcPr>
            <w:tcW w:w="779" w:type="pct"/>
          </w:tcPr>
          <w:p w14:paraId="522BF42E" w14:textId="77777777" w:rsidR="00DD308E" w:rsidRPr="00E20EBE" w:rsidRDefault="00E20EBE" w:rsidP="00DD308E">
            <w:pPr>
              <w:rPr>
                <w:szCs w:val="20"/>
              </w:rPr>
            </w:pPr>
            <w:r w:rsidRPr="00E20EBE">
              <w:rPr>
                <w:szCs w:val="20"/>
              </w:rPr>
              <w:t xml:space="preserve">Retrospective non randomised study </w:t>
            </w:r>
          </w:p>
        </w:tc>
        <w:tc>
          <w:tcPr>
            <w:tcW w:w="1051" w:type="pct"/>
          </w:tcPr>
          <w:p w14:paraId="522BF42F" w14:textId="77777777" w:rsidR="00DD308E" w:rsidRDefault="00E20EBE" w:rsidP="00DD308E">
            <w:pPr>
              <w:rPr>
                <w:b/>
                <w:szCs w:val="20"/>
              </w:rPr>
            </w:pPr>
            <w:proofErr w:type="spellStart"/>
            <w:r>
              <w:t>Rostambeigi</w:t>
            </w:r>
            <w:proofErr w:type="spellEnd"/>
            <w:r>
              <w:t xml:space="preserve"> N, et al, </w:t>
            </w:r>
            <w:r w:rsidRPr="00707E2D">
              <w:t>Effect of MRI Versus MDCT on Milan Criteria Scores and Liver Transplantation Eligibility</w:t>
            </w:r>
            <w:r>
              <w:t>, AJR 2016; 2016:726-733</w:t>
            </w:r>
          </w:p>
        </w:tc>
        <w:tc>
          <w:tcPr>
            <w:tcW w:w="713" w:type="pct"/>
          </w:tcPr>
          <w:p w14:paraId="522BF430" w14:textId="77777777" w:rsidR="00DD308E" w:rsidRDefault="00E20EBE" w:rsidP="00DD308E">
            <w:pPr>
              <w:rPr>
                <w:b/>
                <w:szCs w:val="20"/>
              </w:rPr>
            </w:pPr>
            <w:r>
              <w:t>Study showed a change management of patients with HCC being considered for liver transplantation in 14% compared with CT</w:t>
            </w:r>
          </w:p>
        </w:tc>
        <w:tc>
          <w:tcPr>
            <w:tcW w:w="1496" w:type="pct"/>
          </w:tcPr>
          <w:p w14:paraId="522BF431" w14:textId="77777777" w:rsidR="00DD308E" w:rsidRPr="00806AAC" w:rsidRDefault="00806AAC" w:rsidP="00DD308E">
            <w:pPr>
              <w:rPr>
                <w:b/>
                <w:i/>
                <w:szCs w:val="20"/>
              </w:rPr>
            </w:pPr>
            <w:r w:rsidRPr="00806AAC">
              <w:rPr>
                <w:rStyle w:val="HTMLCite"/>
                <w:rFonts w:cs="Arial"/>
                <w:i w:val="0"/>
              </w:rPr>
              <w:t>www.ncbi.nlm.nih.gov/pubmed/26796867</w:t>
            </w:r>
          </w:p>
        </w:tc>
        <w:tc>
          <w:tcPr>
            <w:tcW w:w="719" w:type="pct"/>
          </w:tcPr>
          <w:p w14:paraId="522BF432" w14:textId="77777777" w:rsidR="00DD308E" w:rsidRPr="00E20EBE" w:rsidRDefault="00E20EBE" w:rsidP="00DD308E">
            <w:pPr>
              <w:rPr>
                <w:szCs w:val="20"/>
              </w:rPr>
            </w:pPr>
            <w:r w:rsidRPr="00E20EBE">
              <w:rPr>
                <w:szCs w:val="20"/>
              </w:rPr>
              <w:t>2016</w:t>
            </w:r>
          </w:p>
        </w:tc>
      </w:tr>
      <w:tr w:rsidR="00DD308E" w14:paraId="522BF43A" w14:textId="77777777" w:rsidTr="00DE1DF7">
        <w:trPr>
          <w:cantSplit/>
        </w:trPr>
        <w:tc>
          <w:tcPr>
            <w:tcW w:w="242" w:type="pct"/>
          </w:tcPr>
          <w:p w14:paraId="522BF434" w14:textId="77777777" w:rsidR="00DD308E" w:rsidRPr="00965B6B" w:rsidRDefault="00DD308E" w:rsidP="00DD308E">
            <w:pPr>
              <w:rPr>
                <w:szCs w:val="20"/>
              </w:rPr>
            </w:pPr>
            <w:r>
              <w:rPr>
                <w:szCs w:val="20"/>
              </w:rPr>
              <w:t>3.</w:t>
            </w:r>
          </w:p>
        </w:tc>
        <w:tc>
          <w:tcPr>
            <w:tcW w:w="779" w:type="pct"/>
          </w:tcPr>
          <w:p w14:paraId="522BF435" w14:textId="77777777" w:rsidR="00DD308E" w:rsidRPr="00E20EBE" w:rsidRDefault="00E20EBE" w:rsidP="00DD308E">
            <w:pPr>
              <w:rPr>
                <w:szCs w:val="20"/>
              </w:rPr>
            </w:pPr>
            <w:r w:rsidRPr="00E20EBE">
              <w:rPr>
                <w:szCs w:val="20"/>
              </w:rPr>
              <w:t>Prospective study on consecutive patients</w:t>
            </w:r>
          </w:p>
        </w:tc>
        <w:tc>
          <w:tcPr>
            <w:tcW w:w="1051" w:type="pct"/>
          </w:tcPr>
          <w:p w14:paraId="522BF436" w14:textId="77777777" w:rsidR="00DD308E" w:rsidRDefault="00E20EBE" w:rsidP="00DD308E">
            <w:pPr>
              <w:rPr>
                <w:b/>
                <w:szCs w:val="20"/>
              </w:rPr>
            </w:pPr>
            <w:r>
              <w:t xml:space="preserve">Wang JH, et al, </w:t>
            </w:r>
            <w:r w:rsidRPr="00437E7F">
              <w:t xml:space="preserve">Clinical Impact of Gadoxetic Acid-Enhanced Magnetic Resonance Imaging on </w:t>
            </w:r>
            <w:proofErr w:type="spellStart"/>
            <w:r w:rsidRPr="00437E7F">
              <w:t>Hepatoma</w:t>
            </w:r>
            <w:proofErr w:type="spellEnd"/>
            <w:r w:rsidRPr="00437E7F">
              <w:t xml:space="preserve"> Management: A Prospective Study</w:t>
            </w:r>
            <w:r>
              <w:t>, Digestive Dis and Sciences 2016;61(4):1197-1205</w:t>
            </w:r>
          </w:p>
        </w:tc>
        <w:tc>
          <w:tcPr>
            <w:tcW w:w="713" w:type="pct"/>
          </w:tcPr>
          <w:p w14:paraId="522BF437" w14:textId="77777777" w:rsidR="00DD308E" w:rsidRDefault="00806AAC" w:rsidP="00DD308E">
            <w:pPr>
              <w:rPr>
                <w:b/>
                <w:szCs w:val="20"/>
              </w:rPr>
            </w:pPr>
            <w:r>
              <w:t>This study showed that MRI altered the Barcelona Liver Clinic (BCLC) Stage of patients with early HCC in 27.8% and alter</w:t>
            </w:r>
            <w:r w:rsidR="006F6044">
              <w:t>ed</w:t>
            </w:r>
            <w:r>
              <w:t xml:space="preserve"> management in 18.9%</w:t>
            </w:r>
          </w:p>
        </w:tc>
        <w:tc>
          <w:tcPr>
            <w:tcW w:w="1496" w:type="pct"/>
          </w:tcPr>
          <w:p w14:paraId="522BF438" w14:textId="77777777" w:rsidR="00DD308E" w:rsidRPr="00E20EBE" w:rsidRDefault="00E20EBE" w:rsidP="00DD308E">
            <w:pPr>
              <w:rPr>
                <w:szCs w:val="20"/>
              </w:rPr>
            </w:pPr>
            <w:r w:rsidRPr="00E20EBE">
              <w:rPr>
                <w:szCs w:val="20"/>
              </w:rPr>
              <w:t>http://www.ncbi.nlm.nih.gov/pubmed/26668057</w:t>
            </w:r>
          </w:p>
        </w:tc>
        <w:tc>
          <w:tcPr>
            <w:tcW w:w="719" w:type="pct"/>
          </w:tcPr>
          <w:p w14:paraId="522BF439" w14:textId="77777777" w:rsidR="00DD308E" w:rsidRPr="00E20EBE" w:rsidRDefault="00E20EBE" w:rsidP="00DD308E">
            <w:pPr>
              <w:rPr>
                <w:szCs w:val="20"/>
              </w:rPr>
            </w:pPr>
            <w:r w:rsidRPr="00E20EBE">
              <w:rPr>
                <w:szCs w:val="20"/>
              </w:rPr>
              <w:t>2016</w:t>
            </w:r>
          </w:p>
        </w:tc>
      </w:tr>
      <w:tr w:rsidR="00DD308E" w14:paraId="522BF441" w14:textId="77777777" w:rsidTr="00DE1DF7">
        <w:trPr>
          <w:cantSplit/>
        </w:trPr>
        <w:tc>
          <w:tcPr>
            <w:tcW w:w="242" w:type="pct"/>
          </w:tcPr>
          <w:p w14:paraId="522BF43B" w14:textId="77777777" w:rsidR="00DD308E" w:rsidRPr="00965B6B" w:rsidRDefault="00DD308E" w:rsidP="00DD308E">
            <w:pPr>
              <w:rPr>
                <w:szCs w:val="20"/>
              </w:rPr>
            </w:pPr>
            <w:r>
              <w:rPr>
                <w:szCs w:val="20"/>
              </w:rPr>
              <w:t>4.</w:t>
            </w:r>
          </w:p>
        </w:tc>
        <w:tc>
          <w:tcPr>
            <w:tcW w:w="779" w:type="pct"/>
          </w:tcPr>
          <w:p w14:paraId="522BF43C" w14:textId="77777777" w:rsidR="00DD308E" w:rsidRPr="008533DC" w:rsidRDefault="008533DC" w:rsidP="00DD308E">
            <w:pPr>
              <w:rPr>
                <w:szCs w:val="20"/>
              </w:rPr>
            </w:pPr>
            <w:r w:rsidRPr="008533DC">
              <w:rPr>
                <w:szCs w:val="20"/>
              </w:rPr>
              <w:t>Economic Evaluation (generated overseas)</w:t>
            </w:r>
          </w:p>
        </w:tc>
        <w:tc>
          <w:tcPr>
            <w:tcW w:w="1051" w:type="pct"/>
          </w:tcPr>
          <w:p w14:paraId="522BF43D" w14:textId="77777777" w:rsidR="00DD308E" w:rsidRDefault="00806AAC" w:rsidP="00DD308E">
            <w:pPr>
              <w:rPr>
                <w:b/>
                <w:szCs w:val="20"/>
              </w:rPr>
            </w:pPr>
            <w:r>
              <w:t xml:space="preserve">Lee JM, et al, Health economic evaluation of </w:t>
            </w:r>
            <w:proofErr w:type="spellStart"/>
            <w:r>
              <w:t>Gd</w:t>
            </w:r>
            <w:proofErr w:type="spellEnd"/>
            <w:r>
              <w:t xml:space="preserve">-EOB-DTPA MRI </w:t>
            </w:r>
            <w:proofErr w:type="spellStart"/>
            <w:r>
              <w:t>vs</w:t>
            </w:r>
            <w:proofErr w:type="spellEnd"/>
            <w:r>
              <w:t xml:space="preserve"> ECCM-MRI and </w:t>
            </w:r>
            <w:proofErr w:type="spellStart"/>
            <w:r>
              <w:t>multidetector</w:t>
            </w:r>
            <w:proofErr w:type="spellEnd"/>
            <w:r>
              <w:t xml:space="preserve"> computed tomography in patients with suspected hepatocellular carcinoma in Thailand and South Korea, J Med Economics 2016; DOI: </w:t>
            </w:r>
            <w:r w:rsidRPr="00216F10">
              <w:t>10.3111/13696998.2016.1171230</w:t>
            </w:r>
          </w:p>
        </w:tc>
        <w:tc>
          <w:tcPr>
            <w:tcW w:w="713" w:type="pct"/>
          </w:tcPr>
          <w:p w14:paraId="522BF43E" w14:textId="77777777" w:rsidR="00DD308E" w:rsidRDefault="00DE1DF7" w:rsidP="00DD308E">
            <w:pPr>
              <w:rPr>
                <w:b/>
                <w:szCs w:val="20"/>
              </w:rPr>
            </w:pPr>
            <w:proofErr w:type="spellStart"/>
            <w:r>
              <w:t>Primovist</w:t>
            </w:r>
            <w:proofErr w:type="spellEnd"/>
            <w:r>
              <w:t xml:space="preserve"> liver MRI as the first diagnostic test in patients with suspected HCC shown to be cheaper than using either CT or MRI with extracellular gadolinium chelates</w:t>
            </w:r>
          </w:p>
        </w:tc>
        <w:tc>
          <w:tcPr>
            <w:tcW w:w="1496" w:type="pct"/>
          </w:tcPr>
          <w:p w14:paraId="522BF43F" w14:textId="77777777" w:rsidR="00DD308E" w:rsidRPr="008533DC" w:rsidRDefault="008533DC" w:rsidP="00DD308E">
            <w:pPr>
              <w:rPr>
                <w:szCs w:val="20"/>
              </w:rPr>
            </w:pPr>
            <w:r w:rsidRPr="008533DC">
              <w:rPr>
                <w:szCs w:val="20"/>
              </w:rPr>
              <w:t>http://www.ncbi.nlm.nih.gov/pubmed/27026278</w:t>
            </w:r>
          </w:p>
        </w:tc>
        <w:tc>
          <w:tcPr>
            <w:tcW w:w="719" w:type="pct"/>
          </w:tcPr>
          <w:p w14:paraId="522BF440" w14:textId="77777777" w:rsidR="00DD308E" w:rsidRPr="00DE1DF7" w:rsidRDefault="00DE1DF7" w:rsidP="00DD308E">
            <w:pPr>
              <w:rPr>
                <w:szCs w:val="20"/>
              </w:rPr>
            </w:pPr>
            <w:r w:rsidRPr="00DE1DF7">
              <w:rPr>
                <w:szCs w:val="20"/>
              </w:rPr>
              <w:t>2016</w:t>
            </w:r>
          </w:p>
        </w:tc>
      </w:tr>
      <w:tr w:rsidR="00DD308E" w14:paraId="522BF448" w14:textId="77777777" w:rsidTr="00DE1DF7">
        <w:trPr>
          <w:cantSplit/>
        </w:trPr>
        <w:tc>
          <w:tcPr>
            <w:tcW w:w="242" w:type="pct"/>
          </w:tcPr>
          <w:p w14:paraId="522BF442" w14:textId="77777777" w:rsidR="00DD308E" w:rsidRPr="00965B6B" w:rsidRDefault="00DD308E" w:rsidP="00DD308E">
            <w:pPr>
              <w:rPr>
                <w:szCs w:val="20"/>
              </w:rPr>
            </w:pPr>
            <w:r>
              <w:rPr>
                <w:szCs w:val="20"/>
              </w:rPr>
              <w:lastRenderedPageBreak/>
              <w:t>5.</w:t>
            </w:r>
          </w:p>
        </w:tc>
        <w:tc>
          <w:tcPr>
            <w:tcW w:w="779" w:type="pct"/>
          </w:tcPr>
          <w:p w14:paraId="522BF443" w14:textId="77777777" w:rsidR="00DD308E" w:rsidRPr="00DE1DF7" w:rsidRDefault="00DE1DF7" w:rsidP="00DD308E">
            <w:pPr>
              <w:rPr>
                <w:b/>
                <w:szCs w:val="20"/>
              </w:rPr>
            </w:pPr>
            <w:r>
              <w:rPr>
                <w:rFonts w:cs="Arial"/>
                <w:szCs w:val="20"/>
              </w:rPr>
              <w:t>W</w:t>
            </w:r>
            <w:r w:rsidRPr="00DE1DF7">
              <w:rPr>
                <w:rFonts w:cs="Arial"/>
                <w:szCs w:val="20"/>
              </w:rPr>
              <w:t>ithin-trial cost evaluation</w:t>
            </w:r>
            <w:r>
              <w:rPr>
                <w:rFonts w:ascii="Arial" w:hAnsi="Arial" w:cs="Arial"/>
                <w:szCs w:val="20"/>
              </w:rPr>
              <w:t xml:space="preserve"> </w:t>
            </w:r>
            <w:r w:rsidRPr="00DE1DF7">
              <w:rPr>
                <w:rFonts w:cs="Arial"/>
                <w:szCs w:val="20"/>
              </w:rPr>
              <w:t>(eight participating countries)</w:t>
            </w:r>
          </w:p>
        </w:tc>
        <w:tc>
          <w:tcPr>
            <w:tcW w:w="1051" w:type="pct"/>
          </w:tcPr>
          <w:p w14:paraId="522BF444" w14:textId="77777777" w:rsidR="00DD308E" w:rsidRDefault="00806AAC" w:rsidP="00DD308E">
            <w:pPr>
              <w:rPr>
                <w:b/>
                <w:szCs w:val="20"/>
              </w:rPr>
            </w:pPr>
            <w:proofErr w:type="spellStart"/>
            <w:r>
              <w:t>Zech</w:t>
            </w:r>
            <w:proofErr w:type="spellEnd"/>
            <w:r>
              <w:t xml:space="preserve"> CJ et al, Cost evaluation of gadoxetic acid-enhanced magnetic resonance imaging in the diagnosis of colorectal-cancer metastasis in the liver: Results from the VALUE trial, </w:t>
            </w:r>
            <w:proofErr w:type="spellStart"/>
            <w:r>
              <w:t>Eur</w:t>
            </w:r>
            <w:proofErr w:type="spellEnd"/>
            <w:r>
              <w:t xml:space="preserve"> </w:t>
            </w:r>
            <w:proofErr w:type="spellStart"/>
            <w:r>
              <w:t>Radiol</w:t>
            </w:r>
            <w:proofErr w:type="spellEnd"/>
            <w:r>
              <w:t xml:space="preserve">. 2016 DOI </w:t>
            </w:r>
            <w:r w:rsidRPr="001E620D">
              <w:t>10.1007/s00330-016-4271-0</w:t>
            </w:r>
          </w:p>
        </w:tc>
        <w:tc>
          <w:tcPr>
            <w:tcW w:w="713" w:type="pct"/>
          </w:tcPr>
          <w:p w14:paraId="522BF445" w14:textId="77777777" w:rsidR="00DD308E" w:rsidRPr="008533DC" w:rsidRDefault="008533DC" w:rsidP="00DD308E">
            <w:pPr>
              <w:rPr>
                <w:b/>
                <w:szCs w:val="20"/>
              </w:rPr>
            </w:pPr>
            <w:r w:rsidRPr="008533DC">
              <w:rPr>
                <w:rFonts w:cs="Arial"/>
                <w:szCs w:val="20"/>
              </w:rPr>
              <w:t>The diagnostic workup cost using MRI upfront resulted in costs savings compared to other diagnostic modalities (</w:t>
            </w:r>
            <w:proofErr w:type="spellStart"/>
            <w:r w:rsidRPr="008533DC">
              <w:rPr>
                <w:rFonts w:cs="Arial"/>
                <w:szCs w:val="20"/>
              </w:rPr>
              <w:t>Nb</w:t>
            </w:r>
            <w:proofErr w:type="spellEnd"/>
            <w:r w:rsidRPr="008533DC">
              <w:rPr>
                <w:rFonts w:cs="Arial"/>
                <w:szCs w:val="20"/>
              </w:rPr>
              <w:t>- would need to be assessed for transferability of results to the Australian healthcare system)</w:t>
            </w:r>
          </w:p>
        </w:tc>
        <w:tc>
          <w:tcPr>
            <w:tcW w:w="1496" w:type="pct"/>
          </w:tcPr>
          <w:p w14:paraId="522BF446" w14:textId="77777777" w:rsidR="00DD308E" w:rsidRPr="00DE1DF7" w:rsidRDefault="00DE1DF7" w:rsidP="00DD308E">
            <w:pPr>
              <w:rPr>
                <w:szCs w:val="20"/>
              </w:rPr>
            </w:pPr>
            <w:r w:rsidRPr="00DE1DF7">
              <w:rPr>
                <w:szCs w:val="20"/>
              </w:rPr>
              <w:t>http://www.ncbi.nlm.nih.gov/pubmed/26905871</w:t>
            </w:r>
          </w:p>
        </w:tc>
        <w:tc>
          <w:tcPr>
            <w:tcW w:w="719" w:type="pct"/>
          </w:tcPr>
          <w:p w14:paraId="522BF447" w14:textId="77777777" w:rsidR="00DD308E" w:rsidRPr="00DE1DF7" w:rsidRDefault="00DE1DF7" w:rsidP="00DD308E">
            <w:pPr>
              <w:rPr>
                <w:szCs w:val="20"/>
              </w:rPr>
            </w:pPr>
            <w:r w:rsidRPr="00DE1DF7">
              <w:rPr>
                <w:szCs w:val="20"/>
              </w:rPr>
              <w:t>2016</w:t>
            </w:r>
          </w:p>
        </w:tc>
      </w:tr>
      <w:tr w:rsidR="00DD308E" w14:paraId="522BF44F" w14:textId="77777777" w:rsidTr="00DE1DF7">
        <w:trPr>
          <w:cantSplit/>
        </w:trPr>
        <w:tc>
          <w:tcPr>
            <w:tcW w:w="242" w:type="pct"/>
          </w:tcPr>
          <w:p w14:paraId="522BF449" w14:textId="77777777" w:rsidR="00DD308E" w:rsidRDefault="00DD308E" w:rsidP="00DD308E">
            <w:pPr>
              <w:rPr>
                <w:szCs w:val="20"/>
              </w:rPr>
            </w:pPr>
            <w:r>
              <w:rPr>
                <w:szCs w:val="20"/>
              </w:rPr>
              <w:t>6.</w:t>
            </w:r>
          </w:p>
        </w:tc>
        <w:tc>
          <w:tcPr>
            <w:tcW w:w="779" w:type="pct"/>
          </w:tcPr>
          <w:p w14:paraId="522BF44A" w14:textId="77777777" w:rsidR="00DD308E" w:rsidRPr="00DE1DF7" w:rsidRDefault="00DD308E" w:rsidP="00DD308E">
            <w:pPr>
              <w:rPr>
                <w:szCs w:val="20"/>
              </w:rPr>
            </w:pPr>
          </w:p>
        </w:tc>
        <w:tc>
          <w:tcPr>
            <w:tcW w:w="1051" w:type="pct"/>
          </w:tcPr>
          <w:p w14:paraId="522BF44B" w14:textId="77777777" w:rsidR="00DD308E" w:rsidRDefault="00DE1DF7" w:rsidP="00DE1DF7">
            <w:pPr>
              <w:rPr>
                <w:b/>
                <w:szCs w:val="20"/>
              </w:rPr>
            </w:pPr>
            <w:r>
              <w:t xml:space="preserve">. </w:t>
            </w:r>
          </w:p>
        </w:tc>
        <w:tc>
          <w:tcPr>
            <w:tcW w:w="713" w:type="pct"/>
          </w:tcPr>
          <w:p w14:paraId="522BF44C" w14:textId="77777777" w:rsidR="00DD308E" w:rsidRDefault="00DD308E" w:rsidP="00DD308E">
            <w:pPr>
              <w:rPr>
                <w:b/>
                <w:szCs w:val="20"/>
              </w:rPr>
            </w:pPr>
          </w:p>
        </w:tc>
        <w:tc>
          <w:tcPr>
            <w:tcW w:w="1496" w:type="pct"/>
          </w:tcPr>
          <w:p w14:paraId="522BF44D" w14:textId="77777777" w:rsidR="00DD308E" w:rsidRPr="00DE1DF7" w:rsidRDefault="00DD308E" w:rsidP="00DD308E">
            <w:pPr>
              <w:rPr>
                <w:b/>
                <w:szCs w:val="20"/>
              </w:rPr>
            </w:pPr>
          </w:p>
        </w:tc>
        <w:tc>
          <w:tcPr>
            <w:tcW w:w="719" w:type="pct"/>
          </w:tcPr>
          <w:p w14:paraId="522BF44E" w14:textId="77777777" w:rsidR="00DD308E" w:rsidRPr="00DE1DF7" w:rsidRDefault="00DD308E" w:rsidP="00DD308E">
            <w:pPr>
              <w:rPr>
                <w:szCs w:val="20"/>
              </w:rPr>
            </w:pPr>
          </w:p>
        </w:tc>
      </w:tr>
      <w:tr w:rsidR="00DD308E" w14:paraId="522BF456" w14:textId="77777777" w:rsidTr="00DE1DF7">
        <w:trPr>
          <w:cantSplit/>
        </w:trPr>
        <w:tc>
          <w:tcPr>
            <w:tcW w:w="242" w:type="pct"/>
          </w:tcPr>
          <w:p w14:paraId="522BF450" w14:textId="77777777" w:rsidR="00DD308E" w:rsidRDefault="00DD308E" w:rsidP="00DD308E">
            <w:pPr>
              <w:rPr>
                <w:szCs w:val="20"/>
              </w:rPr>
            </w:pPr>
            <w:r>
              <w:rPr>
                <w:szCs w:val="20"/>
              </w:rPr>
              <w:t>7.</w:t>
            </w:r>
          </w:p>
        </w:tc>
        <w:tc>
          <w:tcPr>
            <w:tcW w:w="779" w:type="pct"/>
          </w:tcPr>
          <w:p w14:paraId="522BF451" w14:textId="77777777" w:rsidR="00DD308E" w:rsidRDefault="00DD308E" w:rsidP="00DD308E">
            <w:pPr>
              <w:rPr>
                <w:b/>
                <w:szCs w:val="20"/>
              </w:rPr>
            </w:pPr>
          </w:p>
        </w:tc>
        <w:tc>
          <w:tcPr>
            <w:tcW w:w="1051" w:type="pct"/>
          </w:tcPr>
          <w:p w14:paraId="522BF452" w14:textId="77777777" w:rsidR="00DD308E" w:rsidRDefault="00DD308E" w:rsidP="00DD308E">
            <w:pPr>
              <w:rPr>
                <w:b/>
                <w:szCs w:val="20"/>
              </w:rPr>
            </w:pPr>
          </w:p>
        </w:tc>
        <w:tc>
          <w:tcPr>
            <w:tcW w:w="713" w:type="pct"/>
          </w:tcPr>
          <w:p w14:paraId="522BF453" w14:textId="77777777" w:rsidR="00DD308E" w:rsidRDefault="00DD308E" w:rsidP="00DD308E">
            <w:pPr>
              <w:rPr>
                <w:b/>
                <w:szCs w:val="20"/>
              </w:rPr>
            </w:pPr>
          </w:p>
        </w:tc>
        <w:tc>
          <w:tcPr>
            <w:tcW w:w="1496" w:type="pct"/>
          </w:tcPr>
          <w:p w14:paraId="522BF454" w14:textId="77777777" w:rsidR="00DD308E" w:rsidRPr="00E82F54" w:rsidRDefault="00DD308E" w:rsidP="00DD308E">
            <w:pPr>
              <w:rPr>
                <w:b/>
                <w:szCs w:val="20"/>
              </w:rPr>
            </w:pPr>
          </w:p>
        </w:tc>
        <w:tc>
          <w:tcPr>
            <w:tcW w:w="719" w:type="pct"/>
          </w:tcPr>
          <w:p w14:paraId="522BF455" w14:textId="77777777" w:rsidR="00DD308E" w:rsidRPr="00E82F54" w:rsidRDefault="00DD308E" w:rsidP="00DD308E">
            <w:pPr>
              <w:rPr>
                <w:b/>
                <w:szCs w:val="20"/>
              </w:rPr>
            </w:pPr>
          </w:p>
        </w:tc>
      </w:tr>
      <w:tr w:rsidR="00DD308E" w14:paraId="522BF45D" w14:textId="77777777" w:rsidTr="00DE1DF7">
        <w:trPr>
          <w:cantSplit/>
        </w:trPr>
        <w:tc>
          <w:tcPr>
            <w:tcW w:w="242" w:type="pct"/>
          </w:tcPr>
          <w:p w14:paraId="522BF457" w14:textId="77777777" w:rsidR="00DD308E" w:rsidRDefault="00DD308E" w:rsidP="00DD308E">
            <w:pPr>
              <w:rPr>
                <w:szCs w:val="20"/>
              </w:rPr>
            </w:pPr>
            <w:r>
              <w:rPr>
                <w:szCs w:val="20"/>
              </w:rPr>
              <w:t>8.</w:t>
            </w:r>
          </w:p>
        </w:tc>
        <w:tc>
          <w:tcPr>
            <w:tcW w:w="779" w:type="pct"/>
          </w:tcPr>
          <w:p w14:paraId="522BF458" w14:textId="77777777" w:rsidR="00DD308E" w:rsidRDefault="00DD308E" w:rsidP="00DD308E">
            <w:pPr>
              <w:rPr>
                <w:b/>
                <w:szCs w:val="20"/>
              </w:rPr>
            </w:pPr>
          </w:p>
        </w:tc>
        <w:tc>
          <w:tcPr>
            <w:tcW w:w="1051" w:type="pct"/>
          </w:tcPr>
          <w:p w14:paraId="522BF459" w14:textId="77777777" w:rsidR="00DD308E" w:rsidRDefault="00DD308E" w:rsidP="00DD308E">
            <w:pPr>
              <w:rPr>
                <w:b/>
                <w:szCs w:val="20"/>
              </w:rPr>
            </w:pPr>
          </w:p>
        </w:tc>
        <w:tc>
          <w:tcPr>
            <w:tcW w:w="713" w:type="pct"/>
          </w:tcPr>
          <w:p w14:paraId="522BF45A" w14:textId="77777777" w:rsidR="00DD308E" w:rsidRDefault="00DD308E" w:rsidP="00DD308E">
            <w:pPr>
              <w:rPr>
                <w:b/>
                <w:szCs w:val="20"/>
              </w:rPr>
            </w:pPr>
          </w:p>
        </w:tc>
        <w:tc>
          <w:tcPr>
            <w:tcW w:w="1496" w:type="pct"/>
          </w:tcPr>
          <w:p w14:paraId="522BF45B" w14:textId="77777777" w:rsidR="00DD308E" w:rsidRPr="00E82F54" w:rsidRDefault="00DD308E" w:rsidP="00DD308E">
            <w:pPr>
              <w:rPr>
                <w:b/>
                <w:szCs w:val="20"/>
              </w:rPr>
            </w:pPr>
          </w:p>
        </w:tc>
        <w:tc>
          <w:tcPr>
            <w:tcW w:w="719" w:type="pct"/>
          </w:tcPr>
          <w:p w14:paraId="522BF45C" w14:textId="77777777" w:rsidR="00DD308E" w:rsidRPr="00E82F54" w:rsidRDefault="00DD308E" w:rsidP="00DD308E">
            <w:pPr>
              <w:rPr>
                <w:b/>
                <w:szCs w:val="20"/>
              </w:rPr>
            </w:pPr>
          </w:p>
        </w:tc>
      </w:tr>
    </w:tbl>
    <w:p w14:paraId="522BF45E"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22BF45F"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22BF460"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22BF461" w14:textId="77777777" w:rsidR="00DD308E" w:rsidRDefault="00DD308E" w:rsidP="00DD308E">
      <w:pPr>
        <w:rPr>
          <w:i/>
          <w:szCs w:val="20"/>
        </w:rPr>
      </w:pPr>
      <w:r>
        <w:rPr>
          <w:i/>
          <w:szCs w:val="20"/>
        </w:rPr>
        <w:br w:type="page"/>
      </w:r>
    </w:p>
    <w:p w14:paraId="522BF462"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22BF463" w14:textId="77777777" w:rsidR="004C49EF" w:rsidRDefault="004C49EF" w:rsidP="00530204">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r w:rsidR="00E20EBE">
        <w:rPr>
          <w:i/>
        </w:rPr>
        <w:t xml:space="preserve"> </w:t>
      </w:r>
    </w:p>
    <w:p w14:paraId="522BF464" w14:textId="77777777" w:rsidR="00E20EBE" w:rsidRPr="00E20EBE" w:rsidRDefault="00E20EBE" w:rsidP="00E20EBE">
      <w:r>
        <w:rPr>
          <w:b/>
          <w:szCs w:val="20"/>
        </w:rPr>
        <w:t>Comment –</w:t>
      </w:r>
      <w:r>
        <w:t xml:space="preserve"> need to confirm with applicant whether any ongoing trials on this that may be published in the near future that is relevant</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522BF46B" w14:textId="77777777" w:rsidTr="004C49EF">
        <w:trPr>
          <w:cantSplit/>
          <w:tblHeader/>
        </w:trPr>
        <w:tc>
          <w:tcPr>
            <w:tcW w:w="326" w:type="pct"/>
          </w:tcPr>
          <w:p w14:paraId="522BF465" w14:textId="77777777" w:rsidR="004C49EF" w:rsidRDefault="004C49EF" w:rsidP="00855944">
            <w:pPr>
              <w:pStyle w:val="TableHEADER"/>
            </w:pPr>
          </w:p>
        </w:tc>
        <w:tc>
          <w:tcPr>
            <w:tcW w:w="895" w:type="pct"/>
          </w:tcPr>
          <w:p w14:paraId="522BF466" w14:textId="77777777" w:rsidR="004C49EF" w:rsidRDefault="004C49EF" w:rsidP="00855944">
            <w:pPr>
              <w:pStyle w:val="TableHEADER"/>
            </w:pPr>
            <w:r>
              <w:t>Type of study design*</w:t>
            </w:r>
          </w:p>
        </w:tc>
        <w:tc>
          <w:tcPr>
            <w:tcW w:w="1125" w:type="pct"/>
          </w:tcPr>
          <w:p w14:paraId="522BF467" w14:textId="77777777" w:rsidR="004C49EF" w:rsidRDefault="004C49EF" w:rsidP="00855944">
            <w:pPr>
              <w:pStyle w:val="TableHEADER"/>
            </w:pPr>
            <w:r>
              <w:t>Title of research (including any trial identifier if relevant)</w:t>
            </w:r>
          </w:p>
        </w:tc>
        <w:tc>
          <w:tcPr>
            <w:tcW w:w="884" w:type="pct"/>
          </w:tcPr>
          <w:p w14:paraId="522BF468" w14:textId="77777777" w:rsidR="004C49EF" w:rsidRDefault="00367C1B" w:rsidP="00855944">
            <w:pPr>
              <w:pStyle w:val="TableHEADER"/>
            </w:pPr>
            <w:r>
              <w:t xml:space="preserve">Short description of research </w:t>
            </w:r>
            <w:r w:rsidR="004C49EF">
              <w:t>(max 50 words)**</w:t>
            </w:r>
          </w:p>
        </w:tc>
        <w:tc>
          <w:tcPr>
            <w:tcW w:w="1246" w:type="pct"/>
          </w:tcPr>
          <w:p w14:paraId="522BF469" w14:textId="77777777" w:rsidR="004C49EF" w:rsidRDefault="004C49EF" w:rsidP="00855944">
            <w:pPr>
              <w:pStyle w:val="TableHEADER"/>
            </w:pPr>
            <w:r w:rsidRPr="00E82F54">
              <w:t xml:space="preserve">Website link to </w:t>
            </w:r>
            <w:r>
              <w:t>research (if available)</w:t>
            </w:r>
          </w:p>
        </w:tc>
        <w:tc>
          <w:tcPr>
            <w:tcW w:w="524" w:type="pct"/>
          </w:tcPr>
          <w:p w14:paraId="522BF46A" w14:textId="77777777" w:rsidR="004C49EF" w:rsidRDefault="004C49EF" w:rsidP="00855944">
            <w:pPr>
              <w:pStyle w:val="TableHEADER"/>
            </w:pPr>
            <w:r w:rsidRPr="00E82F54">
              <w:t>Date*</w:t>
            </w:r>
            <w:r>
              <w:t>**</w:t>
            </w:r>
          </w:p>
        </w:tc>
      </w:tr>
      <w:tr w:rsidR="004C49EF" w14:paraId="522BF472" w14:textId="77777777" w:rsidTr="004C49EF">
        <w:trPr>
          <w:cantSplit/>
        </w:trPr>
        <w:tc>
          <w:tcPr>
            <w:tcW w:w="326" w:type="pct"/>
          </w:tcPr>
          <w:p w14:paraId="522BF46C" w14:textId="77777777" w:rsidR="004C49EF" w:rsidRPr="00965B6B" w:rsidRDefault="004C49EF" w:rsidP="00526478">
            <w:pPr>
              <w:rPr>
                <w:szCs w:val="20"/>
              </w:rPr>
            </w:pPr>
            <w:r w:rsidRPr="00965B6B">
              <w:rPr>
                <w:szCs w:val="20"/>
              </w:rPr>
              <w:t>1</w:t>
            </w:r>
            <w:r>
              <w:rPr>
                <w:szCs w:val="20"/>
              </w:rPr>
              <w:t>.</w:t>
            </w:r>
          </w:p>
        </w:tc>
        <w:tc>
          <w:tcPr>
            <w:tcW w:w="895" w:type="pct"/>
          </w:tcPr>
          <w:p w14:paraId="522BF46D"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522BF46E"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522BF46F"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522BF470"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522BF471"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522BF479" w14:textId="77777777" w:rsidTr="004C49EF">
        <w:trPr>
          <w:cantSplit/>
        </w:trPr>
        <w:tc>
          <w:tcPr>
            <w:tcW w:w="326" w:type="pct"/>
          </w:tcPr>
          <w:p w14:paraId="522BF473" w14:textId="77777777" w:rsidR="004C49EF" w:rsidRPr="00965B6B" w:rsidRDefault="004C49EF" w:rsidP="00526478">
            <w:pPr>
              <w:rPr>
                <w:szCs w:val="20"/>
              </w:rPr>
            </w:pPr>
            <w:r>
              <w:rPr>
                <w:szCs w:val="20"/>
              </w:rPr>
              <w:t>2.</w:t>
            </w:r>
          </w:p>
        </w:tc>
        <w:tc>
          <w:tcPr>
            <w:tcW w:w="895" w:type="pct"/>
          </w:tcPr>
          <w:p w14:paraId="522BF474"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7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7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77"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78"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80" w14:textId="77777777" w:rsidTr="004C49EF">
        <w:trPr>
          <w:cantSplit/>
        </w:trPr>
        <w:tc>
          <w:tcPr>
            <w:tcW w:w="326" w:type="pct"/>
          </w:tcPr>
          <w:p w14:paraId="522BF47A" w14:textId="77777777" w:rsidR="004C49EF" w:rsidRDefault="004C49EF" w:rsidP="00526478">
            <w:pPr>
              <w:rPr>
                <w:szCs w:val="20"/>
              </w:rPr>
            </w:pPr>
            <w:r>
              <w:rPr>
                <w:szCs w:val="20"/>
              </w:rPr>
              <w:t>3.</w:t>
            </w:r>
          </w:p>
        </w:tc>
        <w:tc>
          <w:tcPr>
            <w:tcW w:w="895" w:type="pct"/>
          </w:tcPr>
          <w:p w14:paraId="522BF47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7C"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7D"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7E"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7F"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87" w14:textId="77777777" w:rsidTr="004C49EF">
        <w:trPr>
          <w:cantSplit/>
        </w:trPr>
        <w:tc>
          <w:tcPr>
            <w:tcW w:w="326" w:type="pct"/>
          </w:tcPr>
          <w:p w14:paraId="522BF481" w14:textId="77777777" w:rsidR="004C49EF" w:rsidRDefault="004C49EF" w:rsidP="00526478">
            <w:pPr>
              <w:rPr>
                <w:szCs w:val="20"/>
              </w:rPr>
            </w:pPr>
            <w:r>
              <w:rPr>
                <w:szCs w:val="20"/>
              </w:rPr>
              <w:t>4.</w:t>
            </w:r>
          </w:p>
        </w:tc>
        <w:tc>
          <w:tcPr>
            <w:tcW w:w="895" w:type="pct"/>
          </w:tcPr>
          <w:p w14:paraId="522BF48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83"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84"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85"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8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8E" w14:textId="77777777" w:rsidTr="004C49EF">
        <w:trPr>
          <w:cantSplit/>
        </w:trPr>
        <w:tc>
          <w:tcPr>
            <w:tcW w:w="326" w:type="pct"/>
          </w:tcPr>
          <w:p w14:paraId="522BF488" w14:textId="77777777" w:rsidR="004C49EF" w:rsidRDefault="004C49EF" w:rsidP="00526478">
            <w:pPr>
              <w:rPr>
                <w:szCs w:val="20"/>
              </w:rPr>
            </w:pPr>
            <w:r>
              <w:rPr>
                <w:szCs w:val="20"/>
              </w:rPr>
              <w:t>5.</w:t>
            </w:r>
          </w:p>
        </w:tc>
        <w:tc>
          <w:tcPr>
            <w:tcW w:w="895" w:type="pct"/>
          </w:tcPr>
          <w:p w14:paraId="522BF489"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8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8B"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8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8D"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95" w14:textId="77777777" w:rsidTr="004C49EF">
        <w:trPr>
          <w:cantSplit/>
        </w:trPr>
        <w:tc>
          <w:tcPr>
            <w:tcW w:w="326" w:type="pct"/>
          </w:tcPr>
          <w:p w14:paraId="522BF48F" w14:textId="77777777" w:rsidR="004C49EF" w:rsidRDefault="004C49EF" w:rsidP="00526478">
            <w:pPr>
              <w:rPr>
                <w:szCs w:val="20"/>
              </w:rPr>
            </w:pPr>
            <w:r>
              <w:rPr>
                <w:szCs w:val="20"/>
              </w:rPr>
              <w:t>6.</w:t>
            </w:r>
          </w:p>
        </w:tc>
        <w:tc>
          <w:tcPr>
            <w:tcW w:w="895" w:type="pct"/>
          </w:tcPr>
          <w:p w14:paraId="522BF490"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91"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9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9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9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9C" w14:textId="77777777" w:rsidTr="004C49EF">
        <w:trPr>
          <w:cantSplit/>
        </w:trPr>
        <w:tc>
          <w:tcPr>
            <w:tcW w:w="326" w:type="pct"/>
          </w:tcPr>
          <w:p w14:paraId="522BF496" w14:textId="77777777" w:rsidR="004C49EF" w:rsidRDefault="004C49EF" w:rsidP="00526478">
            <w:pPr>
              <w:rPr>
                <w:szCs w:val="20"/>
              </w:rPr>
            </w:pPr>
            <w:r>
              <w:rPr>
                <w:szCs w:val="20"/>
              </w:rPr>
              <w:t>7.</w:t>
            </w:r>
          </w:p>
        </w:tc>
        <w:tc>
          <w:tcPr>
            <w:tcW w:w="895" w:type="pct"/>
          </w:tcPr>
          <w:p w14:paraId="522BF49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98"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99"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9A"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9B"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A3" w14:textId="77777777" w:rsidTr="004C49EF">
        <w:trPr>
          <w:cantSplit/>
        </w:trPr>
        <w:tc>
          <w:tcPr>
            <w:tcW w:w="326" w:type="pct"/>
          </w:tcPr>
          <w:p w14:paraId="522BF49D" w14:textId="77777777" w:rsidR="004C49EF" w:rsidRDefault="004C49EF" w:rsidP="00526478">
            <w:pPr>
              <w:rPr>
                <w:szCs w:val="20"/>
              </w:rPr>
            </w:pPr>
            <w:r>
              <w:rPr>
                <w:szCs w:val="20"/>
              </w:rPr>
              <w:t>8.</w:t>
            </w:r>
          </w:p>
        </w:tc>
        <w:tc>
          <w:tcPr>
            <w:tcW w:w="895" w:type="pct"/>
          </w:tcPr>
          <w:p w14:paraId="522BF49E"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9F"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A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A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A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AA" w14:textId="77777777" w:rsidTr="004C49EF">
        <w:trPr>
          <w:cantSplit/>
        </w:trPr>
        <w:tc>
          <w:tcPr>
            <w:tcW w:w="326" w:type="pct"/>
          </w:tcPr>
          <w:p w14:paraId="522BF4A4" w14:textId="77777777" w:rsidR="004C49EF" w:rsidRDefault="004C49EF" w:rsidP="00526478">
            <w:pPr>
              <w:rPr>
                <w:szCs w:val="20"/>
              </w:rPr>
            </w:pPr>
            <w:r>
              <w:rPr>
                <w:szCs w:val="20"/>
              </w:rPr>
              <w:t>9.</w:t>
            </w:r>
          </w:p>
        </w:tc>
        <w:tc>
          <w:tcPr>
            <w:tcW w:w="895" w:type="pct"/>
          </w:tcPr>
          <w:p w14:paraId="522BF4A5"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A6"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A7"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A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A9"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22BF4B1" w14:textId="77777777" w:rsidTr="004C49EF">
        <w:trPr>
          <w:cantSplit/>
        </w:trPr>
        <w:tc>
          <w:tcPr>
            <w:tcW w:w="326" w:type="pct"/>
          </w:tcPr>
          <w:p w14:paraId="522BF4AB" w14:textId="77777777" w:rsidR="004C49EF" w:rsidRDefault="004C49EF" w:rsidP="00526478">
            <w:pPr>
              <w:rPr>
                <w:szCs w:val="20"/>
              </w:rPr>
            </w:pPr>
            <w:r>
              <w:rPr>
                <w:szCs w:val="20"/>
              </w:rPr>
              <w:lastRenderedPageBreak/>
              <w:t>10.</w:t>
            </w:r>
          </w:p>
        </w:tc>
        <w:tc>
          <w:tcPr>
            <w:tcW w:w="895" w:type="pct"/>
          </w:tcPr>
          <w:p w14:paraId="522BF4AC"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AD"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AE"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A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B0"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22BF4B8" w14:textId="77777777" w:rsidTr="004C49EF">
        <w:trPr>
          <w:cantSplit/>
        </w:trPr>
        <w:tc>
          <w:tcPr>
            <w:tcW w:w="326" w:type="pct"/>
          </w:tcPr>
          <w:p w14:paraId="522BF4B2" w14:textId="77777777" w:rsidR="004C49EF" w:rsidRDefault="004C49EF" w:rsidP="00526478">
            <w:pPr>
              <w:rPr>
                <w:szCs w:val="20"/>
              </w:rPr>
            </w:pPr>
            <w:r>
              <w:rPr>
                <w:szCs w:val="20"/>
              </w:rPr>
              <w:t>11.</w:t>
            </w:r>
          </w:p>
        </w:tc>
        <w:tc>
          <w:tcPr>
            <w:tcW w:w="895" w:type="pct"/>
          </w:tcPr>
          <w:p w14:paraId="522BF4B3"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B4"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B5"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B6"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B7"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22BF4BF" w14:textId="77777777" w:rsidTr="004C49EF">
        <w:trPr>
          <w:cantSplit/>
        </w:trPr>
        <w:tc>
          <w:tcPr>
            <w:tcW w:w="326" w:type="pct"/>
          </w:tcPr>
          <w:p w14:paraId="522BF4B9" w14:textId="77777777" w:rsidR="004C49EF" w:rsidRDefault="004C49EF" w:rsidP="00526478">
            <w:pPr>
              <w:rPr>
                <w:szCs w:val="20"/>
              </w:rPr>
            </w:pPr>
            <w:r>
              <w:rPr>
                <w:szCs w:val="20"/>
              </w:rPr>
              <w:t>12.</w:t>
            </w:r>
          </w:p>
        </w:tc>
        <w:tc>
          <w:tcPr>
            <w:tcW w:w="895" w:type="pct"/>
          </w:tcPr>
          <w:p w14:paraId="522BF4BA"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BB"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BC"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BD"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BE"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22BF4C6" w14:textId="77777777" w:rsidTr="004C49EF">
        <w:trPr>
          <w:cantSplit/>
        </w:trPr>
        <w:tc>
          <w:tcPr>
            <w:tcW w:w="326" w:type="pct"/>
          </w:tcPr>
          <w:p w14:paraId="522BF4C0" w14:textId="77777777" w:rsidR="004C49EF" w:rsidRDefault="004C49EF" w:rsidP="00526478">
            <w:pPr>
              <w:rPr>
                <w:szCs w:val="20"/>
              </w:rPr>
            </w:pPr>
            <w:r>
              <w:rPr>
                <w:szCs w:val="20"/>
              </w:rPr>
              <w:t>13.</w:t>
            </w:r>
          </w:p>
        </w:tc>
        <w:tc>
          <w:tcPr>
            <w:tcW w:w="895" w:type="pct"/>
          </w:tcPr>
          <w:p w14:paraId="522BF4C1"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C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C3"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C4"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C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22BF4CD" w14:textId="77777777" w:rsidTr="004C49EF">
        <w:trPr>
          <w:cantSplit/>
        </w:trPr>
        <w:tc>
          <w:tcPr>
            <w:tcW w:w="326" w:type="pct"/>
          </w:tcPr>
          <w:p w14:paraId="522BF4C7" w14:textId="77777777" w:rsidR="004C49EF" w:rsidRDefault="004C49EF" w:rsidP="00526478">
            <w:pPr>
              <w:rPr>
                <w:szCs w:val="20"/>
              </w:rPr>
            </w:pPr>
            <w:r>
              <w:rPr>
                <w:szCs w:val="20"/>
              </w:rPr>
              <w:t>14.</w:t>
            </w:r>
          </w:p>
        </w:tc>
        <w:tc>
          <w:tcPr>
            <w:tcW w:w="895" w:type="pct"/>
          </w:tcPr>
          <w:p w14:paraId="522BF4C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C9"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CA"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CB"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CC"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22BF4D4" w14:textId="77777777" w:rsidTr="004C49EF">
        <w:trPr>
          <w:cantSplit/>
        </w:trPr>
        <w:tc>
          <w:tcPr>
            <w:tcW w:w="326" w:type="pct"/>
          </w:tcPr>
          <w:p w14:paraId="522BF4CE" w14:textId="77777777" w:rsidR="004C49EF" w:rsidRDefault="004C49EF" w:rsidP="00526478">
            <w:pPr>
              <w:rPr>
                <w:szCs w:val="20"/>
              </w:rPr>
            </w:pPr>
            <w:r>
              <w:rPr>
                <w:szCs w:val="20"/>
              </w:rPr>
              <w:t>15.</w:t>
            </w:r>
          </w:p>
        </w:tc>
        <w:tc>
          <w:tcPr>
            <w:tcW w:w="895" w:type="pct"/>
          </w:tcPr>
          <w:p w14:paraId="522BF4CF"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22BF4D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22BF4D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522BF4D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22BF4D3"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522BF4D5"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22BF4D6"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522BF4D7"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522BF4D8"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522BF4D9"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522BF4DA"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22BF4DB" w14:textId="77777777" w:rsidR="00297F30" w:rsidRDefault="00297F30" w:rsidP="000826CD">
      <w:pPr>
        <w:ind w:left="426"/>
      </w:pPr>
      <w:r>
        <w:t xml:space="preserve">Royal Australian and New Zealand College of Radiologists </w:t>
      </w:r>
    </w:p>
    <w:p w14:paraId="522BF4DC" w14:textId="77777777" w:rsidR="00297F30" w:rsidRPr="00A727B6" w:rsidRDefault="00297F30" w:rsidP="00A727B6">
      <w:pPr>
        <w:ind w:left="426"/>
      </w:pPr>
      <w:r>
        <w:t xml:space="preserve">Advice provided by Dr Anthony Moore, medical adviser Department of Health </w:t>
      </w:r>
      <w:r w:rsidR="001B7787">
        <w:t xml:space="preserve">(teleconference 24 August 2016) </w:t>
      </w:r>
      <w:r>
        <w:t xml:space="preserve">is that a statement of clinical relevance is not required </w:t>
      </w:r>
      <w:r w:rsidR="001B7787">
        <w:t>for this resubmission given the new populations contained in this resubmission are subgroup</w:t>
      </w:r>
      <w:r w:rsidR="000826CD">
        <w:t>s within</w:t>
      </w:r>
      <w:r w:rsidR="001B7787">
        <w:t xml:space="preserve"> the broader populations considered in the previous submission (rather than an entire new population</w:t>
      </w:r>
      <w:r w:rsidR="000826CD">
        <w:t xml:space="preserve"> not considered previously</w:t>
      </w:r>
      <w:r w:rsidR="001B7787">
        <w:t>) and only a statement of clinical relevance is required for a resubmission if a</w:t>
      </w:r>
      <w:r w:rsidR="000826CD">
        <w:t xml:space="preserve">n entirely </w:t>
      </w:r>
      <w:r w:rsidR="001B7787">
        <w:t xml:space="preserve"> new population was proposed that was not considered in the previous submission. The professional body is also the applicant but other professional bod</w:t>
      </w:r>
      <w:r w:rsidR="0042686A">
        <w:t>ies relevant for this reconsideration are those who represent requesters of the test (RACP/RACS)</w:t>
      </w:r>
      <w:r>
        <w:t xml:space="preserve"> </w:t>
      </w:r>
    </w:p>
    <w:p w14:paraId="522BF4D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22BF4DE" w14:textId="77777777" w:rsidR="00EA173C" w:rsidRDefault="001B7787" w:rsidP="00A727B6">
      <w:pPr>
        <w:ind w:left="426"/>
      </w:pPr>
      <w:r>
        <w:t xml:space="preserve">As per above </w:t>
      </w:r>
    </w:p>
    <w:p w14:paraId="522BF4DF"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22BF4E0" w14:textId="77777777" w:rsidR="00E82F54" w:rsidRDefault="00541D8C" w:rsidP="00A727B6">
      <w:pPr>
        <w:ind w:left="426"/>
        <w:rPr>
          <w:szCs w:val="20"/>
        </w:rPr>
      </w:pPr>
      <w:r>
        <w:t>As per identified last time during public consultation during the PASC stage</w:t>
      </w:r>
    </w:p>
    <w:p w14:paraId="522BF4E1"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22BF4E2" w14:textId="77777777" w:rsidR="00EE6450" w:rsidRDefault="00541D8C" w:rsidP="00EE6450">
      <w:pPr>
        <w:ind w:left="426"/>
        <w:rPr>
          <w:szCs w:val="20"/>
        </w:rPr>
      </w:pPr>
      <w:r>
        <w:t>N/A</w:t>
      </w:r>
    </w:p>
    <w:p w14:paraId="522BF4E3" w14:textId="77777777" w:rsidR="00A96329" w:rsidRPr="00A96329" w:rsidRDefault="00E82F54" w:rsidP="00A96329">
      <w:pPr>
        <w:pStyle w:val="Heading2"/>
      </w:pPr>
      <w:r w:rsidRPr="00154B00">
        <w:t>Nominate two experts who could be approached about the proposed medical service and the current clinical management of the service(s):</w:t>
      </w:r>
    </w:p>
    <w:p w14:paraId="522BF4E4" w14:textId="77777777" w:rsidR="00987ABE" w:rsidRPr="00987ABE" w:rsidRDefault="00987ABE" w:rsidP="00987ABE">
      <w:pPr>
        <w:ind w:left="426"/>
        <w:rPr>
          <w:szCs w:val="20"/>
        </w:rPr>
      </w:pPr>
      <w:r>
        <w:rPr>
          <w:szCs w:val="20"/>
        </w:rPr>
        <w:t xml:space="preserve">Name of expert 1: </w:t>
      </w:r>
      <w:r w:rsidR="00470906">
        <w:t>REDACTED</w:t>
      </w:r>
    </w:p>
    <w:p w14:paraId="522BF4E5" w14:textId="77777777" w:rsidR="00987ABE" w:rsidRPr="00987ABE" w:rsidRDefault="00987ABE" w:rsidP="00987ABE">
      <w:pPr>
        <w:ind w:left="426"/>
        <w:rPr>
          <w:szCs w:val="20"/>
        </w:rPr>
      </w:pPr>
      <w:r>
        <w:rPr>
          <w:szCs w:val="20"/>
        </w:rPr>
        <w:t xml:space="preserve">Telephone number(s): </w:t>
      </w:r>
      <w:r w:rsidR="00470906">
        <w:rPr>
          <w:szCs w:val="20"/>
        </w:rPr>
        <w:t>REDACTED</w:t>
      </w:r>
    </w:p>
    <w:p w14:paraId="522BF4E6" w14:textId="77777777" w:rsidR="00987ABE" w:rsidRPr="00987ABE" w:rsidRDefault="00987ABE" w:rsidP="00987ABE">
      <w:pPr>
        <w:ind w:left="426"/>
        <w:rPr>
          <w:szCs w:val="20"/>
        </w:rPr>
      </w:pPr>
      <w:r>
        <w:rPr>
          <w:szCs w:val="20"/>
        </w:rPr>
        <w:t xml:space="preserve">Email address: </w:t>
      </w:r>
      <w:r w:rsidR="00470906">
        <w:t>REDACTED</w:t>
      </w:r>
    </w:p>
    <w:p w14:paraId="522BF4E7" w14:textId="77777777" w:rsidR="00987ABE" w:rsidRPr="00987ABE" w:rsidRDefault="00987ABE" w:rsidP="00987ABE">
      <w:pPr>
        <w:ind w:left="426"/>
        <w:rPr>
          <w:szCs w:val="20"/>
        </w:rPr>
      </w:pPr>
      <w:r>
        <w:rPr>
          <w:szCs w:val="20"/>
        </w:rPr>
        <w:t xml:space="preserve">Justification of expertise: </w:t>
      </w:r>
      <w:r w:rsidR="00470906">
        <w:t>REDACTED</w:t>
      </w:r>
    </w:p>
    <w:p w14:paraId="522BF4E8" w14:textId="77777777" w:rsidR="00987ABE" w:rsidRPr="00987ABE" w:rsidRDefault="00987ABE" w:rsidP="00987ABE">
      <w:pPr>
        <w:ind w:left="426"/>
        <w:rPr>
          <w:szCs w:val="20"/>
        </w:rPr>
      </w:pPr>
    </w:p>
    <w:p w14:paraId="522BF4E9" w14:textId="77777777" w:rsidR="00987ABE" w:rsidRPr="00987ABE" w:rsidRDefault="00987ABE" w:rsidP="00987ABE">
      <w:pPr>
        <w:ind w:left="426"/>
        <w:rPr>
          <w:szCs w:val="20"/>
        </w:rPr>
      </w:pPr>
      <w:r>
        <w:rPr>
          <w:szCs w:val="20"/>
        </w:rPr>
        <w:t xml:space="preserve">Name of expert 2: </w:t>
      </w:r>
      <w:r w:rsidR="00470906">
        <w:t>REDACTED</w:t>
      </w:r>
    </w:p>
    <w:p w14:paraId="522BF4EA" w14:textId="77777777" w:rsidR="00987ABE" w:rsidRPr="00987ABE" w:rsidRDefault="00987ABE" w:rsidP="00987ABE">
      <w:pPr>
        <w:ind w:left="426"/>
        <w:rPr>
          <w:szCs w:val="20"/>
        </w:rPr>
      </w:pPr>
      <w:r>
        <w:rPr>
          <w:szCs w:val="20"/>
        </w:rPr>
        <w:t xml:space="preserve">Telephone number(s): </w:t>
      </w:r>
      <w:r w:rsidR="00470906">
        <w:t>REDACTED</w:t>
      </w:r>
    </w:p>
    <w:p w14:paraId="522BF4EB" w14:textId="77777777" w:rsidR="00987ABE" w:rsidRPr="00987ABE" w:rsidRDefault="00987ABE" w:rsidP="00987ABE">
      <w:pPr>
        <w:ind w:left="426"/>
        <w:rPr>
          <w:szCs w:val="20"/>
        </w:rPr>
      </w:pPr>
      <w:r>
        <w:rPr>
          <w:szCs w:val="20"/>
        </w:rPr>
        <w:t xml:space="preserve">Email address: </w:t>
      </w:r>
      <w:r w:rsidR="00470906">
        <w:t>REDACTED</w:t>
      </w:r>
    </w:p>
    <w:p w14:paraId="522BF4EC" w14:textId="77777777" w:rsidR="00E82F54" w:rsidRPr="00154B00" w:rsidRDefault="00987ABE" w:rsidP="00987ABE">
      <w:pPr>
        <w:ind w:left="426"/>
        <w:rPr>
          <w:szCs w:val="20"/>
        </w:rPr>
      </w:pPr>
      <w:r>
        <w:rPr>
          <w:szCs w:val="20"/>
        </w:rPr>
        <w:t xml:space="preserve">Justification of expertise: </w:t>
      </w:r>
      <w:r w:rsidR="00470906">
        <w:t>REDACTED</w:t>
      </w:r>
    </w:p>
    <w:p w14:paraId="522BF4ED" w14:textId="77777777" w:rsidR="00987ABE" w:rsidRDefault="00987ABE" w:rsidP="00E82F54">
      <w:pPr>
        <w:ind w:left="426"/>
        <w:rPr>
          <w:i/>
          <w:szCs w:val="20"/>
        </w:rPr>
      </w:pPr>
    </w:p>
    <w:p w14:paraId="522BF4EE"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522BF4EF" w14:textId="77777777" w:rsidR="003433D1" w:rsidRDefault="003433D1">
      <w:pPr>
        <w:rPr>
          <w:b/>
          <w:sz w:val="32"/>
          <w:szCs w:val="32"/>
        </w:rPr>
      </w:pPr>
      <w:r>
        <w:rPr>
          <w:b/>
          <w:sz w:val="32"/>
          <w:szCs w:val="32"/>
        </w:rPr>
        <w:br w:type="page"/>
      </w:r>
    </w:p>
    <w:p w14:paraId="522BF4F0"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522BF4F1" w14:textId="77777777" w:rsidR="0021185D" w:rsidRPr="005C3AE7" w:rsidRDefault="005C3AE7" w:rsidP="005C3AE7">
      <w:pPr>
        <w:pStyle w:val="Subtitle"/>
      </w:pPr>
      <w:r w:rsidRPr="005C3AE7">
        <w:t xml:space="preserve">PART 6a – </w:t>
      </w:r>
      <w:r w:rsidR="0021185D" w:rsidRPr="005C3AE7">
        <w:t>INFORMATION ABOUT THE PROPOSED POPULATION</w:t>
      </w:r>
    </w:p>
    <w:p w14:paraId="522BF4F2"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22BF4F3" w14:textId="77777777" w:rsidR="00624F86" w:rsidRPr="00373ACA" w:rsidRDefault="00624F86" w:rsidP="003443C9">
      <w:pPr>
        <w:pStyle w:val="Default"/>
        <w:ind w:left="360"/>
        <w:rPr>
          <w:rFonts w:asciiTheme="minorHAnsi" w:hAnsiTheme="minorHAnsi"/>
          <w:sz w:val="20"/>
          <w:szCs w:val="20"/>
        </w:rPr>
      </w:pPr>
      <w:r w:rsidRPr="00373ACA">
        <w:rPr>
          <w:rFonts w:asciiTheme="minorHAnsi" w:hAnsiTheme="minorHAnsi"/>
          <w:sz w:val="20"/>
          <w:szCs w:val="20"/>
        </w:rPr>
        <w:t xml:space="preserve">This has been covered in the previous submission. Application 1372 was seeking the addition of MRI of the liver onto the MBS for two indications: </w:t>
      </w:r>
    </w:p>
    <w:p w14:paraId="522BF4F4" w14:textId="77777777" w:rsidR="00624F86" w:rsidRPr="00373ACA" w:rsidRDefault="00624F86" w:rsidP="00624F86">
      <w:pPr>
        <w:pStyle w:val="Default"/>
        <w:rPr>
          <w:rFonts w:asciiTheme="minorHAnsi" w:hAnsiTheme="minorHAnsi"/>
          <w:sz w:val="20"/>
          <w:szCs w:val="20"/>
        </w:rPr>
      </w:pPr>
    </w:p>
    <w:p w14:paraId="522BF4F5" w14:textId="77777777" w:rsidR="00624F86" w:rsidRPr="00373ACA" w:rsidRDefault="00624F86" w:rsidP="00624F86">
      <w:pPr>
        <w:pStyle w:val="Default"/>
        <w:numPr>
          <w:ilvl w:val="0"/>
          <w:numId w:val="37"/>
        </w:numPr>
        <w:rPr>
          <w:rFonts w:asciiTheme="minorHAnsi" w:hAnsiTheme="minorHAnsi"/>
          <w:sz w:val="20"/>
          <w:szCs w:val="20"/>
        </w:rPr>
      </w:pPr>
      <w:r w:rsidRPr="00373ACA">
        <w:rPr>
          <w:rFonts w:asciiTheme="minorHAnsi" w:hAnsiTheme="minorHAnsi"/>
          <w:sz w:val="20"/>
          <w:szCs w:val="20"/>
        </w:rPr>
        <w:t xml:space="preserve">Patients with known </w:t>
      </w:r>
      <w:proofErr w:type="spellStart"/>
      <w:r w:rsidRPr="00373ACA">
        <w:rPr>
          <w:rFonts w:asciiTheme="minorHAnsi" w:hAnsiTheme="minorHAnsi"/>
          <w:sz w:val="20"/>
          <w:szCs w:val="20"/>
        </w:rPr>
        <w:t>extrahepatic</w:t>
      </w:r>
      <w:proofErr w:type="spellEnd"/>
      <w:r w:rsidRPr="00373ACA">
        <w:rPr>
          <w:rFonts w:asciiTheme="minorHAnsi" w:hAnsiTheme="minorHAnsi"/>
          <w:sz w:val="20"/>
          <w:szCs w:val="20"/>
        </w:rPr>
        <w:t xml:space="preserve"> malignancy who are being considered by a specialist for hepatic therapies (including but not limited to percutaneous ablation, resection or transplantation); and </w:t>
      </w:r>
    </w:p>
    <w:p w14:paraId="522BF4F6" w14:textId="77777777" w:rsidR="00624F86" w:rsidRPr="00373ACA" w:rsidRDefault="00624F86" w:rsidP="00624F86">
      <w:pPr>
        <w:pStyle w:val="Default"/>
        <w:numPr>
          <w:ilvl w:val="0"/>
          <w:numId w:val="37"/>
        </w:numPr>
        <w:rPr>
          <w:rFonts w:asciiTheme="minorHAnsi" w:hAnsiTheme="minorHAnsi"/>
          <w:sz w:val="20"/>
          <w:szCs w:val="20"/>
        </w:rPr>
      </w:pPr>
      <w:r w:rsidRPr="00373ACA">
        <w:rPr>
          <w:rFonts w:asciiTheme="minorHAnsi" w:hAnsiTheme="minorHAnsi"/>
          <w:sz w:val="20"/>
          <w:szCs w:val="20"/>
        </w:rPr>
        <w:t xml:space="preserve">Patients with known focal liver lesions requiring characterisation. </w:t>
      </w:r>
    </w:p>
    <w:p w14:paraId="522BF4F7" w14:textId="77777777" w:rsidR="00624F86" w:rsidRPr="00373ACA" w:rsidRDefault="00624F86" w:rsidP="003443C9">
      <w:pPr>
        <w:pStyle w:val="Default"/>
        <w:ind w:left="360"/>
        <w:rPr>
          <w:rFonts w:asciiTheme="minorHAnsi" w:hAnsiTheme="minorHAnsi"/>
          <w:sz w:val="20"/>
          <w:szCs w:val="20"/>
        </w:rPr>
      </w:pPr>
    </w:p>
    <w:p w14:paraId="522BF4F8" w14:textId="77777777" w:rsidR="00624F86" w:rsidRPr="00373ACA" w:rsidRDefault="00624F86" w:rsidP="003443C9">
      <w:pPr>
        <w:pStyle w:val="Default"/>
        <w:ind w:left="360"/>
        <w:rPr>
          <w:rFonts w:asciiTheme="minorHAnsi" w:hAnsiTheme="minorHAnsi"/>
          <w:sz w:val="20"/>
          <w:szCs w:val="20"/>
        </w:rPr>
      </w:pPr>
      <w:r w:rsidRPr="00373ACA">
        <w:rPr>
          <w:rFonts w:asciiTheme="minorHAnsi" w:hAnsiTheme="minorHAnsi"/>
          <w:sz w:val="20"/>
          <w:szCs w:val="20"/>
        </w:rPr>
        <w:t>MSAC has previously indicated that there may be value in exploring the addition of MRI of the liver in the below population of patients:</w:t>
      </w:r>
    </w:p>
    <w:p w14:paraId="522BF4F9" w14:textId="77777777" w:rsidR="00624F86" w:rsidRPr="00373ACA" w:rsidRDefault="00624F86" w:rsidP="00624F86">
      <w:pPr>
        <w:pStyle w:val="Default"/>
        <w:rPr>
          <w:rFonts w:asciiTheme="minorHAnsi" w:hAnsiTheme="minorHAnsi"/>
          <w:sz w:val="20"/>
          <w:szCs w:val="20"/>
        </w:rPr>
      </w:pPr>
    </w:p>
    <w:p w14:paraId="522BF4FA" w14:textId="77777777" w:rsidR="00624F86" w:rsidRPr="00373ACA" w:rsidRDefault="00624F86" w:rsidP="00624F86">
      <w:pPr>
        <w:pStyle w:val="Default"/>
        <w:numPr>
          <w:ilvl w:val="0"/>
          <w:numId w:val="37"/>
        </w:numPr>
        <w:rPr>
          <w:rFonts w:asciiTheme="minorHAnsi" w:hAnsiTheme="minorHAnsi"/>
          <w:sz w:val="20"/>
          <w:szCs w:val="20"/>
        </w:rPr>
      </w:pPr>
      <w:r w:rsidRPr="00373ACA">
        <w:rPr>
          <w:rFonts w:asciiTheme="minorHAnsi" w:hAnsiTheme="minorHAnsi"/>
          <w:sz w:val="20"/>
          <w:szCs w:val="20"/>
        </w:rPr>
        <w:t xml:space="preserve">known </w:t>
      </w:r>
      <w:r w:rsidR="00373ACA">
        <w:rPr>
          <w:rFonts w:asciiTheme="minorHAnsi" w:hAnsiTheme="minorHAnsi"/>
          <w:sz w:val="20"/>
          <w:szCs w:val="20"/>
        </w:rPr>
        <w:t>colorectal carcinoma</w:t>
      </w:r>
      <w:r w:rsidRPr="00373ACA">
        <w:rPr>
          <w:rFonts w:asciiTheme="minorHAnsi" w:hAnsiTheme="minorHAnsi"/>
          <w:sz w:val="20"/>
          <w:szCs w:val="20"/>
        </w:rPr>
        <w:t xml:space="preserve"> with suspected or possible liver metastases who are being considered by a specialist; or</w:t>
      </w:r>
    </w:p>
    <w:p w14:paraId="522BF4FB" w14:textId="77777777" w:rsidR="002A6753" w:rsidRDefault="00624F86" w:rsidP="003443C9">
      <w:pPr>
        <w:pStyle w:val="Default"/>
        <w:numPr>
          <w:ilvl w:val="0"/>
          <w:numId w:val="37"/>
        </w:numPr>
        <w:rPr>
          <w:rFonts w:asciiTheme="minorHAnsi" w:hAnsiTheme="minorHAnsi"/>
          <w:sz w:val="20"/>
          <w:szCs w:val="20"/>
        </w:rPr>
      </w:pPr>
      <w:r w:rsidRPr="00373ACA">
        <w:rPr>
          <w:rFonts w:asciiTheme="minorHAnsi" w:hAnsiTheme="minorHAnsi"/>
          <w:sz w:val="20"/>
          <w:szCs w:val="20"/>
        </w:rPr>
        <w:t xml:space="preserve">HCC identified by MRI for staging and management </w:t>
      </w:r>
    </w:p>
    <w:p w14:paraId="522BF4FC" w14:textId="77777777" w:rsidR="003443C9" w:rsidRDefault="003443C9" w:rsidP="003443C9">
      <w:pPr>
        <w:pStyle w:val="Default"/>
        <w:rPr>
          <w:rFonts w:asciiTheme="minorHAnsi" w:hAnsiTheme="minorHAnsi"/>
          <w:sz w:val="20"/>
          <w:szCs w:val="20"/>
        </w:rPr>
      </w:pPr>
    </w:p>
    <w:p w14:paraId="522BF4FD" w14:textId="77777777" w:rsidR="003443C9" w:rsidRPr="003443C9" w:rsidRDefault="003443C9" w:rsidP="003443C9">
      <w:pPr>
        <w:pStyle w:val="Default"/>
        <w:ind w:left="360"/>
        <w:rPr>
          <w:rFonts w:asciiTheme="minorHAnsi" w:hAnsiTheme="minorHAnsi"/>
          <w:sz w:val="20"/>
          <w:szCs w:val="20"/>
        </w:rPr>
      </w:pPr>
      <w:r>
        <w:rPr>
          <w:rFonts w:asciiTheme="minorHAnsi" w:hAnsiTheme="minorHAnsi"/>
          <w:sz w:val="20"/>
          <w:szCs w:val="20"/>
        </w:rPr>
        <w:t>This resubmission will aim to articulate the clinical utility of liver MRI in the populations suggested by MSAC</w:t>
      </w:r>
      <w:r w:rsidR="00541D8C">
        <w:rPr>
          <w:rFonts w:asciiTheme="minorHAnsi" w:hAnsiTheme="minorHAnsi"/>
          <w:sz w:val="20"/>
          <w:szCs w:val="20"/>
        </w:rPr>
        <w:t xml:space="preserve"> which are more narrow populations within the broader populations considered in the previous submission.</w:t>
      </w:r>
    </w:p>
    <w:p w14:paraId="522BF4FE"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22BF4FF" w14:textId="77777777" w:rsidR="00AA5FDA" w:rsidRPr="00154B00" w:rsidRDefault="00624F86" w:rsidP="00E357B9">
      <w:pPr>
        <w:ind w:left="426"/>
        <w:rPr>
          <w:szCs w:val="20"/>
        </w:rPr>
      </w:pPr>
      <w:r>
        <w:t xml:space="preserve">This has been covered in the past submission </w:t>
      </w:r>
    </w:p>
    <w:p w14:paraId="522BF500"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22BF501" w14:textId="77777777" w:rsidR="00541D8C" w:rsidRDefault="00194AA1" w:rsidP="00541D8C">
      <w:pPr>
        <w:pStyle w:val="Subtitle"/>
        <w:rPr>
          <w:b w:val="0"/>
          <w:i w:val="0"/>
          <w:u w:val="none"/>
        </w:rPr>
      </w:pPr>
      <w:r>
        <w:rPr>
          <w:b w:val="0"/>
          <w:i w:val="0"/>
          <w:u w:val="none"/>
        </w:rPr>
        <w:t>T</w:t>
      </w:r>
      <w:r w:rsidR="00624F86">
        <w:rPr>
          <w:b w:val="0"/>
          <w:i w:val="0"/>
          <w:u w:val="none"/>
        </w:rPr>
        <w:t xml:space="preserve">his has remain largely unchanged since the last submission (see Assessment report </w:t>
      </w:r>
      <w:r w:rsidR="00541D8C">
        <w:rPr>
          <w:b w:val="0"/>
          <w:i w:val="0"/>
          <w:u w:val="none"/>
        </w:rPr>
        <w:t xml:space="preserve">and PSD </w:t>
      </w:r>
      <w:r w:rsidR="00624F86">
        <w:rPr>
          <w:b w:val="0"/>
          <w:i w:val="0"/>
          <w:u w:val="none"/>
        </w:rPr>
        <w:t xml:space="preserve">for Application 1372) </w:t>
      </w:r>
    </w:p>
    <w:p w14:paraId="522BF502" w14:textId="77777777" w:rsidR="00541D8C" w:rsidRPr="00541D8C" w:rsidRDefault="00541D8C" w:rsidP="00541D8C"/>
    <w:p w14:paraId="522BF503" w14:textId="77777777" w:rsidR="002A50FD" w:rsidRPr="00881F93" w:rsidRDefault="005C3AE7" w:rsidP="005C3AE7">
      <w:pPr>
        <w:pStyle w:val="Subtitle"/>
      </w:pPr>
      <w:r>
        <w:t xml:space="preserve">PART 6b – </w:t>
      </w:r>
      <w:r w:rsidR="002A50FD" w:rsidRPr="00881F93">
        <w:t>INFORMATION ABOUT THE INTERVENTION</w:t>
      </w:r>
    </w:p>
    <w:p w14:paraId="522BF504"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22BF505" w14:textId="77777777" w:rsidR="002A50FD" w:rsidRPr="00154B00" w:rsidRDefault="003443C9" w:rsidP="00E357B9">
      <w:pPr>
        <w:ind w:left="426"/>
        <w:rPr>
          <w:szCs w:val="20"/>
        </w:rPr>
      </w:pPr>
      <w:r>
        <w:t xml:space="preserve">Nil change since previous submission </w:t>
      </w:r>
    </w:p>
    <w:p w14:paraId="522BF50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22BF507" w14:textId="77777777" w:rsidR="002A6753" w:rsidRPr="00154B00" w:rsidRDefault="003443C9" w:rsidP="00E357B9">
      <w:pPr>
        <w:ind w:left="426"/>
        <w:rPr>
          <w:szCs w:val="20"/>
        </w:rPr>
      </w:pPr>
      <w:r>
        <w:t xml:space="preserve">Nil change since previous submission </w:t>
      </w:r>
    </w:p>
    <w:p w14:paraId="522BF508"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22BF509" w14:textId="77777777" w:rsidR="00DF0C51" w:rsidRDefault="003443C9" w:rsidP="00E357B9">
      <w:pPr>
        <w:ind w:left="426"/>
        <w:rPr>
          <w:b/>
          <w:szCs w:val="20"/>
        </w:rPr>
      </w:pPr>
      <w:r>
        <w:t>N/A</w:t>
      </w:r>
    </w:p>
    <w:p w14:paraId="522BF50A"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22BF50B" w14:textId="77777777" w:rsidR="00CC09D7" w:rsidRPr="00154B00" w:rsidRDefault="003443C9" w:rsidP="00E357B9">
      <w:pPr>
        <w:ind w:left="426"/>
        <w:rPr>
          <w:szCs w:val="20"/>
        </w:rPr>
      </w:pPr>
      <w:r>
        <w:lastRenderedPageBreak/>
        <w:t xml:space="preserve">The provision of </w:t>
      </w:r>
      <w:r w:rsidR="00C051DD">
        <w:t xml:space="preserve">liver </w:t>
      </w:r>
      <w:r>
        <w:t>MRI services, including machine eligibility as well as requirements for reporting/accreditation</w:t>
      </w:r>
      <w:r w:rsidR="00C051DD">
        <w:t xml:space="preserve"> will be subjected to</w:t>
      </w:r>
      <w:r>
        <w:t xml:space="preserve"> existing rules </w:t>
      </w:r>
      <w:r w:rsidR="00C051DD">
        <w:t>that govern</w:t>
      </w:r>
      <w:r>
        <w:t xml:space="preserve"> the Diagnostic Imaging Services Table (DIST) of the MBS </w:t>
      </w:r>
    </w:p>
    <w:p w14:paraId="522BF50C" w14:textId="77777777" w:rsidR="003443C9" w:rsidRDefault="00791C8D" w:rsidP="003443C9">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22BF50D" w14:textId="77777777" w:rsidR="003443C9" w:rsidRPr="003443C9" w:rsidRDefault="003443C9" w:rsidP="003443C9">
      <w:pPr>
        <w:ind w:left="360"/>
      </w:pPr>
      <w:r>
        <w:t>Specific contrast agents (and sometimes sedation)</w:t>
      </w:r>
    </w:p>
    <w:p w14:paraId="522BF50E" w14:textId="77777777" w:rsidR="003443C9" w:rsidRDefault="00B17E26" w:rsidP="003443C9">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22BF50F" w14:textId="77777777" w:rsidR="003443C9" w:rsidRPr="003443C9" w:rsidRDefault="003443C9" w:rsidP="003443C9">
      <w:pPr>
        <w:ind w:left="360"/>
      </w:pPr>
      <w:r>
        <w:t xml:space="preserve">Radiologists </w:t>
      </w:r>
    </w:p>
    <w:p w14:paraId="522BF510"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22BF511" w14:textId="77777777" w:rsidR="00B17E26" w:rsidRPr="00154B00" w:rsidRDefault="00C051DD" w:rsidP="00884E69">
      <w:pPr>
        <w:ind w:left="426"/>
        <w:rPr>
          <w:szCs w:val="20"/>
        </w:rPr>
      </w:pPr>
      <w:r>
        <w:t>N/A</w:t>
      </w:r>
    </w:p>
    <w:p w14:paraId="522BF512"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22BF513" w14:textId="77777777" w:rsidR="00EA0E25" w:rsidRPr="00154B00" w:rsidRDefault="003443C9" w:rsidP="00BC424B">
      <w:pPr>
        <w:ind w:left="426"/>
        <w:rPr>
          <w:szCs w:val="20"/>
        </w:rPr>
      </w:pPr>
      <w:r>
        <w:t>This submission will focus on only specialist referral for MRI of the liver while the previous submission had a proposal to create an item for GP Referral</w:t>
      </w:r>
      <w:r w:rsidR="00726027">
        <w:t xml:space="preserve">. </w:t>
      </w:r>
    </w:p>
    <w:p w14:paraId="522BF514"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22BF515" w14:textId="77777777" w:rsidR="003443C9" w:rsidRDefault="003443C9" w:rsidP="003443C9">
      <w:pPr>
        <w:pStyle w:val="Heading2"/>
        <w:numPr>
          <w:ilvl w:val="0"/>
          <w:numId w:val="0"/>
        </w:numPr>
        <w:ind w:left="360"/>
      </w:pPr>
    </w:p>
    <w:p w14:paraId="522BF516" w14:textId="77777777" w:rsidR="003443C9" w:rsidRPr="003443C9" w:rsidRDefault="00C051DD" w:rsidP="00C051DD">
      <w:pPr>
        <w:ind w:left="360"/>
      </w:pPr>
      <w:r w:rsidRPr="002809EC">
        <w:t>Current legislative requirements stipulate that Medicare-eligible MRI items must be reported on by a trained and credentialed speci</w:t>
      </w:r>
      <w:r>
        <w:t xml:space="preserve">alist in diagnostic radiology. </w:t>
      </w:r>
      <w:r w:rsidRPr="002809EC">
        <w:t>The specialist radiologist must be able to satisfy the Chief Executive Medicare that they are a participant in the RANZCR Quality and Accreditation Program (Health Insurance Regulation 2013 – 2.5.4 – Eligible Providers) (Australian Government 2013).</w:t>
      </w:r>
      <w:r>
        <w:t xml:space="preserve">  These legislative requirements will also apply to the proposed liver MRI item. </w:t>
      </w:r>
    </w:p>
    <w:p w14:paraId="522BF517" w14:textId="77777777" w:rsidR="005F3F07" w:rsidRDefault="003443C9" w:rsidP="00530204">
      <w:pPr>
        <w:pStyle w:val="Heading2"/>
      </w:pPr>
      <w: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22BF518" w14:textId="77777777" w:rsidR="000A478F" w:rsidRDefault="006242AE"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0A478F">
        <w:rPr>
          <w:szCs w:val="20"/>
        </w:rPr>
        <w:t xml:space="preserve"> </w:t>
      </w:r>
      <w:r w:rsidR="000A478F">
        <w:t>Inpatient private hospital</w:t>
      </w:r>
    </w:p>
    <w:p w14:paraId="522BF519" w14:textId="77777777" w:rsidR="000A478F" w:rsidRDefault="006242AE"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0A478F">
        <w:rPr>
          <w:szCs w:val="20"/>
        </w:rPr>
        <w:t xml:space="preserve"> </w:t>
      </w:r>
      <w:r w:rsidR="000A478F">
        <w:t>Inpatient public hospital</w:t>
      </w:r>
    </w:p>
    <w:p w14:paraId="522BF51A" w14:textId="77777777" w:rsidR="000A478F" w:rsidRDefault="006242AE"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0A478F">
        <w:rPr>
          <w:szCs w:val="20"/>
        </w:rPr>
        <w:t xml:space="preserve"> </w:t>
      </w:r>
      <w:r w:rsidR="000A478F">
        <w:t>Outpatient clinic</w:t>
      </w:r>
      <w:r>
        <w:t xml:space="preserve"> (Radiology department for both inpatients and outpatients)</w:t>
      </w:r>
    </w:p>
    <w:p w14:paraId="522BF51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Emergency Department</w:t>
      </w:r>
    </w:p>
    <w:p w14:paraId="522BF51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Consulting rooms</w:t>
      </w:r>
    </w:p>
    <w:p w14:paraId="522BF51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Day surgery centre</w:t>
      </w:r>
    </w:p>
    <w:p w14:paraId="522BF51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Residential aged care facility</w:t>
      </w:r>
    </w:p>
    <w:p w14:paraId="522BF51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Patient’s home</w:t>
      </w:r>
    </w:p>
    <w:p w14:paraId="522BF52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Laboratory</w:t>
      </w:r>
    </w:p>
    <w:p w14:paraId="522BF52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56EE">
        <w:rPr>
          <w:szCs w:val="20"/>
        </w:rPr>
      </w:r>
      <w:r w:rsidR="00CE56EE">
        <w:rPr>
          <w:szCs w:val="20"/>
        </w:rPr>
        <w:fldChar w:fldCharType="separate"/>
      </w:r>
      <w:r w:rsidRPr="000A5B32">
        <w:rPr>
          <w:szCs w:val="20"/>
        </w:rPr>
        <w:fldChar w:fldCharType="end"/>
      </w:r>
      <w:r>
        <w:rPr>
          <w:szCs w:val="20"/>
        </w:rPr>
        <w:t xml:space="preserve"> </w:t>
      </w:r>
      <w:r>
        <w:t>Other – please specify below</w:t>
      </w:r>
    </w:p>
    <w:p w14:paraId="522BF522"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522BF523"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22BF524" w14:textId="77777777" w:rsidR="0073597B" w:rsidRDefault="006242AE" w:rsidP="0073597B">
      <w:pPr>
        <w:ind w:left="426"/>
        <w:rPr>
          <w:b/>
          <w:szCs w:val="20"/>
        </w:rPr>
      </w:pPr>
      <w:r>
        <w:t>N/A</w:t>
      </w:r>
    </w:p>
    <w:p w14:paraId="522BF525" w14:textId="77777777" w:rsidR="003E30FB" w:rsidRDefault="003E30FB" w:rsidP="00530204">
      <w:pPr>
        <w:pStyle w:val="Heading2"/>
      </w:pPr>
      <w:r>
        <w:t xml:space="preserve">Is the </w:t>
      </w:r>
      <w:r w:rsidRPr="001B29A1">
        <w:t>proposed</w:t>
      </w:r>
      <w:r>
        <w:t xml:space="preserve"> medical service intended to be entirely rendered in Australia?</w:t>
      </w:r>
    </w:p>
    <w:p w14:paraId="522BF526" w14:textId="77777777" w:rsidR="000A478F" w:rsidRDefault="006242AE"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0A478F">
        <w:rPr>
          <w:szCs w:val="20"/>
        </w:rPr>
        <w:t xml:space="preserve"> Yes</w:t>
      </w:r>
    </w:p>
    <w:p w14:paraId="522BF527"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22BF528"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522BF529" w14:textId="77777777" w:rsidR="000A478F" w:rsidRDefault="000A478F" w:rsidP="00881F93">
      <w:pPr>
        <w:rPr>
          <w:b/>
          <w:i/>
          <w:szCs w:val="20"/>
          <w:u w:val="single"/>
        </w:rPr>
      </w:pPr>
      <w:r>
        <w:rPr>
          <w:b/>
          <w:i/>
          <w:szCs w:val="20"/>
          <w:u w:val="single"/>
        </w:rPr>
        <w:br w:type="page"/>
      </w:r>
    </w:p>
    <w:p w14:paraId="522BF52A"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22BF52B"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22BF52C" w14:textId="77777777" w:rsidR="00194AA1" w:rsidRPr="00194AA1" w:rsidRDefault="00194AA1" w:rsidP="00194AA1">
      <w:pPr>
        <w:autoSpaceDE w:val="0"/>
        <w:autoSpaceDN w:val="0"/>
        <w:adjustRightInd w:val="0"/>
        <w:spacing w:before="0" w:after="0"/>
        <w:ind w:firstLine="360"/>
        <w:rPr>
          <w:rFonts w:cs="Arial"/>
          <w:szCs w:val="20"/>
        </w:rPr>
      </w:pPr>
      <w:r w:rsidRPr="00194AA1">
        <w:rPr>
          <w:rFonts w:cs="Arial"/>
          <w:szCs w:val="20"/>
        </w:rPr>
        <w:t>A range of existing tests are available for both the proposed populations in the absence of MRI of the liver:</w:t>
      </w:r>
    </w:p>
    <w:p w14:paraId="522BF52D" w14:textId="77777777" w:rsidR="00194AA1" w:rsidRPr="00194AA1" w:rsidRDefault="00194AA1" w:rsidP="00194AA1">
      <w:pPr>
        <w:autoSpaceDE w:val="0"/>
        <w:autoSpaceDN w:val="0"/>
        <w:adjustRightInd w:val="0"/>
        <w:spacing w:before="0" w:after="0"/>
        <w:ind w:firstLine="360"/>
        <w:rPr>
          <w:rFonts w:eastAsia="SymbolMT" w:cs="Arial"/>
          <w:szCs w:val="20"/>
        </w:rPr>
      </w:pPr>
    </w:p>
    <w:p w14:paraId="522BF52E" w14:textId="77777777" w:rsidR="00194AA1" w:rsidRDefault="00194AA1"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liver biopsy (also reference standard)</w:t>
      </w:r>
      <w:r w:rsidR="00726027">
        <w:rPr>
          <w:rFonts w:cs="Arial"/>
          <w:szCs w:val="20"/>
        </w:rPr>
        <w:t>;</w:t>
      </w:r>
    </w:p>
    <w:p w14:paraId="522BF52F" w14:textId="77777777" w:rsidR="00194AA1" w:rsidRDefault="00194AA1"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multiphase computed tomography (CT) scan</w:t>
      </w:r>
      <w:r w:rsidR="00726027">
        <w:rPr>
          <w:rFonts w:cs="Arial"/>
          <w:szCs w:val="20"/>
        </w:rPr>
        <w:t>;</w:t>
      </w:r>
    </w:p>
    <w:p w14:paraId="522BF530" w14:textId="77777777" w:rsidR="00194AA1" w:rsidRDefault="00194AA1"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contrast-enhanced ultrasound (CE-US)</w:t>
      </w:r>
      <w:r w:rsidR="00726027">
        <w:rPr>
          <w:rFonts w:cs="Arial"/>
          <w:szCs w:val="20"/>
        </w:rPr>
        <w:t>; and</w:t>
      </w:r>
    </w:p>
    <w:p w14:paraId="522BF531" w14:textId="77777777" w:rsidR="00194AA1" w:rsidRDefault="00194AA1" w:rsidP="00194AA1">
      <w:pPr>
        <w:pStyle w:val="ListParagraph"/>
        <w:numPr>
          <w:ilvl w:val="0"/>
          <w:numId w:val="37"/>
        </w:numPr>
        <w:autoSpaceDE w:val="0"/>
        <w:autoSpaceDN w:val="0"/>
        <w:adjustRightInd w:val="0"/>
        <w:spacing w:before="0" w:after="0"/>
        <w:rPr>
          <w:rFonts w:cs="Arial"/>
          <w:szCs w:val="20"/>
        </w:rPr>
      </w:pPr>
      <w:proofErr w:type="gramStart"/>
      <w:r w:rsidRPr="00194AA1">
        <w:rPr>
          <w:rFonts w:cs="Arial"/>
          <w:szCs w:val="20"/>
        </w:rPr>
        <w:t>intraoperative</w:t>
      </w:r>
      <w:proofErr w:type="gramEnd"/>
      <w:r w:rsidRPr="00194AA1">
        <w:rPr>
          <w:rFonts w:cs="Arial"/>
          <w:szCs w:val="20"/>
        </w:rPr>
        <w:t xml:space="preserve"> ultrasound (IOUS)</w:t>
      </w:r>
      <w:r w:rsidR="00726027">
        <w:rPr>
          <w:rFonts w:cs="Arial"/>
          <w:szCs w:val="20"/>
        </w:rPr>
        <w:t>.</w:t>
      </w:r>
    </w:p>
    <w:p w14:paraId="522BF532" w14:textId="77777777" w:rsidR="00194AA1" w:rsidRPr="00194AA1" w:rsidRDefault="00194AA1" w:rsidP="00194AA1">
      <w:pPr>
        <w:autoSpaceDE w:val="0"/>
        <w:autoSpaceDN w:val="0"/>
        <w:adjustRightInd w:val="0"/>
        <w:spacing w:before="0" w:after="0"/>
        <w:rPr>
          <w:rFonts w:cs="Arial"/>
          <w:szCs w:val="20"/>
        </w:rPr>
      </w:pPr>
    </w:p>
    <w:p w14:paraId="522BF533" w14:textId="77777777" w:rsidR="00E60529" w:rsidRDefault="00194AA1" w:rsidP="00194AA1">
      <w:pPr>
        <w:autoSpaceDE w:val="0"/>
        <w:autoSpaceDN w:val="0"/>
        <w:adjustRightInd w:val="0"/>
        <w:spacing w:before="0" w:after="0"/>
        <w:ind w:left="360"/>
        <w:rPr>
          <w:rFonts w:cs="Arial"/>
          <w:szCs w:val="20"/>
        </w:rPr>
      </w:pPr>
      <w:r w:rsidRPr="00194AA1">
        <w:rPr>
          <w:rFonts w:cs="Arial"/>
          <w:szCs w:val="20"/>
        </w:rPr>
        <w:t>For the majority of patients</w:t>
      </w:r>
      <w:r w:rsidR="00726027">
        <w:rPr>
          <w:rFonts w:cs="Arial"/>
          <w:szCs w:val="20"/>
        </w:rPr>
        <w:t>,</w:t>
      </w:r>
      <w:r w:rsidRPr="00194AA1">
        <w:rPr>
          <w:rFonts w:cs="Arial"/>
          <w:szCs w:val="20"/>
        </w:rPr>
        <w:t xml:space="preserve"> a</w:t>
      </w:r>
      <w:r w:rsidR="00726027">
        <w:rPr>
          <w:rFonts w:cs="Arial"/>
          <w:szCs w:val="20"/>
        </w:rPr>
        <w:t>n</w:t>
      </w:r>
      <w:r w:rsidRPr="00194AA1">
        <w:rPr>
          <w:rFonts w:cs="Arial"/>
          <w:szCs w:val="20"/>
        </w:rPr>
        <w:t xml:space="preserve"> MRI scan would most commonly be used as a replacement</w:t>
      </w:r>
      <w:r>
        <w:rPr>
          <w:rFonts w:cs="Arial"/>
          <w:szCs w:val="20"/>
        </w:rPr>
        <w:t xml:space="preserve"> for</w:t>
      </w:r>
      <w:r w:rsidRPr="00194AA1">
        <w:rPr>
          <w:rFonts w:cs="Arial"/>
          <w:szCs w:val="20"/>
        </w:rPr>
        <w:t xml:space="preserve"> </w:t>
      </w:r>
      <w:r>
        <w:rPr>
          <w:rFonts w:cs="Arial"/>
          <w:szCs w:val="20"/>
        </w:rPr>
        <w:t xml:space="preserve">multiphase CT scan. </w:t>
      </w:r>
      <w:r w:rsidRPr="00194AA1">
        <w:rPr>
          <w:rFonts w:cs="Arial"/>
          <w:szCs w:val="20"/>
        </w:rPr>
        <w:t xml:space="preserve">CT </w:t>
      </w:r>
      <w:proofErr w:type="spellStart"/>
      <w:r w:rsidRPr="00194AA1">
        <w:rPr>
          <w:rFonts w:cs="Arial"/>
          <w:szCs w:val="20"/>
        </w:rPr>
        <w:t>portography</w:t>
      </w:r>
      <w:proofErr w:type="spellEnd"/>
      <w:r w:rsidRPr="00194AA1">
        <w:rPr>
          <w:rFonts w:cs="Arial"/>
          <w:szCs w:val="20"/>
        </w:rPr>
        <w:t xml:space="preserve"> and positron emission tomography </w:t>
      </w:r>
      <w:r>
        <w:rPr>
          <w:rFonts w:cs="Arial"/>
          <w:szCs w:val="20"/>
        </w:rPr>
        <w:t xml:space="preserve">(PET) scans are not appropriate </w:t>
      </w:r>
      <w:r w:rsidRPr="00194AA1">
        <w:rPr>
          <w:rFonts w:cs="Arial"/>
          <w:szCs w:val="20"/>
        </w:rPr>
        <w:t>comparators, and are rarely used in Australia for this population.</w:t>
      </w:r>
    </w:p>
    <w:p w14:paraId="522BF534" w14:textId="77777777" w:rsidR="00194AA1" w:rsidRDefault="00194AA1" w:rsidP="00194AA1">
      <w:pPr>
        <w:autoSpaceDE w:val="0"/>
        <w:autoSpaceDN w:val="0"/>
        <w:adjustRightInd w:val="0"/>
        <w:spacing w:before="0" w:after="0"/>
        <w:ind w:left="360"/>
        <w:rPr>
          <w:rFonts w:cs="Arial"/>
          <w:szCs w:val="20"/>
        </w:rPr>
      </w:pPr>
    </w:p>
    <w:p w14:paraId="522BF535" w14:textId="77777777" w:rsidR="00194AA1" w:rsidRPr="00194AA1" w:rsidRDefault="00194AA1" w:rsidP="00194AA1">
      <w:pPr>
        <w:autoSpaceDE w:val="0"/>
        <w:autoSpaceDN w:val="0"/>
        <w:adjustRightInd w:val="0"/>
        <w:spacing w:before="0" w:after="0"/>
        <w:ind w:left="360"/>
        <w:rPr>
          <w:rFonts w:cs="Arial"/>
          <w:szCs w:val="20"/>
        </w:rPr>
      </w:pPr>
      <w:r>
        <w:rPr>
          <w:rFonts w:cs="Arial"/>
          <w:szCs w:val="20"/>
        </w:rPr>
        <w:t>Swings and roundabouts the comparators are largely unchanged since the past submission despite the further narrowing of the patient populations being put forward for consideration in this resubmission (which are effectively a subset of the broader populations considered last</w:t>
      </w:r>
      <w:r w:rsidR="00726027">
        <w:rPr>
          <w:rFonts w:cs="Arial"/>
          <w:szCs w:val="20"/>
        </w:rPr>
        <w:t xml:space="preserve"> time)</w:t>
      </w:r>
      <w:r w:rsidR="001E06D9">
        <w:rPr>
          <w:rFonts w:cs="Arial"/>
          <w:szCs w:val="20"/>
        </w:rPr>
        <w:t>.</w:t>
      </w:r>
    </w:p>
    <w:p w14:paraId="522BF536"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22BF537" w14:textId="77777777" w:rsidR="006A1038" w:rsidRDefault="00194AA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6A1038">
        <w:rPr>
          <w:szCs w:val="20"/>
        </w:rPr>
        <w:t xml:space="preserve"> Yes (please provide all </w:t>
      </w:r>
      <w:r w:rsidR="00790743">
        <w:rPr>
          <w:szCs w:val="20"/>
        </w:rPr>
        <w:t>relevant MBS item numbers - see b</w:t>
      </w:r>
      <w:r>
        <w:rPr>
          <w:szCs w:val="20"/>
        </w:rPr>
        <w:t xml:space="preserve">elow) </w:t>
      </w:r>
    </w:p>
    <w:p w14:paraId="522BF538" w14:textId="77777777" w:rsidR="00194AA1" w:rsidRDefault="006A1038" w:rsidP="00194A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No</w:t>
      </w:r>
    </w:p>
    <w:p w14:paraId="522BF539" w14:textId="77777777" w:rsidR="00194AA1" w:rsidRPr="00194AA1" w:rsidRDefault="00194AA1" w:rsidP="00194AA1">
      <w:pPr>
        <w:spacing w:before="0" w:after="0"/>
        <w:ind w:left="426"/>
        <w:rPr>
          <w:szCs w:val="20"/>
        </w:rPr>
      </w:pPr>
    </w:p>
    <w:p w14:paraId="522BF53A" w14:textId="77777777" w:rsidR="00194AA1" w:rsidRDefault="00726027"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M</w:t>
      </w:r>
      <w:r w:rsidR="00194AA1" w:rsidRPr="00194AA1">
        <w:rPr>
          <w:rFonts w:cs="Arial"/>
          <w:szCs w:val="20"/>
        </w:rPr>
        <w:t>ultiphase</w:t>
      </w:r>
      <w:r>
        <w:rPr>
          <w:rFonts w:cs="Arial"/>
          <w:szCs w:val="20"/>
        </w:rPr>
        <w:t xml:space="preserve"> abdominal</w:t>
      </w:r>
      <w:r w:rsidR="00194AA1" w:rsidRPr="00194AA1">
        <w:rPr>
          <w:rFonts w:cs="Arial"/>
          <w:szCs w:val="20"/>
        </w:rPr>
        <w:t xml:space="preserve"> CT scan (MBS items </w:t>
      </w:r>
      <w:r>
        <w:rPr>
          <w:rFonts w:cs="Arial"/>
          <w:szCs w:val="20"/>
        </w:rPr>
        <w:t>56401 or 56507</w:t>
      </w:r>
      <w:r w:rsidR="00194AA1" w:rsidRPr="00194AA1">
        <w:rPr>
          <w:rFonts w:cs="Arial"/>
          <w:szCs w:val="20"/>
        </w:rPr>
        <w:t>)</w:t>
      </w:r>
      <w:r>
        <w:rPr>
          <w:rFonts w:cs="Arial"/>
          <w:szCs w:val="20"/>
        </w:rPr>
        <w:t>;</w:t>
      </w:r>
    </w:p>
    <w:p w14:paraId="522BF53B" w14:textId="77777777" w:rsidR="00194AA1" w:rsidRDefault="00194AA1"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CE-US scan (MBS items 55014 or 55016)</w:t>
      </w:r>
      <w:r w:rsidR="00726027">
        <w:rPr>
          <w:rFonts w:cs="Arial"/>
          <w:szCs w:val="20"/>
        </w:rPr>
        <w:t>;</w:t>
      </w:r>
    </w:p>
    <w:p w14:paraId="522BF53C" w14:textId="77777777" w:rsidR="00194AA1" w:rsidRDefault="00194AA1" w:rsidP="00194AA1">
      <w:pPr>
        <w:pStyle w:val="ListParagraph"/>
        <w:numPr>
          <w:ilvl w:val="0"/>
          <w:numId w:val="37"/>
        </w:numPr>
        <w:autoSpaceDE w:val="0"/>
        <w:autoSpaceDN w:val="0"/>
        <w:adjustRightInd w:val="0"/>
        <w:spacing w:before="0" w:after="0"/>
        <w:rPr>
          <w:rFonts w:cs="Arial"/>
          <w:szCs w:val="20"/>
        </w:rPr>
      </w:pPr>
      <w:r w:rsidRPr="00194AA1">
        <w:rPr>
          <w:rFonts w:cs="Arial"/>
          <w:szCs w:val="20"/>
        </w:rPr>
        <w:t>biopsy (MBS item 30409)</w:t>
      </w:r>
      <w:r w:rsidR="00726027">
        <w:rPr>
          <w:rFonts w:cs="Arial"/>
          <w:szCs w:val="20"/>
        </w:rPr>
        <w:t>; and</w:t>
      </w:r>
    </w:p>
    <w:p w14:paraId="522BF53D" w14:textId="77777777" w:rsidR="00194AA1" w:rsidRPr="00194AA1" w:rsidRDefault="00194AA1" w:rsidP="00194AA1">
      <w:pPr>
        <w:pStyle w:val="ListParagraph"/>
        <w:numPr>
          <w:ilvl w:val="0"/>
          <w:numId w:val="37"/>
        </w:numPr>
        <w:autoSpaceDE w:val="0"/>
        <w:autoSpaceDN w:val="0"/>
        <w:adjustRightInd w:val="0"/>
        <w:spacing w:before="0" w:after="0"/>
        <w:rPr>
          <w:rFonts w:cs="Arial"/>
          <w:szCs w:val="20"/>
        </w:rPr>
      </w:pPr>
      <w:r>
        <w:rPr>
          <w:rFonts w:cs="Arial"/>
          <w:szCs w:val="20"/>
        </w:rPr>
        <w:t xml:space="preserve">N/B – no MBS item for </w:t>
      </w:r>
      <w:r w:rsidRPr="00194AA1">
        <w:rPr>
          <w:rFonts w:cs="Arial"/>
          <w:szCs w:val="20"/>
        </w:rPr>
        <w:t>intraoperative ultrasound</w:t>
      </w:r>
      <w:r w:rsidR="00790743">
        <w:rPr>
          <w:rFonts w:cs="Arial"/>
          <w:szCs w:val="20"/>
        </w:rPr>
        <w:t>.</w:t>
      </w:r>
    </w:p>
    <w:p w14:paraId="522BF53E" w14:textId="77777777" w:rsidR="006242AE" w:rsidRDefault="00AF5D1E" w:rsidP="00194AA1">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522BF53F" w14:textId="77777777" w:rsidR="00122994" w:rsidRPr="00122994" w:rsidRDefault="00122994" w:rsidP="00122994">
      <w:pPr>
        <w:ind w:left="360"/>
      </w:pPr>
      <w:r w:rsidRPr="00122994">
        <w:t>The broad clinical management pathways for the two proposed populations remain largely unchanged compared to previous submission</w:t>
      </w:r>
      <w:r w:rsidR="00541D8C">
        <w:t>. Figure 1 and 2 in MSAC’s Public Summary Document</w:t>
      </w:r>
      <w:r w:rsidRPr="00122994">
        <w:t xml:space="preserve"> outlining the clinical management pathways for the broader patient populations considered in the last submission remain applicable for the proposed po</w:t>
      </w:r>
      <w:r w:rsidR="001E06D9">
        <w:t>pulations for the resubmission</w:t>
      </w:r>
      <w:r>
        <w:t xml:space="preserve">. </w:t>
      </w:r>
    </w:p>
    <w:p w14:paraId="522BF540"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22BF541" w14:textId="77777777" w:rsidR="001B29A1" w:rsidRDefault="006242AE"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1B29A1">
        <w:rPr>
          <w:szCs w:val="20"/>
        </w:rPr>
        <w:t xml:space="preserve"> Yes </w:t>
      </w:r>
      <w:r>
        <w:rPr>
          <w:szCs w:val="20"/>
        </w:rPr>
        <w:t>(will substitute)</w:t>
      </w:r>
    </w:p>
    <w:p w14:paraId="522BF542"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56EE">
        <w:rPr>
          <w:szCs w:val="20"/>
        </w:rPr>
      </w:r>
      <w:r w:rsidR="00CE56EE">
        <w:rPr>
          <w:szCs w:val="20"/>
        </w:rPr>
        <w:fldChar w:fldCharType="separate"/>
      </w:r>
      <w:r w:rsidRPr="00753C44">
        <w:rPr>
          <w:szCs w:val="20"/>
        </w:rPr>
        <w:fldChar w:fldCharType="end"/>
      </w:r>
      <w:r>
        <w:rPr>
          <w:szCs w:val="20"/>
        </w:rPr>
        <w:t xml:space="preserve"> No  </w:t>
      </w:r>
    </w:p>
    <w:p w14:paraId="522BF543"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22BF544" w14:textId="77777777" w:rsidR="003433D1" w:rsidRPr="001B29A1" w:rsidRDefault="006242AE" w:rsidP="00466431">
      <w:pPr>
        <w:ind w:left="426"/>
        <w:rPr>
          <w:szCs w:val="20"/>
        </w:rPr>
      </w:pPr>
      <w:r>
        <w:rPr>
          <w:szCs w:val="20"/>
        </w:rPr>
        <w:t xml:space="preserve">This was extensively canvassed in the assessment report of the last submission. </w:t>
      </w:r>
      <w:r w:rsidR="00466431">
        <w:rPr>
          <w:szCs w:val="20"/>
        </w:rPr>
        <w:t>V</w:t>
      </w:r>
      <w:r>
        <w:rPr>
          <w:szCs w:val="20"/>
        </w:rPr>
        <w:t xml:space="preserve">arying rates of substitution </w:t>
      </w:r>
      <w:r w:rsidR="00466431">
        <w:rPr>
          <w:szCs w:val="20"/>
        </w:rPr>
        <w:t>were tested in the calculation of the financial estimates in the past report</w:t>
      </w:r>
      <w:r>
        <w:rPr>
          <w:szCs w:val="20"/>
        </w:rPr>
        <w:t>. This will occur again this time.</w:t>
      </w:r>
    </w:p>
    <w:p w14:paraId="522BF545"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22BF546" w14:textId="77777777" w:rsidR="00122994" w:rsidRDefault="00194AA1" w:rsidP="00122994">
      <w:pPr>
        <w:pStyle w:val="Subtitle"/>
        <w:rPr>
          <w:b w:val="0"/>
          <w:i w:val="0"/>
          <w:u w:val="none"/>
        </w:rPr>
      </w:pPr>
      <w:r w:rsidRPr="00122994">
        <w:rPr>
          <w:b w:val="0"/>
          <w:i w:val="0"/>
          <w:u w:val="none"/>
        </w:rPr>
        <w:lastRenderedPageBreak/>
        <w:t>MRI liver is simply an alternate option for patients at relevant point in the clinical management pathway as per last submission.</w:t>
      </w:r>
      <w:r>
        <w:t xml:space="preserve"> </w:t>
      </w:r>
      <w:r w:rsidR="00122994" w:rsidRPr="00194AA1">
        <w:rPr>
          <w:b w:val="0"/>
          <w:i w:val="0"/>
          <w:u w:val="none"/>
        </w:rPr>
        <w:t xml:space="preserve">Despite more specific populations for this resubmission, the broader clinical management pathways, (including the </w:t>
      </w:r>
      <w:r w:rsidR="00122994">
        <w:rPr>
          <w:b w:val="0"/>
          <w:i w:val="0"/>
          <w:u w:val="none"/>
        </w:rPr>
        <w:t xml:space="preserve">proposed </w:t>
      </w:r>
      <w:r w:rsidR="00122994" w:rsidRPr="00194AA1">
        <w:rPr>
          <w:b w:val="0"/>
          <w:i w:val="0"/>
          <w:u w:val="none"/>
        </w:rPr>
        <w:t xml:space="preserve">positioning of liver MRI in clinical management algorithms) have remained </w:t>
      </w:r>
      <w:r w:rsidR="00541D8C">
        <w:rPr>
          <w:b w:val="0"/>
          <w:i w:val="0"/>
          <w:u w:val="none"/>
        </w:rPr>
        <w:t xml:space="preserve">largely </w:t>
      </w:r>
      <w:r w:rsidR="00122994" w:rsidRPr="00194AA1">
        <w:rPr>
          <w:b w:val="0"/>
          <w:i w:val="0"/>
          <w:u w:val="none"/>
        </w:rPr>
        <w:t>unchanged since the last submission</w:t>
      </w:r>
      <w:r w:rsidR="001E06D9">
        <w:rPr>
          <w:b w:val="0"/>
          <w:i w:val="0"/>
          <w:u w:val="none"/>
        </w:rPr>
        <w:t>.</w:t>
      </w:r>
    </w:p>
    <w:p w14:paraId="522BF547" w14:textId="77777777" w:rsidR="00122994" w:rsidRDefault="00122994" w:rsidP="00122994">
      <w:pPr>
        <w:pStyle w:val="Subtitle"/>
        <w:rPr>
          <w:b w:val="0"/>
          <w:i w:val="0"/>
          <w:u w:val="none"/>
        </w:rPr>
      </w:pPr>
    </w:p>
    <w:p w14:paraId="522BF548" w14:textId="77777777" w:rsidR="002053F2" w:rsidRPr="00122994" w:rsidRDefault="00122994" w:rsidP="00122994">
      <w:pPr>
        <w:pStyle w:val="Subtitle"/>
        <w:rPr>
          <w:b w:val="0"/>
          <w:i w:val="0"/>
          <w:u w:val="none"/>
        </w:rPr>
      </w:pPr>
      <w:r>
        <w:rPr>
          <w:b w:val="0"/>
          <w:i w:val="0"/>
          <w:u w:val="none"/>
        </w:rPr>
        <w:t>The scenario where liver MRI is not used is now not the reality in the Australian health care sy</w:t>
      </w:r>
      <w:r w:rsidR="0042686A">
        <w:rPr>
          <w:b w:val="0"/>
          <w:i w:val="0"/>
          <w:u w:val="none"/>
        </w:rPr>
        <w:t>stem given that liver MRI is</w:t>
      </w:r>
      <w:r>
        <w:rPr>
          <w:b w:val="0"/>
          <w:i w:val="0"/>
          <w:u w:val="none"/>
        </w:rPr>
        <w:t xml:space="preserve"> commonly requested </w:t>
      </w:r>
      <w:r w:rsidR="0042686A">
        <w:rPr>
          <w:b w:val="0"/>
          <w:i w:val="0"/>
          <w:u w:val="none"/>
        </w:rPr>
        <w:t xml:space="preserve">already </w:t>
      </w:r>
      <w:r>
        <w:rPr>
          <w:b w:val="0"/>
          <w:i w:val="0"/>
          <w:u w:val="none"/>
        </w:rPr>
        <w:t>in the proposed populations in specialised centres but CT is still commonly ordered in ar</w:t>
      </w:r>
      <w:r w:rsidR="001E06D9">
        <w:rPr>
          <w:b w:val="0"/>
          <w:i w:val="0"/>
          <w:u w:val="none"/>
        </w:rPr>
        <w:t>eas where MRI is not available. MRI is performed in patients who can afford to pay for a non-</w:t>
      </w:r>
      <w:proofErr w:type="spellStart"/>
      <w:r w:rsidR="001E06D9">
        <w:rPr>
          <w:b w:val="0"/>
          <w:i w:val="0"/>
          <w:u w:val="none"/>
        </w:rPr>
        <w:t>rebatable</w:t>
      </w:r>
      <w:proofErr w:type="spellEnd"/>
      <w:r w:rsidR="001E06D9">
        <w:rPr>
          <w:b w:val="0"/>
          <w:i w:val="0"/>
          <w:u w:val="none"/>
        </w:rPr>
        <w:t xml:space="preserve"> scan. Public hospitals will fund some studies as they acknowledge the clinical utility of the examination.</w:t>
      </w:r>
      <w:r>
        <w:rPr>
          <w:b w:val="0"/>
          <w:i w:val="0"/>
          <w:u w:val="none"/>
        </w:rPr>
        <w:t xml:space="preserve"> </w:t>
      </w:r>
    </w:p>
    <w:p w14:paraId="522BF549" w14:textId="77777777" w:rsidR="001B29A1" w:rsidRDefault="001B29A1" w:rsidP="00881F93">
      <w:pPr>
        <w:rPr>
          <w:b/>
          <w:i/>
          <w:szCs w:val="20"/>
          <w:u w:val="single"/>
        </w:rPr>
      </w:pPr>
      <w:r>
        <w:rPr>
          <w:b/>
          <w:i/>
          <w:szCs w:val="20"/>
          <w:u w:val="single"/>
        </w:rPr>
        <w:br w:type="page"/>
      </w:r>
    </w:p>
    <w:p w14:paraId="522BF54A"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22BF54B"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22BF54C" w14:textId="77777777" w:rsidR="00624F86" w:rsidRDefault="00624F86" w:rsidP="00624F86">
      <w:pPr>
        <w:pStyle w:val="Heading2"/>
        <w:numPr>
          <w:ilvl w:val="0"/>
          <w:numId w:val="0"/>
        </w:numPr>
      </w:pPr>
    </w:p>
    <w:p w14:paraId="522BF54D" w14:textId="77777777" w:rsidR="00373ACA" w:rsidRDefault="007B1EF4" w:rsidP="007B1EF4">
      <w:pPr>
        <w:pStyle w:val="Heading2"/>
        <w:numPr>
          <w:ilvl w:val="0"/>
          <w:numId w:val="0"/>
        </w:numPr>
        <w:rPr>
          <w:b w:val="0"/>
        </w:rPr>
      </w:pPr>
      <w:r>
        <w:rPr>
          <w:b w:val="0"/>
        </w:rPr>
        <w:t>The</w:t>
      </w:r>
      <w:r w:rsidR="00624F86" w:rsidRPr="00624F86">
        <w:rPr>
          <w:b w:val="0"/>
        </w:rPr>
        <w:t xml:space="preserve"> </w:t>
      </w:r>
      <w:r>
        <w:rPr>
          <w:b w:val="0"/>
        </w:rPr>
        <w:t xml:space="preserve">clinical utility of MRI of the liver for the two proposed populations (as suggested by MSAC) is primarily based on new evidence </w:t>
      </w:r>
      <w:r w:rsidR="00373ACA">
        <w:rPr>
          <w:b w:val="0"/>
        </w:rPr>
        <w:t xml:space="preserve">that has been published in the past 12 months </w:t>
      </w:r>
      <w:r>
        <w:rPr>
          <w:b w:val="0"/>
        </w:rPr>
        <w:t>related to change in management</w:t>
      </w:r>
      <w:r w:rsidR="00624F86" w:rsidRPr="00624F86">
        <w:rPr>
          <w:b w:val="0"/>
        </w:rPr>
        <w:t xml:space="preserve"> </w:t>
      </w:r>
      <w:r w:rsidR="00624F86">
        <w:rPr>
          <w:b w:val="0"/>
        </w:rPr>
        <w:t>arising from l</w:t>
      </w:r>
      <w:r>
        <w:rPr>
          <w:b w:val="0"/>
        </w:rPr>
        <w:t xml:space="preserve">iver MRI </w:t>
      </w:r>
      <w:r w:rsidR="00373ACA">
        <w:rPr>
          <w:b w:val="0"/>
        </w:rPr>
        <w:t xml:space="preserve">as well a recent meta analyses (for HCC patients) that has reviewed the body of evidence on the relative accuracy of MRI liver vs other diagnostic imaging modalities. </w:t>
      </w:r>
    </w:p>
    <w:p w14:paraId="522BF54E" w14:textId="77777777" w:rsidR="00373ACA" w:rsidRDefault="00373ACA" w:rsidP="007B1EF4">
      <w:pPr>
        <w:pStyle w:val="Heading2"/>
        <w:numPr>
          <w:ilvl w:val="0"/>
          <w:numId w:val="0"/>
        </w:numPr>
        <w:rPr>
          <w:b w:val="0"/>
        </w:rPr>
      </w:pPr>
    </w:p>
    <w:p w14:paraId="522BF54F" w14:textId="77777777" w:rsidR="00624F86" w:rsidRDefault="00373ACA" w:rsidP="007B1EF4">
      <w:pPr>
        <w:pStyle w:val="Heading2"/>
        <w:numPr>
          <w:ilvl w:val="0"/>
          <w:numId w:val="0"/>
        </w:numPr>
        <w:rPr>
          <w:b w:val="0"/>
        </w:rPr>
      </w:pPr>
      <w:r>
        <w:rPr>
          <w:b w:val="0"/>
        </w:rPr>
        <w:t>MRI of the liver</w:t>
      </w:r>
      <w:r w:rsidR="00624F86">
        <w:rPr>
          <w:b w:val="0"/>
        </w:rPr>
        <w:t xml:space="preserve"> </w:t>
      </w:r>
      <w:r w:rsidR="00624F86" w:rsidRPr="00624F86">
        <w:rPr>
          <w:b w:val="0"/>
        </w:rPr>
        <w:t>has the potential for substantial cost savings as it can prevent inappropriate intervention (</w:t>
      </w:r>
      <w:r w:rsidR="007B1EF4">
        <w:rPr>
          <w:b w:val="0"/>
        </w:rPr>
        <w:t xml:space="preserve">both </w:t>
      </w:r>
      <w:r w:rsidR="00624F86" w:rsidRPr="00624F86">
        <w:rPr>
          <w:b w:val="0"/>
        </w:rPr>
        <w:t>surgical, chemotherapeutic) and by correctly staging patients can reduce the number of repeat surgeries for early recurrence (</w:t>
      </w:r>
      <w:proofErr w:type="spellStart"/>
      <w:r w:rsidR="00624F86" w:rsidRPr="00624F86">
        <w:rPr>
          <w:b w:val="0"/>
        </w:rPr>
        <w:t>ie</w:t>
      </w:r>
      <w:proofErr w:type="spellEnd"/>
      <w:r w:rsidR="00624F86" w:rsidRPr="00624F86">
        <w:rPr>
          <w:b w:val="0"/>
        </w:rPr>
        <w:t xml:space="preserve"> patients with ‘new’ lesions that were present at the time of diagnosis but were not evident on less sensitive imaging methods (CT and PET/CT).</w:t>
      </w:r>
      <w:r w:rsidR="007B1EF4">
        <w:rPr>
          <w:b w:val="0"/>
        </w:rPr>
        <w:t xml:space="preserve"> This clinical claim in regards to incremental clinical utility </w:t>
      </w:r>
      <w:r>
        <w:rPr>
          <w:b w:val="0"/>
        </w:rPr>
        <w:t xml:space="preserve">(in terms of impact on health outcomes) </w:t>
      </w:r>
      <w:r w:rsidR="007B1EF4">
        <w:rPr>
          <w:b w:val="0"/>
        </w:rPr>
        <w:t>of MRI of the liver relative to the comparators will be articulated through a linked evidence approach as recommended by the Investigative Guidelines.</w:t>
      </w:r>
    </w:p>
    <w:p w14:paraId="522BF550" w14:textId="77777777" w:rsidR="00210DBF" w:rsidRDefault="00210DBF" w:rsidP="00210DBF"/>
    <w:p w14:paraId="522BF551" w14:textId="77777777" w:rsidR="00210DBF" w:rsidRPr="00210DBF" w:rsidRDefault="00210DBF" w:rsidP="00210DBF">
      <w:r>
        <w:t>Apart from using a narrower subset of the original population, the outcome measure being suggested in this assessment is different. The prior outcome measure seems to have been ‘change in survival’ however for a diagnostic test this would be better as ‘change of management’.</w:t>
      </w:r>
    </w:p>
    <w:p w14:paraId="522BF552" w14:textId="77777777" w:rsidR="007B1EF4" w:rsidRDefault="007B1EF4" w:rsidP="007B1EF4">
      <w:pPr>
        <w:pStyle w:val="Heading2"/>
        <w:numPr>
          <w:ilvl w:val="0"/>
          <w:numId w:val="0"/>
        </w:numPr>
        <w:ind w:left="360"/>
      </w:pPr>
    </w:p>
    <w:p w14:paraId="522BF55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22BF554" w14:textId="77777777" w:rsidR="001B29A1" w:rsidRPr="001B29A1" w:rsidRDefault="007B1EF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56EE">
        <w:rPr>
          <w:szCs w:val="20"/>
        </w:rPr>
      </w:r>
      <w:r w:rsidR="00CE56EE">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522BF555"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56EE">
        <w:rPr>
          <w:szCs w:val="20"/>
        </w:rPr>
      </w:r>
      <w:r w:rsidR="00CE56EE">
        <w:rPr>
          <w:szCs w:val="20"/>
        </w:rPr>
        <w:fldChar w:fldCharType="separate"/>
      </w:r>
      <w:r w:rsidRPr="001B29A1">
        <w:rPr>
          <w:szCs w:val="20"/>
        </w:rPr>
        <w:fldChar w:fldCharType="end"/>
      </w:r>
      <w:r w:rsidRPr="001B29A1">
        <w:rPr>
          <w:szCs w:val="20"/>
        </w:rPr>
        <w:t xml:space="preserve"> Non-inferiority</w:t>
      </w:r>
      <w:r w:rsidRPr="001B29A1">
        <w:rPr>
          <w:szCs w:val="20"/>
        </w:rPr>
        <w:tab/>
      </w:r>
    </w:p>
    <w:p w14:paraId="522BF556" w14:textId="77777777" w:rsidR="00BA378E" w:rsidRPr="00541D8C" w:rsidRDefault="001B29A1" w:rsidP="00541D8C">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22BF557" w14:textId="77777777" w:rsidR="00541D8C" w:rsidRPr="00774EFE" w:rsidRDefault="00541D8C" w:rsidP="00541D8C">
      <w:pPr>
        <w:autoSpaceDE w:val="0"/>
        <w:autoSpaceDN w:val="0"/>
        <w:adjustRightInd w:val="0"/>
        <w:spacing w:before="0" w:after="0"/>
        <w:rPr>
          <w:rFonts w:cs="Tahoma"/>
          <w:b/>
          <w:i/>
          <w:szCs w:val="20"/>
          <w:u w:val="single"/>
        </w:rPr>
      </w:pPr>
      <w:r w:rsidRPr="00774EFE">
        <w:rPr>
          <w:rFonts w:cs="Tahoma"/>
          <w:b/>
          <w:i/>
          <w:szCs w:val="20"/>
          <w:u w:val="single"/>
        </w:rPr>
        <w:t>Safety outcomes (largely covered in previous submission)</w:t>
      </w:r>
    </w:p>
    <w:p w14:paraId="522BF558" w14:textId="77777777" w:rsidR="00541D8C" w:rsidRPr="00541D8C" w:rsidRDefault="00541D8C" w:rsidP="00541D8C">
      <w:pPr>
        <w:autoSpaceDE w:val="0"/>
        <w:autoSpaceDN w:val="0"/>
        <w:adjustRightInd w:val="0"/>
        <w:spacing w:before="0" w:after="0"/>
        <w:rPr>
          <w:rFonts w:cs="Tahoma"/>
          <w:szCs w:val="20"/>
        </w:rPr>
      </w:pPr>
    </w:p>
    <w:p w14:paraId="522BF559" w14:textId="77777777" w:rsidR="00541D8C" w:rsidRPr="00541D8C" w:rsidRDefault="00541D8C" w:rsidP="00541D8C">
      <w:pPr>
        <w:autoSpaceDE w:val="0"/>
        <w:autoSpaceDN w:val="0"/>
        <w:adjustRightInd w:val="0"/>
        <w:spacing w:before="0" w:after="0"/>
        <w:rPr>
          <w:rFonts w:cs="Tahoma"/>
          <w:szCs w:val="20"/>
        </w:rPr>
      </w:pPr>
      <w:r w:rsidRPr="00541D8C">
        <w:rPr>
          <w:rFonts w:cs="Tahoma"/>
          <w:szCs w:val="20"/>
        </w:rPr>
        <w:t>Adverse reaction to contrast agent</w:t>
      </w:r>
    </w:p>
    <w:p w14:paraId="522BF55A" w14:textId="77777777" w:rsidR="00541D8C" w:rsidRPr="00541D8C" w:rsidRDefault="00541D8C" w:rsidP="00541D8C">
      <w:pPr>
        <w:autoSpaceDE w:val="0"/>
        <w:autoSpaceDN w:val="0"/>
        <w:adjustRightInd w:val="0"/>
        <w:spacing w:before="0" w:after="0"/>
        <w:rPr>
          <w:rFonts w:cs="Tahoma"/>
          <w:szCs w:val="20"/>
        </w:rPr>
      </w:pPr>
      <w:r w:rsidRPr="00541D8C">
        <w:rPr>
          <w:rFonts w:cs="Tahoma"/>
          <w:szCs w:val="20"/>
        </w:rPr>
        <w:t>Cumulative effects of multiple contrast agent injections</w:t>
      </w:r>
    </w:p>
    <w:p w14:paraId="522BF55B" w14:textId="77777777" w:rsidR="00541D8C" w:rsidRPr="00541D8C" w:rsidRDefault="00541D8C" w:rsidP="00541D8C">
      <w:pPr>
        <w:autoSpaceDE w:val="0"/>
        <w:autoSpaceDN w:val="0"/>
        <w:adjustRightInd w:val="0"/>
        <w:spacing w:before="0" w:after="0"/>
        <w:rPr>
          <w:rFonts w:cs="Tahoma"/>
          <w:szCs w:val="20"/>
        </w:rPr>
      </w:pPr>
      <w:r w:rsidRPr="00541D8C">
        <w:rPr>
          <w:rFonts w:cs="Tahoma"/>
          <w:szCs w:val="20"/>
        </w:rPr>
        <w:t>Claustrophobia requiring the administration of sedation or general anaesthetic</w:t>
      </w:r>
    </w:p>
    <w:p w14:paraId="522BF55C" w14:textId="77777777" w:rsidR="00541D8C" w:rsidRPr="00541D8C" w:rsidRDefault="00541D8C" w:rsidP="00541D8C">
      <w:pPr>
        <w:autoSpaceDE w:val="0"/>
        <w:autoSpaceDN w:val="0"/>
        <w:adjustRightInd w:val="0"/>
        <w:spacing w:before="0" w:after="0"/>
        <w:rPr>
          <w:rFonts w:cs="Tahoma"/>
          <w:szCs w:val="20"/>
        </w:rPr>
      </w:pPr>
      <w:r w:rsidRPr="00541D8C">
        <w:rPr>
          <w:rFonts w:cs="Tahoma"/>
          <w:szCs w:val="20"/>
        </w:rPr>
        <w:t>Physical harms from follow-up testing</w:t>
      </w:r>
    </w:p>
    <w:p w14:paraId="522BF55D" w14:textId="77777777" w:rsidR="00541D8C" w:rsidRPr="00541D8C" w:rsidRDefault="00541D8C" w:rsidP="00541D8C">
      <w:pPr>
        <w:pStyle w:val="Heading1"/>
        <w:rPr>
          <w:rFonts w:cs="Tahoma"/>
          <w:bCs w:val="0"/>
          <w:color w:val="auto"/>
          <w:sz w:val="20"/>
          <w:szCs w:val="20"/>
        </w:rPr>
      </w:pPr>
      <w:r w:rsidRPr="00541D8C">
        <w:rPr>
          <w:rFonts w:cs="Tahoma"/>
          <w:bCs w:val="0"/>
          <w:color w:val="auto"/>
          <w:sz w:val="20"/>
          <w:szCs w:val="20"/>
        </w:rPr>
        <w:t>Other adverse events arising from liver MRI</w:t>
      </w:r>
    </w:p>
    <w:p w14:paraId="522BF55E" w14:textId="77777777" w:rsidR="00541D8C" w:rsidRPr="00774EFE" w:rsidRDefault="00541D8C" w:rsidP="00541D8C">
      <w:pPr>
        <w:rPr>
          <w:b/>
          <w:i/>
          <w:u w:val="single"/>
        </w:rPr>
      </w:pPr>
      <w:r w:rsidRPr="00774EFE">
        <w:rPr>
          <w:b/>
          <w:i/>
          <w:u w:val="single"/>
        </w:rPr>
        <w:t>Clinical effectiveness outcomes</w:t>
      </w:r>
      <w:r w:rsidR="00774EFE" w:rsidRPr="00774EFE">
        <w:rPr>
          <w:b/>
          <w:i/>
          <w:u w:val="single"/>
        </w:rPr>
        <w:t xml:space="preserve"> </w:t>
      </w:r>
    </w:p>
    <w:p w14:paraId="522BF55F" w14:textId="77777777" w:rsidR="00774EFE" w:rsidRPr="00774EFE" w:rsidRDefault="00774EFE" w:rsidP="00774EFE">
      <w:pPr>
        <w:autoSpaceDE w:val="0"/>
        <w:autoSpaceDN w:val="0"/>
        <w:adjustRightInd w:val="0"/>
        <w:spacing w:before="0" w:after="0"/>
        <w:rPr>
          <w:rFonts w:cs="Tahoma"/>
          <w:i/>
          <w:szCs w:val="20"/>
        </w:rPr>
      </w:pPr>
      <w:r w:rsidRPr="00774EFE">
        <w:rPr>
          <w:rFonts w:cs="Tahoma"/>
          <w:i/>
          <w:szCs w:val="20"/>
        </w:rPr>
        <w:t xml:space="preserve">Accuracy </w:t>
      </w:r>
    </w:p>
    <w:p w14:paraId="522BF560" w14:textId="77777777" w:rsidR="00774EFE" w:rsidRPr="00774EFE" w:rsidRDefault="00774EFE" w:rsidP="00774EFE">
      <w:pPr>
        <w:autoSpaceDE w:val="0"/>
        <w:autoSpaceDN w:val="0"/>
        <w:adjustRightInd w:val="0"/>
        <w:spacing w:before="0" w:after="0"/>
        <w:rPr>
          <w:rFonts w:cs="Tahoma"/>
          <w:szCs w:val="20"/>
        </w:rPr>
      </w:pPr>
    </w:p>
    <w:p w14:paraId="522BF561"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Sensitivity, specificity (confirmed by reference</w:t>
      </w:r>
      <w:r>
        <w:rPr>
          <w:rFonts w:cs="Tahoma"/>
          <w:szCs w:val="20"/>
        </w:rPr>
        <w:t xml:space="preserve"> </w:t>
      </w:r>
      <w:r w:rsidRPr="00774EFE">
        <w:rPr>
          <w:rFonts w:cs="Tahoma"/>
          <w:szCs w:val="20"/>
        </w:rPr>
        <w:t>standard)</w:t>
      </w:r>
    </w:p>
    <w:p w14:paraId="522BF562"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Positive likelihood ratio, negative likelihood</w:t>
      </w:r>
      <w:r>
        <w:rPr>
          <w:rFonts w:cs="Tahoma"/>
          <w:szCs w:val="20"/>
        </w:rPr>
        <w:t xml:space="preserve"> </w:t>
      </w:r>
      <w:r w:rsidRPr="00774EFE">
        <w:rPr>
          <w:rFonts w:cs="Tahoma"/>
          <w:szCs w:val="20"/>
        </w:rPr>
        <w:t>ratio (confirmed by reference standard)</w:t>
      </w:r>
    </w:p>
    <w:p w14:paraId="522BF563"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 xml:space="preserve">ROC curves </w:t>
      </w:r>
    </w:p>
    <w:p w14:paraId="522BF564" w14:textId="77777777" w:rsidR="00541D8C"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 xml:space="preserve">Unsatisfactory </w:t>
      </w:r>
      <w:r w:rsidR="00210DBF">
        <w:rPr>
          <w:rFonts w:cs="Tahoma"/>
          <w:szCs w:val="20"/>
        </w:rPr>
        <w:t>uninterpretable</w:t>
      </w:r>
      <w:r w:rsidRPr="00774EFE">
        <w:rPr>
          <w:rFonts w:cs="Tahoma"/>
          <w:szCs w:val="20"/>
        </w:rPr>
        <w:t xml:space="preserve"> test results</w:t>
      </w:r>
    </w:p>
    <w:p w14:paraId="522BF565" w14:textId="77777777" w:rsidR="00774EFE" w:rsidRPr="00774EFE" w:rsidRDefault="00774EFE" w:rsidP="00774EFE">
      <w:pPr>
        <w:pStyle w:val="ListParagraph"/>
        <w:autoSpaceDE w:val="0"/>
        <w:autoSpaceDN w:val="0"/>
        <w:adjustRightInd w:val="0"/>
        <w:spacing w:before="0" w:after="0"/>
        <w:rPr>
          <w:rFonts w:cs="Tahoma"/>
          <w:szCs w:val="20"/>
        </w:rPr>
      </w:pPr>
    </w:p>
    <w:p w14:paraId="522BF566" w14:textId="77777777" w:rsidR="00774EFE" w:rsidRPr="00774EFE" w:rsidRDefault="00774EFE" w:rsidP="00774EFE">
      <w:pPr>
        <w:autoSpaceDE w:val="0"/>
        <w:autoSpaceDN w:val="0"/>
        <w:adjustRightInd w:val="0"/>
        <w:spacing w:before="0" w:after="0"/>
        <w:rPr>
          <w:rFonts w:cs="Tahoma"/>
          <w:i/>
          <w:szCs w:val="20"/>
        </w:rPr>
      </w:pPr>
      <w:r w:rsidRPr="00774EFE">
        <w:rPr>
          <w:rFonts w:cs="Tahoma"/>
          <w:i/>
          <w:szCs w:val="20"/>
        </w:rPr>
        <w:t>Change in management (Therapeutic efficacy)</w:t>
      </w:r>
    </w:p>
    <w:p w14:paraId="522BF567" w14:textId="77777777" w:rsidR="00774EFE" w:rsidRPr="00774EFE" w:rsidRDefault="00774EFE" w:rsidP="00774EFE">
      <w:pPr>
        <w:autoSpaceDE w:val="0"/>
        <w:autoSpaceDN w:val="0"/>
        <w:adjustRightInd w:val="0"/>
        <w:spacing w:before="0" w:after="0"/>
        <w:rPr>
          <w:rFonts w:cs="Tahoma"/>
          <w:szCs w:val="20"/>
        </w:rPr>
      </w:pPr>
    </w:p>
    <w:p w14:paraId="522BF568" w14:textId="77777777" w:rsidR="00541D8C"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 xml:space="preserve">Change in treatment pathway (initiated, ceased, modified, avoided) – prevention of inappropriate intervention/reduced number in repeat surgery </w:t>
      </w:r>
    </w:p>
    <w:p w14:paraId="522BF569"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Avoidance of liver biopsy</w:t>
      </w:r>
    </w:p>
    <w:p w14:paraId="522BF56A" w14:textId="77777777" w:rsidR="00774EFE" w:rsidRP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Avoidance of follow-up multi-phase CT imaging</w:t>
      </w:r>
    </w:p>
    <w:p w14:paraId="522BF56B" w14:textId="77777777" w:rsidR="00774EFE" w:rsidRPr="00774EFE" w:rsidRDefault="00774EFE" w:rsidP="00774EFE">
      <w:r w:rsidRPr="00774EFE">
        <w:rPr>
          <w:i/>
        </w:rPr>
        <w:t>Health outcomes</w:t>
      </w:r>
      <w:r w:rsidRPr="00774EFE">
        <w:t xml:space="preserve"> (in the absence of direct evidence on health outcomes, linked evi</w:t>
      </w:r>
      <w:r w:rsidR="00946799">
        <w:t>dence approach to assess</w:t>
      </w:r>
      <w:r w:rsidRPr="00774EFE">
        <w:t xml:space="preserve"> the indirect impact of MRI on health outcomes will be attempted as per Investigative Guidelines</w:t>
      </w:r>
      <w:r w:rsidR="00946799">
        <w:t>)</w:t>
      </w:r>
    </w:p>
    <w:p w14:paraId="522BF56C"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Liver disease-specific mortality rate</w:t>
      </w:r>
    </w:p>
    <w:p w14:paraId="522BF56D" w14:textId="77777777" w:rsidR="00774EFE" w:rsidRDefault="00774EFE" w:rsidP="00774EFE">
      <w:pPr>
        <w:pStyle w:val="ListParagraph"/>
        <w:numPr>
          <w:ilvl w:val="0"/>
          <w:numId w:val="37"/>
        </w:numPr>
        <w:autoSpaceDE w:val="0"/>
        <w:autoSpaceDN w:val="0"/>
        <w:adjustRightInd w:val="0"/>
        <w:spacing w:before="0" w:after="0"/>
        <w:rPr>
          <w:rFonts w:cs="Tahoma"/>
          <w:szCs w:val="20"/>
        </w:rPr>
      </w:pPr>
      <w:r>
        <w:rPr>
          <w:rFonts w:cs="Tahoma"/>
          <w:szCs w:val="20"/>
        </w:rPr>
        <w:lastRenderedPageBreak/>
        <w:t xml:space="preserve">Overall Survival </w:t>
      </w:r>
    </w:p>
    <w:p w14:paraId="522BF56E"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Time to initial diagnosis</w:t>
      </w:r>
    </w:p>
    <w:p w14:paraId="522BF56F" w14:textId="77777777" w:rsid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Time from diagnosis to treatment</w:t>
      </w:r>
    </w:p>
    <w:p w14:paraId="522BF570" w14:textId="77777777" w:rsidR="00774EFE" w:rsidRPr="00774EFE" w:rsidRDefault="00774EFE" w:rsidP="00774EFE">
      <w:pPr>
        <w:pStyle w:val="ListParagraph"/>
        <w:numPr>
          <w:ilvl w:val="0"/>
          <w:numId w:val="37"/>
        </w:numPr>
        <w:autoSpaceDE w:val="0"/>
        <w:autoSpaceDN w:val="0"/>
        <w:adjustRightInd w:val="0"/>
        <w:spacing w:before="0" w:after="0"/>
        <w:rPr>
          <w:rFonts w:cs="Tahoma"/>
          <w:szCs w:val="20"/>
        </w:rPr>
      </w:pPr>
      <w:r w:rsidRPr="00774EFE">
        <w:rPr>
          <w:rFonts w:cs="Tahoma"/>
          <w:szCs w:val="20"/>
        </w:rPr>
        <w:t>Quality of life scores</w:t>
      </w:r>
    </w:p>
    <w:p w14:paraId="522BF571" w14:textId="77777777" w:rsidR="00774EFE" w:rsidRDefault="00774EFE" w:rsidP="00092580">
      <w:pPr>
        <w:pStyle w:val="Heading1"/>
        <w:rPr>
          <w:b/>
          <w:sz w:val="32"/>
        </w:rPr>
      </w:pPr>
    </w:p>
    <w:p w14:paraId="522BF57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22BF573"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22BF574" w14:textId="77777777" w:rsidR="006C74B1" w:rsidRPr="00154B00" w:rsidRDefault="007B1EF4" w:rsidP="00AE1188">
      <w:pPr>
        <w:ind w:left="426"/>
        <w:rPr>
          <w:szCs w:val="20"/>
        </w:rPr>
      </w:pPr>
      <w:r>
        <w:t xml:space="preserve">This has been covered in the previous submission </w:t>
      </w:r>
    </w:p>
    <w:p w14:paraId="522BF575" w14:textId="77777777" w:rsidR="00382407"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522BF576" w14:textId="77777777" w:rsidR="00312BEF" w:rsidRDefault="00312BEF" w:rsidP="00312BEF">
      <w:pPr>
        <w:ind w:left="360"/>
      </w:pPr>
      <w:r>
        <w:t>Once</w:t>
      </w:r>
      <w:r w:rsidR="002570A5">
        <w:t xml:space="preserve"> for vast majority of patients </w:t>
      </w:r>
    </w:p>
    <w:p w14:paraId="522BF577" w14:textId="77777777" w:rsidR="002570A5" w:rsidRPr="002570A5" w:rsidRDefault="002570A5" w:rsidP="002570A5">
      <w:pPr>
        <w:autoSpaceDE w:val="0"/>
        <w:autoSpaceDN w:val="0"/>
        <w:adjustRightInd w:val="0"/>
        <w:spacing w:before="0" w:after="0"/>
        <w:ind w:left="360"/>
        <w:rPr>
          <w:rFonts w:cs="Garamond"/>
          <w:szCs w:val="20"/>
        </w:rPr>
      </w:pPr>
      <w:r w:rsidRPr="002570A5">
        <w:rPr>
          <w:rFonts w:cs="Garamond"/>
          <w:szCs w:val="20"/>
        </w:rPr>
        <w:t>Follow-up MRI may be required for a minority of patients, for example when there is a time delay between the initial MRI scan and resection of a lesion (for example where surgery has been delayed by chemotherapy and an up to-date scan is required) and when patients have a hepatocellular carcinoma (HCC) that can only be seen on MRI and requires MRI for follow-up.</w:t>
      </w:r>
    </w:p>
    <w:p w14:paraId="522BF57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22BF579" w14:textId="77777777" w:rsidR="00382407" w:rsidRDefault="007B1EF4" w:rsidP="00AE1188">
      <w:pPr>
        <w:ind w:left="426"/>
      </w:pPr>
      <w:r>
        <w:t>N/A</w:t>
      </w:r>
    </w:p>
    <w:p w14:paraId="522BF57A" w14:textId="77777777" w:rsidR="002570A5" w:rsidRPr="00154B00" w:rsidRDefault="002570A5" w:rsidP="00AE1188">
      <w:pPr>
        <w:ind w:left="426"/>
        <w:rPr>
          <w:b/>
          <w:szCs w:val="20"/>
        </w:rPr>
      </w:pPr>
    </w:p>
    <w:p w14:paraId="522BF57B" w14:textId="77777777" w:rsidR="00774EFE" w:rsidRPr="00774EFE" w:rsidRDefault="000E47E7" w:rsidP="00774EFE">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22BF57C" w14:textId="77777777" w:rsidR="00312BEF" w:rsidRPr="00312BEF" w:rsidRDefault="00312BEF" w:rsidP="00312BEF">
      <w:pPr>
        <w:pStyle w:val="Heading2"/>
        <w:numPr>
          <w:ilvl w:val="0"/>
          <w:numId w:val="0"/>
        </w:numPr>
        <w:ind w:left="360"/>
        <w:rPr>
          <w:b w:val="0"/>
        </w:rPr>
      </w:pPr>
      <w:r w:rsidRPr="00312BEF">
        <w:rPr>
          <w:b w:val="0"/>
        </w:rPr>
        <w:t>This will be elaborated further in the assessment report. Because of the further narrowing of the populations compared to the previous submission</w:t>
      </w:r>
      <w:r w:rsidR="00790743">
        <w:rPr>
          <w:b w:val="0"/>
        </w:rPr>
        <w:t>,</w:t>
      </w:r>
      <w:r w:rsidRPr="00312BEF">
        <w:rPr>
          <w:b w:val="0"/>
        </w:rPr>
        <w:t xml:space="preserve"> it is anticipated that the estimated utilisation will be slightly less than estimated in the original assessment report </w:t>
      </w:r>
    </w:p>
    <w:p w14:paraId="522BF57D" w14:textId="77777777" w:rsidR="00312BEF" w:rsidRPr="00312BEF" w:rsidRDefault="00312BEF" w:rsidP="00312BEF">
      <w:pPr>
        <w:pStyle w:val="Heading2"/>
        <w:numPr>
          <w:ilvl w:val="0"/>
          <w:numId w:val="0"/>
        </w:numPr>
        <w:ind w:left="360"/>
        <w:rPr>
          <w:b w:val="0"/>
        </w:rPr>
      </w:pPr>
    </w:p>
    <w:p w14:paraId="522BF57E"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22BF57F" w14:textId="77777777" w:rsidR="00312BEF" w:rsidRDefault="00312BEF" w:rsidP="00AE1188">
      <w:pPr>
        <w:ind w:left="426"/>
      </w:pPr>
      <w:r>
        <w:t xml:space="preserve">Given that liver MRI is already commonly ordered on this group of patients in highly specialised settings, specialists are already familiar with the requesting liver MRI. The risk of leakage to populations not targeted by the service is now diminished compared to previous submission because of the tighter definitions around which patient groups will be eligible.  </w:t>
      </w:r>
    </w:p>
    <w:p w14:paraId="522BF580" w14:textId="77777777" w:rsidR="001B171D" w:rsidRPr="00312BEF" w:rsidRDefault="00312BEF" w:rsidP="00AE1188">
      <w:pPr>
        <w:ind w:left="426"/>
        <w:rPr>
          <w:szCs w:val="20"/>
        </w:rPr>
      </w:pPr>
      <w:r w:rsidRPr="00312BEF">
        <w:rPr>
          <w:szCs w:val="20"/>
        </w:rPr>
        <w:t xml:space="preserve">The previous submission </w:t>
      </w:r>
      <w:r>
        <w:rPr>
          <w:szCs w:val="20"/>
        </w:rPr>
        <w:t>also requested a</w:t>
      </w:r>
      <w:r w:rsidRPr="00312BEF">
        <w:rPr>
          <w:szCs w:val="20"/>
        </w:rPr>
        <w:t xml:space="preserve"> liver MRI item </w:t>
      </w:r>
      <w:r>
        <w:rPr>
          <w:szCs w:val="20"/>
        </w:rPr>
        <w:t xml:space="preserve">be created </w:t>
      </w:r>
      <w:r w:rsidRPr="00312BEF">
        <w:rPr>
          <w:szCs w:val="20"/>
        </w:rPr>
        <w:t>for GP referral</w:t>
      </w:r>
      <w:r w:rsidR="00210DBF">
        <w:rPr>
          <w:szCs w:val="20"/>
        </w:rPr>
        <w:t xml:space="preserve"> (suggested at one of the early MSAC process meetings)</w:t>
      </w:r>
      <w:r w:rsidRPr="00312BEF">
        <w:rPr>
          <w:szCs w:val="20"/>
        </w:rPr>
        <w:t xml:space="preserve"> but this resubmission is focused specialist referral only.</w:t>
      </w:r>
      <w:r w:rsidR="00210DBF">
        <w:rPr>
          <w:szCs w:val="20"/>
        </w:rPr>
        <w:t xml:space="preserve"> </w:t>
      </w:r>
    </w:p>
    <w:p w14:paraId="522BF581" w14:textId="77777777" w:rsidR="003433D1" w:rsidRDefault="003433D1">
      <w:pPr>
        <w:rPr>
          <w:b/>
          <w:sz w:val="32"/>
          <w:szCs w:val="32"/>
        </w:rPr>
      </w:pPr>
      <w:r>
        <w:rPr>
          <w:b/>
          <w:sz w:val="32"/>
          <w:szCs w:val="32"/>
        </w:rPr>
        <w:br w:type="page"/>
      </w:r>
    </w:p>
    <w:p w14:paraId="522BF582"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522BF583"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22BF584" w14:textId="77777777" w:rsidR="00951933" w:rsidRPr="00154B00" w:rsidRDefault="003443C9" w:rsidP="00AE1188">
      <w:pPr>
        <w:ind w:left="426"/>
        <w:rPr>
          <w:szCs w:val="20"/>
        </w:rPr>
      </w:pPr>
      <w:r>
        <w:t>The proposed costs of the proposed service have remain</w:t>
      </w:r>
      <w:r w:rsidR="00BA378E">
        <w:t>ed</w:t>
      </w:r>
      <w:r>
        <w:t xml:space="preserve"> unchanged since the past submission (base item + contrast item) </w:t>
      </w:r>
    </w:p>
    <w:p w14:paraId="522BF585"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22BF586" w14:textId="77777777" w:rsidR="00951933" w:rsidRDefault="003443C9" w:rsidP="00AE1188">
      <w:pPr>
        <w:ind w:left="426"/>
        <w:rPr>
          <w:b/>
          <w:szCs w:val="20"/>
        </w:rPr>
      </w:pPr>
      <w:r>
        <w:t xml:space="preserve">Already outlined in previous submission </w:t>
      </w:r>
    </w:p>
    <w:p w14:paraId="522BF587"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373ACA" w:rsidRPr="002809EC" w14:paraId="522BF589" w14:textId="77777777" w:rsidTr="00373ACA">
        <w:tc>
          <w:tcPr>
            <w:tcW w:w="9134" w:type="dxa"/>
          </w:tcPr>
          <w:p w14:paraId="522BF588" w14:textId="77777777" w:rsidR="00373ACA" w:rsidRPr="002809EC" w:rsidRDefault="00373ACA" w:rsidP="00373ACA">
            <w:pPr>
              <w:pStyle w:val="Tableheading"/>
            </w:pPr>
            <w:r w:rsidRPr="002809EC">
              <w:t>Category 5 – DIAGNOSTIC IMAGING SERVICES</w:t>
            </w:r>
          </w:p>
        </w:tc>
      </w:tr>
      <w:tr w:rsidR="00373ACA" w:rsidRPr="002809EC" w14:paraId="522BF593" w14:textId="77777777" w:rsidTr="00373ACA">
        <w:tc>
          <w:tcPr>
            <w:tcW w:w="9134" w:type="dxa"/>
          </w:tcPr>
          <w:p w14:paraId="522BF58A" w14:textId="77777777" w:rsidR="00373ACA" w:rsidRPr="002809EC" w:rsidRDefault="00373ACA" w:rsidP="00373ACA">
            <w:pPr>
              <w:pStyle w:val="Tablecontents"/>
              <w:rPr>
                <w:rFonts w:eastAsia="SimSun"/>
              </w:rPr>
            </w:pPr>
            <w:r w:rsidRPr="002809EC">
              <w:rPr>
                <w:rFonts w:eastAsia="SimSun"/>
              </w:rPr>
              <w:t>Item [proposed MBS item number 1] (specialist referral)</w:t>
            </w:r>
          </w:p>
          <w:p w14:paraId="522BF58B" w14:textId="77777777" w:rsidR="00373ACA" w:rsidRPr="002809EC" w:rsidRDefault="00373ACA" w:rsidP="00373ACA">
            <w:pPr>
              <w:pStyle w:val="Tablecontents"/>
              <w:rPr>
                <w:rFonts w:eastAsia="SimSun"/>
              </w:rPr>
            </w:pPr>
            <w:r w:rsidRPr="002809EC">
              <w:rPr>
                <w:rFonts w:eastAsia="SimSun"/>
              </w:rPr>
              <w:t xml:space="preserve">MAGNETIC RESONANCE IMAGING performed under the professional supervision of an eligible provider at an eligible location where the patient is referred by a specialist or by a consultant physician – scan of liver for: </w:t>
            </w:r>
          </w:p>
          <w:p w14:paraId="522BF58C" w14:textId="77777777" w:rsidR="00373ACA" w:rsidRPr="002809EC" w:rsidRDefault="00E3330C" w:rsidP="00373ACA">
            <w:pPr>
              <w:pStyle w:val="Tablecontents"/>
              <w:rPr>
                <w:rFonts w:eastAsia="SimSun"/>
              </w:rPr>
            </w:pPr>
            <w:r>
              <w:rPr>
                <w:rFonts w:eastAsia="SimSun"/>
              </w:rPr>
              <w:t>-</w:t>
            </w:r>
            <w:r w:rsidR="00790743">
              <w:rPr>
                <w:rFonts w:eastAsia="SimSun"/>
              </w:rPr>
              <w:t xml:space="preserve"> patients with</w:t>
            </w:r>
            <w:r>
              <w:rPr>
                <w:rFonts w:eastAsia="SimSun"/>
              </w:rPr>
              <w:t xml:space="preserve"> </w:t>
            </w:r>
            <w:r w:rsidR="00373ACA" w:rsidRPr="002809EC">
              <w:rPr>
                <w:rFonts w:eastAsia="SimSun"/>
              </w:rPr>
              <w:t xml:space="preserve">known </w:t>
            </w:r>
            <w:r>
              <w:rPr>
                <w:rFonts w:eastAsia="SimSun"/>
              </w:rPr>
              <w:t>colorectal carcinoma</w:t>
            </w:r>
            <w:r w:rsidR="00373ACA" w:rsidRPr="002809EC">
              <w:rPr>
                <w:rFonts w:eastAsia="SimSun"/>
              </w:rPr>
              <w:t xml:space="preserve"> with suspected or possible liver metastases who are being considered by a specialist for hepatic therapies (R) (Contrast), or</w:t>
            </w:r>
          </w:p>
          <w:p w14:paraId="522BF58D" w14:textId="77777777" w:rsidR="00790743" w:rsidRPr="00790743" w:rsidRDefault="00E3330C" w:rsidP="00790743">
            <w:pPr>
              <w:pStyle w:val="Tablecontents"/>
              <w:rPr>
                <w:rFonts w:eastAsia="SimSun"/>
              </w:rPr>
            </w:pPr>
            <w:r>
              <w:rPr>
                <w:rFonts w:eastAsia="SimSun"/>
              </w:rPr>
              <w:t xml:space="preserve">- </w:t>
            </w:r>
            <w:r w:rsidR="00790743" w:rsidRPr="00790743">
              <w:rPr>
                <w:rFonts w:eastAsia="SimSun"/>
              </w:rPr>
              <w:t>patients with suspected hepatocellular carcinoma (HCC) for the purposes of staging where:</w:t>
            </w:r>
          </w:p>
          <w:p w14:paraId="522BF58E" w14:textId="77777777" w:rsidR="00790743" w:rsidRPr="00790743" w:rsidRDefault="00790743" w:rsidP="00790743">
            <w:pPr>
              <w:pStyle w:val="Tablecontents"/>
              <w:ind w:left="1080"/>
              <w:rPr>
                <w:rFonts w:eastAsia="SimSun"/>
              </w:rPr>
            </w:pPr>
            <w:r>
              <w:rPr>
                <w:rFonts w:eastAsia="SimSun"/>
              </w:rPr>
              <w:t xml:space="preserve">- </w:t>
            </w:r>
            <w:r w:rsidRPr="00790743">
              <w:rPr>
                <w:rFonts w:eastAsia="SimSun"/>
              </w:rPr>
              <w:t>prior imaging in the last 12 months has identified a hepatic lesion over 10mm; or</w:t>
            </w:r>
          </w:p>
          <w:p w14:paraId="522BF58F" w14:textId="77777777" w:rsidR="00E3330C" w:rsidRPr="002809EC" w:rsidRDefault="00790743" w:rsidP="00790743">
            <w:pPr>
              <w:pStyle w:val="Tablecontents"/>
              <w:ind w:left="1080"/>
              <w:rPr>
                <w:rFonts w:eastAsia="SimSun"/>
              </w:rPr>
            </w:pPr>
            <w:r>
              <w:rPr>
                <w:rFonts w:eastAsia="SimSun"/>
              </w:rPr>
              <w:t xml:space="preserve">- </w:t>
            </w:r>
            <w:proofErr w:type="gramStart"/>
            <w:r w:rsidRPr="00790743">
              <w:rPr>
                <w:rFonts w:eastAsia="SimSun"/>
              </w:rPr>
              <w:t>the</w:t>
            </w:r>
            <w:proofErr w:type="gramEnd"/>
            <w:r w:rsidRPr="00790743">
              <w:rPr>
                <w:rFonts w:eastAsia="SimSun"/>
              </w:rPr>
              <w:t xml:space="preserve"> patient has been assessed as having a Child-Pugh class A and B liver function. </w:t>
            </w:r>
            <w:r w:rsidR="00373ACA" w:rsidRPr="002809EC">
              <w:rPr>
                <w:rFonts w:eastAsia="SimSun"/>
              </w:rPr>
              <w:t>(R) (Contrast) (</w:t>
            </w:r>
            <w:proofErr w:type="spellStart"/>
            <w:r w:rsidR="00373ACA" w:rsidRPr="002809EC">
              <w:rPr>
                <w:rFonts w:eastAsia="SimSun"/>
              </w:rPr>
              <w:t>Anaes</w:t>
            </w:r>
            <w:proofErr w:type="spellEnd"/>
            <w:r w:rsidR="00373ACA" w:rsidRPr="002809EC">
              <w:rPr>
                <w:rFonts w:eastAsia="SimSun"/>
              </w:rPr>
              <w:t xml:space="preserve">.)  </w:t>
            </w:r>
          </w:p>
          <w:p w14:paraId="522BF590" w14:textId="77777777" w:rsidR="00373ACA" w:rsidRPr="002809EC" w:rsidRDefault="00373ACA" w:rsidP="00373ACA">
            <w:pPr>
              <w:pStyle w:val="Tablecontents"/>
              <w:rPr>
                <w:rFonts w:eastAsia="SimSun"/>
              </w:rPr>
            </w:pPr>
            <w:r w:rsidRPr="002809EC">
              <w:rPr>
                <w:rFonts w:eastAsia="SimSun"/>
              </w:rPr>
              <w:t>Bulk bill incentive</w:t>
            </w:r>
          </w:p>
          <w:p w14:paraId="522BF591" w14:textId="77777777" w:rsidR="00373ACA" w:rsidRPr="002809EC" w:rsidRDefault="00373ACA" w:rsidP="00373ACA">
            <w:pPr>
              <w:pStyle w:val="Tablecontents"/>
              <w:rPr>
                <w:rFonts w:eastAsia="SimSun"/>
              </w:rPr>
            </w:pPr>
            <w:r w:rsidRPr="002809EC">
              <w:rPr>
                <w:rFonts w:eastAsia="SimSun"/>
              </w:rPr>
              <w:t>Fee: $TBA:</w:t>
            </w:r>
          </w:p>
          <w:p w14:paraId="522BF592" w14:textId="77777777" w:rsidR="00373ACA" w:rsidRPr="002809EC" w:rsidRDefault="00373ACA" w:rsidP="00373ACA">
            <w:pPr>
              <w:pStyle w:val="Tablecontents"/>
              <w:rPr>
                <w:rFonts w:eastAsia="SimSun"/>
                <w:lang w:val="en-US"/>
              </w:rPr>
            </w:pPr>
            <w:r w:rsidRPr="002809EC">
              <w:rPr>
                <w:rFonts w:eastAsia="SimSun"/>
              </w:rPr>
              <w:t xml:space="preserve"> (See para DIQ of explanatory notes to this category)</w:t>
            </w:r>
          </w:p>
        </w:tc>
      </w:tr>
      <w:tr w:rsidR="00373ACA" w:rsidRPr="002809EC" w14:paraId="522BF59A" w14:textId="77777777" w:rsidTr="00373ACA">
        <w:tc>
          <w:tcPr>
            <w:tcW w:w="9134" w:type="dxa"/>
          </w:tcPr>
          <w:p w14:paraId="522BF594" w14:textId="77777777" w:rsidR="00373ACA" w:rsidRPr="002809EC" w:rsidRDefault="003443C9" w:rsidP="00373ACA">
            <w:pPr>
              <w:pStyle w:val="Tablecontents"/>
              <w:rPr>
                <w:rFonts w:eastAsia="SimSun"/>
              </w:rPr>
            </w:pPr>
            <w:r>
              <w:rPr>
                <w:rFonts w:eastAsia="SimSun"/>
              </w:rPr>
              <w:t>Item [proposed MBS item number 2</w:t>
            </w:r>
            <w:r w:rsidR="00373ACA" w:rsidRPr="002809EC">
              <w:rPr>
                <w:rFonts w:eastAsia="SimSun"/>
              </w:rPr>
              <w:t>]</w:t>
            </w:r>
          </w:p>
          <w:p w14:paraId="522BF595" w14:textId="77777777" w:rsidR="00373ACA" w:rsidRPr="002809EC" w:rsidRDefault="00373ACA" w:rsidP="00373ACA">
            <w:pPr>
              <w:pStyle w:val="Tablecontents"/>
              <w:rPr>
                <w:rFonts w:eastAsia="SimSun"/>
              </w:rPr>
            </w:pPr>
            <w:r w:rsidRPr="002809EC">
              <w:rPr>
                <w:rFonts w:eastAsia="SimSun"/>
              </w:rPr>
              <w:t xml:space="preserve">NOTE: Benefits in Subgroup 22 are only payable for modifying items where claimed simultaneously with MRI services. Modifiers for sedation and anaesthesia may not be claimed for the same service. </w:t>
            </w:r>
          </w:p>
          <w:p w14:paraId="522BF596" w14:textId="77777777" w:rsidR="00373ACA" w:rsidRPr="002809EC" w:rsidRDefault="00373ACA" w:rsidP="00373ACA">
            <w:pPr>
              <w:pStyle w:val="Tablecontents"/>
              <w:rPr>
                <w:rFonts w:eastAsia="SimSun"/>
              </w:rPr>
            </w:pPr>
            <w:r w:rsidRPr="002809EC">
              <w:rPr>
                <w:rFonts w:eastAsia="SimSun"/>
              </w:rPr>
              <w:t xml:space="preserve">Modifying items for use with MAGNETIC RESONANCE IMAGING or MAGNETIC RESONANCE ANGIOGRAPHY performed under the professional supervision of an eligible provider at an eligible location where the service requested by a medical practitioner. Scan performed: </w:t>
            </w:r>
          </w:p>
          <w:p w14:paraId="522BF597" w14:textId="77777777" w:rsidR="00373ACA" w:rsidRPr="002809EC" w:rsidRDefault="00373ACA" w:rsidP="00373ACA">
            <w:pPr>
              <w:pStyle w:val="Tablecontents"/>
              <w:rPr>
                <w:rFonts w:eastAsia="SimSun"/>
              </w:rPr>
            </w:pPr>
            <w:r w:rsidRPr="002809EC">
              <w:rPr>
                <w:rFonts w:eastAsia="SimSun"/>
              </w:rPr>
              <w:t>- involves the use of HEPATOBILIARY SPECIFIC contrast agen</w:t>
            </w:r>
            <w:r w:rsidR="00907971">
              <w:rPr>
                <w:rFonts w:eastAsia="SimSun"/>
              </w:rPr>
              <w:t>t for [proposed MBS item number</w:t>
            </w:r>
            <w:r w:rsidRPr="002809EC">
              <w:rPr>
                <w:rFonts w:eastAsia="SimSun"/>
              </w:rPr>
              <w:t xml:space="preserve"> </w:t>
            </w:r>
            <w:r w:rsidR="00907971">
              <w:rPr>
                <w:rFonts w:eastAsia="SimSun"/>
              </w:rPr>
              <w:t>1</w:t>
            </w:r>
            <w:r w:rsidRPr="002809EC">
              <w:rPr>
                <w:rFonts w:eastAsia="SimSun"/>
              </w:rPr>
              <w:t>]</w:t>
            </w:r>
          </w:p>
          <w:p w14:paraId="522BF598" w14:textId="77777777" w:rsidR="00373ACA" w:rsidRPr="002809EC" w:rsidRDefault="00373ACA" w:rsidP="00373ACA">
            <w:pPr>
              <w:pStyle w:val="Tablecontents"/>
              <w:rPr>
                <w:rFonts w:eastAsia="SimSun"/>
              </w:rPr>
            </w:pPr>
            <w:r w:rsidRPr="002809EC">
              <w:rPr>
                <w:rFonts w:eastAsia="SimSun"/>
              </w:rPr>
              <w:t>Bulk bill incentive</w:t>
            </w:r>
          </w:p>
          <w:p w14:paraId="522BF599" w14:textId="77777777" w:rsidR="00373ACA" w:rsidRPr="002809EC" w:rsidRDefault="00373ACA" w:rsidP="00373ACA">
            <w:pPr>
              <w:pStyle w:val="Tablecontents"/>
              <w:rPr>
                <w:rFonts w:eastAsia="SimSun"/>
              </w:rPr>
            </w:pPr>
            <w:r w:rsidRPr="002809EC">
              <w:rPr>
                <w:rFonts w:eastAsia="SimSun"/>
              </w:rPr>
              <w:t>Fee: $TBA</w:t>
            </w:r>
          </w:p>
        </w:tc>
      </w:tr>
    </w:tbl>
    <w:p w14:paraId="522BF59B" w14:textId="77777777" w:rsidR="00312BEF" w:rsidRDefault="00312BEF" w:rsidP="00312BEF"/>
    <w:p w14:paraId="522BF59C" w14:textId="77777777" w:rsidR="00312BEF" w:rsidRPr="00312BEF" w:rsidRDefault="00312BEF" w:rsidP="00312BEF"/>
    <w:p w14:paraId="522BF59D" w14:textId="77777777" w:rsidR="00AE1188" w:rsidRDefault="00AE1188" w:rsidP="004A0BF4">
      <w:pPr>
        <w:pStyle w:val="Heading2"/>
        <w:numPr>
          <w:ilvl w:val="0"/>
          <w:numId w:val="0"/>
        </w:numPr>
        <w:ind w:left="360"/>
      </w:pPr>
      <w:r>
        <w:br w:type="page"/>
      </w:r>
    </w:p>
    <w:p w14:paraId="522BF59E" w14:textId="77777777" w:rsidR="00E058F2" w:rsidRPr="00C776B1" w:rsidRDefault="001B5169" w:rsidP="00AE1188">
      <w:pPr>
        <w:pStyle w:val="Heading1"/>
      </w:pPr>
      <w:r>
        <w:lastRenderedPageBreak/>
        <w:t>PART 9</w:t>
      </w:r>
      <w:r w:rsidR="00F93784">
        <w:t xml:space="preserve"> – </w:t>
      </w:r>
      <w:r w:rsidR="00E058F2" w:rsidRPr="00C776B1">
        <w:t>FEEDBACK</w:t>
      </w:r>
    </w:p>
    <w:p w14:paraId="522BF59F"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522BF5A0" w14:textId="77777777" w:rsidR="00E058F2" w:rsidRPr="00AE1188" w:rsidRDefault="00E058F2" w:rsidP="001B5169">
      <w:pPr>
        <w:pStyle w:val="Heading2"/>
      </w:pPr>
      <w:r w:rsidRPr="00AE1188">
        <w:t>How long did it take to complete the Application Form?</w:t>
      </w:r>
    </w:p>
    <w:p w14:paraId="522BF5A1" w14:textId="77777777" w:rsidR="00E058F2" w:rsidRPr="00154B00" w:rsidRDefault="00210DBF" w:rsidP="00603D04">
      <w:pPr>
        <w:ind w:left="426"/>
        <w:rPr>
          <w:szCs w:val="20"/>
        </w:rPr>
      </w:pPr>
      <w:r>
        <w:t>30 minutes</w:t>
      </w:r>
    </w:p>
    <w:p w14:paraId="522BF5A2"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522BF5A3" w14:textId="77777777" w:rsidR="00603D04" w:rsidRPr="001B29A1" w:rsidRDefault="00210DBF" w:rsidP="00603D04">
      <w:pPr>
        <w:spacing w:before="0" w:after="0"/>
        <w:ind w:left="426"/>
        <w:rPr>
          <w:szCs w:val="20"/>
        </w:rPr>
      </w:pPr>
      <w:r>
        <w:rPr>
          <w:szCs w:val="20"/>
        </w:rPr>
        <w:t>X</w:t>
      </w:r>
      <w:r w:rsidR="00603D04"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E56EE">
        <w:rPr>
          <w:szCs w:val="20"/>
        </w:rPr>
      </w:r>
      <w:r w:rsidR="00CE56EE">
        <w:rPr>
          <w:szCs w:val="20"/>
        </w:rPr>
        <w:fldChar w:fldCharType="separate"/>
      </w:r>
      <w:r w:rsidR="00603D04" w:rsidRPr="001B29A1">
        <w:rPr>
          <w:szCs w:val="20"/>
        </w:rPr>
        <w:fldChar w:fldCharType="end"/>
      </w:r>
      <w:r w:rsidR="00603D04" w:rsidRPr="001B29A1">
        <w:rPr>
          <w:szCs w:val="20"/>
        </w:rPr>
        <w:t xml:space="preserve"> </w:t>
      </w:r>
      <w:r w:rsidR="00603D04">
        <w:rPr>
          <w:szCs w:val="20"/>
        </w:rPr>
        <w:t>Yes</w:t>
      </w:r>
      <w:r w:rsidR="00603D04" w:rsidRPr="001B29A1">
        <w:rPr>
          <w:szCs w:val="20"/>
        </w:rPr>
        <w:tab/>
      </w:r>
    </w:p>
    <w:p w14:paraId="522BF5A4"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56EE">
        <w:rPr>
          <w:szCs w:val="20"/>
        </w:rPr>
      </w:r>
      <w:r w:rsidR="00CE56EE">
        <w:rPr>
          <w:szCs w:val="20"/>
        </w:rPr>
        <w:fldChar w:fldCharType="separate"/>
      </w:r>
      <w:r w:rsidRPr="001B29A1">
        <w:rPr>
          <w:szCs w:val="20"/>
        </w:rPr>
        <w:fldChar w:fldCharType="end"/>
      </w:r>
      <w:r w:rsidRPr="001B29A1">
        <w:rPr>
          <w:szCs w:val="20"/>
        </w:rPr>
        <w:t xml:space="preserve"> </w:t>
      </w:r>
      <w:r>
        <w:rPr>
          <w:szCs w:val="20"/>
        </w:rPr>
        <w:t>No</w:t>
      </w:r>
    </w:p>
    <w:p w14:paraId="522BF5A5" w14:textId="77777777" w:rsidR="003D6DE1" w:rsidRPr="00154B00" w:rsidRDefault="00603D04" w:rsidP="001B5169">
      <w:pPr>
        <w:pStyle w:val="Heading2"/>
        <w:numPr>
          <w:ilvl w:val="0"/>
          <w:numId w:val="31"/>
        </w:numPr>
      </w:pPr>
      <w:r>
        <w:t>If no, provide areas of concern:</w:t>
      </w:r>
    </w:p>
    <w:p w14:paraId="522BF5A6"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22BF5A7"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22BF5A8"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56EE">
        <w:rPr>
          <w:szCs w:val="20"/>
        </w:rPr>
      </w:r>
      <w:r w:rsidR="00CE56EE">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22BF5A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56EE">
        <w:rPr>
          <w:szCs w:val="20"/>
        </w:rPr>
      </w:r>
      <w:r w:rsidR="00CE56EE">
        <w:rPr>
          <w:szCs w:val="20"/>
        </w:rPr>
        <w:fldChar w:fldCharType="separate"/>
      </w:r>
      <w:r w:rsidRPr="001B29A1">
        <w:rPr>
          <w:szCs w:val="20"/>
        </w:rPr>
        <w:fldChar w:fldCharType="end"/>
      </w:r>
      <w:r w:rsidRPr="001B29A1">
        <w:rPr>
          <w:szCs w:val="20"/>
        </w:rPr>
        <w:t xml:space="preserve"> </w:t>
      </w:r>
      <w:r>
        <w:rPr>
          <w:szCs w:val="20"/>
        </w:rPr>
        <w:t>No</w:t>
      </w:r>
      <w:r w:rsidR="00210DBF">
        <w:rPr>
          <w:szCs w:val="20"/>
        </w:rPr>
        <w:t xml:space="preserve"> I didn’t look.</w:t>
      </w:r>
    </w:p>
    <w:p w14:paraId="522BF5AA" w14:textId="77777777" w:rsidR="003D6DE1" w:rsidRPr="00154B00" w:rsidRDefault="003D6DE1" w:rsidP="001B5169">
      <w:pPr>
        <w:pStyle w:val="Heading2"/>
        <w:numPr>
          <w:ilvl w:val="0"/>
          <w:numId w:val="32"/>
        </w:numPr>
      </w:pPr>
      <w:r>
        <w:t>If no, what areas did you find not to be useful?</w:t>
      </w:r>
    </w:p>
    <w:p w14:paraId="522BF5AB"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522BF5AC"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522BF5AD"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56EE">
        <w:rPr>
          <w:szCs w:val="20"/>
        </w:rPr>
      </w:r>
      <w:r w:rsidR="00CE56EE">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22BF5AE" w14:textId="77777777" w:rsidR="00603D04" w:rsidRPr="001B29A1" w:rsidRDefault="00210DBF" w:rsidP="00603D04">
      <w:pPr>
        <w:spacing w:before="0" w:after="0"/>
        <w:ind w:left="426"/>
        <w:rPr>
          <w:szCs w:val="20"/>
        </w:rPr>
      </w:pPr>
      <w:r>
        <w:rPr>
          <w:szCs w:val="20"/>
        </w:rPr>
        <w:t>x</w:t>
      </w:r>
      <w:r w:rsidR="00603D04"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CE56EE">
        <w:rPr>
          <w:szCs w:val="20"/>
        </w:rPr>
      </w:r>
      <w:r w:rsidR="00CE56EE">
        <w:rPr>
          <w:szCs w:val="20"/>
        </w:rPr>
        <w:fldChar w:fldCharType="separate"/>
      </w:r>
      <w:r w:rsidR="00603D04" w:rsidRPr="001B29A1">
        <w:rPr>
          <w:szCs w:val="20"/>
        </w:rPr>
        <w:fldChar w:fldCharType="end"/>
      </w:r>
      <w:r w:rsidR="00603D04" w:rsidRPr="001B29A1">
        <w:rPr>
          <w:szCs w:val="20"/>
        </w:rPr>
        <w:t xml:space="preserve"> </w:t>
      </w:r>
      <w:r w:rsidR="00603D04">
        <w:rPr>
          <w:szCs w:val="20"/>
        </w:rPr>
        <w:t>No</w:t>
      </w:r>
    </w:p>
    <w:p w14:paraId="522BF5AF" w14:textId="77777777" w:rsidR="001845D9" w:rsidRPr="00154B00" w:rsidRDefault="001845D9" w:rsidP="001B5169">
      <w:pPr>
        <w:pStyle w:val="Heading2"/>
        <w:numPr>
          <w:ilvl w:val="0"/>
          <w:numId w:val="33"/>
        </w:numPr>
      </w:pPr>
      <w:r w:rsidRPr="00154B00">
        <w:t>If yes, please advise:</w:t>
      </w:r>
    </w:p>
    <w:p w14:paraId="522BF5B0"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BF5B5" w14:textId="77777777" w:rsidR="00D90A32" w:rsidRDefault="00D90A32" w:rsidP="00CF2DFA">
      <w:pPr>
        <w:spacing w:after="0"/>
      </w:pPr>
      <w:r>
        <w:separator/>
      </w:r>
    </w:p>
  </w:endnote>
  <w:endnote w:type="continuationSeparator" w:id="0">
    <w:p w14:paraId="522BF5B6" w14:textId="77777777" w:rsidR="00D90A32" w:rsidRDefault="00D90A3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8093" w14:textId="77777777" w:rsidR="00CE56EE" w:rsidRDefault="00CE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22BF5B7" w14:textId="77777777" w:rsidR="00977886" w:rsidRDefault="0097788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E56EE" w:rsidRPr="00CE56EE">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22BF5B8" w14:textId="77777777" w:rsidR="00977886" w:rsidRPr="003F7CB9" w:rsidRDefault="00977886"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35" w14:textId="77777777" w:rsidR="00CE56EE" w:rsidRDefault="00CE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BF5B3" w14:textId="77777777" w:rsidR="00D90A32" w:rsidRDefault="00D90A32" w:rsidP="00CF2DFA">
      <w:pPr>
        <w:spacing w:after="0"/>
      </w:pPr>
      <w:r>
        <w:separator/>
      </w:r>
    </w:p>
  </w:footnote>
  <w:footnote w:type="continuationSeparator" w:id="0">
    <w:p w14:paraId="522BF5B4" w14:textId="77777777" w:rsidR="00D90A32" w:rsidRDefault="00D90A32"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B3D9" w14:textId="77777777" w:rsidR="00CE56EE" w:rsidRDefault="00CE5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370A5" w14:textId="77777777" w:rsidR="00CE56EE" w:rsidRDefault="00CE5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E9B5C" w14:textId="77777777" w:rsidR="00CE56EE" w:rsidRDefault="00CE5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A75A6"/>
    <w:multiLevelType w:val="hybridMultilevel"/>
    <w:tmpl w:val="87204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C690618"/>
    <w:multiLevelType w:val="hybridMultilevel"/>
    <w:tmpl w:val="BED45778"/>
    <w:lvl w:ilvl="0" w:tplc="DAE4FEA6">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89C6B4B"/>
    <w:multiLevelType w:val="hybridMultilevel"/>
    <w:tmpl w:val="F3EEA798"/>
    <w:lvl w:ilvl="0" w:tplc="A94407EA">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2D3F01"/>
    <w:multiLevelType w:val="hybridMultilevel"/>
    <w:tmpl w:val="F968B412"/>
    <w:lvl w:ilvl="0" w:tplc="2050F9AC">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4"/>
  </w:num>
  <w:num w:numId="27">
    <w:abstractNumId w:val="16"/>
  </w:num>
  <w:num w:numId="28">
    <w:abstractNumId w:val="12"/>
  </w:num>
  <w:num w:numId="29">
    <w:abstractNumId w:val="20"/>
  </w:num>
  <w:num w:numId="30">
    <w:abstractNumId w:val="3"/>
  </w:num>
  <w:num w:numId="31">
    <w:abstractNumId w:val="18"/>
  </w:num>
  <w:num w:numId="32">
    <w:abstractNumId w:val="7"/>
  </w:num>
  <w:num w:numId="33">
    <w:abstractNumId w:val="17"/>
  </w:num>
  <w:num w:numId="34">
    <w:abstractNumId w:val="6"/>
  </w:num>
  <w:num w:numId="35">
    <w:abstractNumId w:val="13"/>
  </w:num>
  <w:num w:numId="36">
    <w:abstractNumId w:val="0"/>
  </w:num>
  <w:num w:numId="37">
    <w:abstractNumId w:val="11"/>
  </w:num>
  <w:num w:numId="38">
    <w:abstractNumId w:val="22"/>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826CD"/>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2994"/>
    <w:rsid w:val="00123D10"/>
    <w:rsid w:val="00126B33"/>
    <w:rsid w:val="00126E54"/>
    <w:rsid w:val="00154B00"/>
    <w:rsid w:val="001644E9"/>
    <w:rsid w:val="001845D9"/>
    <w:rsid w:val="0018630F"/>
    <w:rsid w:val="001906CD"/>
    <w:rsid w:val="00191B99"/>
    <w:rsid w:val="00194AA1"/>
    <w:rsid w:val="00197D29"/>
    <w:rsid w:val="001A02E3"/>
    <w:rsid w:val="001A1ADF"/>
    <w:rsid w:val="001A365C"/>
    <w:rsid w:val="001B171D"/>
    <w:rsid w:val="001B29A1"/>
    <w:rsid w:val="001B5169"/>
    <w:rsid w:val="001B6164"/>
    <w:rsid w:val="001B7787"/>
    <w:rsid w:val="001D77ED"/>
    <w:rsid w:val="001E06D9"/>
    <w:rsid w:val="001E1180"/>
    <w:rsid w:val="001E23EA"/>
    <w:rsid w:val="001E6919"/>
    <w:rsid w:val="001E6958"/>
    <w:rsid w:val="001F3C8F"/>
    <w:rsid w:val="00201924"/>
    <w:rsid w:val="00202473"/>
    <w:rsid w:val="002053F2"/>
    <w:rsid w:val="00206D63"/>
    <w:rsid w:val="00210DBF"/>
    <w:rsid w:val="0021185D"/>
    <w:rsid w:val="00226777"/>
    <w:rsid w:val="00235BD1"/>
    <w:rsid w:val="00242B0E"/>
    <w:rsid w:val="00247DF0"/>
    <w:rsid w:val="00254813"/>
    <w:rsid w:val="002570A5"/>
    <w:rsid w:val="00257FF2"/>
    <w:rsid w:val="00265822"/>
    <w:rsid w:val="0027105F"/>
    <w:rsid w:val="002711FB"/>
    <w:rsid w:val="00283318"/>
    <w:rsid w:val="00285525"/>
    <w:rsid w:val="00294CD8"/>
    <w:rsid w:val="00297F30"/>
    <w:rsid w:val="002A270B"/>
    <w:rsid w:val="002A50FD"/>
    <w:rsid w:val="002A6753"/>
    <w:rsid w:val="002B28D7"/>
    <w:rsid w:val="002B48EE"/>
    <w:rsid w:val="002B7EB6"/>
    <w:rsid w:val="002C0B61"/>
    <w:rsid w:val="002C15E6"/>
    <w:rsid w:val="002C247D"/>
    <w:rsid w:val="002C3345"/>
    <w:rsid w:val="002D409A"/>
    <w:rsid w:val="002F30E7"/>
    <w:rsid w:val="00300EEB"/>
    <w:rsid w:val="003013A9"/>
    <w:rsid w:val="003020B5"/>
    <w:rsid w:val="003027BB"/>
    <w:rsid w:val="00310A10"/>
    <w:rsid w:val="00312BEF"/>
    <w:rsid w:val="00327D25"/>
    <w:rsid w:val="003319A7"/>
    <w:rsid w:val="00334FE3"/>
    <w:rsid w:val="003421AE"/>
    <w:rsid w:val="003433D1"/>
    <w:rsid w:val="003443C9"/>
    <w:rsid w:val="00344B24"/>
    <w:rsid w:val="003456B9"/>
    <w:rsid w:val="0035067D"/>
    <w:rsid w:val="00353A16"/>
    <w:rsid w:val="0035776D"/>
    <w:rsid w:val="00364FD9"/>
    <w:rsid w:val="00367C1B"/>
    <w:rsid w:val="00373ACA"/>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15C74"/>
    <w:rsid w:val="0042686A"/>
    <w:rsid w:val="0043654D"/>
    <w:rsid w:val="00451840"/>
    <w:rsid w:val="00460C9A"/>
    <w:rsid w:val="00464924"/>
    <w:rsid w:val="00466431"/>
    <w:rsid w:val="00470906"/>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1D8C"/>
    <w:rsid w:val="00544EB3"/>
    <w:rsid w:val="0054594B"/>
    <w:rsid w:val="0054749B"/>
    <w:rsid w:val="00551CC6"/>
    <w:rsid w:val="00560541"/>
    <w:rsid w:val="005672D0"/>
    <w:rsid w:val="00572CEB"/>
    <w:rsid w:val="005834C9"/>
    <w:rsid w:val="005A58BA"/>
    <w:rsid w:val="005A5D30"/>
    <w:rsid w:val="005A6AB9"/>
    <w:rsid w:val="005C333E"/>
    <w:rsid w:val="005C3AE7"/>
    <w:rsid w:val="005D0677"/>
    <w:rsid w:val="005E294C"/>
    <w:rsid w:val="005E2CE3"/>
    <w:rsid w:val="005E72B8"/>
    <w:rsid w:val="005F3F07"/>
    <w:rsid w:val="00603D04"/>
    <w:rsid w:val="00606857"/>
    <w:rsid w:val="00615F42"/>
    <w:rsid w:val="006242AE"/>
    <w:rsid w:val="00624F86"/>
    <w:rsid w:val="006258C2"/>
    <w:rsid w:val="00626365"/>
    <w:rsid w:val="00630E22"/>
    <w:rsid w:val="0064168C"/>
    <w:rsid w:val="00657B46"/>
    <w:rsid w:val="006764EC"/>
    <w:rsid w:val="00681516"/>
    <w:rsid w:val="006835FE"/>
    <w:rsid w:val="00693BFD"/>
    <w:rsid w:val="00695065"/>
    <w:rsid w:val="006A1038"/>
    <w:rsid w:val="006A649A"/>
    <w:rsid w:val="006B1B49"/>
    <w:rsid w:val="006B5D5E"/>
    <w:rsid w:val="006B6390"/>
    <w:rsid w:val="006C0356"/>
    <w:rsid w:val="006C0843"/>
    <w:rsid w:val="006C74B1"/>
    <w:rsid w:val="006E57AA"/>
    <w:rsid w:val="006F20CF"/>
    <w:rsid w:val="006F38ED"/>
    <w:rsid w:val="006F6044"/>
    <w:rsid w:val="00707D4D"/>
    <w:rsid w:val="00723503"/>
    <w:rsid w:val="00726027"/>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4EFE"/>
    <w:rsid w:val="0077789B"/>
    <w:rsid w:val="00780D29"/>
    <w:rsid w:val="00790743"/>
    <w:rsid w:val="00791C8D"/>
    <w:rsid w:val="00794181"/>
    <w:rsid w:val="007A7F6F"/>
    <w:rsid w:val="007B1EF4"/>
    <w:rsid w:val="007B4C76"/>
    <w:rsid w:val="007C2260"/>
    <w:rsid w:val="007D1E52"/>
    <w:rsid w:val="007D2358"/>
    <w:rsid w:val="007E39E4"/>
    <w:rsid w:val="007E6FB3"/>
    <w:rsid w:val="007F21B4"/>
    <w:rsid w:val="00802553"/>
    <w:rsid w:val="00803EAB"/>
    <w:rsid w:val="008046B5"/>
    <w:rsid w:val="00806AAC"/>
    <w:rsid w:val="008127C0"/>
    <w:rsid w:val="00812EDD"/>
    <w:rsid w:val="008139C5"/>
    <w:rsid w:val="0081650F"/>
    <w:rsid w:val="00832B31"/>
    <w:rsid w:val="008403E0"/>
    <w:rsid w:val="0084657B"/>
    <w:rsid w:val="008533DC"/>
    <w:rsid w:val="00855944"/>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8E78B9"/>
    <w:rsid w:val="0090543D"/>
    <w:rsid w:val="009056C5"/>
    <w:rsid w:val="00907971"/>
    <w:rsid w:val="009262F2"/>
    <w:rsid w:val="00937791"/>
    <w:rsid w:val="00946799"/>
    <w:rsid w:val="00951933"/>
    <w:rsid w:val="00954343"/>
    <w:rsid w:val="00955271"/>
    <w:rsid w:val="00963C9C"/>
    <w:rsid w:val="00965B6B"/>
    <w:rsid w:val="00971EDB"/>
    <w:rsid w:val="00974D50"/>
    <w:rsid w:val="00977886"/>
    <w:rsid w:val="00987ABE"/>
    <w:rsid w:val="00991EE4"/>
    <w:rsid w:val="009939DC"/>
    <w:rsid w:val="00993B9C"/>
    <w:rsid w:val="009B4E1E"/>
    <w:rsid w:val="009C03FB"/>
    <w:rsid w:val="009C4B4F"/>
    <w:rsid w:val="009F0C02"/>
    <w:rsid w:val="009F5758"/>
    <w:rsid w:val="00A0283F"/>
    <w:rsid w:val="00A04F4A"/>
    <w:rsid w:val="00A26343"/>
    <w:rsid w:val="00A408B5"/>
    <w:rsid w:val="00A40C99"/>
    <w:rsid w:val="00A529E2"/>
    <w:rsid w:val="00A539F8"/>
    <w:rsid w:val="00A55266"/>
    <w:rsid w:val="00A6491A"/>
    <w:rsid w:val="00A6594E"/>
    <w:rsid w:val="00A727B6"/>
    <w:rsid w:val="00A81CC6"/>
    <w:rsid w:val="00A83EC6"/>
    <w:rsid w:val="00A8732C"/>
    <w:rsid w:val="00A9062D"/>
    <w:rsid w:val="00A93F58"/>
    <w:rsid w:val="00A96329"/>
    <w:rsid w:val="00AA134B"/>
    <w:rsid w:val="00AA2CFE"/>
    <w:rsid w:val="00AA5FDA"/>
    <w:rsid w:val="00AA6291"/>
    <w:rsid w:val="00AA7F93"/>
    <w:rsid w:val="00AC0C91"/>
    <w:rsid w:val="00AD37D4"/>
    <w:rsid w:val="00AD7986"/>
    <w:rsid w:val="00AD7EE3"/>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5965"/>
    <w:rsid w:val="00B771AD"/>
    <w:rsid w:val="00B814CB"/>
    <w:rsid w:val="00BA0CF8"/>
    <w:rsid w:val="00BA1ADF"/>
    <w:rsid w:val="00BA378E"/>
    <w:rsid w:val="00BA51FC"/>
    <w:rsid w:val="00BB003A"/>
    <w:rsid w:val="00BB3358"/>
    <w:rsid w:val="00BB3382"/>
    <w:rsid w:val="00BB3643"/>
    <w:rsid w:val="00BC3DA0"/>
    <w:rsid w:val="00BC424B"/>
    <w:rsid w:val="00BE0FDE"/>
    <w:rsid w:val="00BF6AC5"/>
    <w:rsid w:val="00C01121"/>
    <w:rsid w:val="00C030A5"/>
    <w:rsid w:val="00C051DD"/>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655BB"/>
    <w:rsid w:val="00C73B62"/>
    <w:rsid w:val="00C776B1"/>
    <w:rsid w:val="00C815FE"/>
    <w:rsid w:val="00C847AE"/>
    <w:rsid w:val="00C967B2"/>
    <w:rsid w:val="00CA04C6"/>
    <w:rsid w:val="00CA26DD"/>
    <w:rsid w:val="00CB12EC"/>
    <w:rsid w:val="00CC09D7"/>
    <w:rsid w:val="00CC12B8"/>
    <w:rsid w:val="00CD22E3"/>
    <w:rsid w:val="00CD4E44"/>
    <w:rsid w:val="00CD5AE4"/>
    <w:rsid w:val="00CD7A7D"/>
    <w:rsid w:val="00CE56EE"/>
    <w:rsid w:val="00CF2D8E"/>
    <w:rsid w:val="00CF2DFA"/>
    <w:rsid w:val="00CF5AD8"/>
    <w:rsid w:val="00D00122"/>
    <w:rsid w:val="00D01D2A"/>
    <w:rsid w:val="00D10B47"/>
    <w:rsid w:val="00D11EB1"/>
    <w:rsid w:val="00D17F17"/>
    <w:rsid w:val="00D23597"/>
    <w:rsid w:val="00D30BDC"/>
    <w:rsid w:val="00D334FB"/>
    <w:rsid w:val="00D42B9F"/>
    <w:rsid w:val="00D57F88"/>
    <w:rsid w:val="00D7105C"/>
    <w:rsid w:val="00D73646"/>
    <w:rsid w:val="00D777B4"/>
    <w:rsid w:val="00D77A90"/>
    <w:rsid w:val="00D8360B"/>
    <w:rsid w:val="00D85676"/>
    <w:rsid w:val="00D90A32"/>
    <w:rsid w:val="00D96ADA"/>
    <w:rsid w:val="00DA2886"/>
    <w:rsid w:val="00DA5E50"/>
    <w:rsid w:val="00DA7D0C"/>
    <w:rsid w:val="00DB311C"/>
    <w:rsid w:val="00DB432D"/>
    <w:rsid w:val="00DB519B"/>
    <w:rsid w:val="00DC7694"/>
    <w:rsid w:val="00DC7FBE"/>
    <w:rsid w:val="00DD130E"/>
    <w:rsid w:val="00DD308E"/>
    <w:rsid w:val="00DE1DF7"/>
    <w:rsid w:val="00DF0C51"/>
    <w:rsid w:val="00DF0D47"/>
    <w:rsid w:val="00DF1652"/>
    <w:rsid w:val="00DF6D37"/>
    <w:rsid w:val="00E048ED"/>
    <w:rsid w:val="00E04FB3"/>
    <w:rsid w:val="00E058F2"/>
    <w:rsid w:val="00E05D9C"/>
    <w:rsid w:val="00E06102"/>
    <w:rsid w:val="00E20EBE"/>
    <w:rsid w:val="00E23E71"/>
    <w:rsid w:val="00E30F19"/>
    <w:rsid w:val="00E3330C"/>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C127A"/>
    <w:rsid w:val="00EC1FF9"/>
    <w:rsid w:val="00EC2737"/>
    <w:rsid w:val="00EE2716"/>
    <w:rsid w:val="00EE6450"/>
    <w:rsid w:val="00F01C2C"/>
    <w:rsid w:val="00F10ED8"/>
    <w:rsid w:val="00F222BE"/>
    <w:rsid w:val="00F24179"/>
    <w:rsid w:val="00F301F1"/>
    <w:rsid w:val="00F30C22"/>
    <w:rsid w:val="00F33F1A"/>
    <w:rsid w:val="00F40759"/>
    <w:rsid w:val="00F517F4"/>
    <w:rsid w:val="00F547F7"/>
    <w:rsid w:val="00F54CCF"/>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D464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2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624F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 heading"/>
    <w:basedOn w:val="Normal"/>
    <w:link w:val="TableheadingChar"/>
    <w:qFormat/>
    <w:rsid w:val="00373ACA"/>
    <w:pPr>
      <w:tabs>
        <w:tab w:val="left" w:pos="2835"/>
      </w:tabs>
      <w:spacing w:before="40" w:after="0" w:line="276" w:lineRule="auto"/>
    </w:pPr>
    <w:rPr>
      <w:rFonts w:ascii="Arial Narrow" w:eastAsia="SimSun" w:hAnsi="Arial Narrow" w:cs="Tahoma"/>
      <w:b/>
      <w:sz w:val="18"/>
      <w:szCs w:val="18"/>
      <w:lang w:val="en-US" w:eastAsia="zh-CN"/>
    </w:rPr>
  </w:style>
  <w:style w:type="character" w:customStyle="1" w:styleId="TableheadingChar">
    <w:name w:val="Table heading Char"/>
    <w:basedOn w:val="DefaultParagraphFont"/>
    <w:link w:val="Tableheading"/>
    <w:rsid w:val="00373ACA"/>
    <w:rPr>
      <w:rFonts w:ascii="Arial Narrow" w:eastAsia="SimSun" w:hAnsi="Arial Narrow" w:cs="Tahoma"/>
      <w:b/>
      <w:sz w:val="18"/>
      <w:szCs w:val="18"/>
      <w:lang w:val="en-US" w:eastAsia="zh-CN"/>
    </w:rPr>
  </w:style>
  <w:style w:type="paragraph" w:customStyle="1" w:styleId="Tablecontents">
    <w:name w:val="Table contents"/>
    <w:basedOn w:val="Normal"/>
    <w:link w:val="TablecontentsChar"/>
    <w:qFormat/>
    <w:rsid w:val="00373ACA"/>
    <w:pPr>
      <w:spacing w:after="0" w:line="276" w:lineRule="auto"/>
    </w:pPr>
    <w:rPr>
      <w:rFonts w:ascii="Arial Narrow" w:eastAsia="Times New Roman" w:hAnsi="Arial Narrow" w:cs="Calibri"/>
      <w:sz w:val="18"/>
      <w:szCs w:val="18"/>
      <w:lang w:eastAsia="zh-CN"/>
    </w:rPr>
  </w:style>
  <w:style w:type="character" w:customStyle="1" w:styleId="TablecontentsChar">
    <w:name w:val="Table contents Char"/>
    <w:basedOn w:val="DefaultParagraphFont"/>
    <w:link w:val="Tablecontents"/>
    <w:rsid w:val="00373ACA"/>
    <w:rPr>
      <w:rFonts w:ascii="Arial Narrow" w:eastAsia="Times New Roman" w:hAnsi="Arial Narrow" w:cs="Calibri"/>
      <w:sz w:val="18"/>
      <w:szCs w:val="18"/>
      <w:lang w:eastAsia="zh-CN"/>
    </w:rPr>
  </w:style>
  <w:style w:type="character" w:styleId="HTMLCite">
    <w:name w:val="HTML Cite"/>
    <w:basedOn w:val="DefaultParagraphFont"/>
    <w:uiPriority w:val="99"/>
    <w:semiHidden/>
    <w:unhideWhenUsed/>
    <w:rsid w:val="00806AAC"/>
    <w:rPr>
      <w:i/>
      <w:iCs/>
    </w:rPr>
  </w:style>
  <w:style w:type="paragraph" w:styleId="PlainText">
    <w:name w:val="Plain Text"/>
    <w:basedOn w:val="Normal"/>
    <w:link w:val="PlainTextChar"/>
    <w:uiPriority w:val="99"/>
    <w:semiHidden/>
    <w:unhideWhenUsed/>
    <w:rsid w:val="00977886"/>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97788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624F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 heading"/>
    <w:basedOn w:val="Normal"/>
    <w:link w:val="TableheadingChar"/>
    <w:qFormat/>
    <w:rsid w:val="00373ACA"/>
    <w:pPr>
      <w:tabs>
        <w:tab w:val="left" w:pos="2835"/>
      </w:tabs>
      <w:spacing w:before="40" w:after="0" w:line="276" w:lineRule="auto"/>
    </w:pPr>
    <w:rPr>
      <w:rFonts w:ascii="Arial Narrow" w:eastAsia="SimSun" w:hAnsi="Arial Narrow" w:cs="Tahoma"/>
      <w:b/>
      <w:sz w:val="18"/>
      <w:szCs w:val="18"/>
      <w:lang w:val="en-US" w:eastAsia="zh-CN"/>
    </w:rPr>
  </w:style>
  <w:style w:type="character" w:customStyle="1" w:styleId="TableheadingChar">
    <w:name w:val="Table heading Char"/>
    <w:basedOn w:val="DefaultParagraphFont"/>
    <w:link w:val="Tableheading"/>
    <w:rsid w:val="00373ACA"/>
    <w:rPr>
      <w:rFonts w:ascii="Arial Narrow" w:eastAsia="SimSun" w:hAnsi="Arial Narrow" w:cs="Tahoma"/>
      <w:b/>
      <w:sz w:val="18"/>
      <w:szCs w:val="18"/>
      <w:lang w:val="en-US" w:eastAsia="zh-CN"/>
    </w:rPr>
  </w:style>
  <w:style w:type="paragraph" w:customStyle="1" w:styleId="Tablecontents">
    <w:name w:val="Table contents"/>
    <w:basedOn w:val="Normal"/>
    <w:link w:val="TablecontentsChar"/>
    <w:qFormat/>
    <w:rsid w:val="00373ACA"/>
    <w:pPr>
      <w:spacing w:after="0" w:line="276" w:lineRule="auto"/>
    </w:pPr>
    <w:rPr>
      <w:rFonts w:ascii="Arial Narrow" w:eastAsia="Times New Roman" w:hAnsi="Arial Narrow" w:cs="Calibri"/>
      <w:sz w:val="18"/>
      <w:szCs w:val="18"/>
      <w:lang w:eastAsia="zh-CN"/>
    </w:rPr>
  </w:style>
  <w:style w:type="character" w:customStyle="1" w:styleId="TablecontentsChar">
    <w:name w:val="Table contents Char"/>
    <w:basedOn w:val="DefaultParagraphFont"/>
    <w:link w:val="Tablecontents"/>
    <w:rsid w:val="00373ACA"/>
    <w:rPr>
      <w:rFonts w:ascii="Arial Narrow" w:eastAsia="Times New Roman" w:hAnsi="Arial Narrow" w:cs="Calibri"/>
      <w:sz w:val="18"/>
      <w:szCs w:val="18"/>
      <w:lang w:eastAsia="zh-CN"/>
    </w:rPr>
  </w:style>
  <w:style w:type="character" w:styleId="HTMLCite">
    <w:name w:val="HTML Cite"/>
    <w:basedOn w:val="DefaultParagraphFont"/>
    <w:uiPriority w:val="99"/>
    <w:semiHidden/>
    <w:unhideWhenUsed/>
    <w:rsid w:val="00806AAC"/>
    <w:rPr>
      <w:i/>
      <w:iCs/>
    </w:rPr>
  </w:style>
  <w:style w:type="paragraph" w:styleId="PlainText">
    <w:name w:val="Plain Text"/>
    <w:basedOn w:val="Normal"/>
    <w:link w:val="PlainTextChar"/>
    <w:uiPriority w:val="99"/>
    <w:semiHidden/>
    <w:unhideWhenUsed/>
    <w:rsid w:val="00977886"/>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9778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61968333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ta@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02CC-5CEC-4049-A7CE-AE1D647A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
  <cp:lastModifiedBy/>
  <cp:revision>1</cp:revision>
  <dcterms:created xsi:type="dcterms:W3CDTF">2017-02-28T00:53:00Z</dcterms:created>
  <dcterms:modified xsi:type="dcterms:W3CDTF">2017-02-28T00:54:00Z</dcterms:modified>
</cp:coreProperties>
</file>