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6ADAA4B7" wp14:editId="60EDE52F">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707064" w:rsidRDefault="00B67CBD" w:rsidP="00B67CBD">
      <w:pPr>
        <w:jc w:val="center"/>
        <w:rPr>
          <w:szCs w:val="24"/>
        </w:rPr>
      </w:pPr>
      <w:r>
        <w:rPr>
          <w:rFonts w:ascii="Arial" w:hAnsi="Arial" w:cs="Arial"/>
          <w:b/>
          <w:bCs/>
          <w:i/>
          <w:color w:val="000080"/>
          <w:sz w:val="28"/>
          <w:szCs w:val="28"/>
        </w:rPr>
        <w:t>Application</w:t>
      </w:r>
      <w:r w:rsidR="00BC1364" w:rsidRPr="007B32D1">
        <w:rPr>
          <w:rFonts w:ascii="Arial" w:hAnsi="Arial" w:cs="Arial"/>
          <w:b/>
          <w:bCs/>
          <w:i/>
          <w:color w:val="000080"/>
          <w:sz w:val="28"/>
          <w:szCs w:val="28"/>
        </w:rPr>
        <w:t xml:space="preserve"> </w:t>
      </w:r>
      <w:r w:rsidRPr="00B67CBD">
        <w:rPr>
          <w:rFonts w:ascii="Arial" w:hAnsi="Arial" w:cs="Arial"/>
          <w:b/>
          <w:bCs/>
          <w:i/>
          <w:color w:val="000080"/>
          <w:sz w:val="28"/>
          <w:szCs w:val="28"/>
        </w:rPr>
        <w:t>1344 – Assessment of Foot and Ankle Services by Podiatric Surgeons (foot and ankle conditions – various)</w:t>
      </w:r>
    </w:p>
    <w:p w:rsidR="00B67CBD" w:rsidRDefault="00B67CBD" w:rsidP="00DD2858">
      <w:pPr>
        <w:rPr>
          <w:rFonts w:ascii="Arial" w:hAnsi="Arial" w:cs="Arial"/>
          <w:b/>
          <w:szCs w:val="24"/>
        </w:rPr>
      </w:pPr>
    </w:p>
    <w:p w:rsidR="00E66A20" w:rsidRDefault="00E66A20" w:rsidP="00DD2858">
      <w:pPr>
        <w:rPr>
          <w:rFonts w:ascii="Arial" w:hAnsi="Arial" w:cs="Arial"/>
          <w:b/>
          <w:szCs w:val="24"/>
        </w:rPr>
      </w:pPr>
    </w:p>
    <w:p w:rsidR="00BC1364" w:rsidRPr="00D90A38" w:rsidRDefault="00B35595" w:rsidP="00035130">
      <w:pPr>
        <w:tabs>
          <w:tab w:val="left" w:pos="3686"/>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035130" w:rsidRPr="00D90A38" w:rsidDel="00D704E3">
        <w:rPr>
          <w:rFonts w:ascii="Arial" w:hAnsi="Arial" w:cs="Arial"/>
          <w:b/>
          <w:szCs w:val="24"/>
        </w:rPr>
        <w:t xml:space="preserve"> </w:t>
      </w:r>
      <w:r w:rsidR="00035130">
        <w:rPr>
          <w:rFonts w:ascii="Arial" w:hAnsi="Arial" w:cs="Arial"/>
          <w:b/>
          <w:szCs w:val="24"/>
        </w:rPr>
        <w:tab/>
      </w:r>
      <w:r w:rsidR="00B67CBD" w:rsidRPr="00B67CBD">
        <w:rPr>
          <w:rFonts w:ascii="Arial" w:hAnsi="Arial" w:cs="Arial"/>
          <w:b/>
          <w:szCs w:val="24"/>
        </w:rPr>
        <w:t>Australasian College of Podiatric Surgeons</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035130">
      <w:pPr>
        <w:tabs>
          <w:tab w:val="left" w:pos="3686"/>
        </w:tabs>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67CBD">
        <w:rPr>
          <w:rFonts w:ascii="Arial" w:hAnsi="Arial" w:cs="Arial"/>
          <w:b/>
          <w:szCs w:val="24"/>
        </w:rPr>
        <w:t>63</w:t>
      </w:r>
      <w:r w:rsidR="00B67CBD" w:rsidRPr="00B67CBD">
        <w:rPr>
          <w:rFonts w:ascii="Arial" w:hAnsi="Arial" w:cs="Arial"/>
          <w:b/>
          <w:szCs w:val="24"/>
          <w:vertAlign w:val="superscript"/>
        </w:rPr>
        <w:t>rd</w:t>
      </w:r>
      <w:r w:rsidR="00B67CBD">
        <w:rPr>
          <w:rFonts w:ascii="Arial" w:hAnsi="Arial" w:cs="Arial"/>
          <w:b/>
          <w:szCs w:val="24"/>
        </w:rPr>
        <w:t xml:space="preserve"> </w:t>
      </w:r>
      <w:r w:rsidRPr="00D90A38">
        <w:rPr>
          <w:rFonts w:ascii="Arial" w:hAnsi="Arial" w:cs="Arial"/>
          <w:b/>
          <w:szCs w:val="24"/>
        </w:rPr>
        <w:t xml:space="preserve">Meeting, </w:t>
      </w:r>
      <w:r w:rsidR="00B67CBD">
        <w:rPr>
          <w:rFonts w:ascii="Arial" w:hAnsi="Arial" w:cs="Arial"/>
          <w:b/>
          <w:szCs w:val="24"/>
        </w:rPr>
        <w:t>1-2 April 2015</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10" w:tooltip="Link to MSAC website" w:history="1">
        <w:r w:rsidRPr="000A74FE">
          <w:rPr>
            <w:rStyle w:val="Hyperlink"/>
            <w:szCs w:val="24"/>
          </w:rPr>
          <w:t>www.msac.gov.au</w:t>
        </w:r>
      </w:hyperlink>
    </w:p>
    <w:p w:rsidR="00F41812" w:rsidRDefault="00F41812" w:rsidP="00065623">
      <w:pPr>
        <w:rPr>
          <w:szCs w:val="24"/>
        </w:rPr>
      </w:pPr>
    </w:p>
    <w:p w:rsidR="00E66A20" w:rsidRDefault="00E66A20"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013B24" w:rsidRDefault="003D7F29" w:rsidP="00013B24">
      <w:pPr>
        <w:tabs>
          <w:tab w:val="left" w:pos="720"/>
          <w:tab w:val="left" w:pos="1140"/>
        </w:tabs>
        <w:rPr>
          <w:bCs/>
          <w:szCs w:val="24"/>
        </w:rPr>
      </w:pPr>
    </w:p>
    <w:p w:rsidR="00264381" w:rsidRPr="00264381" w:rsidRDefault="00264381" w:rsidP="00264381">
      <w:pPr>
        <w:rPr>
          <w:szCs w:val="24"/>
        </w:rPr>
      </w:pPr>
      <w:r w:rsidRPr="00264381">
        <w:rPr>
          <w:szCs w:val="24"/>
        </w:rPr>
        <w:t xml:space="preserve">An assessment report requesting access by podiatric surgeons to a set of </w:t>
      </w:r>
      <w:r w:rsidR="00A959E1" w:rsidRPr="00264381">
        <w:rPr>
          <w:szCs w:val="24"/>
        </w:rPr>
        <w:t xml:space="preserve">existing </w:t>
      </w:r>
      <w:r w:rsidRPr="00264381">
        <w:rPr>
          <w:szCs w:val="24"/>
        </w:rPr>
        <w:t>MBS-listed foot and ankle services was received from Australasian College of Podiatric Surgeons by the Department of Health in April 2014.</w:t>
      </w:r>
    </w:p>
    <w:p w:rsidR="00CA669F" w:rsidRPr="00013B24" w:rsidRDefault="00CA669F" w:rsidP="003D7F29">
      <w:pPr>
        <w:rPr>
          <w:szCs w:val="24"/>
        </w:rPr>
      </w:pPr>
    </w:p>
    <w:p w:rsidR="00E977EE" w:rsidRDefault="00E977EE" w:rsidP="00E977EE">
      <w:pPr>
        <w:pStyle w:val="Heading1"/>
        <w:numPr>
          <w:ilvl w:val="0"/>
          <w:numId w:val="23"/>
        </w:numPr>
        <w:ind w:hanging="720"/>
      </w:pPr>
      <w:r w:rsidRPr="008D5885">
        <w:t>MSAC’s advice to the Minister</w:t>
      </w:r>
    </w:p>
    <w:p w:rsidR="00E977EE" w:rsidRPr="00013B24" w:rsidRDefault="00E977EE" w:rsidP="00E977EE">
      <w:pPr>
        <w:tabs>
          <w:tab w:val="left" w:pos="720"/>
        </w:tabs>
        <w:ind w:left="709" w:hanging="709"/>
        <w:rPr>
          <w:szCs w:val="24"/>
        </w:rPr>
      </w:pPr>
    </w:p>
    <w:p w:rsidR="00A959E1" w:rsidRDefault="00A959E1" w:rsidP="00A959E1">
      <w:r>
        <w:t>After considering the strength of the available evidence in relation to the safety, effectiveness and cost-effectiveness of podiatric surgery vs orthopaedic surgery for 39 foot-related MBS items, MSAC did not support public funding for podiatric surgeons to access the items due to uncertainty about:</w:t>
      </w:r>
    </w:p>
    <w:p w:rsidR="00A959E1" w:rsidRPr="00FB0A5B" w:rsidRDefault="00A959E1" w:rsidP="00A959E1">
      <w:pPr>
        <w:pStyle w:val="ListParagraph"/>
        <w:numPr>
          <w:ilvl w:val="0"/>
          <w:numId w:val="36"/>
        </w:numPr>
        <w:rPr>
          <w:b/>
          <w:bCs/>
          <w:szCs w:val="24"/>
        </w:rPr>
      </w:pPr>
      <w:r>
        <w:rPr>
          <w:bCs/>
        </w:rPr>
        <w:t xml:space="preserve">unmet need for podiatric surgeons’ services; </w:t>
      </w:r>
    </w:p>
    <w:p w:rsidR="00A959E1" w:rsidRPr="00FB0A5B" w:rsidRDefault="00A959E1" w:rsidP="00A959E1">
      <w:pPr>
        <w:pStyle w:val="ListParagraph"/>
        <w:numPr>
          <w:ilvl w:val="0"/>
          <w:numId w:val="36"/>
        </w:numPr>
        <w:rPr>
          <w:bCs/>
          <w:szCs w:val="24"/>
        </w:rPr>
      </w:pPr>
      <w:r w:rsidRPr="00FB0A5B">
        <w:rPr>
          <w:bCs/>
          <w:szCs w:val="24"/>
        </w:rPr>
        <w:t xml:space="preserve">the evidence for podiatric surgeons’ services non-inferiority to orthopaedic surgeons; </w:t>
      </w:r>
      <w:r>
        <w:rPr>
          <w:bCs/>
        </w:rPr>
        <w:t>and</w:t>
      </w:r>
    </w:p>
    <w:p w:rsidR="00A959E1" w:rsidRPr="00BC200C" w:rsidRDefault="00A959E1" w:rsidP="00A959E1">
      <w:pPr>
        <w:pStyle w:val="ListParagraph"/>
        <w:numPr>
          <w:ilvl w:val="0"/>
          <w:numId w:val="36"/>
        </w:numPr>
        <w:rPr>
          <w:bCs/>
        </w:rPr>
      </w:pPr>
      <w:r>
        <w:rPr>
          <w:bCs/>
        </w:rPr>
        <w:t>the application’s scope of practice, as identified by PASC and ESC.</w:t>
      </w:r>
    </w:p>
    <w:p w:rsidR="00A959E1" w:rsidRDefault="00A959E1" w:rsidP="00A959E1">
      <w:pPr>
        <w:ind w:left="360"/>
      </w:pPr>
    </w:p>
    <w:p w:rsidR="00A959E1" w:rsidRDefault="00A959E1" w:rsidP="00A959E1">
      <w:r>
        <w:t>MSAC recommended reconsideration of the application when i) the National Registration and Accreditation Scheme review was complete, if relevant to the application and ii) the applicants had worked with the Department of Health to consider a discrete set of MBS items which are developed and prioritised according to current practice and level of risk</w:t>
      </w:r>
      <w:r w:rsidR="006D13C8">
        <w:t>.</w:t>
      </w:r>
      <w:r>
        <w:t xml:space="preserve"> </w:t>
      </w:r>
    </w:p>
    <w:p w:rsidR="008C290D" w:rsidRDefault="008C290D" w:rsidP="008C290D"/>
    <w:p w:rsidR="00550354" w:rsidRDefault="00550354" w:rsidP="00550354">
      <w:pPr>
        <w:pStyle w:val="Heading1"/>
        <w:numPr>
          <w:ilvl w:val="0"/>
          <w:numId w:val="23"/>
        </w:numPr>
        <w:ind w:hanging="720"/>
      </w:pPr>
      <w:r w:rsidRPr="008D5885">
        <w:t>Summary of consideration and rationale for MSAC’s advice</w:t>
      </w:r>
    </w:p>
    <w:p w:rsidR="00550354" w:rsidRDefault="00550354" w:rsidP="00550354">
      <w:pPr>
        <w:rPr>
          <w:szCs w:val="24"/>
        </w:rPr>
      </w:pPr>
    </w:p>
    <w:p w:rsidR="008C290D" w:rsidRDefault="008C290D" w:rsidP="008C290D">
      <w:r>
        <w:t xml:space="preserve">MSAC noted that the </w:t>
      </w:r>
      <w:r w:rsidR="00610DBE">
        <w:t xml:space="preserve">October 2014 </w:t>
      </w:r>
      <w:r>
        <w:t xml:space="preserve">MSAC executive </w:t>
      </w:r>
      <w:r w:rsidR="00610DBE">
        <w:t xml:space="preserve">meeting </w:t>
      </w:r>
      <w:r>
        <w:t xml:space="preserve">recommended that the applicant defer </w:t>
      </w:r>
      <w:r w:rsidR="00610DBE">
        <w:t>its</w:t>
      </w:r>
      <w:r>
        <w:t xml:space="preserve"> submission until</w:t>
      </w:r>
      <w:r w:rsidR="001C50C0">
        <w:t xml:space="preserve"> the</w:t>
      </w:r>
      <w:r>
        <w:t xml:space="preserve"> review of NRAS was complete. The applicant </w:t>
      </w:r>
      <w:r w:rsidR="00023210">
        <w:t xml:space="preserve">questioned the relevance of the NRAS review and due to lack of clarity, </w:t>
      </w:r>
      <w:r>
        <w:t>rejected the recommendation for deferral.</w:t>
      </w:r>
    </w:p>
    <w:p w:rsidR="008C290D" w:rsidRDefault="008C290D" w:rsidP="008C290D"/>
    <w:p w:rsidR="008C290D" w:rsidRDefault="008C290D" w:rsidP="008C290D">
      <w:r>
        <w:lastRenderedPageBreak/>
        <w:t>MSAC noted that th</w:t>
      </w:r>
      <w:r w:rsidR="00610DBE">
        <w:t>e</w:t>
      </w:r>
      <w:r>
        <w:t xml:space="preserve"> </w:t>
      </w:r>
      <w:r w:rsidR="00610DBE">
        <w:t>application</w:t>
      </w:r>
      <w:r>
        <w:t xml:space="preserve"> was not a request for new MBS item</w:t>
      </w:r>
      <w:r w:rsidR="00610DBE">
        <w:t>s</w:t>
      </w:r>
      <w:r>
        <w:t xml:space="preserve">, rather </w:t>
      </w:r>
      <w:r w:rsidR="00610DBE">
        <w:t xml:space="preserve">for </w:t>
      </w:r>
      <w:r>
        <w:t>access to existing items relating to foot and ankle surgery</w:t>
      </w:r>
      <w:r w:rsidR="00610DBE">
        <w:t xml:space="preserve"> by podiatric surgeons</w:t>
      </w:r>
      <w:r>
        <w:t xml:space="preserve">. The </w:t>
      </w:r>
      <w:r w:rsidR="00610DBE">
        <w:t xml:space="preserve">proposed </w:t>
      </w:r>
      <w:r>
        <w:t>treatment algorithm place</w:t>
      </w:r>
      <w:r w:rsidR="00610DBE">
        <w:t>d</w:t>
      </w:r>
      <w:r>
        <w:t xml:space="preserve"> podiatric surgeons as an alternative to orthopaedic surgeons for referral from general practitioners or medical specialists</w:t>
      </w:r>
      <w:r w:rsidR="00610DBE">
        <w:t>. This algorithm outlined identical treatment pathways for podiatric and orthopaedic surgeons</w:t>
      </w:r>
      <w:r>
        <w:t>. MSAC considered the argument for an unmet clinical need and agreed that there is increasing pressure on current orthopaedic services with surgical workforce shortages, population growth and ageing</w:t>
      </w:r>
      <w:r w:rsidR="00610DBE">
        <w:t>,</w:t>
      </w:r>
      <w:r>
        <w:t xml:space="preserve"> and increasing prevalence of diabetes and obesity which this application s</w:t>
      </w:r>
      <w:r w:rsidR="00610DBE">
        <w:t>ought</w:t>
      </w:r>
      <w:r>
        <w:t xml:space="preserve"> to address by providing additional clinical resources</w:t>
      </w:r>
      <w:r w:rsidR="00610DBE">
        <w:t xml:space="preserve"> in the form of podiatric surgeons</w:t>
      </w:r>
      <w:r>
        <w:t>.</w:t>
      </w:r>
    </w:p>
    <w:p w:rsidR="008C290D" w:rsidRDefault="008C290D" w:rsidP="008C290D"/>
    <w:p w:rsidR="008C290D" w:rsidRDefault="008C290D" w:rsidP="008C290D">
      <w:r>
        <w:t>MSAC noted</w:t>
      </w:r>
      <w:r w:rsidR="00610DBE">
        <w:t>,</w:t>
      </w:r>
      <w:r>
        <w:t xml:space="preserve"> however, some concerns with this assessment of clinical need. Surgical waiting lists, while estimating how many people are waiting for surgery, do not provide accurate evidence of the extent to which podiatric surgeons would be able to reduce these lists. This is because there is a lack of data on how many people on waiting lists are waiting for foot and ankle surgeries</w:t>
      </w:r>
      <w:r w:rsidR="00610DBE">
        <w:t>.</w:t>
      </w:r>
      <w:r w:rsidR="00603A2A">
        <w:t xml:space="preserve"> Given that many surgeries did not proceed, MSAC could not be sure that all of these could be considered essential.</w:t>
      </w:r>
    </w:p>
    <w:p w:rsidR="008C290D" w:rsidRDefault="008C290D" w:rsidP="008C290D"/>
    <w:p w:rsidR="00610DBE" w:rsidRDefault="008C290D" w:rsidP="008C290D">
      <w:r>
        <w:t xml:space="preserve">MSAC considered </w:t>
      </w:r>
      <w:r w:rsidR="00610DBE">
        <w:t xml:space="preserve">the </w:t>
      </w:r>
      <w:r>
        <w:t xml:space="preserve">evidence presented </w:t>
      </w:r>
      <w:r w:rsidR="00610DBE">
        <w:t>to support</w:t>
      </w:r>
      <w:r>
        <w:t xml:space="preserve"> the claim that treatment by a podiatric surgeon was non-inferior to treatment by an orthopaedic surgeon. While MSAC accepted that podiatric surgeons receive intensive training on the foot and ankle and agreed in principle that a podiatric surgeon would provide adequate care</w:t>
      </w:r>
      <w:r w:rsidR="00610DBE">
        <w:t>,</w:t>
      </w:r>
      <w:r>
        <w:t xml:space="preserve"> </w:t>
      </w:r>
      <w:r w:rsidR="00610DBE">
        <w:t>t</w:t>
      </w:r>
      <w:r>
        <w:t>he committee was concerned that the evidence presented in support of this claim was poor with data from the national audit of the Australian College of Podiatric Surgeons, 17 single</w:t>
      </w:r>
      <w:r w:rsidR="00FA4896">
        <w:t>-</w:t>
      </w:r>
      <w:r>
        <w:t>arm studies with low level data quality</w:t>
      </w:r>
      <w:r w:rsidR="00FA4896">
        <w:t>,</w:t>
      </w:r>
      <w:r>
        <w:t xml:space="preserve"> and no </w:t>
      </w:r>
      <w:r w:rsidR="00610DBE">
        <w:t xml:space="preserve">direct </w:t>
      </w:r>
      <w:r>
        <w:t xml:space="preserve">randomised comparisons. MSAC </w:t>
      </w:r>
      <w:r w:rsidR="00610DBE">
        <w:t xml:space="preserve">concluded </w:t>
      </w:r>
      <w:r>
        <w:t xml:space="preserve">that the </w:t>
      </w:r>
      <w:r w:rsidR="00023210">
        <w:t>lower level evidence</w:t>
      </w:r>
      <w:r>
        <w:t xml:space="preserve"> ma</w:t>
      </w:r>
      <w:r w:rsidR="00610DBE">
        <w:t>d</w:t>
      </w:r>
      <w:r>
        <w:t>e the clai</w:t>
      </w:r>
      <w:r w:rsidR="00610DBE">
        <w:t>m of non-inferiority uncertain</w:t>
      </w:r>
      <w:r w:rsidR="00023210">
        <w:t>, noting that this also does not show that services provided by podiatric surgeons are inferior to those provided by orthopaedic surgeons</w:t>
      </w:r>
      <w:r w:rsidR="00610DBE">
        <w:t>.</w:t>
      </w:r>
    </w:p>
    <w:p w:rsidR="00610DBE" w:rsidRDefault="00610DBE" w:rsidP="008C290D"/>
    <w:p w:rsidR="008C290D" w:rsidRDefault="008C290D" w:rsidP="008C290D">
      <w:r>
        <w:t xml:space="preserve">MSAC noted that it was beyond the remit of the committee to comment on scope of practice and could not provide the </w:t>
      </w:r>
      <w:r w:rsidR="00610DBE">
        <w:t>M</w:t>
      </w:r>
      <w:r>
        <w:t>inister with any assessment</w:t>
      </w:r>
      <w:r w:rsidR="00610DBE">
        <w:t xml:space="preserve"> on competencies and standards</w:t>
      </w:r>
      <w:r w:rsidR="001C50C0">
        <w:t xml:space="preserve"> of podiatric surgeons</w:t>
      </w:r>
      <w:r w:rsidR="00610DBE">
        <w:t>.</w:t>
      </w:r>
    </w:p>
    <w:p w:rsidR="008C290D" w:rsidRDefault="008C290D" w:rsidP="008C290D"/>
    <w:p w:rsidR="008C290D" w:rsidRDefault="008C290D" w:rsidP="008C290D">
      <w:r>
        <w:t xml:space="preserve">MSAC </w:t>
      </w:r>
      <w:r w:rsidR="00DD438E">
        <w:t xml:space="preserve">recommended that </w:t>
      </w:r>
      <w:r>
        <w:t xml:space="preserve">the applicant delay resubmission of an application for MBS items until the NRAS review </w:t>
      </w:r>
      <w:r w:rsidR="00DD438E">
        <w:t xml:space="preserve">findings regarding training and accreditation were made known. </w:t>
      </w:r>
    </w:p>
    <w:p w:rsidR="008C290D" w:rsidRDefault="008C290D" w:rsidP="008C290D"/>
    <w:p w:rsidR="008C290D" w:rsidRDefault="008C290D" w:rsidP="008C290D">
      <w:r>
        <w:t>MSAC noted some consumer support for th</w:t>
      </w:r>
      <w:r w:rsidR="00DD438E">
        <w:t xml:space="preserve">e application </w:t>
      </w:r>
      <w:r>
        <w:t>as a means to provide greater acc</w:t>
      </w:r>
      <w:r w:rsidR="00520E2F">
        <w:t>ess to foot and ankle services.</w:t>
      </w:r>
    </w:p>
    <w:p w:rsidR="008C290D" w:rsidRDefault="008C290D" w:rsidP="008C290D"/>
    <w:p w:rsidR="009B6FC2" w:rsidRPr="00685CD0" w:rsidRDefault="008C290D" w:rsidP="00550354">
      <w:r>
        <w:t xml:space="preserve">MSAC noted that the financial </w:t>
      </w:r>
      <w:r w:rsidR="00520E2F">
        <w:t>or</w:t>
      </w:r>
      <w:r>
        <w:t xml:space="preserve"> budgetary imp</w:t>
      </w:r>
      <w:r w:rsidR="00520E2F">
        <w:t xml:space="preserve">lications </w:t>
      </w:r>
      <w:r>
        <w:t xml:space="preserve">of podiatric surgeon access to MBS items </w:t>
      </w:r>
      <w:r w:rsidR="00520E2F">
        <w:t>we</w:t>
      </w:r>
      <w:r>
        <w:t>re uncertain. The</w:t>
      </w:r>
      <w:r w:rsidR="009B6FC2">
        <w:t>se</w:t>
      </w:r>
      <w:r>
        <w:t xml:space="preserve"> </w:t>
      </w:r>
      <w:r w:rsidR="009B6FC2">
        <w:t>depended</w:t>
      </w:r>
      <w:r>
        <w:t xml:space="preserve"> on the numbers of podiatric and orthopaedic surgeons available and whether the model </w:t>
      </w:r>
      <w:r w:rsidR="00520E2F">
        <w:t>wa</w:t>
      </w:r>
      <w:r>
        <w:t xml:space="preserve">s based on a substitution of services normally delivered by orthopaedic surgeons, or additional services provided. </w:t>
      </w:r>
      <w:r w:rsidR="009B6FC2">
        <w:rPr>
          <w:szCs w:val="24"/>
        </w:rPr>
        <w:t xml:space="preserve">MSAC also noted that MBS funding </w:t>
      </w:r>
      <w:r w:rsidR="000F01E0">
        <w:rPr>
          <w:szCs w:val="24"/>
        </w:rPr>
        <w:t>could result</w:t>
      </w:r>
      <w:r w:rsidR="009B6FC2">
        <w:rPr>
          <w:szCs w:val="24"/>
        </w:rPr>
        <w:t xml:space="preserve"> in increased numbers of trainee podiatric surgeons.</w:t>
      </w:r>
    </w:p>
    <w:p w:rsidR="00BA11D0" w:rsidRDefault="00BA11D0" w:rsidP="00550354">
      <w:pPr>
        <w:rPr>
          <w:szCs w:val="24"/>
        </w:rPr>
      </w:pPr>
    </w:p>
    <w:p w:rsidR="00BA11D0" w:rsidRDefault="00BA11D0" w:rsidP="00550354">
      <w:pPr>
        <w:rPr>
          <w:szCs w:val="24"/>
        </w:rPr>
      </w:pPr>
      <w:r>
        <w:rPr>
          <w:szCs w:val="24"/>
        </w:rPr>
        <w:t xml:space="preserve">MSAC noted the application’s description of a model where podiatric surgeons manage a whole episode of care. </w:t>
      </w:r>
      <w:r w:rsidR="00603A2A">
        <w:rPr>
          <w:szCs w:val="24"/>
        </w:rPr>
        <w:t>Under the MBS fee-for-service model, t</w:t>
      </w:r>
      <w:r>
        <w:rPr>
          <w:szCs w:val="24"/>
        </w:rPr>
        <w:t>h</w:t>
      </w:r>
      <w:r w:rsidR="00603A2A">
        <w:rPr>
          <w:szCs w:val="24"/>
        </w:rPr>
        <w:t>is</w:t>
      </w:r>
      <w:r>
        <w:rPr>
          <w:szCs w:val="24"/>
        </w:rPr>
        <w:t xml:space="preserve"> description </w:t>
      </w:r>
      <w:r w:rsidR="00602E17">
        <w:rPr>
          <w:szCs w:val="24"/>
        </w:rPr>
        <w:t xml:space="preserve">could entail </w:t>
      </w:r>
      <w:r>
        <w:rPr>
          <w:szCs w:val="24"/>
        </w:rPr>
        <w:t xml:space="preserve">management transfer to other practitioners </w:t>
      </w:r>
      <w:r w:rsidR="00602E17">
        <w:rPr>
          <w:szCs w:val="24"/>
        </w:rPr>
        <w:t>under certain circumstances</w:t>
      </w:r>
      <w:r>
        <w:rPr>
          <w:szCs w:val="24"/>
        </w:rPr>
        <w:t>.</w:t>
      </w:r>
    </w:p>
    <w:p w:rsidR="00CA7ACA" w:rsidRDefault="00CA7ACA" w:rsidP="00550354">
      <w:pPr>
        <w:rPr>
          <w:szCs w:val="24"/>
        </w:rPr>
      </w:pPr>
    </w:p>
    <w:p w:rsidR="00CA7ACA" w:rsidRDefault="00CA7ACA" w:rsidP="00550354">
      <w:pPr>
        <w:rPr>
          <w:szCs w:val="24"/>
        </w:rPr>
      </w:pPr>
      <w:r>
        <w:rPr>
          <w:szCs w:val="24"/>
        </w:rPr>
        <w:t xml:space="preserve">MSAC recommended that the applicant work with the Department </w:t>
      </w:r>
      <w:r w:rsidR="00BF4331">
        <w:rPr>
          <w:szCs w:val="24"/>
        </w:rPr>
        <w:t xml:space="preserve">of Health </w:t>
      </w:r>
      <w:r>
        <w:rPr>
          <w:szCs w:val="24"/>
        </w:rPr>
        <w:t xml:space="preserve">to develop a subset of the </w:t>
      </w:r>
      <w:r w:rsidR="009F2B5D">
        <w:rPr>
          <w:szCs w:val="24"/>
        </w:rPr>
        <w:t xml:space="preserve">39 listed </w:t>
      </w:r>
      <w:r>
        <w:rPr>
          <w:szCs w:val="24"/>
        </w:rPr>
        <w:t xml:space="preserve">MBS items </w:t>
      </w:r>
      <w:r w:rsidR="009F2B5D">
        <w:rPr>
          <w:szCs w:val="24"/>
        </w:rPr>
        <w:t>based on the services currently being provided by podiatric surgeons and areas of demonstrated unmet need.</w:t>
      </w:r>
    </w:p>
    <w:p w:rsidR="00685CD0" w:rsidRDefault="00685CD0" w:rsidP="00550354">
      <w:pPr>
        <w:rPr>
          <w:szCs w:val="24"/>
        </w:rPr>
      </w:pPr>
    </w:p>
    <w:p w:rsidR="00BC1364" w:rsidRPr="00D90A38" w:rsidRDefault="00BC1364" w:rsidP="007B32D1">
      <w:pPr>
        <w:pStyle w:val="Heading1"/>
        <w:numPr>
          <w:ilvl w:val="0"/>
          <w:numId w:val="23"/>
        </w:numPr>
        <w:ind w:hanging="720"/>
      </w:pPr>
      <w:r w:rsidRPr="00D90A38">
        <w:lastRenderedPageBreak/>
        <w:t>Background</w:t>
      </w:r>
    </w:p>
    <w:p w:rsidR="00BC1364" w:rsidRPr="00013B24" w:rsidRDefault="00BC1364" w:rsidP="00DD2858">
      <w:pPr>
        <w:rPr>
          <w:szCs w:val="24"/>
        </w:rPr>
      </w:pPr>
    </w:p>
    <w:p w:rsidR="00264381" w:rsidRPr="00516ACE" w:rsidRDefault="00264381" w:rsidP="00013B24">
      <w:pPr>
        <w:tabs>
          <w:tab w:val="left" w:pos="720"/>
          <w:tab w:val="left" w:pos="1140"/>
        </w:tabs>
        <w:rPr>
          <w:szCs w:val="24"/>
        </w:rPr>
      </w:pPr>
      <w:r w:rsidRPr="00242AD4">
        <w:rPr>
          <w:szCs w:val="24"/>
        </w:rPr>
        <w:t xml:space="preserve">Foot and ankle services </w:t>
      </w:r>
      <w:r>
        <w:rPr>
          <w:szCs w:val="24"/>
        </w:rPr>
        <w:t xml:space="preserve">provided </w:t>
      </w:r>
      <w:r w:rsidRPr="00242AD4">
        <w:rPr>
          <w:szCs w:val="24"/>
        </w:rPr>
        <w:t>by podiatric surgeons have not been considered by MSAC previously.</w:t>
      </w:r>
    </w:p>
    <w:p w:rsidR="00CA669F" w:rsidRPr="007B32D1" w:rsidRDefault="00CA669F"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013B24" w:rsidRDefault="00BC1364" w:rsidP="00013B24">
      <w:pPr>
        <w:tabs>
          <w:tab w:val="left" w:pos="720"/>
          <w:tab w:val="left" w:pos="1140"/>
        </w:tabs>
        <w:rPr>
          <w:szCs w:val="24"/>
        </w:rPr>
      </w:pPr>
    </w:p>
    <w:p w:rsidR="00264381" w:rsidRDefault="00264381" w:rsidP="00264381">
      <w:r w:rsidRPr="00214F9E">
        <w:t>The application indicate</w:t>
      </w:r>
      <w:r w:rsidR="00013B24">
        <w:t>d</w:t>
      </w:r>
      <w:r w:rsidRPr="00214F9E">
        <w:t xml:space="preserve"> that the MBS</w:t>
      </w:r>
      <w:r>
        <w:t xml:space="preserve"> items </w:t>
      </w:r>
      <w:r w:rsidR="00E25152">
        <w:t xml:space="preserve">would be </w:t>
      </w:r>
      <w:r>
        <w:t>available to</w:t>
      </w:r>
      <w:r w:rsidRPr="00214F9E">
        <w:t xml:space="preserve"> podiatric surgeon</w:t>
      </w:r>
      <w:r>
        <w:t>s</w:t>
      </w:r>
      <w:r w:rsidRPr="00214F9E">
        <w:t xml:space="preserve"> </w:t>
      </w:r>
      <w:r w:rsidR="00E25152">
        <w:t>only</w:t>
      </w:r>
      <w:r w:rsidR="00E25152" w:rsidRPr="00214F9E">
        <w:t xml:space="preserve"> </w:t>
      </w:r>
      <w:r w:rsidRPr="00214F9E">
        <w:t>if patient</w:t>
      </w:r>
      <w:r w:rsidR="00E25152">
        <w:t>s were</w:t>
      </w:r>
      <w:r w:rsidRPr="00214F9E">
        <w:t xml:space="preserve"> referred directly from a </w:t>
      </w:r>
      <w:r w:rsidR="000467D9">
        <w:t xml:space="preserve">general </w:t>
      </w:r>
      <w:r w:rsidR="00FA3FEC">
        <w:t>practitioner</w:t>
      </w:r>
      <w:r w:rsidR="000467D9">
        <w:t xml:space="preserve">, </w:t>
      </w:r>
      <w:r w:rsidRPr="00214F9E">
        <w:t>physician or specialist.</w:t>
      </w:r>
    </w:p>
    <w:p w:rsidR="00264381" w:rsidRDefault="00264381" w:rsidP="00264381"/>
    <w:p w:rsidR="00264381" w:rsidRDefault="00264381" w:rsidP="00264381">
      <w:r w:rsidRPr="00214F9E">
        <w:t xml:space="preserve">Currently, podiatric surgeons do not have admitting rights </w:t>
      </w:r>
      <w:r>
        <w:t>in any</w:t>
      </w:r>
      <w:r w:rsidRPr="00214F9E">
        <w:t xml:space="preserve"> public hospital</w:t>
      </w:r>
      <w:r>
        <w:t xml:space="preserve"> in Australia and procedures are therefore carried out in private h</w:t>
      </w:r>
      <w:r w:rsidR="00013B24">
        <w:t>ospitals and day surgery sites.</w:t>
      </w:r>
    </w:p>
    <w:p w:rsidR="00264381" w:rsidRDefault="00264381" w:rsidP="00264381"/>
    <w:p w:rsidR="00264381" w:rsidRDefault="00264381" w:rsidP="00264381">
      <w:r>
        <w:t xml:space="preserve">As podiatric surgery and consultations rendered by podiatric surgeons are not currently covered by MBS items, patients access these services via private health insurance </w:t>
      </w:r>
      <w:r w:rsidR="00863BD3">
        <w:t xml:space="preserve">or </w:t>
      </w:r>
      <w:r>
        <w:t>self-funded means.</w:t>
      </w:r>
    </w:p>
    <w:p w:rsidR="00264381" w:rsidRDefault="00264381" w:rsidP="00264381"/>
    <w:p w:rsidR="00264381" w:rsidRDefault="00264381" w:rsidP="00264381">
      <w:r w:rsidRPr="00214F9E">
        <w:t xml:space="preserve">The proposal </w:t>
      </w:r>
      <w:r w:rsidR="005C7FC2">
        <w:t>posits</w:t>
      </w:r>
      <w:r w:rsidRPr="00214F9E">
        <w:t xml:space="preserve"> podiatric surgeon services </w:t>
      </w:r>
      <w:r>
        <w:t>that are un</w:t>
      </w:r>
      <w:r w:rsidRPr="00214F9E">
        <w:t xml:space="preserve">restricted to a particular setting. This would require </w:t>
      </w:r>
      <w:r w:rsidR="00E25152">
        <w:t xml:space="preserve">podiatric surgeons to increasingly </w:t>
      </w:r>
      <w:r w:rsidR="00E25152" w:rsidRPr="00214F9E">
        <w:t>work</w:t>
      </w:r>
      <w:r w:rsidR="00E25152">
        <w:t xml:space="preserve"> </w:t>
      </w:r>
      <w:r>
        <w:t>in</w:t>
      </w:r>
      <w:r w:rsidRPr="00214F9E">
        <w:t xml:space="preserve"> multidisciplinary teams, </w:t>
      </w:r>
      <w:r w:rsidR="005C7FC2">
        <w:t>in the same manner of</w:t>
      </w:r>
      <w:r w:rsidR="005C7FC2" w:rsidRPr="00214F9E">
        <w:t xml:space="preserve"> </w:t>
      </w:r>
      <w:r>
        <w:t>orthopaedic</w:t>
      </w:r>
      <w:r w:rsidRPr="00214F9E">
        <w:t xml:space="preserve"> surgeons currently </w:t>
      </w:r>
      <w:r w:rsidR="005C7FC2">
        <w:t>operating in</w:t>
      </w:r>
      <w:r w:rsidRPr="00214F9E">
        <w:t xml:space="preserve"> </w:t>
      </w:r>
      <w:r>
        <w:t>public</w:t>
      </w:r>
      <w:r w:rsidRPr="00214F9E">
        <w:t xml:space="preserve"> settings</w:t>
      </w:r>
      <w:r w:rsidR="00013B24">
        <w:t>.</w:t>
      </w:r>
    </w:p>
    <w:p w:rsidR="00264381" w:rsidRDefault="00264381" w:rsidP="00264381"/>
    <w:p w:rsidR="00264381" w:rsidRDefault="00264381" w:rsidP="00264381">
      <w:r>
        <w:t xml:space="preserve">Podiatric surgeons are podiatrists who have undertaken a </w:t>
      </w:r>
      <w:r w:rsidR="00013B24">
        <w:t>n</w:t>
      </w:r>
      <w:r>
        <w:t xml:space="preserve">ational </w:t>
      </w:r>
      <w:r w:rsidR="00013B24">
        <w:t>b</w:t>
      </w:r>
      <w:r>
        <w:t>oard-approved program of accredited surgical training before becoming eligible for specialist recognition as a podiatric surgeon. Currently, there are 26 accredited and registered podiatric surgeons in Australia.</w:t>
      </w:r>
    </w:p>
    <w:p w:rsidR="00264381" w:rsidRPr="00FB7083" w:rsidRDefault="00264381" w:rsidP="00264381"/>
    <w:p w:rsidR="00BA4FC0" w:rsidRPr="00863BD3" w:rsidRDefault="00264381" w:rsidP="00264381">
      <w:r w:rsidRPr="006F2A30">
        <w:t xml:space="preserve">The </w:t>
      </w:r>
      <w:r w:rsidRPr="0083013B">
        <w:t>Podiatry Board</w:t>
      </w:r>
      <w:r w:rsidRPr="006F2A30">
        <w:t xml:space="preserve"> of Australia,</w:t>
      </w:r>
      <w:r w:rsidRPr="0083013B">
        <w:t xml:space="preserve"> </w:t>
      </w:r>
      <w:r w:rsidR="001C50C0">
        <w:t>established under</w:t>
      </w:r>
      <w:r>
        <w:t xml:space="preserve"> the National Registration </w:t>
      </w:r>
      <w:r w:rsidR="001C50C0">
        <w:t xml:space="preserve">and </w:t>
      </w:r>
      <w:r>
        <w:t xml:space="preserve">Accreditation Scheme administered </w:t>
      </w:r>
      <w:r w:rsidRPr="0083013B">
        <w:t xml:space="preserve">by </w:t>
      </w:r>
      <w:r>
        <w:t>the Australian Health Practitioner Regulation Agency (</w:t>
      </w:r>
      <w:r w:rsidRPr="0083013B">
        <w:t>AHPRA</w:t>
      </w:r>
      <w:r>
        <w:t>)</w:t>
      </w:r>
      <w:r w:rsidRPr="006F2A30">
        <w:t>, registers podiatrists and podiatric surgeons</w:t>
      </w:r>
      <w:r>
        <w:t>. Podiatric surgeons are not registered by the Medical Board of Australia</w:t>
      </w:r>
      <w:r w:rsidR="001C50C0">
        <w:t>.</w:t>
      </w:r>
      <w:r>
        <w:t xml:space="preserve"> </w:t>
      </w:r>
      <w:r w:rsidR="001C50C0">
        <w:t>P</w:t>
      </w:r>
      <w:r w:rsidR="00381613">
        <w:t>odiatric surgeons have only limited access to Medicare and cannot claim rebates for surgical services.</w:t>
      </w:r>
    </w:p>
    <w:p w:rsidR="00CA669F" w:rsidRPr="0083013B" w:rsidRDefault="00CA669F" w:rsidP="00264381"/>
    <w:p w:rsidR="00BC1364" w:rsidRPr="007B32D1" w:rsidRDefault="00BC1364" w:rsidP="007B32D1">
      <w:pPr>
        <w:pStyle w:val="Heading1"/>
        <w:numPr>
          <w:ilvl w:val="0"/>
          <w:numId w:val="23"/>
        </w:numPr>
        <w:ind w:hanging="720"/>
      </w:pPr>
      <w:r w:rsidRPr="007B32D1">
        <w:t>Proposal for public funding</w:t>
      </w:r>
    </w:p>
    <w:p w:rsidR="00BC1364" w:rsidRDefault="00BC1364" w:rsidP="00AB3BFC">
      <w:pPr>
        <w:tabs>
          <w:tab w:val="left" w:pos="720"/>
          <w:tab w:val="left" w:pos="1140"/>
        </w:tabs>
        <w:rPr>
          <w:sz w:val="23"/>
          <w:szCs w:val="23"/>
        </w:rPr>
      </w:pPr>
    </w:p>
    <w:p w:rsidR="005C7FC2" w:rsidRDefault="00C70F6B" w:rsidP="00C70F6B">
      <w:r w:rsidRPr="00E031DE">
        <w:t>Podiatric surgeons are podiatrists who have completed intensive postgraduate training in podiatric medicine and surgery.</w:t>
      </w:r>
      <w:r w:rsidRPr="00693716">
        <w:t xml:space="preserve"> Podiatric surgeons are trained with a focus on the diagnosis, assessment, treatment and management of foot and ankle conditions. Currently podiatric surgeons provide foot and ankle surgical procedures through private practice</w:t>
      </w:r>
      <w:r w:rsidR="005C7FC2">
        <w:t>—</w:t>
      </w:r>
      <w:r w:rsidRPr="00693716">
        <w:t xml:space="preserve">private hospitals or private out-of-hospital clinics. </w:t>
      </w:r>
    </w:p>
    <w:p w:rsidR="005C7FC2" w:rsidRDefault="005C7FC2" w:rsidP="00C70F6B"/>
    <w:p w:rsidR="005C7FC2" w:rsidRDefault="00C70F6B" w:rsidP="00C70F6B">
      <w:r w:rsidRPr="00693716">
        <w:t xml:space="preserve">The application </w:t>
      </w:r>
      <w:r w:rsidR="00E605B0">
        <w:t>requested</w:t>
      </w:r>
      <w:r w:rsidRPr="00693716">
        <w:t xml:space="preserve"> </w:t>
      </w:r>
      <w:r w:rsidR="005C7FC2" w:rsidRPr="00693716">
        <w:t>podiatric surgeons</w:t>
      </w:r>
      <w:r w:rsidR="005C7FC2">
        <w:t>’</w:t>
      </w:r>
      <w:r w:rsidR="005C7FC2" w:rsidRPr="00693716">
        <w:t xml:space="preserve"> </w:t>
      </w:r>
      <w:r w:rsidRPr="00693716">
        <w:t>access</w:t>
      </w:r>
      <w:r w:rsidR="005C7FC2">
        <w:t xml:space="preserve"> </w:t>
      </w:r>
      <w:r w:rsidRPr="00693716">
        <w:t>to a set of 39 surgical treatment</w:t>
      </w:r>
      <w:r w:rsidRPr="00707FED">
        <w:t>s, services and consultations for conditions of the foot or ankle, already provided on the MBS. Other medical practitioners such as general practitioners (GPs), orthopaedic and plastic surgeons</w:t>
      </w:r>
      <w:r w:rsidR="005C7FC2" w:rsidRPr="005C7FC2">
        <w:t xml:space="preserve"> </w:t>
      </w:r>
      <w:r w:rsidR="005C7FC2" w:rsidRPr="00707FED">
        <w:t xml:space="preserve">currently access these MBS </w:t>
      </w:r>
      <w:r w:rsidR="005C7FC2">
        <w:t>item</w:t>
      </w:r>
      <w:r w:rsidR="005C7FC2" w:rsidRPr="00707FED">
        <w:t>s</w:t>
      </w:r>
      <w:r w:rsidRPr="00707FED">
        <w:t xml:space="preserve">. </w:t>
      </w:r>
    </w:p>
    <w:p w:rsidR="005C7FC2" w:rsidRDefault="005C7FC2" w:rsidP="00C70F6B"/>
    <w:p w:rsidR="00C70F6B" w:rsidRPr="00707FED" w:rsidRDefault="005C7FC2" w:rsidP="00C70F6B">
      <w:r>
        <w:t>The application nominated e</w:t>
      </w:r>
      <w:r w:rsidR="00C70F6B" w:rsidRPr="00707FED">
        <w:t>ight clinical conditions</w:t>
      </w:r>
      <w:r>
        <w:t>, all</w:t>
      </w:r>
      <w:r w:rsidR="00C70F6B" w:rsidRPr="00707FED">
        <w:t xml:space="preserve"> within the scope and training credentials of the podiatric surgeon. </w:t>
      </w:r>
      <w:r w:rsidRPr="00707FED">
        <w:t>The</w:t>
      </w:r>
      <w:r>
        <w:t>y</w:t>
      </w:r>
      <w:r w:rsidRPr="00707FED">
        <w:t xml:space="preserve"> </w:t>
      </w:r>
      <w:r w:rsidR="00C70F6B" w:rsidRPr="00707FED">
        <w:t>include</w:t>
      </w:r>
      <w:r w:rsidR="00E605B0">
        <w:t>d</w:t>
      </w:r>
      <w:r w:rsidR="00C70F6B" w:rsidRPr="00707FED">
        <w:t>:</w:t>
      </w:r>
    </w:p>
    <w:p w:rsidR="00C70F6B" w:rsidRPr="00707FED" w:rsidRDefault="00E605B0" w:rsidP="00AA0FBC">
      <w:pPr>
        <w:pStyle w:val="NormalBulletList"/>
        <w:numPr>
          <w:ilvl w:val="0"/>
          <w:numId w:val="34"/>
        </w:numPr>
        <w:spacing w:after="0" w:line="240" w:lineRule="auto"/>
        <w:ind w:left="714" w:hanging="357"/>
        <w:rPr>
          <w:rFonts w:ascii="Times New Roman" w:hAnsi="Times New Roman" w:cs="Times New Roman"/>
        </w:rPr>
      </w:pPr>
      <w:r>
        <w:rPr>
          <w:rFonts w:ascii="Times New Roman" w:hAnsi="Times New Roman" w:cs="Times New Roman"/>
        </w:rPr>
        <w:t>hallux abducto valgus;</w:t>
      </w:r>
    </w:p>
    <w:p w:rsidR="00C70F6B" w:rsidRPr="00707FED" w:rsidRDefault="00E605B0" w:rsidP="00AA0FBC">
      <w:pPr>
        <w:pStyle w:val="NormalBulletList"/>
        <w:numPr>
          <w:ilvl w:val="0"/>
          <w:numId w:val="34"/>
        </w:numPr>
        <w:spacing w:after="0" w:line="240" w:lineRule="auto"/>
        <w:ind w:left="714" w:hanging="357"/>
        <w:rPr>
          <w:rFonts w:ascii="Times New Roman" w:hAnsi="Times New Roman" w:cs="Times New Roman"/>
        </w:rPr>
      </w:pPr>
      <w:r w:rsidRPr="00707FED">
        <w:rPr>
          <w:rFonts w:ascii="Times New Roman" w:hAnsi="Times New Roman" w:cs="Times New Roman"/>
        </w:rPr>
        <w:t>hammer and claw toes;</w:t>
      </w:r>
    </w:p>
    <w:p w:rsidR="00C70F6B" w:rsidRPr="00707FED" w:rsidRDefault="00E605B0" w:rsidP="00AA0FBC">
      <w:pPr>
        <w:pStyle w:val="NormalBulletList"/>
        <w:numPr>
          <w:ilvl w:val="0"/>
          <w:numId w:val="34"/>
        </w:numPr>
        <w:spacing w:after="0" w:line="240" w:lineRule="auto"/>
        <w:ind w:left="714" w:hanging="357"/>
        <w:rPr>
          <w:rFonts w:ascii="Times New Roman" w:hAnsi="Times New Roman" w:cs="Times New Roman"/>
        </w:rPr>
      </w:pPr>
      <w:r w:rsidRPr="00707FED">
        <w:rPr>
          <w:rFonts w:ascii="Times New Roman" w:hAnsi="Times New Roman" w:cs="Times New Roman"/>
        </w:rPr>
        <w:t>hind foot/ankle pathology;</w:t>
      </w:r>
    </w:p>
    <w:p w:rsidR="00C70F6B" w:rsidRPr="00707FED" w:rsidRDefault="00E605B0" w:rsidP="00AA0FBC">
      <w:pPr>
        <w:pStyle w:val="NormalBulletList"/>
        <w:numPr>
          <w:ilvl w:val="0"/>
          <w:numId w:val="34"/>
        </w:numPr>
        <w:spacing w:after="0" w:line="240" w:lineRule="auto"/>
        <w:ind w:left="714" w:hanging="357"/>
        <w:rPr>
          <w:rFonts w:ascii="Times New Roman" w:hAnsi="Times New Roman" w:cs="Times New Roman"/>
        </w:rPr>
      </w:pPr>
      <w:r w:rsidRPr="00707FED">
        <w:rPr>
          <w:rFonts w:ascii="Times New Roman" w:hAnsi="Times New Roman" w:cs="Times New Roman"/>
        </w:rPr>
        <w:t>ingrown toenails;</w:t>
      </w:r>
    </w:p>
    <w:p w:rsidR="00C70F6B" w:rsidRPr="00707FED" w:rsidRDefault="00E605B0" w:rsidP="00AA0FBC">
      <w:pPr>
        <w:pStyle w:val="NormalBulletList"/>
        <w:numPr>
          <w:ilvl w:val="0"/>
          <w:numId w:val="34"/>
        </w:numPr>
        <w:spacing w:after="0" w:line="240" w:lineRule="auto"/>
        <w:ind w:left="714" w:hanging="357"/>
        <w:rPr>
          <w:rFonts w:ascii="Times New Roman" w:hAnsi="Times New Roman" w:cs="Times New Roman"/>
        </w:rPr>
      </w:pPr>
      <w:r w:rsidRPr="00707FED">
        <w:rPr>
          <w:rFonts w:ascii="Times New Roman" w:hAnsi="Times New Roman" w:cs="Times New Roman"/>
        </w:rPr>
        <w:t>hallux rigidus;</w:t>
      </w:r>
    </w:p>
    <w:p w:rsidR="00C70F6B" w:rsidRPr="00707FED" w:rsidRDefault="00E605B0" w:rsidP="00AA0FBC">
      <w:pPr>
        <w:pStyle w:val="NormalBulletList"/>
        <w:numPr>
          <w:ilvl w:val="0"/>
          <w:numId w:val="34"/>
        </w:numPr>
        <w:spacing w:after="0" w:line="240" w:lineRule="auto"/>
        <w:ind w:left="714" w:hanging="357"/>
        <w:rPr>
          <w:rFonts w:ascii="Times New Roman" w:hAnsi="Times New Roman" w:cs="Times New Roman"/>
        </w:rPr>
      </w:pPr>
      <w:r w:rsidRPr="00707FED">
        <w:rPr>
          <w:rFonts w:ascii="Times New Roman" w:hAnsi="Times New Roman" w:cs="Times New Roman"/>
        </w:rPr>
        <w:t>heel pain;</w:t>
      </w:r>
    </w:p>
    <w:p w:rsidR="00C70F6B" w:rsidRPr="00707FED" w:rsidRDefault="00E605B0" w:rsidP="00AA0FBC">
      <w:pPr>
        <w:pStyle w:val="NormalBulletList"/>
        <w:numPr>
          <w:ilvl w:val="0"/>
          <w:numId w:val="34"/>
        </w:numPr>
        <w:spacing w:after="0" w:line="240" w:lineRule="auto"/>
        <w:ind w:left="714" w:hanging="357"/>
        <w:rPr>
          <w:rFonts w:ascii="Times New Roman" w:hAnsi="Times New Roman" w:cs="Times New Roman"/>
        </w:rPr>
      </w:pPr>
      <w:r w:rsidRPr="00707FED">
        <w:rPr>
          <w:rFonts w:ascii="Times New Roman" w:hAnsi="Times New Roman" w:cs="Times New Roman"/>
        </w:rPr>
        <w:lastRenderedPageBreak/>
        <w:t>nerve impingement; and</w:t>
      </w:r>
    </w:p>
    <w:p w:rsidR="00C70F6B" w:rsidRPr="00707FED" w:rsidRDefault="00E605B0" w:rsidP="00AA0FBC">
      <w:pPr>
        <w:pStyle w:val="NormalBulletList"/>
        <w:numPr>
          <w:ilvl w:val="0"/>
          <w:numId w:val="34"/>
        </w:numPr>
        <w:spacing w:after="0" w:line="240" w:lineRule="auto"/>
        <w:ind w:left="714" w:hanging="357"/>
        <w:rPr>
          <w:rFonts w:ascii="Times New Roman" w:hAnsi="Times New Roman" w:cs="Times New Roman"/>
        </w:rPr>
      </w:pPr>
      <w:r w:rsidRPr="00707FED">
        <w:rPr>
          <w:rFonts w:ascii="Times New Roman" w:hAnsi="Times New Roman" w:cs="Times New Roman"/>
        </w:rPr>
        <w:t>tu</w:t>
      </w:r>
      <w:r w:rsidR="00C70F6B" w:rsidRPr="00707FED">
        <w:rPr>
          <w:rFonts w:ascii="Times New Roman" w:hAnsi="Times New Roman" w:cs="Times New Roman"/>
        </w:rPr>
        <w:t>mour (benign).</w:t>
      </w:r>
    </w:p>
    <w:p w:rsidR="00C70F6B" w:rsidRDefault="00C70F6B" w:rsidP="000D4338">
      <w:pPr>
        <w:tabs>
          <w:tab w:val="left" w:pos="720"/>
          <w:tab w:val="left" w:pos="1140"/>
        </w:tabs>
        <w:spacing w:before="120"/>
      </w:pPr>
      <w:r w:rsidRPr="00707FED">
        <w:t>The application also s</w:t>
      </w:r>
      <w:r w:rsidR="00E605B0">
        <w:t>ought</w:t>
      </w:r>
      <w:r w:rsidRPr="00707FED">
        <w:t xml:space="preserve"> MBS access to co-administered services that are routinely used in conjunction with </w:t>
      </w:r>
      <w:r w:rsidR="005C7FC2">
        <w:t>the identified</w:t>
      </w:r>
      <w:r w:rsidRPr="00707FED">
        <w:t xml:space="preserve"> procedures such as </w:t>
      </w:r>
      <w:r w:rsidR="005C7FC2">
        <w:t xml:space="preserve">diagnostic </w:t>
      </w:r>
      <w:r w:rsidRPr="00707FED">
        <w:t xml:space="preserve">imaging, pathology, and anaesthesia. </w:t>
      </w:r>
      <w:r w:rsidR="005C7FC2">
        <w:t>T</w:t>
      </w:r>
      <w:r w:rsidR="00E605B0">
        <w:t xml:space="preserve">he application </w:t>
      </w:r>
      <w:r w:rsidR="005C7FC2">
        <w:t xml:space="preserve">also </w:t>
      </w:r>
      <w:r w:rsidR="00E605B0">
        <w:t>requested</w:t>
      </w:r>
      <w:r w:rsidRPr="00707FED">
        <w:t xml:space="preserve"> referral rights</w:t>
      </w:r>
      <w:r w:rsidR="005C7FC2">
        <w:t xml:space="preserve"> for podiatric surgeons</w:t>
      </w:r>
      <w:r w:rsidRPr="00707FED">
        <w:t xml:space="preserve">, </w:t>
      </w:r>
      <w:r w:rsidR="00CD256D">
        <w:t>equivalent to</w:t>
      </w:r>
      <w:r w:rsidRPr="00707FED">
        <w:t xml:space="preserve"> orthopaedic surgeon</w:t>
      </w:r>
      <w:r w:rsidR="00CD256D">
        <w:t>s’</w:t>
      </w:r>
      <w:r w:rsidRPr="00707FED">
        <w:t>.</w:t>
      </w:r>
    </w:p>
    <w:p w:rsidR="00CA669F" w:rsidRPr="00214F9E" w:rsidRDefault="00CA669F" w:rsidP="00C70F6B"/>
    <w:p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Pr="00013B24" w:rsidRDefault="00BC1364" w:rsidP="00DD2858">
      <w:pPr>
        <w:rPr>
          <w:szCs w:val="24"/>
        </w:rPr>
      </w:pPr>
    </w:p>
    <w:p w:rsidR="00BC1364" w:rsidRDefault="00264381" w:rsidP="00DD2858">
      <w:pPr>
        <w:rPr>
          <w:szCs w:val="24"/>
        </w:rPr>
      </w:pPr>
      <w:r>
        <w:rPr>
          <w:szCs w:val="24"/>
        </w:rPr>
        <w:t>No specific consumer impact statement was provided in the assessment. Several</w:t>
      </w:r>
      <w:r w:rsidRPr="007A7B08">
        <w:rPr>
          <w:szCs w:val="24"/>
        </w:rPr>
        <w:t xml:space="preserve"> consumer responses were received during </w:t>
      </w:r>
      <w:r>
        <w:rPr>
          <w:szCs w:val="24"/>
        </w:rPr>
        <w:t>the public consultation period, which generally supported the proposal seeing this as a means of providing greater access to foot and ankle surgery services, particularly for the increasing ageing population.</w:t>
      </w:r>
    </w:p>
    <w:p w:rsidR="00020350" w:rsidRDefault="00020350" w:rsidP="00DD2858">
      <w:pPr>
        <w:rPr>
          <w:szCs w:val="24"/>
        </w:rPr>
      </w:pPr>
    </w:p>
    <w:p w:rsidR="00035130" w:rsidRDefault="000467D9" w:rsidP="00DD2858">
      <w:pPr>
        <w:rPr>
          <w:rFonts w:eastAsia="Calibri"/>
          <w:color w:val="000000"/>
          <w:szCs w:val="24"/>
        </w:rPr>
      </w:pPr>
      <w:r>
        <w:rPr>
          <w:szCs w:val="24"/>
        </w:rPr>
        <w:t>Two of the five r</w:t>
      </w:r>
      <w:r w:rsidR="009C0E5C" w:rsidRPr="007A7B08">
        <w:rPr>
          <w:szCs w:val="24"/>
        </w:rPr>
        <w:t xml:space="preserve">esponses </w:t>
      </w:r>
      <w:r w:rsidR="009C0E5C">
        <w:rPr>
          <w:szCs w:val="24"/>
        </w:rPr>
        <w:t xml:space="preserve">from professional organisations considered that the evaluation of </w:t>
      </w:r>
      <w:r w:rsidR="009C0E5C" w:rsidRPr="00135C6E">
        <w:rPr>
          <w:szCs w:val="24"/>
        </w:rPr>
        <w:t>podiatric surgeons’ surgical training standards and competencies was not the remit of MSAC</w:t>
      </w:r>
      <w:r w:rsidR="00035130">
        <w:rPr>
          <w:szCs w:val="24"/>
        </w:rPr>
        <w:t>.</w:t>
      </w:r>
    </w:p>
    <w:p w:rsidR="00CA669F" w:rsidRPr="00013B24" w:rsidRDefault="00CA669F" w:rsidP="00DD2858">
      <w:pPr>
        <w:rPr>
          <w:szCs w:val="24"/>
        </w:rPr>
      </w:pPr>
    </w:p>
    <w:p w:rsidR="00BC1364" w:rsidRDefault="00BC1364" w:rsidP="00035130">
      <w:pPr>
        <w:pStyle w:val="Heading1"/>
        <w:numPr>
          <w:ilvl w:val="0"/>
          <w:numId w:val="23"/>
        </w:numPr>
        <w:ind w:hanging="720"/>
      </w:pPr>
      <w:r w:rsidRPr="00D90A38">
        <w:t>Proposed intervention’s place in clinical management</w:t>
      </w:r>
    </w:p>
    <w:p w:rsidR="00013B24" w:rsidRDefault="00013B24" w:rsidP="00264381"/>
    <w:p w:rsidR="00264381" w:rsidRPr="00214F9E" w:rsidRDefault="00264381" w:rsidP="00264381">
      <w:r w:rsidRPr="00214F9E">
        <w:t>Therapeutic foot and ankle surgical procedures, services and medical consultations provided by podiatric surgeons are expected to offer an al</w:t>
      </w:r>
      <w:r>
        <w:t>ternative provider option. F</w:t>
      </w:r>
      <w:r w:rsidRPr="00214F9E">
        <w:t xml:space="preserve">oot and ankle </w:t>
      </w:r>
      <w:r w:rsidR="00CE1440">
        <w:t xml:space="preserve">MBS </w:t>
      </w:r>
      <w:r w:rsidRPr="00214F9E">
        <w:t xml:space="preserve">services are currently </w:t>
      </w:r>
      <w:r w:rsidR="005C7FC2">
        <w:t xml:space="preserve">primarily </w:t>
      </w:r>
      <w:r w:rsidRPr="00214F9E">
        <w:t xml:space="preserve">performed </w:t>
      </w:r>
      <w:r>
        <w:t>by g</w:t>
      </w:r>
      <w:r w:rsidRPr="00214F9E">
        <w:t xml:space="preserve">eneral </w:t>
      </w:r>
      <w:r>
        <w:t>p</w:t>
      </w:r>
      <w:r w:rsidRPr="00214F9E">
        <w:t>ractitioners and orthopaedic surgeons. The application considers this potential re-organisation of the workforce critical</w:t>
      </w:r>
      <w:r w:rsidR="00CE1440">
        <w:t xml:space="preserve">, particularly </w:t>
      </w:r>
      <w:r w:rsidRPr="00214F9E">
        <w:t>against a backdrop of:</w:t>
      </w:r>
    </w:p>
    <w:p w:rsidR="00264381" w:rsidRPr="00E605B0" w:rsidRDefault="00264381" w:rsidP="00264381">
      <w:pPr>
        <w:pStyle w:val="ListParagraph"/>
        <w:numPr>
          <w:ilvl w:val="0"/>
          <w:numId w:val="26"/>
        </w:numPr>
        <w:jc w:val="both"/>
        <w:rPr>
          <w:szCs w:val="24"/>
        </w:rPr>
      </w:pPr>
      <w:r w:rsidRPr="00214F9E">
        <w:t>Extensive public hospital waiting lists for orthopaedic surgeons above national average for surgery. Long waiting periods for surgery increases the time individuals spend with pain, suffering and reduced quality-of-life</w:t>
      </w:r>
      <w:r w:rsidR="00E605B0">
        <w:t xml:space="preserve">. </w:t>
      </w:r>
      <w:r>
        <w:t>Early foot care in diabetes can prevent more surgery like amputations later</w:t>
      </w:r>
      <w:r w:rsidR="00013B24">
        <w:t>;</w:t>
      </w:r>
    </w:p>
    <w:p w:rsidR="00264381" w:rsidRPr="00214F9E" w:rsidRDefault="00264381" w:rsidP="00264381">
      <w:pPr>
        <w:pStyle w:val="ListParagraph"/>
        <w:numPr>
          <w:ilvl w:val="0"/>
          <w:numId w:val="26"/>
        </w:numPr>
        <w:jc w:val="both"/>
      </w:pPr>
      <w:r w:rsidRPr="00214F9E">
        <w:t>Workforce shortage of surgeons, including orthopaedic (Royal Australian College of Surgeons 2011);</w:t>
      </w:r>
    </w:p>
    <w:p w:rsidR="00264381" w:rsidRPr="00214F9E" w:rsidRDefault="00264381" w:rsidP="00264381">
      <w:pPr>
        <w:pStyle w:val="ListParagraph"/>
        <w:numPr>
          <w:ilvl w:val="0"/>
          <w:numId w:val="26"/>
        </w:numPr>
        <w:jc w:val="both"/>
      </w:pPr>
      <w:r w:rsidRPr="00214F9E">
        <w:t xml:space="preserve">Population growth coupled with an ageing Australian population, likely to significantly increase the demand for health services related to foot and ankle pathology (Access Economics 2008). </w:t>
      </w:r>
      <w:r>
        <w:t>Foot</w:t>
      </w:r>
      <w:r w:rsidRPr="00214F9E">
        <w:t xml:space="preserve"> conditions worsen over time and may be associated with chronic conditions such as diabetes, </w:t>
      </w:r>
      <w:r w:rsidR="00CE1440" w:rsidRPr="00214F9E">
        <w:t>wh</w:t>
      </w:r>
      <w:r w:rsidR="00CE1440">
        <w:t>ose</w:t>
      </w:r>
      <w:r w:rsidR="00CE1440" w:rsidRPr="00214F9E">
        <w:t xml:space="preserve"> </w:t>
      </w:r>
      <w:r w:rsidRPr="00214F9E">
        <w:t>prevalence has more than doubled in the last two decades (AusDiab 2012</w:t>
      </w:r>
      <w:r>
        <w:t>);</w:t>
      </w:r>
    </w:p>
    <w:p w:rsidR="00264381" w:rsidRDefault="00264381" w:rsidP="00264381">
      <w:pPr>
        <w:pStyle w:val="ListParagraph"/>
        <w:numPr>
          <w:ilvl w:val="0"/>
          <w:numId w:val="26"/>
        </w:numPr>
        <w:jc w:val="both"/>
      </w:pPr>
      <w:r w:rsidRPr="00214F9E">
        <w:t>The extent of unmet clinical need as result of the current model of care where the efficie</w:t>
      </w:r>
      <w:r>
        <w:t>ncy and continuity of patient</w:t>
      </w:r>
      <w:r w:rsidRPr="00214F9E">
        <w:t xml:space="preserve"> care could be improved</w:t>
      </w:r>
      <w:r>
        <w:t>; and</w:t>
      </w:r>
    </w:p>
    <w:p w:rsidR="00264381" w:rsidRPr="005938FD" w:rsidRDefault="00264381" w:rsidP="00264381">
      <w:pPr>
        <w:pStyle w:val="ListParagraph"/>
        <w:numPr>
          <w:ilvl w:val="0"/>
          <w:numId w:val="26"/>
        </w:numPr>
        <w:jc w:val="both"/>
      </w:pPr>
      <w:r w:rsidRPr="005938FD">
        <w:t>Rising prevalence</w:t>
      </w:r>
      <w:r w:rsidR="00CE1440">
        <w:t xml:space="preserve"> of f</w:t>
      </w:r>
      <w:r w:rsidRPr="005938FD">
        <w:t>oot problems</w:t>
      </w:r>
      <w:r w:rsidR="00CE1440">
        <w:t>, which</w:t>
      </w:r>
      <w:r w:rsidRPr="005938FD">
        <w:t xml:space="preserve"> are reported by nearly one in five people in the general population. Prevalence is highest among females: those aged over 50 years; those classified as obese; and those who report knee, hip or back pain (A</w:t>
      </w:r>
      <w:r w:rsidR="00BA4FC0">
        <w:t>I</w:t>
      </w:r>
      <w:r w:rsidRPr="005938FD">
        <w:t>HW 2009).</w:t>
      </w:r>
    </w:p>
    <w:p w:rsidR="00264381" w:rsidRDefault="00264381" w:rsidP="00264381"/>
    <w:p w:rsidR="00264381" w:rsidRDefault="00264381" w:rsidP="00264381">
      <w:r w:rsidRPr="00214F9E">
        <w:t xml:space="preserve">The proposed clinical management </w:t>
      </w:r>
      <w:r w:rsidRPr="00191EBF">
        <w:t xml:space="preserve">algorithm </w:t>
      </w:r>
      <w:r w:rsidRPr="00214F9E">
        <w:t xml:space="preserve">for the intended use of foot and ankle surgery </w:t>
      </w:r>
      <w:r>
        <w:t xml:space="preserve">is shown </w:t>
      </w:r>
      <w:r w:rsidR="00E605B0">
        <w:t>in</w:t>
      </w:r>
      <w:r>
        <w:t xml:space="preserve"> Figure 1.</w:t>
      </w:r>
    </w:p>
    <w:p w:rsidR="00264381" w:rsidRPr="00E605B0" w:rsidRDefault="00264381" w:rsidP="00E605B0">
      <w:bookmarkStart w:id="0" w:name="_Ref403123984"/>
    </w:p>
    <w:p w:rsidR="00AA0FBC" w:rsidRDefault="00AA0FBC">
      <w:pPr>
        <w:rPr>
          <w:b/>
        </w:rPr>
      </w:pPr>
      <w:r>
        <w:rPr>
          <w:b/>
        </w:rPr>
        <w:br w:type="page"/>
      </w:r>
    </w:p>
    <w:p w:rsidR="00264381" w:rsidRPr="00214F9E" w:rsidRDefault="00264381" w:rsidP="00264381">
      <w:pPr>
        <w:spacing w:after="200" w:line="276" w:lineRule="auto"/>
        <w:rPr>
          <w:b/>
        </w:rPr>
      </w:pPr>
      <w:r w:rsidRPr="00191EBF">
        <w:rPr>
          <w:b/>
        </w:rPr>
        <w:lastRenderedPageBreak/>
        <w:t xml:space="preserve">Figure </w:t>
      </w:r>
      <w:bookmarkEnd w:id="0"/>
      <w:r>
        <w:rPr>
          <w:b/>
        </w:rPr>
        <w:t>1</w:t>
      </w:r>
      <w:r w:rsidRPr="00191EBF">
        <w:rPr>
          <w:b/>
        </w:rPr>
        <w:t>: Proposed</w:t>
      </w:r>
      <w:r w:rsidRPr="00214F9E">
        <w:rPr>
          <w:b/>
        </w:rPr>
        <w:t xml:space="preserve"> clinical management algorithm</w:t>
      </w:r>
    </w:p>
    <w:bookmarkStart w:id="1" w:name="_GoBack"/>
    <w:p w:rsidR="00264381" w:rsidRPr="00214F9E" w:rsidRDefault="00264381" w:rsidP="00264381">
      <w:r w:rsidRPr="00214F9E">
        <w:rPr>
          <w:rFonts w:ascii="Calibri" w:eastAsia="Calibri" w:hAnsi="Calibri"/>
          <w:noProof/>
          <w:sz w:val="22"/>
          <w:szCs w:val="22"/>
        </w:rPr>
        <mc:AlternateContent>
          <mc:Choice Requires="wpc">
            <w:drawing>
              <wp:inline distT="0" distB="0" distL="0" distR="0" wp14:anchorId="217E1AB6" wp14:editId="7DD37B66">
                <wp:extent cx="6382800" cy="4809600"/>
                <wp:effectExtent l="0" t="0" r="0" b="0"/>
                <wp:docPr id="216" name="Canvas 216" descr="The proposed algorithm shows similar patient pathways for foot and ankle surgeries performed either by podiatric or orthopaedic surgeons with similar health outcomes. The primary difference is that once the patient is determined eligible for surgical treatment, under the orthopaedic surgeon the patient is admitted to hospital, under the podiatric surgeon the patient has options for hospital admission, being an outpatient or going to a day clinic." title="Figure 1: Proposed clinical management algorithm"/>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5" name="Text Box 165"/>
                        <wps:cNvSpPr txBox="1"/>
                        <wps:spPr>
                          <a:xfrm>
                            <a:off x="2587515" y="0"/>
                            <a:ext cx="1488193" cy="360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sz w:val="16"/>
                                  <w:szCs w:val="16"/>
                                </w:rPr>
                                <w:t>Patient experiencing foot or ankle problems</w:t>
                              </w:r>
                            </w:p>
                          </w:txbxContent>
                        </wps:txbx>
                        <wps:bodyPr rot="0" spcFirstLastPara="0" vertOverflow="overflow" horzOverflow="overflow" vert="horz" wrap="square" lIns="85034" tIns="42516" rIns="85034" bIns="42516" numCol="1" spcCol="0" rtlCol="0" fromWordArt="0" anchor="ctr" anchorCtr="0" forceAA="0" compatLnSpc="1">
                          <a:prstTxWarp prst="textNoShape">
                            <a:avLst/>
                          </a:prstTxWarp>
                          <a:noAutofit/>
                        </wps:bodyPr>
                      </wps:wsp>
                      <wps:wsp>
                        <wps:cNvPr id="166" name="Text Box 3"/>
                        <wps:cNvSpPr txBox="1"/>
                        <wps:spPr>
                          <a:xfrm>
                            <a:off x="2614481" y="1297350"/>
                            <a:ext cx="1440000" cy="504000"/>
                          </a:xfrm>
                          <a:prstGeom prst="rect">
                            <a:avLst/>
                          </a:prstGeom>
                          <a:solidFill>
                            <a:sysClr val="window" lastClr="FFFFFF"/>
                          </a:solidFill>
                          <a:ln w="6350">
                            <a:solidFill>
                              <a:prstClr val="black"/>
                            </a:solidFill>
                            <a:prstDash val="solid"/>
                          </a:ln>
                          <a:effectLst/>
                        </wps:spPr>
                        <wps:txbx>
                          <w:txbxContent>
                            <w:p w:rsidR="000467D9" w:rsidRDefault="000467D9" w:rsidP="00264381">
                              <w:pPr>
                                <w:pStyle w:val="TableCentre"/>
                                <w:rPr>
                                  <w:rFonts w:eastAsia="Calibri"/>
                                  <w:sz w:val="16"/>
                                  <w:szCs w:val="16"/>
                                </w:rPr>
                              </w:pPr>
                              <w:r w:rsidRPr="00ED59AF">
                                <w:rPr>
                                  <w:rFonts w:eastAsia="Calibri"/>
                                  <w:sz w:val="16"/>
                                  <w:szCs w:val="16"/>
                                </w:rPr>
                                <w:t xml:space="preserve">Assessment and referral by a service provider </w:t>
                              </w:r>
                            </w:p>
                            <w:p w:rsidR="000467D9" w:rsidRPr="00ED59AF" w:rsidRDefault="000467D9" w:rsidP="00264381">
                              <w:pPr>
                                <w:pStyle w:val="TableCentre"/>
                                <w:rPr>
                                  <w:sz w:val="16"/>
                                  <w:szCs w:val="16"/>
                                </w:rPr>
                              </w:pPr>
                              <w:r w:rsidRPr="00ED59AF">
                                <w:rPr>
                                  <w:rFonts w:eastAsia="Calibri"/>
                                  <w:sz w:val="16"/>
                                  <w:szCs w:val="16"/>
                                </w:rPr>
                                <w:t>(GP or medical specialist)</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67" name="Text Box 3"/>
                        <wps:cNvSpPr txBox="1"/>
                        <wps:spPr>
                          <a:xfrm>
                            <a:off x="880597" y="1307805"/>
                            <a:ext cx="1440000" cy="504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rFonts w:eastAsia="Calibri"/>
                                  <w:sz w:val="16"/>
                                  <w:szCs w:val="16"/>
                                </w:rPr>
                                <w:t>Diagnosis and assessment by an orthopaedic surgeon (involves radiology)</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68" name="Text Box 3"/>
                        <wps:cNvSpPr txBox="1"/>
                        <wps:spPr>
                          <a:xfrm>
                            <a:off x="4342481" y="1308679"/>
                            <a:ext cx="1440000" cy="504000"/>
                          </a:xfrm>
                          <a:prstGeom prst="rect">
                            <a:avLst/>
                          </a:prstGeom>
                          <a:solidFill>
                            <a:sysClr val="window" lastClr="FFFFFF"/>
                          </a:solidFill>
                          <a:ln w="6350">
                            <a:solidFill>
                              <a:prstClr val="black"/>
                            </a:solidFill>
                            <a:prstDash val="solid"/>
                          </a:ln>
                          <a:effectLst/>
                        </wps:spPr>
                        <wps:txbx>
                          <w:txbxContent>
                            <w:p w:rsidR="000467D9" w:rsidRDefault="000467D9" w:rsidP="00264381">
                              <w:pPr>
                                <w:pStyle w:val="TableCentre"/>
                                <w:rPr>
                                  <w:rFonts w:eastAsia="Calibri"/>
                                  <w:sz w:val="16"/>
                                  <w:szCs w:val="16"/>
                                </w:rPr>
                              </w:pPr>
                              <w:r>
                                <w:rPr>
                                  <w:rFonts w:eastAsia="Calibri"/>
                                  <w:sz w:val="16"/>
                                  <w:szCs w:val="16"/>
                                </w:rPr>
                                <w:t>Diagnosis and assessment by a podiatric s</w:t>
                              </w:r>
                              <w:r w:rsidRPr="00ED59AF">
                                <w:rPr>
                                  <w:rFonts w:eastAsia="Calibri"/>
                                  <w:sz w:val="16"/>
                                  <w:szCs w:val="16"/>
                                </w:rPr>
                                <w:t xml:space="preserve">urgeon </w:t>
                              </w:r>
                            </w:p>
                            <w:p w:rsidR="000467D9" w:rsidRPr="00ED59AF" w:rsidRDefault="000467D9" w:rsidP="00264381">
                              <w:pPr>
                                <w:pStyle w:val="TableCentre"/>
                                <w:rPr>
                                  <w:rFonts w:eastAsia="Calibri"/>
                                  <w:sz w:val="16"/>
                                  <w:szCs w:val="16"/>
                                </w:rPr>
                              </w:pPr>
                              <w:r w:rsidRPr="00ED59AF">
                                <w:rPr>
                                  <w:rFonts w:eastAsia="Calibri"/>
                                  <w:sz w:val="16"/>
                                  <w:szCs w:val="16"/>
                                </w:rPr>
                                <w:t>(involves radiology)</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69" name="Text Box 3"/>
                        <wps:cNvSpPr txBox="1"/>
                        <wps:spPr>
                          <a:xfrm>
                            <a:off x="226083" y="2109117"/>
                            <a:ext cx="1080000" cy="360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rFonts w:eastAsia="Calibri"/>
                                  <w:sz w:val="16"/>
                                  <w:szCs w:val="16"/>
                                </w:rPr>
                                <w:t>Eligible for surgical treatment</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70" name="Text Box 3"/>
                        <wps:cNvSpPr txBox="1"/>
                        <wps:spPr>
                          <a:xfrm>
                            <a:off x="1740750" y="2104235"/>
                            <a:ext cx="1080000" cy="576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rFonts w:eastAsia="Calibri"/>
                                  <w:sz w:val="16"/>
                                  <w:szCs w:val="16"/>
                                </w:rPr>
                              </w:pPr>
                              <w:r w:rsidRPr="00ED59AF">
                                <w:rPr>
                                  <w:rFonts w:eastAsia="Calibri"/>
                                  <w:sz w:val="16"/>
                                  <w:szCs w:val="16"/>
                                </w:rPr>
                                <w:t>Not eligible for surgical treatment or patient does not want surgery</w:t>
                              </w:r>
                            </w:p>
                            <w:p w:rsidR="000467D9" w:rsidRPr="00ED59AF" w:rsidRDefault="000467D9" w:rsidP="00264381">
                              <w:pPr>
                                <w:pStyle w:val="TableCentre"/>
                                <w:rPr>
                                  <w:sz w:val="16"/>
                                  <w:szCs w:val="16"/>
                                </w:rPr>
                              </w:pPr>
                              <w:r w:rsidRPr="00ED59AF">
                                <w:rPr>
                                  <w:sz w:val="16"/>
                                  <w:szCs w:val="16"/>
                                </w:rPr>
                                <w:t> </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71" name="Text Box 3"/>
                        <wps:cNvSpPr txBox="1"/>
                        <wps:spPr>
                          <a:xfrm>
                            <a:off x="3747519" y="2115901"/>
                            <a:ext cx="1080000" cy="360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rFonts w:eastAsia="Calibri"/>
                                  <w:sz w:val="16"/>
                                  <w:szCs w:val="16"/>
                                </w:rPr>
                                <w:t>Eligible for surgical treatment</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72" name="Text Box 3"/>
                        <wps:cNvSpPr txBox="1"/>
                        <wps:spPr>
                          <a:xfrm>
                            <a:off x="5228931" y="2078567"/>
                            <a:ext cx="1080000" cy="576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rFonts w:eastAsia="Calibri"/>
                                  <w:sz w:val="16"/>
                                  <w:szCs w:val="16"/>
                                </w:rPr>
                                <w:t>Not eligible for surgical treatment or patient does not want surgery</w:t>
                              </w:r>
                            </w:p>
                            <w:p w:rsidR="000467D9" w:rsidRPr="00ED59AF" w:rsidRDefault="000467D9" w:rsidP="00264381">
                              <w:pPr>
                                <w:pStyle w:val="TableCentre"/>
                                <w:rPr>
                                  <w:sz w:val="16"/>
                                  <w:szCs w:val="16"/>
                                </w:rPr>
                              </w:pPr>
                              <w:r w:rsidRPr="00ED59AF">
                                <w:rPr>
                                  <w:sz w:val="16"/>
                                  <w:szCs w:val="16"/>
                                </w:rPr>
                                <w:t> </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73" name="Text Box 3"/>
                        <wps:cNvSpPr txBox="1"/>
                        <wps:spPr>
                          <a:xfrm>
                            <a:off x="49921" y="2754536"/>
                            <a:ext cx="1440000" cy="576000"/>
                          </a:xfrm>
                          <a:prstGeom prst="rect">
                            <a:avLst/>
                          </a:prstGeom>
                          <a:solidFill>
                            <a:sysClr val="window" lastClr="FFFFFF"/>
                          </a:solidFill>
                          <a:ln w="6350">
                            <a:solidFill>
                              <a:prstClr val="black"/>
                            </a:solidFill>
                            <a:prstDash val="solid"/>
                          </a:ln>
                          <a:effectLst/>
                        </wps:spPr>
                        <wps:txbx>
                          <w:txbxContent>
                            <w:p w:rsidR="000467D9" w:rsidRDefault="000467D9" w:rsidP="00264381">
                              <w:pPr>
                                <w:pStyle w:val="TableCentre"/>
                                <w:rPr>
                                  <w:rFonts w:eastAsia="Calibri"/>
                                  <w:sz w:val="16"/>
                                  <w:szCs w:val="16"/>
                                </w:rPr>
                              </w:pPr>
                              <w:r w:rsidRPr="00ED59AF">
                                <w:rPr>
                                  <w:rFonts w:eastAsia="Calibri"/>
                                  <w:sz w:val="16"/>
                                  <w:szCs w:val="16"/>
                                </w:rPr>
                                <w:t xml:space="preserve">Hospital admission and surgery performed by an orthopaedic surgeon </w:t>
                              </w:r>
                            </w:p>
                            <w:p w:rsidR="000467D9" w:rsidRPr="00ED59AF" w:rsidRDefault="000467D9" w:rsidP="00264381">
                              <w:pPr>
                                <w:pStyle w:val="TableCentre"/>
                                <w:rPr>
                                  <w:sz w:val="16"/>
                                  <w:szCs w:val="16"/>
                                </w:rPr>
                              </w:pPr>
                              <w:r w:rsidRPr="00ED59AF">
                                <w:rPr>
                                  <w:rFonts w:eastAsia="Calibri"/>
                                  <w:sz w:val="16"/>
                                  <w:szCs w:val="16"/>
                                </w:rPr>
                                <w:t>(with access to MBS items)</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74" name="Text Box 3"/>
                        <wps:cNvSpPr txBox="1"/>
                        <wps:spPr>
                          <a:xfrm>
                            <a:off x="5246463" y="2943300"/>
                            <a:ext cx="1080000" cy="360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rFonts w:eastAsia="Calibri"/>
                                  <w:sz w:val="16"/>
                                  <w:szCs w:val="16"/>
                                </w:rPr>
                              </w:pPr>
                              <w:r w:rsidRPr="00ED59AF">
                                <w:rPr>
                                  <w:rFonts w:eastAsia="Calibri"/>
                                  <w:sz w:val="16"/>
                                  <w:szCs w:val="16"/>
                                </w:rPr>
                                <w:t>Non-surgical management</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75" name="Text Box 3"/>
                        <wps:cNvSpPr txBox="1"/>
                        <wps:spPr>
                          <a:xfrm>
                            <a:off x="1" y="4302744"/>
                            <a:ext cx="720000" cy="468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sz w:val="16"/>
                                  <w:szCs w:val="16"/>
                                </w:rPr>
                                <w:t>Treatment success</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76" name="Text Box 3"/>
                        <wps:cNvSpPr txBox="1"/>
                        <wps:spPr>
                          <a:xfrm>
                            <a:off x="720001" y="3644918"/>
                            <a:ext cx="936000" cy="360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rFonts w:eastAsia="Calibri"/>
                                  <w:sz w:val="16"/>
                                  <w:szCs w:val="16"/>
                                </w:rPr>
                                <w:t>Treatment failure or recurrence</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77" name="Text Box 3"/>
                        <wps:cNvSpPr txBox="1"/>
                        <wps:spPr>
                          <a:xfrm>
                            <a:off x="809196" y="4293219"/>
                            <a:ext cx="720000" cy="468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rFonts w:eastAsia="Calibri"/>
                                  <w:sz w:val="16"/>
                                  <w:szCs w:val="16"/>
                                </w:rPr>
                                <w:t>Ongoing problems</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78" name="Text Box 3"/>
                        <wps:cNvSpPr txBox="1"/>
                        <wps:spPr>
                          <a:xfrm>
                            <a:off x="3530736" y="2766912"/>
                            <a:ext cx="1584000" cy="576000"/>
                          </a:xfrm>
                          <a:prstGeom prst="rect">
                            <a:avLst/>
                          </a:prstGeom>
                          <a:solidFill>
                            <a:sysClr val="window" lastClr="FFFFFF">
                              <a:lumMod val="85000"/>
                            </a:sysClr>
                          </a:solidFill>
                          <a:ln w="6350">
                            <a:solidFill>
                              <a:prstClr val="black"/>
                            </a:solidFill>
                            <a:prstDash val="solid"/>
                          </a:ln>
                          <a:effectLst/>
                        </wps:spPr>
                        <wps:txbx>
                          <w:txbxContent>
                            <w:p w:rsidR="000467D9" w:rsidRDefault="000467D9" w:rsidP="00264381">
                              <w:pPr>
                                <w:pStyle w:val="TableCentre"/>
                                <w:rPr>
                                  <w:sz w:val="16"/>
                                  <w:szCs w:val="16"/>
                                </w:rPr>
                              </w:pPr>
                              <w:r w:rsidRPr="00382B3C">
                                <w:rPr>
                                  <w:sz w:val="16"/>
                                  <w:szCs w:val="16"/>
                                </w:rPr>
                                <w:t xml:space="preserve">Hospital </w:t>
                              </w:r>
                              <w:r>
                                <w:rPr>
                                  <w:sz w:val="16"/>
                                  <w:szCs w:val="16"/>
                                </w:rPr>
                                <w:t>a</w:t>
                              </w:r>
                              <w:r w:rsidRPr="00382B3C">
                                <w:rPr>
                                  <w:sz w:val="16"/>
                                  <w:szCs w:val="16"/>
                                </w:rPr>
                                <w:t>dmission/</w:t>
                              </w:r>
                              <w:r>
                                <w:rPr>
                                  <w:sz w:val="16"/>
                                  <w:szCs w:val="16"/>
                                </w:rPr>
                                <w:t xml:space="preserve"> </w:t>
                              </w:r>
                              <w:r w:rsidRPr="00382B3C">
                                <w:rPr>
                                  <w:sz w:val="16"/>
                                  <w:szCs w:val="16"/>
                                </w:rPr>
                                <w:t>outpatient/ day cli</w:t>
                              </w:r>
                              <w:r>
                                <w:rPr>
                                  <w:sz w:val="16"/>
                                  <w:szCs w:val="16"/>
                                </w:rPr>
                                <w:t>nic and surgery performed by a podiatric s</w:t>
                              </w:r>
                              <w:r w:rsidRPr="00382B3C">
                                <w:rPr>
                                  <w:sz w:val="16"/>
                                  <w:szCs w:val="16"/>
                                </w:rPr>
                                <w:t xml:space="preserve">urgeon </w:t>
                              </w:r>
                            </w:p>
                            <w:p w:rsidR="000467D9" w:rsidRPr="00ED59AF" w:rsidRDefault="000467D9" w:rsidP="00264381">
                              <w:pPr>
                                <w:pStyle w:val="TableCentre"/>
                                <w:rPr>
                                  <w:sz w:val="16"/>
                                  <w:szCs w:val="16"/>
                                </w:rPr>
                              </w:pPr>
                              <w:r w:rsidRPr="00382B3C">
                                <w:rPr>
                                  <w:sz w:val="16"/>
                                  <w:szCs w:val="16"/>
                                </w:rPr>
                                <w:t>(with access to MBS items)</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79" name="Text Box 3"/>
                        <wps:cNvSpPr txBox="1"/>
                        <wps:spPr>
                          <a:xfrm>
                            <a:off x="3530736" y="4272661"/>
                            <a:ext cx="720000" cy="468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sz w:val="16"/>
                                  <w:szCs w:val="16"/>
                                </w:rPr>
                                <w:t>Treatment success</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80" name="Text Box 3"/>
                        <wps:cNvSpPr txBox="1"/>
                        <wps:spPr>
                          <a:xfrm>
                            <a:off x="4213439" y="3629839"/>
                            <a:ext cx="936000" cy="360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rFonts w:eastAsia="Calibri"/>
                                  <w:sz w:val="16"/>
                                  <w:szCs w:val="16"/>
                                </w:rPr>
                                <w:t>Treatment failure or recurrence</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81" name="Text Box 3"/>
                        <wps:cNvSpPr txBox="1"/>
                        <wps:spPr>
                          <a:xfrm>
                            <a:off x="4337913" y="4262628"/>
                            <a:ext cx="720000" cy="468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sz w:val="16"/>
                                  <w:szCs w:val="16"/>
                                </w:rPr>
                                <w:t>Ongoing problems</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82" name="Straight Arrow Connector 182"/>
                        <wps:cNvCnPr>
                          <a:stCxn id="165" idx="2"/>
                          <a:endCxn id="103" idx="0"/>
                        </wps:cNvCnPr>
                        <wps:spPr>
                          <a:xfrm flipH="1">
                            <a:off x="3331203" y="360000"/>
                            <a:ext cx="409" cy="28498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3" name="Straight Arrow Connector 183"/>
                        <wps:cNvCnPr/>
                        <wps:spPr>
                          <a:xfrm flipH="1">
                            <a:off x="914552" y="1810725"/>
                            <a:ext cx="425198" cy="288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4" name="Straight Arrow Connector 184"/>
                        <wps:cNvCnPr/>
                        <wps:spPr>
                          <a:xfrm>
                            <a:off x="1884833" y="1821117"/>
                            <a:ext cx="425198" cy="288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5" name="Straight Arrow Connector 185"/>
                        <wps:cNvCnPr/>
                        <wps:spPr>
                          <a:xfrm flipH="1">
                            <a:off x="4250736" y="1821117"/>
                            <a:ext cx="425198" cy="288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6" name="Straight Arrow Connector 186"/>
                        <wps:cNvCnPr/>
                        <wps:spPr>
                          <a:xfrm>
                            <a:off x="5357283" y="1810725"/>
                            <a:ext cx="425198" cy="26784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7" name="Straight Arrow Connector 187"/>
                        <wps:cNvCnPr>
                          <a:stCxn id="169" idx="2"/>
                          <a:endCxn id="173" idx="0"/>
                        </wps:cNvCnPr>
                        <wps:spPr>
                          <a:xfrm>
                            <a:off x="766083" y="2469116"/>
                            <a:ext cx="0" cy="288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8" name="Straight Arrow Connector 188"/>
                        <wps:cNvCnPr/>
                        <wps:spPr>
                          <a:xfrm>
                            <a:off x="363228" y="3341839"/>
                            <a:ext cx="0" cy="96927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9" name="Straight Arrow Connector 189"/>
                        <wps:cNvCnPr/>
                        <wps:spPr>
                          <a:xfrm>
                            <a:off x="1171519" y="3341839"/>
                            <a:ext cx="0" cy="288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0" name="Straight Arrow Connector 190"/>
                        <wps:cNvCnPr/>
                        <wps:spPr>
                          <a:xfrm>
                            <a:off x="3912464" y="3342912"/>
                            <a:ext cx="0" cy="92974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1" name="Straight Arrow Connector 191"/>
                        <wps:cNvCnPr/>
                        <wps:spPr>
                          <a:xfrm>
                            <a:off x="4675934" y="3356918"/>
                            <a:ext cx="0" cy="288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2" name="Straight Arrow Connector 192"/>
                        <wps:cNvCnPr/>
                        <wps:spPr>
                          <a:xfrm>
                            <a:off x="1161167" y="4014744"/>
                            <a:ext cx="0" cy="288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3" name="Straight Arrow Connector 193"/>
                        <wps:cNvCnPr/>
                        <wps:spPr>
                          <a:xfrm>
                            <a:off x="5806467" y="3301732"/>
                            <a:ext cx="21" cy="99148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4" name="Straight Arrow Connector 194"/>
                        <wps:cNvCnPr/>
                        <wps:spPr>
                          <a:xfrm>
                            <a:off x="4679314" y="3984661"/>
                            <a:ext cx="16" cy="288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8" name="Text Box 3"/>
                        <wps:cNvSpPr txBox="1"/>
                        <wps:spPr>
                          <a:xfrm>
                            <a:off x="5265511" y="4280616"/>
                            <a:ext cx="1080000" cy="468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sz w:val="16"/>
                                  <w:szCs w:val="16"/>
                                </w:rPr>
                                <w:t>Improved mobility, comfort, arrested degeneration etc.</w:t>
                              </w:r>
                            </w:p>
                            <w:p w:rsidR="000467D9" w:rsidRPr="00ED59AF" w:rsidRDefault="000467D9" w:rsidP="00264381">
                              <w:pPr>
                                <w:pStyle w:val="TableCentre"/>
                                <w:rPr>
                                  <w:sz w:val="16"/>
                                  <w:szCs w:val="16"/>
                                </w:rPr>
                              </w:pPr>
                              <w:r w:rsidRPr="00ED59AF">
                                <w:rPr>
                                  <w:sz w:val="16"/>
                                  <w:szCs w:val="16"/>
                                </w:rPr>
                                <w:t> </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99" name="Straight Arrow Connector 199"/>
                        <wps:cNvCnPr>
                          <a:stCxn id="171" idx="2"/>
                          <a:endCxn id="178" idx="0"/>
                        </wps:cNvCnPr>
                        <wps:spPr>
                          <a:xfrm>
                            <a:off x="4287519" y="2475901"/>
                            <a:ext cx="35217" cy="29101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0" name="Straight Arrow Connector 200"/>
                        <wps:cNvCnPr/>
                        <wps:spPr>
                          <a:xfrm>
                            <a:off x="5782481" y="2654567"/>
                            <a:ext cx="0" cy="288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1" name="Text Box 3"/>
                        <wps:cNvSpPr txBox="1"/>
                        <wps:spPr>
                          <a:xfrm>
                            <a:off x="1772668" y="2981839"/>
                            <a:ext cx="1080000" cy="360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rFonts w:eastAsia="Calibri"/>
                                  <w:sz w:val="16"/>
                                  <w:szCs w:val="16"/>
                                </w:rPr>
                                <w:t>Non-surgical management</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202" name="Straight Arrow Connector 202"/>
                        <wps:cNvCnPr>
                          <a:stCxn id="201" idx="2"/>
                          <a:endCxn id="203" idx="0"/>
                        </wps:cNvCnPr>
                        <wps:spPr>
                          <a:xfrm flipH="1">
                            <a:off x="2312046" y="3341839"/>
                            <a:ext cx="622" cy="956848"/>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3" name="Text Box 3"/>
                        <wps:cNvSpPr txBox="1"/>
                        <wps:spPr>
                          <a:xfrm>
                            <a:off x="1772046" y="4298687"/>
                            <a:ext cx="1080000" cy="468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sz w:val="16"/>
                                  <w:szCs w:val="16"/>
                                </w:rPr>
                                <w:t>Improved mobility, comfort, arrested degeneration etc.</w:t>
                              </w:r>
                            </w:p>
                            <w:p w:rsidR="000467D9" w:rsidRPr="00ED59AF" w:rsidRDefault="000467D9" w:rsidP="00264381">
                              <w:pPr>
                                <w:pStyle w:val="TableCentre"/>
                                <w:rPr>
                                  <w:sz w:val="16"/>
                                  <w:szCs w:val="16"/>
                                </w:rPr>
                              </w:pPr>
                              <w:r w:rsidRPr="00ED59AF">
                                <w:rPr>
                                  <w:sz w:val="16"/>
                                  <w:szCs w:val="16"/>
                                </w:rPr>
                                <w:t> </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207" name="Straight Arrow Connector 207"/>
                        <wps:cNvCnPr/>
                        <wps:spPr>
                          <a:xfrm>
                            <a:off x="2310031" y="2680235"/>
                            <a:ext cx="0" cy="288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9" name="Straight Arrow Connector 209"/>
                        <wps:cNvCnPr/>
                        <wps:spPr>
                          <a:xfrm flipH="1">
                            <a:off x="2331395" y="1549350"/>
                            <a:ext cx="288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11" name="Straight Arrow Connector 211"/>
                        <wps:cNvCnPr/>
                        <wps:spPr>
                          <a:xfrm>
                            <a:off x="4054481" y="1549247"/>
                            <a:ext cx="288000" cy="10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15" name="Straight Arrow Connector 215"/>
                        <wps:cNvCnPr>
                          <a:endCxn id="176" idx="3"/>
                        </wps:cNvCnPr>
                        <wps:spPr>
                          <a:xfrm rot="5400000">
                            <a:off x="1615068" y="3382773"/>
                            <a:ext cx="483079" cy="401211"/>
                          </a:xfrm>
                          <a:prstGeom prst="bentConnector2">
                            <a:avLst/>
                          </a:prstGeom>
                          <a:noFill/>
                          <a:ln w="9525" cap="flat" cmpd="sng" algn="ctr">
                            <a:solidFill>
                              <a:sysClr val="windowText" lastClr="000000">
                                <a:shade val="95000"/>
                                <a:satMod val="105000"/>
                              </a:sysClr>
                            </a:solidFill>
                            <a:prstDash val="solid"/>
                            <a:tailEnd type="arrow"/>
                          </a:ln>
                          <a:effectLst/>
                        </wps:spPr>
                        <wps:bodyPr/>
                      </wps:wsp>
                      <wps:wsp>
                        <wps:cNvPr id="16" name="Straight Arrow Connector 16"/>
                        <wps:cNvCnPr/>
                        <wps:spPr>
                          <a:xfrm flipV="1">
                            <a:off x="5086842" y="1801350"/>
                            <a:ext cx="0" cy="182848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3" name="Straight Arrow Connector 113"/>
                        <wps:cNvCnPr>
                          <a:endCxn id="167" idx="2"/>
                        </wps:cNvCnPr>
                        <wps:spPr>
                          <a:xfrm flipV="1">
                            <a:off x="1600597" y="1811805"/>
                            <a:ext cx="0" cy="183311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3" name="Text Box 3"/>
                        <wps:cNvSpPr txBox="1"/>
                        <wps:spPr>
                          <a:xfrm>
                            <a:off x="2587402" y="644985"/>
                            <a:ext cx="1487602" cy="360000"/>
                          </a:xfrm>
                          <a:prstGeom prst="rect">
                            <a:avLst/>
                          </a:prstGeom>
                          <a:solidFill>
                            <a:sysClr val="window" lastClr="FFFFFF"/>
                          </a:solidFill>
                          <a:ln w="6350">
                            <a:solidFill>
                              <a:prstClr val="black"/>
                            </a:solidFill>
                            <a:prstDash val="solid"/>
                          </a:ln>
                          <a:effectLst/>
                        </wps:spPr>
                        <wps:txbx>
                          <w:txbxContent>
                            <w:p w:rsidR="000467D9" w:rsidRPr="00ED59AF" w:rsidRDefault="000467D9" w:rsidP="00264381">
                              <w:pPr>
                                <w:pStyle w:val="TableCentre"/>
                                <w:rPr>
                                  <w:sz w:val="16"/>
                                  <w:szCs w:val="16"/>
                                </w:rPr>
                              </w:pPr>
                              <w:r w:rsidRPr="00ED59AF">
                                <w:rPr>
                                  <w:rFonts w:eastAsia="Calibri"/>
                                  <w:sz w:val="16"/>
                                  <w:szCs w:val="16"/>
                                </w:rPr>
                                <w:t>Assessment and/or treatment by GP or Podiatrist</w:t>
                              </w:r>
                            </w:p>
                          </w:txbxContent>
                        </wps:txbx>
                        <wps:bodyPr rot="0" spcFirstLastPara="0" vert="horz" wrap="square" lIns="85034" tIns="42516" rIns="85034" bIns="42516" numCol="1" spcCol="0" rtlCol="0" fromWordArt="0" anchor="ctr" anchorCtr="0" forceAA="0" compatLnSpc="1">
                          <a:prstTxWarp prst="textNoShape">
                            <a:avLst/>
                          </a:prstTxWarp>
                          <a:noAutofit/>
                        </wps:bodyPr>
                      </wps:wsp>
                      <wps:wsp>
                        <wps:cNvPr id="104" name="Straight Arrow Connector 104"/>
                        <wps:cNvCnPr>
                          <a:stCxn id="103" idx="2"/>
                          <a:endCxn id="166" idx="0"/>
                        </wps:cNvCnPr>
                        <wps:spPr>
                          <a:xfrm>
                            <a:off x="3331203" y="1004985"/>
                            <a:ext cx="0" cy="288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32" name="Straight Arrow Connector 215"/>
                        <wps:cNvCnPr>
                          <a:endCxn id="180" idx="3"/>
                        </wps:cNvCnPr>
                        <wps:spPr>
                          <a:xfrm rot="10800000" flipV="1">
                            <a:off x="5149440" y="3307435"/>
                            <a:ext cx="657049" cy="502404"/>
                          </a:xfrm>
                          <a:prstGeom prst="bentConnector3">
                            <a:avLst>
                              <a:gd name="adj1" fmla="val 50000"/>
                            </a:avLst>
                          </a:prstGeom>
                          <a:noFill/>
                          <a:ln w="9525" cap="flat" cmpd="sng" algn="ctr">
                            <a:solidFill>
                              <a:sysClr val="windowText" lastClr="000000">
                                <a:shade val="95000"/>
                                <a:satMod val="105000"/>
                              </a:sysClr>
                            </a:solidFill>
                            <a:prstDash val="solid"/>
                            <a:tailEnd type="arrow"/>
                          </a:ln>
                          <a:effectLst/>
                        </wps:spPr>
                        <wps:bodyPr/>
                      </wps:wsp>
                    </wpc:wpc>
                  </a:graphicData>
                </a:graphic>
              </wp:inline>
            </w:drawing>
          </mc:Choice>
          <mc:Fallback>
            <w:pict>
              <v:group id="Canvas 216" o:spid="_x0000_s1026" editas="canvas" alt="Title: Figure 1: Proposed clinical management algorithm - Description: The proposed algorithm shows similar patient pathways for foot and ankle surgeries performed either by podiatric or orthopaedic surgeons with similar health outcomes. The primary difference is that once the patient is determined eligible for surgical treatment, under the orthopaedic surgeon the patient is admitted to hospital, under the podiatric surgeon the patient has options for hospital admission, being an outpatient or going to a day clinic." style="width:502.6pt;height:378.7pt;mso-position-horizontal-relative:char;mso-position-vertical-relative:line" coordsize="63823,4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e proposed algorithm shows similar patient pathways for foot and ankle surgeries performed either by podiatric or orthopaedic surgeons with similar health outcomes. The primary difference is that once the patient is determined eligible for surgical treatment, under the orthopaedic surgeon the patient is admitted to hospital, under the podiatric surgeon the patient has options for hospital admission, being an outpatient or going to a day clinic." style="position:absolute;width:63823;height:48094;visibility:visible;mso-wrap-style:square">
                  <v:fill o:detectmouseclick="t"/>
                  <v:path o:connecttype="none"/>
                </v:shape>
                <v:shapetype id="_x0000_t202" coordsize="21600,21600" o:spt="202" path="m,l,21600r21600,l21600,xe">
                  <v:stroke joinstyle="miter"/>
                  <v:path gradientshapeok="t" o:connecttype="rect"/>
                </v:shapetype>
                <v:shape id="Text Box 165" o:spid="_x0000_s1028" type="#_x0000_t202" style="position:absolute;left:25875;width:14882;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sksMA&#10;AADcAAAADwAAAGRycy9kb3ducmV2LnhtbERPTWvCQBC9F/wPyxS8FN0oVCS6ijaEeOilpt6H7JiE&#10;Zmdjdhtjfn23UOhtHu9ztvvBNKKnztWWFSzmEQjiwuqaSwWfeTpbg3AeWWNjmRQ8yMF+N3naYqzt&#10;nT+oP/tShBB2MSqovG9jKV1RkUE3ty1x4K62M+gD7EqpO7yHcNPIZRStpMGaQ0OFLb1VVHydv42C&#10;/hIdD8kiT8b8hln2Mq7f05tTavo8HDYgPA3+X/znPukwf/UKv8+EC+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WsksMAAADcAAAADwAAAAAAAAAAAAAAAACYAgAAZHJzL2Rv&#10;d25yZXYueG1sUEsFBgAAAAAEAAQA9QAAAIgDAAAAAA==&#10;" fillcolor="window" strokeweight=".5pt">
                  <v:textbox inset="2.36206mm,1.181mm,2.36206mm,1.181mm">
                    <w:txbxContent>
                      <w:p w:rsidR="000467D9" w:rsidRPr="00ED59AF" w:rsidRDefault="000467D9" w:rsidP="00264381">
                        <w:pPr>
                          <w:pStyle w:val="TableCentre"/>
                          <w:rPr>
                            <w:sz w:val="16"/>
                            <w:szCs w:val="16"/>
                          </w:rPr>
                        </w:pPr>
                        <w:r w:rsidRPr="00ED59AF">
                          <w:rPr>
                            <w:sz w:val="16"/>
                            <w:szCs w:val="16"/>
                          </w:rPr>
                          <w:t>Patient experiencing foot or ankle problems</w:t>
                        </w:r>
                      </w:p>
                    </w:txbxContent>
                  </v:textbox>
                </v:shape>
                <v:shape id="Text Box 3" o:spid="_x0000_s1029" type="#_x0000_t202" style="position:absolute;left:26144;top:12973;width:1440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y5cMA&#10;AADcAAAADwAAAGRycy9kb3ducmV2LnhtbERPTWvCQBC9F/wPywi9FLOxhyDRjVhF0kMvNXofsmMS&#10;mp2N2TVJ/fXdQqG3ebzP2Wwn04qBetdYVrCMYhDEpdUNVwrOxXGxAuE8ssbWMin4JgfbbPa0wVTb&#10;kT9pOPlKhBB2KSqove9SKV1Zk0EX2Y44cFfbG/QB9pXUPY4h3LTyNY4TabDh0FBjR/uayq/T3SgY&#10;LvHb7rAsDo/ihnn+8lh9HG9Oqef5tFuD8DT5f/Gf+12H+UkCv8+EC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cy5cMAAADcAAAADwAAAAAAAAAAAAAAAACYAgAAZHJzL2Rv&#10;d25yZXYueG1sUEsFBgAAAAAEAAQA9QAAAIgDAAAAAA==&#10;" fillcolor="window" strokeweight=".5pt">
                  <v:textbox inset="2.36206mm,1.181mm,2.36206mm,1.181mm">
                    <w:txbxContent>
                      <w:p w:rsidR="000467D9" w:rsidRDefault="000467D9" w:rsidP="00264381">
                        <w:pPr>
                          <w:pStyle w:val="TableCentre"/>
                          <w:rPr>
                            <w:rFonts w:eastAsia="Calibri"/>
                            <w:sz w:val="16"/>
                            <w:szCs w:val="16"/>
                          </w:rPr>
                        </w:pPr>
                        <w:r w:rsidRPr="00ED59AF">
                          <w:rPr>
                            <w:rFonts w:eastAsia="Calibri"/>
                            <w:sz w:val="16"/>
                            <w:szCs w:val="16"/>
                          </w:rPr>
                          <w:t xml:space="preserve">Assessment and referral by a service provider </w:t>
                        </w:r>
                      </w:p>
                      <w:p w:rsidR="000467D9" w:rsidRPr="00ED59AF" w:rsidRDefault="000467D9" w:rsidP="00264381">
                        <w:pPr>
                          <w:pStyle w:val="TableCentre"/>
                          <w:rPr>
                            <w:sz w:val="16"/>
                            <w:szCs w:val="16"/>
                          </w:rPr>
                        </w:pPr>
                        <w:r w:rsidRPr="00ED59AF">
                          <w:rPr>
                            <w:rFonts w:eastAsia="Calibri"/>
                            <w:sz w:val="16"/>
                            <w:szCs w:val="16"/>
                          </w:rPr>
                          <w:t>(GP or medical specialist)</w:t>
                        </w:r>
                      </w:p>
                    </w:txbxContent>
                  </v:textbox>
                </v:shape>
                <v:shape id="Text Box 3" o:spid="_x0000_s1030" type="#_x0000_t202" style="position:absolute;left:8805;top:13078;width:1440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XfsQA&#10;AADcAAAADwAAAGRycy9kb3ducmV2LnhtbERPTWvCQBC9C/0PyxS8SN3oIUp0FdsQ4qEXTXsfsmMS&#10;mp2N2W2M/vpuodDbPN7nbPejacVAvWssK1jMIxDEpdUNVwo+iuxlDcJ5ZI2tZVJwJwf73dNki4m2&#10;Nz7RcPaVCCHsElRQe98lUrqyJoNubjviwF1sb9AH2FdS93gL4aaVyyiKpcGGQ0ONHb3VVH6dv42C&#10;4TN6PaSLIn0UV8zz2WP9nl2dUtPn8bAB4Wn0/+I/91GH+fEKfp8JF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bl37EAAAA3AAAAA8AAAAAAAAAAAAAAAAAmAIAAGRycy9k&#10;b3ducmV2LnhtbFBLBQYAAAAABAAEAPUAAACJAwAAAAA=&#10;" fillcolor="window" strokeweight=".5pt">
                  <v:textbox inset="2.36206mm,1.181mm,2.36206mm,1.181mm">
                    <w:txbxContent>
                      <w:p w:rsidR="000467D9" w:rsidRPr="00ED59AF" w:rsidRDefault="000467D9" w:rsidP="00264381">
                        <w:pPr>
                          <w:pStyle w:val="TableCentre"/>
                          <w:rPr>
                            <w:sz w:val="16"/>
                            <w:szCs w:val="16"/>
                          </w:rPr>
                        </w:pPr>
                        <w:r w:rsidRPr="00ED59AF">
                          <w:rPr>
                            <w:rFonts w:eastAsia="Calibri"/>
                            <w:sz w:val="16"/>
                            <w:szCs w:val="16"/>
                          </w:rPr>
                          <w:t>Diagnosis and assessment by an orthopaedic surgeon (involves radiology)</w:t>
                        </w:r>
                      </w:p>
                    </w:txbxContent>
                  </v:textbox>
                </v:shape>
                <v:shape id="Text Box 3" o:spid="_x0000_s1031" type="#_x0000_t202" style="position:absolute;left:43424;top:13086;width:1440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QDDMUA&#10;AADcAAAADwAAAGRycy9kb3ducmV2LnhtbESPMW/CQAyFdyT+w8mVWBBc6IBQ4EAUhGDoUgK7lXOT&#10;qDlfyF1D4NfjoVI3W+/5vc+rTe9q1VEbKs8GZtMEFHHubcWFgUt2mCxAhYhssfZMBh4UYLMeDlaY&#10;Wn/nL+rOsVASwiFFA2WMTap1yEtyGKa+IRbt27cOo6xtoW2Ldwl3tX5Pkrl2WLE0lNjQrqT85/zr&#10;DHTX5GO7n2X7Z3bD43H8XHwebsGY0Vu/XYKK1Md/89/1yQr+XGjlGZlAr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AMMxQAAANwAAAAPAAAAAAAAAAAAAAAAAJgCAABkcnMv&#10;ZG93bnJldi54bWxQSwUGAAAAAAQABAD1AAAAigMAAAAA&#10;" fillcolor="window" strokeweight=".5pt">
                  <v:textbox inset="2.36206mm,1.181mm,2.36206mm,1.181mm">
                    <w:txbxContent>
                      <w:p w:rsidR="000467D9" w:rsidRDefault="000467D9" w:rsidP="00264381">
                        <w:pPr>
                          <w:pStyle w:val="TableCentre"/>
                          <w:rPr>
                            <w:rFonts w:eastAsia="Calibri"/>
                            <w:sz w:val="16"/>
                            <w:szCs w:val="16"/>
                          </w:rPr>
                        </w:pPr>
                        <w:r>
                          <w:rPr>
                            <w:rFonts w:eastAsia="Calibri"/>
                            <w:sz w:val="16"/>
                            <w:szCs w:val="16"/>
                          </w:rPr>
                          <w:t>Diagnosis and assessment by a podiatric s</w:t>
                        </w:r>
                        <w:r w:rsidRPr="00ED59AF">
                          <w:rPr>
                            <w:rFonts w:eastAsia="Calibri"/>
                            <w:sz w:val="16"/>
                            <w:szCs w:val="16"/>
                          </w:rPr>
                          <w:t xml:space="preserve">urgeon </w:t>
                        </w:r>
                      </w:p>
                      <w:p w:rsidR="000467D9" w:rsidRPr="00ED59AF" w:rsidRDefault="000467D9" w:rsidP="00264381">
                        <w:pPr>
                          <w:pStyle w:val="TableCentre"/>
                          <w:rPr>
                            <w:rFonts w:eastAsia="Calibri"/>
                            <w:sz w:val="16"/>
                            <w:szCs w:val="16"/>
                          </w:rPr>
                        </w:pPr>
                        <w:r w:rsidRPr="00ED59AF">
                          <w:rPr>
                            <w:rFonts w:eastAsia="Calibri"/>
                            <w:sz w:val="16"/>
                            <w:szCs w:val="16"/>
                          </w:rPr>
                          <w:t>(</w:t>
                        </w:r>
                        <w:proofErr w:type="gramStart"/>
                        <w:r w:rsidRPr="00ED59AF">
                          <w:rPr>
                            <w:rFonts w:eastAsia="Calibri"/>
                            <w:sz w:val="16"/>
                            <w:szCs w:val="16"/>
                          </w:rPr>
                          <w:t>involves</w:t>
                        </w:r>
                        <w:proofErr w:type="gramEnd"/>
                        <w:r w:rsidRPr="00ED59AF">
                          <w:rPr>
                            <w:rFonts w:eastAsia="Calibri"/>
                            <w:sz w:val="16"/>
                            <w:szCs w:val="16"/>
                          </w:rPr>
                          <w:t xml:space="preserve"> radiology)</w:t>
                        </w:r>
                      </w:p>
                    </w:txbxContent>
                  </v:textbox>
                </v:shape>
                <v:shape id="Text Box 3" o:spid="_x0000_s1032" type="#_x0000_t202" style="position:absolute;left:2260;top:21091;width:108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iml8IA&#10;AADcAAAADwAAAGRycy9kb3ducmV2LnhtbERPTYvCMBC9C/sfwix4EU31IFqN4q6IHrxod+9DM9uW&#10;bSa1iW311xtB8DaP9znLdWdK0VDtCssKxqMIBHFqdcGZgp9kN5yBcB5ZY2mZFNzIwXr10VtirG3L&#10;J2rOPhMhhF2MCnLvq1hKl+Zk0I1sRRy4P1sb9AHWmdQ1tiHclHISRVNpsODQkGNF3zml/+erUdD8&#10;Rl+b7TjZ3pML7veD++y4uzil+p/dZgHCU+ff4pf7oMP86Ryez4QL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KaXwgAAANwAAAAPAAAAAAAAAAAAAAAAAJgCAABkcnMvZG93&#10;bnJldi54bWxQSwUGAAAAAAQABAD1AAAAhwMAAAAA&#10;" fillcolor="window" strokeweight=".5pt">
                  <v:textbox inset="2.36206mm,1.181mm,2.36206mm,1.181mm">
                    <w:txbxContent>
                      <w:p w:rsidR="000467D9" w:rsidRPr="00ED59AF" w:rsidRDefault="000467D9" w:rsidP="00264381">
                        <w:pPr>
                          <w:pStyle w:val="TableCentre"/>
                          <w:rPr>
                            <w:sz w:val="16"/>
                            <w:szCs w:val="16"/>
                          </w:rPr>
                        </w:pPr>
                        <w:r w:rsidRPr="00ED59AF">
                          <w:rPr>
                            <w:rFonts w:eastAsia="Calibri"/>
                            <w:sz w:val="16"/>
                            <w:szCs w:val="16"/>
                          </w:rPr>
                          <w:t>Eligible for surgical treatment</w:t>
                        </w:r>
                      </w:p>
                    </w:txbxContent>
                  </v:textbox>
                </v:shape>
                <v:shape id="Text Box 3" o:spid="_x0000_s1033" type="#_x0000_t202" style="position:absolute;left:17407;top:21042;width:1080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uZ18YA&#10;AADcAAAADwAAAGRycy9kb3ducmV2LnhtbESPzW7CQAyE75V4h5WRuFSwgUOLAgviR4geeilp71bW&#10;TaJmvSG7hMDT1wckbrZmPPN5ue5drTpqQ+XZwHSSgCLOva24MPCdHcZzUCEiW6w9k4EbBVivBi9L&#10;TK2/8hd1p1goCeGQooEyxibVOuQlOQwT3xCL9utbh1HWttC2xauEu1rPkuRNO6xYGkpsaFdS/ne6&#10;OAPdT7Ld7KfZ/p6d8Xh8vc8/D+dgzGjYbxagIvXxaX5cf1jBfxd8eUYm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uZ18YAAADcAAAADwAAAAAAAAAAAAAAAACYAgAAZHJz&#10;L2Rvd25yZXYueG1sUEsFBgAAAAAEAAQA9QAAAIsDAAAAAA==&#10;" fillcolor="window" strokeweight=".5pt">
                  <v:textbox inset="2.36206mm,1.181mm,2.36206mm,1.181mm">
                    <w:txbxContent>
                      <w:p w:rsidR="000467D9" w:rsidRPr="00ED59AF" w:rsidRDefault="000467D9" w:rsidP="00264381">
                        <w:pPr>
                          <w:pStyle w:val="TableCentre"/>
                          <w:rPr>
                            <w:rFonts w:eastAsia="Calibri"/>
                            <w:sz w:val="16"/>
                            <w:szCs w:val="16"/>
                          </w:rPr>
                        </w:pPr>
                        <w:proofErr w:type="gramStart"/>
                        <w:r w:rsidRPr="00ED59AF">
                          <w:rPr>
                            <w:rFonts w:eastAsia="Calibri"/>
                            <w:sz w:val="16"/>
                            <w:szCs w:val="16"/>
                          </w:rPr>
                          <w:t>Not eligible for surgical treatment or patient does not want surgery</w:t>
                        </w:r>
                        <w:proofErr w:type="gramEnd"/>
                      </w:p>
                      <w:p w:rsidR="000467D9" w:rsidRPr="00ED59AF" w:rsidRDefault="000467D9" w:rsidP="00264381">
                        <w:pPr>
                          <w:pStyle w:val="TableCentre"/>
                          <w:rPr>
                            <w:sz w:val="16"/>
                            <w:szCs w:val="16"/>
                          </w:rPr>
                        </w:pPr>
                        <w:r w:rsidRPr="00ED59AF">
                          <w:rPr>
                            <w:sz w:val="16"/>
                            <w:szCs w:val="16"/>
                          </w:rPr>
                          <w:t> </w:t>
                        </w:r>
                      </w:p>
                    </w:txbxContent>
                  </v:textbox>
                </v:shape>
                <v:shape id="Text Box 3" o:spid="_x0000_s1034" type="#_x0000_t202" style="position:absolute;left:37475;top:21159;width:108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8TMQA&#10;AADcAAAADwAAAGRycy9kb3ducmV2LnhtbERPTW+CQBC9N/E/bMbES1MXemgNdTUqIfbQS0XvE3YK&#10;pOwssFtAf323SRNv8/I+Z72dTCMG6l1tWUG8jEAQF1bXXCo459nTCoTzyBoby6TgSg62m9nDGhNt&#10;R/6k4eRLEULYJaig8r5NpHRFRQbd0rbEgfuyvUEfYF9K3eMYwk0jn6PoRRqsOTRU2NKhouL79GMU&#10;DJdov0vjPL3lHR6Pj7fVR9Y5pRbzafcGwtPk7+J/97sO819j+Hs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nPEzEAAAA3AAAAA8AAAAAAAAAAAAAAAAAmAIAAGRycy9k&#10;b3ducmV2LnhtbFBLBQYAAAAABAAEAPUAAACJAwAAAAA=&#10;" fillcolor="window" strokeweight=".5pt">
                  <v:textbox inset="2.36206mm,1.181mm,2.36206mm,1.181mm">
                    <w:txbxContent>
                      <w:p w:rsidR="000467D9" w:rsidRPr="00ED59AF" w:rsidRDefault="000467D9" w:rsidP="00264381">
                        <w:pPr>
                          <w:pStyle w:val="TableCentre"/>
                          <w:rPr>
                            <w:sz w:val="16"/>
                            <w:szCs w:val="16"/>
                          </w:rPr>
                        </w:pPr>
                        <w:r w:rsidRPr="00ED59AF">
                          <w:rPr>
                            <w:rFonts w:eastAsia="Calibri"/>
                            <w:sz w:val="16"/>
                            <w:szCs w:val="16"/>
                          </w:rPr>
                          <w:t>Eligible for surgical treatment</w:t>
                        </w:r>
                      </w:p>
                    </w:txbxContent>
                  </v:textbox>
                </v:shape>
                <v:shape id="Text Box 3" o:spid="_x0000_s1035" type="#_x0000_t202" style="position:absolute;left:52289;top:20785;width:1080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WiO8QA&#10;AADcAAAADwAAAGRycy9kb3ducmV2LnhtbERPTWvCQBC9F/wPyxS8FN2YQyvRVaIS7KGXmnofsmMS&#10;mp1NsmuM/vpuodDbPN7nrLejacRAvastK1jMIxDEhdU1lwq+8my2BOE8ssbGMim4k4PtZvK0xkTb&#10;G3/ScPKlCCHsElRQed8mUrqiIoNublviwF1sb9AH2JdS93gL4aaRcRS9SoM1h4YKW9pXVHyfrkbB&#10;cI526WGRHx55h8fjy2P5kXVOqenzmK5AeBr9v/jP/a7D/LcYfp8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1ojvEAAAA3AAAAA8AAAAAAAAAAAAAAAAAmAIAAGRycy9k&#10;b3ducmV2LnhtbFBLBQYAAAAABAAEAPUAAACJAwAAAAA=&#10;" fillcolor="window" strokeweight=".5pt">
                  <v:textbox inset="2.36206mm,1.181mm,2.36206mm,1.181mm">
                    <w:txbxContent>
                      <w:p w:rsidR="000467D9" w:rsidRPr="00ED59AF" w:rsidRDefault="000467D9" w:rsidP="00264381">
                        <w:pPr>
                          <w:pStyle w:val="TableCentre"/>
                          <w:rPr>
                            <w:sz w:val="16"/>
                            <w:szCs w:val="16"/>
                          </w:rPr>
                        </w:pPr>
                        <w:proofErr w:type="gramStart"/>
                        <w:r w:rsidRPr="00ED59AF">
                          <w:rPr>
                            <w:rFonts w:eastAsia="Calibri"/>
                            <w:sz w:val="16"/>
                            <w:szCs w:val="16"/>
                          </w:rPr>
                          <w:t>Not eligible for surgical treatment or patient does not want surgery</w:t>
                        </w:r>
                        <w:proofErr w:type="gramEnd"/>
                      </w:p>
                      <w:p w:rsidR="000467D9" w:rsidRPr="00ED59AF" w:rsidRDefault="000467D9" w:rsidP="00264381">
                        <w:pPr>
                          <w:pStyle w:val="TableCentre"/>
                          <w:rPr>
                            <w:sz w:val="16"/>
                            <w:szCs w:val="16"/>
                          </w:rPr>
                        </w:pPr>
                        <w:r w:rsidRPr="00ED59AF">
                          <w:rPr>
                            <w:sz w:val="16"/>
                            <w:szCs w:val="16"/>
                          </w:rPr>
                          <w:t> </w:t>
                        </w:r>
                      </w:p>
                    </w:txbxContent>
                  </v:textbox>
                </v:shape>
                <v:shape id="Text Box 3" o:spid="_x0000_s1036" type="#_x0000_t202" style="position:absolute;left:499;top:27545;width:1440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kHoMIA&#10;AADcAAAADwAAAGRycy9kb3ducmV2LnhtbERPTYvCMBC9C/sfwizsRdZUBZVqFHdF9OBFu96HZmyL&#10;zaQ2sXb99UYQvM3jfc5s0ZpSNFS7wrKCfi8CQZxaXXCm4C9Zf09AOI+ssbRMCv7JwWL+0ZlhrO2N&#10;99QcfCZCCLsYFeTeV7GULs3JoOvZijhwJ1sb9AHWmdQ13kK4KeUgikbSYMGhIceKfnNKz4erUdAc&#10;o5/lqp+s7skFN5vufbJbX5xSX5/tcgrCU+vf4pd7q8P88RCez4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egwgAAANwAAAAPAAAAAAAAAAAAAAAAAJgCAABkcnMvZG93&#10;bnJldi54bWxQSwUGAAAAAAQABAD1AAAAhwMAAAAA&#10;" fillcolor="window" strokeweight=".5pt">
                  <v:textbox inset="2.36206mm,1.181mm,2.36206mm,1.181mm">
                    <w:txbxContent>
                      <w:p w:rsidR="000467D9" w:rsidRDefault="000467D9" w:rsidP="00264381">
                        <w:pPr>
                          <w:pStyle w:val="TableCentre"/>
                          <w:rPr>
                            <w:rFonts w:eastAsia="Calibri"/>
                            <w:sz w:val="16"/>
                            <w:szCs w:val="16"/>
                          </w:rPr>
                        </w:pPr>
                        <w:r w:rsidRPr="00ED59AF">
                          <w:rPr>
                            <w:rFonts w:eastAsia="Calibri"/>
                            <w:sz w:val="16"/>
                            <w:szCs w:val="16"/>
                          </w:rPr>
                          <w:t xml:space="preserve">Hospital admission and surgery performed by an orthopaedic surgeon </w:t>
                        </w:r>
                      </w:p>
                      <w:p w:rsidR="000467D9" w:rsidRPr="00ED59AF" w:rsidRDefault="000467D9" w:rsidP="00264381">
                        <w:pPr>
                          <w:pStyle w:val="TableCentre"/>
                          <w:rPr>
                            <w:sz w:val="16"/>
                            <w:szCs w:val="16"/>
                          </w:rPr>
                        </w:pPr>
                        <w:r w:rsidRPr="00ED59AF">
                          <w:rPr>
                            <w:rFonts w:eastAsia="Calibri"/>
                            <w:sz w:val="16"/>
                            <w:szCs w:val="16"/>
                          </w:rPr>
                          <w:t>(</w:t>
                        </w:r>
                        <w:proofErr w:type="gramStart"/>
                        <w:r w:rsidRPr="00ED59AF">
                          <w:rPr>
                            <w:rFonts w:eastAsia="Calibri"/>
                            <w:sz w:val="16"/>
                            <w:szCs w:val="16"/>
                          </w:rPr>
                          <w:t>with</w:t>
                        </w:r>
                        <w:proofErr w:type="gramEnd"/>
                        <w:r w:rsidRPr="00ED59AF">
                          <w:rPr>
                            <w:rFonts w:eastAsia="Calibri"/>
                            <w:sz w:val="16"/>
                            <w:szCs w:val="16"/>
                          </w:rPr>
                          <w:t xml:space="preserve"> access to MBS items)</w:t>
                        </w:r>
                      </w:p>
                    </w:txbxContent>
                  </v:textbox>
                </v:shape>
                <v:shape id="Text Box 3" o:spid="_x0000_s1037" type="#_x0000_t202" style="position:absolute;left:52464;top:29433;width:108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Cf1MIA&#10;AADcAAAADwAAAGRycy9kb3ducmV2LnhtbERPTYvCMBC9C/sfwizsRdZUEZVqFHdF9OBFu96HZmyL&#10;zaQ2sXb99UYQvM3jfc5s0ZpSNFS7wrKCfi8CQZxaXXCm4C9Zf09AOI+ssbRMCv7JwWL+0ZlhrO2N&#10;99QcfCZCCLsYFeTeV7GULs3JoOvZijhwJ1sb9AHWmdQ13kK4KeUgikbSYMGhIceKfnNKz4erUdAc&#10;o5/lqp+s7skFN5vufbJbX5xSX5/tcgrCU+vf4pd7q8P88RCez4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J/UwgAAANwAAAAPAAAAAAAAAAAAAAAAAJgCAABkcnMvZG93&#10;bnJldi54bWxQSwUGAAAAAAQABAD1AAAAhwMAAAAA&#10;" fillcolor="window" strokeweight=".5pt">
                  <v:textbox inset="2.36206mm,1.181mm,2.36206mm,1.181mm">
                    <w:txbxContent>
                      <w:p w:rsidR="000467D9" w:rsidRPr="00ED59AF" w:rsidRDefault="000467D9" w:rsidP="00264381">
                        <w:pPr>
                          <w:pStyle w:val="TableCentre"/>
                          <w:rPr>
                            <w:rFonts w:eastAsia="Calibri"/>
                            <w:sz w:val="16"/>
                            <w:szCs w:val="16"/>
                          </w:rPr>
                        </w:pPr>
                        <w:r w:rsidRPr="00ED59AF">
                          <w:rPr>
                            <w:rFonts w:eastAsia="Calibri"/>
                            <w:sz w:val="16"/>
                            <w:szCs w:val="16"/>
                          </w:rPr>
                          <w:t>Non-surgical management</w:t>
                        </w:r>
                      </w:p>
                    </w:txbxContent>
                  </v:textbox>
                </v:shape>
                <v:shape id="Text Box 3" o:spid="_x0000_s1038" type="#_x0000_t202" style="position:absolute;top:43027;width:720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6T8MA&#10;AADcAAAADwAAAGRycy9kb3ducmV2LnhtbERPS4vCMBC+C/sfwizsRdZUwQfVKO6K6MGLdr0PzdgW&#10;m0ltYu36640geJuP7zmzRWtK0VDtCssK+r0IBHFqdcGZgr9k/T0B4TyyxtIyKfgnB4v5R2eGsbY3&#10;3lNz8JkIIexiVJB7X8VSujQng65nK+LAnWxt0AdYZ1LXeAvhppSDKBpJgwWHhhwr+s0pPR+uRkFz&#10;jH6Wq36yuicX3Gy698lufXFKfX22yykIT61/i1/urQ7zx0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w6T8MAAADcAAAADwAAAAAAAAAAAAAAAACYAgAAZHJzL2Rv&#10;d25yZXYueG1sUEsFBgAAAAAEAAQA9QAAAIgDAAAAAA==&#10;" fillcolor="window" strokeweight=".5pt">
                  <v:textbox inset="2.36206mm,1.181mm,2.36206mm,1.181mm">
                    <w:txbxContent>
                      <w:p w:rsidR="000467D9" w:rsidRPr="00ED59AF" w:rsidRDefault="000467D9" w:rsidP="00264381">
                        <w:pPr>
                          <w:pStyle w:val="TableCentre"/>
                          <w:rPr>
                            <w:sz w:val="16"/>
                            <w:szCs w:val="16"/>
                          </w:rPr>
                        </w:pPr>
                        <w:r w:rsidRPr="00ED59AF">
                          <w:rPr>
                            <w:sz w:val="16"/>
                            <w:szCs w:val="16"/>
                          </w:rPr>
                          <w:t>Treatment success</w:t>
                        </w:r>
                      </w:p>
                    </w:txbxContent>
                  </v:textbox>
                </v:shape>
                <v:shape id="Text Box 3" o:spid="_x0000_s1039" type="#_x0000_t202" style="position:absolute;left:7200;top:36449;width:936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6kOMQA&#10;AADcAAAADwAAAGRycy9kb3ducmV2LnhtbERPTWvCQBC9C/0PyxS8SN3oIUp0FdsQ4qEXTXsfsmMS&#10;mp2N2W2M/vpuodDbPN7nbPejacVAvWssK1jMIxDEpdUNVwo+iuxlDcJ5ZI2tZVJwJwf73dNki4m2&#10;Nz7RcPaVCCHsElRQe98lUrqyJoNubjviwF1sb9AH2FdS93gL4aaVyyiKpcGGQ0ONHb3VVH6dv42C&#10;4TN6PaSLIn0UV8zz2WP9nl2dUtPn8bAB4Wn0/+I/91GH+asYfp8JF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OpDjEAAAA3AAAAA8AAAAAAAAAAAAAAAAAmAIAAGRycy9k&#10;b3ducmV2LnhtbFBLBQYAAAAABAAEAPUAAACJAwAAAAA=&#10;" fillcolor="window" strokeweight=".5pt">
                  <v:textbox inset="2.36206mm,1.181mm,2.36206mm,1.181mm">
                    <w:txbxContent>
                      <w:p w:rsidR="000467D9" w:rsidRPr="00ED59AF" w:rsidRDefault="000467D9" w:rsidP="00264381">
                        <w:pPr>
                          <w:pStyle w:val="TableCentre"/>
                          <w:rPr>
                            <w:sz w:val="16"/>
                            <w:szCs w:val="16"/>
                          </w:rPr>
                        </w:pPr>
                        <w:r w:rsidRPr="00ED59AF">
                          <w:rPr>
                            <w:rFonts w:eastAsia="Calibri"/>
                            <w:sz w:val="16"/>
                            <w:szCs w:val="16"/>
                          </w:rPr>
                          <w:t>Treatment failure or recurrence</w:t>
                        </w:r>
                      </w:p>
                    </w:txbxContent>
                  </v:textbox>
                </v:shape>
                <v:shape id="Text Box 3" o:spid="_x0000_s1040" type="#_x0000_t202" style="position:absolute;left:8091;top:42932;width:720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IBo8QA&#10;AADcAAAADwAAAGRycy9kb3ducmV2LnhtbERPTWvCQBC9F/wPyxS8FN3ooUp0FW0I8dBLTb0P2TEJ&#10;zc7G7DbG/PpuodDbPN7nbPeDaURPnastK1jMIxDEhdU1lwo+83S2BuE8ssbGMil4kIP9bvK0xVjb&#10;O39Qf/alCCHsYlRQed/GUrqiIoNublviwF1tZ9AH2JVSd3gP4aaRyyh6lQZrDg0VtvRWUfF1/jYK&#10;+kt0PCSLPBnzG2bZy7h+T29OqenzcNiA8DT4f/Gf+6TD/NUKfp8JF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AaPEAAAA3AAAAA8AAAAAAAAAAAAAAAAAmAIAAGRycy9k&#10;b3ducmV2LnhtbFBLBQYAAAAABAAEAPUAAACJAwAAAAA=&#10;" fillcolor="window" strokeweight=".5pt">
                  <v:textbox inset="2.36206mm,1.181mm,2.36206mm,1.181mm">
                    <w:txbxContent>
                      <w:p w:rsidR="000467D9" w:rsidRPr="00ED59AF" w:rsidRDefault="000467D9" w:rsidP="00264381">
                        <w:pPr>
                          <w:pStyle w:val="TableCentre"/>
                          <w:rPr>
                            <w:sz w:val="16"/>
                            <w:szCs w:val="16"/>
                          </w:rPr>
                        </w:pPr>
                        <w:r w:rsidRPr="00ED59AF">
                          <w:rPr>
                            <w:rFonts w:eastAsia="Calibri"/>
                            <w:sz w:val="16"/>
                            <w:szCs w:val="16"/>
                          </w:rPr>
                          <w:t>Ongoing problems</w:t>
                        </w:r>
                      </w:p>
                    </w:txbxContent>
                  </v:textbox>
                </v:shape>
                <v:shape id="Text Box 3" o:spid="_x0000_s1041" type="#_x0000_t202" style="position:absolute;left:35307;top:27669;width:1584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4jMQA&#10;AADcAAAADwAAAGRycy9kb3ducmV2LnhtbESPT2/CMAzF75P4DpGRdhspExqoI6AJNLHbxJ/dTeM1&#10;hcapmtB2334+IHGz9Z7f+3m5HnytOmpjFdjAdJKBIi6Crbg0cDp+vixAxYRssQ5MBv4owno1elpi&#10;bkPPe+oOqVQSwjFHAy6lJtc6Fo48xkloiEX7Da3HJGtbattiL+G+1q9Z9qY9ViwNDhvaOCquh5s3&#10;4F3vN9/X4+1y3u64ufx0ZzfrjHkeDx/voBIN6WG+X39ZwZ8LrTwjE+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uIzEAAAA3AAAAA8AAAAAAAAAAAAAAAAAmAIAAGRycy9k&#10;b3ducmV2LnhtbFBLBQYAAAAABAAEAPUAAACJAwAAAAA=&#10;" fillcolor="#d9d9d9" strokeweight=".5pt">
                  <v:textbox inset="2.36206mm,1.181mm,2.36206mm,1.181mm">
                    <w:txbxContent>
                      <w:p w:rsidR="000467D9" w:rsidRDefault="000467D9" w:rsidP="00264381">
                        <w:pPr>
                          <w:pStyle w:val="TableCentre"/>
                          <w:rPr>
                            <w:sz w:val="16"/>
                            <w:szCs w:val="16"/>
                          </w:rPr>
                        </w:pPr>
                        <w:r w:rsidRPr="00382B3C">
                          <w:rPr>
                            <w:sz w:val="16"/>
                            <w:szCs w:val="16"/>
                          </w:rPr>
                          <w:t xml:space="preserve">Hospital </w:t>
                        </w:r>
                        <w:r>
                          <w:rPr>
                            <w:sz w:val="16"/>
                            <w:szCs w:val="16"/>
                          </w:rPr>
                          <w:t>a</w:t>
                        </w:r>
                        <w:r w:rsidRPr="00382B3C">
                          <w:rPr>
                            <w:sz w:val="16"/>
                            <w:szCs w:val="16"/>
                          </w:rPr>
                          <w:t>dmission/</w:t>
                        </w:r>
                        <w:r>
                          <w:rPr>
                            <w:sz w:val="16"/>
                            <w:szCs w:val="16"/>
                          </w:rPr>
                          <w:t xml:space="preserve"> </w:t>
                        </w:r>
                        <w:r w:rsidRPr="00382B3C">
                          <w:rPr>
                            <w:sz w:val="16"/>
                            <w:szCs w:val="16"/>
                          </w:rPr>
                          <w:t>outpatient/ day cli</w:t>
                        </w:r>
                        <w:r>
                          <w:rPr>
                            <w:sz w:val="16"/>
                            <w:szCs w:val="16"/>
                          </w:rPr>
                          <w:t>nic and surgery performed by a podiatric s</w:t>
                        </w:r>
                        <w:r w:rsidRPr="00382B3C">
                          <w:rPr>
                            <w:sz w:val="16"/>
                            <w:szCs w:val="16"/>
                          </w:rPr>
                          <w:t xml:space="preserve">urgeon </w:t>
                        </w:r>
                      </w:p>
                      <w:p w:rsidR="000467D9" w:rsidRPr="00ED59AF" w:rsidRDefault="000467D9" w:rsidP="00264381">
                        <w:pPr>
                          <w:pStyle w:val="TableCentre"/>
                          <w:rPr>
                            <w:sz w:val="16"/>
                            <w:szCs w:val="16"/>
                          </w:rPr>
                        </w:pPr>
                        <w:r w:rsidRPr="00382B3C">
                          <w:rPr>
                            <w:sz w:val="16"/>
                            <w:szCs w:val="16"/>
                          </w:rPr>
                          <w:t>(</w:t>
                        </w:r>
                        <w:proofErr w:type="gramStart"/>
                        <w:r w:rsidRPr="00382B3C">
                          <w:rPr>
                            <w:sz w:val="16"/>
                            <w:szCs w:val="16"/>
                          </w:rPr>
                          <w:t>with</w:t>
                        </w:r>
                        <w:proofErr w:type="gramEnd"/>
                        <w:r w:rsidRPr="00382B3C">
                          <w:rPr>
                            <w:sz w:val="16"/>
                            <w:szCs w:val="16"/>
                          </w:rPr>
                          <w:t xml:space="preserve"> access to MBS items)</w:t>
                        </w:r>
                      </w:p>
                    </w:txbxContent>
                  </v:textbox>
                </v:shape>
                <v:shape id="Text Box 3" o:spid="_x0000_s1042" type="#_x0000_t202" style="position:absolute;left:35307;top:42726;width:720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wSsIA&#10;AADcAAAADwAAAGRycy9kb3ducmV2LnhtbERPTYvCMBC9C/sfwgh7EU3dw+pWo7iK6MGLdr0PzdgW&#10;m0ltYu36640geJvH+5zpvDWlaKh2hWUFw0EEgji1uuBMwV+y7o9BOI+ssbRMCv7JwXz20ZlirO2N&#10;99QcfCZCCLsYFeTeV7GULs3JoBvYijhwJ1sb9AHWmdQ13kK4KeVXFH1LgwWHhhwrWuaUng9Xo6A5&#10;Rr+L1TBZ3ZMLbja9+3i3vjilPrvtYgLCU+vf4pd7q8P80Q88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ETBKwgAAANwAAAAPAAAAAAAAAAAAAAAAAJgCAABkcnMvZG93&#10;bnJldi54bWxQSwUGAAAAAAQABAD1AAAAhwMAAAAA&#10;" fillcolor="window" strokeweight=".5pt">
                  <v:textbox inset="2.36206mm,1.181mm,2.36206mm,1.181mm">
                    <w:txbxContent>
                      <w:p w:rsidR="000467D9" w:rsidRPr="00ED59AF" w:rsidRDefault="000467D9" w:rsidP="00264381">
                        <w:pPr>
                          <w:pStyle w:val="TableCentre"/>
                          <w:rPr>
                            <w:sz w:val="16"/>
                            <w:szCs w:val="16"/>
                          </w:rPr>
                        </w:pPr>
                        <w:r w:rsidRPr="00ED59AF">
                          <w:rPr>
                            <w:sz w:val="16"/>
                            <w:szCs w:val="16"/>
                          </w:rPr>
                          <w:t>Treatment success</w:t>
                        </w:r>
                      </w:p>
                    </w:txbxContent>
                  </v:textbox>
                </v:shape>
                <v:shape id="Text Box 3" o:spid="_x0000_s1043" type="#_x0000_t202" style="position:absolute;left:42134;top:36298;width:936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7p8MUA&#10;AADcAAAADwAAAGRycy9kb3ducmV2LnhtbESPMW/CQAyF90r8h5ORWKpygQFFKQeCIkSHLhC6Wzk3&#10;icj5Qu4aUn59PSCx2XrP731ergfXqJ66UHs2MJsmoIgLb2suDZzz/VsKKkRki41nMvBHAdar0csS&#10;M+tvfKT+FEslIRwyNFDF2GZah6Iih2HqW2LRfnznMMraldp2eJNw1+h5kiy0w5qlocKWPioqLqdf&#10;Z6D/Trab3Szf3fMrHg6v9/Rrfw3GTMbD5h1UpCE+zY/rTyv4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nwxQAAANwAAAAPAAAAAAAAAAAAAAAAAJgCAABkcnMv&#10;ZG93bnJldi54bWxQSwUGAAAAAAQABAD1AAAAigMAAAAA&#10;" fillcolor="window" strokeweight=".5pt">
                  <v:textbox inset="2.36206mm,1.181mm,2.36206mm,1.181mm">
                    <w:txbxContent>
                      <w:p w:rsidR="000467D9" w:rsidRPr="00ED59AF" w:rsidRDefault="000467D9" w:rsidP="00264381">
                        <w:pPr>
                          <w:pStyle w:val="TableCentre"/>
                          <w:rPr>
                            <w:sz w:val="16"/>
                            <w:szCs w:val="16"/>
                          </w:rPr>
                        </w:pPr>
                        <w:r w:rsidRPr="00ED59AF">
                          <w:rPr>
                            <w:rFonts w:eastAsia="Calibri"/>
                            <w:sz w:val="16"/>
                            <w:szCs w:val="16"/>
                          </w:rPr>
                          <w:t>Treatment failure or recurrence</w:t>
                        </w:r>
                      </w:p>
                    </w:txbxContent>
                  </v:textbox>
                </v:shape>
                <v:shape id="Text Box 3" o:spid="_x0000_s1044" type="#_x0000_t202" style="position:absolute;left:43379;top:42626;width:720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Ma8MA&#10;AADcAAAADwAAAGRycy9kb3ducmV2LnhtbERPTWuDQBC9F/IflinkUpLVHoqYbEKaEMyhl2p7H9yp&#10;St1Z427V+OuzhUJv83ifs91PphUD9a6xrCBeRyCIS6sbrhR8FOdVAsJ5ZI2tZVJwIwf73eJhi6m2&#10;I7/TkPtKhBB2KSqove9SKV1Zk0G3th1x4L5sb9AH2FdS9ziGcNPK5yh6kQYbDg01dnSsqfzOf4yC&#10;4TN6PZzi4jQXV8yypzl5O1+dUsvH6bAB4Wny/+I/90WH+UkMv8+EC+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JMa8MAAADcAAAADwAAAAAAAAAAAAAAAACYAgAAZHJzL2Rv&#10;d25yZXYueG1sUEsFBgAAAAAEAAQA9QAAAIgDAAAAAA==&#10;" fillcolor="window" strokeweight=".5pt">
                  <v:textbox inset="2.36206mm,1.181mm,2.36206mm,1.181mm">
                    <w:txbxContent>
                      <w:p w:rsidR="000467D9" w:rsidRPr="00ED59AF" w:rsidRDefault="000467D9" w:rsidP="00264381">
                        <w:pPr>
                          <w:pStyle w:val="TableCentre"/>
                          <w:rPr>
                            <w:sz w:val="16"/>
                            <w:szCs w:val="16"/>
                          </w:rPr>
                        </w:pPr>
                        <w:r w:rsidRPr="00ED59AF">
                          <w:rPr>
                            <w:sz w:val="16"/>
                            <w:szCs w:val="16"/>
                          </w:rPr>
                          <w:t>Ongoing problems</w:t>
                        </w:r>
                      </w:p>
                    </w:txbxContent>
                  </v:textbox>
                </v:shape>
                <v:shapetype id="_x0000_t32" coordsize="21600,21600" o:spt="32" o:oned="t" path="m,l21600,21600e" filled="f">
                  <v:path arrowok="t" fillok="f" o:connecttype="none"/>
                  <o:lock v:ext="edit" shapetype="t"/>
                </v:shapetype>
                <v:shape id="Straight Arrow Connector 182" o:spid="_x0000_s1045" type="#_x0000_t32" style="position:absolute;left:33312;top:3600;width:4;height:28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vYAcMAAADcAAAADwAAAGRycy9kb3ducmV2LnhtbERPTWvCQBC9F/wPyxS8FLPRgoTUVYog&#10;iBRE24u3ITvJhmZnY3aNsb++Kwje5vE+Z7EabCN66nztWME0SUEQF07XXCn4+d5MMhA+IGtsHJOC&#10;G3lYLUcvC8y1u/KB+mOoRAxhn6MCE0KbS+kLQxZ94lriyJWusxgi7CqpO7zGcNvIWZrOpcWaY4PB&#10;ltaGit/jxSp4O5zqqiwvXzf//rfP0t3+bIpeqfHr8PkBItAQnuKHe6vj/GwG92fiB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L2AHDAAAA3AAAAA8AAAAAAAAAAAAA&#10;AAAAoQIAAGRycy9kb3ducmV2LnhtbFBLBQYAAAAABAAEAPkAAACRAwAAAAA=&#10;">
                  <v:stroke endarrow="open"/>
                </v:shape>
                <v:shape id="Straight Arrow Connector 183" o:spid="_x0000_s1046" type="#_x0000_t32" style="position:absolute;left:9145;top:18107;width:4252;height:28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d9msQAAADcAAAADwAAAGRycy9kb3ducmV2LnhtbERPS2vCQBC+F/oflil4Kc1GBQmpqxRB&#10;EBHEx6W3ITvJhmZn0+waY399VxC8zcf3nPlysI3oqfO1YwXjJAVBXDhdc6XgfFp/ZCB8QNbYOCYF&#10;N/KwXLy+zDHX7soH6o+hEjGEfY4KTAhtLqUvDFn0iWuJI1e6zmKIsKuk7vAaw20jJ2k6kxZrjg0G&#10;W1oZKn6OF6vg/fBdV2V52d389G+fpdv9ryl6pUZvw9cniEBDeIof7o2O87Mp3J+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32axAAAANwAAAAPAAAAAAAAAAAA&#10;AAAAAKECAABkcnMvZG93bnJldi54bWxQSwUGAAAAAAQABAD5AAAAkgMAAAAA&#10;">
                  <v:stroke endarrow="open"/>
                </v:shape>
                <v:shape id="Straight Arrow Connector 184" o:spid="_x0000_s1047" type="#_x0000_t32" style="position:absolute;left:18848;top:18211;width:4252;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BWGsMAAADcAAAADwAAAGRycy9kb3ducmV2LnhtbERPTWvCQBC9C/0PyxR6KXVjWltJ3YgI&#10;tYIntdDrkJ1kQ7KzIbvG+O+7BcHbPN7nLFejbcVAva8dK5hNExDEhdM1Vwp+Tl8vCxA+IGtsHZOC&#10;K3lY5Q+TJWbaXfhAwzFUIoawz1CBCaHLpPSFIYt+6jriyJWutxgi7Cupe7zEcNvKNEnepcWaY4PB&#10;jjaGiuZ4tgrKVNPsufk13x9zLDf713QY2q1ST4/j+hNEoDHcxTf3Tsf5izf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AVhrDAAAA3AAAAA8AAAAAAAAAAAAA&#10;AAAAoQIAAGRycy9kb3ducmV2LnhtbFBLBQYAAAAABAAEAPkAAACRAwAAAAA=&#10;">
                  <v:stroke endarrow="open"/>
                </v:shape>
                <v:shape id="Straight Arrow Connector 185" o:spid="_x0000_s1048" type="#_x0000_t32" style="position:absolute;left:42507;top:18211;width:4252;height:28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JAdcMAAADcAAAADwAAAGRycy9kb3ducmV2LnhtbERPTWvCQBC9C/0PyxR6Ed1YsYToKkUo&#10;lCKI2ou3ITvJBrOzaXaNsb/eFQRv83ifs1j1thYdtb5yrGAyTkAQ505XXCr4PXyNUhA+IGusHZOC&#10;K3lYLV8GC8y0u/COun0oRQxhn6ECE0KTSelzQxb92DXEkStcazFE2JZSt3iJ4baW70nyIS1WHBsM&#10;NrQ2lJ/2Z6tguDtWZVGcN1c//d+myc/2z+SdUm+v/eccRKA+PMUP97eO89MZ3J+JF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iQHXDAAAA3AAAAA8AAAAAAAAAAAAA&#10;AAAAoQIAAGRycy9kb3ducmV2LnhtbFBLBQYAAAAABAAEAPkAAACRAwAAAAA=&#10;">
                  <v:stroke endarrow="open"/>
                </v:shape>
                <v:shape id="Straight Arrow Connector 186" o:spid="_x0000_s1049" type="#_x0000_t32" style="position:absolute;left:53572;top:18107;width:4252;height:2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t9sIAAADcAAAADwAAAGRycy9kb3ducmV2LnhtbERPTWvCQBC9F/oflhF6Kbox0lSiqxTB&#10;KvRUW/A6ZCfZYHY2ZNcY/70rCN7m8T5nuR5sI3rqfO1YwXSSgCAunK65UvD/tx3PQfiArLFxTAqu&#10;5GG9en1ZYq7dhX+pP4RKxBD2OSowIbS5lL4wZNFPXEscudJ1FkOEXSV1h5cYbhuZJkkmLdYcGwy2&#10;tDFUnA5nq6BMNU3fT0ez+/zAcvMzS/u++VbqbTR8LUAEGsJT/HDvdZw/z+D+TLx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t9sIAAADcAAAADwAAAAAAAAAAAAAA&#10;AAChAgAAZHJzL2Rvd25yZXYueG1sUEsFBgAAAAAEAAQA+QAAAJADAAAAAA==&#10;">
                  <v:stroke endarrow="open"/>
                </v:shape>
                <v:shape id="Straight Arrow Connector 187" o:spid="_x0000_s1050" type="#_x0000_t32" style="position:absolute;left:7660;top:24691;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LIbcMAAADcAAAADwAAAGRycy9kb3ducmV2LnhtbERPTWvCQBC9C/0Pywi9iNmYYpWYVYpg&#10;W/DUtOB1yE6ywexsyK4x/ffdQqG3ebzPKQ6T7cRIg28dK1glKQjiyumWGwVfn6flFoQPyBo7x6Tg&#10;mzwc9g+zAnPt7vxBYxkaEUPY56jAhNDnUvrKkEWfuJ44crUbLIYIh0bqAe8x3HYyS9NnabHl2GCw&#10;p6Oh6lrerII607RaXC/mbbPG+nh+ysaxe1XqcT697EAEmsK/+M/9ruP87QZ+n4kXyP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SyG3DAAAA3AAAAA8AAAAAAAAAAAAA&#10;AAAAoQIAAGRycy9kb3ducmV2LnhtbFBLBQYAAAAABAAEAPkAAACRAwAAAAA=&#10;">
                  <v:stroke endarrow="open"/>
                </v:shape>
                <v:shape id="Straight Arrow Connector 188" o:spid="_x0000_s1051" type="#_x0000_t32" style="position:absolute;left:3632;top:33418;width:0;height:9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1cH8UAAADcAAAADwAAAGRycy9kb3ducmV2LnhtbESPQWvCQBCF7wX/wzKCl6IbI60SXaUI&#10;toWeagteh+wkG8zOhuw2pv++cxB6m+G9ee+b3WH0rRqoj01gA8tFBoq4DLbh2sD312m+ARUTssU2&#10;MBn4pQiH/eRhh4UNN/6k4ZxqJSEcCzTgUuoKrWPpyGNchI5YtCr0HpOsfa1tjzcJ963Os+xZe2xY&#10;Ghx2dHRUXs8/3kCVW1o+Xi/ubf2E1fFjlQ9D+2rMbDq+bEElGtO/+X79bgV/I7TyjEy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1cH8UAAADcAAAADwAAAAAAAAAA&#10;AAAAAAChAgAAZHJzL2Rvd25yZXYueG1sUEsFBgAAAAAEAAQA+QAAAJMDAAAAAA==&#10;">
                  <v:stroke endarrow="open"/>
                </v:shape>
                <v:shape id="Straight Arrow Connector 189" o:spid="_x0000_s1052" type="#_x0000_t32" style="position:absolute;left:11715;top:33418;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H5hMMAAADcAAAADwAAAGRycy9kb3ducmV2LnhtbERPTWvCQBC9C/0PyxR6KXVjSq1N3YgI&#10;tYIntdDrkJ1kQ7KzIbvG+O+7BcHbPN7nLFejbcVAva8dK5hNExDEhdM1Vwp+Tl8vCxA+IGtsHZOC&#10;K3lY5Q+TJWbaXfhAwzFUIoawz1CBCaHLpPSFIYt+6jriyJWutxgi7Cupe7zEcNvKNEnm0mLNscFg&#10;RxtDRXM8WwVlqmn23Pya7/c3LDf713QY2q1ST4/j+hNEoDHcxTf3Tsf5iw/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B+YTDAAAA3AAAAA8AAAAAAAAAAAAA&#10;AAAAoQIAAGRycy9kb3ducmV2LnhtbFBLBQYAAAAABAAEAPkAAACRAwAAAAA=&#10;">
                  <v:stroke endarrow="open"/>
                </v:shape>
                <v:shape id="Straight Arrow Connector 190" o:spid="_x0000_s1053" type="#_x0000_t32" style="position:absolute;left:39124;top:33429;width:0;height:92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LGxMUAAADcAAAADwAAAGRycy9kb3ducmV2LnhtbESPQWvCQBCF74X+h2UKvRTdGGnV1FWK&#10;UFvoqVbwOmQn2WB2NmS3Mf33nYPgbYb35r1v1tvRt2qgPjaBDcymGSjiMtiGawPHn/fJElRMyBbb&#10;wGTgjyJsN/d3ayxsuPA3DYdUKwnhWKABl1JXaB1LRx7jNHTEolWh95hk7Wtte7xIuG91nmUv2mPD&#10;0uCwo52j8nz49Qaq3NLs6XxyH4tnrHZf83wY2r0xjw/j2yuoRGO6ma/Xn1bwV4Ivz8gEe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LGxMUAAADcAAAADwAAAAAAAAAA&#10;AAAAAAChAgAAZHJzL2Rvd25yZXYueG1sUEsFBgAAAAAEAAQA+QAAAJMDAAAAAA==&#10;">
                  <v:stroke endarrow="open"/>
                </v:shape>
                <v:shape id="Straight Arrow Connector 191" o:spid="_x0000_s1054" type="#_x0000_t32" style="position:absolute;left:46759;top:33569;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5jX8IAAADcAAAADwAAAGRycy9kb3ducmV2LnhtbERPTWvCQBC9F/wPywi9FN0k0qrRVYrQ&#10;WvBUFbwO2Uk2mJ0N2W1M/70rFHqbx/uc9Xawjeip87VjBek0AUFcOF1zpeB8+pgsQPiArLFxTAp+&#10;ycN2M3paY67djb+pP4ZKxBD2OSowIbS5lL4wZNFPXUscudJ1FkOEXSV1h7cYbhuZJcmbtFhzbDDY&#10;0s5QcT3+WAVlpil9uV7Mfv6K5e4wy/q++VTqeTy8r0AEGsK/+M/9peP8ZQqPZ+IF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5jX8IAAADcAAAADwAAAAAAAAAAAAAA&#10;AAChAgAAZHJzL2Rvd25yZXYueG1sUEsFBgAAAAAEAAQA+QAAAJADAAAAAA==&#10;">
                  <v:stroke endarrow="open"/>
                </v:shape>
                <v:shape id="Straight Arrow Connector 192" o:spid="_x0000_s1055" type="#_x0000_t32" style="position:absolute;left:11611;top:40147;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z9KMIAAADcAAAADwAAAGRycy9kb3ducmV2LnhtbERPTWvCQBC9C/0PyxR6Ed2YorWpqxSh&#10;KnjSCl6H7CQbzM6G7DbGf98VBG/zeJ+zWPW2Fh21vnKsYDJOQBDnTldcKjj9/ozmIHxA1lg7JgU3&#10;8rBavgwWmGl35QN1x1CKGMI+QwUmhCaT0ueGLPqxa4gjV7jWYoiwLaVu8RrDbS3TJJlJixXHBoMN&#10;rQ3ll+OfVVCkmibDy9lsP6ZYrPfvadfVG6XeXvvvLxCB+vAUP9w7Hed/pnB/Jl4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z9KMIAAADcAAAADwAAAAAAAAAAAAAA&#10;AAChAgAAZHJzL2Rvd25yZXYueG1sUEsFBgAAAAAEAAQA+QAAAJADAAAAAA==&#10;">
                  <v:stroke endarrow="open"/>
                </v:shape>
                <v:shape id="Straight Arrow Connector 193" o:spid="_x0000_s1056" type="#_x0000_t32" style="position:absolute;left:58064;top:33017;width:0;height:9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BYs8IAAADcAAAADwAAAGRycy9kb3ducmV2LnhtbERPTWvCQBC9C/6HZQpepG6MaNvUVURQ&#10;Cz1VC70O2Uk2mJ0N2TXGf+8KBW/zeJ+zXPe2Fh21vnKsYDpJQBDnTldcKvg97V7fQfiArLF2TApu&#10;5GG9Gg6WmGl35R/qjqEUMYR9hgpMCE0mpc8NWfQT1xBHrnCtxRBhW0rd4jWG21qmSbKQFiuODQYb&#10;2hrKz8eLVVCkmqbj8585vM2x2H7P0q6r90qNXvrNJ4hAfXiK/91fOs7/mM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BYs8IAAADcAAAADwAAAAAAAAAAAAAA&#10;AAChAgAAZHJzL2Rvd25yZXYueG1sUEsFBgAAAAAEAAQA+QAAAJADAAAAAA==&#10;">
                  <v:stroke endarrow="open"/>
                </v:shape>
                <v:shape id="Straight Arrow Connector 194" o:spid="_x0000_s1057" type="#_x0000_t32" style="position:absolute;left:46793;top:39846;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nAx8MAAADcAAAADwAAAGRycy9kb3ducmV2LnhtbERPTWvCQBC9C/0Pywi9lLox1arRVYrQ&#10;KngyLXgdspNsMDsbstuY/vtuoeBtHu9zNrvBNqKnzteOFUwnCQjiwumaKwVfn+/PSxA+IGtsHJOC&#10;H/Kw2z6MNphpd+Mz9XmoRAxhn6ECE0KbSekLQxb9xLXEkStdZzFE2FVSd3iL4baRaZK8Sos1xwaD&#10;Le0NFdf82yooU03Tp+vFHBZzLPenl7Tvmw+lHsfD2xpEoCHcxf/uo47zVzP4eyZe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ZwMfDAAAA3AAAAA8AAAAAAAAAAAAA&#10;AAAAoQIAAGRycy9kb3ducmV2LnhtbFBLBQYAAAAABAAEAPkAAACRAwAAAAA=&#10;">
                  <v:stroke endarrow="open"/>
                </v:shape>
                <v:shape id="Text Box 3" o:spid="_x0000_s1058" type="#_x0000_t202" style="position:absolute;left:52655;top:42806;width:1080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zK8YA&#10;AADcAAAADwAAAGRycy9kb3ducmV2LnhtbESPzW7CQAyE75V4h5UrcalgA4cKUhbEjxAceimBu5V1&#10;k6hZb8guIfD09aFSb7ZmPPN5sepdrTpqQ+XZwGScgCLOva24MHDO9qMZqBCRLdaeycCDAqyWg5cF&#10;ptbf+Yu6UyyUhHBI0UAZY5NqHfKSHIaxb4hF+/atwyhrW2jb4l3CXa2nSfKuHVYsDSU2tC0p/znd&#10;nIHukmzWu0m2e2ZXPBzenrPP/TUYM3zt1x+gIvXx3/x3fbSCPxdaeUY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FzK8YAAADcAAAADwAAAAAAAAAAAAAAAACYAgAAZHJz&#10;L2Rvd25yZXYueG1sUEsFBgAAAAAEAAQA9QAAAIsDAAAAAA==&#10;" fillcolor="window" strokeweight=".5pt">
                  <v:textbox inset="2.36206mm,1.181mm,2.36206mm,1.181mm">
                    <w:txbxContent>
                      <w:p w:rsidR="000467D9" w:rsidRPr="00ED59AF" w:rsidRDefault="000467D9" w:rsidP="00264381">
                        <w:pPr>
                          <w:pStyle w:val="TableCentre"/>
                          <w:rPr>
                            <w:sz w:val="16"/>
                            <w:szCs w:val="16"/>
                          </w:rPr>
                        </w:pPr>
                        <w:r w:rsidRPr="00ED59AF">
                          <w:rPr>
                            <w:sz w:val="16"/>
                            <w:szCs w:val="16"/>
                          </w:rPr>
                          <w:t>Improved mobility, comfort, arrested degeneration etc.</w:t>
                        </w:r>
                      </w:p>
                      <w:p w:rsidR="000467D9" w:rsidRPr="00ED59AF" w:rsidRDefault="000467D9" w:rsidP="00264381">
                        <w:pPr>
                          <w:pStyle w:val="TableCentre"/>
                          <w:rPr>
                            <w:sz w:val="16"/>
                            <w:szCs w:val="16"/>
                          </w:rPr>
                        </w:pPr>
                        <w:r w:rsidRPr="00ED59AF">
                          <w:rPr>
                            <w:sz w:val="16"/>
                            <w:szCs w:val="16"/>
                          </w:rPr>
                          <w:t> </w:t>
                        </w:r>
                      </w:p>
                    </w:txbxContent>
                  </v:textbox>
                </v:shape>
                <v:shape id="Straight Arrow Connector 199" o:spid="_x0000_s1059" type="#_x0000_t32" style="position:absolute;left:42875;top:24759;width:352;height:29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hvWcMAAADcAAAADwAAAGRycy9kb3ducmV2LnhtbERPTWvCQBC9C/0PyxR6KXVjSm1N3YgI&#10;tYIntdDrkJ1kQ7KzIbvG+O+7BcHbPN7nLFejbcVAva8dK5hNExDEhdM1Vwp+Tl8vHyB8QNbYOiYF&#10;V/Kwyh8mS8y0u/CBhmOoRAxhn6ECE0KXSekLQxb91HXEkStdbzFE2FdS93iJ4baVaZLMpcWaY4PB&#10;jjaGiuZ4tgrKVNPsufk13+9vWG72r+kwtFulnh7H9SeIQGO4i2/unY7zFwv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Yb1nDAAAA3AAAAA8AAAAAAAAAAAAA&#10;AAAAoQIAAGRycy9kb3ducmV2LnhtbFBLBQYAAAAABAAEAPkAAACRAwAAAAA=&#10;">
                  <v:stroke endarrow="open"/>
                </v:shape>
                <v:shape id="Straight Arrow Connector 200" o:spid="_x0000_s1060" type="#_x0000_t32" style="position:absolute;left:57824;top:26545;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0yP8QAAADcAAAADwAAAGRycy9kb3ducmV2LnhtbESPzWrDMBCE74G8g9hCLiGR45KkuJFD&#10;CDQt5JQf6HWx1paxtTKW6rhvXxUKPQ4z8w2z24+2FQP1vnasYLVMQBAXTtdcKbjf3hYvIHxA1tg6&#10;JgXf5GGfTyc7zLR78IWGa6hEhLDPUIEJocuk9IUhi37pOuLola63GKLsK6l7fES4bWWaJBtpsea4&#10;YLCjo6GiuX5ZBWWqaTVvPs37do3l8fycDkN7Umr2NB5eQQQaw3/4r/2hFUQi/J6JR0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TI/xAAAANwAAAAPAAAAAAAAAAAA&#10;AAAAAKECAABkcnMvZG93bnJldi54bWxQSwUGAAAAAAQABAD5AAAAkgMAAAAA&#10;">
                  <v:stroke endarrow="open"/>
                </v:shape>
                <v:shape id="Text Box 3" o:spid="_x0000_s1061" type="#_x0000_t202" style="position:absolute;left:17726;top:29818;width:108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uTcUA&#10;AADcAAAADwAAAGRycy9kb3ducmV2LnhtbESPT4vCMBTE74LfITxhL7Im9SDSNYp/ED14WeveH83b&#10;tti81CbWrp/eLCzscZiZ3zCLVW9r0VHrK8cakokCQZw7U3Gh4ZLt3+cgfEA2WDsmDT/kYbUcDhaY&#10;GvfgT+rOoRARwj5FDWUITSqlz0uy6CeuIY7et2sthijbQpoWHxFuazlVaiYtVhwXSmxoW1J+Pd+t&#10;hu5Lbda7JNs9sxseDuPn/LS/ea3fRv36A0SgPvyH/9pHo2GqEvg9E4+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C5NxQAAANwAAAAPAAAAAAAAAAAAAAAAAJgCAABkcnMv&#10;ZG93bnJldi54bWxQSwUGAAAAAAQABAD1AAAAigMAAAAA&#10;" fillcolor="window" strokeweight=".5pt">
                  <v:textbox inset="2.36206mm,1.181mm,2.36206mm,1.181mm">
                    <w:txbxContent>
                      <w:p w:rsidR="000467D9" w:rsidRPr="00ED59AF" w:rsidRDefault="000467D9" w:rsidP="00264381">
                        <w:pPr>
                          <w:pStyle w:val="TableCentre"/>
                          <w:rPr>
                            <w:sz w:val="16"/>
                            <w:szCs w:val="16"/>
                          </w:rPr>
                        </w:pPr>
                        <w:r w:rsidRPr="00ED59AF">
                          <w:rPr>
                            <w:rFonts w:eastAsia="Calibri"/>
                            <w:sz w:val="16"/>
                            <w:szCs w:val="16"/>
                          </w:rPr>
                          <w:t>Non-surgical management</w:t>
                        </w:r>
                      </w:p>
                    </w:txbxContent>
                  </v:textbox>
                </v:shape>
                <v:shape id="Straight Arrow Connector 202" o:spid="_x0000_s1062" type="#_x0000_t32" style="position:absolute;left:23120;top:33418;width:6;height:95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26J8YAAADcAAAADwAAAGRycy9kb3ducmV2LnhtbESPQWsCMRSE70L/Q3iFXqQmriCyNUop&#10;FKQIou2lt8fm7Wbp5mW7ievqrzeC4HGYmW+Y5XpwjeipC7VnDdOJAkFceFNzpeHn+/N1ASJEZION&#10;Z9JwpgDr1dNoibnxJ95Tf4iVSBAOOWqwMba5lKGw5DBMfEucvNJ3DmOSXSVNh6cEd43MlJpLhzWn&#10;BYstfVgq/g5Hp2G8/62rsjxuz2F22S3U1+7fFr3WL8/D+xuISEN8hO/tjdGQqQxuZ9IR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9uifGAAAA3AAAAA8AAAAAAAAA&#10;AAAAAAAAoQIAAGRycy9kb3ducmV2LnhtbFBLBQYAAAAABAAEAPkAAACUAwAAAAA=&#10;">
                  <v:stroke endarrow="open"/>
                </v:shape>
                <v:shape id="Text Box 3" o:spid="_x0000_s1063" type="#_x0000_t202" style="position:absolute;left:17720;top:42986;width:1080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VocUA&#10;AADcAAAADwAAAGRycy9kb3ducmV2LnhtbESPQWvCQBSE74X+h+UVvJS6qwWR6CpWEXvworH3R/aZ&#10;hGbfxuwao7/eFQSPw8x8w0znna1ES40vHWsY9BUI4syZknMNh3T9NQbhA7LByjFpuJKH+ez9bYqJ&#10;cRfeUbsPuYgQ9glqKEKoEyl9VpBF33c1cfSOrrEYomxyaRq8RLit5FCpkbRYclwosKZlQdn//mw1&#10;tH/qZ7EapKtbesLN5vM23q5PXuveR7eYgAjUhVf42f41GobqGx5n4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2hWhxQAAANwAAAAPAAAAAAAAAAAAAAAAAJgCAABkcnMv&#10;ZG93bnJldi54bWxQSwUGAAAAAAQABAD1AAAAigMAAAAA&#10;" fillcolor="window" strokeweight=".5pt">
                  <v:textbox inset="2.36206mm,1.181mm,2.36206mm,1.181mm">
                    <w:txbxContent>
                      <w:p w:rsidR="000467D9" w:rsidRPr="00ED59AF" w:rsidRDefault="000467D9" w:rsidP="00264381">
                        <w:pPr>
                          <w:pStyle w:val="TableCentre"/>
                          <w:rPr>
                            <w:sz w:val="16"/>
                            <w:szCs w:val="16"/>
                          </w:rPr>
                        </w:pPr>
                        <w:r w:rsidRPr="00ED59AF">
                          <w:rPr>
                            <w:sz w:val="16"/>
                            <w:szCs w:val="16"/>
                          </w:rPr>
                          <w:t>Improved mobility, comfort, arrested degeneration etc.</w:t>
                        </w:r>
                      </w:p>
                      <w:p w:rsidR="000467D9" w:rsidRPr="00ED59AF" w:rsidRDefault="000467D9" w:rsidP="00264381">
                        <w:pPr>
                          <w:pStyle w:val="TableCentre"/>
                          <w:rPr>
                            <w:sz w:val="16"/>
                            <w:szCs w:val="16"/>
                          </w:rPr>
                        </w:pPr>
                        <w:r w:rsidRPr="00ED59AF">
                          <w:rPr>
                            <w:sz w:val="16"/>
                            <w:szCs w:val="16"/>
                          </w:rPr>
                          <w:t> </w:t>
                        </w:r>
                      </w:p>
                    </w:txbxContent>
                  </v:textbox>
                </v:shape>
                <v:shape id="Straight Arrow Connector 207" o:spid="_x0000_s1064" type="#_x0000_t32" style="position:absolute;left:23100;top:26802;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SqS8MAAADcAAAADwAAAGRycy9kb3ducmV2LnhtbESPQWvCQBSE74X+h+UJXkrdGKlKdJUi&#10;VIWe1ILXR/YlG8y+DdltjP/eFQSPw8x8wyzXva1FR62vHCsYjxIQxLnTFZcK/k4/n3MQPiBrrB2T&#10;ght5WK/e35aYaXflA3XHUIoIYZ+hAhNCk0npc0MW/cg1xNErXGsxRNmWUrd4jXBbyzRJptJixXHB&#10;YEMbQ/nl+G8VFKmm8cflbHazLyw2v5O06+qtUsNB/70AEagPr/CzvdcK0mQGjzPxCM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qkvDAAAA3AAAAA8AAAAAAAAAAAAA&#10;AAAAoQIAAGRycy9kb3ducmV2LnhtbFBLBQYAAAAABAAEAPkAAACRAwAAAAA=&#10;">
                  <v:stroke endarrow="open"/>
                </v:shape>
                <v:shape id="Straight Arrow Connector 209" o:spid="_x0000_s1065" type="#_x0000_t32" style="position:absolute;left:23313;top:15493;width:28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koVsYAAADcAAAADwAAAGRycy9kb3ducmV2LnhtbESPT2sCMRTE7wW/Q3iCl1ITLRS7NYoU&#10;BCkF8c+lt8fm7WZx87LdxHXtpzdCweMwM79h5sve1aKjNlSeNUzGCgRx7k3FpYbjYf0yAxEissHa&#10;M2m4UoDlYvA0x8z4C++o28dSJAiHDDXYGJtMypBbchjGviFOXuFbhzHJtpSmxUuCu1pOlXqTDitO&#10;CxYb+rSUn/Znp+F591OVRXH+vobXv+1MfW1/bd5pPRr2qw8Qkfr4CP+3N0bDVL3D/Uw6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ZKFbGAAAA3AAAAA8AAAAAAAAA&#10;AAAAAAAAoQIAAGRycy9kb3ducmV2LnhtbFBLBQYAAAAABAAEAPkAAACUAwAAAAA=&#10;">
                  <v:stroke endarrow="open"/>
                </v:shape>
                <v:shape id="Straight Arrow Connector 211" o:spid="_x0000_s1066" type="#_x0000_t32" style="position:absolute;left:40544;top:15492;width:28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gBecQAAADcAAAADwAAAGRycy9kb3ducmV2LnhtbESPQWvCQBSE70L/w/KEXkQ3SWmVmFWK&#10;YFvoqSp4fWRfsiHZtyG7xvTfdwuFHoeZ+YYp9pPtxEiDbxwrSFcJCOLS6YZrBZfzcbkB4QOyxs4x&#10;KfgmD/vdw6zAXLs7f9F4CrWIEPY5KjAh9LmUvjRk0a9cTxy9yg0WQ5RDLfWA9wi3ncyS5EVabDgu&#10;GOzpYKhsTzeroMo0pYv2at7Xz1gdPp+ycezelHqcT69bEIGm8B/+a39oBVmawu+ZeAT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2AF5xAAAANwAAAAPAAAAAAAAAAAA&#10;AAAAAKECAABkcnMvZG93bnJldi54bWxQSwUGAAAAAAQABAD5AAAAkgMAAAAA&#10;">
                  <v:stroke endarrow="open"/>
                </v:shape>
                <v:shapetype id="_x0000_t33" coordsize="21600,21600" o:spt="33" o:oned="t" path="m,l21600,r,21600e" filled="f">
                  <v:stroke joinstyle="miter"/>
                  <v:path arrowok="t" fillok="f" o:connecttype="none"/>
                  <o:lock v:ext="edit" shapetype="t"/>
                </v:shapetype>
                <v:shape id="Straight Arrow Connector 215" o:spid="_x0000_s1067" type="#_x0000_t33" style="position:absolute;left:16150;top:33828;width:4831;height:401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tPzsUAAADcAAAADwAAAGRycy9kb3ducmV2LnhtbESPX2vCMBTF34V9h3AF32ZaQSvVKCIM&#10;hqCwbrg9Xppr2625KUlm6z79Mhj4eDh/fpz1djCtuJLzjWUF6TQBQVxa3XCl4O316XEJwgdkja1l&#10;UnAjD9vNw2iNubY9v9C1CJWII+xzVFCH0OVS+rImg35qO+LoXawzGKJ0ldQO+zhuWjlLkoU02HAk&#10;1NjRvqbyq/g2kdsVWepO2fuhp/7jfMh+9sf0U6nJeNitQAQawj38337WCmbpHP7Ox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tPzsUAAADcAAAADwAAAAAAAAAA&#10;AAAAAAChAgAAZHJzL2Rvd25yZXYueG1sUEsFBgAAAAAEAAQA+QAAAJMDAAAAAA==&#10;">
                  <v:stroke endarrow="open"/>
                </v:shape>
                <v:shape id="Straight Arrow Connector 16" o:spid="_x0000_s1068" type="#_x0000_t32" style="position:absolute;left:50868;top:18013;width:0;height:182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OLgcMAAADbAAAADwAAAGRycy9kb3ducmV2LnhtbERPTWvCQBC9C/6HZQq9SLOpBQnRVUqh&#10;UKQQYnvpbchOssHsbMyuMfrr3UKht3m8z9nsJtuJkQbfOlbwnKQgiCunW24UfH+9P2UgfEDW2Dkm&#10;BVfysNvOZxvMtbtwSeMhNCKGsM9RgQmhz6X0lSGLPnE9ceRqN1gMEQ6N1ANeYrjt5DJNV9Jiy7HB&#10;YE9vhqrj4WwVLMqftqnr8+fVv9yKLN0XJ1ONSj0+TK9rEIGm8C/+c3/oOH8Fv7/EA+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ji4HDAAAA2wAAAA8AAAAAAAAAAAAA&#10;AAAAoQIAAGRycy9kb3ducmV2LnhtbFBLBQYAAAAABAAEAPkAAACRAwAAAAA=&#10;">
                  <v:stroke endarrow="open"/>
                </v:shape>
                <v:shape id="Straight Arrow Connector 113" o:spid="_x0000_s1069" type="#_x0000_t32" style="position:absolute;left:16005;top:18118;width:0;height:183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oHcQAAADcAAAADwAAAGRycy9kb3ducmV2LnhtbERPS2vCQBC+C/0PyxR6kbqxAZHUVaQg&#10;SCmI2ktvQ3aSDWZn0+zm1V/fLRS8zcf3nM1utLXoqfWVYwXLRQKCOHe64lLB5/XwvAbhA7LG2jEp&#10;mMjDbvsw22Cm3cBn6i+hFDGEfYYKTAhNJqXPDVn0C9cQR65wrcUQYVtK3eIQw20tX5JkJS1WHBsM&#10;NvRmKL9dOqtgfv6qyqLoPiaf/pzWyfvp2+S9Uk+P4/4VRKAx3MX/7qOO85cp/D0TL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jegdxAAAANwAAAAPAAAAAAAAAAAA&#10;AAAAAKECAABkcnMvZG93bnJldi54bWxQSwUGAAAAAAQABAD5AAAAkgMAAAAA&#10;">
                  <v:stroke endarrow="open"/>
                </v:shape>
                <v:shape id="Text Box 3" o:spid="_x0000_s1070" type="#_x0000_t202" style="position:absolute;left:25874;top:6449;width:14876;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903cMA&#10;AADcAAAADwAAAGRycy9kb3ducmV2LnhtbERPS4vCMBC+L/gfwgheFk3chUWqUXwg7mEva/U+NGNb&#10;bCa1ydbqr98Igrf5+J4zW3S2Ei01vnSsYTxSIIgzZ0rONRzS7XACwgdkg5Vj0nAjD4t5722GiXFX&#10;/qV2H3IRQ9gnqKEIoU6k9FlBFv3I1cSRO7nGYoiwyaVp8BrDbSU/lPqSFkuODQXWtC4oO+//rIb2&#10;qFbLzTjd3NML7nbv98nP9uK1HvS75RREoC68xE/3t4nz1Sc8no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903cMAAADcAAAADwAAAAAAAAAAAAAAAACYAgAAZHJzL2Rv&#10;d25yZXYueG1sUEsFBgAAAAAEAAQA9QAAAIgDAAAAAA==&#10;" fillcolor="window" strokeweight=".5pt">
                  <v:textbox inset="2.36206mm,1.181mm,2.36206mm,1.181mm">
                    <w:txbxContent>
                      <w:p w:rsidR="000467D9" w:rsidRPr="00ED59AF" w:rsidRDefault="000467D9" w:rsidP="00264381">
                        <w:pPr>
                          <w:pStyle w:val="TableCentre"/>
                          <w:rPr>
                            <w:sz w:val="16"/>
                            <w:szCs w:val="16"/>
                          </w:rPr>
                        </w:pPr>
                        <w:r w:rsidRPr="00ED59AF">
                          <w:rPr>
                            <w:rFonts w:eastAsia="Calibri"/>
                            <w:sz w:val="16"/>
                            <w:szCs w:val="16"/>
                          </w:rPr>
                          <w:t>Assessment and/or treatment by GP or Podiatrist</w:t>
                        </w:r>
                      </w:p>
                    </w:txbxContent>
                  </v:textbox>
                </v:shape>
                <v:shape id="Straight Arrow Connector 104" o:spid="_x0000_s1071" type="#_x0000_t32" style="position:absolute;left:33312;top:10049;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VQMMAAADcAAAADwAAAGRycy9kb3ducmV2LnhtbERPTWvCQBC9F/wPywheSt0YWysxq4hg&#10;W/BULfQ6ZCfZkOxsyK4x/fduodDbPN7n5LvRtmKg3teOFSzmCQjiwumaKwVfl+PTGoQPyBpbx6Tg&#10;hzzstpOHHDPtbvxJwzlUIoawz1CBCaHLpPSFIYt+7jriyJWutxgi7Cupe7zFcNvKNElW0mLNscFg&#10;RwdDRXO+WgVlqmnx2Hyb99cXLA+nZToM7ZtSs+m434AINIZ/8Z/7Q8f5yTP8PhMv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TVUDDAAAA3AAAAA8AAAAAAAAAAAAA&#10;AAAAoQIAAGRycy9kb3ducmV2LnhtbFBLBQYAAAAABAAEAPkAAACRAwAAAAA=&#1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15" o:spid="_x0000_s1072" type="#_x0000_t34" style="position:absolute;left:51494;top:33074;width:6570;height:502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vYwcEAAADcAAAADwAAAGRycy9kb3ducmV2LnhtbERPTWvCQBC9F/wPywje6qaRFEldpSil&#10;elProcchO02C2dmQHWP8964g9DaP9zmL1eAa1VMXas8G3qYJKOLC25pLA6efr9c5qCDIFhvPZOBG&#10;AVbL0csCc+uvfKD+KKWKIRxyNFCJtLnWoajIYZj6ljhyf75zKBF2pbYdXmO4a3SaJO/aYc2xocKW&#10;1hUV5+PFGZDZrt+f9SH9zZqTfG8ufZbNtTGT8fD5AUpokH/x0721cf4shccz8QK9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S9jBwQAAANwAAAAPAAAAAAAAAAAAAAAA&#10;AKECAABkcnMvZG93bnJldi54bWxQSwUGAAAAAAQABAD5AAAAjwMAAAAA&#10;">
                  <v:stroke endarrow="open"/>
                </v:shape>
                <w10:anchorlock/>
              </v:group>
            </w:pict>
          </mc:Fallback>
        </mc:AlternateContent>
      </w:r>
    </w:p>
    <w:bookmarkEnd w:id="1"/>
    <w:p w:rsidR="00264381" w:rsidRPr="00214F9E" w:rsidRDefault="00264381" w:rsidP="00264381">
      <w:pPr>
        <w:pStyle w:val="Tabletext"/>
      </w:pPr>
      <w:r w:rsidRPr="00214F9E">
        <w:t>Source: Figure A.3, p34 of the application</w:t>
      </w:r>
    </w:p>
    <w:p w:rsidR="00264381" w:rsidRPr="00214F9E" w:rsidRDefault="00264381" w:rsidP="00264381">
      <w:pPr>
        <w:pStyle w:val="Tabletext"/>
      </w:pPr>
      <w:r w:rsidRPr="00214F9E">
        <w:t>GP = general practitioner</w:t>
      </w:r>
    </w:p>
    <w:p w:rsidR="00281D7A" w:rsidRDefault="00281D7A" w:rsidP="00E605B0">
      <w:pPr>
        <w:tabs>
          <w:tab w:val="left" w:pos="720"/>
          <w:tab w:val="left" w:pos="1140"/>
        </w:tabs>
        <w:rPr>
          <w:szCs w:val="24"/>
        </w:rPr>
      </w:pPr>
    </w:p>
    <w:p w:rsidR="00E605B0" w:rsidRDefault="00264381" w:rsidP="00E605B0">
      <w:pPr>
        <w:tabs>
          <w:tab w:val="left" w:pos="720"/>
          <w:tab w:val="left" w:pos="1140"/>
        </w:tabs>
        <w:rPr>
          <w:szCs w:val="24"/>
        </w:rPr>
      </w:pPr>
      <w:r>
        <w:rPr>
          <w:szCs w:val="24"/>
        </w:rPr>
        <w:t>It should be noted that, while outpatient and day clinic settings are listed in the algorithm, most of the MBS items are proposed for admitted (in-hospital) patients.</w:t>
      </w:r>
    </w:p>
    <w:p w:rsidR="00CA669F" w:rsidRPr="00BB418D" w:rsidRDefault="00CA669F" w:rsidP="00E605B0">
      <w:pPr>
        <w:tabs>
          <w:tab w:val="left" w:pos="720"/>
          <w:tab w:val="left" w:pos="1140"/>
        </w:tabs>
        <w:rPr>
          <w:szCs w:val="24"/>
        </w:rPr>
      </w:pPr>
    </w:p>
    <w:p w:rsidR="00BC1364" w:rsidRPr="008D5885" w:rsidRDefault="00E605B0" w:rsidP="007B32D1">
      <w:pPr>
        <w:pStyle w:val="Heading1"/>
        <w:numPr>
          <w:ilvl w:val="0"/>
          <w:numId w:val="23"/>
        </w:numPr>
        <w:ind w:hanging="720"/>
      </w:pPr>
      <w:r>
        <w:t>Comparator</w:t>
      </w:r>
    </w:p>
    <w:p w:rsidR="00BC1364" w:rsidRPr="00E605B0" w:rsidRDefault="00BC1364" w:rsidP="00DD2858">
      <w:pPr>
        <w:rPr>
          <w:szCs w:val="24"/>
        </w:rPr>
      </w:pPr>
    </w:p>
    <w:p w:rsidR="00264381" w:rsidRPr="00EF6D24" w:rsidRDefault="00912349" w:rsidP="00264381">
      <w:r>
        <w:t>MSAC agreed that t</w:t>
      </w:r>
      <w:r w:rsidR="00E605B0">
        <w:t xml:space="preserve">he appropriate </w:t>
      </w:r>
      <w:r w:rsidR="00E605B0" w:rsidRPr="00214F9E">
        <w:t>comparator</w:t>
      </w:r>
      <w:r w:rsidR="00E605B0">
        <w:t xml:space="preserve"> was f</w:t>
      </w:r>
      <w:r w:rsidR="00264381" w:rsidRPr="00214F9E">
        <w:t>oot and ankle services pro</w:t>
      </w:r>
      <w:r w:rsidR="00264381">
        <w:t>vided by orthopaedic surgeons</w:t>
      </w:r>
      <w:r w:rsidR="00264381" w:rsidRPr="00214F9E">
        <w:t xml:space="preserve">. The main arguments provided </w:t>
      </w:r>
      <w:r>
        <w:t>by the applica</w:t>
      </w:r>
      <w:r w:rsidR="00716FE6">
        <w:t>tion</w:t>
      </w:r>
      <w:r>
        <w:t xml:space="preserve"> </w:t>
      </w:r>
      <w:r w:rsidR="00E605B0">
        <w:t>we</w:t>
      </w:r>
      <w:r w:rsidR="00264381" w:rsidRPr="00214F9E">
        <w:t>re</w:t>
      </w:r>
      <w:r w:rsidR="00264381" w:rsidRPr="00771863">
        <w:t xml:space="preserve"> </w:t>
      </w:r>
      <w:r w:rsidR="00264381">
        <w:t>that podiatric surgeons align</w:t>
      </w:r>
      <w:r w:rsidR="00264381" w:rsidRPr="00214F9E">
        <w:t xml:space="preserve"> closest to orthopaedic surgeons</w:t>
      </w:r>
      <w:r w:rsidR="00264381">
        <w:t xml:space="preserve"> in terms of their</w:t>
      </w:r>
      <w:r w:rsidR="00264381" w:rsidRPr="00214F9E">
        <w:t>: skillset</w:t>
      </w:r>
      <w:r w:rsidR="00264381">
        <w:t>s</w:t>
      </w:r>
      <w:r w:rsidR="00264381" w:rsidRPr="00214F9E">
        <w:t xml:space="preserve">; </w:t>
      </w:r>
      <w:r w:rsidR="00264381">
        <w:t xml:space="preserve">the </w:t>
      </w:r>
      <w:r w:rsidR="00264381" w:rsidRPr="00214F9E">
        <w:t xml:space="preserve">conditions treated; </w:t>
      </w:r>
      <w:r w:rsidR="00264381">
        <w:t xml:space="preserve">the </w:t>
      </w:r>
      <w:r w:rsidR="00264381" w:rsidRPr="00214F9E">
        <w:t>model of care</w:t>
      </w:r>
      <w:r w:rsidR="00264381">
        <w:t xml:space="preserve"> (‘whole </w:t>
      </w:r>
      <w:r w:rsidR="00CD256D">
        <w:t xml:space="preserve">of </w:t>
      </w:r>
      <w:r w:rsidR="00264381">
        <w:t>episode’)</w:t>
      </w:r>
      <w:r w:rsidR="00264381" w:rsidRPr="00214F9E">
        <w:t>; patient assessment with diagnostic testing; procedure variety and post-operative care.</w:t>
      </w:r>
      <w:r w:rsidR="00264381">
        <w:t xml:space="preserve"> </w:t>
      </w:r>
      <w:r w:rsidR="00264381" w:rsidRPr="00EF6D24">
        <w:t xml:space="preserve">The main differences </w:t>
      </w:r>
      <w:r w:rsidR="00264381">
        <w:t>between</w:t>
      </w:r>
      <w:r w:rsidR="00264381" w:rsidRPr="00EF6D24">
        <w:t xml:space="preserve"> the two specialities are listed in Table </w:t>
      </w:r>
      <w:r w:rsidR="00E605B0">
        <w:t>1</w:t>
      </w:r>
      <w:r w:rsidR="00264381" w:rsidRPr="00EF6D24">
        <w:t>.</w:t>
      </w:r>
    </w:p>
    <w:p w:rsidR="00264381" w:rsidRPr="00E605B0" w:rsidRDefault="00264381" w:rsidP="00264381"/>
    <w:p w:rsidR="00685CD0" w:rsidRDefault="00685CD0">
      <w:pPr>
        <w:rPr>
          <w:rFonts w:ascii="Arial Narrow" w:hAnsi="Arial Narrow"/>
          <w:b/>
          <w:sz w:val="20"/>
        </w:rPr>
      </w:pPr>
      <w:r>
        <w:rPr>
          <w:rFonts w:ascii="Arial Narrow" w:hAnsi="Arial Narrow"/>
          <w:b/>
          <w:sz w:val="20"/>
        </w:rPr>
        <w:br w:type="page"/>
      </w:r>
    </w:p>
    <w:p w:rsidR="00264381" w:rsidRPr="00EA2F5C" w:rsidRDefault="00264381" w:rsidP="00264381">
      <w:pPr>
        <w:rPr>
          <w:rFonts w:ascii="Arial Narrow" w:hAnsi="Arial Narrow"/>
          <w:b/>
          <w:sz w:val="20"/>
        </w:rPr>
      </w:pPr>
      <w:r>
        <w:rPr>
          <w:rFonts w:ascii="Arial Narrow" w:hAnsi="Arial Narrow"/>
          <w:b/>
          <w:sz w:val="20"/>
        </w:rPr>
        <w:lastRenderedPageBreak/>
        <w:t xml:space="preserve">Table </w:t>
      </w:r>
      <w:r w:rsidR="00E605B0">
        <w:rPr>
          <w:rFonts w:ascii="Arial Narrow" w:hAnsi="Arial Narrow"/>
          <w:b/>
          <w:sz w:val="20"/>
        </w:rPr>
        <w:t>1</w:t>
      </w:r>
      <w:r>
        <w:rPr>
          <w:rFonts w:ascii="Arial Narrow" w:hAnsi="Arial Narrow"/>
          <w:b/>
          <w:sz w:val="20"/>
        </w:rPr>
        <w:t xml:space="preserve">: </w:t>
      </w:r>
      <w:r w:rsidRPr="00EA2F5C">
        <w:rPr>
          <w:rFonts w:ascii="Arial Narrow" w:hAnsi="Arial Narrow"/>
          <w:b/>
          <w:sz w:val="20"/>
        </w:rPr>
        <w:t>Key differences among</w:t>
      </w:r>
      <w:r>
        <w:rPr>
          <w:rFonts w:ascii="Arial Narrow" w:hAnsi="Arial Narrow"/>
          <w:b/>
          <w:sz w:val="20"/>
        </w:rPr>
        <w:t xml:space="preserve"> Australian</w:t>
      </w:r>
      <w:r w:rsidRPr="00EA2F5C">
        <w:rPr>
          <w:rFonts w:ascii="Arial Narrow" w:hAnsi="Arial Narrow"/>
          <w:b/>
          <w:sz w:val="20"/>
        </w:rPr>
        <w:t xml:space="preserve"> podiatric and orthopaedic surgeons (current)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A.3 1 Comparative overview of podiatric and orthopaedic surgeons"/>
        <w:tblDescription w:val="Key differences betwwen podiatric and orthopaedic surgeons"/>
      </w:tblPr>
      <w:tblGrid>
        <w:gridCol w:w="1748"/>
        <w:gridCol w:w="3464"/>
        <w:gridCol w:w="4030"/>
      </w:tblGrid>
      <w:tr w:rsidR="00264381" w:rsidRPr="000D72C7" w:rsidTr="00264381">
        <w:trPr>
          <w:tblHeader/>
        </w:trPr>
        <w:tc>
          <w:tcPr>
            <w:tcW w:w="946"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
              <w:spacing w:line="276" w:lineRule="auto"/>
              <w:rPr>
                <w:rFonts w:ascii="Arial Narrow" w:hAnsi="Arial Narrow"/>
                <w:b/>
                <w:lang w:val="en-US"/>
              </w:rPr>
            </w:pPr>
            <w:r>
              <w:rPr>
                <w:rFonts w:ascii="Arial Narrow" w:hAnsi="Arial Narrow"/>
                <w:b/>
                <w:lang w:val="en-US"/>
              </w:rPr>
              <w:t>-</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b/>
                <w:lang w:val="en-US"/>
              </w:rPr>
            </w:pPr>
            <w:r w:rsidRPr="000D72C7">
              <w:rPr>
                <w:rFonts w:ascii="Arial Narrow" w:hAnsi="Arial Narrow"/>
                <w:b/>
                <w:lang w:val="en-US"/>
              </w:rPr>
              <w:t>Podiatric surgeon</w:t>
            </w:r>
          </w:p>
        </w:tc>
        <w:tc>
          <w:tcPr>
            <w:tcW w:w="2180"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b/>
                <w:lang w:val="en-US"/>
              </w:rPr>
            </w:pPr>
            <w:r w:rsidRPr="000D72C7">
              <w:rPr>
                <w:rFonts w:ascii="Arial Narrow" w:hAnsi="Arial Narrow"/>
                <w:b/>
                <w:lang w:val="en-US"/>
              </w:rPr>
              <w:t>Orthopaedic surgeon</w:t>
            </w:r>
          </w:p>
        </w:tc>
      </w:tr>
      <w:tr w:rsidR="00264381" w:rsidRPr="000D72C7" w:rsidTr="00264381">
        <w:tc>
          <w:tcPr>
            <w:tcW w:w="946" w:type="pct"/>
            <w:tcBorders>
              <w:top w:val="single" w:sz="4" w:space="0" w:color="auto"/>
              <w:left w:val="single" w:sz="4" w:space="0" w:color="auto"/>
              <w:bottom w:val="single" w:sz="4" w:space="0" w:color="auto"/>
              <w:right w:val="single" w:sz="4" w:space="0" w:color="auto"/>
            </w:tcBorders>
            <w:shd w:val="clear" w:color="auto" w:fill="auto"/>
          </w:tcPr>
          <w:p w:rsidR="00264381" w:rsidRPr="00B23137" w:rsidRDefault="00264381" w:rsidP="00264381">
            <w:pPr>
              <w:pStyle w:val="Table"/>
              <w:spacing w:line="276" w:lineRule="auto"/>
              <w:rPr>
                <w:rFonts w:ascii="Arial Narrow" w:hAnsi="Arial Narrow"/>
                <w:lang w:val="en-US"/>
              </w:rPr>
            </w:pPr>
            <w:r>
              <w:rPr>
                <w:rFonts w:ascii="Arial Narrow" w:hAnsi="Arial Narrow"/>
                <w:lang w:val="en-US"/>
              </w:rPr>
              <w:t>Referred by</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264381" w:rsidRDefault="00264381" w:rsidP="00264381">
            <w:pPr>
              <w:pStyle w:val="TableCentre"/>
              <w:spacing w:line="276" w:lineRule="auto"/>
              <w:rPr>
                <w:rFonts w:ascii="Arial Narrow" w:hAnsi="Arial Narrow"/>
                <w:lang w:val="en-US"/>
              </w:rPr>
            </w:pPr>
            <w:r>
              <w:rPr>
                <w:rFonts w:ascii="Arial Narrow" w:hAnsi="Arial Narrow"/>
                <w:lang w:val="en-US"/>
              </w:rPr>
              <w:t>Podiatrists 59% , GPs 35%, specialist 6% - referral not required</w:t>
            </w:r>
          </w:p>
        </w:tc>
        <w:tc>
          <w:tcPr>
            <w:tcW w:w="2180" w:type="pct"/>
            <w:tcBorders>
              <w:top w:val="single" w:sz="4" w:space="0" w:color="auto"/>
              <w:left w:val="single" w:sz="4" w:space="0" w:color="auto"/>
              <w:bottom w:val="single" w:sz="4" w:space="0" w:color="auto"/>
              <w:right w:val="single" w:sz="4" w:space="0" w:color="auto"/>
            </w:tcBorders>
            <w:shd w:val="clear" w:color="auto" w:fill="auto"/>
          </w:tcPr>
          <w:p w:rsidR="00264381" w:rsidRDefault="00264381" w:rsidP="00264381">
            <w:pPr>
              <w:pStyle w:val="TableCentre"/>
              <w:spacing w:line="276" w:lineRule="auto"/>
              <w:rPr>
                <w:rFonts w:ascii="Arial Narrow" w:hAnsi="Arial Narrow"/>
                <w:lang w:val="en-US"/>
              </w:rPr>
            </w:pPr>
            <w:r>
              <w:rPr>
                <w:rFonts w:ascii="Arial Narrow" w:hAnsi="Arial Narrow"/>
                <w:lang w:val="en-US"/>
              </w:rPr>
              <w:t>GPs, specialists (unknown %)</w:t>
            </w:r>
            <w:r w:rsidRPr="00B23137">
              <w:rPr>
                <w:rFonts w:ascii="Arial Narrow" w:hAnsi="Arial Narrow"/>
                <w:lang w:val="en-US"/>
              </w:rPr>
              <w:t xml:space="preserve"> </w:t>
            </w:r>
            <w:r>
              <w:rPr>
                <w:rFonts w:ascii="Arial Narrow" w:hAnsi="Arial Narrow"/>
                <w:lang w:val="en-US"/>
              </w:rPr>
              <w:t>-</w:t>
            </w:r>
            <w:r w:rsidRPr="00B23137">
              <w:rPr>
                <w:rFonts w:ascii="Arial Narrow" w:hAnsi="Arial Narrow"/>
                <w:lang w:val="en-US"/>
              </w:rPr>
              <w:t xml:space="preserve"> required for the consultation </w:t>
            </w:r>
            <w:r>
              <w:rPr>
                <w:rFonts w:ascii="Arial Narrow" w:hAnsi="Arial Narrow"/>
                <w:lang w:val="en-US"/>
              </w:rPr>
              <w:t>to be eligible for MBS benefits</w:t>
            </w:r>
          </w:p>
        </w:tc>
      </w:tr>
      <w:tr w:rsidR="00264381" w:rsidRPr="000D72C7" w:rsidTr="00264381">
        <w:tc>
          <w:tcPr>
            <w:tcW w:w="946"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
              <w:spacing w:line="276" w:lineRule="auto"/>
              <w:rPr>
                <w:rFonts w:ascii="Arial Narrow" w:hAnsi="Arial Narrow"/>
                <w:lang w:val="en-US"/>
              </w:rPr>
            </w:pPr>
            <w:r w:rsidRPr="00B23137">
              <w:rPr>
                <w:rFonts w:ascii="Arial Narrow" w:hAnsi="Arial Narrow"/>
                <w:lang w:val="en-US"/>
              </w:rPr>
              <w:t>Operating settings</w:t>
            </w:r>
            <w:r>
              <w:rPr>
                <w:rFonts w:ascii="Arial Narrow" w:hAnsi="Arial Narrow"/>
                <w:lang w:val="en-US"/>
              </w:rPr>
              <w:t xml:space="preserve"> </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r>
              <w:rPr>
                <w:rFonts w:ascii="Arial Narrow" w:hAnsi="Arial Narrow"/>
                <w:lang w:val="en-US"/>
              </w:rPr>
              <w:t>Private hospital 80%, private clinic 20%</w:t>
            </w:r>
          </w:p>
        </w:tc>
        <w:tc>
          <w:tcPr>
            <w:tcW w:w="2180"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r>
              <w:rPr>
                <w:rFonts w:ascii="Arial Narrow" w:hAnsi="Arial Narrow"/>
                <w:lang w:val="en-US"/>
              </w:rPr>
              <w:t>Private hospital, private clinic, public hospital</w:t>
            </w:r>
          </w:p>
        </w:tc>
      </w:tr>
      <w:tr w:rsidR="00264381" w:rsidRPr="000D72C7" w:rsidTr="00264381">
        <w:tc>
          <w:tcPr>
            <w:tcW w:w="946"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
              <w:spacing w:line="276" w:lineRule="auto"/>
              <w:rPr>
                <w:rFonts w:ascii="Arial Narrow" w:hAnsi="Arial Narrow"/>
                <w:lang w:val="en-US"/>
              </w:rPr>
            </w:pPr>
            <w:r>
              <w:rPr>
                <w:rFonts w:ascii="Arial Narrow" w:hAnsi="Arial Narrow"/>
                <w:lang w:val="en-US"/>
              </w:rPr>
              <w:t xml:space="preserve">Number of surgeons </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264381" w:rsidRPr="00BE0A44" w:rsidRDefault="00264381" w:rsidP="00264381">
            <w:pPr>
              <w:pStyle w:val="TableCentre"/>
              <w:spacing w:line="276" w:lineRule="auto"/>
              <w:rPr>
                <w:rFonts w:ascii="Arial Narrow" w:hAnsi="Arial Narrow"/>
              </w:rPr>
            </w:pPr>
            <w:r>
              <w:rPr>
                <w:rFonts w:ascii="Arial Narrow" w:hAnsi="Arial Narrow"/>
                <w:lang w:val="en-US"/>
              </w:rPr>
              <w:t>26 accredited, 19 actively practicing</w:t>
            </w:r>
          </w:p>
        </w:tc>
        <w:tc>
          <w:tcPr>
            <w:tcW w:w="2180"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F65C2D">
            <w:pPr>
              <w:pStyle w:val="TableCentre"/>
              <w:spacing w:line="276" w:lineRule="auto"/>
              <w:rPr>
                <w:rFonts w:ascii="Arial Narrow" w:hAnsi="Arial Narrow"/>
                <w:lang w:val="en-US"/>
              </w:rPr>
            </w:pPr>
            <w:r>
              <w:rPr>
                <w:rFonts w:ascii="Arial Narrow" w:hAnsi="Arial Narrow"/>
                <w:lang w:val="en-US"/>
              </w:rPr>
              <w:t>1211 registered, of these 99 specialize in ankle/foot</w:t>
            </w:r>
          </w:p>
        </w:tc>
      </w:tr>
      <w:tr w:rsidR="00264381" w:rsidRPr="000D72C7" w:rsidTr="00264381">
        <w:tc>
          <w:tcPr>
            <w:tcW w:w="946"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
              <w:spacing w:line="276" w:lineRule="auto"/>
              <w:rPr>
                <w:rFonts w:ascii="Arial Narrow" w:hAnsi="Arial Narrow"/>
                <w:lang w:val="en-US"/>
              </w:rPr>
            </w:pPr>
            <w:r>
              <w:rPr>
                <w:rFonts w:ascii="Arial Narrow" w:hAnsi="Arial Narrow"/>
                <w:lang w:val="en-US"/>
              </w:rPr>
              <w:t>Patient types</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264381" w:rsidRDefault="00264381" w:rsidP="00264381">
            <w:pPr>
              <w:pStyle w:val="TableCentre"/>
              <w:spacing w:line="276" w:lineRule="auto"/>
              <w:rPr>
                <w:rFonts w:ascii="Arial Narrow" w:hAnsi="Arial Narrow"/>
                <w:lang w:val="en-US"/>
              </w:rPr>
            </w:pPr>
            <w:r>
              <w:rPr>
                <w:rFonts w:ascii="Arial Narrow" w:hAnsi="Arial Narrow"/>
                <w:lang w:val="en-US"/>
              </w:rPr>
              <w:t>Fewer trauma patients (elective patients)</w:t>
            </w:r>
          </w:p>
          <w:p w:rsidR="00264381" w:rsidRDefault="00264381" w:rsidP="00264381">
            <w:pPr>
              <w:pStyle w:val="TableCentre"/>
              <w:spacing w:line="276" w:lineRule="auto"/>
              <w:rPr>
                <w:rFonts w:ascii="Arial Narrow" w:hAnsi="Arial Narrow"/>
                <w:lang w:val="en-US"/>
              </w:rPr>
            </w:pPr>
            <w:r>
              <w:rPr>
                <w:rFonts w:ascii="Arial Narrow" w:hAnsi="Arial Narrow"/>
                <w:lang w:val="en-US"/>
              </w:rPr>
              <w:t>Greater number of patients &gt;55 years</w:t>
            </w:r>
          </w:p>
          <w:p w:rsidR="00264381" w:rsidRPr="000D72C7" w:rsidRDefault="00264381" w:rsidP="00264381">
            <w:pPr>
              <w:pStyle w:val="TableCentre"/>
              <w:spacing w:line="276" w:lineRule="auto"/>
              <w:rPr>
                <w:rFonts w:ascii="Arial Narrow" w:hAnsi="Arial Narrow"/>
                <w:lang w:val="en-US"/>
              </w:rPr>
            </w:pPr>
            <w:r>
              <w:rPr>
                <w:rFonts w:ascii="Arial Narrow" w:hAnsi="Arial Narrow"/>
                <w:lang w:val="en-US"/>
              </w:rPr>
              <w:t>Greater number of patients for 1</w:t>
            </w:r>
            <w:r w:rsidRPr="0038225C">
              <w:rPr>
                <w:rFonts w:ascii="Arial Narrow" w:hAnsi="Arial Narrow"/>
                <w:vertAlign w:val="superscript"/>
                <w:lang w:val="en-US"/>
              </w:rPr>
              <w:t>st</w:t>
            </w:r>
            <w:r>
              <w:rPr>
                <w:rFonts w:ascii="Arial Narrow" w:hAnsi="Arial Narrow"/>
                <w:lang w:val="en-US"/>
              </w:rPr>
              <w:t xml:space="preserve"> MJP</w:t>
            </w:r>
          </w:p>
        </w:tc>
        <w:tc>
          <w:tcPr>
            <w:tcW w:w="2180" w:type="pct"/>
            <w:tcBorders>
              <w:top w:val="single" w:sz="4" w:space="0" w:color="auto"/>
              <w:left w:val="single" w:sz="4" w:space="0" w:color="auto"/>
              <w:bottom w:val="single" w:sz="4" w:space="0" w:color="auto"/>
              <w:right w:val="single" w:sz="4" w:space="0" w:color="auto"/>
            </w:tcBorders>
            <w:shd w:val="clear" w:color="auto" w:fill="auto"/>
          </w:tcPr>
          <w:p w:rsidR="00264381" w:rsidRDefault="00264381" w:rsidP="00264381">
            <w:pPr>
              <w:pStyle w:val="TableCentre"/>
              <w:spacing w:line="276" w:lineRule="auto"/>
              <w:rPr>
                <w:rFonts w:ascii="Arial Narrow" w:hAnsi="Arial Narrow"/>
                <w:lang w:val="en-US"/>
              </w:rPr>
            </w:pPr>
            <w:r>
              <w:rPr>
                <w:rFonts w:ascii="Arial Narrow" w:hAnsi="Arial Narrow"/>
                <w:lang w:val="en-US"/>
              </w:rPr>
              <w:t>More trauma patients (public hospitals)</w:t>
            </w:r>
          </w:p>
          <w:p w:rsidR="00264381" w:rsidRDefault="00264381" w:rsidP="00264381">
            <w:pPr>
              <w:pStyle w:val="TableCentre"/>
              <w:spacing w:line="276" w:lineRule="auto"/>
              <w:rPr>
                <w:rFonts w:ascii="Arial Narrow" w:hAnsi="Arial Narrow"/>
                <w:lang w:val="en-US"/>
              </w:rPr>
            </w:pPr>
            <w:r>
              <w:rPr>
                <w:rFonts w:ascii="Arial Narrow" w:hAnsi="Arial Narrow"/>
                <w:lang w:val="en-US"/>
              </w:rPr>
              <w:t>Greater number of patients &lt; 14 years, 35-44 years</w:t>
            </w:r>
          </w:p>
          <w:p w:rsidR="00264381" w:rsidRPr="000D72C7" w:rsidRDefault="00264381" w:rsidP="00264381">
            <w:pPr>
              <w:pStyle w:val="TableCentre"/>
              <w:spacing w:line="276" w:lineRule="auto"/>
              <w:rPr>
                <w:rFonts w:ascii="Arial Narrow" w:hAnsi="Arial Narrow"/>
                <w:lang w:val="en-US"/>
              </w:rPr>
            </w:pPr>
            <w:r>
              <w:rPr>
                <w:rFonts w:ascii="Arial Narrow" w:hAnsi="Arial Narrow"/>
                <w:lang w:val="en-US"/>
              </w:rPr>
              <w:t>Greater number of patients for ankle surgeries and amputations</w:t>
            </w:r>
          </w:p>
        </w:tc>
      </w:tr>
      <w:tr w:rsidR="00264381" w:rsidRPr="000D72C7" w:rsidTr="00264381">
        <w:trPr>
          <w:trHeight w:val="580"/>
        </w:trPr>
        <w:tc>
          <w:tcPr>
            <w:tcW w:w="946"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
              <w:spacing w:line="276" w:lineRule="auto"/>
              <w:rPr>
                <w:rFonts w:ascii="Arial Narrow" w:hAnsi="Arial Narrow"/>
                <w:lang w:val="en-US"/>
              </w:rPr>
            </w:pPr>
            <w:r>
              <w:rPr>
                <w:rFonts w:ascii="Arial Narrow" w:hAnsi="Arial Narrow"/>
                <w:lang w:val="en-US"/>
              </w:rPr>
              <w:t>Number of patients</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r>
              <w:rPr>
                <w:rFonts w:ascii="Arial Narrow" w:hAnsi="Arial Narrow"/>
                <w:lang w:val="en-US"/>
              </w:rPr>
              <w:t>Each surgeon: weighted average =</w:t>
            </w:r>
            <w:r w:rsidR="00EB5F18">
              <w:rPr>
                <w:rFonts w:ascii="Arial Narrow" w:hAnsi="Arial Narrow"/>
                <w:lang w:val="en-US"/>
              </w:rPr>
              <w:t xml:space="preserve"> </w:t>
            </w:r>
            <w:r>
              <w:rPr>
                <w:rFonts w:ascii="Arial Narrow" w:hAnsi="Arial Narrow"/>
                <w:lang w:val="en-US"/>
              </w:rPr>
              <w:t>46 per m</w:t>
            </w:r>
            <w:r w:rsidR="00EB5F18">
              <w:rPr>
                <w:rFonts w:ascii="Arial Narrow" w:hAnsi="Arial Narrow"/>
                <w:lang w:val="en-US"/>
              </w:rPr>
              <w:t>on</w:t>
            </w:r>
            <w:r>
              <w:rPr>
                <w:rFonts w:ascii="Arial Narrow" w:hAnsi="Arial Narrow"/>
                <w:lang w:val="en-US"/>
              </w:rPr>
              <w:t>th or 553 per year</w:t>
            </w:r>
          </w:p>
        </w:tc>
        <w:tc>
          <w:tcPr>
            <w:tcW w:w="2180" w:type="pct"/>
            <w:tcBorders>
              <w:top w:val="single" w:sz="4" w:space="0" w:color="auto"/>
              <w:left w:val="single" w:sz="4" w:space="0" w:color="auto"/>
              <w:bottom w:val="single" w:sz="4" w:space="0" w:color="auto"/>
              <w:right w:val="single" w:sz="4" w:space="0" w:color="auto"/>
            </w:tcBorders>
            <w:shd w:val="clear" w:color="auto" w:fill="auto"/>
          </w:tcPr>
          <w:p w:rsidR="00264381" w:rsidRDefault="00264381" w:rsidP="00264381">
            <w:pPr>
              <w:pStyle w:val="TableCentre"/>
              <w:spacing w:line="276" w:lineRule="auto"/>
              <w:rPr>
                <w:rFonts w:ascii="Arial Narrow" w:hAnsi="Arial Narrow"/>
                <w:lang w:val="en-US"/>
              </w:rPr>
            </w:pPr>
            <w:r>
              <w:rPr>
                <w:rFonts w:ascii="Arial Narrow" w:hAnsi="Arial Narrow"/>
                <w:lang w:val="en-US"/>
              </w:rPr>
              <w:t>Each surgeon:</w:t>
            </w:r>
          </w:p>
          <w:p w:rsidR="00264381" w:rsidRPr="000D72C7" w:rsidRDefault="00264381" w:rsidP="00264381">
            <w:pPr>
              <w:pStyle w:val="TableCentre"/>
              <w:spacing w:line="276" w:lineRule="auto"/>
              <w:rPr>
                <w:rFonts w:ascii="Arial Narrow" w:hAnsi="Arial Narrow"/>
                <w:lang w:val="en-US"/>
              </w:rPr>
            </w:pPr>
            <w:r>
              <w:rPr>
                <w:rFonts w:ascii="Arial Narrow" w:hAnsi="Arial Narrow"/>
                <w:lang w:val="en-US"/>
              </w:rPr>
              <w:t>unknown</w:t>
            </w:r>
          </w:p>
        </w:tc>
      </w:tr>
      <w:tr w:rsidR="00264381" w:rsidRPr="000D72C7" w:rsidTr="00264381">
        <w:tc>
          <w:tcPr>
            <w:tcW w:w="946" w:type="pct"/>
            <w:tcBorders>
              <w:top w:val="single" w:sz="4" w:space="0" w:color="auto"/>
              <w:left w:val="single" w:sz="4" w:space="0" w:color="auto"/>
              <w:bottom w:val="single" w:sz="4" w:space="0" w:color="auto"/>
              <w:right w:val="single" w:sz="4" w:space="0" w:color="auto"/>
            </w:tcBorders>
            <w:shd w:val="clear" w:color="auto" w:fill="auto"/>
          </w:tcPr>
          <w:p w:rsidR="00264381" w:rsidRPr="001B24E2" w:rsidRDefault="00264381" w:rsidP="00264381">
            <w:pPr>
              <w:pStyle w:val="Table"/>
              <w:spacing w:line="276" w:lineRule="auto"/>
              <w:rPr>
                <w:rFonts w:ascii="Arial Narrow" w:hAnsi="Arial Narrow"/>
                <w:vertAlign w:val="superscript"/>
                <w:lang w:val="en-US"/>
              </w:rPr>
            </w:pPr>
            <w:r>
              <w:rPr>
                <w:rFonts w:ascii="Arial Narrow" w:hAnsi="Arial Narrow"/>
                <w:lang w:val="en-US"/>
              </w:rPr>
              <w:t>Number of key foot/ ankle procedures</w:t>
            </w:r>
            <w:r>
              <w:rPr>
                <w:rFonts w:ascii="Arial Narrow" w:hAnsi="Arial Narrow"/>
                <w:vertAlign w:val="superscript"/>
                <w:lang w:val="en-US"/>
              </w:rPr>
              <w:t>1</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264381" w:rsidRDefault="00264381" w:rsidP="00264381">
            <w:pPr>
              <w:pStyle w:val="TableCentre"/>
              <w:spacing w:line="276" w:lineRule="auto"/>
              <w:rPr>
                <w:rFonts w:ascii="Arial Narrow" w:hAnsi="Arial Narrow"/>
                <w:lang w:val="en-US"/>
              </w:rPr>
            </w:pPr>
            <w:r>
              <w:rPr>
                <w:rFonts w:ascii="Arial Narrow" w:hAnsi="Arial Narrow"/>
                <w:lang w:val="en-US"/>
              </w:rPr>
              <w:t>1062 in 2013 (private setting only)</w:t>
            </w:r>
          </w:p>
        </w:tc>
        <w:tc>
          <w:tcPr>
            <w:tcW w:w="2180" w:type="pct"/>
            <w:tcBorders>
              <w:top w:val="single" w:sz="4" w:space="0" w:color="auto"/>
              <w:left w:val="single" w:sz="4" w:space="0" w:color="auto"/>
              <w:bottom w:val="single" w:sz="4" w:space="0" w:color="auto"/>
              <w:right w:val="single" w:sz="4" w:space="0" w:color="auto"/>
            </w:tcBorders>
            <w:shd w:val="clear" w:color="auto" w:fill="auto"/>
          </w:tcPr>
          <w:p w:rsidR="00264381" w:rsidRDefault="00264381" w:rsidP="00264381">
            <w:pPr>
              <w:pStyle w:val="TableCentre"/>
              <w:spacing w:line="276" w:lineRule="auto"/>
              <w:rPr>
                <w:rFonts w:ascii="Arial Narrow" w:hAnsi="Arial Narrow"/>
                <w:lang w:val="en-US"/>
              </w:rPr>
            </w:pPr>
            <w:r>
              <w:rPr>
                <w:rFonts w:ascii="Arial Narrow" w:hAnsi="Arial Narrow"/>
                <w:lang w:val="en-US"/>
              </w:rPr>
              <w:t>32,145 in 2013 (private setting only)</w:t>
            </w:r>
          </w:p>
        </w:tc>
      </w:tr>
      <w:tr w:rsidR="00264381" w:rsidRPr="00F54314" w:rsidTr="00264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 w:type="pct"/>
            <w:tcBorders>
              <w:top w:val="single" w:sz="4" w:space="0" w:color="auto"/>
              <w:left w:val="single" w:sz="4" w:space="0" w:color="auto"/>
              <w:bottom w:val="single" w:sz="4" w:space="0" w:color="auto"/>
              <w:right w:val="single" w:sz="4" w:space="0" w:color="auto"/>
            </w:tcBorders>
          </w:tcPr>
          <w:p w:rsidR="00264381" w:rsidRPr="00B23137" w:rsidRDefault="00264381" w:rsidP="00264381">
            <w:pPr>
              <w:pStyle w:val="Table"/>
              <w:spacing w:line="276" w:lineRule="auto"/>
              <w:rPr>
                <w:rFonts w:ascii="Arial Narrow" w:hAnsi="Arial Narrow"/>
                <w:lang w:val="en-US"/>
              </w:rPr>
            </w:pPr>
            <w:r w:rsidRPr="00B23137">
              <w:rPr>
                <w:rFonts w:ascii="Arial Narrow" w:hAnsi="Arial Narrow"/>
                <w:lang w:val="en-US"/>
              </w:rPr>
              <w:t>Referrals</w:t>
            </w:r>
            <w:r>
              <w:rPr>
                <w:rFonts w:ascii="Arial Narrow" w:hAnsi="Arial Narrow"/>
                <w:lang w:val="en-US"/>
              </w:rPr>
              <w:t xml:space="preserve"> to</w:t>
            </w:r>
          </w:p>
        </w:tc>
        <w:tc>
          <w:tcPr>
            <w:tcW w:w="1874" w:type="pct"/>
            <w:tcBorders>
              <w:top w:val="single" w:sz="4" w:space="0" w:color="auto"/>
              <w:left w:val="single" w:sz="4" w:space="0" w:color="auto"/>
              <w:bottom w:val="single" w:sz="4" w:space="0" w:color="auto"/>
              <w:right w:val="single" w:sz="4" w:space="0" w:color="auto"/>
            </w:tcBorders>
          </w:tcPr>
          <w:p w:rsidR="00264381" w:rsidRPr="00B23137" w:rsidRDefault="00264381" w:rsidP="00264381">
            <w:pPr>
              <w:pStyle w:val="TableCentre"/>
              <w:spacing w:line="276" w:lineRule="auto"/>
              <w:rPr>
                <w:rFonts w:ascii="Arial Narrow" w:hAnsi="Arial Narrow"/>
                <w:lang w:val="en-US"/>
              </w:rPr>
            </w:pPr>
            <w:r w:rsidRPr="00B23137">
              <w:rPr>
                <w:rFonts w:ascii="Arial Narrow" w:hAnsi="Arial Narrow"/>
                <w:lang w:val="en-US"/>
              </w:rPr>
              <w:t xml:space="preserve">Cannot refer directly to other medical specialties </w:t>
            </w:r>
          </w:p>
        </w:tc>
        <w:tc>
          <w:tcPr>
            <w:tcW w:w="2180" w:type="pct"/>
            <w:tcBorders>
              <w:top w:val="single" w:sz="4" w:space="0" w:color="auto"/>
              <w:left w:val="single" w:sz="4" w:space="0" w:color="auto"/>
              <w:bottom w:val="single" w:sz="4" w:space="0" w:color="auto"/>
              <w:right w:val="single" w:sz="4" w:space="0" w:color="auto"/>
            </w:tcBorders>
          </w:tcPr>
          <w:p w:rsidR="00264381" w:rsidRPr="00B23137" w:rsidRDefault="00264381" w:rsidP="00264381">
            <w:pPr>
              <w:pStyle w:val="TableCentre"/>
              <w:spacing w:line="276" w:lineRule="auto"/>
              <w:rPr>
                <w:rFonts w:ascii="Arial Narrow" w:hAnsi="Arial Narrow"/>
                <w:lang w:val="en-US"/>
              </w:rPr>
            </w:pPr>
            <w:r w:rsidRPr="00B23137">
              <w:rPr>
                <w:rFonts w:ascii="Arial Narrow" w:hAnsi="Arial Narrow"/>
                <w:lang w:val="en-US"/>
              </w:rPr>
              <w:t>Can refer directly to other medical specialties</w:t>
            </w:r>
          </w:p>
        </w:tc>
      </w:tr>
      <w:tr w:rsidR="00264381" w:rsidRPr="00F54314" w:rsidTr="00264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 w:type="pct"/>
            <w:tcBorders>
              <w:top w:val="single" w:sz="4" w:space="0" w:color="auto"/>
              <w:left w:val="single" w:sz="4" w:space="0" w:color="auto"/>
              <w:bottom w:val="single" w:sz="4" w:space="0" w:color="auto"/>
              <w:right w:val="single" w:sz="4" w:space="0" w:color="auto"/>
            </w:tcBorders>
          </w:tcPr>
          <w:p w:rsidR="00264381" w:rsidRPr="00B23137" w:rsidRDefault="00264381" w:rsidP="00264381">
            <w:pPr>
              <w:pStyle w:val="Table"/>
              <w:spacing w:line="276" w:lineRule="auto"/>
              <w:rPr>
                <w:rFonts w:ascii="Arial Narrow" w:hAnsi="Arial Narrow"/>
                <w:lang w:val="en-US"/>
              </w:rPr>
            </w:pPr>
            <w:r w:rsidRPr="00B23137">
              <w:rPr>
                <w:rFonts w:ascii="Arial Narrow" w:hAnsi="Arial Narrow"/>
                <w:lang w:val="en-US"/>
              </w:rPr>
              <w:t>Pathology testing and diagnostic imaging services</w:t>
            </w:r>
          </w:p>
        </w:tc>
        <w:tc>
          <w:tcPr>
            <w:tcW w:w="1874" w:type="pct"/>
            <w:tcBorders>
              <w:top w:val="single" w:sz="4" w:space="0" w:color="auto"/>
              <w:left w:val="single" w:sz="4" w:space="0" w:color="auto"/>
              <w:bottom w:val="single" w:sz="4" w:space="0" w:color="auto"/>
              <w:right w:val="single" w:sz="4" w:space="0" w:color="auto"/>
            </w:tcBorders>
          </w:tcPr>
          <w:p w:rsidR="00264381" w:rsidRPr="00B23137" w:rsidRDefault="00264381" w:rsidP="00264381">
            <w:pPr>
              <w:pStyle w:val="TableCentre"/>
              <w:spacing w:line="276" w:lineRule="auto"/>
              <w:rPr>
                <w:rFonts w:ascii="Arial Narrow" w:hAnsi="Arial Narrow"/>
                <w:lang w:val="en-US"/>
              </w:rPr>
            </w:pPr>
            <w:r w:rsidRPr="00B23137">
              <w:rPr>
                <w:rFonts w:ascii="Arial Narrow" w:hAnsi="Arial Narrow"/>
                <w:lang w:val="en-US"/>
              </w:rPr>
              <w:t>Full requesting rights but only a limited number of diagnostic imaging services are eligible for MBS benefit. Remaining incur private patient costs.</w:t>
            </w:r>
          </w:p>
          <w:p w:rsidR="00264381" w:rsidRPr="00B23137" w:rsidRDefault="00264381" w:rsidP="00264381">
            <w:pPr>
              <w:pStyle w:val="TableCentre"/>
              <w:spacing w:line="276" w:lineRule="auto"/>
              <w:rPr>
                <w:rFonts w:ascii="Arial Narrow" w:hAnsi="Arial Narrow"/>
                <w:lang w:val="en-US"/>
              </w:rPr>
            </w:pPr>
            <w:r w:rsidRPr="00B23137">
              <w:rPr>
                <w:rFonts w:ascii="Arial Narrow" w:hAnsi="Arial Narrow"/>
                <w:lang w:val="en-US"/>
              </w:rPr>
              <w:t xml:space="preserve">Pathology testing is not eligible for MBS benefits and </w:t>
            </w:r>
            <w:r w:rsidR="00DB37D7" w:rsidRPr="00B23137">
              <w:rPr>
                <w:rFonts w:ascii="Arial Narrow" w:hAnsi="Arial Narrow"/>
                <w:lang w:val="en-US"/>
              </w:rPr>
              <w:t>incurs</w:t>
            </w:r>
            <w:r w:rsidRPr="00B23137">
              <w:rPr>
                <w:rFonts w:ascii="Arial Narrow" w:hAnsi="Arial Narrow"/>
                <w:lang w:val="en-US"/>
              </w:rPr>
              <w:t xml:space="preserve"> patient costs.</w:t>
            </w:r>
          </w:p>
        </w:tc>
        <w:tc>
          <w:tcPr>
            <w:tcW w:w="2180" w:type="pct"/>
            <w:tcBorders>
              <w:top w:val="single" w:sz="4" w:space="0" w:color="auto"/>
              <w:left w:val="single" w:sz="4" w:space="0" w:color="auto"/>
              <w:bottom w:val="single" w:sz="4" w:space="0" w:color="auto"/>
              <w:right w:val="single" w:sz="4" w:space="0" w:color="auto"/>
            </w:tcBorders>
          </w:tcPr>
          <w:p w:rsidR="00264381" w:rsidRPr="00B23137" w:rsidRDefault="00264381" w:rsidP="00264381">
            <w:pPr>
              <w:pStyle w:val="TableCentre"/>
              <w:spacing w:line="276" w:lineRule="auto"/>
              <w:rPr>
                <w:rFonts w:ascii="Arial Narrow" w:hAnsi="Arial Narrow"/>
                <w:lang w:val="en-US"/>
              </w:rPr>
            </w:pPr>
            <w:r w:rsidRPr="00B23137">
              <w:rPr>
                <w:rFonts w:ascii="Arial Narrow" w:hAnsi="Arial Narrow"/>
                <w:lang w:val="en-US"/>
              </w:rPr>
              <w:t>All pathology and diagnostic imaging requests are eligible for MBS benefits.</w:t>
            </w:r>
          </w:p>
        </w:tc>
      </w:tr>
      <w:tr w:rsidR="00264381" w:rsidRPr="00F54314" w:rsidTr="00264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 w:type="pct"/>
            <w:tcBorders>
              <w:top w:val="single" w:sz="4" w:space="0" w:color="auto"/>
              <w:left w:val="single" w:sz="4" w:space="0" w:color="auto"/>
              <w:bottom w:val="single" w:sz="4" w:space="0" w:color="auto"/>
              <w:right w:val="single" w:sz="4" w:space="0" w:color="auto"/>
            </w:tcBorders>
          </w:tcPr>
          <w:p w:rsidR="00264381" w:rsidRPr="00B23137" w:rsidRDefault="00264381" w:rsidP="00264381">
            <w:pPr>
              <w:pStyle w:val="Table"/>
              <w:spacing w:line="276" w:lineRule="auto"/>
              <w:rPr>
                <w:rFonts w:ascii="Arial Narrow" w:hAnsi="Arial Narrow"/>
                <w:lang w:val="en-US"/>
              </w:rPr>
            </w:pPr>
            <w:r>
              <w:rPr>
                <w:rFonts w:ascii="Arial Narrow" w:hAnsi="Arial Narrow"/>
                <w:lang w:val="en-US"/>
              </w:rPr>
              <w:t>Medication p</w:t>
            </w:r>
            <w:r w:rsidRPr="00B23137">
              <w:rPr>
                <w:rFonts w:ascii="Arial Narrow" w:hAnsi="Arial Narrow"/>
                <w:lang w:val="en-US"/>
              </w:rPr>
              <w:t>rescribing rights</w:t>
            </w:r>
          </w:p>
        </w:tc>
        <w:tc>
          <w:tcPr>
            <w:tcW w:w="1874" w:type="pct"/>
            <w:tcBorders>
              <w:top w:val="single" w:sz="4" w:space="0" w:color="auto"/>
              <w:left w:val="single" w:sz="4" w:space="0" w:color="auto"/>
              <w:bottom w:val="single" w:sz="4" w:space="0" w:color="auto"/>
              <w:right w:val="single" w:sz="4" w:space="0" w:color="auto"/>
            </w:tcBorders>
          </w:tcPr>
          <w:p w:rsidR="00264381" w:rsidRPr="00B23137" w:rsidRDefault="00F65C2D" w:rsidP="00264381">
            <w:pPr>
              <w:pStyle w:val="TableCentre"/>
              <w:spacing w:line="276" w:lineRule="auto"/>
              <w:rPr>
                <w:rFonts w:ascii="Arial Narrow" w:hAnsi="Arial Narrow"/>
                <w:lang w:val="en-US"/>
              </w:rPr>
            </w:pPr>
            <w:r>
              <w:rPr>
                <w:rFonts w:ascii="Arial Narrow" w:hAnsi="Arial Narrow"/>
                <w:lang w:val="en-US"/>
              </w:rPr>
              <w:t>Limited prescribing rights</w:t>
            </w:r>
            <w:r w:rsidR="00FA4896">
              <w:rPr>
                <w:rFonts w:ascii="Arial Narrow" w:hAnsi="Arial Narrow"/>
                <w:lang w:val="en-US"/>
              </w:rPr>
              <w:t>.</w:t>
            </w:r>
          </w:p>
          <w:p w:rsidR="00264381" w:rsidRPr="00B23137" w:rsidRDefault="00264381" w:rsidP="00FA4896">
            <w:pPr>
              <w:pStyle w:val="TableCentre"/>
              <w:spacing w:line="276" w:lineRule="auto"/>
              <w:rPr>
                <w:rFonts w:ascii="Arial Narrow" w:hAnsi="Arial Narrow"/>
                <w:lang w:val="en-US"/>
              </w:rPr>
            </w:pPr>
            <w:r w:rsidRPr="00B23137">
              <w:rPr>
                <w:rFonts w:ascii="Arial Narrow" w:hAnsi="Arial Narrow"/>
                <w:lang w:val="en-US"/>
              </w:rPr>
              <w:t>Prescriptions are not eligible for subsidy through the PBS (private prescriptions</w:t>
            </w:r>
            <w:r w:rsidR="00FA4896">
              <w:rPr>
                <w:rFonts w:ascii="Arial Narrow" w:hAnsi="Arial Narrow"/>
                <w:lang w:val="en-US"/>
              </w:rPr>
              <w:t xml:space="preserve"> only</w:t>
            </w:r>
            <w:r w:rsidRPr="00B23137">
              <w:rPr>
                <w:rFonts w:ascii="Arial Narrow" w:hAnsi="Arial Narrow"/>
                <w:lang w:val="en-US"/>
              </w:rPr>
              <w:t>)</w:t>
            </w:r>
            <w:r w:rsidR="00F65C2D">
              <w:rPr>
                <w:rFonts w:ascii="Arial Narrow" w:hAnsi="Arial Narrow"/>
                <w:lang w:val="en-US"/>
              </w:rPr>
              <w:t>.</w:t>
            </w:r>
          </w:p>
        </w:tc>
        <w:tc>
          <w:tcPr>
            <w:tcW w:w="2180" w:type="pct"/>
            <w:tcBorders>
              <w:top w:val="single" w:sz="4" w:space="0" w:color="auto"/>
              <w:left w:val="single" w:sz="4" w:space="0" w:color="auto"/>
              <w:bottom w:val="single" w:sz="4" w:space="0" w:color="auto"/>
              <w:right w:val="single" w:sz="4" w:space="0" w:color="auto"/>
            </w:tcBorders>
          </w:tcPr>
          <w:p w:rsidR="00264381" w:rsidRPr="00B23137" w:rsidRDefault="00264381" w:rsidP="00264381">
            <w:pPr>
              <w:pStyle w:val="TableCentre"/>
              <w:spacing w:line="276" w:lineRule="auto"/>
              <w:rPr>
                <w:rFonts w:ascii="Arial Narrow" w:hAnsi="Arial Narrow"/>
                <w:lang w:val="en-US"/>
              </w:rPr>
            </w:pPr>
            <w:r w:rsidRPr="00B23137">
              <w:rPr>
                <w:rFonts w:ascii="Arial Narrow" w:hAnsi="Arial Narrow"/>
                <w:lang w:val="en-US"/>
              </w:rPr>
              <w:t>Full prescribing rights</w:t>
            </w:r>
            <w:r w:rsidR="00F65C2D">
              <w:rPr>
                <w:rFonts w:ascii="Arial Narrow" w:hAnsi="Arial Narrow"/>
                <w:lang w:val="en-US"/>
              </w:rPr>
              <w:t>.</w:t>
            </w:r>
          </w:p>
          <w:p w:rsidR="00264381" w:rsidRPr="00B23137" w:rsidRDefault="00264381" w:rsidP="00FA4896">
            <w:pPr>
              <w:pStyle w:val="TableCentre"/>
              <w:spacing w:line="276" w:lineRule="auto"/>
              <w:rPr>
                <w:rFonts w:ascii="Arial Narrow" w:hAnsi="Arial Narrow"/>
                <w:lang w:val="en-US"/>
              </w:rPr>
            </w:pPr>
            <w:r w:rsidRPr="00B23137">
              <w:rPr>
                <w:rFonts w:ascii="Arial Narrow" w:hAnsi="Arial Narrow"/>
                <w:lang w:val="en-US"/>
              </w:rPr>
              <w:t>Prescriptions eligible for subsidy through the PBS</w:t>
            </w:r>
            <w:r w:rsidR="00F65C2D">
              <w:rPr>
                <w:rFonts w:ascii="Arial Narrow" w:hAnsi="Arial Narrow"/>
                <w:lang w:val="en-US"/>
              </w:rPr>
              <w:t>.</w:t>
            </w:r>
          </w:p>
        </w:tc>
      </w:tr>
      <w:tr w:rsidR="00264381" w:rsidRPr="00F54314" w:rsidTr="00264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 w:type="pct"/>
            <w:tcBorders>
              <w:top w:val="single" w:sz="4" w:space="0" w:color="auto"/>
              <w:left w:val="single" w:sz="4" w:space="0" w:color="auto"/>
              <w:bottom w:val="single" w:sz="4" w:space="0" w:color="auto"/>
              <w:right w:val="single" w:sz="4" w:space="0" w:color="auto"/>
            </w:tcBorders>
          </w:tcPr>
          <w:p w:rsidR="00264381" w:rsidRPr="00B23137" w:rsidRDefault="00264381" w:rsidP="00264381">
            <w:pPr>
              <w:pStyle w:val="Table"/>
              <w:spacing w:line="276" w:lineRule="auto"/>
              <w:rPr>
                <w:rFonts w:ascii="Arial Narrow" w:hAnsi="Arial Narrow"/>
                <w:lang w:val="en-US"/>
              </w:rPr>
            </w:pPr>
            <w:r w:rsidRPr="00B23137">
              <w:rPr>
                <w:rFonts w:ascii="Arial Narrow" w:hAnsi="Arial Narrow"/>
                <w:lang w:val="en-US"/>
              </w:rPr>
              <w:t>Working with multi-disciplinary teams</w:t>
            </w:r>
          </w:p>
        </w:tc>
        <w:tc>
          <w:tcPr>
            <w:tcW w:w="1874" w:type="pct"/>
            <w:tcBorders>
              <w:top w:val="single" w:sz="4" w:space="0" w:color="auto"/>
              <w:left w:val="single" w:sz="4" w:space="0" w:color="auto"/>
              <w:bottom w:val="single" w:sz="4" w:space="0" w:color="auto"/>
              <w:right w:val="single" w:sz="4" w:space="0" w:color="auto"/>
            </w:tcBorders>
          </w:tcPr>
          <w:p w:rsidR="00264381" w:rsidRPr="00B23137" w:rsidRDefault="00264381" w:rsidP="00264381">
            <w:pPr>
              <w:pStyle w:val="TableCentre"/>
              <w:spacing w:line="276" w:lineRule="auto"/>
              <w:rPr>
                <w:rFonts w:ascii="Arial Narrow" w:hAnsi="Arial Narrow"/>
                <w:lang w:val="en-US"/>
              </w:rPr>
            </w:pPr>
            <w:r w:rsidRPr="00B23137">
              <w:rPr>
                <w:rFonts w:ascii="Arial Narrow" w:hAnsi="Arial Narrow"/>
                <w:lang w:val="en-US"/>
              </w:rPr>
              <w:t xml:space="preserve">Work with anaesthetists and theatre staff in hospitals/surgical setting. </w:t>
            </w:r>
          </w:p>
          <w:p w:rsidR="00264381" w:rsidRPr="00B23137" w:rsidRDefault="00264381" w:rsidP="00264381">
            <w:pPr>
              <w:pStyle w:val="TableCentre"/>
              <w:spacing w:line="276" w:lineRule="auto"/>
              <w:rPr>
                <w:rFonts w:ascii="Arial Narrow" w:hAnsi="Arial Narrow"/>
                <w:lang w:val="en-US"/>
              </w:rPr>
            </w:pPr>
            <w:r w:rsidRPr="00B23137">
              <w:rPr>
                <w:rFonts w:ascii="Arial Narrow" w:hAnsi="Arial Narrow"/>
                <w:lang w:val="en-US"/>
              </w:rPr>
              <w:t>Refers to other specialists as required via GPs or the</w:t>
            </w:r>
            <w:r w:rsidR="00F65C2D">
              <w:rPr>
                <w:rFonts w:ascii="Arial Narrow" w:hAnsi="Arial Narrow"/>
                <w:lang w:val="en-US"/>
              </w:rPr>
              <w:t xml:space="preserve"> </w:t>
            </w:r>
            <w:r w:rsidR="00E640DB">
              <w:rPr>
                <w:rFonts w:ascii="Arial Narrow" w:hAnsi="Arial Narrow"/>
                <w:lang w:val="en-US"/>
              </w:rPr>
              <w:t xml:space="preserve">patient’s </w:t>
            </w:r>
            <w:r w:rsidR="00F65C2D">
              <w:rPr>
                <w:rFonts w:ascii="Arial Narrow" w:hAnsi="Arial Narrow"/>
                <w:lang w:val="en-US"/>
              </w:rPr>
              <w:t>referring specialist.</w:t>
            </w:r>
          </w:p>
          <w:p w:rsidR="00264381" w:rsidRPr="00B23137" w:rsidRDefault="00264381" w:rsidP="00264381">
            <w:pPr>
              <w:pStyle w:val="TableCentre"/>
              <w:spacing w:line="276" w:lineRule="auto"/>
              <w:rPr>
                <w:rFonts w:ascii="Arial Narrow" w:hAnsi="Arial Narrow"/>
                <w:lang w:val="en-US"/>
              </w:rPr>
            </w:pPr>
            <w:r w:rsidRPr="00B23137">
              <w:rPr>
                <w:rFonts w:ascii="Arial Narrow" w:hAnsi="Arial Narrow"/>
                <w:lang w:val="en-US"/>
              </w:rPr>
              <w:t>Works with the medical team</w:t>
            </w:r>
            <w:r w:rsidR="00F65C2D">
              <w:rPr>
                <w:rFonts w:ascii="Arial Narrow" w:hAnsi="Arial Narrow"/>
                <w:lang w:val="en-US"/>
              </w:rPr>
              <w:t>.</w:t>
            </w:r>
          </w:p>
        </w:tc>
        <w:tc>
          <w:tcPr>
            <w:tcW w:w="2180" w:type="pct"/>
            <w:tcBorders>
              <w:top w:val="single" w:sz="4" w:space="0" w:color="auto"/>
              <w:left w:val="single" w:sz="4" w:space="0" w:color="auto"/>
              <w:bottom w:val="single" w:sz="4" w:space="0" w:color="auto"/>
              <w:right w:val="single" w:sz="4" w:space="0" w:color="auto"/>
            </w:tcBorders>
          </w:tcPr>
          <w:p w:rsidR="00264381" w:rsidRPr="00B23137" w:rsidRDefault="00264381" w:rsidP="00264381">
            <w:pPr>
              <w:pStyle w:val="TableCentre"/>
              <w:spacing w:line="276" w:lineRule="auto"/>
              <w:rPr>
                <w:rFonts w:ascii="Arial Narrow" w:hAnsi="Arial Narrow"/>
                <w:lang w:val="en-US"/>
              </w:rPr>
            </w:pPr>
            <w:r w:rsidRPr="00B23137">
              <w:rPr>
                <w:rFonts w:ascii="Arial Narrow" w:hAnsi="Arial Narrow"/>
                <w:lang w:val="en-US"/>
              </w:rPr>
              <w:t>Works with anaesthetists and theatre staff</w:t>
            </w:r>
            <w:r w:rsidR="00F65C2D">
              <w:rPr>
                <w:rFonts w:ascii="Arial Narrow" w:hAnsi="Arial Narrow"/>
                <w:lang w:val="en-US"/>
              </w:rPr>
              <w:t xml:space="preserve"> in hospitals/surgical setting.</w:t>
            </w:r>
          </w:p>
          <w:p w:rsidR="00264381" w:rsidRPr="00B23137" w:rsidRDefault="00264381" w:rsidP="00264381">
            <w:pPr>
              <w:pStyle w:val="TableCentre"/>
              <w:spacing w:line="276" w:lineRule="auto"/>
              <w:rPr>
                <w:rFonts w:ascii="Arial Narrow" w:hAnsi="Arial Narrow"/>
                <w:lang w:val="en-US"/>
              </w:rPr>
            </w:pPr>
            <w:r w:rsidRPr="00B23137">
              <w:rPr>
                <w:rFonts w:ascii="Arial Narrow" w:hAnsi="Arial Narrow"/>
                <w:lang w:val="en-US"/>
              </w:rPr>
              <w:t>Refers directly to</w:t>
            </w:r>
            <w:r w:rsidR="00F65C2D">
              <w:rPr>
                <w:rFonts w:ascii="Arial Narrow" w:hAnsi="Arial Narrow"/>
                <w:lang w:val="en-US"/>
              </w:rPr>
              <w:t xml:space="preserve"> other specialists as required.</w:t>
            </w:r>
          </w:p>
          <w:p w:rsidR="00264381" w:rsidRPr="00B23137" w:rsidRDefault="00264381" w:rsidP="00264381">
            <w:pPr>
              <w:pStyle w:val="TableCentre"/>
              <w:spacing w:line="276" w:lineRule="auto"/>
              <w:rPr>
                <w:rFonts w:ascii="Arial Narrow" w:hAnsi="Arial Narrow"/>
                <w:lang w:val="en-US"/>
              </w:rPr>
            </w:pPr>
            <w:r w:rsidRPr="00B23137">
              <w:rPr>
                <w:rFonts w:ascii="Arial Narrow" w:hAnsi="Arial Narrow"/>
                <w:lang w:val="en-US"/>
              </w:rPr>
              <w:t>Works with the medical team.</w:t>
            </w:r>
          </w:p>
        </w:tc>
      </w:tr>
    </w:tbl>
    <w:p w:rsidR="00264381" w:rsidRDefault="00264381" w:rsidP="00264381">
      <w:pPr>
        <w:rPr>
          <w:rFonts w:ascii="Arial Narrow" w:hAnsi="Arial Narrow"/>
          <w:sz w:val="18"/>
          <w:szCs w:val="18"/>
        </w:rPr>
      </w:pPr>
      <w:r w:rsidRPr="0038225C">
        <w:rPr>
          <w:rFonts w:ascii="Arial Narrow" w:hAnsi="Arial Narrow"/>
          <w:sz w:val="18"/>
          <w:szCs w:val="18"/>
        </w:rPr>
        <w:t>Source: Figures B1, B2 pp40-41</w:t>
      </w:r>
      <w:r>
        <w:rPr>
          <w:rFonts w:ascii="Arial Narrow" w:hAnsi="Arial Narrow"/>
          <w:sz w:val="18"/>
          <w:szCs w:val="18"/>
        </w:rPr>
        <w:t>, Table A.6 p36</w:t>
      </w:r>
      <w:r w:rsidRPr="0038225C">
        <w:rPr>
          <w:rFonts w:ascii="Arial Narrow" w:hAnsi="Arial Narrow"/>
          <w:sz w:val="18"/>
          <w:szCs w:val="18"/>
        </w:rPr>
        <w:t xml:space="preserve"> of application</w:t>
      </w:r>
      <w:r>
        <w:rPr>
          <w:rFonts w:ascii="Arial Narrow" w:hAnsi="Arial Narrow"/>
          <w:sz w:val="18"/>
          <w:szCs w:val="18"/>
        </w:rPr>
        <w:t>, ACPS survey Section D worksheet of the submission</w:t>
      </w:r>
    </w:p>
    <w:p w:rsidR="00264381" w:rsidRDefault="00264381" w:rsidP="00264381">
      <w:pPr>
        <w:rPr>
          <w:rFonts w:ascii="Arial Narrow" w:hAnsi="Arial Narrow"/>
          <w:sz w:val="18"/>
          <w:szCs w:val="18"/>
        </w:rPr>
      </w:pPr>
      <w:r>
        <w:rPr>
          <w:rFonts w:ascii="Arial Narrow" w:hAnsi="Arial Narrow"/>
          <w:sz w:val="18"/>
          <w:szCs w:val="18"/>
        </w:rPr>
        <w:t>GP = general practitioner; MJP = metatarsophalangeal joint; PBS = Pharmaceutical Benefits Schedule</w:t>
      </w:r>
    </w:p>
    <w:p w:rsidR="00BC1364" w:rsidRPr="000D4338" w:rsidRDefault="00264381" w:rsidP="00DD2858">
      <w:pPr>
        <w:pStyle w:val="ListParagraph"/>
        <w:numPr>
          <w:ilvl w:val="0"/>
          <w:numId w:val="27"/>
        </w:numPr>
        <w:jc w:val="both"/>
        <w:rPr>
          <w:rFonts w:ascii="Arial Narrow" w:hAnsi="Arial Narrow"/>
          <w:sz w:val="18"/>
          <w:szCs w:val="18"/>
        </w:rPr>
      </w:pPr>
      <w:r>
        <w:rPr>
          <w:rFonts w:ascii="Arial Narrow" w:hAnsi="Arial Narrow"/>
          <w:sz w:val="18"/>
          <w:szCs w:val="18"/>
        </w:rPr>
        <w:t>Six procedural groups for meaningful comparison: 1</w:t>
      </w:r>
      <w:r w:rsidRPr="001B24E2">
        <w:rPr>
          <w:rFonts w:ascii="Arial Narrow" w:hAnsi="Arial Narrow"/>
          <w:sz w:val="18"/>
          <w:szCs w:val="18"/>
          <w:vertAlign w:val="superscript"/>
        </w:rPr>
        <w:t>st</w:t>
      </w:r>
      <w:r>
        <w:rPr>
          <w:rFonts w:ascii="Arial Narrow" w:hAnsi="Arial Narrow"/>
          <w:sz w:val="18"/>
          <w:szCs w:val="18"/>
        </w:rPr>
        <w:t xml:space="preserve"> metatarsophalangeal joint, lesser toe, neuroma, rear foot &amp; heel, ankle, amputations.</w:t>
      </w:r>
    </w:p>
    <w:p w:rsidR="00CA669F" w:rsidRPr="00912349" w:rsidRDefault="00CA669F" w:rsidP="00DD2858">
      <w:pPr>
        <w:rPr>
          <w:szCs w:val="24"/>
        </w:rPr>
      </w:pPr>
    </w:p>
    <w:p w:rsidR="00BC1364" w:rsidRPr="008D5885" w:rsidRDefault="00BC1364" w:rsidP="007B32D1">
      <w:pPr>
        <w:pStyle w:val="Heading1"/>
        <w:numPr>
          <w:ilvl w:val="0"/>
          <w:numId w:val="23"/>
        </w:numPr>
        <w:ind w:hanging="720"/>
      </w:pPr>
      <w:r w:rsidRPr="008D5885">
        <w:t>Comparative safety</w:t>
      </w:r>
    </w:p>
    <w:p w:rsidR="00BC1364" w:rsidRPr="00912349" w:rsidRDefault="00BC1364" w:rsidP="00DD2858">
      <w:pPr>
        <w:pStyle w:val="ListParagraph"/>
        <w:ind w:left="0"/>
        <w:rPr>
          <w:szCs w:val="24"/>
        </w:rPr>
      </w:pPr>
    </w:p>
    <w:p w:rsidR="00264381" w:rsidRDefault="00264381" w:rsidP="00264381">
      <w:pPr>
        <w:tabs>
          <w:tab w:val="left" w:pos="720"/>
          <w:tab w:val="left" w:pos="1140"/>
        </w:tabs>
      </w:pPr>
      <w:r w:rsidRPr="008F4A79">
        <w:t>The</w:t>
      </w:r>
      <w:r>
        <w:t xml:space="preserve"> applica</w:t>
      </w:r>
      <w:r w:rsidR="00716FE6">
        <w:t>tion</w:t>
      </w:r>
      <w:r>
        <w:t xml:space="preserve"> state</w:t>
      </w:r>
      <w:r w:rsidR="006411A6">
        <w:t>d</w:t>
      </w:r>
      <w:r>
        <w:t xml:space="preserve"> that the</w:t>
      </w:r>
      <w:r w:rsidRPr="008F4A79">
        <w:t xml:space="preserve"> issue being addressed in this assessment </w:t>
      </w:r>
      <w:r w:rsidR="006411A6">
        <w:t>wa</w:t>
      </w:r>
      <w:r w:rsidRPr="008F4A79">
        <w:t>s not one of efficacy, safety and cost-effectiveness of a new medical/surg</w:t>
      </w:r>
      <w:r>
        <w:t>ical procedure or intervention; r</w:t>
      </w:r>
      <w:r w:rsidRPr="008F4A79">
        <w:t xml:space="preserve">ather, the issue </w:t>
      </w:r>
      <w:r w:rsidR="006411A6">
        <w:t>wa</w:t>
      </w:r>
      <w:r w:rsidRPr="008F4A79">
        <w:t xml:space="preserve">s whether MSAC </w:t>
      </w:r>
      <w:r w:rsidR="00F10CD1" w:rsidRPr="008F4A79">
        <w:t>consider</w:t>
      </w:r>
      <w:r w:rsidR="00F10CD1">
        <w:t>ed</w:t>
      </w:r>
      <w:r w:rsidR="00F10CD1" w:rsidRPr="008F4A79">
        <w:t xml:space="preserve"> </w:t>
      </w:r>
      <w:r w:rsidRPr="008F4A79">
        <w:t xml:space="preserve">the outcomes of surgeries and consultations requested by </w:t>
      </w:r>
      <w:r w:rsidR="00E640DB">
        <w:t>podiatric surgeons</w:t>
      </w:r>
      <w:r w:rsidRPr="008F4A79">
        <w:t xml:space="preserve"> to be non-inferior when compared to orthopaedic surgeons p</w:t>
      </w:r>
      <w:r>
        <w:t>erforming the same procedures.</w:t>
      </w:r>
    </w:p>
    <w:p w:rsidR="00912349" w:rsidRDefault="00912349" w:rsidP="00264381">
      <w:pPr>
        <w:tabs>
          <w:tab w:val="left" w:pos="720"/>
          <w:tab w:val="left" w:pos="1140"/>
        </w:tabs>
      </w:pPr>
    </w:p>
    <w:p w:rsidR="008C50C0" w:rsidRDefault="00264381" w:rsidP="00264381">
      <w:r w:rsidRPr="00214F9E">
        <w:t>The application concluded that surgery</w:t>
      </w:r>
      <w:r>
        <w:t xml:space="preserve"> </w:t>
      </w:r>
      <w:r w:rsidR="00E640DB">
        <w:t xml:space="preserve">provided by podiatric surgeons </w:t>
      </w:r>
      <w:r>
        <w:t>has</w:t>
      </w:r>
      <w:r w:rsidRPr="00214F9E">
        <w:t xml:space="preserve"> </w:t>
      </w:r>
      <w:r w:rsidR="006411A6">
        <w:t xml:space="preserve">a </w:t>
      </w:r>
      <w:r w:rsidRPr="00214F9E">
        <w:t xml:space="preserve">safety profile comparable to </w:t>
      </w:r>
      <w:r>
        <w:t xml:space="preserve">that for </w:t>
      </w:r>
      <w:r w:rsidRPr="00214F9E">
        <w:t>orthopaedic surgeon</w:t>
      </w:r>
      <w:r>
        <w:t>s</w:t>
      </w:r>
      <w:r w:rsidRPr="00214F9E">
        <w:t xml:space="preserve">. </w:t>
      </w:r>
    </w:p>
    <w:p w:rsidR="008C50C0" w:rsidRDefault="008C50C0" w:rsidP="00264381"/>
    <w:p w:rsidR="00264381" w:rsidRDefault="00264381" w:rsidP="00264381">
      <w:r w:rsidRPr="00707FED">
        <w:t xml:space="preserve">The critique noted that the claim </w:t>
      </w:r>
      <w:r w:rsidR="00F10CD1">
        <w:t>that</w:t>
      </w:r>
      <w:r w:rsidR="00F10CD1" w:rsidRPr="00707FED">
        <w:t xml:space="preserve"> </w:t>
      </w:r>
      <w:r w:rsidRPr="00707FED">
        <w:t xml:space="preserve">podiatric </w:t>
      </w:r>
      <w:r w:rsidR="00F10CD1">
        <w:t xml:space="preserve">surgeons </w:t>
      </w:r>
      <w:r w:rsidRPr="00707FED">
        <w:t>and orthopaedic surgeons</w:t>
      </w:r>
      <w:r w:rsidR="00F10CD1">
        <w:t xml:space="preserve"> had similar safety outcomes</w:t>
      </w:r>
      <w:r w:rsidRPr="00707FED">
        <w:t xml:space="preserve"> </w:t>
      </w:r>
      <w:r w:rsidR="006411A6">
        <w:t>wa</w:t>
      </w:r>
      <w:r w:rsidRPr="00707FED">
        <w:t>s not well suppo</w:t>
      </w:r>
      <w:r w:rsidR="00E36EE2">
        <w:t>rted by the evidence presented. For orthopaedic surgeons, t</w:t>
      </w:r>
      <w:r w:rsidR="00FA4896">
        <w:t xml:space="preserve">he assessment of </w:t>
      </w:r>
      <w:r w:rsidRPr="00707FED">
        <w:t>infection and complication</w:t>
      </w:r>
      <w:r w:rsidR="00FA4896">
        <w:t xml:space="preserve"> rate</w:t>
      </w:r>
      <w:r w:rsidRPr="00707FED">
        <w:t xml:space="preserve">s </w:t>
      </w:r>
      <w:r w:rsidR="00621FCC">
        <w:t xml:space="preserve">was based on </w:t>
      </w:r>
      <w:r w:rsidRPr="00707FED">
        <w:t xml:space="preserve">only one small study </w:t>
      </w:r>
      <w:r w:rsidR="00621FCC">
        <w:t>(80</w:t>
      </w:r>
      <w:r w:rsidR="0026289C">
        <w:t> </w:t>
      </w:r>
      <w:r w:rsidR="00621FCC">
        <w:t>procedures)</w:t>
      </w:r>
      <w:r w:rsidR="006411A6">
        <w:t xml:space="preserve">, and </w:t>
      </w:r>
      <w:r w:rsidRPr="00707FED">
        <w:t>the generalisability of the findings</w:t>
      </w:r>
      <w:r w:rsidR="00621FCC">
        <w:t xml:space="preserve"> was limited</w:t>
      </w:r>
      <w:r w:rsidRPr="00707FED">
        <w:t>.</w:t>
      </w:r>
    </w:p>
    <w:p w:rsidR="00E36EE2" w:rsidRDefault="00E36EE2" w:rsidP="00E36EE2">
      <w:r>
        <w:t xml:space="preserve">For podiatric surgeons, five studies and the </w:t>
      </w:r>
      <w:r w:rsidR="000467D9">
        <w:t xml:space="preserve">2013 </w:t>
      </w:r>
      <w:r w:rsidR="00C45775" w:rsidRPr="000467D9">
        <w:t xml:space="preserve">Australasian College of Podiatric Surgeons </w:t>
      </w:r>
      <w:r w:rsidR="000467D9">
        <w:t xml:space="preserve">Audit </w:t>
      </w:r>
      <w:r>
        <w:t xml:space="preserve">were presented that </w:t>
      </w:r>
      <w:r w:rsidRPr="00761A5D">
        <w:t xml:space="preserve">examined infection </w:t>
      </w:r>
      <w:r w:rsidR="00C45775">
        <w:t xml:space="preserve">and complication </w:t>
      </w:r>
      <w:r w:rsidRPr="00761A5D">
        <w:t>rates for podiatric surgeons</w:t>
      </w:r>
      <w:r>
        <w:t>.</w:t>
      </w:r>
    </w:p>
    <w:p w:rsidR="00E36EE2" w:rsidRDefault="00E36EE2" w:rsidP="00264381"/>
    <w:p w:rsidR="00E36EE2" w:rsidRDefault="00E36EE2" w:rsidP="00E36EE2">
      <w:r>
        <w:lastRenderedPageBreak/>
        <w:t xml:space="preserve">Overall, the studies presented </w:t>
      </w:r>
      <w:r w:rsidR="00C45775">
        <w:t>indicated</w:t>
      </w:r>
      <w:r>
        <w:t xml:space="preserve"> low rates of infections, general complications and venous thromboembolism for both podiatric and orthopaedic surgeons.</w:t>
      </w:r>
    </w:p>
    <w:p w:rsidR="00BC1364" w:rsidRDefault="00BC1364" w:rsidP="00DD2858">
      <w:pPr>
        <w:pStyle w:val="ListParagraph"/>
        <w:ind w:left="0"/>
        <w:rPr>
          <w:szCs w:val="24"/>
        </w:rPr>
      </w:pPr>
    </w:p>
    <w:p w:rsidR="00BC1364" w:rsidRPr="008D5885" w:rsidRDefault="00BC1364" w:rsidP="007B32D1">
      <w:pPr>
        <w:pStyle w:val="Heading1"/>
        <w:numPr>
          <w:ilvl w:val="0"/>
          <w:numId w:val="23"/>
        </w:numPr>
        <w:ind w:hanging="720"/>
      </w:pPr>
      <w:r w:rsidRPr="008D5885">
        <w:t>Comparative effectiveness</w:t>
      </w:r>
    </w:p>
    <w:p w:rsidR="00BC1364" w:rsidRPr="00912349" w:rsidRDefault="00BC1364" w:rsidP="00DD2858"/>
    <w:p w:rsidR="00264381" w:rsidRDefault="006411A6" w:rsidP="00264381">
      <w:r>
        <w:t xml:space="preserve">The </w:t>
      </w:r>
      <w:r w:rsidR="00716FE6">
        <w:t xml:space="preserve">application </w:t>
      </w:r>
      <w:r>
        <w:t>provided</w:t>
      </w:r>
      <w:r w:rsidR="00264381">
        <w:t xml:space="preserve"> data from the 2013 audit by the Australasian College of Podiatric Surgeons</w:t>
      </w:r>
      <w:r w:rsidR="00C6355E">
        <w:t xml:space="preserve"> (ACPS)</w:t>
      </w:r>
      <w:r w:rsidR="00264381">
        <w:t>. To determine the scope of practice across the two specialities, the audit data was compared with MBS online item reports. The limitations of the MBS data included: the scope of collection; the inability to determine patient numbers; the underestimation of foot and ankle procedures when generic codes are used</w:t>
      </w:r>
      <w:r w:rsidR="00264381" w:rsidRPr="004E018A">
        <w:t xml:space="preserve"> </w:t>
      </w:r>
      <w:r w:rsidR="00264381">
        <w:t>and the health providers could include orthopaedic, general or plastic surgeons or GPs (the latter often perform toenail surgery). The audit produced data on six procedural groups provided by both podiatric and orthopaedic surgeons; 1062 procedures by podiatric surgeons compared with 32,145 procedures by MBS providers.</w:t>
      </w:r>
    </w:p>
    <w:p w:rsidR="00AA0FBC" w:rsidRDefault="00AA0FBC" w:rsidP="00264381"/>
    <w:p w:rsidR="002447ED" w:rsidRDefault="00E605B0" w:rsidP="00264381">
      <w:r>
        <w:t xml:space="preserve">The </w:t>
      </w:r>
      <w:r w:rsidR="00716FE6">
        <w:t xml:space="preserve">application </w:t>
      </w:r>
      <w:r>
        <w:t>stated</w:t>
      </w:r>
      <w:r w:rsidR="00264381">
        <w:t xml:space="preserve"> that podiatric surgeons treat the same types of patients with the same types of procedures, complexity and severity as orthopaedic surgeons. </w:t>
      </w:r>
    </w:p>
    <w:p w:rsidR="002447ED" w:rsidRDefault="002447ED" w:rsidP="00264381"/>
    <w:p w:rsidR="00ED0587" w:rsidRDefault="00ED0587" w:rsidP="00264381">
      <w:r>
        <w:t>MSAC noted that it was beyond the remit of the committee to comment on scope of practice.</w:t>
      </w:r>
    </w:p>
    <w:p w:rsidR="00ED0587" w:rsidRDefault="00ED0587" w:rsidP="00264381"/>
    <w:p w:rsidR="00264381" w:rsidRDefault="00264381" w:rsidP="00264381">
      <w:r>
        <w:t xml:space="preserve">Table </w:t>
      </w:r>
      <w:r w:rsidR="00E605B0">
        <w:t>2</w:t>
      </w:r>
      <w:r>
        <w:t xml:space="preserve"> </w:t>
      </w:r>
      <w:r w:rsidR="00685CD0">
        <w:t xml:space="preserve">below </w:t>
      </w:r>
      <w:r>
        <w:t>provides a summary of the training requirements across the two specialities.</w:t>
      </w:r>
    </w:p>
    <w:p w:rsidR="00E605B0" w:rsidRDefault="00E605B0" w:rsidP="00264381"/>
    <w:p w:rsidR="00264381" w:rsidRPr="002617F0" w:rsidRDefault="00264381" w:rsidP="00264381">
      <w:pPr>
        <w:rPr>
          <w:rFonts w:ascii="Arial Narrow" w:hAnsi="Arial Narrow"/>
          <w:b/>
          <w:sz w:val="20"/>
        </w:rPr>
      </w:pPr>
      <w:r w:rsidRPr="002617F0">
        <w:rPr>
          <w:rFonts w:ascii="Arial Narrow" w:hAnsi="Arial Narrow"/>
          <w:b/>
          <w:sz w:val="20"/>
        </w:rPr>
        <w:t xml:space="preserve">Table </w:t>
      </w:r>
      <w:r w:rsidR="00E605B0">
        <w:rPr>
          <w:rFonts w:ascii="Arial Narrow" w:hAnsi="Arial Narrow"/>
          <w:b/>
          <w:sz w:val="20"/>
        </w:rPr>
        <w:t>2</w:t>
      </w:r>
      <w:r>
        <w:rPr>
          <w:rFonts w:ascii="Arial Narrow" w:hAnsi="Arial Narrow"/>
          <w:b/>
          <w:sz w:val="20"/>
        </w:rPr>
        <w:t>:</w:t>
      </w:r>
      <w:r w:rsidRPr="002617F0">
        <w:rPr>
          <w:rFonts w:ascii="Arial Narrow" w:hAnsi="Arial Narrow"/>
          <w:b/>
          <w:sz w:val="20"/>
        </w:rPr>
        <w:t xml:space="preserve"> Summary of key training requirements of podiatric and orthopaedic surgeons</w:t>
      </w:r>
    </w:p>
    <w:tbl>
      <w:tblPr>
        <w:tblStyle w:val="Submissiontemplate2"/>
        <w:tblW w:w="5149" w:type="pct"/>
        <w:tblLayout w:type="fixed"/>
        <w:tblCellMar>
          <w:left w:w="57" w:type="dxa"/>
          <w:right w:w="57" w:type="dxa"/>
        </w:tblCellMar>
        <w:tblLook w:val="04A0" w:firstRow="1" w:lastRow="0" w:firstColumn="1" w:lastColumn="0" w:noHBand="0" w:noVBand="1"/>
        <w:tblCaption w:val="Table B(i). 1: Comparative summary of podiatric surgeons and orthopaedic surgeons"/>
        <w:tblDescription w:val="Summary of training and accrditation differences between podiatric and orthopaedic surgeons"/>
      </w:tblPr>
      <w:tblGrid>
        <w:gridCol w:w="1334"/>
        <w:gridCol w:w="3969"/>
        <w:gridCol w:w="4109"/>
      </w:tblGrid>
      <w:tr w:rsidR="00685CD0" w:rsidRPr="00214F9E" w:rsidTr="00685CD0">
        <w:trPr>
          <w:cnfStyle w:val="100000000000" w:firstRow="1" w:lastRow="0" w:firstColumn="0" w:lastColumn="0" w:oddVBand="0" w:evenVBand="0" w:oddHBand="0" w:evenHBand="0" w:firstRowFirstColumn="0" w:firstRowLastColumn="0" w:lastRowFirstColumn="0" w:lastRowLastColumn="0"/>
          <w:tblHeader/>
        </w:trPr>
        <w:tc>
          <w:tcPr>
            <w:tcW w:w="708" w:type="pct"/>
            <w:shd w:val="clear" w:color="auto" w:fill="auto"/>
          </w:tcPr>
          <w:p w:rsidR="00264381" w:rsidRPr="00214F9E" w:rsidRDefault="00264381" w:rsidP="00264381">
            <w:pPr>
              <w:pStyle w:val="Tabletext"/>
              <w:rPr>
                <w:rFonts w:eastAsiaTheme="majorEastAsia"/>
                <w:b/>
                <w:lang w:val="en-AU"/>
              </w:rPr>
            </w:pPr>
            <w:r w:rsidRPr="00214F9E">
              <w:rPr>
                <w:rFonts w:eastAsiaTheme="majorEastAsia"/>
                <w:b/>
                <w:lang w:val="en-AU"/>
              </w:rPr>
              <w:t>Domain</w:t>
            </w:r>
          </w:p>
        </w:tc>
        <w:tc>
          <w:tcPr>
            <w:tcW w:w="2108" w:type="pct"/>
            <w:shd w:val="clear" w:color="auto" w:fill="auto"/>
          </w:tcPr>
          <w:p w:rsidR="00264381" w:rsidRPr="00214F9E" w:rsidRDefault="00264381" w:rsidP="00264381">
            <w:pPr>
              <w:pStyle w:val="Tabletext"/>
              <w:rPr>
                <w:rFonts w:eastAsiaTheme="majorEastAsia"/>
                <w:b/>
                <w:lang w:val="en-AU"/>
              </w:rPr>
            </w:pPr>
            <w:r w:rsidRPr="00214F9E">
              <w:rPr>
                <w:rFonts w:eastAsiaTheme="majorEastAsia"/>
                <w:b/>
                <w:lang w:val="en-AU"/>
              </w:rPr>
              <w:t>Podiatric surgeons</w:t>
            </w:r>
          </w:p>
        </w:tc>
        <w:tc>
          <w:tcPr>
            <w:tcW w:w="2183" w:type="pct"/>
            <w:shd w:val="clear" w:color="auto" w:fill="auto"/>
          </w:tcPr>
          <w:p w:rsidR="00264381" w:rsidRPr="00214F9E" w:rsidRDefault="00264381" w:rsidP="00264381">
            <w:pPr>
              <w:pStyle w:val="Tabletext"/>
              <w:rPr>
                <w:rFonts w:eastAsiaTheme="majorEastAsia"/>
                <w:b/>
                <w:lang w:val="en-AU"/>
              </w:rPr>
            </w:pPr>
            <w:r w:rsidRPr="00214F9E">
              <w:rPr>
                <w:rFonts w:eastAsiaTheme="majorEastAsia"/>
                <w:b/>
                <w:lang w:val="en-AU"/>
              </w:rPr>
              <w:t>Orthopaedic surgeons</w:t>
            </w:r>
          </w:p>
        </w:tc>
      </w:tr>
      <w:tr w:rsidR="00685CD0" w:rsidRPr="00214F9E" w:rsidTr="00685CD0">
        <w:trPr>
          <w:cnfStyle w:val="000000100000" w:firstRow="0" w:lastRow="0" w:firstColumn="0" w:lastColumn="0" w:oddVBand="0" w:evenVBand="0" w:oddHBand="1" w:evenHBand="0" w:firstRowFirstColumn="0" w:firstRowLastColumn="0" w:lastRowFirstColumn="0" w:lastRowLastColumn="0"/>
        </w:trPr>
        <w:tc>
          <w:tcPr>
            <w:tcW w:w="708"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t>Undergraduate training</w:t>
            </w:r>
          </w:p>
        </w:tc>
        <w:tc>
          <w:tcPr>
            <w:tcW w:w="2108"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t>Four year undergraduate Bachelor of Podiatry</w:t>
            </w:r>
          </w:p>
        </w:tc>
        <w:tc>
          <w:tcPr>
            <w:tcW w:w="2183"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t>Four to six year medical degree via either an undergraduate or graduate entry pathway</w:t>
            </w:r>
          </w:p>
        </w:tc>
      </w:tr>
      <w:tr w:rsidR="00685CD0" w:rsidRPr="00214F9E" w:rsidTr="00685CD0">
        <w:tc>
          <w:tcPr>
            <w:tcW w:w="708"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t>Post graduate training</w:t>
            </w:r>
          </w:p>
        </w:tc>
        <w:tc>
          <w:tcPr>
            <w:tcW w:w="2108"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t xml:space="preserve">3 years full-time equivalent via ACPS Training Program or Doctor of Podiatric Medicine at UWA. </w:t>
            </w:r>
          </w:p>
          <w:p w:rsidR="00264381" w:rsidRPr="00214F9E" w:rsidRDefault="00264381" w:rsidP="00264381">
            <w:pPr>
              <w:pStyle w:val="Tabletext"/>
              <w:rPr>
                <w:rFonts w:eastAsiaTheme="majorEastAsia"/>
                <w:lang w:val="en-AU"/>
              </w:rPr>
            </w:pPr>
            <w:r w:rsidRPr="00214F9E">
              <w:rPr>
                <w:rFonts w:eastAsiaTheme="majorEastAsia"/>
                <w:lang w:val="en-AU"/>
              </w:rPr>
              <w:t>Emergency and critical care courses</w:t>
            </w:r>
          </w:p>
          <w:p w:rsidR="00264381" w:rsidRPr="00214F9E" w:rsidRDefault="00264381" w:rsidP="00264381">
            <w:pPr>
              <w:pStyle w:val="Tabletext"/>
              <w:rPr>
                <w:rFonts w:eastAsiaTheme="majorEastAsia"/>
                <w:lang w:val="en-AU"/>
              </w:rPr>
            </w:pPr>
            <w:r w:rsidRPr="00214F9E">
              <w:rPr>
                <w:rFonts w:eastAsiaTheme="majorEastAsia"/>
                <w:lang w:val="en-AU"/>
              </w:rPr>
              <w:t>Regional and specialist medical and surgical rotations</w:t>
            </w:r>
          </w:p>
          <w:p w:rsidR="00264381" w:rsidRPr="00214F9E" w:rsidRDefault="00264381" w:rsidP="00264381">
            <w:pPr>
              <w:pStyle w:val="Tabletext"/>
              <w:rPr>
                <w:rFonts w:eastAsiaTheme="majorEastAsia"/>
                <w:lang w:val="en-AU"/>
              </w:rPr>
            </w:pPr>
            <w:r w:rsidRPr="00214F9E">
              <w:rPr>
                <w:rFonts w:eastAsiaTheme="majorEastAsia"/>
                <w:lang w:val="en-AU"/>
              </w:rPr>
              <w:t>International preceptorships</w:t>
            </w:r>
          </w:p>
        </w:tc>
        <w:tc>
          <w:tcPr>
            <w:tcW w:w="2183"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t xml:space="preserve">5 years SET in orthopaedic surgery </w:t>
            </w:r>
          </w:p>
          <w:p w:rsidR="00264381" w:rsidRPr="00214F9E" w:rsidRDefault="00264381" w:rsidP="00264381">
            <w:pPr>
              <w:pStyle w:val="Tabletext"/>
              <w:rPr>
                <w:rFonts w:eastAsiaTheme="majorEastAsia"/>
                <w:lang w:val="en-AU"/>
              </w:rPr>
            </w:pPr>
            <w:r w:rsidRPr="00214F9E">
              <w:rPr>
                <w:rFonts w:eastAsiaTheme="majorEastAsia"/>
                <w:lang w:val="en-AU"/>
              </w:rPr>
              <w:t>Emergency and critical care courses</w:t>
            </w:r>
          </w:p>
          <w:p w:rsidR="00264381" w:rsidRPr="00214F9E" w:rsidRDefault="00264381" w:rsidP="00264381">
            <w:pPr>
              <w:pStyle w:val="Tabletext"/>
              <w:rPr>
                <w:rFonts w:eastAsiaTheme="majorEastAsia"/>
                <w:lang w:val="en-AU"/>
              </w:rPr>
            </w:pPr>
            <w:r w:rsidRPr="00214F9E">
              <w:rPr>
                <w:rFonts w:eastAsiaTheme="majorEastAsia"/>
                <w:lang w:val="en-AU"/>
              </w:rPr>
              <w:t>Medical and surgical rotations</w:t>
            </w:r>
          </w:p>
          <w:p w:rsidR="00264381" w:rsidRPr="00214F9E" w:rsidRDefault="00264381" w:rsidP="00264381">
            <w:pPr>
              <w:pStyle w:val="Tabletext"/>
              <w:rPr>
                <w:rFonts w:eastAsiaTheme="majorEastAsia"/>
                <w:lang w:val="en-AU"/>
              </w:rPr>
            </w:pPr>
          </w:p>
        </w:tc>
      </w:tr>
      <w:tr w:rsidR="00685CD0" w:rsidRPr="00214F9E" w:rsidTr="00685CD0">
        <w:trPr>
          <w:cnfStyle w:val="000000100000" w:firstRow="0" w:lastRow="0" w:firstColumn="0" w:lastColumn="0" w:oddVBand="0" w:evenVBand="0" w:oddHBand="1" w:evenHBand="0" w:firstRowFirstColumn="0" w:firstRowLastColumn="0" w:lastRowFirstColumn="0" w:lastRowLastColumn="0"/>
        </w:trPr>
        <w:tc>
          <w:tcPr>
            <w:tcW w:w="708"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t>Eligibility criteria</w:t>
            </w:r>
          </w:p>
        </w:tc>
        <w:tc>
          <w:tcPr>
            <w:tcW w:w="2108" w:type="pct"/>
            <w:shd w:val="clear" w:color="auto" w:fill="auto"/>
          </w:tcPr>
          <w:p w:rsidR="00264381" w:rsidRPr="00214F9E" w:rsidRDefault="00264381" w:rsidP="00264381">
            <w:pPr>
              <w:pStyle w:val="Tabletext"/>
              <w:rPr>
                <w:rFonts w:eastAsiaTheme="majorEastAsia"/>
                <w:u w:val="single"/>
                <w:lang w:val="en-AU"/>
              </w:rPr>
            </w:pPr>
            <w:r w:rsidRPr="00214F9E">
              <w:rPr>
                <w:rFonts w:eastAsiaTheme="majorEastAsia"/>
                <w:u w:val="single"/>
                <w:lang w:val="en-AU"/>
              </w:rPr>
              <w:t>ACPS Training Program</w:t>
            </w:r>
          </w:p>
          <w:p w:rsidR="00264381" w:rsidRPr="00214F9E" w:rsidRDefault="00264381" w:rsidP="00264381">
            <w:pPr>
              <w:pStyle w:val="Tabletext"/>
              <w:rPr>
                <w:rFonts w:eastAsiaTheme="majorEastAsia"/>
                <w:lang w:val="en-AU"/>
              </w:rPr>
            </w:pPr>
            <w:r w:rsidRPr="00214F9E">
              <w:rPr>
                <w:rFonts w:eastAsiaTheme="majorEastAsia"/>
                <w:lang w:val="en-AU"/>
              </w:rPr>
              <w:t>Hold general registration with the Podiatry Board of Australia.</w:t>
            </w:r>
          </w:p>
          <w:p w:rsidR="00264381" w:rsidRPr="00214F9E" w:rsidRDefault="00264381" w:rsidP="00264381">
            <w:pPr>
              <w:pStyle w:val="Tabletext"/>
              <w:rPr>
                <w:rFonts w:eastAsiaTheme="majorEastAsia"/>
                <w:lang w:val="en-AU"/>
              </w:rPr>
            </w:pPr>
            <w:r w:rsidRPr="00214F9E">
              <w:rPr>
                <w:rFonts w:eastAsiaTheme="majorEastAsia"/>
                <w:lang w:val="en-AU"/>
              </w:rPr>
              <w:t>Be a citizen or permanent resident of Australia or N</w:t>
            </w:r>
            <w:r>
              <w:rPr>
                <w:rFonts w:eastAsiaTheme="majorEastAsia"/>
                <w:lang w:val="en-AU"/>
              </w:rPr>
              <w:t>Z</w:t>
            </w:r>
          </w:p>
          <w:p w:rsidR="00264381" w:rsidRPr="00214F9E" w:rsidRDefault="00264381" w:rsidP="00264381">
            <w:pPr>
              <w:pStyle w:val="Tabletext"/>
              <w:rPr>
                <w:rFonts w:eastAsiaTheme="majorEastAsia"/>
                <w:lang w:val="en-AU"/>
              </w:rPr>
            </w:pPr>
            <w:r w:rsidRPr="00214F9E">
              <w:rPr>
                <w:rFonts w:eastAsiaTheme="majorEastAsia"/>
                <w:lang w:val="en-AU"/>
              </w:rPr>
              <w:t>Have a minimum of two years clinical experience working as a podiatrist.</w:t>
            </w:r>
          </w:p>
          <w:p w:rsidR="00264381" w:rsidRPr="00214F9E" w:rsidRDefault="00264381" w:rsidP="00264381">
            <w:pPr>
              <w:pStyle w:val="Tabletext"/>
              <w:rPr>
                <w:rFonts w:eastAsiaTheme="majorEastAsia"/>
                <w:lang w:val="en-AU"/>
              </w:rPr>
            </w:pPr>
            <w:r w:rsidRPr="00214F9E">
              <w:rPr>
                <w:rFonts w:eastAsiaTheme="majorEastAsia"/>
                <w:lang w:val="en-AU"/>
              </w:rPr>
              <w:t>Fulfil minimum educational requirements including:</w:t>
            </w:r>
          </w:p>
          <w:p w:rsidR="00264381" w:rsidRPr="00214F9E" w:rsidRDefault="00264381" w:rsidP="00264381">
            <w:pPr>
              <w:pStyle w:val="Tabletext"/>
              <w:rPr>
                <w:rFonts w:eastAsiaTheme="majorEastAsia"/>
                <w:lang w:val="en-AU"/>
              </w:rPr>
            </w:pPr>
            <w:r w:rsidRPr="00214F9E">
              <w:rPr>
                <w:rFonts w:eastAsiaTheme="majorEastAsia"/>
                <w:lang w:val="en-AU"/>
              </w:rPr>
              <w:t>Endorsement for Scheduled Medicines under Australian registration.</w:t>
            </w:r>
          </w:p>
          <w:p w:rsidR="00264381" w:rsidRPr="00214F9E" w:rsidRDefault="00264381" w:rsidP="00264381">
            <w:pPr>
              <w:pStyle w:val="Tabletext"/>
              <w:rPr>
                <w:rFonts w:eastAsiaTheme="majorEastAsia"/>
                <w:lang w:val="en-AU"/>
              </w:rPr>
            </w:pPr>
            <w:r w:rsidRPr="00214F9E">
              <w:rPr>
                <w:rFonts w:eastAsiaTheme="majorEastAsia"/>
                <w:lang w:val="en-AU"/>
              </w:rPr>
              <w:t>Completion of an approved Master’s degree within a discipline that has relevance to the speciality field of podiatric surgery.</w:t>
            </w:r>
          </w:p>
          <w:p w:rsidR="00264381" w:rsidRPr="00214F9E" w:rsidRDefault="00264381" w:rsidP="00264381">
            <w:pPr>
              <w:pStyle w:val="Tabletext"/>
              <w:rPr>
                <w:rFonts w:eastAsiaTheme="majorEastAsia"/>
                <w:lang w:val="en-AU"/>
              </w:rPr>
            </w:pPr>
            <w:r w:rsidRPr="00214F9E">
              <w:rPr>
                <w:rFonts w:eastAsiaTheme="majorEastAsia"/>
                <w:lang w:val="en-AU"/>
              </w:rPr>
              <w:t xml:space="preserve">Hold Affiliate membership of the ACPS. </w:t>
            </w:r>
          </w:p>
          <w:p w:rsidR="00264381" w:rsidRPr="00214F9E" w:rsidRDefault="00264381" w:rsidP="00264381">
            <w:pPr>
              <w:pStyle w:val="Tabletext"/>
              <w:rPr>
                <w:rFonts w:eastAsiaTheme="majorEastAsia"/>
                <w:lang w:val="en-AU"/>
              </w:rPr>
            </w:pPr>
            <w:r w:rsidRPr="00214F9E">
              <w:rPr>
                <w:rFonts w:eastAsiaTheme="majorEastAsia"/>
                <w:lang w:val="en-AU"/>
              </w:rPr>
              <w:t>Be eligible for attainment of appropriate professional indemnity insurance.</w:t>
            </w:r>
          </w:p>
          <w:p w:rsidR="00264381" w:rsidRPr="00214F9E" w:rsidRDefault="00264381" w:rsidP="00264381">
            <w:pPr>
              <w:pStyle w:val="Tabletext"/>
              <w:rPr>
                <w:rFonts w:eastAsiaTheme="majorEastAsia"/>
                <w:u w:val="single"/>
                <w:lang w:val="en-AU"/>
              </w:rPr>
            </w:pPr>
            <w:r w:rsidRPr="00214F9E">
              <w:rPr>
                <w:rFonts w:eastAsiaTheme="majorEastAsia"/>
                <w:u w:val="single"/>
                <w:lang w:val="en-AU"/>
              </w:rPr>
              <w:t>Doctor of Clinical Podiatry</w:t>
            </w:r>
          </w:p>
          <w:p w:rsidR="00264381" w:rsidRPr="00214F9E" w:rsidRDefault="00264381" w:rsidP="00264381">
            <w:pPr>
              <w:pStyle w:val="Tabletext"/>
              <w:rPr>
                <w:rFonts w:eastAsiaTheme="majorEastAsia"/>
                <w:lang w:val="en-AU"/>
              </w:rPr>
            </w:pPr>
            <w:r w:rsidRPr="00214F9E">
              <w:rPr>
                <w:rFonts w:eastAsiaTheme="majorEastAsia"/>
                <w:lang w:val="en-AU"/>
              </w:rPr>
              <w:t xml:space="preserve">A Bachelor of Podiatric Medicine from UWA or a </w:t>
            </w:r>
            <w:r>
              <w:rPr>
                <w:rFonts w:eastAsiaTheme="majorEastAsia"/>
                <w:lang w:val="en-AU"/>
              </w:rPr>
              <w:t>recognised</w:t>
            </w:r>
            <w:r w:rsidRPr="00214F9E">
              <w:rPr>
                <w:rFonts w:eastAsiaTheme="majorEastAsia"/>
                <w:lang w:val="en-AU"/>
              </w:rPr>
              <w:t xml:space="preserve"> equivalent; and</w:t>
            </w:r>
          </w:p>
          <w:p w:rsidR="00264381" w:rsidRPr="00214F9E" w:rsidRDefault="00264381" w:rsidP="00264381">
            <w:pPr>
              <w:pStyle w:val="Tabletext"/>
              <w:rPr>
                <w:rFonts w:eastAsiaTheme="majorEastAsia"/>
                <w:lang w:val="en-AU"/>
              </w:rPr>
            </w:pPr>
            <w:r w:rsidRPr="00214F9E">
              <w:rPr>
                <w:rFonts w:eastAsiaTheme="majorEastAsia"/>
                <w:lang w:val="en-AU"/>
              </w:rPr>
              <w:t>At least one year’s relevant professional experience.</w:t>
            </w:r>
          </w:p>
        </w:tc>
        <w:tc>
          <w:tcPr>
            <w:tcW w:w="2183"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t>Permanent residency or citizenship status of Australia or New Zealand;</w:t>
            </w:r>
          </w:p>
          <w:p w:rsidR="00264381" w:rsidRPr="00214F9E" w:rsidRDefault="00264381" w:rsidP="00264381">
            <w:pPr>
              <w:pStyle w:val="Tabletext"/>
              <w:rPr>
                <w:rFonts w:eastAsiaTheme="majorEastAsia"/>
                <w:lang w:val="en-AU"/>
              </w:rPr>
            </w:pPr>
            <w:r w:rsidRPr="00214F9E">
              <w:rPr>
                <w:rFonts w:eastAsiaTheme="majorEastAsia"/>
                <w:lang w:val="en-AU"/>
              </w:rPr>
              <w:t>General (unconditional) registration in Australia or general scope or restricted general scope registration in the relevant specialty in New Zealand.</w:t>
            </w:r>
          </w:p>
          <w:p w:rsidR="00264381" w:rsidRPr="00214F9E" w:rsidRDefault="00264381" w:rsidP="00264381">
            <w:pPr>
              <w:pStyle w:val="Tabletext"/>
              <w:rPr>
                <w:rFonts w:eastAsiaTheme="majorEastAsia"/>
                <w:lang w:val="en-AU"/>
              </w:rPr>
            </w:pPr>
            <w:r w:rsidRPr="00214F9E">
              <w:rPr>
                <w:rFonts w:eastAsiaTheme="majorEastAsia"/>
                <w:lang w:val="en-AU"/>
              </w:rPr>
              <w:t>Successful completion of the RACS Hand Hygiene Learning Module from Hand Hygiene Australia</w:t>
            </w:r>
          </w:p>
          <w:p w:rsidR="00264381" w:rsidRPr="00214F9E" w:rsidRDefault="00264381" w:rsidP="00264381">
            <w:pPr>
              <w:pStyle w:val="Tabletext"/>
              <w:rPr>
                <w:rFonts w:eastAsiaTheme="majorEastAsia"/>
                <w:lang w:val="en-AU"/>
              </w:rPr>
            </w:pPr>
            <w:r w:rsidRPr="00214F9E">
              <w:rPr>
                <w:rFonts w:eastAsiaTheme="majorEastAsia"/>
                <w:lang w:val="en-AU"/>
              </w:rPr>
              <w:t xml:space="preserve">Completion of an eight week postgraduate term in an Emergency Unit; and </w:t>
            </w:r>
          </w:p>
          <w:p w:rsidR="00264381" w:rsidRPr="00214F9E" w:rsidRDefault="00264381" w:rsidP="00264381">
            <w:pPr>
              <w:pStyle w:val="Tabletext"/>
              <w:rPr>
                <w:rFonts w:eastAsiaTheme="majorEastAsia"/>
                <w:lang w:val="en-AU"/>
              </w:rPr>
            </w:pPr>
            <w:r w:rsidRPr="00214F9E">
              <w:rPr>
                <w:rFonts w:eastAsiaTheme="majorEastAsia"/>
                <w:lang w:val="en-AU"/>
              </w:rPr>
              <w:t>Completion of at least 26 working weeks of orthopaedic surgical experience within the last two years, at least three years or higher following completion of primary medical degree</w:t>
            </w:r>
          </w:p>
          <w:p w:rsidR="00264381" w:rsidRPr="00214F9E" w:rsidRDefault="00264381" w:rsidP="00264381">
            <w:pPr>
              <w:pStyle w:val="Tabletext"/>
              <w:rPr>
                <w:rFonts w:eastAsiaTheme="majorEastAsia"/>
                <w:lang w:val="en-AU"/>
              </w:rPr>
            </w:pPr>
            <w:r w:rsidRPr="00214F9E">
              <w:rPr>
                <w:rFonts w:eastAsiaTheme="majorEastAsia"/>
                <w:lang w:val="en-AU"/>
              </w:rPr>
              <w:t>Ability to demonstrate satisfaction of the competency-based requirements for entry into the SET program.</w:t>
            </w:r>
          </w:p>
        </w:tc>
      </w:tr>
      <w:tr w:rsidR="00685CD0" w:rsidRPr="00214F9E" w:rsidTr="00685CD0">
        <w:tc>
          <w:tcPr>
            <w:tcW w:w="708"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t>Selection criteria</w:t>
            </w:r>
          </w:p>
        </w:tc>
        <w:tc>
          <w:tcPr>
            <w:tcW w:w="2108" w:type="pct"/>
            <w:shd w:val="clear" w:color="auto" w:fill="auto"/>
          </w:tcPr>
          <w:p w:rsidR="00264381" w:rsidRPr="00214F9E" w:rsidRDefault="00264381" w:rsidP="00264381">
            <w:pPr>
              <w:pStyle w:val="Tabletext"/>
              <w:rPr>
                <w:rFonts w:eastAsiaTheme="majorEastAsia"/>
                <w:u w:val="single"/>
                <w:lang w:val="en-AU"/>
              </w:rPr>
            </w:pPr>
            <w:r w:rsidRPr="00214F9E">
              <w:rPr>
                <w:rFonts w:eastAsiaTheme="majorEastAsia"/>
                <w:u w:val="single"/>
                <w:lang w:val="en-AU"/>
              </w:rPr>
              <w:t>ACPS Training Program</w:t>
            </w:r>
          </w:p>
          <w:p w:rsidR="00264381" w:rsidRPr="00214F9E" w:rsidRDefault="00264381" w:rsidP="00264381">
            <w:pPr>
              <w:pStyle w:val="Tabletext"/>
              <w:rPr>
                <w:rFonts w:eastAsiaTheme="majorEastAsia"/>
                <w:lang w:val="en-AU"/>
              </w:rPr>
            </w:pPr>
            <w:r w:rsidRPr="00214F9E">
              <w:rPr>
                <w:rFonts w:eastAsiaTheme="majorEastAsia"/>
                <w:lang w:val="en-AU"/>
              </w:rPr>
              <w:t>ACPS Entrance examination.</w:t>
            </w:r>
          </w:p>
          <w:p w:rsidR="00264381" w:rsidRPr="00214F9E" w:rsidRDefault="00264381" w:rsidP="00264381">
            <w:pPr>
              <w:pStyle w:val="Tabletext"/>
              <w:rPr>
                <w:rFonts w:eastAsiaTheme="majorEastAsia"/>
                <w:lang w:val="en-AU"/>
              </w:rPr>
            </w:pPr>
            <w:r w:rsidRPr="00214F9E">
              <w:rPr>
                <w:rFonts w:eastAsiaTheme="majorEastAsia"/>
                <w:lang w:val="en-AU"/>
              </w:rPr>
              <w:t>Psychometric and motor skills testing.</w:t>
            </w:r>
          </w:p>
          <w:p w:rsidR="00264381" w:rsidRPr="00214F9E" w:rsidRDefault="00264381" w:rsidP="00264381">
            <w:pPr>
              <w:pStyle w:val="Tabletext"/>
              <w:rPr>
                <w:rFonts w:eastAsiaTheme="majorEastAsia"/>
                <w:lang w:val="en-AU"/>
              </w:rPr>
            </w:pPr>
            <w:r w:rsidRPr="00214F9E">
              <w:rPr>
                <w:rFonts w:eastAsiaTheme="majorEastAsia"/>
                <w:lang w:val="en-AU"/>
              </w:rPr>
              <w:t>Interview.</w:t>
            </w:r>
          </w:p>
          <w:p w:rsidR="00264381" w:rsidRPr="00214F9E" w:rsidRDefault="00264381" w:rsidP="00264381">
            <w:pPr>
              <w:pStyle w:val="Tabletext"/>
              <w:rPr>
                <w:rFonts w:eastAsiaTheme="majorEastAsia"/>
                <w:lang w:val="en-AU"/>
              </w:rPr>
            </w:pPr>
            <w:r w:rsidRPr="00214F9E">
              <w:rPr>
                <w:rFonts w:eastAsiaTheme="majorEastAsia"/>
                <w:u w:val="single"/>
                <w:lang w:val="en-AU"/>
              </w:rPr>
              <w:t>Doctor of Clinical Podiatry</w:t>
            </w:r>
            <w:r>
              <w:rPr>
                <w:rFonts w:eastAsiaTheme="majorEastAsia"/>
                <w:u w:val="single"/>
                <w:lang w:val="en-AU"/>
              </w:rPr>
              <w:t>-</w:t>
            </w:r>
            <w:r w:rsidRPr="00214F9E">
              <w:rPr>
                <w:rFonts w:eastAsiaTheme="majorEastAsia"/>
                <w:lang w:val="en-AU"/>
              </w:rPr>
              <w:t>Available from UWA</w:t>
            </w:r>
          </w:p>
        </w:tc>
        <w:tc>
          <w:tcPr>
            <w:tcW w:w="2183"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t>Assessment via curriculum vitae</w:t>
            </w:r>
          </w:p>
          <w:p w:rsidR="00264381" w:rsidRPr="00214F9E" w:rsidRDefault="00264381" w:rsidP="00264381">
            <w:pPr>
              <w:pStyle w:val="Tabletext"/>
              <w:rPr>
                <w:rFonts w:eastAsiaTheme="majorEastAsia"/>
                <w:lang w:val="en-AU"/>
              </w:rPr>
            </w:pPr>
            <w:r w:rsidRPr="00214F9E">
              <w:rPr>
                <w:rFonts w:eastAsiaTheme="majorEastAsia"/>
                <w:lang w:val="en-AU"/>
              </w:rPr>
              <w:t>IDR reports (five surgeons and two non</w:t>
            </w:r>
            <w:r w:rsidRPr="00214F9E">
              <w:rPr>
                <w:rFonts w:eastAsiaTheme="majorEastAsia"/>
                <w:lang w:val="en-AU"/>
              </w:rPr>
              <w:noBreakHyphen/>
              <w:t>surgeons)</w:t>
            </w:r>
          </w:p>
        </w:tc>
      </w:tr>
      <w:tr w:rsidR="00685CD0" w:rsidRPr="00214F9E" w:rsidTr="00685CD0">
        <w:trPr>
          <w:cnfStyle w:val="000000100000" w:firstRow="0" w:lastRow="0" w:firstColumn="0" w:lastColumn="0" w:oddVBand="0" w:evenVBand="0" w:oddHBand="1" w:evenHBand="0" w:firstRowFirstColumn="0" w:firstRowLastColumn="0" w:lastRowFirstColumn="0" w:lastRowLastColumn="0"/>
        </w:trPr>
        <w:tc>
          <w:tcPr>
            <w:tcW w:w="708" w:type="pct"/>
            <w:shd w:val="clear" w:color="auto" w:fill="auto"/>
          </w:tcPr>
          <w:p w:rsidR="00264381" w:rsidRDefault="00264381" w:rsidP="00685CD0">
            <w:pPr>
              <w:pStyle w:val="Tabletext"/>
              <w:rPr>
                <w:rFonts w:eastAsiaTheme="majorEastAsia"/>
                <w:lang w:val="en-AU"/>
              </w:rPr>
            </w:pPr>
            <w:r w:rsidRPr="00214F9E">
              <w:rPr>
                <w:rFonts w:eastAsiaTheme="majorEastAsia"/>
                <w:lang w:val="en-AU"/>
              </w:rPr>
              <w:t>Mini</w:t>
            </w:r>
            <w:r w:rsidR="00685CD0">
              <w:rPr>
                <w:rFonts w:eastAsiaTheme="majorEastAsia"/>
                <w:lang w:val="en-AU"/>
              </w:rPr>
              <w:t xml:space="preserve">mum clinical hours/case </w:t>
            </w:r>
            <w:r w:rsidR="00685CD0">
              <w:rPr>
                <w:rFonts w:eastAsiaTheme="majorEastAsia"/>
                <w:lang w:val="en-AU"/>
              </w:rPr>
              <w:lastRenderedPageBreak/>
              <w:t>numbers</w:t>
            </w:r>
            <w:r w:rsidRPr="00214F9E">
              <w:rPr>
                <w:rFonts w:eastAsiaTheme="majorEastAsia"/>
                <w:lang w:val="en-AU"/>
              </w:rPr>
              <w:t xml:space="preserve"> (foot</w:t>
            </w:r>
            <w:r>
              <w:rPr>
                <w:rFonts w:eastAsiaTheme="majorEastAsia"/>
                <w:lang w:val="en-AU"/>
              </w:rPr>
              <w:t>/</w:t>
            </w:r>
            <w:r w:rsidRPr="00214F9E">
              <w:rPr>
                <w:rFonts w:eastAsiaTheme="majorEastAsia"/>
                <w:lang w:val="en-AU"/>
              </w:rPr>
              <w:t xml:space="preserve"> ankle specific)</w:t>
            </w:r>
          </w:p>
          <w:p w:rsidR="00685CD0" w:rsidRPr="00214F9E" w:rsidRDefault="00685CD0" w:rsidP="00685CD0">
            <w:pPr>
              <w:pStyle w:val="Tabletext"/>
              <w:rPr>
                <w:rFonts w:eastAsiaTheme="majorEastAsia"/>
                <w:lang w:val="en-AU"/>
              </w:rPr>
            </w:pPr>
          </w:p>
        </w:tc>
        <w:tc>
          <w:tcPr>
            <w:tcW w:w="2108"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lastRenderedPageBreak/>
              <w:t>Regional rotation: 240 hours</w:t>
            </w:r>
          </w:p>
          <w:p w:rsidR="00264381" w:rsidRPr="00214F9E" w:rsidRDefault="00264381" w:rsidP="00264381">
            <w:pPr>
              <w:pStyle w:val="Tabletext"/>
              <w:rPr>
                <w:rFonts w:eastAsiaTheme="majorEastAsia"/>
                <w:lang w:val="en-AU"/>
              </w:rPr>
            </w:pPr>
            <w:r w:rsidRPr="00214F9E">
              <w:rPr>
                <w:rFonts w:eastAsiaTheme="majorEastAsia"/>
                <w:lang w:val="en-AU"/>
              </w:rPr>
              <w:t>Medical and surgical specialty: 320 hours</w:t>
            </w:r>
          </w:p>
          <w:p w:rsidR="00264381" w:rsidRPr="00E46EF0" w:rsidRDefault="00264381" w:rsidP="00264381">
            <w:pPr>
              <w:pStyle w:val="Tabletext"/>
              <w:rPr>
                <w:rFonts w:eastAsiaTheme="majorEastAsia"/>
                <w:lang w:val="en-AU"/>
              </w:rPr>
            </w:pPr>
            <w:r w:rsidRPr="00214F9E">
              <w:rPr>
                <w:rFonts w:eastAsiaTheme="majorEastAsia"/>
                <w:lang w:val="en-AU"/>
              </w:rPr>
              <w:lastRenderedPageBreak/>
              <w:t>Minimum cases numbers: 1,970</w:t>
            </w:r>
          </w:p>
        </w:tc>
        <w:tc>
          <w:tcPr>
            <w:tcW w:w="2183"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lastRenderedPageBreak/>
              <w:t>Not available.</w:t>
            </w:r>
            <w:r>
              <w:rPr>
                <w:rFonts w:eastAsiaTheme="majorEastAsia"/>
                <w:lang w:val="en-AU"/>
              </w:rPr>
              <w:t xml:space="preserve"> </w:t>
            </w:r>
            <w:r w:rsidRPr="00210AE9">
              <w:rPr>
                <w:rFonts w:eastAsiaTheme="majorEastAsia"/>
                <w:i/>
              </w:rPr>
              <w:t>This omission is important since it is unclear what clinical experience is minimally required.</w:t>
            </w:r>
          </w:p>
        </w:tc>
      </w:tr>
      <w:tr w:rsidR="00685CD0" w:rsidRPr="00214F9E" w:rsidTr="00685CD0">
        <w:tc>
          <w:tcPr>
            <w:tcW w:w="708"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lastRenderedPageBreak/>
              <w:t>Registration details</w:t>
            </w:r>
          </w:p>
        </w:tc>
        <w:tc>
          <w:tcPr>
            <w:tcW w:w="2108"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t>Specialist registration acknowledged as a podiatric surgeon</w:t>
            </w:r>
          </w:p>
        </w:tc>
        <w:tc>
          <w:tcPr>
            <w:tcW w:w="2183" w:type="pct"/>
            <w:shd w:val="clear" w:color="auto" w:fill="auto"/>
          </w:tcPr>
          <w:p w:rsidR="00264381" w:rsidRPr="00214F9E" w:rsidRDefault="00264381" w:rsidP="00264381">
            <w:pPr>
              <w:pStyle w:val="Tabletext"/>
              <w:rPr>
                <w:rFonts w:eastAsiaTheme="majorEastAsia"/>
                <w:lang w:val="en-AU"/>
              </w:rPr>
            </w:pPr>
            <w:r w:rsidRPr="00214F9E">
              <w:rPr>
                <w:rFonts w:eastAsiaTheme="majorEastAsia"/>
                <w:lang w:val="en-AU"/>
              </w:rPr>
              <w:t>Specialist registration acknowledged as an orthopaedic surgeon.</w:t>
            </w:r>
          </w:p>
        </w:tc>
      </w:tr>
    </w:tbl>
    <w:p w:rsidR="00264381" w:rsidRPr="00214F9E" w:rsidRDefault="00264381" w:rsidP="00264381">
      <w:pPr>
        <w:pStyle w:val="Tabletext"/>
      </w:pPr>
      <w:r w:rsidRPr="00214F9E">
        <w:t>Source: Table B.8, p57 of the application</w:t>
      </w:r>
    </w:p>
    <w:p w:rsidR="00264381" w:rsidRDefault="00264381" w:rsidP="00264381">
      <w:pPr>
        <w:pStyle w:val="Tabletext"/>
      </w:pPr>
      <w:r>
        <w:t>ACPS = Australasian College of Podiatric Surgeons; IDR = integrated data repository; SET = Surgical and Education Training; RACS = Royal Australian College of Surgeons; UWA = University of Western Australia</w:t>
      </w:r>
    </w:p>
    <w:p w:rsidR="00AA0FBC" w:rsidRDefault="00AA0FBC"/>
    <w:p w:rsidR="00264381" w:rsidRDefault="00264381" w:rsidP="00264381">
      <w:r>
        <w:t>A summary of the key features of the studies</w:t>
      </w:r>
      <w:r w:rsidR="00F10CD1">
        <w:t xml:space="preserve"> included</w:t>
      </w:r>
      <w:r>
        <w:t xml:space="preserve"> in the assessment as supporting evidence is provided in Table </w:t>
      </w:r>
      <w:r w:rsidR="00E605B0">
        <w:t>3</w:t>
      </w:r>
      <w:r>
        <w:t>.</w:t>
      </w:r>
    </w:p>
    <w:p w:rsidR="00264381" w:rsidRPr="00A37F46" w:rsidRDefault="00264381" w:rsidP="00264381"/>
    <w:p w:rsidR="00264381" w:rsidRPr="00E605B0" w:rsidRDefault="00264381" w:rsidP="00264381">
      <w:pPr>
        <w:pStyle w:val="Tabletextbold"/>
        <w:jc w:val="left"/>
      </w:pPr>
      <w:r w:rsidRPr="00E605B0">
        <w:t xml:space="preserve">Table </w:t>
      </w:r>
      <w:r w:rsidR="00E605B0" w:rsidRPr="00E605B0">
        <w:t>3</w:t>
      </w:r>
      <w:r w:rsidRPr="00E605B0">
        <w:t>: Summary of key features of all included studies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ES.2 Summary of key evidence"/>
        <w:tblDescription w:val="Key characteristics of all included studies in application"/>
      </w:tblPr>
      <w:tblGrid>
        <w:gridCol w:w="1305"/>
        <w:gridCol w:w="681"/>
        <w:gridCol w:w="1837"/>
        <w:gridCol w:w="1126"/>
        <w:gridCol w:w="2137"/>
        <w:gridCol w:w="2072"/>
      </w:tblGrid>
      <w:tr w:rsidR="00264381" w:rsidRPr="00E605B0" w:rsidTr="00264381">
        <w:trPr>
          <w:tblHeader/>
        </w:trPr>
        <w:tc>
          <w:tcPr>
            <w:tcW w:w="712" w:type="pct"/>
            <w:shd w:val="clear" w:color="auto" w:fill="auto"/>
            <w:vAlign w:val="center"/>
          </w:tcPr>
          <w:p w:rsidR="00264381" w:rsidRPr="00E605B0" w:rsidRDefault="00264381" w:rsidP="00264381">
            <w:pPr>
              <w:rPr>
                <w:rFonts w:ascii="Arial Narrow" w:hAnsi="Arial Narrow"/>
                <w:b/>
                <w:sz w:val="18"/>
                <w:szCs w:val="18"/>
                <w:lang w:val="en-US"/>
              </w:rPr>
            </w:pPr>
            <w:r w:rsidRPr="00E605B0">
              <w:rPr>
                <w:rFonts w:ascii="Arial Narrow" w:hAnsi="Arial Narrow"/>
                <w:b/>
                <w:sz w:val="18"/>
                <w:szCs w:val="18"/>
                <w:lang w:val="en-US"/>
              </w:rPr>
              <w:t>Trial</w:t>
            </w:r>
          </w:p>
        </w:tc>
        <w:tc>
          <w:tcPr>
            <w:tcW w:w="372"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 xml:space="preserve">Total N </w:t>
            </w:r>
          </w:p>
        </w:tc>
        <w:tc>
          <w:tcPr>
            <w:tcW w:w="1003"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Design/ duration</w:t>
            </w:r>
          </w:p>
        </w:tc>
        <w:tc>
          <w:tcPr>
            <w:tcW w:w="615"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Risk of bias</w:t>
            </w:r>
          </w:p>
        </w:tc>
        <w:tc>
          <w:tcPr>
            <w:tcW w:w="1167"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Patient population</w:t>
            </w:r>
          </w:p>
        </w:tc>
        <w:tc>
          <w:tcPr>
            <w:tcW w:w="1131"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Outcome(s)</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b/>
                <w:sz w:val="18"/>
                <w:szCs w:val="18"/>
                <w:lang w:val="en-US"/>
              </w:rPr>
            </w:pPr>
            <w:r w:rsidRPr="00E605B0">
              <w:rPr>
                <w:rFonts w:ascii="Arial Narrow" w:hAnsi="Arial Narrow"/>
                <w:b/>
                <w:sz w:val="18"/>
                <w:szCs w:val="18"/>
                <w:lang w:val="en-US"/>
              </w:rPr>
              <w:t>Podiatric surgeon studies</w:t>
            </w:r>
          </w:p>
        </w:tc>
        <w:tc>
          <w:tcPr>
            <w:tcW w:w="372"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w:t>
            </w:r>
          </w:p>
        </w:tc>
        <w:tc>
          <w:tcPr>
            <w:tcW w:w="1003"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w:t>
            </w:r>
          </w:p>
        </w:tc>
        <w:tc>
          <w:tcPr>
            <w:tcW w:w="615"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w:t>
            </w:r>
          </w:p>
        </w:tc>
        <w:tc>
          <w:tcPr>
            <w:tcW w:w="1167"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w:t>
            </w:r>
          </w:p>
        </w:tc>
        <w:tc>
          <w:tcPr>
            <w:tcW w:w="1131"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lang w:val="en-US"/>
              </w:rPr>
            </w:pPr>
            <w:r w:rsidRPr="00E605B0">
              <w:rPr>
                <w:rFonts w:ascii="Arial Narrow" w:hAnsi="Arial Narrow"/>
                <w:sz w:val="18"/>
                <w:szCs w:val="18"/>
                <w:lang w:val="en-US"/>
              </w:rPr>
              <w:t>Dux 2013</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59</w:t>
            </w:r>
          </w:p>
        </w:tc>
        <w:tc>
          <w:tcPr>
            <w:tcW w:w="1003"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Single arm, 6-12 months</w:t>
            </w:r>
          </w:p>
        </w:tc>
        <w:tc>
          <w:tcPr>
            <w:tcW w:w="615"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Foot surgery</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FFI-R</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lang w:val="en-US"/>
              </w:rPr>
            </w:pPr>
            <w:r w:rsidRPr="00E605B0">
              <w:rPr>
                <w:rFonts w:ascii="Arial Narrow" w:hAnsi="Arial Narrow"/>
                <w:sz w:val="18"/>
                <w:szCs w:val="18"/>
                <w:lang w:val="en-US"/>
              </w:rPr>
              <w:t>Armanasco 2012</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116</w:t>
            </w:r>
          </w:p>
        </w:tc>
        <w:tc>
          <w:tcPr>
            <w:tcW w:w="1003"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Case control, &lt; 20 months</w:t>
            </w:r>
          </w:p>
        </w:tc>
        <w:tc>
          <w:tcPr>
            <w:tcW w:w="615"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Foot surgery</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PAT SAT</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lang w:val="en-US"/>
              </w:rPr>
            </w:pPr>
            <w:r w:rsidRPr="00E605B0">
              <w:rPr>
                <w:rFonts w:ascii="Arial Narrow" w:hAnsi="Arial Narrow"/>
                <w:sz w:val="18"/>
                <w:szCs w:val="18"/>
                <w:lang w:val="en-US"/>
              </w:rPr>
              <w:t>Rusmir 2011</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111</w:t>
            </w:r>
          </w:p>
        </w:tc>
        <w:tc>
          <w:tcPr>
            <w:tcW w:w="1003"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Single arm, 6 years</w:t>
            </w:r>
          </w:p>
        </w:tc>
        <w:tc>
          <w:tcPr>
            <w:tcW w:w="615"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Post-operative</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Infections</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lang w:val="en-US"/>
              </w:rPr>
            </w:pPr>
            <w:r w:rsidRPr="00E605B0">
              <w:rPr>
                <w:rFonts w:ascii="Arial Narrow" w:hAnsi="Arial Narrow"/>
                <w:sz w:val="18"/>
                <w:szCs w:val="18"/>
                <w:lang w:val="en-US"/>
              </w:rPr>
              <w:t>Spruce 2011</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179</w:t>
            </w:r>
          </w:p>
        </w:tc>
        <w:tc>
          <w:tcPr>
            <w:tcW w:w="1003"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Single arm, 1045 days</w:t>
            </w:r>
          </w:p>
        </w:tc>
        <w:tc>
          <w:tcPr>
            <w:tcW w:w="615"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Foot surgery</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FHSQ, PATSAT</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lang w:val="en-US"/>
              </w:rPr>
            </w:pPr>
            <w:r w:rsidRPr="00E605B0">
              <w:rPr>
                <w:rFonts w:ascii="Arial Narrow" w:hAnsi="Arial Narrow"/>
                <w:sz w:val="18"/>
                <w:szCs w:val="18"/>
                <w:lang w:val="en-US"/>
              </w:rPr>
              <w:t>Butterworth 2010</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1,339</w:t>
            </w:r>
          </w:p>
        </w:tc>
        <w:tc>
          <w:tcPr>
            <w:tcW w:w="1003"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Single arm, 12 months</w:t>
            </w:r>
          </w:p>
        </w:tc>
        <w:tc>
          <w:tcPr>
            <w:tcW w:w="615"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Post-operative</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Infections</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lang w:val="en-US"/>
              </w:rPr>
            </w:pPr>
            <w:r w:rsidRPr="00E605B0">
              <w:rPr>
                <w:rFonts w:ascii="Arial Narrow" w:hAnsi="Arial Narrow"/>
                <w:sz w:val="18"/>
                <w:szCs w:val="18"/>
                <w:lang w:val="en-US"/>
              </w:rPr>
              <w:t>Maher 2009</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917</w:t>
            </w:r>
          </w:p>
        </w:tc>
        <w:tc>
          <w:tcPr>
            <w:tcW w:w="1003" w:type="pct"/>
            <w:shd w:val="clear" w:color="auto" w:fill="auto"/>
            <w:vAlign w:val="center"/>
          </w:tcPr>
          <w:p w:rsidR="00264381" w:rsidRPr="00E605B0" w:rsidRDefault="00264381" w:rsidP="00264381">
            <w:pPr>
              <w:jc w:val="center"/>
              <w:rPr>
                <w:sz w:val="18"/>
                <w:szCs w:val="18"/>
              </w:rPr>
            </w:pPr>
            <w:r w:rsidRPr="00E605B0">
              <w:rPr>
                <w:rFonts w:ascii="Arial Narrow" w:hAnsi="Arial Narrow"/>
                <w:sz w:val="18"/>
                <w:szCs w:val="18"/>
                <w:lang w:val="en-US"/>
              </w:rPr>
              <w:t>Single arm, 4 years</w:t>
            </w:r>
          </w:p>
        </w:tc>
        <w:tc>
          <w:tcPr>
            <w:tcW w:w="615" w:type="pct"/>
            <w:shd w:val="clear" w:color="auto" w:fill="auto"/>
            <w:vAlign w:val="center"/>
          </w:tcPr>
          <w:p w:rsidR="00264381" w:rsidRPr="00E605B0" w:rsidRDefault="00264381" w:rsidP="00264381">
            <w:pPr>
              <w:jc w:val="center"/>
              <w:rPr>
                <w:sz w:val="18"/>
                <w:szCs w:val="18"/>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Foot surgery</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FHSQ, PAT SAT, Infections, Complications, VTE</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vertAlign w:val="superscript"/>
                <w:lang w:val="en-US"/>
              </w:rPr>
            </w:pPr>
            <w:r w:rsidRPr="00E605B0">
              <w:rPr>
                <w:rFonts w:ascii="Arial Narrow" w:hAnsi="Arial Narrow"/>
                <w:sz w:val="18"/>
                <w:szCs w:val="18"/>
                <w:lang w:val="en-US"/>
              </w:rPr>
              <w:t>Kilmartin 2002</w:t>
            </w:r>
            <w:r w:rsidRPr="00E605B0">
              <w:rPr>
                <w:rFonts w:ascii="Arial Narrow" w:hAnsi="Arial Narrow"/>
                <w:sz w:val="18"/>
                <w:szCs w:val="18"/>
                <w:vertAlign w:val="superscript"/>
                <w:lang w:val="en-US"/>
              </w:rPr>
              <w:t>a</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2,335</w:t>
            </w:r>
          </w:p>
        </w:tc>
        <w:tc>
          <w:tcPr>
            <w:tcW w:w="1003"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Single arm, 4 years</w:t>
            </w:r>
          </w:p>
        </w:tc>
        <w:tc>
          <w:tcPr>
            <w:tcW w:w="615"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Foot surgery</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PAT SAT, Complications, VTE</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vertAlign w:val="superscript"/>
                <w:lang w:val="en-US"/>
              </w:rPr>
            </w:pPr>
            <w:r w:rsidRPr="00E605B0">
              <w:rPr>
                <w:rFonts w:ascii="Arial Narrow" w:hAnsi="Arial Narrow"/>
                <w:sz w:val="18"/>
                <w:szCs w:val="18"/>
                <w:lang w:val="en-US"/>
              </w:rPr>
              <w:t>Kilmartin 2002</w:t>
            </w:r>
            <w:r w:rsidRPr="00E605B0">
              <w:rPr>
                <w:rFonts w:ascii="Arial Narrow" w:hAnsi="Arial Narrow"/>
                <w:sz w:val="18"/>
                <w:szCs w:val="18"/>
                <w:vertAlign w:val="superscript"/>
                <w:lang w:val="en-US"/>
              </w:rPr>
              <w:t>b</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244</w:t>
            </w:r>
          </w:p>
        </w:tc>
        <w:tc>
          <w:tcPr>
            <w:tcW w:w="1003"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 xml:space="preserve">Single arm, </w:t>
            </w:r>
          </w:p>
        </w:tc>
        <w:tc>
          <w:tcPr>
            <w:tcW w:w="615"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Post-operative</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Infections, Complications</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lang w:val="en-US"/>
              </w:rPr>
            </w:pPr>
            <w:r w:rsidRPr="00E605B0">
              <w:rPr>
                <w:rFonts w:ascii="Arial Narrow" w:hAnsi="Arial Narrow"/>
                <w:sz w:val="18"/>
                <w:szCs w:val="18"/>
                <w:lang w:val="en-US"/>
              </w:rPr>
              <w:t>Bennett 2001</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140</w:t>
            </w:r>
          </w:p>
        </w:tc>
        <w:tc>
          <w:tcPr>
            <w:tcW w:w="1003"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Single arm, 6 months</w:t>
            </w:r>
          </w:p>
        </w:tc>
        <w:tc>
          <w:tcPr>
            <w:tcW w:w="615"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Foot surgery</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FHSQ, PATSAT, SF-36</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lang w:val="en-US"/>
              </w:rPr>
            </w:pPr>
            <w:r w:rsidRPr="00E605B0">
              <w:rPr>
                <w:rFonts w:ascii="Arial Narrow" w:hAnsi="Arial Narrow"/>
                <w:sz w:val="18"/>
                <w:szCs w:val="18"/>
                <w:lang w:val="en-US"/>
              </w:rPr>
              <w:t>Sticha 1998</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100</w:t>
            </w:r>
          </w:p>
        </w:tc>
        <w:tc>
          <w:tcPr>
            <w:tcW w:w="1003"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 xml:space="preserve">Single arm, </w:t>
            </w:r>
          </w:p>
        </w:tc>
        <w:tc>
          <w:tcPr>
            <w:tcW w:w="615"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Post-operative</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Infections</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b/>
                <w:sz w:val="18"/>
                <w:szCs w:val="18"/>
                <w:lang w:val="en-US"/>
              </w:rPr>
            </w:pPr>
            <w:r w:rsidRPr="00E605B0">
              <w:rPr>
                <w:rFonts w:ascii="Arial Narrow" w:hAnsi="Arial Narrow"/>
                <w:b/>
                <w:sz w:val="18"/>
                <w:szCs w:val="18"/>
                <w:lang w:val="en-US"/>
              </w:rPr>
              <w:t>Orthopaedic surgeon studies</w:t>
            </w:r>
          </w:p>
        </w:tc>
        <w:tc>
          <w:tcPr>
            <w:tcW w:w="372"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w:t>
            </w:r>
          </w:p>
        </w:tc>
        <w:tc>
          <w:tcPr>
            <w:tcW w:w="1003"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w:t>
            </w:r>
          </w:p>
        </w:tc>
        <w:tc>
          <w:tcPr>
            <w:tcW w:w="615"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w:t>
            </w:r>
          </w:p>
        </w:tc>
        <w:tc>
          <w:tcPr>
            <w:tcW w:w="1167"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w:t>
            </w:r>
          </w:p>
        </w:tc>
        <w:tc>
          <w:tcPr>
            <w:tcW w:w="1131" w:type="pct"/>
            <w:shd w:val="clear" w:color="auto" w:fill="auto"/>
            <w:vAlign w:val="center"/>
          </w:tcPr>
          <w:p w:rsidR="00264381" w:rsidRPr="00E605B0" w:rsidRDefault="00264381" w:rsidP="00264381">
            <w:pPr>
              <w:jc w:val="center"/>
              <w:rPr>
                <w:rFonts w:ascii="Arial Narrow" w:hAnsi="Arial Narrow"/>
                <w:b/>
                <w:sz w:val="18"/>
                <w:szCs w:val="18"/>
                <w:lang w:val="en-US"/>
              </w:rPr>
            </w:pPr>
            <w:r w:rsidRPr="00E605B0">
              <w:rPr>
                <w:rFonts w:ascii="Arial Narrow" w:hAnsi="Arial Narrow"/>
                <w:b/>
                <w:sz w:val="18"/>
                <w:szCs w:val="18"/>
                <w:lang w:val="en-US"/>
              </w:rPr>
              <w:t>-</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lang w:val="en-US"/>
              </w:rPr>
            </w:pPr>
            <w:r w:rsidRPr="00E605B0">
              <w:rPr>
                <w:rFonts w:ascii="Arial Narrow" w:hAnsi="Arial Narrow"/>
                <w:sz w:val="18"/>
                <w:szCs w:val="18"/>
                <w:lang w:val="en-US"/>
              </w:rPr>
              <w:t>Dawson 2012</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491</w:t>
            </w:r>
          </w:p>
        </w:tc>
        <w:tc>
          <w:tcPr>
            <w:tcW w:w="1003"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Single arm, 9 months</w:t>
            </w:r>
          </w:p>
        </w:tc>
        <w:tc>
          <w:tcPr>
            <w:tcW w:w="615"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Foot and ankle surgery</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SF-36</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lang w:val="en-US"/>
              </w:rPr>
            </w:pPr>
            <w:r w:rsidRPr="00E605B0">
              <w:rPr>
                <w:rFonts w:ascii="Arial Narrow" w:hAnsi="Arial Narrow"/>
                <w:sz w:val="18"/>
                <w:szCs w:val="18"/>
                <w:lang w:val="en-US"/>
              </w:rPr>
              <w:t>Canesco 2012</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19</w:t>
            </w:r>
          </w:p>
        </w:tc>
        <w:tc>
          <w:tcPr>
            <w:tcW w:w="1003"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Single arm, 16 months</w:t>
            </w:r>
          </w:p>
        </w:tc>
        <w:tc>
          <w:tcPr>
            <w:tcW w:w="615"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Foot and ankle post-operative</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SF-36</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lang w:val="en-US"/>
              </w:rPr>
            </w:pPr>
            <w:r w:rsidRPr="00E605B0">
              <w:rPr>
                <w:rFonts w:ascii="Arial Narrow" w:hAnsi="Arial Narrow"/>
                <w:sz w:val="18"/>
                <w:szCs w:val="18"/>
                <w:lang w:val="en-US"/>
              </w:rPr>
              <w:t>Jameson 2011</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88,241</w:t>
            </w:r>
          </w:p>
        </w:tc>
        <w:tc>
          <w:tcPr>
            <w:tcW w:w="1003"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Single arm, 90 days</w:t>
            </w:r>
          </w:p>
        </w:tc>
        <w:tc>
          <w:tcPr>
            <w:tcW w:w="615"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Post-operative</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VTE</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lang w:val="en-US"/>
              </w:rPr>
            </w:pPr>
            <w:r w:rsidRPr="00E605B0">
              <w:rPr>
                <w:rFonts w:ascii="Arial Narrow" w:hAnsi="Arial Narrow"/>
                <w:sz w:val="18"/>
                <w:szCs w:val="18"/>
                <w:lang w:val="en-US"/>
              </w:rPr>
              <w:t>Murray 2010</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40</w:t>
            </w:r>
          </w:p>
        </w:tc>
        <w:tc>
          <w:tcPr>
            <w:tcW w:w="1003"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Single arm, 3 months</w:t>
            </w:r>
          </w:p>
        </w:tc>
        <w:tc>
          <w:tcPr>
            <w:tcW w:w="615"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Bilateral foot surgery</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PAT SAT, AOFAS, Infections</w:t>
            </w:r>
          </w:p>
        </w:tc>
      </w:tr>
      <w:tr w:rsidR="00264381" w:rsidRPr="00E605B0" w:rsidTr="00264381">
        <w:tc>
          <w:tcPr>
            <w:tcW w:w="712" w:type="pct"/>
            <w:shd w:val="clear" w:color="auto" w:fill="auto"/>
            <w:vAlign w:val="center"/>
          </w:tcPr>
          <w:p w:rsidR="00264381" w:rsidRPr="00E605B0" w:rsidRDefault="00264381" w:rsidP="00264381">
            <w:pPr>
              <w:rPr>
                <w:rFonts w:ascii="Arial Narrow" w:hAnsi="Arial Narrow"/>
                <w:sz w:val="18"/>
                <w:szCs w:val="18"/>
                <w:lang w:val="en-US"/>
              </w:rPr>
            </w:pPr>
            <w:r w:rsidRPr="00E605B0">
              <w:rPr>
                <w:rFonts w:ascii="Arial Narrow" w:hAnsi="Arial Narrow"/>
                <w:sz w:val="18"/>
                <w:szCs w:val="18"/>
                <w:lang w:val="en-US"/>
              </w:rPr>
              <w:t>Saro 2007</w:t>
            </w:r>
          </w:p>
        </w:tc>
        <w:tc>
          <w:tcPr>
            <w:tcW w:w="372"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94</w:t>
            </w:r>
          </w:p>
        </w:tc>
        <w:tc>
          <w:tcPr>
            <w:tcW w:w="1003"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Single arm, 12 months</w:t>
            </w:r>
          </w:p>
        </w:tc>
        <w:tc>
          <w:tcPr>
            <w:tcW w:w="615" w:type="pct"/>
            <w:shd w:val="clear" w:color="auto" w:fill="auto"/>
          </w:tcPr>
          <w:p w:rsidR="00264381" w:rsidRPr="00E605B0" w:rsidRDefault="00264381" w:rsidP="00264381">
            <w:pPr>
              <w:jc w:val="center"/>
              <w:rPr>
                <w:sz w:val="18"/>
                <w:szCs w:val="18"/>
              </w:rPr>
            </w:pPr>
            <w:r w:rsidRPr="00E605B0">
              <w:rPr>
                <w:rFonts w:ascii="Arial Narrow" w:hAnsi="Arial Narrow"/>
                <w:sz w:val="18"/>
                <w:szCs w:val="18"/>
                <w:lang w:val="en-US"/>
              </w:rPr>
              <w:t>High</w:t>
            </w:r>
          </w:p>
        </w:tc>
        <w:tc>
          <w:tcPr>
            <w:tcW w:w="1167"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Foot surgery</w:t>
            </w:r>
          </w:p>
        </w:tc>
        <w:tc>
          <w:tcPr>
            <w:tcW w:w="1131" w:type="pct"/>
            <w:shd w:val="clear" w:color="auto" w:fill="auto"/>
            <w:vAlign w:val="center"/>
          </w:tcPr>
          <w:p w:rsidR="00264381" w:rsidRPr="00E605B0" w:rsidRDefault="00264381" w:rsidP="00264381">
            <w:pPr>
              <w:jc w:val="center"/>
              <w:rPr>
                <w:rFonts w:ascii="Arial Narrow" w:hAnsi="Arial Narrow"/>
                <w:sz w:val="18"/>
                <w:szCs w:val="18"/>
                <w:lang w:val="en-US"/>
              </w:rPr>
            </w:pPr>
            <w:r w:rsidRPr="00E605B0">
              <w:rPr>
                <w:rFonts w:ascii="Arial Narrow" w:hAnsi="Arial Narrow"/>
                <w:sz w:val="18"/>
                <w:szCs w:val="18"/>
                <w:lang w:val="en-US"/>
              </w:rPr>
              <w:t>AOFAS, SF-36</w:t>
            </w:r>
          </w:p>
        </w:tc>
      </w:tr>
    </w:tbl>
    <w:p w:rsidR="00264381" w:rsidRPr="00E605B0" w:rsidRDefault="00264381" w:rsidP="00264381">
      <w:pPr>
        <w:pStyle w:val="Tabletext"/>
      </w:pPr>
      <w:r w:rsidRPr="00E605B0">
        <w:t>Source: constructed during evaluation</w:t>
      </w:r>
    </w:p>
    <w:p w:rsidR="00264381" w:rsidRPr="00E605B0" w:rsidRDefault="00264381" w:rsidP="00264381">
      <w:pPr>
        <w:pStyle w:val="Tabletext"/>
        <w:jc w:val="both"/>
      </w:pPr>
      <w:r w:rsidRPr="00E605B0">
        <w:t xml:space="preserve">AOFAS = American Orthopaedic Foot and Ankle Society; FFI-R = revised foot function index; FHSQ = foot health and safety questionnaire; PAT SAT = patient satisfaction; SF-36 = Short form 36 health survey; VTE = venous </w:t>
      </w:r>
      <w:r w:rsidR="00DB37D7" w:rsidRPr="00E605B0">
        <w:t>thromboembolism</w:t>
      </w:r>
    </w:p>
    <w:p w:rsidR="006411A6" w:rsidRDefault="006411A6" w:rsidP="00264381"/>
    <w:p w:rsidR="00264381" w:rsidRPr="00E605B0" w:rsidRDefault="00264381" w:rsidP="00264381">
      <w:r w:rsidRPr="00E605B0">
        <w:t xml:space="preserve">The critique noted that no direct comparisons </w:t>
      </w:r>
      <w:r w:rsidR="00F10CD1" w:rsidRPr="00E605B0">
        <w:t>c</w:t>
      </w:r>
      <w:r w:rsidR="00F10CD1">
        <w:t>ould</w:t>
      </w:r>
      <w:r w:rsidR="00F10CD1" w:rsidRPr="00E605B0">
        <w:t xml:space="preserve"> </w:t>
      </w:r>
      <w:r w:rsidRPr="00E605B0">
        <w:t xml:space="preserve">be made across the studies because, with one exception (Armanasco 2012), no study included patients in the same setting treated by either podiatric or orthopaedic surgeons. </w:t>
      </w:r>
      <w:r w:rsidR="00621FCC">
        <w:t>Comparison</w:t>
      </w:r>
      <w:r w:rsidRPr="00E605B0">
        <w:t xml:space="preserve"> across </w:t>
      </w:r>
      <w:r w:rsidR="00621FCC">
        <w:t xml:space="preserve">single-arm </w:t>
      </w:r>
      <w:r w:rsidRPr="00E605B0">
        <w:t>studies w</w:t>
      </w:r>
      <w:r w:rsidR="00621FCC">
        <w:t>as</w:t>
      </w:r>
      <w:r w:rsidRPr="00E605B0">
        <w:t xml:space="preserve"> difficult because </w:t>
      </w:r>
      <w:r w:rsidR="00621FCC">
        <w:rPr>
          <w:szCs w:val="24"/>
        </w:rPr>
        <w:t>few outcomes were common across the studies</w:t>
      </w:r>
      <w:r w:rsidRPr="00E605B0">
        <w:t xml:space="preserve">. In the wider literature on ankle and foot clinical research, there </w:t>
      </w:r>
      <w:r w:rsidR="006411A6">
        <w:t>wa</w:t>
      </w:r>
      <w:r w:rsidRPr="00E605B0">
        <w:t xml:space="preserve">s also a lack of standardised outcomes and no single outcome measure </w:t>
      </w:r>
      <w:r w:rsidR="00F10CD1">
        <w:t>wa</w:t>
      </w:r>
      <w:r w:rsidR="00F10CD1" w:rsidRPr="00E605B0">
        <w:t xml:space="preserve">s </w:t>
      </w:r>
      <w:r w:rsidRPr="00E605B0">
        <w:t>preferred.</w:t>
      </w:r>
    </w:p>
    <w:p w:rsidR="00264381" w:rsidRPr="00E605B0" w:rsidRDefault="00264381" w:rsidP="00264381"/>
    <w:p w:rsidR="00264381" w:rsidRPr="00E605B0" w:rsidRDefault="00264381" w:rsidP="00264381">
      <w:r w:rsidRPr="00E605B0">
        <w:t xml:space="preserve">For comparative purposes, the results for health-related quality-of-life using the SF-36 and some safety outcomes </w:t>
      </w:r>
      <w:r w:rsidR="00F10CD1">
        <w:t>we</w:t>
      </w:r>
      <w:r w:rsidR="00F10CD1" w:rsidRPr="00E605B0">
        <w:t xml:space="preserve">re </w:t>
      </w:r>
      <w:r w:rsidRPr="00E605B0">
        <w:t xml:space="preserve">possible but limited (Table </w:t>
      </w:r>
      <w:r w:rsidR="00E605B0">
        <w:t>4</w:t>
      </w:r>
      <w:r w:rsidRPr="00E605B0">
        <w:t>). The SF-36 subscales were not combined into the Physical and Mental Component Scores in the studies, and assessing minimal important differences was not possible.</w:t>
      </w:r>
    </w:p>
    <w:p w:rsidR="00264381" w:rsidRPr="00E605B0" w:rsidRDefault="00264381" w:rsidP="00264381"/>
    <w:p w:rsidR="00516C50" w:rsidRDefault="00516C50">
      <w:pPr>
        <w:rPr>
          <w:rFonts w:ascii="Arial Narrow" w:hAnsi="Arial Narrow"/>
          <w:b/>
          <w:sz w:val="20"/>
          <w:szCs w:val="24"/>
          <w:lang w:eastAsia="en-US"/>
        </w:rPr>
      </w:pPr>
      <w:r>
        <w:rPr>
          <w:b/>
        </w:rPr>
        <w:br w:type="page"/>
      </w:r>
    </w:p>
    <w:p w:rsidR="00264381" w:rsidRPr="00E605B0" w:rsidRDefault="00264381" w:rsidP="004E71EF">
      <w:pPr>
        <w:pStyle w:val="Tabletext"/>
        <w:jc w:val="both"/>
        <w:rPr>
          <w:b/>
        </w:rPr>
      </w:pPr>
      <w:r w:rsidRPr="00E605B0">
        <w:rPr>
          <w:b/>
        </w:rPr>
        <w:lastRenderedPageBreak/>
        <w:t xml:space="preserve">Table </w:t>
      </w:r>
      <w:r w:rsidR="00E605B0">
        <w:rPr>
          <w:b/>
        </w:rPr>
        <w:t>4</w:t>
      </w:r>
      <w:r w:rsidRPr="00E605B0">
        <w:rPr>
          <w:b/>
        </w:rPr>
        <w:t>: Results of comparative analysis: SF-36 health survey scores</w:t>
      </w:r>
      <w:r w:rsidRPr="00E605B0">
        <w:rPr>
          <w:b/>
          <w:vertAlign w:val="superscript"/>
        </w:rPr>
        <w:t>1,2</w:t>
      </w:r>
    </w:p>
    <w:tbl>
      <w:tblPr>
        <w:tblStyle w:val="TableGrid"/>
        <w:tblW w:w="5000" w:type="pct"/>
        <w:tblLook w:val="04A0" w:firstRow="1" w:lastRow="0" w:firstColumn="1" w:lastColumn="0" w:noHBand="0" w:noVBand="1"/>
        <w:tblCaption w:val="ES.5: Results of comparative analysis: SF-36 health survey scores1,2 "/>
        <w:tblDescription w:val="Summary of incremental change in SF-36 scores of included trials"/>
      </w:tblPr>
      <w:tblGrid>
        <w:gridCol w:w="2887"/>
        <w:gridCol w:w="970"/>
        <w:gridCol w:w="967"/>
        <w:gridCol w:w="1174"/>
        <w:gridCol w:w="998"/>
        <w:gridCol w:w="1111"/>
        <w:gridCol w:w="1135"/>
      </w:tblGrid>
      <w:tr w:rsidR="00F958D3" w:rsidRPr="00E605B0" w:rsidTr="00F958D3">
        <w:trPr>
          <w:trHeight w:val="333"/>
          <w:tblHeader/>
        </w:trPr>
        <w:tc>
          <w:tcPr>
            <w:tcW w:w="1562" w:type="pct"/>
          </w:tcPr>
          <w:p w:rsidR="00F958D3" w:rsidRPr="00E605B0" w:rsidRDefault="00F958D3" w:rsidP="00264381">
            <w:pPr>
              <w:jc w:val="center"/>
              <w:rPr>
                <w:rFonts w:ascii="Arial Narrow" w:hAnsi="Arial Narrow"/>
                <w:b/>
                <w:sz w:val="20"/>
              </w:rPr>
            </w:pPr>
            <w:r w:rsidRPr="00E605B0">
              <w:rPr>
                <w:rFonts w:ascii="Arial Narrow" w:hAnsi="Arial Narrow"/>
                <w:b/>
                <w:sz w:val="20"/>
              </w:rPr>
              <w:t>Domains: Studies</w:t>
            </w:r>
          </w:p>
        </w:tc>
        <w:tc>
          <w:tcPr>
            <w:tcW w:w="1683" w:type="pct"/>
            <w:gridSpan w:val="3"/>
            <w:vAlign w:val="center"/>
          </w:tcPr>
          <w:p w:rsidR="00F958D3" w:rsidRPr="00E605B0" w:rsidRDefault="00F958D3" w:rsidP="00F958D3">
            <w:pPr>
              <w:jc w:val="center"/>
              <w:rPr>
                <w:rFonts w:ascii="Arial Narrow" w:hAnsi="Arial Narrow"/>
                <w:b/>
                <w:color w:val="FFFFFF" w:themeColor="background1"/>
                <w:sz w:val="20"/>
              </w:rPr>
            </w:pPr>
            <w:r w:rsidRPr="00E605B0">
              <w:rPr>
                <w:rFonts w:ascii="Arial Narrow" w:hAnsi="Arial Narrow"/>
                <w:b/>
                <w:sz w:val="20"/>
              </w:rPr>
              <w:t>Podiatric Surgeons</w:t>
            </w:r>
          </w:p>
        </w:tc>
        <w:tc>
          <w:tcPr>
            <w:tcW w:w="1755" w:type="pct"/>
            <w:gridSpan w:val="3"/>
            <w:vAlign w:val="center"/>
          </w:tcPr>
          <w:p w:rsidR="00F958D3" w:rsidRPr="00E605B0" w:rsidRDefault="00F958D3" w:rsidP="00035130">
            <w:pPr>
              <w:jc w:val="center"/>
              <w:rPr>
                <w:rFonts w:ascii="Arial Narrow" w:hAnsi="Arial Narrow"/>
                <w:b/>
                <w:sz w:val="20"/>
              </w:rPr>
            </w:pPr>
            <w:r w:rsidRPr="00E605B0">
              <w:rPr>
                <w:rFonts w:ascii="Arial Narrow" w:hAnsi="Arial Narrow"/>
                <w:b/>
                <w:sz w:val="20"/>
              </w:rPr>
              <w:t>Orthopaedic Surgeons</w:t>
            </w:r>
          </w:p>
        </w:tc>
      </w:tr>
      <w:tr w:rsidR="00264381" w:rsidRPr="00E605B0" w:rsidTr="006411A6">
        <w:trPr>
          <w:tblHeader/>
        </w:trPr>
        <w:tc>
          <w:tcPr>
            <w:tcW w:w="1562" w:type="pct"/>
          </w:tcPr>
          <w:p w:rsidR="00264381" w:rsidRPr="00E605B0" w:rsidRDefault="00264381" w:rsidP="00264381">
            <w:pPr>
              <w:rPr>
                <w:rFonts w:ascii="Arial Narrow" w:hAnsi="Arial Narrow"/>
                <w:b/>
                <w:sz w:val="20"/>
              </w:rPr>
            </w:pPr>
            <w:r w:rsidRPr="00E605B0">
              <w:rPr>
                <w:rFonts w:ascii="Arial Narrow" w:hAnsi="Arial Narrow"/>
                <w:b/>
                <w:sz w:val="20"/>
              </w:rPr>
              <w:t>-</w:t>
            </w:r>
          </w:p>
        </w:tc>
        <w:tc>
          <w:tcPr>
            <w:tcW w:w="525" w:type="pct"/>
            <w:vAlign w:val="center"/>
          </w:tcPr>
          <w:p w:rsidR="00264381" w:rsidRPr="00E605B0" w:rsidRDefault="00264381" w:rsidP="00264381">
            <w:pPr>
              <w:jc w:val="center"/>
              <w:rPr>
                <w:rFonts w:ascii="Arial Narrow" w:hAnsi="Arial Narrow"/>
                <w:b/>
                <w:sz w:val="20"/>
              </w:rPr>
            </w:pPr>
            <w:r w:rsidRPr="00E605B0">
              <w:rPr>
                <w:rFonts w:ascii="Arial Narrow" w:hAnsi="Arial Narrow"/>
                <w:b/>
                <w:sz w:val="20"/>
              </w:rPr>
              <w:t>Pre-op</w:t>
            </w:r>
          </w:p>
        </w:tc>
        <w:tc>
          <w:tcPr>
            <w:tcW w:w="523" w:type="pct"/>
            <w:vAlign w:val="center"/>
          </w:tcPr>
          <w:p w:rsidR="00264381" w:rsidRPr="00E605B0" w:rsidRDefault="00264381" w:rsidP="00264381">
            <w:pPr>
              <w:jc w:val="center"/>
              <w:rPr>
                <w:rFonts w:ascii="Arial Narrow" w:hAnsi="Arial Narrow"/>
                <w:b/>
                <w:sz w:val="20"/>
              </w:rPr>
            </w:pPr>
            <w:r w:rsidRPr="00E605B0">
              <w:rPr>
                <w:rFonts w:ascii="Arial Narrow" w:hAnsi="Arial Narrow"/>
                <w:b/>
                <w:sz w:val="20"/>
              </w:rPr>
              <w:t>Post-op</w:t>
            </w:r>
          </w:p>
        </w:tc>
        <w:tc>
          <w:tcPr>
            <w:tcW w:w="635" w:type="pct"/>
            <w:vAlign w:val="center"/>
          </w:tcPr>
          <w:p w:rsidR="00264381" w:rsidRPr="00E605B0" w:rsidRDefault="00264381" w:rsidP="00264381">
            <w:pPr>
              <w:jc w:val="center"/>
              <w:rPr>
                <w:rFonts w:ascii="Arial Narrow" w:hAnsi="Arial Narrow"/>
                <w:b/>
                <w:sz w:val="20"/>
              </w:rPr>
            </w:pPr>
            <w:r w:rsidRPr="00E605B0">
              <w:rPr>
                <w:rFonts w:ascii="Arial Narrow" w:hAnsi="Arial Narrow"/>
                <w:b/>
                <w:sz w:val="20"/>
              </w:rPr>
              <w:t>Mean change</w:t>
            </w:r>
          </w:p>
        </w:tc>
        <w:tc>
          <w:tcPr>
            <w:tcW w:w="540" w:type="pct"/>
            <w:vAlign w:val="center"/>
          </w:tcPr>
          <w:p w:rsidR="00264381" w:rsidRPr="00E605B0" w:rsidRDefault="00264381" w:rsidP="00264381">
            <w:pPr>
              <w:jc w:val="center"/>
              <w:rPr>
                <w:rFonts w:ascii="Arial Narrow" w:hAnsi="Arial Narrow"/>
                <w:b/>
                <w:sz w:val="20"/>
              </w:rPr>
            </w:pPr>
            <w:r w:rsidRPr="00E605B0">
              <w:rPr>
                <w:rFonts w:ascii="Arial Narrow" w:hAnsi="Arial Narrow"/>
                <w:b/>
                <w:sz w:val="20"/>
              </w:rPr>
              <w:t>Pre-op</w:t>
            </w:r>
          </w:p>
        </w:tc>
        <w:tc>
          <w:tcPr>
            <w:tcW w:w="601" w:type="pct"/>
            <w:vAlign w:val="center"/>
          </w:tcPr>
          <w:p w:rsidR="00264381" w:rsidRPr="00E605B0" w:rsidRDefault="00264381" w:rsidP="00264381">
            <w:pPr>
              <w:jc w:val="center"/>
              <w:rPr>
                <w:rFonts w:ascii="Arial Narrow" w:hAnsi="Arial Narrow"/>
                <w:b/>
                <w:sz w:val="20"/>
              </w:rPr>
            </w:pPr>
            <w:r w:rsidRPr="00E605B0">
              <w:rPr>
                <w:rFonts w:ascii="Arial Narrow" w:hAnsi="Arial Narrow"/>
                <w:b/>
                <w:sz w:val="20"/>
              </w:rPr>
              <w:t>Post-op</w:t>
            </w:r>
          </w:p>
        </w:tc>
        <w:tc>
          <w:tcPr>
            <w:tcW w:w="614" w:type="pct"/>
            <w:vAlign w:val="center"/>
          </w:tcPr>
          <w:p w:rsidR="00264381" w:rsidRPr="00E605B0" w:rsidRDefault="00264381" w:rsidP="00264381">
            <w:pPr>
              <w:jc w:val="center"/>
              <w:rPr>
                <w:rFonts w:ascii="Arial Narrow" w:hAnsi="Arial Narrow"/>
                <w:b/>
                <w:sz w:val="20"/>
              </w:rPr>
            </w:pPr>
            <w:r w:rsidRPr="00E605B0">
              <w:rPr>
                <w:rFonts w:ascii="Arial Narrow" w:hAnsi="Arial Narrow"/>
                <w:b/>
                <w:sz w:val="20"/>
              </w:rPr>
              <w:t>Mean change</w:t>
            </w:r>
          </w:p>
        </w:tc>
      </w:tr>
      <w:tr w:rsidR="00264381" w:rsidRPr="00E605B0" w:rsidTr="006411A6">
        <w:trPr>
          <w:tblHeader/>
        </w:trPr>
        <w:tc>
          <w:tcPr>
            <w:tcW w:w="1562" w:type="pct"/>
          </w:tcPr>
          <w:p w:rsidR="00264381" w:rsidRPr="00E605B0" w:rsidRDefault="00264381" w:rsidP="00264381">
            <w:pPr>
              <w:rPr>
                <w:rFonts w:ascii="Arial Narrow" w:hAnsi="Arial Narrow"/>
                <w:b/>
                <w:sz w:val="20"/>
              </w:rPr>
            </w:pPr>
            <w:r w:rsidRPr="00E605B0">
              <w:rPr>
                <w:rFonts w:ascii="Arial Narrow" w:hAnsi="Arial Narrow"/>
                <w:b/>
                <w:sz w:val="20"/>
              </w:rPr>
              <w:t>Vitality</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r>
      <w:tr w:rsidR="00264381" w:rsidRPr="00E605B0" w:rsidTr="006411A6">
        <w:trPr>
          <w:tblHeader/>
        </w:trPr>
        <w:tc>
          <w:tcPr>
            <w:tcW w:w="1562" w:type="pct"/>
          </w:tcPr>
          <w:p w:rsidR="00264381" w:rsidRPr="00E605B0" w:rsidRDefault="00264381" w:rsidP="00264381">
            <w:pPr>
              <w:rPr>
                <w:rFonts w:ascii="Arial Narrow" w:hAnsi="Arial Narrow"/>
                <w:sz w:val="20"/>
              </w:rPr>
            </w:pPr>
            <w:r w:rsidRPr="00E605B0">
              <w:rPr>
                <w:rFonts w:ascii="Arial Narrow" w:hAnsi="Arial Narrow"/>
                <w:sz w:val="20"/>
              </w:rPr>
              <w:t>Bennett 2001</w:t>
            </w:r>
            <w:r w:rsidRPr="00E605B0">
              <w:rPr>
                <w:rFonts w:ascii="Arial Narrow" w:hAnsi="Arial Narrow"/>
                <w:sz w:val="20"/>
                <w:vertAlign w:val="superscript"/>
              </w:rPr>
              <w:t>a</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70.0</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72.0</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2.0</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r>
      <w:tr w:rsidR="00264381" w:rsidRPr="00E605B0" w:rsidTr="006411A6">
        <w:trPr>
          <w:tblHeader/>
        </w:trPr>
        <w:tc>
          <w:tcPr>
            <w:tcW w:w="1562" w:type="pct"/>
          </w:tcPr>
          <w:p w:rsidR="00264381" w:rsidRPr="00E605B0" w:rsidRDefault="00264381" w:rsidP="00264381">
            <w:pPr>
              <w:rPr>
                <w:rFonts w:ascii="Arial Narrow" w:hAnsi="Arial Narrow"/>
                <w:sz w:val="20"/>
              </w:rPr>
            </w:pPr>
            <w:r w:rsidRPr="00E605B0">
              <w:rPr>
                <w:rFonts w:ascii="Arial Narrow" w:hAnsi="Arial Narrow"/>
                <w:sz w:val="20"/>
              </w:rPr>
              <w:t>Dawson 2012</w:t>
            </w:r>
          </w:p>
        </w:tc>
        <w:tc>
          <w:tcPr>
            <w:tcW w:w="525" w:type="pct"/>
            <w:vAlign w:val="center"/>
          </w:tcPr>
          <w:p w:rsidR="00264381" w:rsidRPr="00E605B0" w:rsidRDefault="00264381" w:rsidP="00264381">
            <w:pPr>
              <w:pStyle w:val="ListParagraph"/>
              <w:numPr>
                <w:ilvl w:val="0"/>
                <w:numId w:val="28"/>
              </w:numPr>
              <w:jc w:val="center"/>
              <w:rPr>
                <w:rFonts w:ascii="Arial Narrow" w:hAnsi="Arial Narrow"/>
                <w:sz w:val="20"/>
              </w:rPr>
            </w:pP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NR</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NR</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1.6</w:t>
            </w:r>
          </w:p>
        </w:tc>
      </w:tr>
      <w:tr w:rsidR="00264381" w:rsidRPr="00E605B0" w:rsidTr="006411A6">
        <w:trPr>
          <w:tblHeader/>
        </w:trPr>
        <w:tc>
          <w:tcPr>
            <w:tcW w:w="1562" w:type="pct"/>
          </w:tcPr>
          <w:p w:rsidR="00264381" w:rsidRPr="00E605B0" w:rsidRDefault="00264381" w:rsidP="00264381">
            <w:pPr>
              <w:rPr>
                <w:rFonts w:ascii="Arial Narrow" w:hAnsi="Arial Narrow"/>
                <w:sz w:val="20"/>
              </w:rPr>
            </w:pPr>
            <w:r w:rsidRPr="00E605B0">
              <w:rPr>
                <w:rFonts w:ascii="Arial Narrow" w:hAnsi="Arial Narrow"/>
                <w:sz w:val="20"/>
              </w:rPr>
              <w:t>Saro 2007</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62.0</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71.0</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9.0</w:t>
            </w:r>
          </w:p>
        </w:tc>
      </w:tr>
      <w:tr w:rsidR="00264381" w:rsidRPr="00E605B0" w:rsidTr="006411A6">
        <w:trPr>
          <w:tblHeader/>
        </w:trPr>
        <w:tc>
          <w:tcPr>
            <w:tcW w:w="1562" w:type="pct"/>
          </w:tcPr>
          <w:p w:rsidR="00264381" w:rsidRPr="00E605B0" w:rsidRDefault="00264381" w:rsidP="00264381">
            <w:pPr>
              <w:rPr>
                <w:rFonts w:ascii="Arial Narrow" w:hAnsi="Arial Narrow"/>
                <w:sz w:val="20"/>
              </w:rPr>
            </w:pPr>
            <w:r w:rsidRPr="00E605B0">
              <w:rPr>
                <w:rFonts w:ascii="Arial Narrow" w:hAnsi="Arial Narrow"/>
                <w:sz w:val="20"/>
              </w:rPr>
              <w:t>Canseco 2012</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67.8</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67.8</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0.0</w:t>
            </w:r>
          </w:p>
        </w:tc>
      </w:tr>
      <w:tr w:rsidR="00264381" w:rsidRPr="00E605B0" w:rsidTr="006411A6">
        <w:trPr>
          <w:tblHeader/>
        </w:trPr>
        <w:tc>
          <w:tcPr>
            <w:tcW w:w="1562" w:type="pct"/>
          </w:tcPr>
          <w:p w:rsidR="00264381" w:rsidRPr="00E605B0" w:rsidRDefault="00264381" w:rsidP="00264381">
            <w:pPr>
              <w:rPr>
                <w:rFonts w:ascii="Arial Narrow" w:hAnsi="Arial Narrow"/>
                <w:b/>
                <w:sz w:val="20"/>
              </w:rPr>
            </w:pPr>
            <w:r w:rsidRPr="00E605B0">
              <w:rPr>
                <w:rFonts w:ascii="Arial Narrow" w:hAnsi="Arial Narrow"/>
                <w:b/>
                <w:sz w:val="20"/>
              </w:rPr>
              <w:t>Physical functioning</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r>
      <w:tr w:rsidR="00264381" w:rsidRPr="00E605B0" w:rsidTr="006411A6">
        <w:trPr>
          <w:tblHeader/>
        </w:trPr>
        <w:tc>
          <w:tcPr>
            <w:tcW w:w="1562" w:type="pct"/>
          </w:tcPr>
          <w:p w:rsidR="00264381" w:rsidRPr="00E605B0" w:rsidRDefault="00264381" w:rsidP="00264381">
            <w:pPr>
              <w:rPr>
                <w:rFonts w:ascii="Arial Narrow" w:hAnsi="Arial Narrow"/>
                <w:sz w:val="20"/>
                <w:vertAlign w:val="superscript"/>
              </w:rPr>
            </w:pPr>
            <w:r w:rsidRPr="00E605B0">
              <w:rPr>
                <w:rFonts w:ascii="Arial Narrow" w:hAnsi="Arial Narrow"/>
                <w:sz w:val="20"/>
              </w:rPr>
              <w:t>Bennett 2001</w:t>
            </w:r>
            <w:r w:rsidRPr="00E605B0">
              <w:rPr>
                <w:rFonts w:ascii="Arial Narrow" w:hAnsi="Arial Narrow"/>
                <w:sz w:val="20"/>
                <w:vertAlign w:val="superscript"/>
              </w:rPr>
              <w:t>a</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80.0</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92.0</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12.0</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r>
      <w:tr w:rsidR="00264381" w:rsidRPr="00E605B0" w:rsidTr="006411A6">
        <w:trPr>
          <w:tblHeader/>
        </w:trPr>
        <w:tc>
          <w:tcPr>
            <w:tcW w:w="1562" w:type="pct"/>
          </w:tcPr>
          <w:p w:rsidR="00264381" w:rsidRPr="00E605B0" w:rsidRDefault="00264381" w:rsidP="00264381">
            <w:pPr>
              <w:rPr>
                <w:rFonts w:ascii="Arial Narrow" w:hAnsi="Arial Narrow"/>
                <w:sz w:val="20"/>
              </w:rPr>
            </w:pPr>
            <w:r w:rsidRPr="00E605B0">
              <w:rPr>
                <w:rFonts w:ascii="Arial Narrow" w:hAnsi="Arial Narrow"/>
                <w:sz w:val="20"/>
              </w:rPr>
              <w:t>Dawson 2012</w:t>
            </w:r>
          </w:p>
        </w:tc>
        <w:tc>
          <w:tcPr>
            <w:tcW w:w="525" w:type="pct"/>
            <w:vAlign w:val="center"/>
          </w:tcPr>
          <w:p w:rsidR="00264381" w:rsidRPr="00E605B0" w:rsidRDefault="00264381" w:rsidP="00264381">
            <w:pPr>
              <w:pStyle w:val="ListParagraph"/>
              <w:numPr>
                <w:ilvl w:val="0"/>
                <w:numId w:val="28"/>
              </w:numPr>
              <w:jc w:val="center"/>
              <w:rPr>
                <w:rFonts w:ascii="Arial Narrow" w:hAnsi="Arial Narrow"/>
                <w:sz w:val="20"/>
              </w:rPr>
            </w:pP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NR</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NR</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6.7</w:t>
            </w:r>
          </w:p>
        </w:tc>
      </w:tr>
      <w:tr w:rsidR="00264381" w:rsidRPr="00E605B0" w:rsidTr="006411A6">
        <w:trPr>
          <w:tblHeader/>
        </w:trPr>
        <w:tc>
          <w:tcPr>
            <w:tcW w:w="1562" w:type="pct"/>
          </w:tcPr>
          <w:p w:rsidR="00264381" w:rsidRPr="00E605B0" w:rsidRDefault="00264381" w:rsidP="00264381">
            <w:pPr>
              <w:rPr>
                <w:rFonts w:ascii="Arial Narrow" w:hAnsi="Arial Narrow"/>
                <w:sz w:val="20"/>
              </w:rPr>
            </w:pPr>
            <w:r w:rsidRPr="00E605B0">
              <w:rPr>
                <w:rFonts w:ascii="Arial Narrow" w:hAnsi="Arial Narrow"/>
                <w:sz w:val="20"/>
              </w:rPr>
              <w:t>Saro 2007</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82.8</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86.4</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3.6</w:t>
            </w:r>
          </w:p>
        </w:tc>
      </w:tr>
      <w:tr w:rsidR="00264381" w:rsidRPr="00E605B0" w:rsidTr="006411A6">
        <w:trPr>
          <w:tblHeader/>
        </w:trPr>
        <w:tc>
          <w:tcPr>
            <w:tcW w:w="1562" w:type="pct"/>
          </w:tcPr>
          <w:p w:rsidR="00264381" w:rsidRPr="00E605B0" w:rsidRDefault="00264381" w:rsidP="00264381">
            <w:pPr>
              <w:rPr>
                <w:rFonts w:ascii="Arial Narrow" w:hAnsi="Arial Narrow"/>
                <w:sz w:val="20"/>
              </w:rPr>
            </w:pPr>
            <w:r w:rsidRPr="00E605B0">
              <w:rPr>
                <w:rFonts w:ascii="Arial Narrow" w:hAnsi="Arial Narrow"/>
                <w:sz w:val="20"/>
              </w:rPr>
              <w:t>Canseco 2012</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77.8</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93.5</w:t>
            </w:r>
          </w:p>
        </w:tc>
        <w:tc>
          <w:tcPr>
            <w:tcW w:w="614" w:type="pct"/>
            <w:vAlign w:val="center"/>
          </w:tcPr>
          <w:p w:rsidR="00264381" w:rsidRPr="00E605B0" w:rsidRDefault="00264381" w:rsidP="00264381">
            <w:pPr>
              <w:jc w:val="center"/>
              <w:rPr>
                <w:rFonts w:ascii="Arial Narrow" w:hAnsi="Arial Narrow"/>
                <w:sz w:val="20"/>
                <w:vertAlign w:val="superscript"/>
              </w:rPr>
            </w:pPr>
            <w:r w:rsidRPr="00E605B0">
              <w:rPr>
                <w:rFonts w:ascii="Arial Narrow" w:hAnsi="Arial Narrow"/>
                <w:sz w:val="20"/>
              </w:rPr>
              <w:t>15.7</w:t>
            </w:r>
            <w:r w:rsidRPr="00E605B0">
              <w:rPr>
                <w:rFonts w:ascii="Arial Narrow" w:hAnsi="Arial Narrow"/>
                <w:sz w:val="20"/>
                <w:vertAlign w:val="superscript"/>
              </w:rPr>
              <w:t>*</w:t>
            </w:r>
          </w:p>
        </w:tc>
      </w:tr>
      <w:tr w:rsidR="00264381" w:rsidRPr="00E605B0" w:rsidTr="006411A6">
        <w:trPr>
          <w:tblHeader/>
        </w:trPr>
        <w:tc>
          <w:tcPr>
            <w:tcW w:w="1562" w:type="pct"/>
          </w:tcPr>
          <w:p w:rsidR="00264381" w:rsidRPr="00E605B0" w:rsidRDefault="00264381" w:rsidP="00264381">
            <w:pPr>
              <w:rPr>
                <w:rFonts w:ascii="Arial Narrow" w:hAnsi="Arial Narrow"/>
                <w:b/>
                <w:sz w:val="20"/>
              </w:rPr>
            </w:pPr>
            <w:r w:rsidRPr="00E605B0">
              <w:rPr>
                <w:rFonts w:ascii="Arial Narrow" w:hAnsi="Arial Narrow"/>
                <w:b/>
                <w:sz w:val="20"/>
              </w:rPr>
              <w:t>General health</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r>
      <w:tr w:rsidR="00264381" w:rsidRPr="00E605B0" w:rsidTr="006411A6">
        <w:trPr>
          <w:tblHeader/>
        </w:trPr>
        <w:tc>
          <w:tcPr>
            <w:tcW w:w="1562" w:type="pct"/>
          </w:tcPr>
          <w:p w:rsidR="00264381" w:rsidRPr="00E605B0" w:rsidRDefault="00264381" w:rsidP="00264381">
            <w:pPr>
              <w:rPr>
                <w:rFonts w:ascii="Arial Narrow" w:hAnsi="Arial Narrow"/>
                <w:sz w:val="20"/>
                <w:vertAlign w:val="superscript"/>
              </w:rPr>
            </w:pPr>
            <w:r w:rsidRPr="00E605B0">
              <w:rPr>
                <w:rFonts w:ascii="Arial Narrow" w:hAnsi="Arial Narrow"/>
                <w:sz w:val="20"/>
              </w:rPr>
              <w:t>Bennett 2001</w:t>
            </w:r>
            <w:r w:rsidRPr="00E605B0">
              <w:rPr>
                <w:rFonts w:ascii="Arial Narrow" w:hAnsi="Arial Narrow"/>
                <w:sz w:val="20"/>
                <w:vertAlign w:val="superscript"/>
              </w:rPr>
              <w:t>a</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74.0</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74.0</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0.0</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r>
      <w:tr w:rsidR="00264381" w:rsidRPr="00E605B0" w:rsidTr="006411A6">
        <w:trPr>
          <w:tblHeader/>
        </w:trPr>
        <w:tc>
          <w:tcPr>
            <w:tcW w:w="1562" w:type="pct"/>
          </w:tcPr>
          <w:p w:rsidR="00264381" w:rsidRPr="00E605B0" w:rsidRDefault="00264381" w:rsidP="00264381">
            <w:pPr>
              <w:rPr>
                <w:rFonts w:ascii="Arial Narrow" w:hAnsi="Arial Narrow"/>
                <w:sz w:val="20"/>
              </w:rPr>
            </w:pPr>
            <w:r w:rsidRPr="00E605B0">
              <w:rPr>
                <w:rFonts w:ascii="Arial Narrow" w:hAnsi="Arial Narrow"/>
                <w:sz w:val="20"/>
              </w:rPr>
              <w:t>Dawson 2012</w:t>
            </w:r>
          </w:p>
        </w:tc>
        <w:tc>
          <w:tcPr>
            <w:tcW w:w="525" w:type="pct"/>
            <w:vAlign w:val="center"/>
          </w:tcPr>
          <w:p w:rsidR="00264381" w:rsidRPr="00E605B0" w:rsidRDefault="00264381" w:rsidP="00264381">
            <w:pPr>
              <w:pStyle w:val="ListParagraph"/>
              <w:numPr>
                <w:ilvl w:val="0"/>
                <w:numId w:val="28"/>
              </w:numPr>
              <w:jc w:val="center"/>
              <w:rPr>
                <w:rFonts w:ascii="Arial Narrow" w:hAnsi="Arial Narrow"/>
                <w:sz w:val="20"/>
              </w:rPr>
            </w:pP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NR</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NR</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-1.6</w:t>
            </w:r>
          </w:p>
        </w:tc>
      </w:tr>
      <w:tr w:rsidR="00264381" w:rsidRPr="00E605B0" w:rsidTr="006411A6">
        <w:trPr>
          <w:tblHeader/>
        </w:trPr>
        <w:tc>
          <w:tcPr>
            <w:tcW w:w="1562" w:type="pct"/>
          </w:tcPr>
          <w:p w:rsidR="00264381" w:rsidRPr="00E605B0" w:rsidRDefault="00264381" w:rsidP="00264381">
            <w:pPr>
              <w:rPr>
                <w:rFonts w:ascii="Arial Narrow" w:hAnsi="Arial Narrow"/>
                <w:sz w:val="20"/>
              </w:rPr>
            </w:pPr>
            <w:r w:rsidRPr="00E605B0">
              <w:rPr>
                <w:rFonts w:ascii="Arial Narrow" w:hAnsi="Arial Narrow"/>
                <w:sz w:val="20"/>
              </w:rPr>
              <w:t>Saro 2007</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76.6</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78.8</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2.2</w:t>
            </w:r>
          </w:p>
        </w:tc>
      </w:tr>
      <w:tr w:rsidR="00264381" w:rsidRPr="00E605B0" w:rsidTr="006411A6">
        <w:trPr>
          <w:tblHeader/>
        </w:trPr>
        <w:tc>
          <w:tcPr>
            <w:tcW w:w="1562" w:type="pct"/>
          </w:tcPr>
          <w:p w:rsidR="00264381" w:rsidRPr="00E605B0" w:rsidRDefault="00264381" w:rsidP="00264381">
            <w:pPr>
              <w:rPr>
                <w:rFonts w:ascii="Arial Narrow" w:hAnsi="Arial Narrow"/>
                <w:sz w:val="20"/>
              </w:rPr>
            </w:pPr>
            <w:r w:rsidRPr="00E605B0">
              <w:rPr>
                <w:rFonts w:ascii="Arial Narrow" w:hAnsi="Arial Narrow"/>
                <w:sz w:val="20"/>
              </w:rPr>
              <w:t>Canseco 2012</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79.9</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83.3</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3.4</w:t>
            </w:r>
          </w:p>
        </w:tc>
      </w:tr>
      <w:tr w:rsidR="00264381" w:rsidRPr="00E605B0" w:rsidTr="006411A6">
        <w:trPr>
          <w:tblHeader/>
        </w:trPr>
        <w:tc>
          <w:tcPr>
            <w:tcW w:w="1562" w:type="pct"/>
          </w:tcPr>
          <w:p w:rsidR="00264381" w:rsidRPr="00E605B0" w:rsidRDefault="00264381" w:rsidP="00264381">
            <w:pPr>
              <w:rPr>
                <w:rFonts w:ascii="Arial Narrow" w:hAnsi="Arial Narrow"/>
                <w:b/>
                <w:sz w:val="20"/>
              </w:rPr>
            </w:pPr>
            <w:r w:rsidRPr="00E605B0">
              <w:rPr>
                <w:rFonts w:ascii="Arial Narrow" w:hAnsi="Arial Narrow"/>
                <w:b/>
                <w:sz w:val="20"/>
              </w:rPr>
              <w:t>Social role functioning</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r>
      <w:tr w:rsidR="00264381" w:rsidRPr="00E605B0" w:rsidTr="006411A6">
        <w:trPr>
          <w:tblHeader/>
        </w:trPr>
        <w:tc>
          <w:tcPr>
            <w:tcW w:w="1562" w:type="pct"/>
          </w:tcPr>
          <w:p w:rsidR="00264381" w:rsidRPr="00E605B0" w:rsidRDefault="00264381" w:rsidP="00264381">
            <w:pPr>
              <w:rPr>
                <w:rFonts w:ascii="Arial Narrow" w:hAnsi="Arial Narrow"/>
                <w:sz w:val="20"/>
                <w:vertAlign w:val="superscript"/>
              </w:rPr>
            </w:pPr>
            <w:r w:rsidRPr="00E605B0">
              <w:rPr>
                <w:rFonts w:ascii="Arial Narrow" w:hAnsi="Arial Narrow"/>
                <w:sz w:val="20"/>
              </w:rPr>
              <w:t>Bennett 2001</w:t>
            </w:r>
            <w:r w:rsidRPr="00E605B0">
              <w:rPr>
                <w:rFonts w:ascii="Arial Narrow" w:hAnsi="Arial Narrow"/>
                <w:sz w:val="20"/>
                <w:vertAlign w:val="superscript"/>
              </w:rPr>
              <w:t>a</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87.0</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88.0</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1.0</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r>
      <w:tr w:rsidR="00264381" w:rsidRPr="00E605B0" w:rsidTr="006411A6">
        <w:trPr>
          <w:tblHeader/>
        </w:trPr>
        <w:tc>
          <w:tcPr>
            <w:tcW w:w="1562" w:type="pct"/>
          </w:tcPr>
          <w:p w:rsidR="00264381" w:rsidRPr="00E605B0" w:rsidRDefault="00264381" w:rsidP="00264381">
            <w:pPr>
              <w:rPr>
                <w:rFonts w:ascii="Arial Narrow" w:hAnsi="Arial Narrow"/>
                <w:sz w:val="20"/>
              </w:rPr>
            </w:pPr>
            <w:r w:rsidRPr="00E605B0">
              <w:rPr>
                <w:rFonts w:ascii="Arial Narrow" w:hAnsi="Arial Narrow"/>
                <w:sz w:val="20"/>
              </w:rPr>
              <w:t>Dawson 2012</w:t>
            </w:r>
          </w:p>
        </w:tc>
        <w:tc>
          <w:tcPr>
            <w:tcW w:w="525" w:type="pct"/>
            <w:vAlign w:val="center"/>
          </w:tcPr>
          <w:p w:rsidR="00264381" w:rsidRPr="00E605B0" w:rsidRDefault="00264381" w:rsidP="00264381">
            <w:pPr>
              <w:pStyle w:val="ListParagraph"/>
              <w:numPr>
                <w:ilvl w:val="0"/>
                <w:numId w:val="28"/>
              </w:numPr>
              <w:jc w:val="both"/>
              <w:rPr>
                <w:rFonts w:ascii="Arial Narrow" w:hAnsi="Arial Narrow"/>
                <w:sz w:val="20"/>
              </w:rPr>
            </w:pP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NR</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NR</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5.8</w:t>
            </w:r>
          </w:p>
        </w:tc>
      </w:tr>
      <w:tr w:rsidR="00264381" w:rsidRPr="00E605B0" w:rsidTr="006411A6">
        <w:trPr>
          <w:tblHeader/>
        </w:trPr>
        <w:tc>
          <w:tcPr>
            <w:tcW w:w="1562" w:type="pct"/>
          </w:tcPr>
          <w:p w:rsidR="00264381" w:rsidRPr="00E605B0" w:rsidRDefault="00264381" w:rsidP="00264381">
            <w:pPr>
              <w:rPr>
                <w:rFonts w:ascii="Arial Narrow" w:hAnsi="Arial Narrow"/>
                <w:sz w:val="20"/>
              </w:rPr>
            </w:pPr>
            <w:r w:rsidRPr="00E605B0">
              <w:rPr>
                <w:rFonts w:ascii="Arial Narrow" w:hAnsi="Arial Narrow"/>
                <w:sz w:val="20"/>
              </w:rPr>
              <w:t>Saro 2007</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83.4</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89.1</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5.7</w:t>
            </w:r>
          </w:p>
        </w:tc>
      </w:tr>
      <w:tr w:rsidR="00264381" w:rsidRPr="00E605B0" w:rsidTr="006411A6">
        <w:trPr>
          <w:tblHeader/>
        </w:trPr>
        <w:tc>
          <w:tcPr>
            <w:tcW w:w="1562" w:type="pct"/>
          </w:tcPr>
          <w:p w:rsidR="00264381" w:rsidRPr="00E605B0" w:rsidRDefault="00264381" w:rsidP="00264381">
            <w:pPr>
              <w:rPr>
                <w:rFonts w:ascii="Arial Narrow" w:hAnsi="Arial Narrow"/>
                <w:sz w:val="20"/>
              </w:rPr>
            </w:pPr>
            <w:r w:rsidRPr="00E605B0">
              <w:rPr>
                <w:rFonts w:ascii="Arial Narrow" w:hAnsi="Arial Narrow"/>
                <w:sz w:val="20"/>
              </w:rPr>
              <w:t>Canseco 2012</w:t>
            </w:r>
          </w:p>
        </w:tc>
        <w:tc>
          <w:tcPr>
            <w:tcW w:w="52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23"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635"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w:t>
            </w:r>
          </w:p>
        </w:tc>
        <w:tc>
          <w:tcPr>
            <w:tcW w:w="540"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88.3</w:t>
            </w:r>
          </w:p>
        </w:tc>
        <w:tc>
          <w:tcPr>
            <w:tcW w:w="601"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90.2</w:t>
            </w:r>
          </w:p>
        </w:tc>
        <w:tc>
          <w:tcPr>
            <w:tcW w:w="614" w:type="pct"/>
            <w:vAlign w:val="center"/>
          </w:tcPr>
          <w:p w:rsidR="00264381" w:rsidRPr="00E605B0" w:rsidRDefault="00264381" w:rsidP="00264381">
            <w:pPr>
              <w:jc w:val="center"/>
              <w:rPr>
                <w:rFonts w:ascii="Arial Narrow" w:hAnsi="Arial Narrow"/>
                <w:sz w:val="20"/>
              </w:rPr>
            </w:pPr>
            <w:r w:rsidRPr="00E605B0">
              <w:rPr>
                <w:rFonts w:ascii="Arial Narrow" w:hAnsi="Arial Narrow"/>
                <w:sz w:val="20"/>
              </w:rPr>
              <w:t>1.9</w:t>
            </w:r>
          </w:p>
        </w:tc>
      </w:tr>
    </w:tbl>
    <w:p w:rsidR="00264381" w:rsidRDefault="00264381" w:rsidP="00264381">
      <w:pPr>
        <w:pStyle w:val="Tabletextbold"/>
        <w:jc w:val="left"/>
        <w:rPr>
          <w:rFonts w:cs="Times New Roman"/>
          <w:b w:val="0"/>
          <w:sz w:val="18"/>
          <w:szCs w:val="18"/>
        </w:rPr>
      </w:pPr>
      <w:r>
        <w:rPr>
          <w:rFonts w:cs="Times New Roman"/>
          <w:b w:val="0"/>
          <w:sz w:val="18"/>
          <w:szCs w:val="18"/>
        </w:rPr>
        <w:t xml:space="preserve">Sources: Constructed during evaluation from Bennett </w:t>
      </w:r>
      <w:r w:rsidRPr="00CE113B">
        <w:rPr>
          <w:rFonts w:cs="Times New Roman"/>
          <w:b w:val="0"/>
          <w:i/>
          <w:sz w:val="18"/>
          <w:szCs w:val="18"/>
        </w:rPr>
        <w:t>et al.</w:t>
      </w:r>
      <w:r>
        <w:rPr>
          <w:rFonts w:cs="Times New Roman"/>
          <w:b w:val="0"/>
          <w:sz w:val="18"/>
          <w:szCs w:val="18"/>
        </w:rPr>
        <w:t xml:space="preserve"> 2001, Dawson </w:t>
      </w:r>
      <w:r w:rsidRPr="00CE113B">
        <w:rPr>
          <w:rFonts w:cs="Times New Roman"/>
          <w:b w:val="0"/>
          <w:i/>
          <w:sz w:val="18"/>
          <w:szCs w:val="18"/>
        </w:rPr>
        <w:t>et al.</w:t>
      </w:r>
      <w:r>
        <w:rPr>
          <w:rFonts w:cs="Times New Roman"/>
          <w:b w:val="0"/>
          <w:sz w:val="18"/>
          <w:szCs w:val="18"/>
        </w:rPr>
        <w:t xml:space="preserve"> 2012, Saro </w:t>
      </w:r>
      <w:r w:rsidRPr="00CE113B">
        <w:rPr>
          <w:rFonts w:cs="Times New Roman"/>
          <w:b w:val="0"/>
          <w:i/>
          <w:sz w:val="18"/>
          <w:szCs w:val="18"/>
        </w:rPr>
        <w:t>et al</w:t>
      </w:r>
      <w:r>
        <w:rPr>
          <w:rFonts w:cs="Times New Roman"/>
          <w:b w:val="0"/>
          <w:sz w:val="18"/>
          <w:szCs w:val="18"/>
        </w:rPr>
        <w:t xml:space="preserve">. 2007, Canseco </w:t>
      </w:r>
      <w:r w:rsidRPr="00CE113B">
        <w:rPr>
          <w:rFonts w:cs="Times New Roman"/>
          <w:b w:val="0"/>
          <w:i/>
          <w:sz w:val="18"/>
          <w:szCs w:val="18"/>
        </w:rPr>
        <w:t>et al.</w:t>
      </w:r>
      <w:r>
        <w:rPr>
          <w:rFonts w:cs="Times New Roman"/>
          <w:b w:val="0"/>
          <w:sz w:val="18"/>
          <w:szCs w:val="18"/>
        </w:rPr>
        <w:t xml:space="preserve"> 2013.</w:t>
      </w:r>
    </w:p>
    <w:p w:rsidR="00264381" w:rsidRPr="00CE113B" w:rsidRDefault="00264381" w:rsidP="00264381">
      <w:pPr>
        <w:pStyle w:val="Tabletextbold"/>
        <w:jc w:val="left"/>
        <w:rPr>
          <w:rFonts w:cs="Times New Roman"/>
          <w:b w:val="0"/>
          <w:sz w:val="18"/>
          <w:szCs w:val="18"/>
        </w:rPr>
      </w:pPr>
      <w:r>
        <w:rPr>
          <w:rFonts w:cs="Times New Roman"/>
          <w:b w:val="0"/>
          <w:sz w:val="18"/>
          <w:szCs w:val="18"/>
        </w:rPr>
        <w:t>NR = not reported, op = operative</w:t>
      </w:r>
    </w:p>
    <w:p w:rsidR="00264381" w:rsidRDefault="00264381" w:rsidP="00264381">
      <w:pPr>
        <w:pStyle w:val="Tabletextbold"/>
        <w:numPr>
          <w:ilvl w:val="0"/>
          <w:numId w:val="29"/>
        </w:numPr>
        <w:jc w:val="left"/>
        <w:rPr>
          <w:rFonts w:cs="Times New Roman"/>
          <w:b w:val="0"/>
          <w:sz w:val="18"/>
          <w:szCs w:val="18"/>
        </w:rPr>
      </w:pPr>
      <w:r>
        <w:rPr>
          <w:b w:val="0"/>
          <w:sz w:val="18"/>
          <w:szCs w:val="18"/>
        </w:rPr>
        <w:t>Score r</w:t>
      </w:r>
      <w:r w:rsidRPr="00F00C82">
        <w:rPr>
          <w:b w:val="0"/>
          <w:sz w:val="18"/>
          <w:szCs w:val="18"/>
        </w:rPr>
        <w:t>ange 0-100</w:t>
      </w:r>
      <w:r>
        <w:rPr>
          <w:b w:val="0"/>
          <w:sz w:val="18"/>
          <w:szCs w:val="18"/>
        </w:rPr>
        <w:t xml:space="preserve"> -</w:t>
      </w:r>
      <w:r w:rsidRPr="00F00C82">
        <w:rPr>
          <w:b w:val="0"/>
          <w:sz w:val="18"/>
          <w:szCs w:val="18"/>
        </w:rPr>
        <w:t xml:space="preserve"> </w:t>
      </w:r>
      <w:r>
        <w:rPr>
          <w:rFonts w:cs="Times New Roman"/>
          <w:b w:val="0"/>
          <w:sz w:val="18"/>
          <w:szCs w:val="18"/>
        </w:rPr>
        <w:t>h</w:t>
      </w:r>
      <w:r w:rsidRPr="00F00C82">
        <w:rPr>
          <w:rFonts w:cs="Times New Roman"/>
          <w:b w:val="0"/>
          <w:sz w:val="18"/>
          <w:szCs w:val="18"/>
        </w:rPr>
        <w:t>igher scores indicate higher quality of life.</w:t>
      </w:r>
    </w:p>
    <w:p w:rsidR="00264381" w:rsidRPr="00E605B0" w:rsidRDefault="00264381" w:rsidP="00264381">
      <w:pPr>
        <w:pStyle w:val="Tabletextbold"/>
        <w:numPr>
          <w:ilvl w:val="0"/>
          <w:numId w:val="29"/>
        </w:numPr>
        <w:jc w:val="left"/>
        <w:rPr>
          <w:rFonts w:cs="Times New Roman"/>
          <w:b w:val="0"/>
          <w:sz w:val="18"/>
          <w:szCs w:val="18"/>
        </w:rPr>
      </w:pPr>
      <w:r>
        <w:rPr>
          <w:b w:val="0"/>
          <w:sz w:val="18"/>
          <w:szCs w:val="18"/>
        </w:rPr>
        <w:t xml:space="preserve">Bennet </w:t>
      </w:r>
      <w:r w:rsidRPr="00CE113B">
        <w:rPr>
          <w:b w:val="0"/>
          <w:i/>
          <w:sz w:val="18"/>
          <w:szCs w:val="18"/>
        </w:rPr>
        <w:t>et al.</w:t>
      </w:r>
      <w:r>
        <w:rPr>
          <w:b w:val="0"/>
          <w:sz w:val="18"/>
          <w:szCs w:val="18"/>
        </w:rPr>
        <w:t xml:space="preserve"> 2001 did not present all SF-36 domain scores.</w:t>
      </w:r>
    </w:p>
    <w:p w:rsidR="00E605B0" w:rsidRDefault="00E605B0" w:rsidP="00264381"/>
    <w:p w:rsidR="00264381" w:rsidRDefault="00264381" w:rsidP="00264381">
      <w:pPr>
        <w:rPr>
          <w:i/>
        </w:rPr>
      </w:pPr>
      <w:r>
        <w:t xml:space="preserve">The </w:t>
      </w:r>
      <w:r w:rsidR="0046515C">
        <w:t xml:space="preserve">application </w:t>
      </w:r>
      <w:r>
        <w:t xml:space="preserve">concluded the efficacy of procedures performed by podiatric surgeons to be at least </w:t>
      </w:r>
      <w:r w:rsidR="001B0AC2">
        <w:t xml:space="preserve">non-inferior </w:t>
      </w:r>
      <w:r>
        <w:t xml:space="preserve">to </w:t>
      </w:r>
      <w:r w:rsidR="001B0AC2">
        <w:t>that</w:t>
      </w:r>
      <w:r>
        <w:t xml:space="preserve"> of procedures performed by orthopaedic surgeons. The </w:t>
      </w:r>
      <w:r w:rsidR="0046515C">
        <w:t xml:space="preserve">application </w:t>
      </w:r>
      <w:r>
        <w:t xml:space="preserve">also concluded </w:t>
      </w:r>
      <w:r w:rsidR="001B0AC2">
        <w:t xml:space="preserve">that podiatric surgeons delivered </w:t>
      </w:r>
      <w:r>
        <w:t>superior patient relevant outcomes, such as patient</w:t>
      </w:r>
      <w:r w:rsidR="00E605B0">
        <w:t xml:space="preserve"> satisfaction (Armanasco 2012)</w:t>
      </w:r>
      <w:r w:rsidR="001B0AC2">
        <w:t>, compared to orthopaedic surgeons</w:t>
      </w:r>
      <w:r w:rsidR="00E605B0">
        <w:t>.</w:t>
      </w:r>
    </w:p>
    <w:p w:rsidR="00264381" w:rsidRDefault="00264381" w:rsidP="00264381"/>
    <w:p w:rsidR="0046515C" w:rsidRDefault="00264381" w:rsidP="0046515C">
      <w:r w:rsidRPr="00E924FD">
        <w:t>The critique noted</w:t>
      </w:r>
      <w:r w:rsidR="001B0AC2">
        <w:t xml:space="preserve">, however, </w:t>
      </w:r>
      <w:r w:rsidRPr="00E924FD">
        <w:t xml:space="preserve">that these claims </w:t>
      </w:r>
      <w:r w:rsidR="006411A6">
        <w:t>we</w:t>
      </w:r>
      <w:r w:rsidRPr="00E924FD">
        <w:t>re not supported by the clinical evidence</w:t>
      </w:r>
      <w:r w:rsidR="0046515C">
        <w:t xml:space="preserve"> presented</w:t>
      </w:r>
      <w:r w:rsidR="00AA0FBC">
        <w:t>.</w:t>
      </w:r>
      <w:r w:rsidR="006C612A">
        <w:t xml:space="preserve"> </w:t>
      </w:r>
      <w:r w:rsidR="0046515C">
        <w:t>The applicant disagrees with this assessment.</w:t>
      </w:r>
    </w:p>
    <w:p w:rsidR="0046515C" w:rsidRDefault="0046515C" w:rsidP="00264381"/>
    <w:p w:rsidR="00264381" w:rsidRDefault="00912349" w:rsidP="00264381">
      <w:r>
        <w:t>Table 5</w:t>
      </w:r>
      <w:r w:rsidR="00264381">
        <w:t xml:space="preserve"> summarises the outcomes for infection, complication and venous thromboembolism rates.</w:t>
      </w:r>
    </w:p>
    <w:p w:rsidR="00264381" w:rsidRPr="000F3E71" w:rsidRDefault="00264381" w:rsidP="00264381">
      <w:pPr>
        <w:keepNext/>
        <w:rPr>
          <w:rFonts w:ascii="Arial Narrow" w:hAnsi="Arial Narrow"/>
          <w:b/>
          <w:sz w:val="20"/>
        </w:rPr>
      </w:pPr>
      <w:bookmarkStart w:id="2" w:name="_Toc315099766"/>
      <w:r w:rsidRPr="000F3E71">
        <w:rPr>
          <w:rFonts w:ascii="Arial Narrow" w:hAnsi="Arial Narrow"/>
          <w:b/>
          <w:sz w:val="20"/>
        </w:rPr>
        <w:t xml:space="preserve">Table </w:t>
      </w:r>
      <w:r w:rsidR="00912349">
        <w:rPr>
          <w:rFonts w:ascii="Arial Narrow" w:hAnsi="Arial Narrow"/>
          <w:b/>
          <w:sz w:val="20"/>
        </w:rPr>
        <w:t>5</w:t>
      </w:r>
      <w:r w:rsidRPr="000F3E71">
        <w:rPr>
          <w:rFonts w:ascii="Arial Narrow" w:hAnsi="Arial Narrow"/>
          <w:b/>
          <w:sz w:val="20"/>
        </w:rPr>
        <w:t>: Summary of infection, complication and venous thromboembolism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iii)6.4 Summary of infections, complications and VTE rates"/>
        <w:tblDescription w:val="Summary of infections, complications and VTE rates"/>
      </w:tblPr>
      <w:tblGrid>
        <w:gridCol w:w="2136"/>
        <w:gridCol w:w="1747"/>
        <w:gridCol w:w="1055"/>
        <w:gridCol w:w="654"/>
        <w:gridCol w:w="1390"/>
        <w:gridCol w:w="654"/>
        <w:gridCol w:w="1057"/>
        <w:gridCol w:w="549"/>
      </w:tblGrid>
      <w:tr w:rsidR="00264381" w:rsidRPr="000D72C7" w:rsidTr="00264381">
        <w:trPr>
          <w:tblHead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
              <w:keepNext/>
              <w:spacing w:line="276" w:lineRule="auto"/>
              <w:rPr>
                <w:rFonts w:ascii="Arial Narrow" w:hAnsi="Arial Narrow"/>
                <w:b/>
                <w:lang w:val="en-US"/>
              </w:rPr>
            </w:pPr>
            <w:r>
              <w:rPr>
                <w:rFonts w:ascii="Arial Narrow" w:hAnsi="Arial Narrow"/>
                <w:b/>
                <w:lang w:val="en-US"/>
              </w:rPr>
              <w:t>-</w:t>
            </w:r>
          </w:p>
        </w:tc>
        <w:tc>
          <w:tcPr>
            <w:tcW w:w="945"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keepNext/>
              <w:spacing w:line="276" w:lineRule="auto"/>
              <w:rPr>
                <w:rFonts w:ascii="Arial Narrow" w:hAnsi="Arial Narrow"/>
                <w:b/>
                <w:lang w:val="en-US"/>
              </w:rPr>
            </w:pPr>
            <w:r>
              <w:rPr>
                <w:rFonts w:ascii="Arial Narrow" w:hAnsi="Arial Narrow"/>
                <w:b/>
                <w:lang w:val="en-US"/>
              </w:rPr>
              <w:t>-</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keepNext/>
              <w:spacing w:line="276" w:lineRule="auto"/>
              <w:rPr>
                <w:rFonts w:ascii="Arial Narrow" w:hAnsi="Arial Narrow"/>
                <w:b/>
                <w:lang w:val="en-US"/>
              </w:rPr>
            </w:pPr>
            <w:r w:rsidRPr="000D72C7">
              <w:rPr>
                <w:rFonts w:ascii="Arial Narrow" w:hAnsi="Arial Narrow"/>
                <w:b/>
                <w:lang w:val="en-US"/>
              </w:rPr>
              <w:t>Infection rate</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keepNext/>
              <w:spacing w:line="276" w:lineRule="auto"/>
              <w:rPr>
                <w:rFonts w:ascii="Arial Narrow" w:hAnsi="Arial Narrow"/>
                <w:b/>
                <w:lang w:val="en-US"/>
              </w:rPr>
            </w:pPr>
            <w:r>
              <w:rPr>
                <w:rFonts w:ascii="Arial Narrow" w:hAnsi="Arial Narrow"/>
                <w:b/>
                <w:lang w:val="en-US"/>
              </w:rPr>
              <w:t>-</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keepNext/>
              <w:spacing w:line="276" w:lineRule="auto"/>
              <w:rPr>
                <w:rFonts w:ascii="Arial Narrow" w:hAnsi="Arial Narrow"/>
                <w:b/>
                <w:lang w:val="en-US"/>
              </w:rPr>
            </w:pPr>
            <w:r>
              <w:rPr>
                <w:rFonts w:ascii="Arial Narrow" w:hAnsi="Arial Narrow"/>
                <w:b/>
                <w:lang w:val="en-US"/>
              </w:rPr>
              <w:t>Complication</w:t>
            </w:r>
            <w:r w:rsidRPr="000D72C7">
              <w:rPr>
                <w:rFonts w:ascii="Arial Narrow" w:hAnsi="Arial Narrow"/>
                <w:b/>
                <w:lang w:val="en-US"/>
              </w:rPr>
              <w:t xml:space="preserve"> rate</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keepNext/>
              <w:spacing w:line="276" w:lineRule="auto"/>
              <w:rPr>
                <w:rFonts w:ascii="Arial Narrow" w:hAnsi="Arial Narrow"/>
                <w:b/>
                <w:lang w:val="en-US"/>
              </w:rPr>
            </w:pPr>
            <w:r>
              <w:rPr>
                <w:rFonts w:ascii="Arial Narrow" w:hAnsi="Arial Narrow"/>
                <w:b/>
                <w:lang w:val="en-US"/>
              </w:rPr>
              <w:t>-</w:t>
            </w: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keepNext/>
              <w:spacing w:line="276" w:lineRule="auto"/>
              <w:rPr>
                <w:rFonts w:ascii="Arial Narrow" w:hAnsi="Arial Narrow"/>
                <w:b/>
                <w:lang w:val="en-US"/>
              </w:rPr>
            </w:pPr>
            <w:r w:rsidRPr="000D72C7">
              <w:rPr>
                <w:rFonts w:ascii="Arial Narrow" w:hAnsi="Arial Narrow"/>
                <w:b/>
                <w:lang w:val="en-US"/>
              </w:rPr>
              <w:t>VTE rate</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keepNext/>
              <w:spacing w:line="276" w:lineRule="auto"/>
              <w:rPr>
                <w:rFonts w:ascii="Arial Narrow" w:hAnsi="Arial Narrow"/>
                <w:b/>
                <w:lang w:val="en-US"/>
              </w:rPr>
            </w:pPr>
            <w:r>
              <w:rPr>
                <w:rFonts w:ascii="Arial Narrow" w:hAnsi="Arial Narrow"/>
                <w:b/>
                <w:lang w:val="en-US"/>
              </w:rPr>
              <w:t>-</w:t>
            </w:r>
          </w:p>
        </w:tc>
      </w:tr>
      <w:tr w:rsidR="00264381" w:rsidRPr="000F3E71" w:rsidTr="00264381">
        <w:trPr>
          <w:tblHead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64381" w:rsidRPr="000F3E71" w:rsidRDefault="00264381" w:rsidP="00264381">
            <w:pPr>
              <w:pStyle w:val="Table"/>
              <w:keepNext/>
              <w:spacing w:line="276" w:lineRule="auto"/>
              <w:rPr>
                <w:rFonts w:ascii="Arial Narrow" w:hAnsi="Arial Narrow"/>
                <w:b/>
                <w:lang w:val="en-US"/>
              </w:rPr>
            </w:pPr>
            <w:r>
              <w:rPr>
                <w:rFonts w:ascii="Arial Narrow" w:hAnsi="Arial Narrow"/>
                <w:b/>
                <w:lang w:val="en-US"/>
              </w:rPr>
              <w:t>-</w:t>
            </w:r>
          </w:p>
        </w:tc>
        <w:tc>
          <w:tcPr>
            <w:tcW w:w="945" w:type="pct"/>
            <w:tcBorders>
              <w:top w:val="single" w:sz="4" w:space="0" w:color="auto"/>
              <w:left w:val="single" w:sz="4" w:space="0" w:color="auto"/>
              <w:bottom w:val="single" w:sz="4" w:space="0" w:color="auto"/>
              <w:right w:val="single" w:sz="4" w:space="0" w:color="auto"/>
            </w:tcBorders>
            <w:shd w:val="clear" w:color="auto" w:fill="auto"/>
          </w:tcPr>
          <w:p w:rsidR="00264381" w:rsidRPr="000F3E71" w:rsidRDefault="00264381" w:rsidP="00264381">
            <w:pPr>
              <w:pStyle w:val="TableCentre"/>
              <w:keepNext/>
              <w:spacing w:line="276" w:lineRule="auto"/>
              <w:rPr>
                <w:rFonts w:ascii="Arial Narrow" w:hAnsi="Arial Narrow"/>
                <w:b/>
                <w:lang w:val="en-US"/>
              </w:rPr>
            </w:pPr>
            <w:r w:rsidRPr="000F3E71">
              <w:rPr>
                <w:rFonts w:ascii="Arial Narrow" w:hAnsi="Arial Narrow"/>
                <w:b/>
                <w:lang w:val="en-US"/>
              </w:rPr>
              <w:t>No. procedures</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64381" w:rsidRPr="000F3E71" w:rsidRDefault="00264381" w:rsidP="00264381">
            <w:pPr>
              <w:pStyle w:val="TableCentre"/>
              <w:keepNext/>
              <w:spacing w:line="276" w:lineRule="auto"/>
              <w:rPr>
                <w:rFonts w:ascii="Arial Narrow" w:hAnsi="Arial Narrow"/>
                <w:b/>
                <w:lang w:val="en-US"/>
              </w:rPr>
            </w:pPr>
            <w:r w:rsidRPr="000F3E71">
              <w:rPr>
                <w:rFonts w:ascii="Arial Narrow" w:hAnsi="Arial Narrow"/>
                <w:b/>
                <w:lang w:val="en-US"/>
              </w:rPr>
              <w:t>n</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264381" w:rsidRPr="000F3E71" w:rsidRDefault="00264381" w:rsidP="00264381">
            <w:pPr>
              <w:pStyle w:val="TableCentre"/>
              <w:keepNext/>
              <w:spacing w:line="276" w:lineRule="auto"/>
              <w:rPr>
                <w:rFonts w:ascii="Arial Narrow" w:hAnsi="Arial Narrow"/>
                <w:b/>
                <w:lang w:val="en-US"/>
              </w:rPr>
            </w:pPr>
            <w:r w:rsidRPr="000F3E71">
              <w:rPr>
                <w:rFonts w:ascii="Arial Narrow" w:hAnsi="Arial Narrow"/>
                <w:b/>
                <w:lang w:val="en-US"/>
              </w:rPr>
              <w:t>%</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264381" w:rsidRPr="000F3E71" w:rsidRDefault="00264381" w:rsidP="00264381">
            <w:pPr>
              <w:pStyle w:val="TableCentre"/>
              <w:keepNext/>
              <w:spacing w:line="276" w:lineRule="auto"/>
              <w:rPr>
                <w:rFonts w:ascii="Arial Narrow" w:hAnsi="Arial Narrow"/>
                <w:b/>
                <w:lang w:val="en-US"/>
              </w:rPr>
            </w:pPr>
            <w:r w:rsidRPr="000F3E71">
              <w:rPr>
                <w:rFonts w:ascii="Arial Narrow" w:hAnsi="Arial Narrow"/>
                <w:b/>
                <w:lang w:val="en-US"/>
              </w:rPr>
              <w:t>n</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264381" w:rsidRPr="000F3E71" w:rsidRDefault="00264381" w:rsidP="00264381">
            <w:pPr>
              <w:pStyle w:val="TableCentre"/>
              <w:keepNext/>
              <w:spacing w:line="276" w:lineRule="auto"/>
              <w:rPr>
                <w:rFonts w:ascii="Arial Narrow" w:hAnsi="Arial Narrow"/>
                <w:b/>
                <w:lang w:val="en-US"/>
              </w:rPr>
            </w:pPr>
            <w:r w:rsidRPr="000F3E71">
              <w:rPr>
                <w:rFonts w:ascii="Arial Narrow" w:hAnsi="Arial Narrow"/>
                <w:b/>
                <w:lang w:val="en-US"/>
              </w:rPr>
              <w:t>%</w:t>
            </w: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264381" w:rsidRPr="000F3E71" w:rsidRDefault="00264381" w:rsidP="00264381">
            <w:pPr>
              <w:pStyle w:val="TableCentre"/>
              <w:keepNext/>
              <w:spacing w:line="276" w:lineRule="auto"/>
              <w:rPr>
                <w:rFonts w:ascii="Arial Narrow" w:hAnsi="Arial Narrow"/>
                <w:b/>
                <w:lang w:val="en-US"/>
              </w:rPr>
            </w:pPr>
            <w:r w:rsidRPr="000F3E71">
              <w:rPr>
                <w:rFonts w:ascii="Arial Narrow" w:hAnsi="Arial Narrow"/>
                <w:b/>
                <w:lang w:val="en-US"/>
              </w:rPr>
              <w:t>n</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64381" w:rsidRPr="000F3E71" w:rsidRDefault="00264381" w:rsidP="00264381">
            <w:pPr>
              <w:pStyle w:val="TableCentre"/>
              <w:keepNext/>
              <w:spacing w:line="276" w:lineRule="auto"/>
              <w:rPr>
                <w:rFonts w:ascii="Arial Narrow" w:hAnsi="Arial Narrow"/>
                <w:b/>
                <w:lang w:val="en-US"/>
              </w:rPr>
            </w:pPr>
            <w:r w:rsidRPr="000F3E71">
              <w:rPr>
                <w:rFonts w:ascii="Arial Narrow" w:hAnsi="Arial Narrow"/>
                <w:b/>
                <w:lang w:val="en-US"/>
              </w:rPr>
              <w:t>%</w:t>
            </w:r>
          </w:p>
        </w:tc>
      </w:tr>
      <w:tr w:rsidR="00264381" w:rsidRPr="000D72C7" w:rsidTr="00264381">
        <w:tc>
          <w:tcPr>
            <w:tcW w:w="1155"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
              <w:keepNext/>
              <w:spacing w:line="276" w:lineRule="auto"/>
              <w:rPr>
                <w:rFonts w:ascii="Arial Narrow" w:hAnsi="Arial Narrow"/>
                <w:b/>
                <w:lang w:val="en-US"/>
              </w:rPr>
            </w:pPr>
            <w:r w:rsidRPr="000D72C7">
              <w:rPr>
                <w:rFonts w:ascii="Arial Narrow" w:hAnsi="Arial Narrow"/>
                <w:b/>
                <w:lang w:val="en-US"/>
              </w:rPr>
              <w:t>Podiatric surgeon</w:t>
            </w:r>
          </w:p>
        </w:tc>
        <w:tc>
          <w:tcPr>
            <w:tcW w:w="945"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keepNext/>
              <w:spacing w:line="276" w:lineRule="auto"/>
              <w:rPr>
                <w:rFonts w:ascii="Arial Narrow" w:hAnsi="Arial Narrow"/>
                <w:lang w:val="en-US"/>
              </w:rPr>
            </w:pPr>
            <w:r>
              <w:rPr>
                <w:rFonts w:ascii="Arial Narrow" w:hAnsi="Arial Narrow"/>
                <w:lang w:val="en-US"/>
              </w:rPr>
              <w:t>-</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keepNext/>
              <w:spacing w:line="276" w:lineRule="auto"/>
              <w:rPr>
                <w:rFonts w:ascii="Arial Narrow" w:hAnsi="Arial Narrow"/>
                <w:lang w:val="en-US"/>
              </w:rPr>
            </w:pPr>
            <w:r>
              <w:rPr>
                <w:rFonts w:ascii="Arial Narrow" w:hAnsi="Arial Narrow"/>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keepNext/>
              <w:spacing w:line="276" w:lineRule="auto"/>
              <w:rPr>
                <w:rFonts w:ascii="Arial Narrow" w:hAnsi="Arial Narrow"/>
                <w:lang w:val="en-US"/>
              </w:rPr>
            </w:pPr>
            <w:r>
              <w:rPr>
                <w:rFonts w:ascii="Arial Narrow" w:hAnsi="Arial Narrow"/>
                <w:lang w:val="en-US"/>
              </w:rPr>
              <w:t>-</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keepNext/>
              <w:spacing w:line="276" w:lineRule="auto"/>
              <w:rPr>
                <w:rFonts w:ascii="Arial Narrow" w:hAnsi="Arial Narrow"/>
                <w:lang w:val="en-US"/>
              </w:rPr>
            </w:pPr>
            <w:r>
              <w:rPr>
                <w:rFonts w:ascii="Arial Narrow" w:hAnsi="Arial Narrow"/>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keepNext/>
              <w:spacing w:line="276" w:lineRule="auto"/>
              <w:rPr>
                <w:rFonts w:ascii="Arial Narrow" w:hAnsi="Arial Narrow"/>
                <w:lang w:val="en-US"/>
              </w:rPr>
            </w:pPr>
            <w:r>
              <w:rPr>
                <w:rFonts w:ascii="Arial Narrow" w:hAnsi="Arial Narrow"/>
                <w:lang w:val="en-US"/>
              </w:rPr>
              <w:t>-</w:t>
            </w: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keepNext/>
              <w:spacing w:line="276" w:lineRule="auto"/>
              <w:rPr>
                <w:rFonts w:ascii="Arial Narrow" w:hAnsi="Arial Narrow"/>
                <w:lang w:val="en-US"/>
              </w:rPr>
            </w:pPr>
            <w:r>
              <w:rPr>
                <w:rFonts w:ascii="Arial Narrow" w:hAnsi="Arial Narrow"/>
                <w:lang w:val="en-US"/>
              </w:rPr>
              <w:t>-</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keepNext/>
              <w:spacing w:line="276" w:lineRule="auto"/>
              <w:rPr>
                <w:rFonts w:ascii="Arial Narrow" w:hAnsi="Arial Narrow"/>
                <w:lang w:val="en-US"/>
              </w:rPr>
            </w:pPr>
            <w:r>
              <w:rPr>
                <w:rFonts w:ascii="Arial Narrow" w:hAnsi="Arial Narrow"/>
                <w:lang w:val="en-US"/>
              </w:rPr>
              <w:t>-</w:t>
            </w:r>
          </w:p>
        </w:tc>
      </w:tr>
      <w:tr w:rsidR="00264381" w:rsidRPr="000D72C7" w:rsidTr="00264381">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
              <w:spacing w:line="276" w:lineRule="auto"/>
              <w:rPr>
                <w:rFonts w:ascii="Arial Narrow" w:hAnsi="Arial Narrow"/>
                <w:lang w:val="en-US"/>
              </w:rPr>
            </w:pPr>
            <w:r w:rsidRPr="000D72C7">
              <w:rPr>
                <w:rFonts w:ascii="Arial Narrow" w:hAnsi="Arial Narrow"/>
                <w:lang w:val="en-US"/>
              </w:rPr>
              <w:t>Maher 2009</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2772</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18</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1.96</w:t>
            </w:r>
          </w:p>
        </w:tc>
        <w:tc>
          <w:tcPr>
            <w:tcW w:w="75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184</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4.8</w:t>
            </w:r>
            <w:r w:rsidRPr="000D72C7">
              <w:rPr>
                <w:rFonts w:ascii="Arial Narrow" w:hAnsi="Arial Narrow"/>
                <w:vertAlign w:val="superscript"/>
                <w:lang w:val="en-US"/>
              </w:rPr>
              <w:t>a</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0</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0</w:t>
            </w:r>
          </w:p>
        </w:tc>
      </w:tr>
      <w:tr w:rsidR="00264381" w:rsidRPr="000D72C7" w:rsidTr="00264381">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
              <w:spacing w:line="276" w:lineRule="auto"/>
              <w:rPr>
                <w:rFonts w:ascii="Arial Narrow" w:hAnsi="Arial Narrow"/>
                <w:lang w:val="en-US"/>
              </w:rPr>
            </w:pPr>
            <w:r w:rsidRPr="000D72C7">
              <w:rPr>
                <w:rFonts w:ascii="Arial Narrow" w:hAnsi="Arial Narrow"/>
                <w:lang w:val="en-US"/>
              </w:rPr>
              <w:t>Kilmartin 2002a</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2335</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32</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1.3</w:t>
            </w:r>
          </w:p>
        </w:tc>
        <w:tc>
          <w:tcPr>
            <w:tcW w:w="75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247</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10.5</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9</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0.3</w:t>
            </w:r>
          </w:p>
        </w:tc>
      </w:tr>
      <w:tr w:rsidR="00264381" w:rsidRPr="000D72C7" w:rsidTr="00264381">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
              <w:spacing w:line="276" w:lineRule="auto"/>
              <w:rPr>
                <w:rFonts w:ascii="Arial Narrow" w:hAnsi="Arial Narrow"/>
                <w:lang w:val="en-US"/>
              </w:rPr>
            </w:pPr>
            <w:r w:rsidRPr="000D72C7">
              <w:rPr>
                <w:rFonts w:ascii="Arial Narrow" w:hAnsi="Arial Narrow"/>
                <w:lang w:val="en-US"/>
              </w:rPr>
              <w:t>Butterworth 2010</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2387</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74</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3.1</w:t>
            </w:r>
          </w:p>
        </w:tc>
        <w:tc>
          <w:tcPr>
            <w:tcW w:w="75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r>
      <w:tr w:rsidR="00264381" w:rsidRPr="000D72C7" w:rsidTr="00264381">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
              <w:spacing w:line="276" w:lineRule="auto"/>
              <w:rPr>
                <w:rFonts w:ascii="Arial Narrow" w:hAnsi="Arial Narrow"/>
                <w:lang w:val="en-US"/>
              </w:rPr>
            </w:pPr>
            <w:r w:rsidRPr="000D72C7">
              <w:rPr>
                <w:rFonts w:ascii="Arial Narrow" w:hAnsi="Arial Narrow"/>
                <w:lang w:val="en-US"/>
              </w:rPr>
              <w:t>Rusmir 2011</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111</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21</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18.9</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r>
      <w:tr w:rsidR="00264381" w:rsidRPr="000D72C7" w:rsidTr="00264381">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
              <w:spacing w:line="276" w:lineRule="auto"/>
              <w:rPr>
                <w:rFonts w:ascii="Arial Narrow" w:hAnsi="Arial Narrow"/>
                <w:lang w:val="en-US"/>
              </w:rPr>
            </w:pPr>
            <w:r w:rsidRPr="000D72C7">
              <w:rPr>
                <w:rFonts w:ascii="Arial Narrow" w:hAnsi="Arial Narrow"/>
                <w:lang w:val="en-US"/>
              </w:rPr>
              <w:t>Kilmartin 2002b</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197</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9</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5</w:t>
            </w:r>
          </w:p>
        </w:tc>
        <w:tc>
          <w:tcPr>
            <w:tcW w:w="75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23</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13</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r>
      <w:tr w:rsidR="00264381" w:rsidRPr="000D72C7" w:rsidTr="00264381">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
              <w:spacing w:line="276" w:lineRule="auto"/>
              <w:rPr>
                <w:rFonts w:ascii="Arial Narrow" w:hAnsi="Arial Narrow"/>
                <w:lang w:val="en-US"/>
              </w:rPr>
            </w:pPr>
            <w:r w:rsidRPr="000D72C7">
              <w:rPr>
                <w:rFonts w:ascii="Arial Narrow" w:hAnsi="Arial Narrow"/>
                <w:lang w:val="en-US"/>
              </w:rPr>
              <w:t>Sticha 1998</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100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w:t>
            </w:r>
          </w:p>
        </w:tc>
        <w:tc>
          <w:tcPr>
            <w:tcW w:w="75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r>
      <w:tr w:rsidR="00264381" w:rsidRPr="000D72C7" w:rsidTr="00264381">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
              <w:spacing w:line="276" w:lineRule="auto"/>
              <w:rPr>
                <w:rFonts w:ascii="Arial Narrow" w:hAnsi="Arial Narrow"/>
                <w:lang w:val="en-US"/>
              </w:rPr>
            </w:pPr>
            <w:r w:rsidRPr="000D72C7">
              <w:rPr>
                <w:rFonts w:ascii="Arial Narrow" w:hAnsi="Arial Narrow"/>
                <w:lang w:val="en-US"/>
              </w:rPr>
              <w:t>Hugar 1990*</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148</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2</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1.35</w:t>
            </w:r>
          </w:p>
        </w:tc>
        <w:tc>
          <w:tcPr>
            <w:tcW w:w="75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r>
      <w:tr w:rsidR="00264381" w:rsidRPr="000D72C7" w:rsidTr="00264381">
        <w:tc>
          <w:tcPr>
            <w:tcW w:w="5000" w:type="pct"/>
            <w:gridSpan w:val="8"/>
            <w:tcBorders>
              <w:top w:val="single" w:sz="4" w:space="0" w:color="auto"/>
              <w:left w:val="single" w:sz="4" w:space="0" w:color="auto"/>
              <w:bottom w:val="nil"/>
              <w:right w:val="single" w:sz="4" w:space="0" w:color="auto"/>
            </w:tcBorders>
            <w:shd w:val="clear" w:color="auto" w:fill="auto"/>
            <w:hideMark/>
          </w:tcPr>
          <w:p w:rsidR="00264381" w:rsidRPr="000D72C7" w:rsidRDefault="00264381" w:rsidP="00264381">
            <w:pPr>
              <w:pStyle w:val="TableCentre"/>
              <w:spacing w:line="276" w:lineRule="auto"/>
              <w:jc w:val="left"/>
              <w:rPr>
                <w:rFonts w:ascii="Arial Narrow" w:hAnsi="Arial Narrow"/>
                <w:lang w:val="en-US"/>
              </w:rPr>
            </w:pPr>
          </w:p>
        </w:tc>
      </w:tr>
      <w:tr w:rsidR="00264381" w:rsidRPr="000D72C7" w:rsidTr="00264381">
        <w:tc>
          <w:tcPr>
            <w:tcW w:w="1155" w:type="pct"/>
            <w:tcBorders>
              <w:top w:val="nil"/>
              <w:left w:val="single" w:sz="4" w:space="0" w:color="auto"/>
              <w:bottom w:val="single" w:sz="4" w:space="0" w:color="auto"/>
              <w:right w:val="single" w:sz="4" w:space="0" w:color="auto"/>
            </w:tcBorders>
            <w:shd w:val="clear" w:color="auto" w:fill="auto"/>
          </w:tcPr>
          <w:p w:rsidR="00264381" w:rsidRPr="000D72C7" w:rsidRDefault="00264381" w:rsidP="00264381">
            <w:pPr>
              <w:pStyle w:val="Table"/>
              <w:spacing w:line="276" w:lineRule="auto"/>
              <w:rPr>
                <w:rFonts w:ascii="Arial Narrow" w:hAnsi="Arial Narrow"/>
                <w:b/>
                <w:lang w:val="en-US"/>
              </w:rPr>
            </w:pPr>
            <w:r w:rsidRPr="000D72C7">
              <w:rPr>
                <w:rFonts w:ascii="Arial Narrow" w:hAnsi="Arial Narrow"/>
                <w:b/>
                <w:lang w:val="en-US"/>
              </w:rPr>
              <w:t>Orthopaedic surgeon</w:t>
            </w:r>
          </w:p>
        </w:tc>
        <w:tc>
          <w:tcPr>
            <w:tcW w:w="945" w:type="pct"/>
            <w:tcBorders>
              <w:top w:val="nil"/>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p>
        </w:tc>
        <w:tc>
          <w:tcPr>
            <w:tcW w:w="571" w:type="pct"/>
            <w:tcBorders>
              <w:top w:val="nil"/>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p>
        </w:tc>
        <w:tc>
          <w:tcPr>
            <w:tcW w:w="354" w:type="pct"/>
            <w:tcBorders>
              <w:top w:val="nil"/>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p>
        </w:tc>
        <w:tc>
          <w:tcPr>
            <w:tcW w:w="752" w:type="pct"/>
            <w:tcBorders>
              <w:top w:val="nil"/>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p>
        </w:tc>
        <w:tc>
          <w:tcPr>
            <w:tcW w:w="354" w:type="pct"/>
            <w:tcBorders>
              <w:top w:val="nil"/>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p>
        </w:tc>
        <w:tc>
          <w:tcPr>
            <w:tcW w:w="572" w:type="pct"/>
            <w:tcBorders>
              <w:top w:val="nil"/>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p>
        </w:tc>
        <w:tc>
          <w:tcPr>
            <w:tcW w:w="298" w:type="pct"/>
            <w:tcBorders>
              <w:top w:val="nil"/>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p>
        </w:tc>
      </w:tr>
      <w:tr w:rsidR="00264381" w:rsidRPr="000D72C7" w:rsidTr="00264381">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
              <w:spacing w:line="276" w:lineRule="auto"/>
              <w:rPr>
                <w:rFonts w:ascii="Arial Narrow" w:hAnsi="Arial Narrow"/>
                <w:lang w:val="en-US"/>
              </w:rPr>
            </w:pPr>
            <w:r w:rsidRPr="000D72C7">
              <w:rPr>
                <w:rFonts w:ascii="Arial Narrow" w:hAnsi="Arial Narrow"/>
                <w:lang w:val="en-US"/>
              </w:rPr>
              <w:t>Murray 2010</w:t>
            </w:r>
          </w:p>
        </w:tc>
        <w:tc>
          <w:tcPr>
            <w:tcW w:w="945"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80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1.25</w:t>
            </w:r>
          </w:p>
        </w:tc>
        <w:tc>
          <w:tcPr>
            <w:tcW w:w="75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5</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6.25</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r>
      <w:tr w:rsidR="00264381" w:rsidRPr="000D72C7" w:rsidTr="00264381">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
              <w:spacing w:line="276" w:lineRule="auto"/>
              <w:rPr>
                <w:rFonts w:ascii="Arial Narrow" w:hAnsi="Arial Narrow"/>
                <w:lang w:val="en-US"/>
              </w:rPr>
            </w:pPr>
            <w:r w:rsidRPr="000D72C7">
              <w:rPr>
                <w:rFonts w:ascii="Arial Narrow" w:hAnsi="Arial Narrow"/>
                <w:lang w:val="en-US"/>
              </w:rPr>
              <w:t>Jameson 2011</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88241</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75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58</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264381" w:rsidRPr="000D72C7" w:rsidRDefault="00264381" w:rsidP="00264381">
            <w:pPr>
              <w:pStyle w:val="TableCentre"/>
              <w:spacing w:line="276" w:lineRule="auto"/>
              <w:rPr>
                <w:rFonts w:ascii="Arial Narrow" w:hAnsi="Arial Narrow"/>
                <w:lang w:val="en-US"/>
              </w:rPr>
            </w:pPr>
            <w:r w:rsidRPr="000D72C7">
              <w:rPr>
                <w:rFonts w:ascii="Arial Narrow" w:hAnsi="Arial Narrow"/>
                <w:lang w:val="en-US"/>
              </w:rPr>
              <w:t>0.1</w:t>
            </w:r>
          </w:p>
        </w:tc>
      </w:tr>
    </w:tbl>
    <w:p w:rsidR="00264381" w:rsidRPr="002617F0" w:rsidRDefault="00264381" w:rsidP="00264381">
      <w:pPr>
        <w:rPr>
          <w:rFonts w:ascii="Arial Narrow" w:hAnsi="Arial Narrow"/>
          <w:sz w:val="20"/>
        </w:rPr>
      </w:pPr>
      <w:r w:rsidRPr="002617F0">
        <w:rPr>
          <w:rFonts w:ascii="Arial Narrow" w:hAnsi="Arial Narrow"/>
          <w:sz w:val="20"/>
        </w:rPr>
        <w:t>VTE = venous thromboembolism</w:t>
      </w:r>
    </w:p>
    <w:p w:rsidR="00264381" w:rsidRPr="00FA36DD" w:rsidRDefault="00264381" w:rsidP="00264381">
      <w:r>
        <w:lastRenderedPageBreak/>
        <w:t>The studies</w:t>
      </w:r>
      <w:r w:rsidRPr="00214F9E">
        <w:t xml:space="preserve"> </w:t>
      </w:r>
      <w:r>
        <w:t>found</w:t>
      </w:r>
      <w:r w:rsidRPr="00214F9E">
        <w:t xml:space="preserve"> low rates of infection</w:t>
      </w:r>
      <w:r>
        <w:t>s</w:t>
      </w:r>
      <w:r w:rsidRPr="00214F9E">
        <w:t xml:space="preserve">, general complications and venous thromboembolism for both podiatric </w:t>
      </w:r>
      <w:r w:rsidR="001B0AC2">
        <w:t xml:space="preserve">surgeons </w:t>
      </w:r>
      <w:r w:rsidRPr="00214F9E">
        <w:t>and orthopaedic surgeons. The application concluded that podiatric surgery</w:t>
      </w:r>
      <w:r>
        <w:t xml:space="preserve"> </w:t>
      </w:r>
      <w:r w:rsidR="001B0AC2">
        <w:t>had</w:t>
      </w:r>
      <w:r w:rsidR="001B0AC2" w:rsidRPr="00214F9E">
        <w:t xml:space="preserve"> </w:t>
      </w:r>
      <w:r w:rsidR="001B0AC2">
        <w:t xml:space="preserve">a </w:t>
      </w:r>
      <w:r w:rsidRPr="00214F9E">
        <w:t xml:space="preserve">safety profile comparable to </w:t>
      </w:r>
      <w:r>
        <w:t xml:space="preserve">that for </w:t>
      </w:r>
      <w:r w:rsidRPr="00214F9E">
        <w:t>orthopaedic surgeon</w:t>
      </w:r>
      <w:r>
        <w:t>s</w:t>
      </w:r>
      <w:r w:rsidR="00912349">
        <w:t>.</w:t>
      </w:r>
    </w:p>
    <w:p w:rsidR="00264381" w:rsidRDefault="00264381" w:rsidP="00264381"/>
    <w:p w:rsidR="00264381" w:rsidRPr="005E3645" w:rsidRDefault="00264381" w:rsidP="00264381">
      <w:pPr>
        <w:pStyle w:val="ESHeading2"/>
        <w:ind w:left="0" w:firstLine="0"/>
        <w:rPr>
          <w:rFonts w:ascii="Times New Roman" w:hAnsi="Times New Roman"/>
          <w:color w:val="auto"/>
          <w:sz w:val="24"/>
          <w:szCs w:val="24"/>
        </w:rPr>
      </w:pPr>
      <w:bookmarkStart w:id="3" w:name="_Toc403630512"/>
      <w:r w:rsidRPr="005E3645">
        <w:rPr>
          <w:rFonts w:ascii="Times New Roman" w:hAnsi="Times New Roman"/>
          <w:color w:val="auto"/>
          <w:sz w:val="24"/>
          <w:szCs w:val="24"/>
        </w:rPr>
        <w:t>Premodelling studies:</w:t>
      </w:r>
      <w:bookmarkEnd w:id="2"/>
      <w:bookmarkEnd w:id="3"/>
    </w:p>
    <w:p w:rsidR="00264381" w:rsidRDefault="0046515C" w:rsidP="00264381">
      <w:r>
        <w:t>To</w:t>
      </w:r>
      <w:r w:rsidR="00264381">
        <w:t xml:space="preserve"> </w:t>
      </w:r>
      <w:r w:rsidR="001B0AC2">
        <w:t>address</w:t>
      </w:r>
      <w:r w:rsidR="00232F90">
        <w:t xml:space="preserve"> applicability</w:t>
      </w:r>
      <w:r w:rsidR="001B0AC2">
        <w:t xml:space="preserve"> </w:t>
      </w:r>
      <w:r w:rsidR="00264381">
        <w:t>issues</w:t>
      </w:r>
      <w:r>
        <w:t>, the application provided</w:t>
      </w:r>
      <w:r w:rsidR="00264381">
        <w:t>:</w:t>
      </w:r>
    </w:p>
    <w:p w:rsidR="00264381" w:rsidRPr="00B67A65" w:rsidRDefault="006411A6" w:rsidP="00264381">
      <w:pPr>
        <w:pStyle w:val="ListParagraph"/>
        <w:numPr>
          <w:ilvl w:val="0"/>
          <w:numId w:val="30"/>
        </w:numPr>
        <w:jc w:val="both"/>
        <w:rPr>
          <w:snapToGrid w:val="0"/>
        </w:rPr>
      </w:pPr>
      <w:r>
        <w:rPr>
          <w:snapToGrid w:val="0"/>
        </w:rPr>
        <w:t>c</w:t>
      </w:r>
      <w:r w:rsidR="00264381" w:rsidRPr="009F17FF">
        <w:rPr>
          <w:snapToGrid w:val="0"/>
        </w:rPr>
        <w:t>omparability of surgical techniques performed by each discipline with consideration to complexity of case and disease severity (</w:t>
      </w:r>
      <w:r w:rsidR="00264381" w:rsidRPr="00B67A65">
        <w:rPr>
          <w:snapToGrid w:val="0"/>
        </w:rPr>
        <w:t>casemix)</w:t>
      </w:r>
      <w:r>
        <w:rPr>
          <w:snapToGrid w:val="0"/>
        </w:rPr>
        <w:t>;</w:t>
      </w:r>
    </w:p>
    <w:p w:rsidR="00264381" w:rsidRPr="009F17FF" w:rsidRDefault="006411A6" w:rsidP="00264381">
      <w:pPr>
        <w:pStyle w:val="ListParagraph"/>
        <w:numPr>
          <w:ilvl w:val="0"/>
          <w:numId w:val="30"/>
        </w:numPr>
        <w:jc w:val="both"/>
        <w:rPr>
          <w:snapToGrid w:val="0"/>
        </w:rPr>
      </w:pPr>
      <w:r>
        <w:rPr>
          <w:snapToGrid w:val="0"/>
        </w:rPr>
        <w:t>c</w:t>
      </w:r>
      <w:r w:rsidR="00264381" w:rsidRPr="002617F0">
        <w:rPr>
          <w:snapToGrid w:val="0"/>
        </w:rPr>
        <w:t>omparability of orthopaedic versus podiatric surgeon surgical procedure setting</w:t>
      </w:r>
      <w:r w:rsidR="00264381">
        <w:rPr>
          <w:snapToGrid w:val="0"/>
        </w:rPr>
        <w:t>, and</w:t>
      </w:r>
    </w:p>
    <w:p w:rsidR="00264381" w:rsidRPr="00AA0FBC" w:rsidRDefault="006411A6" w:rsidP="00C70F6B">
      <w:pPr>
        <w:pStyle w:val="ListParagraph"/>
        <w:numPr>
          <w:ilvl w:val="0"/>
          <w:numId w:val="30"/>
        </w:numPr>
        <w:jc w:val="both"/>
        <w:rPr>
          <w:snapToGrid w:val="0"/>
        </w:rPr>
      </w:pPr>
      <w:r>
        <w:rPr>
          <w:snapToGrid w:val="0"/>
        </w:rPr>
        <w:t>t</w:t>
      </w:r>
      <w:r w:rsidR="00264381" w:rsidRPr="009F17FF">
        <w:rPr>
          <w:snapToGrid w:val="0"/>
        </w:rPr>
        <w:t>he applicability of international training in Australia</w:t>
      </w:r>
      <w:r w:rsidR="00264381">
        <w:rPr>
          <w:snapToGrid w:val="0"/>
        </w:rPr>
        <w:t>.</w:t>
      </w:r>
    </w:p>
    <w:p w:rsidR="00CA669F" w:rsidRPr="006411A6" w:rsidRDefault="00CA669F" w:rsidP="00C70F6B"/>
    <w:p w:rsidR="00BC1364" w:rsidRDefault="00BC1364" w:rsidP="007B32D1">
      <w:pPr>
        <w:pStyle w:val="Heading1"/>
        <w:numPr>
          <w:ilvl w:val="0"/>
          <w:numId w:val="23"/>
        </w:numPr>
        <w:ind w:hanging="720"/>
      </w:pPr>
      <w:r w:rsidRPr="008D5885">
        <w:t>Economic evaluation</w:t>
      </w:r>
    </w:p>
    <w:p w:rsidR="00BC1364" w:rsidRPr="000D4338" w:rsidRDefault="001B0AC2" w:rsidP="000D4338">
      <w:pPr>
        <w:tabs>
          <w:tab w:val="left" w:pos="720"/>
          <w:tab w:val="left" w:pos="1140"/>
        </w:tabs>
        <w:spacing w:before="240"/>
      </w:pPr>
      <w:r>
        <w:t>In place of an</w:t>
      </w:r>
      <w:r w:rsidRPr="00DE56F9">
        <w:t xml:space="preserve"> economi</w:t>
      </w:r>
      <w:r>
        <w:t>c evaluation, t</w:t>
      </w:r>
      <w:r w:rsidR="00264381">
        <w:t xml:space="preserve">he submission </w:t>
      </w:r>
      <w:r w:rsidR="006411A6">
        <w:t>provided</w:t>
      </w:r>
      <w:r w:rsidR="00264381">
        <w:t xml:space="preserve"> a </w:t>
      </w:r>
      <w:r w:rsidR="00981423">
        <w:t xml:space="preserve">financial </w:t>
      </w:r>
      <w:r w:rsidR="00264381">
        <w:t xml:space="preserve">analysis of </w:t>
      </w:r>
      <w:r>
        <w:t xml:space="preserve">podiatric surgeons’ proposed access to the specified </w:t>
      </w:r>
      <w:r w:rsidR="00264381">
        <w:t>MBS items.</w:t>
      </w:r>
    </w:p>
    <w:p w:rsidR="00CA669F" w:rsidRPr="0075468E" w:rsidRDefault="00CA669F" w:rsidP="00DD2858">
      <w:pPr>
        <w:rPr>
          <w:szCs w:val="24"/>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1E6089" w:rsidRDefault="001E6089" w:rsidP="00E00AB0">
      <w:r>
        <w:t>F</w:t>
      </w:r>
      <w:r w:rsidR="00E00AB0">
        <w:t>inancial estimates were derived from the Australasian College of Podiatric Surgeons national audits 2012 and 2013, a survey of podiatric surgeons registered with the Australasian College of Podiatric Surgeons</w:t>
      </w:r>
      <w:r w:rsidR="00716B65">
        <w:t>,</w:t>
      </w:r>
      <w:r w:rsidR="00E00AB0">
        <w:t xml:space="preserve"> and expert opinion. </w:t>
      </w:r>
    </w:p>
    <w:p w:rsidR="001E6089" w:rsidRDefault="001E6089" w:rsidP="00E00AB0"/>
    <w:p w:rsidR="00E00AB0" w:rsidRPr="00214F9E" w:rsidRDefault="00E00AB0" w:rsidP="00E00AB0">
      <w:r>
        <w:t xml:space="preserve">Table </w:t>
      </w:r>
      <w:r w:rsidR="00912349">
        <w:t>6</w:t>
      </w:r>
      <w:r>
        <w:t xml:space="preserve"> provides the forecast for net financial cost to the MBS</w:t>
      </w:r>
      <w:r w:rsidR="00912349">
        <w:t>; Table 7 provides the associated sensitivity analyses</w:t>
      </w:r>
      <w:r>
        <w:t>.</w:t>
      </w:r>
    </w:p>
    <w:p w:rsidR="00E00AB0" w:rsidRDefault="00E00AB0" w:rsidP="00E00AB0"/>
    <w:p w:rsidR="00E00AB0" w:rsidRDefault="00E00AB0" w:rsidP="00E00AB0">
      <w:pPr>
        <w:pStyle w:val="Tabletextboldleft"/>
      </w:pPr>
      <w:r>
        <w:t xml:space="preserve">Table </w:t>
      </w:r>
      <w:r w:rsidR="00912349">
        <w:t>6: Total net cost to the MBS</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Caption w:val="Table E.5.1: Total net cost to the MBS "/>
        <w:tblDescription w:val="Breakdoown and total MBS costs"/>
      </w:tblPr>
      <w:tblGrid>
        <w:gridCol w:w="4227"/>
        <w:gridCol w:w="995"/>
        <w:gridCol w:w="995"/>
        <w:gridCol w:w="993"/>
        <w:gridCol w:w="993"/>
        <w:gridCol w:w="993"/>
      </w:tblGrid>
      <w:tr w:rsidR="00E00AB0" w:rsidRPr="006B6F55" w:rsidTr="00912349">
        <w:trPr>
          <w:cantSplit/>
          <w:trHeight w:val="70"/>
          <w:tblHeader/>
        </w:trPr>
        <w:tc>
          <w:tcPr>
            <w:tcW w:w="2298" w:type="pct"/>
            <w:noWrap/>
            <w:vAlign w:val="center"/>
          </w:tcPr>
          <w:p w:rsidR="00E00AB0" w:rsidRPr="00F97288" w:rsidRDefault="00E00AB0" w:rsidP="00013B24">
            <w:pPr>
              <w:pStyle w:val="Tabletext"/>
              <w:rPr>
                <w:b/>
                <w:sz w:val="24"/>
              </w:rPr>
            </w:pPr>
            <w:r>
              <w:rPr>
                <w:b/>
              </w:rPr>
              <w:t xml:space="preserve">Cost per </w:t>
            </w:r>
            <w:r w:rsidRPr="00F97288">
              <w:rPr>
                <w:b/>
              </w:rPr>
              <w:t>Year</w:t>
            </w:r>
          </w:p>
        </w:tc>
        <w:tc>
          <w:tcPr>
            <w:tcW w:w="541" w:type="pct"/>
            <w:noWrap/>
            <w:vAlign w:val="center"/>
          </w:tcPr>
          <w:p w:rsidR="00E00AB0" w:rsidRPr="00F97288" w:rsidRDefault="001E6089" w:rsidP="00013B24">
            <w:pPr>
              <w:pStyle w:val="Tabletext"/>
              <w:jc w:val="center"/>
              <w:rPr>
                <w:b/>
                <w:sz w:val="24"/>
              </w:rPr>
            </w:pPr>
            <w:r>
              <w:rPr>
                <w:b/>
              </w:rPr>
              <w:t>Year 1</w:t>
            </w:r>
          </w:p>
        </w:tc>
        <w:tc>
          <w:tcPr>
            <w:tcW w:w="541" w:type="pct"/>
            <w:noWrap/>
            <w:vAlign w:val="center"/>
          </w:tcPr>
          <w:p w:rsidR="00E00AB0" w:rsidRPr="00F97288" w:rsidRDefault="001E6089" w:rsidP="00013B24">
            <w:pPr>
              <w:pStyle w:val="Tabletext"/>
              <w:jc w:val="center"/>
              <w:rPr>
                <w:b/>
              </w:rPr>
            </w:pPr>
            <w:r>
              <w:rPr>
                <w:b/>
              </w:rPr>
              <w:t>Year</w:t>
            </w:r>
            <w:r w:rsidRPr="00F97288" w:rsidDel="001E6089">
              <w:rPr>
                <w:b/>
              </w:rPr>
              <w:t xml:space="preserve"> </w:t>
            </w:r>
            <w:r>
              <w:rPr>
                <w:b/>
              </w:rPr>
              <w:t>2</w:t>
            </w:r>
          </w:p>
        </w:tc>
        <w:tc>
          <w:tcPr>
            <w:tcW w:w="540" w:type="pct"/>
            <w:noWrap/>
            <w:vAlign w:val="center"/>
          </w:tcPr>
          <w:p w:rsidR="00E00AB0" w:rsidRPr="00F97288" w:rsidRDefault="001E6089" w:rsidP="00013B24">
            <w:pPr>
              <w:pStyle w:val="Tabletext"/>
              <w:jc w:val="center"/>
              <w:rPr>
                <w:b/>
              </w:rPr>
            </w:pPr>
            <w:r>
              <w:rPr>
                <w:b/>
              </w:rPr>
              <w:t>Year</w:t>
            </w:r>
            <w:r w:rsidRPr="00F97288" w:rsidDel="001E6089">
              <w:rPr>
                <w:b/>
              </w:rPr>
              <w:t xml:space="preserve"> </w:t>
            </w:r>
            <w:r>
              <w:rPr>
                <w:b/>
              </w:rPr>
              <w:t>3</w:t>
            </w:r>
          </w:p>
        </w:tc>
        <w:tc>
          <w:tcPr>
            <w:tcW w:w="540" w:type="pct"/>
            <w:noWrap/>
            <w:vAlign w:val="center"/>
          </w:tcPr>
          <w:p w:rsidR="00E00AB0" w:rsidRPr="00F97288" w:rsidRDefault="001E6089" w:rsidP="00013B24">
            <w:pPr>
              <w:pStyle w:val="Tabletext"/>
              <w:jc w:val="center"/>
              <w:rPr>
                <w:b/>
              </w:rPr>
            </w:pPr>
            <w:r>
              <w:rPr>
                <w:b/>
              </w:rPr>
              <w:t>Year</w:t>
            </w:r>
            <w:r w:rsidRPr="00F97288" w:rsidDel="001E6089">
              <w:rPr>
                <w:b/>
              </w:rPr>
              <w:t xml:space="preserve"> </w:t>
            </w:r>
            <w:r>
              <w:rPr>
                <w:b/>
              </w:rPr>
              <w:t>4</w:t>
            </w:r>
          </w:p>
        </w:tc>
        <w:tc>
          <w:tcPr>
            <w:tcW w:w="540" w:type="pct"/>
            <w:noWrap/>
            <w:vAlign w:val="center"/>
          </w:tcPr>
          <w:p w:rsidR="00E00AB0" w:rsidRPr="00F97288" w:rsidRDefault="001E6089" w:rsidP="00013B24">
            <w:pPr>
              <w:pStyle w:val="Tabletext"/>
              <w:jc w:val="center"/>
              <w:rPr>
                <w:b/>
              </w:rPr>
            </w:pPr>
            <w:r>
              <w:rPr>
                <w:b/>
              </w:rPr>
              <w:t>Year</w:t>
            </w:r>
            <w:r w:rsidRPr="00F97288" w:rsidDel="001E6089">
              <w:rPr>
                <w:b/>
              </w:rPr>
              <w:t xml:space="preserve"> </w:t>
            </w:r>
            <w:r>
              <w:rPr>
                <w:b/>
              </w:rPr>
              <w:t>5</w:t>
            </w:r>
          </w:p>
        </w:tc>
      </w:tr>
      <w:tr w:rsidR="00E00AB0" w:rsidRPr="00454EF2" w:rsidTr="00912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blHeader/>
        </w:trPr>
        <w:tc>
          <w:tcPr>
            <w:tcW w:w="2298"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pPr>
            <w:r w:rsidRPr="00454EF2">
              <w:t>Cost of MBS items for podiatric surgeons (net)</w:t>
            </w:r>
          </w:p>
        </w:tc>
        <w:tc>
          <w:tcPr>
            <w:tcW w:w="541"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$1,499,961</w:t>
            </w:r>
          </w:p>
        </w:tc>
        <w:tc>
          <w:tcPr>
            <w:tcW w:w="541"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$1,535,958</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$1,682,240</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$1,971,377</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$2,143,756</w:t>
            </w:r>
          </w:p>
        </w:tc>
      </w:tr>
      <w:tr w:rsidR="00E00AB0" w:rsidRPr="00454EF2" w:rsidTr="00912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blHeader/>
        </w:trPr>
        <w:tc>
          <w:tcPr>
            <w:tcW w:w="2298"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pPr>
            <w:r w:rsidRPr="00454EF2">
              <w:t>Cost of co-administered services</w:t>
            </w:r>
          </w:p>
        </w:tc>
        <w:tc>
          <w:tcPr>
            <w:tcW w:w="541"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$288,861</w:t>
            </w:r>
          </w:p>
        </w:tc>
        <w:tc>
          <w:tcPr>
            <w:tcW w:w="541"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$317,772</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$348,018</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$379,662</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$414,560</w:t>
            </w:r>
          </w:p>
        </w:tc>
      </w:tr>
      <w:tr w:rsidR="00E00AB0" w:rsidRPr="00454EF2" w:rsidTr="00912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blHeader/>
        </w:trPr>
        <w:tc>
          <w:tcPr>
            <w:tcW w:w="2298"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pPr>
            <w:r w:rsidRPr="00454EF2">
              <w:t>Total cost podiatric and co-admin services</w:t>
            </w:r>
          </w:p>
        </w:tc>
        <w:tc>
          <w:tcPr>
            <w:tcW w:w="541"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$1,788,822</w:t>
            </w:r>
          </w:p>
        </w:tc>
        <w:tc>
          <w:tcPr>
            <w:tcW w:w="541"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$1,853,730</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$2,030,258</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$2,351,039</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rsidRPr="00447541">
              <w:t>$2,558,316</w:t>
            </w:r>
          </w:p>
        </w:tc>
      </w:tr>
      <w:tr w:rsidR="00E00AB0" w:rsidRPr="00454EF2" w:rsidTr="00912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blHeader/>
        </w:trPr>
        <w:tc>
          <w:tcPr>
            <w:tcW w:w="2298"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pPr>
            <w:r w:rsidRPr="00454EF2">
              <w:t>Cost off-sets</w:t>
            </w:r>
            <w:r>
              <w:t xml:space="preserve"> from GP visits avoided</w:t>
            </w:r>
          </w:p>
        </w:tc>
        <w:tc>
          <w:tcPr>
            <w:tcW w:w="541"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t>-</w:t>
            </w:r>
            <w:r w:rsidRPr="00447541">
              <w:t>$59,514</w:t>
            </w:r>
          </w:p>
        </w:tc>
        <w:tc>
          <w:tcPr>
            <w:tcW w:w="541"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t>-</w:t>
            </w:r>
            <w:r w:rsidRPr="00447541">
              <w:t>$65,465</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t>-</w:t>
            </w:r>
            <w:r w:rsidRPr="00447541">
              <w:t>$71,700</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t>-</w:t>
            </w:r>
            <w:r w:rsidRPr="00447541">
              <w:t>$78,218</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454EF2" w:rsidRDefault="00E00AB0" w:rsidP="00013B24">
            <w:pPr>
              <w:pStyle w:val="Tabletext"/>
              <w:jc w:val="center"/>
            </w:pPr>
            <w:r>
              <w:t>-</w:t>
            </w:r>
            <w:r w:rsidRPr="00447541">
              <w:t>$85,329</w:t>
            </w:r>
          </w:p>
        </w:tc>
      </w:tr>
      <w:tr w:rsidR="00E00AB0" w:rsidRPr="00454EF2" w:rsidTr="00912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blHeader/>
        </w:trPr>
        <w:tc>
          <w:tcPr>
            <w:tcW w:w="2298" w:type="pct"/>
            <w:tcBorders>
              <w:top w:val="single" w:sz="4" w:space="0" w:color="auto"/>
              <w:left w:val="single" w:sz="4" w:space="0" w:color="auto"/>
              <w:bottom w:val="single" w:sz="4" w:space="0" w:color="auto"/>
              <w:right w:val="single" w:sz="4" w:space="0" w:color="auto"/>
            </w:tcBorders>
            <w:noWrap/>
            <w:vAlign w:val="center"/>
          </w:tcPr>
          <w:p w:rsidR="00E00AB0" w:rsidRPr="00F97288" w:rsidRDefault="00E00AB0" w:rsidP="00013B24">
            <w:pPr>
              <w:pStyle w:val="Tabletext"/>
              <w:rPr>
                <w:b/>
              </w:rPr>
            </w:pPr>
            <w:r w:rsidRPr="00F97288">
              <w:rPr>
                <w:b/>
              </w:rPr>
              <w:t>Net cost to MBS</w:t>
            </w:r>
          </w:p>
        </w:tc>
        <w:tc>
          <w:tcPr>
            <w:tcW w:w="541" w:type="pct"/>
            <w:tcBorders>
              <w:top w:val="single" w:sz="4" w:space="0" w:color="auto"/>
              <w:left w:val="single" w:sz="4" w:space="0" w:color="auto"/>
              <w:bottom w:val="single" w:sz="4" w:space="0" w:color="auto"/>
              <w:right w:val="single" w:sz="4" w:space="0" w:color="auto"/>
            </w:tcBorders>
            <w:noWrap/>
            <w:vAlign w:val="center"/>
          </w:tcPr>
          <w:p w:rsidR="00E00AB0" w:rsidRPr="00F97288" w:rsidRDefault="00E00AB0" w:rsidP="00013B24">
            <w:pPr>
              <w:pStyle w:val="Tabletext"/>
              <w:jc w:val="center"/>
              <w:rPr>
                <w:b/>
              </w:rPr>
            </w:pPr>
            <w:r w:rsidRPr="00F97288">
              <w:rPr>
                <w:b/>
              </w:rPr>
              <w:t>$1,729,308</w:t>
            </w:r>
          </w:p>
        </w:tc>
        <w:tc>
          <w:tcPr>
            <w:tcW w:w="541" w:type="pct"/>
            <w:tcBorders>
              <w:top w:val="single" w:sz="4" w:space="0" w:color="auto"/>
              <w:left w:val="single" w:sz="4" w:space="0" w:color="auto"/>
              <w:bottom w:val="single" w:sz="4" w:space="0" w:color="auto"/>
              <w:right w:val="single" w:sz="4" w:space="0" w:color="auto"/>
            </w:tcBorders>
            <w:noWrap/>
            <w:vAlign w:val="center"/>
          </w:tcPr>
          <w:p w:rsidR="00E00AB0" w:rsidRPr="00F97288" w:rsidRDefault="00E00AB0" w:rsidP="00013B24">
            <w:pPr>
              <w:pStyle w:val="Tabletext"/>
              <w:jc w:val="center"/>
              <w:rPr>
                <w:b/>
              </w:rPr>
            </w:pPr>
            <w:r w:rsidRPr="00F97288">
              <w:rPr>
                <w:b/>
              </w:rPr>
              <w:t>$1,788,264</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F97288" w:rsidRDefault="00E00AB0" w:rsidP="00013B24">
            <w:pPr>
              <w:pStyle w:val="Tabletext"/>
              <w:jc w:val="center"/>
              <w:rPr>
                <w:b/>
              </w:rPr>
            </w:pPr>
            <w:r w:rsidRPr="00F97288">
              <w:rPr>
                <w:b/>
              </w:rPr>
              <w:t>$1,958,557</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F97288" w:rsidRDefault="00E00AB0" w:rsidP="00013B24">
            <w:pPr>
              <w:pStyle w:val="Tabletext"/>
              <w:jc w:val="center"/>
              <w:rPr>
                <w:b/>
              </w:rPr>
            </w:pPr>
            <w:r w:rsidRPr="00F97288">
              <w:rPr>
                <w:b/>
              </w:rPr>
              <w:t>$2,272,821</w:t>
            </w:r>
          </w:p>
        </w:tc>
        <w:tc>
          <w:tcPr>
            <w:tcW w:w="540" w:type="pct"/>
            <w:tcBorders>
              <w:top w:val="single" w:sz="4" w:space="0" w:color="auto"/>
              <w:left w:val="single" w:sz="4" w:space="0" w:color="auto"/>
              <w:bottom w:val="single" w:sz="4" w:space="0" w:color="auto"/>
              <w:right w:val="single" w:sz="4" w:space="0" w:color="auto"/>
            </w:tcBorders>
            <w:noWrap/>
            <w:vAlign w:val="center"/>
          </w:tcPr>
          <w:p w:rsidR="00E00AB0" w:rsidRPr="00F97288" w:rsidRDefault="00E00AB0" w:rsidP="00013B24">
            <w:pPr>
              <w:pStyle w:val="Tabletext"/>
              <w:jc w:val="center"/>
              <w:rPr>
                <w:b/>
              </w:rPr>
            </w:pPr>
            <w:r w:rsidRPr="00F97288">
              <w:rPr>
                <w:b/>
              </w:rPr>
              <w:t>$2,472,987</w:t>
            </w:r>
          </w:p>
        </w:tc>
      </w:tr>
    </w:tbl>
    <w:p w:rsidR="00E00AB0" w:rsidRDefault="00E00AB0" w:rsidP="00E00AB0"/>
    <w:p w:rsidR="00E00AB0" w:rsidRDefault="00E00AB0" w:rsidP="00912349">
      <w:pPr>
        <w:pStyle w:val="Tabletextboldleft"/>
      </w:pPr>
      <w:r>
        <w:t xml:space="preserve">Table </w:t>
      </w:r>
      <w:r w:rsidR="00912349">
        <w:t>7</w:t>
      </w:r>
      <w:r>
        <w:t xml:space="preserve">: </w:t>
      </w:r>
      <w:r w:rsidRPr="00AA66CD">
        <w:t>Sensitivity analysis of the estimated net cost to the MBS</w:t>
      </w:r>
    </w:p>
    <w:tbl>
      <w:tblPr>
        <w:tblStyle w:val="Submissiontemplate7"/>
        <w:tblW w:w="5188" w:type="pct"/>
        <w:jc w:val="center"/>
        <w:tblInd w:w="1229" w:type="dxa"/>
        <w:tblCellMar>
          <w:left w:w="57" w:type="dxa"/>
          <w:right w:w="57" w:type="dxa"/>
        </w:tblCellMar>
        <w:tblLook w:val="04A0" w:firstRow="1" w:lastRow="0" w:firstColumn="1" w:lastColumn="0" w:noHBand="0" w:noVBand="1"/>
        <w:tblCaption w:val="Table E.6.1: Sensitivity analysis of the estimated net cost to the MBS "/>
        <w:tblDescription w:val="Sensitivity Analysis"/>
      </w:tblPr>
      <w:tblGrid>
        <w:gridCol w:w="4625"/>
        <w:gridCol w:w="981"/>
        <w:gridCol w:w="981"/>
        <w:gridCol w:w="981"/>
        <w:gridCol w:w="981"/>
        <w:gridCol w:w="935"/>
      </w:tblGrid>
      <w:tr w:rsidR="001E6089" w:rsidRPr="008A4DD2" w:rsidTr="00E66A20">
        <w:trPr>
          <w:cnfStyle w:val="100000000000" w:firstRow="1" w:lastRow="0" w:firstColumn="0" w:lastColumn="0" w:oddVBand="0" w:evenVBand="0" w:oddHBand="0" w:evenHBand="0" w:firstRowFirstColumn="0" w:firstRowLastColumn="0" w:lastRowFirstColumn="0" w:lastRowLastColumn="0"/>
          <w:trHeight w:val="20"/>
          <w:tblHeader/>
          <w:jc w:val="center"/>
        </w:trPr>
        <w:tc>
          <w:tcPr>
            <w:tcW w:w="2438" w:type="pct"/>
            <w:tcBorders>
              <w:bottom w:val="single" w:sz="4" w:space="0" w:color="auto"/>
            </w:tcBorders>
            <w:shd w:val="clear" w:color="auto" w:fill="auto"/>
            <w:noWrap/>
            <w:hideMark/>
          </w:tcPr>
          <w:p w:rsidR="001E6089" w:rsidRPr="008A4DD2" w:rsidRDefault="001E6089" w:rsidP="00013B24">
            <w:pPr>
              <w:pStyle w:val="Tabletext"/>
              <w:rPr>
                <w:rFonts w:eastAsiaTheme="majorEastAsia"/>
                <w:b/>
                <w:lang w:val="en-AU"/>
              </w:rPr>
            </w:pPr>
          </w:p>
        </w:tc>
        <w:tc>
          <w:tcPr>
            <w:tcW w:w="517" w:type="pct"/>
            <w:tcBorders>
              <w:bottom w:val="single" w:sz="4" w:space="0" w:color="auto"/>
            </w:tcBorders>
            <w:shd w:val="clear" w:color="auto" w:fill="auto"/>
            <w:noWrap/>
            <w:vAlign w:val="center"/>
            <w:hideMark/>
          </w:tcPr>
          <w:p w:rsidR="001E6089" w:rsidRPr="008A4DD2" w:rsidRDefault="001E6089" w:rsidP="00013B24">
            <w:pPr>
              <w:pStyle w:val="Tabletext"/>
              <w:jc w:val="center"/>
              <w:rPr>
                <w:rFonts w:eastAsiaTheme="majorEastAsia"/>
                <w:b/>
                <w:lang w:val="en-AU"/>
              </w:rPr>
            </w:pPr>
            <w:r>
              <w:rPr>
                <w:b/>
              </w:rPr>
              <w:t>Year 1</w:t>
            </w:r>
          </w:p>
        </w:tc>
        <w:tc>
          <w:tcPr>
            <w:tcW w:w="517" w:type="pct"/>
            <w:tcBorders>
              <w:bottom w:val="single" w:sz="4" w:space="0" w:color="auto"/>
            </w:tcBorders>
            <w:shd w:val="clear" w:color="auto" w:fill="auto"/>
            <w:noWrap/>
            <w:vAlign w:val="center"/>
            <w:hideMark/>
          </w:tcPr>
          <w:p w:rsidR="001E6089" w:rsidRPr="008A4DD2" w:rsidRDefault="001E6089" w:rsidP="00013B24">
            <w:pPr>
              <w:pStyle w:val="Tabletext"/>
              <w:jc w:val="center"/>
              <w:rPr>
                <w:rFonts w:eastAsiaTheme="majorEastAsia"/>
                <w:b/>
                <w:lang w:val="en-AU"/>
              </w:rPr>
            </w:pPr>
            <w:r>
              <w:rPr>
                <w:b/>
              </w:rPr>
              <w:t>Year</w:t>
            </w:r>
            <w:r w:rsidRPr="00F97288" w:rsidDel="001E6089">
              <w:rPr>
                <w:b/>
              </w:rPr>
              <w:t xml:space="preserve"> </w:t>
            </w:r>
            <w:r>
              <w:rPr>
                <w:b/>
              </w:rPr>
              <w:t>2</w:t>
            </w:r>
          </w:p>
        </w:tc>
        <w:tc>
          <w:tcPr>
            <w:tcW w:w="517" w:type="pct"/>
            <w:tcBorders>
              <w:bottom w:val="single" w:sz="4" w:space="0" w:color="auto"/>
            </w:tcBorders>
            <w:shd w:val="clear" w:color="auto" w:fill="auto"/>
            <w:noWrap/>
            <w:vAlign w:val="center"/>
            <w:hideMark/>
          </w:tcPr>
          <w:p w:rsidR="001E6089" w:rsidRPr="008A4DD2" w:rsidRDefault="001E6089" w:rsidP="00013B24">
            <w:pPr>
              <w:pStyle w:val="Tabletext"/>
              <w:jc w:val="center"/>
              <w:rPr>
                <w:rFonts w:eastAsiaTheme="majorEastAsia"/>
                <w:b/>
                <w:lang w:val="en-AU"/>
              </w:rPr>
            </w:pPr>
            <w:r>
              <w:rPr>
                <w:b/>
              </w:rPr>
              <w:t>Year</w:t>
            </w:r>
            <w:r w:rsidRPr="00F97288" w:rsidDel="001E6089">
              <w:rPr>
                <w:b/>
              </w:rPr>
              <w:t xml:space="preserve"> </w:t>
            </w:r>
            <w:r>
              <w:rPr>
                <w:b/>
              </w:rPr>
              <w:t>3</w:t>
            </w:r>
          </w:p>
        </w:tc>
        <w:tc>
          <w:tcPr>
            <w:tcW w:w="517" w:type="pct"/>
            <w:tcBorders>
              <w:bottom w:val="single" w:sz="4" w:space="0" w:color="auto"/>
            </w:tcBorders>
            <w:shd w:val="clear" w:color="auto" w:fill="auto"/>
            <w:noWrap/>
            <w:vAlign w:val="center"/>
            <w:hideMark/>
          </w:tcPr>
          <w:p w:rsidR="001E6089" w:rsidRPr="008A4DD2" w:rsidRDefault="001E6089" w:rsidP="00013B24">
            <w:pPr>
              <w:pStyle w:val="Tabletext"/>
              <w:jc w:val="center"/>
              <w:rPr>
                <w:rFonts w:eastAsiaTheme="majorEastAsia"/>
                <w:b/>
                <w:lang w:val="en-AU"/>
              </w:rPr>
            </w:pPr>
            <w:r>
              <w:rPr>
                <w:b/>
              </w:rPr>
              <w:t>Year</w:t>
            </w:r>
            <w:r w:rsidRPr="00F97288" w:rsidDel="001E6089">
              <w:rPr>
                <w:b/>
              </w:rPr>
              <w:t xml:space="preserve"> </w:t>
            </w:r>
            <w:r>
              <w:rPr>
                <w:b/>
              </w:rPr>
              <w:t>4</w:t>
            </w:r>
          </w:p>
        </w:tc>
        <w:tc>
          <w:tcPr>
            <w:tcW w:w="493" w:type="pct"/>
            <w:tcBorders>
              <w:bottom w:val="single" w:sz="4" w:space="0" w:color="auto"/>
            </w:tcBorders>
            <w:shd w:val="clear" w:color="auto" w:fill="auto"/>
            <w:noWrap/>
            <w:vAlign w:val="center"/>
            <w:hideMark/>
          </w:tcPr>
          <w:p w:rsidR="001E6089" w:rsidRPr="008A4DD2" w:rsidRDefault="001E6089" w:rsidP="00013B24">
            <w:pPr>
              <w:pStyle w:val="Tabletext"/>
              <w:jc w:val="center"/>
              <w:rPr>
                <w:rFonts w:eastAsiaTheme="majorEastAsia"/>
                <w:b/>
                <w:lang w:val="en-AU"/>
              </w:rPr>
            </w:pPr>
            <w:r>
              <w:rPr>
                <w:b/>
              </w:rPr>
              <w:t>Year</w:t>
            </w:r>
            <w:r w:rsidRPr="00F97288" w:rsidDel="001E6089">
              <w:rPr>
                <w:b/>
              </w:rPr>
              <w:t xml:space="preserve"> </w:t>
            </w:r>
            <w:r>
              <w:rPr>
                <w:b/>
              </w:rPr>
              <w:t>5</w:t>
            </w:r>
          </w:p>
        </w:tc>
      </w:tr>
      <w:tr w:rsidR="00E00AB0" w:rsidRPr="00037400" w:rsidTr="001E608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438" w:type="pct"/>
            <w:shd w:val="clear" w:color="auto" w:fill="auto"/>
            <w:noWrap/>
            <w:hideMark/>
          </w:tcPr>
          <w:p w:rsidR="00E00AB0" w:rsidRPr="00037400" w:rsidRDefault="00981423" w:rsidP="00013B24">
            <w:pPr>
              <w:pStyle w:val="Tabletext"/>
              <w:rPr>
                <w:rFonts w:eastAsiaTheme="majorEastAsia"/>
                <w:b/>
                <w:lang w:val="en-AU"/>
              </w:rPr>
            </w:pPr>
            <w:r>
              <w:rPr>
                <w:rFonts w:eastAsiaTheme="majorEastAsia"/>
                <w:b/>
                <w:lang w:val="en-AU"/>
              </w:rPr>
              <w:t>Net cost to MBS (b</w:t>
            </w:r>
            <w:r w:rsidR="00E00AB0" w:rsidRPr="00037400">
              <w:rPr>
                <w:rFonts w:eastAsiaTheme="majorEastAsia"/>
                <w:b/>
                <w:lang w:val="en-AU"/>
              </w:rPr>
              <w:t>ase case)</w:t>
            </w:r>
          </w:p>
        </w:tc>
        <w:tc>
          <w:tcPr>
            <w:tcW w:w="517" w:type="pct"/>
            <w:tcBorders>
              <w:top w:val="single" w:sz="4" w:space="0" w:color="auto"/>
              <w:left w:val="nil"/>
              <w:bottom w:val="single" w:sz="4" w:space="0" w:color="auto"/>
              <w:right w:val="single" w:sz="4" w:space="0" w:color="auto"/>
            </w:tcBorders>
            <w:shd w:val="clear" w:color="auto" w:fill="auto"/>
            <w:noWrap/>
            <w:hideMark/>
          </w:tcPr>
          <w:p w:rsidR="00E00AB0" w:rsidRPr="00037400" w:rsidRDefault="00E00AB0" w:rsidP="00013B24">
            <w:pPr>
              <w:pStyle w:val="Tabletext"/>
              <w:jc w:val="center"/>
              <w:rPr>
                <w:rFonts w:eastAsiaTheme="majorEastAsia"/>
                <w:b/>
                <w:lang w:val="en-AU"/>
              </w:rPr>
            </w:pPr>
            <w:r w:rsidRPr="00037400">
              <w:rPr>
                <w:rFonts w:eastAsiaTheme="majorEastAsia"/>
                <w:b/>
                <w:lang w:val="en-AU"/>
              </w:rPr>
              <w:t>$1,729,308</w:t>
            </w:r>
          </w:p>
        </w:tc>
        <w:tc>
          <w:tcPr>
            <w:tcW w:w="517" w:type="pct"/>
            <w:tcBorders>
              <w:top w:val="single" w:sz="4" w:space="0" w:color="auto"/>
              <w:left w:val="single" w:sz="4" w:space="0" w:color="auto"/>
              <w:bottom w:val="single" w:sz="4" w:space="0" w:color="auto"/>
              <w:right w:val="single" w:sz="4" w:space="0" w:color="auto"/>
            </w:tcBorders>
            <w:shd w:val="clear" w:color="auto" w:fill="auto"/>
            <w:noWrap/>
            <w:hideMark/>
          </w:tcPr>
          <w:p w:rsidR="00E00AB0" w:rsidRPr="00037400" w:rsidRDefault="00E00AB0" w:rsidP="00013B24">
            <w:pPr>
              <w:pStyle w:val="Tabletext"/>
              <w:jc w:val="center"/>
              <w:rPr>
                <w:rFonts w:eastAsiaTheme="majorEastAsia"/>
                <w:b/>
                <w:lang w:val="en-AU"/>
              </w:rPr>
            </w:pPr>
            <w:r w:rsidRPr="00037400">
              <w:rPr>
                <w:rFonts w:eastAsiaTheme="majorEastAsia"/>
                <w:b/>
                <w:lang w:val="en-AU"/>
              </w:rPr>
              <w:t>$1,788,264</w:t>
            </w:r>
          </w:p>
        </w:tc>
        <w:tc>
          <w:tcPr>
            <w:tcW w:w="517" w:type="pct"/>
            <w:tcBorders>
              <w:top w:val="single" w:sz="4" w:space="0" w:color="auto"/>
              <w:left w:val="single" w:sz="4" w:space="0" w:color="auto"/>
              <w:bottom w:val="single" w:sz="4" w:space="0" w:color="auto"/>
              <w:right w:val="single" w:sz="4" w:space="0" w:color="auto"/>
            </w:tcBorders>
            <w:shd w:val="clear" w:color="auto" w:fill="auto"/>
            <w:noWrap/>
            <w:hideMark/>
          </w:tcPr>
          <w:p w:rsidR="00E00AB0" w:rsidRPr="00037400" w:rsidRDefault="00E00AB0" w:rsidP="00013B24">
            <w:pPr>
              <w:pStyle w:val="Tabletext"/>
              <w:jc w:val="center"/>
              <w:rPr>
                <w:rFonts w:eastAsiaTheme="majorEastAsia"/>
                <w:b/>
                <w:lang w:val="en-AU"/>
              </w:rPr>
            </w:pPr>
            <w:r w:rsidRPr="00037400">
              <w:rPr>
                <w:rFonts w:eastAsiaTheme="majorEastAsia"/>
                <w:b/>
                <w:lang w:val="en-AU"/>
              </w:rPr>
              <w:t>$1,958,557</w:t>
            </w:r>
          </w:p>
        </w:tc>
        <w:tc>
          <w:tcPr>
            <w:tcW w:w="517" w:type="pct"/>
            <w:tcBorders>
              <w:top w:val="single" w:sz="4" w:space="0" w:color="auto"/>
              <w:left w:val="single" w:sz="4" w:space="0" w:color="auto"/>
              <w:bottom w:val="single" w:sz="4" w:space="0" w:color="auto"/>
              <w:right w:val="single" w:sz="4" w:space="0" w:color="auto"/>
            </w:tcBorders>
            <w:shd w:val="clear" w:color="auto" w:fill="auto"/>
            <w:noWrap/>
            <w:hideMark/>
          </w:tcPr>
          <w:p w:rsidR="00E00AB0" w:rsidRPr="00037400" w:rsidRDefault="00E00AB0" w:rsidP="00013B24">
            <w:pPr>
              <w:pStyle w:val="Tabletext"/>
              <w:jc w:val="center"/>
              <w:rPr>
                <w:rFonts w:eastAsiaTheme="majorEastAsia"/>
                <w:b/>
                <w:lang w:val="en-AU"/>
              </w:rPr>
            </w:pPr>
            <w:r w:rsidRPr="00037400">
              <w:rPr>
                <w:rFonts w:eastAsiaTheme="majorEastAsia"/>
                <w:b/>
                <w:lang w:val="en-AU"/>
              </w:rPr>
              <w:t>$2,272,821</w:t>
            </w:r>
          </w:p>
        </w:tc>
        <w:tc>
          <w:tcPr>
            <w:tcW w:w="493" w:type="pct"/>
            <w:tcBorders>
              <w:top w:val="single" w:sz="4" w:space="0" w:color="auto"/>
              <w:left w:val="single" w:sz="4" w:space="0" w:color="auto"/>
              <w:bottom w:val="single" w:sz="4" w:space="0" w:color="auto"/>
              <w:right w:val="single" w:sz="4" w:space="0" w:color="auto"/>
            </w:tcBorders>
            <w:shd w:val="clear" w:color="auto" w:fill="auto"/>
            <w:noWrap/>
            <w:hideMark/>
          </w:tcPr>
          <w:p w:rsidR="00E00AB0" w:rsidRPr="00037400" w:rsidRDefault="00E00AB0" w:rsidP="00013B24">
            <w:pPr>
              <w:pStyle w:val="Tabletext"/>
              <w:jc w:val="center"/>
              <w:rPr>
                <w:rFonts w:eastAsiaTheme="majorEastAsia"/>
                <w:b/>
                <w:lang w:val="en-AU"/>
              </w:rPr>
            </w:pPr>
            <w:r w:rsidRPr="00037400">
              <w:rPr>
                <w:rFonts w:eastAsiaTheme="majorEastAsia"/>
                <w:b/>
                <w:lang w:val="en-AU"/>
              </w:rPr>
              <w:t>$2,472,987</w:t>
            </w:r>
          </w:p>
        </w:tc>
      </w:tr>
      <w:tr w:rsidR="00E00AB0" w:rsidRPr="002779B1" w:rsidTr="001E6089">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PrEx>
        <w:trPr>
          <w:cnfStyle w:val="100000000000" w:firstRow="1" w:lastRow="0" w:firstColumn="0" w:lastColumn="0" w:oddVBand="0" w:evenVBand="0" w:oddHBand="0" w:evenHBand="0" w:firstRowFirstColumn="0" w:firstRowLastColumn="0" w:lastRowFirstColumn="0" w:lastRowLastColumn="0"/>
          <w:trHeight w:val="20"/>
          <w:tblHeader/>
          <w:jc w:val="center"/>
        </w:trPr>
        <w:tc>
          <w:tcPr>
            <w:tcW w:w="2438" w:type="pct"/>
            <w:shd w:val="clear" w:color="auto" w:fill="auto"/>
            <w:noWrap/>
          </w:tcPr>
          <w:p w:rsidR="00E00AB0" w:rsidRPr="002779B1" w:rsidRDefault="00E00AB0" w:rsidP="00013B24">
            <w:pPr>
              <w:pStyle w:val="Tabletext"/>
              <w:rPr>
                <w:rFonts w:eastAsiaTheme="majorEastAsia"/>
                <w:lang w:val="en-AU"/>
              </w:rPr>
            </w:pPr>
            <w:r w:rsidRPr="002779B1">
              <w:rPr>
                <w:rFonts w:eastAsiaTheme="majorEastAsia"/>
                <w:lang w:val="en-AU"/>
              </w:rPr>
              <w:t>1. 100% substitution from orthopaedic surgeons</w:t>
            </w:r>
          </w:p>
        </w:tc>
        <w:tc>
          <w:tcPr>
            <w:tcW w:w="517" w:type="pct"/>
            <w:tcBorders>
              <w:top w:val="single" w:sz="3" w:space="0" w:color="auto"/>
              <w:left w:val="nil"/>
              <w:bottom w:val="single" w:sz="3" w:space="0" w:color="auto"/>
              <w:right w:val="single" w:sz="3" w:space="0" w:color="auto"/>
            </w:tcBorders>
            <w:shd w:val="clear" w:color="auto" w:fill="auto"/>
            <w:noWrap/>
            <w:vAlign w:val="bottom"/>
          </w:tcPr>
          <w:p w:rsidR="00E00AB0" w:rsidRPr="00220343" w:rsidRDefault="00E00AB0" w:rsidP="00013B24">
            <w:pPr>
              <w:pStyle w:val="Tabletext"/>
              <w:jc w:val="center"/>
            </w:pPr>
            <w:r w:rsidRPr="00220343">
              <w:t>$229,347</w:t>
            </w:r>
          </w:p>
        </w:tc>
        <w:tc>
          <w:tcPr>
            <w:tcW w:w="517" w:type="pct"/>
            <w:tcBorders>
              <w:top w:val="single" w:sz="3" w:space="0" w:color="auto"/>
              <w:left w:val="single" w:sz="3" w:space="0" w:color="auto"/>
              <w:bottom w:val="single" w:sz="3" w:space="0" w:color="auto"/>
              <w:right w:val="single" w:sz="3" w:space="0" w:color="auto"/>
            </w:tcBorders>
            <w:shd w:val="clear" w:color="auto" w:fill="auto"/>
            <w:noWrap/>
            <w:vAlign w:val="bottom"/>
          </w:tcPr>
          <w:p w:rsidR="00E00AB0" w:rsidRPr="00220343" w:rsidRDefault="00E00AB0" w:rsidP="00013B24">
            <w:pPr>
              <w:pStyle w:val="Tabletext"/>
              <w:jc w:val="center"/>
            </w:pPr>
            <w:r w:rsidRPr="00220343">
              <w:t>$252,307</w:t>
            </w:r>
          </w:p>
        </w:tc>
        <w:tc>
          <w:tcPr>
            <w:tcW w:w="517" w:type="pct"/>
            <w:tcBorders>
              <w:top w:val="single" w:sz="3" w:space="0" w:color="auto"/>
              <w:left w:val="single" w:sz="3" w:space="0" w:color="auto"/>
              <w:bottom w:val="single" w:sz="3" w:space="0" w:color="auto"/>
              <w:right w:val="single" w:sz="3" w:space="0" w:color="auto"/>
            </w:tcBorders>
            <w:shd w:val="clear" w:color="auto" w:fill="auto"/>
            <w:noWrap/>
            <w:vAlign w:val="bottom"/>
          </w:tcPr>
          <w:p w:rsidR="00E00AB0" w:rsidRPr="00220343" w:rsidRDefault="00E00AB0" w:rsidP="00013B24">
            <w:pPr>
              <w:pStyle w:val="Tabletext"/>
              <w:jc w:val="center"/>
            </w:pPr>
            <w:r w:rsidRPr="00220343">
              <w:t>$276,318</w:t>
            </w:r>
          </w:p>
        </w:tc>
        <w:tc>
          <w:tcPr>
            <w:tcW w:w="517" w:type="pct"/>
            <w:tcBorders>
              <w:top w:val="single" w:sz="3" w:space="0" w:color="auto"/>
              <w:left w:val="single" w:sz="3" w:space="0" w:color="auto"/>
              <w:bottom w:val="single" w:sz="3" w:space="0" w:color="auto"/>
              <w:right w:val="single" w:sz="3" w:space="0" w:color="auto"/>
            </w:tcBorders>
            <w:shd w:val="clear" w:color="auto" w:fill="auto"/>
            <w:noWrap/>
            <w:vAlign w:val="bottom"/>
          </w:tcPr>
          <w:p w:rsidR="00E00AB0" w:rsidRPr="00220343" w:rsidRDefault="00E00AB0" w:rsidP="00013B24">
            <w:pPr>
              <w:pStyle w:val="Tabletext"/>
              <w:jc w:val="center"/>
            </w:pPr>
            <w:r w:rsidRPr="00220343">
              <w:t>$301,443</w:t>
            </w:r>
          </w:p>
        </w:tc>
        <w:tc>
          <w:tcPr>
            <w:tcW w:w="493" w:type="pct"/>
            <w:tcBorders>
              <w:top w:val="single" w:sz="3" w:space="0" w:color="auto"/>
              <w:left w:val="single" w:sz="3" w:space="0" w:color="auto"/>
              <w:bottom w:val="single" w:sz="3" w:space="0" w:color="auto"/>
              <w:right w:val="single" w:sz="3" w:space="0" w:color="auto"/>
            </w:tcBorders>
            <w:shd w:val="clear" w:color="auto" w:fill="auto"/>
            <w:noWrap/>
            <w:vAlign w:val="bottom"/>
          </w:tcPr>
          <w:p w:rsidR="00E00AB0" w:rsidRPr="00220343" w:rsidRDefault="00E00AB0" w:rsidP="00013B24">
            <w:pPr>
              <w:pStyle w:val="Tabletext"/>
              <w:jc w:val="center"/>
            </w:pPr>
            <w:r w:rsidRPr="00220343">
              <w:t>$329,231</w:t>
            </w:r>
          </w:p>
        </w:tc>
      </w:tr>
      <w:tr w:rsidR="00E00AB0" w:rsidRPr="002779B1" w:rsidTr="001E608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438" w:type="pct"/>
            <w:shd w:val="clear" w:color="auto" w:fill="auto"/>
            <w:noWrap/>
          </w:tcPr>
          <w:p w:rsidR="00E00AB0" w:rsidRPr="002779B1" w:rsidRDefault="00E00AB0" w:rsidP="00013B24">
            <w:pPr>
              <w:pStyle w:val="Tabletext"/>
              <w:rPr>
                <w:rFonts w:eastAsiaTheme="majorEastAsia"/>
                <w:lang w:val="en-AU"/>
              </w:rPr>
            </w:pPr>
            <w:r w:rsidRPr="002779B1">
              <w:rPr>
                <w:rFonts w:eastAsiaTheme="majorEastAsia"/>
                <w:lang w:val="en-AU"/>
              </w:rPr>
              <w:t>2. Restrict patient numbers for referrals only</w:t>
            </w:r>
          </w:p>
        </w:tc>
        <w:tc>
          <w:tcPr>
            <w:tcW w:w="517" w:type="pct"/>
            <w:tcBorders>
              <w:top w:val="single" w:sz="4" w:space="0" w:color="auto"/>
              <w:left w:val="nil"/>
              <w:bottom w:val="single" w:sz="4" w:space="0" w:color="auto"/>
              <w:right w:val="single" w:sz="4" w:space="0" w:color="auto"/>
            </w:tcBorders>
            <w:shd w:val="clear" w:color="auto" w:fill="auto"/>
            <w:noWrap/>
          </w:tcPr>
          <w:p w:rsidR="00E00AB0" w:rsidRPr="00220343" w:rsidRDefault="00E00AB0" w:rsidP="00013B24">
            <w:pPr>
              <w:pStyle w:val="Tabletext"/>
              <w:jc w:val="center"/>
            </w:pPr>
            <w:r w:rsidRPr="00220343">
              <w:t>$673,903</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E00AB0" w:rsidRPr="00220343" w:rsidRDefault="00E00AB0" w:rsidP="00013B24">
            <w:pPr>
              <w:pStyle w:val="Tabletext"/>
              <w:jc w:val="center"/>
            </w:pPr>
            <w:r w:rsidRPr="00220343">
              <w:t>$694,564</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E00AB0" w:rsidRPr="00220343" w:rsidRDefault="00E00AB0" w:rsidP="00013B24">
            <w:pPr>
              <w:pStyle w:val="Tabletext"/>
              <w:jc w:val="center"/>
            </w:pPr>
            <w:r w:rsidRPr="00220343">
              <w:t>$760,705</w:t>
            </w:r>
          </w:p>
        </w:tc>
        <w:tc>
          <w:tcPr>
            <w:tcW w:w="517" w:type="pct"/>
            <w:tcBorders>
              <w:top w:val="single" w:sz="4" w:space="0" w:color="auto"/>
              <w:left w:val="single" w:sz="4" w:space="0" w:color="auto"/>
              <w:bottom w:val="single" w:sz="4" w:space="0" w:color="auto"/>
              <w:right w:val="single" w:sz="4" w:space="0" w:color="auto"/>
            </w:tcBorders>
            <w:shd w:val="clear" w:color="auto" w:fill="auto"/>
            <w:noWrap/>
          </w:tcPr>
          <w:p w:rsidR="00E00AB0" w:rsidRPr="00220343" w:rsidRDefault="00E00AB0" w:rsidP="00013B24">
            <w:pPr>
              <w:pStyle w:val="Tabletext"/>
              <w:jc w:val="center"/>
            </w:pPr>
            <w:r w:rsidRPr="00220343">
              <w:t>$885,708</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E00AB0" w:rsidRPr="00220343" w:rsidRDefault="00E00AB0" w:rsidP="00013B24">
            <w:pPr>
              <w:pStyle w:val="Tabletext"/>
              <w:jc w:val="center"/>
            </w:pPr>
            <w:r w:rsidRPr="00220343">
              <w:t>$963,580</w:t>
            </w:r>
          </w:p>
        </w:tc>
      </w:tr>
      <w:tr w:rsidR="00E00AB0" w:rsidRPr="002779B1" w:rsidTr="001E608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438" w:type="pct"/>
            <w:shd w:val="clear" w:color="auto" w:fill="auto"/>
            <w:noWrap/>
          </w:tcPr>
          <w:p w:rsidR="00E00AB0" w:rsidRPr="002779B1" w:rsidRDefault="00E00AB0" w:rsidP="00013B24">
            <w:pPr>
              <w:pStyle w:val="Tabletext"/>
              <w:rPr>
                <w:rFonts w:eastAsiaTheme="majorEastAsia"/>
                <w:lang w:val="en-AU"/>
              </w:rPr>
            </w:pPr>
            <w:r w:rsidRPr="002779B1">
              <w:rPr>
                <w:rFonts w:eastAsiaTheme="majorEastAsia"/>
                <w:lang w:val="en-AU"/>
              </w:rPr>
              <w:t>3. Two way sensitivity combining 1 and 2 above</w:t>
            </w:r>
          </w:p>
        </w:tc>
        <w:tc>
          <w:tcPr>
            <w:tcW w:w="517" w:type="pct"/>
            <w:tcBorders>
              <w:top w:val="single" w:sz="4" w:space="0" w:color="auto"/>
              <w:left w:val="nil"/>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w:t>
            </w:r>
            <w:r>
              <w:t>58,919</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$64,821</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$70,987</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$77,443</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$84,641</w:t>
            </w:r>
          </w:p>
        </w:tc>
      </w:tr>
      <w:tr w:rsidR="00E00AB0" w:rsidRPr="002779B1" w:rsidTr="001E608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438" w:type="pct"/>
            <w:shd w:val="clear" w:color="auto" w:fill="auto"/>
            <w:noWrap/>
          </w:tcPr>
          <w:p w:rsidR="00E00AB0" w:rsidRPr="002779B1" w:rsidRDefault="00E00AB0" w:rsidP="00013B24">
            <w:pPr>
              <w:pStyle w:val="Tabletext"/>
              <w:rPr>
                <w:rFonts w:eastAsiaTheme="majorEastAsia"/>
                <w:lang w:val="en-AU"/>
              </w:rPr>
            </w:pPr>
            <w:r w:rsidRPr="002779B1">
              <w:rPr>
                <w:rFonts w:eastAsiaTheme="majorEastAsia"/>
                <w:lang w:val="en-AU"/>
              </w:rPr>
              <w:t>4. Double the number of surgery items</w:t>
            </w:r>
          </w:p>
        </w:tc>
        <w:tc>
          <w:tcPr>
            <w:tcW w:w="517" w:type="pct"/>
            <w:tcBorders>
              <w:top w:val="single" w:sz="4" w:space="0" w:color="auto"/>
              <w:left w:val="nil"/>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$3,518,130</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$3,641,994</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$3,988,815</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$4,623,860</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$5,031,303</w:t>
            </w:r>
          </w:p>
        </w:tc>
      </w:tr>
      <w:tr w:rsidR="00E00AB0" w:rsidRPr="002779B1" w:rsidTr="001E608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438" w:type="pct"/>
            <w:tcBorders>
              <w:bottom w:val="single" w:sz="4" w:space="0" w:color="auto"/>
              <w:right w:val="single" w:sz="4" w:space="0" w:color="auto"/>
            </w:tcBorders>
            <w:shd w:val="clear" w:color="auto" w:fill="auto"/>
            <w:noWrap/>
          </w:tcPr>
          <w:p w:rsidR="00E00AB0" w:rsidRPr="002779B1" w:rsidRDefault="00E00AB0" w:rsidP="00013B24">
            <w:pPr>
              <w:pStyle w:val="Tabletext"/>
              <w:rPr>
                <w:rFonts w:eastAsiaTheme="majorEastAsia"/>
                <w:lang w:val="en-AU"/>
              </w:rPr>
            </w:pPr>
            <w:r w:rsidRPr="002779B1">
              <w:rPr>
                <w:rFonts w:eastAsiaTheme="majorEastAsia"/>
                <w:lang w:val="en-AU"/>
              </w:rPr>
              <w:t xml:space="preserve">5. Double the number of </w:t>
            </w:r>
            <w:r>
              <w:rPr>
                <w:rFonts w:eastAsiaTheme="majorEastAsia"/>
                <w:lang w:val="en-AU"/>
              </w:rPr>
              <w:t>co-administered services</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$2,018,169</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$2,106,037</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$2,306,575</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$2,652,483</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$2,887,548</w:t>
            </w:r>
          </w:p>
        </w:tc>
      </w:tr>
      <w:tr w:rsidR="00E00AB0" w:rsidRPr="002779B1" w:rsidTr="001E608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438" w:type="pct"/>
            <w:shd w:val="clear" w:color="auto" w:fill="auto"/>
            <w:noWrap/>
          </w:tcPr>
          <w:p w:rsidR="00E00AB0" w:rsidRPr="002779B1" w:rsidRDefault="00E00AB0" w:rsidP="00013B24">
            <w:pPr>
              <w:pStyle w:val="Tabletext"/>
              <w:rPr>
                <w:rFonts w:eastAsiaTheme="majorEastAsia"/>
                <w:lang w:val="en-AU"/>
              </w:rPr>
            </w:pPr>
            <w:r w:rsidRPr="002779B1">
              <w:rPr>
                <w:rFonts w:eastAsiaTheme="majorEastAsia"/>
                <w:lang w:val="en-AU"/>
              </w:rPr>
              <w:t>6. Two-way sensitivity combining 4 and 5 above</w:t>
            </w:r>
          </w:p>
        </w:tc>
        <w:tc>
          <w:tcPr>
            <w:tcW w:w="517" w:type="pct"/>
            <w:tcBorders>
              <w:top w:val="single" w:sz="4" w:space="0" w:color="auto"/>
              <w:left w:val="nil"/>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$4,095,851</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$4,277,539</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$4,684,851</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$5,383,184</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220343" w:rsidRDefault="00E00AB0" w:rsidP="00013B24">
            <w:pPr>
              <w:pStyle w:val="Tabletext"/>
              <w:jc w:val="center"/>
            </w:pPr>
            <w:r w:rsidRPr="00220343">
              <w:t>$5,860,424</w:t>
            </w:r>
          </w:p>
        </w:tc>
      </w:tr>
      <w:tr w:rsidR="00E00AB0" w:rsidRPr="008A4DD2" w:rsidTr="001E608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438" w:type="pct"/>
            <w:shd w:val="clear" w:color="auto" w:fill="auto"/>
            <w:noWrap/>
          </w:tcPr>
          <w:p w:rsidR="00E00AB0" w:rsidRDefault="00E00AB0" w:rsidP="00E00AB0">
            <w:pPr>
              <w:pStyle w:val="Tabletext"/>
              <w:numPr>
                <w:ilvl w:val="0"/>
                <w:numId w:val="32"/>
              </w:numPr>
              <w:ind w:left="172" w:hanging="172"/>
              <w:rPr>
                <w:rFonts w:eastAsiaTheme="majorEastAsia"/>
                <w:i/>
              </w:rPr>
            </w:pPr>
            <w:r>
              <w:rPr>
                <w:rFonts w:eastAsiaTheme="majorEastAsia"/>
                <w:i/>
              </w:rPr>
              <w:t>Higher anaesthetist cost (average time at 75</w:t>
            </w:r>
            <w:r w:rsidRPr="00037400">
              <w:rPr>
                <w:rFonts w:eastAsiaTheme="majorEastAsia"/>
                <w:i/>
                <w:vertAlign w:val="superscript"/>
              </w:rPr>
              <w:t>th</w:t>
            </w:r>
            <w:r>
              <w:rPr>
                <w:rFonts w:eastAsiaTheme="majorEastAsia"/>
                <w:i/>
              </w:rPr>
              <w:t xml:space="preserve"> </w:t>
            </w:r>
          </w:p>
          <w:p w:rsidR="00E00AB0" w:rsidRPr="008A4DD2" w:rsidRDefault="00E00AB0" w:rsidP="00912349">
            <w:pPr>
              <w:pStyle w:val="Tabletext"/>
              <w:ind w:left="235" w:hanging="235"/>
              <w:rPr>
                <w:rFonts w:eastAsiaTheme="majorEastAsia"/>
                <w:i/>
              </w:rPr>
            </w:pPr>
            <w:r>
              <w:rPr>
                <w:rFonts w:eastAsiaTheme="majorEastAsia"/>
                <w:i/>
              </w:rPr>
              <w:t>percentiles 2012 2013= 2:36 hours – MBS 23112 $237.60)</w:t>
            </w:r>
          </w:p>
        </w:tc>
        <w:tc>
          <w:tcPr>
            <w:tcW w:w="517" w:type="pct"/>
            <w:tcBorders>
              <w:top w:val="single" w:sz="4" w:space="0" w:color="auto"/>
              <w:left w:val="nil"/>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$1,765,089</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$1,827,623</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$2,001,665</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$2,319,847</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$2,524,288</w:t>
            </w:r>
          </w:p>
        </w:tc>
      </w:tr>
      <w:tr w:rsidR="00E00AB0" w:rsidRPr="008A4DD2" w:rsidTr="001E608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438" w:type="pct"/>
            <w:shd w:val="clear" w:color="auto" w:fill="auto"/>
            <w:noWrap/>
          </w:tcPr>
          <w:p w:rsidR="00E00AB0" w:rsidRDefault="00E00AB0" w:rsidP="00E00AB0">
            <w:pPr>
              <w:pStyle w:val="Tabletext"/>
              <w:numPr>
                <w:ilvl w:val="0"/>
                <w:numId w:val="33"/>
              </w:numPr>
              <w:ind w:left="172" w:hanging="172"/>
              <w:rPr>
                <w:rFonts w:eastAsiaTheme="majorEastAsia"/>
                <w:i/>
              </w:rPr>
            </w:pPr>
            <w:r>
              <w:rPr>
                <w:rFonts w:eastAsiaTheme="majorEastAsia"/>
                <w:i/>
              </w:rPr>
              <w:t>Higher patient load 60/m</w:t>
            </w:r>
            <w:r w:rsidR="00981423">
              <w:rPr>
                <w:rFonts w:eastAsiaTheme="majorEastAsia"/>
                <w:i/>
              </w:rPr>
              <w:t>on</w:t>
            </w:r>
            <w:r>
              <w:rPr>
                <w:rFonts w:eastAsiaTheme="majorEastAsia"/>
                <w:i/>
              </w:rPr>
              <w:t xml:space="preserve">th or 720 per year </w:t>
            </w:r>
          </w:p>
          <w:p w:rsidR="00E00AB0" w:rsidRDefault="00E00AB0" w:rsidP="00013B24">
            <w:pPr>
              <w:pStyle w:val="Tabletext"/>
              <w:ind w:left="235" w:hanging="235"/>
              <w:rPr>
                <w:rFonts w:eastAsiaTheme="majorEastAsia"/>
                <w:i/>
              </w:rPr>
            </w:pPr>
            <w:r>
              <w:rPr>
                <w:rFonts w:eastAsiaTheme="majorEastAsia"/>
                <w:i/>
              </w:rPr>
              <w:t>(Base case 46/m</w:t>
            </w:r>
            <w:r w:rsidR="00981423">
              <w:rPr>
                <w:rFonts w:eastAsiaTheme="majorEastAsia"/>
                <w:i/>
              </w:rPr>
              <w:t>on</w:t>
            </w:r>
            <w:r>
              <w:rPr>
                <w:rFonts w:eastAsiaTheme="majorEastAsia"/>
                <w:i/>
              </w:rPr>
              <w:t>th)</w:t>
            </w:r>
          </w:p>
        </w:tc>
        <w:tc>
          <w:tcPr>
            <w:tcW w:w="517" w:type="pct"/>
            <w:tcBorders>
              <w:top w:val="single" w:sz="4" w:space="0" w:color="auto"/>
              <w:left w:val="nil"/>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$1,937,798 </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$1,983,289 </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 $2,172,156 </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$2,546,836 </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$2,770,829 </w:t>
            </w:r>
          </w:p>
        </w:tc>
      </w:tr>
      <w:tr w:rsidR="00E00AB0" w:rsidRPr="008A4DD2" w:rsidTr="001E608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438" w:type="pct"/>
            <w:shd w:val="clear" w:color="auto" w:fill="auto"/>
            <w:noWrap/>
          </w:tcPr>
          <w:p w:rsidR="00E00AB0" w:rsidRPr="0059253F" w:rsidRDefault="00E00AB0" w:rsidP="00E00AB0">
            <w:pPr>
              <w:pStyle w:val="Tabletext"/>
              <w:numPr>
                <w:ilvl w:val="0"/>
                <w:numId w:val="33"/>
              </w:numPr>
              <w:ind w:left="235" w:hanging="235"/>
              <w:rPr>
                <w:rFonts w:eastAsiaTheme="majorEastAsia"/>
                <w:i/>
              </w:rPr>
            </w:pPr>
            <w:r>
              <w:rPr>
                <w:rFonts w:eastAsiaTheme="majorEastAsia"/>
                <w:i/>
              </w:rPr>
              <w:t>Higher number of accredited podiatric surgeons (4 in 2018,</w:t>
            </w:r>
            <w:r w:rsidRPr="0059253F">
              <w:rPr>
                <w:rFonts w:eastAsiaTheme="majorEastAsia"/>
                <w:i/>
              </w:rPr>
              <w:t xml:space="preserve"> </w:t>
            </w:r>
          </w:p>
          <w:p w:rsidR="00E00AB0" w:rsidRDefault="00E00AB0" w:rsidP="00013B24">
            <w:pPr>
              <w:pStyle w:val="Tabletext"/>
              <w:ind w:left="235" w:hanging="235"/>
              <w:rPr>
                <w:rFonts w:eastAsiaTheme="majorEastAsia"/>
                <w:i/>
              </w:rPr>
            </w:pPr>
            <w:r>
              <w:rPr>
                <w:rFonts w:eastAsiaTheme="majorEastAsia"/>
                <w:i/>
              </w:rPr>
              <w:t>7 in 2019)</w:t>
            </w:r>
          </w:p>
        </w:tc>
        <w:tc>
          <w:tcPr>
            <w:tcW w:w="517" w:type="pct"/>
            <w:tcBorders>
              <w:top w:val="single" w:sz="4" w:space="0" w:color="auto"/>
              <w:left w:val="nil"/>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 $1,729,308 </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 $1,788,264 </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$1,958,557 </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$2,540,291 </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$3,090,039 </w:t>
            </w:r>
          </w:p>
        </w:tc>
      </w:tr>
      <w:tr w:rsidR="00E00AB0" w:rsidRPr="008A4DD2" w:rsidTr="001E608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438" w:type="pct"/>
            <w:shd w:val="clear" w:color="auto" w:fill="auto"/>
            <w:noWrap/>
          </w:tcPr>
          <w:p w:rsidR="00E00AB0" w:rsidRDefault="00E00AB0" w:rsidP="00E00AB0">
            <w:pPr>
              <w:pStyle w:val="Tabletext"/>
              <w:numPr>
                <w:ilvl w:val="0"/>
                <w:numId w:val="33"/>
              </w:numPr>
              <w:ind w:left="235" w:hanging="235"/>
              <w:rPr>
                <w:rFonts w:eastAsiaTheme="majorEastAsia"/>
                <w:i/>
              </w:rPr>
            </w:pPr>
            <w:r>
              <w:rPr>
                <w:rFonts w:eastAsiaTheme="majorEastAsia"/>
                <w:i/>
              </w:rPr>
              <w:t>Two-way sensitivity analysis combining 8 and 9 above</w:t>
            </w:r>
          </w:p>
        </w:tc>
        <w:tc>
          <w:tcPr>
            <w:tcW w:w="517" w:type="pct"/>
            <w:tcBorders>
              <w:top w:val="single" w:sz="4" w:space="0" w:color="auto"/>
              <w:left w:val="nil"/>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$1,937,798 </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 $1,983,289 </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$2,172,156 </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 $2,848,558 </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B0" w:rsidRPr="004F4F61" w:rsidRDefault="00E00AB0" w:rsidP="00013B24">
            <w:pPr>
              <w:pStyle w:val="Tabletext"/>
              <w:jc w:val="center"/>
              <w:rPr>
                <w:rFonts w:cs="Arial"/>
                <w:bCs/>
                <w:i/>
                <w:szCs w:val="20"/>
              </w:rPr>
            </w:pPr>
            <w:r w:rsidRPr="004F4F61">
              <w:rPr>
                <w:rFonts w:cs="Arial"/>
                <w:bCs/>
                <w:i/>
                <w:szCs w:val="20"/>
              </w:rPr>
              <w:t xml:space="preserve">$3,466,810 </w:t>
            </w:r>
          </w:p>
        </w:tc>
      </w:tr>
    </w:tbl>
    <w:p w:rsidR="00E00AB0" w:rsidRPr="00214F9E" w:rsidRDefault="00E00AB0" w:rsidP="00E00AB0"/>
    <w:p w:rsidR="00E00AB0" w:rsidRDefault="00E00AB0" w:rsidP="00E00AB0">
      <w:r>
        <w:t xml:space="preserve">The application estimated that the net cost to the MBS </w:t>
      </w:r>
      <w:r w:rsidR="001E6089">
        <w:t>would</w:t>
      </w:r>
      <w:r>
        <w:t xml:space="preserve"> be a</w:t>
      </w:r>
      <w:r w:rsidR="001E6089">
        <w:t xml:space="preserve">t most about </w:t>
      </w:r>
      <w:r>
        <w:t xml:space="preserve">$6 million in </w:t>
      </w:r>
      <w:r w:rsidR="001E6089">
        <w:t>year 5</w:t>
      </w:r>
      <w:r>
        <w:t>. The sensitivity analysis showed that:</w:t>
      </w:r>
    </w:p>
    <w:p w:rsidR="00E00AB0" w:rsidRDefault="00E00AB0" w:rsidP="00E00AB0">
      <w:pPr>
        <w:pStyle w:val="ListParagraph"/>
        <w:numPr>
          <w:ilvl w:val="0"/>
          <w:numId w:val="31"/>
        </w:numPr>
        <w:jc w:val="both"/>
      </w:pPr>
      <w:r>
        <w:t>The net cost to the MBS was significantly reduced when patient numbers, number of surgeries was reduced</w:t>
      </w:r>
      <w:r w:rsidRPr="00605014">
        <w:t xml:space="preserve"> </w:t>
      </w:r>
      <w:r>
        <w:t>or</w:t>
      </w:r>
      <w:r w:rsidR="00912349">
        <w:t xml:space="preserve"> full substitution occurred.</w:t>
      </w:r>
    </w:p>
    <w:p w:rsidR="00E00AB0" w:rsidRPr="00605014" w:rsidRDefault="00E00AB0" w:rsidP="00E00AB0">
      <w:pPr>
        <w:pStyle w:val="ListParagraph"/>
        <w:numPr>
          <w:ilvl w:val="0"/>
          <w:numId w:val="31"/>
        </w:numPr>
        <w:jc w:val="both"/>
        <w:rPr>
          <w:i/>
        </w:rPr>
      </w:pPr>
      <w:r>
        <w:lastRenderedPageBreak/>
        <w:t>The net cost to the MBS was significantly increased when allowing for double the number of surg</w:t>
      </w:r>
      <w:r w:rsidR="00912349">
        <w:t>eries or co-administered items.</w:t>
      </w:r>
    </w:p>
    <w:p w:rsidR="00E00AB0" w:rsidRPr="00D332D5" w:rsidRDefault="00E00AB0" w:rsidP="00E00AB0">
      <w:pPr>
        <w:pStyle w:val="ListParagraph"/>
        <w:numPr>
          <w:ilvl w:val="0"/>
          <w:numId w:val="31"/>
        </w:numPr>
        <w:jc w:val="both"/>
      </w:pPr>
      <w:r w:rsidRPr="00D332D5">
        <w:t xml:space="preserve">The financial estimates </w:t>
      </w:r>
      <w:r w:rsidR="00716B65">
        <w:t>we</w:t>
      </w:r>
      <w:r w:rsidRPr="00D332D5">
        <w:t>re dependent on the number of accredited podiatric surgeons over time and</w:t>
      </w:r>
      <w:r w:rsidR="001E6089">
        <w:t>,</w:t>
      </w:r>
      <w:r w:rsidRPr="00D332D5">
        <w:t xml:space="preserve"> in turn</w:t>
      </w:r>
      <w:r w:rsidR="001E6089">
        <w:t>,</w:t>
      </w:r>
      <w:r w:rsidRPr="00D332D5">
        <w:t xml:space="preserve"> the number of patients they w</w:t>
      </w:r>
      <w:r w:rsidR="00716B65">
        <w:t>ould</w:t>
      </w:r>
      <w:r w:rsidRPr="00D332D5">
        <w:t xml:space="preserve"> treat. The estimates </w:t>
      </w:r>
      <w:r w:rsidR="00716B65">
        <w:t>we</w:t>
      </w:r>
      <w:r w:rsidRPr="00D332D5">
        <w:t xml:space="preserve">re sensitive to these two factors as shown in </w:t>
      </w:r>
      <w:r w:rsidR="00562A7E">
        <w:t>row</w:t>
      </w:r>
      <w:r w:rsidRPr="00D332D5">
        <w:t xml:space="preserve"> 10 </w:t>
      </w:r>
      <w:r w:rsidR="00716B65">
        <w:t>of Table 7</w:t>
      </w:r>
      <w:r w:rsidRPr="00D332D5">
        <w:t>.</w:t>
      </w:r>
    </w:p>
    <w:p w:rsidR="00E00AB0" w:rsidRPr="00C84EFB" w:rsidRDefault="00E00AB0" w:rsidP="00E00AB0">
      <w:pPr>
        <w:tabs>
          <w:tab w:val="left" w:pos="720"/>
          <w:tab w:val="left" w:pos="1140"/>
        </w:tabs>
        <w:spacing w:before="120"/>
        <w:rPr>
          <w:szCs w:val="24"/>
        </w:rPr>
      </w:pPr>
    </w:p>
    <w:p w:rsidR="00BC1364" w:rsidRDefault="00E00AB0" w:rsidP="000D4338">
      <w:pPr>
        <w:tabs>
          <w:tab w:val="left" w:pos="720"/>
        </w:tabs>
      </w:pPr>
      <w:r w:rsidRPr="00252638">
        <w:t>The critique noted that t</w:t>
      </w:r>
      <w:r w:rsidRPr="00E924FD">
        <w:t xml:space="preserve">he estimated number of MBS services </w:t>
      </w:r>
      <w:r w:rsidR="00716B65">
        <w:t>wa</w:t>
      </w:r>
      <w:r w:rsidRPr="00E924FD">
        <w:t xml:space="preserve">s 18,862 in </w:t>
      </w:r>
      <w:r w:rsidR="00562A7E">
        <w:t>year 1</w:t>
      </w:r>
      <w:r w:rsidR="00562A7E" w:rsidRPr="00E924FD">
        <w:t xml:space="preserve"> </w:t>
      </w:r>
      <w:r w:rsidRPr="00E924FD">
        <w:t xml:space="preserve">rising </w:t>
      </w:r>
      <w:r w:rsidR="00716B65">
        <w:t xml:space="preserve">to 26,714 in </w:t>
      </w:r>
      <w:r w:rsidR="00562A7E">
        <w:t>year 5</w:t>
      </w:r>
      <w:r w:rsidR="00716B65">
        <w:t>. This included</w:t>
      </w:r>
      <w:r w:rsidRPr="00E924FD">
        <w:t xml:space="preserve"> all the surgical and co-administered services requeste</w:t>
      </w:r>
      <w:r w:rsidR="00716B65">
        <w:t>d in the application and related</w:t>
      </w:r>
      <w:r w:rsidRPr="00E924FD">
        <w:t xml:space="preserve"> to 1,606 surgical procedures in </w:t>
      </w:r>
      <w:r w:rsidR="00562A7E">
        <w:t>year 1</w:t>
      </w:r>
      <w:r w:rsidR="00562A7E" w:rsidRPr="00E924FD">
        <w:t xml:space="preserve"> </w:t>
      </w:r>
      <w:r w:rsidRPr="00E924FD">
        <w:t xml:space="preserve">and 2,303 in </w:t>
      </w:r>
      <w:r w:rsidR="00562A7E">
        <w:t>year 5</w:t>
      </w:r>
      <w:r w:rsidRPr="00E924FD">
        <w:t xml:space="preserve">. The number of patients and surgical services </w:t>
      </w:r>
      <w:r w:rsidR="00716B65">
        <w:t>wa</w:t>
      </w:r>
      <w:r w:rsidRPr="00E924FD">
        <w:t xml:space="preserve">s entirely dependent on the existing pool and expected number of newly accredited podiatric surgeons during these years and their patient caseload. There </w:t>
      </w:r>
      <w:r w:rsidR="00716B65">
        <w:t>would be</w:t>
      </w:r>
      <w:r w:rsidRPr="00E924FD">
        <w:t xml:space="preserve"> potential for the net cost per year to the MBS, if podiatric surgeon services </w:t>
      </w:r>
      <w:r w:rsidR="00716B65">
        <w:t>we</w:t>
      </w:r>
      <w:r w:rsidRPr="00E924FD">
        <w:t xml:space="preserve">re </w:t>
      </w:r>
      <w:r w:rsidR="00716B65">
        <w:t xml:space="preserve">to be </w:t>
      </w:r>
      <w:r w:rsidRPr="00E924FD">
        <w:t>MBS funded, to be greater than estimated in the application.</w:t>
      </w:r>
    </w:p>
    <w:p w:rsidR="00ED0587" w:rsidRDefault="00ED0587" w:rsidP="000D4338">
      <w:pPr>
        <w:tabs>
          <w:tab w:val="left" w:pos="720"/>
        </w:tabs>
      </w:pPr>
    </w:p>
    <w:p w:rsidR="00ED0587" w:rsidRPr="000D4338" w:rsidRDefault="00ED0587" w:rsidP="000D4338">
      <w:pPr>
        <w:tabs>
          <w:tab w:val="left" w:pos="720"/>
        </w:tabs>
      </w:pPr>
      <w:r>
        <w:t xml:space="preserve">The applicant </w:t>
      </w:r>
      <w:r w:rsidR="00B76181">
        <w:t xml:space="preserve">preMSAC response </w:t>
      </w:r>
      <w:r>
        <w:t>noted that the financial and other forecasts include future podiatric surgeons currently training in Australia.</w:t>
      </w:r>
    </w:p>
    <w:p w:rsidR="00CA669F" w:rsidRPr="00716B65" w:rsidRDefault="00CA669F" w:rsidP="00D340DE">
      <w:pPr>
        <w:rPr>
          <w:szCs w:val="24"/>
        </w:rPr>
      </w:pPr>
    </w:p>
    <w:p w:rsidR="006A0D97" w:rsidRDefault="006A0D97" w:rsidP="006A0D97">
      <w:pPr>
        <w:pStyle w:val="Heading1"/>
        <w:numPr>
          <w:ilvl w:val="0"/>
          <w:numId w:val="23"/>
        </w:numPr>
        <w:ind w:hanging="720"/>
      </w:pPr>
      <w:r w:rsidRPr="006A0D97">
        <w:t>Key issues from ESC for MSAC</w:t>
      </w:r>
    </w:p>
    <w:p w:rsidR="002F05D5" w:rsidRDefault="002F05D5" w:rsidP="00E00AB0">
      <w:pPr>
        <w:pStyle w:val="NoSpacing"/>
        <w:rPr>
          <w:rFonts w:ascii="Times New Roman" w:eastAsia="Times New Roman" w:hAnsi="Times New Roman" w:cs="Times New Roman"/>
          <w:sz w:val="24"/>
          <w:szCs w:val="24"/>
          <w:lang w:val="en-US" w:eastAsia="en-AU"/>
        </w:rPr>
      </w:pPr>
    </w:p>
    <w:p w:rsidR="000B0027" w:rsidRPr="00D6391F" w:rsidRDefault="000B0027" w:rsidP="000B0027">
      <w:pPr>
        <w:pStyle w:val="NoSpacing"/>
        <w:rPr>
          <w:rFonts w:ascii="Times New Roman" w:hAnsi="Times New Roman" w:cs="Times New Roman"/>
          <w:i/>
          <w:sz w:val="24"/>
          <w:szCs w:val="24"/>
        </w:rPr>
      </w:pPr>
      <w:r w:rsidRPr="00D6391F">
        <w:rPr>
          <w:rFonts w:ascii="Times New Roman" w:hAnsi="Times New Roman" w:cs="Times New Roman"/>
          <w:i/>
          <w:sz w:val="24"/>
          <w:szCs w:val="24"/>
        </w:rPr>
        <w:t>Evidence</w:t>
      </w:r>
    </w:p>
    <w:p w:rsidR="000B0027" w:rsidRPr="00921A9B" w:rsidRDefault="000B0027" w:rsidP="00921A9B">
      <w:r>
        <w:rPr>
          <w:szCs w:val="24"/>
        </w:rPr>
        <w:t xml:space="preserve">ESC considered that the evidence presented in support of the application was </w:t>
      </w:r>
      <w:r w:rsidRPr="00685BE3">
        <w:rPr>
          <w:szCs w:val="24"/>
        </w:rPr>
        <w:t xml:space="preserve">insufficient to support the applicant’s claim that </w:t>
      </w:r>
      <w:r>
        <w:rPr>
          <w:szCs w:val="24"/>
        </w:rPr>
        <w:t>podiatric surgeons</w:t>
      </w:r>
      <w:r w:rsidRPr="00685BE3">
        <w:rPr>
          <w:szCs w:val="24"/>
        </w:rPr>
        <w:t xml:space="preserve"> </w:t>
      </w:r>
      <w:r>
        <w:rPr>
          <w:szCs w:val="24"/>
        </w:rPr>
        <w:t>were</w:t>
      </w:r>
      <w:r w:rsidRPr="00685BE3">
        <w:rPr>
          <w:szCs w:val="24"/>
        </w:rPr>
        <w:t xml:space="preserve"> </w:t>
      </w:r>
      <w:r>
        <w:rPr>
          <w:szCs w:val="24"/>
        </w:rPr>
        <w:t xml:space="preserve">non-inferior to </w:t>
      </w:r>
      <w:r w:rsidRPr="00E521B1">
        <w:rPr>
          <w:szCs w:val="24"/>
        </w:rPr>
        <w:t>orthopaedic</w:t>
      </w:r>
      <w:r>
        <w:rPr>
          <w:szCs w:val="24"/>
          <w:lang w:val="en-US"/>
        </w:rPr>
        <w:t xml:space="preserve"> surgeons</w:t>
      </w:r>
      <w:r w:rsidR="00921A9B">
        <w:rPr>
          <w:szCs w:val="24"/>
          <w:lang w:val="en-US"/>
        </w:rPr>
        <w:t xml:space="preserve">, </w:t>
      </w:r>
      <w:r w:rsidR="00921A9B">
        <w:t>noting that this also does not show that services provided by podiatric surgeons are inferior to those provided by orthopaedic surgeons.</w:t>
      </w:r>
      <w:r>
        <w:rPr>
          <w:szCs w:val="24"/>
        </w:rPr>
        <w:t xml:space="preserve"> </w:t>
      </w:r>
    </w:p>
    <w:p w:rsidR="000B0027" w:rsidRPr="00D6391F" w:rsidRDefault="000B0027" w:rsidP="000B0027">
      <w:pPr>
        <w:pStyle w:val="NoSpacing"/>
        <w:rPr>
          <w:rFonts w:ascii="Times New Roman" w:hAnsi="Times New Roman" w:cs="Times New Roman"/>
          <w:sz w:val="24"/>
          <w:szCs w:val="24"/>
        </w:rPr>
      </w:pPr>
    </w:p>
    <w:p w:rsidR="00B456BA" w:rsidRDefault="000B0027" w:rsidP="000B0027">
      <w:pPr>
        <w:pStyle w:val="NoSpacing"/>
        <w:rPr>
          <w:rFonts w:ascii="Times New Roman" w:hAnsi="Times New Roman" w:cs="Times New Roman"/>
          <w:sz w:val="24"/>
          <w:szCs w:val="24"/>
        </w:rPr>
      </w:pPr>
      <w:r w:rsidRPr="00C83439">
        <w:rPr>
          <w:rFonts w:ascii="Times New Roman" w:hAnsi="Times New Roman" w:cs="Times New Roman"/>
          <w:sz w:val="24"/>
          <w:szCs w:val="24"/>
        </w:rPr>
        <w:t xml:space="preserve">Evidence was drawn from 17 single-arm studies and </w:t>
      </w:r>
      <w:r>
        <w:rPr>
          <w:rFonts w:ascii="Times New Roman" w:hAnsi="Times New Roman" w:cs="Times New Roman"/>
          <w:sz w:val="24"/>
          <w:szCs w:val="24"/>
        </w:rPr>
        <w:t xml:space="preserve">the </w:t>
      </w:r>
      <w:r w:rsidRPr="00D6391F">
        <w:rPr>
          <w:rFonts w:ascii="Times New Roman" w:hAnsi="Times New Roman" w:cs="Times New Roman"/>
          <w:sz w:val="24"/>
          <w:szCs w:val="24"/>
        </w:rPr>
        <w:t>primary data in support of the application was drawn from the Australian College of Podiatric Surgeons 2013 national audit.</w:t>
      </w:r>
    </w:p>
    <w:p w:rsidR="00B456BA" w:rsidRDefault="00B456BA" w:rsidP="000B0027">
      <w:pPr>
        <w:pStyle w:val="NoSpacing"/>
        <w:rPr>
          <w:rFonts w:ascii="Times New Roman" w:hAnsi="Times New Roman" w:cs="Times New Roman"/>
          <w:sz w:val="24"/>
          <w:szCs w:val="24"/>
        </w:rPr>
      </w:pPr>
    </w:p>
    <w:p w:rsidR="000B0027" w:rsidRPr="00D6391F" w:rsidRDefault="000B0027" w:rsidP="000B0027">
      <w:pPr>
        <w:pStyle w:val="NoSpacing"/>
        <w:rPr>
          <w:rFonts w:ascii="Times New Roman" w:hAnsi="Times New Roman" w:cs="Times New Roman"/>
          <w:i/>
          <w:sz w:val="24"/>
          <w:szCs w:val="24"/>
          <w:lang w:val="en-US"/>
        </w:rPr>
      </w:pPr>
      <w:r w:rsidRPr="00D6391F">
        <w:rPr>
          <w:rFonts w:ascii="Times New Roman" w:hAnsi="Times New Roman" w:cs="Times New Roman"/>
          <w:i/>
          <w:sz w:val="24"/>
          <w:szCs w:val="24"/>
          <w:lang w:val="en-US"/>
        </w:rPr>
        <w:t>Unmet need</w:t>
      </w:r>
    </w:p>
    <w:p w:rsidR="000B0027" w:rsidRDefault="000B0027" w:rsidP="000B002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6705CA">
        <w:rPr>
          <w:rFonts w:ascii="Times New Roman" w:eastAsia="Times New Roman" w:hAnsi="Times New Roman" w:cs="Times New Roman"/>
          <w:sz w:val="24"/>
          <w:szCs w:val="24"/>
        </w:rPr>
        <w:t>emand for foot surgery is increasing due to the ageing Australian population, the rising diabetic complications and the rising waiting lists for orthopaedic surgery.</w:t>
      </w:r>
      <w:r>
        <w:rPr>
          <w:rFonts w:ascii="Times New Roman" w:eastAsia="Times New Roman" w:hAnsi="Times New Roman" w:cs="Times New Roman"/>
          <w:sz w:val="24"/>
          <w:szCs w:val="24"/>
        </w:rPr>
        <w:t xml:space="preserve">  However, as </w:t>
      </w:r>
      <w:r w:rsidRPr="006705CA">
        <w:rPr>
          <w:rFonts w:ascii="Times New Roman" w:eastAsia="Times New Roman" w:hAnsi="Times New Roman" w:cs="Times New Roman"/>
          <w:sz w:val="24"/>
          <w:szCs w:val="24"/>
        </w:rPr>
        <w:t>the waiting lists for orthopaedic surgery cannot be separated out</w:t>
      </w:r>
      <w:r>
        <w:rPr>
          <w:rFonts w:ascii="Times New Roman" w:eastAsia="Times New Roman" w:hAnsi="Times New Roman" w:cs="Times New Roman"/>
          <w:sz w:val="24"/>
          <w:szCs w:val="24"/>
        </w:rPr>
        <w:t xml:space="preserve">, </w:t>
      </w:r>
      <w:r w:rsidRPr="006705CA">
        <w:rPr>
          <w:rFonts w:ascii="Times New Roman" w:eastAsia="Times New Roman" w:hAnsi="Times New Roman" w:cs="Times New Roman"/>
          <w:sz w:val="24"/>
          <w:szCs w:val="24"/>
        </w:rPr>
        <w:t>there are no data on how many people on the waiting lists are waiting for foot and ankle surgeries</w:t>
      </w:r>
      <w:r w:rsidR="00AA0FBC">
        <w:rPr>
          <w:rFonts w:ascii="Times New Roman" w:eastAsia="Times New Roman" w:hAnsi="Times New Roman" w:cs="Times New Roman"/>
          <w:sz w:val="24"/>
          <w:szCs w:val="24"/>
        </w:rPr>
        <w:t>.</w:t>
      </w:r>
    </w:p>
    <w:p w:rsidR="00AA0FBC" w:rsidRDefault="00AA0FBC" w:rsidP="000B0027">
      <w:pPr>
        <w:pStyle w:val="NoSpacing"/>
        <w:rPr>
          <w:rFonts w:ascii="Times New Roman" w:hAnsi="Times New Roman" w:cs="Times New Roman"/>
          <w:sz w:val="24"/>
          <w:szCs w:val="24"/>
        </w:rPr>
      </w:pPr>
    </w:p>
    <w:p w:rsidR="00412D01" w:rsidRDefault="00A87F5F" w:rsidP="000B0027">
      <w:pPr>
        <w:pStyle w:val="NoSpacing"/>
        <w:rPr>
          <w:rFonts w:ascii="Times New Roman" w:hAnsi="Times New Roman" w:cs="Times New Roman"/>
          <w:sz w:val="24"/>
          <w:szCs w:val="24"/>
        </w:rPr>
      </w:pPr>
      <w:r>
        <w:rPr>
          <w:rFonts w:ascii="Times New Roman" w:hAnsi="Times New Roman" w:cs="Times New Roman"/>
          <w:sz w:val="24"/>
          <w:szCs w:val="24"/>
        </w:rPr>
        <w:t>ESC was uncertain</w:t>
      </w:r>
      <w:r w:rsidR="000B0027" w:rsidRPr="006705CA">
        <w:rPr>
          <w:rFonts w:ascii="Times New Roman" w:hAnsi="Times New Roman" w:cs="Times New Roman"/>
          <w:sz w:val="24"/>
          <w:szCs w:val="24"/>
        </w:rPr>
        <w:t xml:space="preserve"> </w:t>
      </w:r>
      <w:r w:rsidR="000B0027" w:rsidRPr="004367C4">
        <w:rPr>
          <w:rFonts w:ascii="Times New Roman" w:hAnsi="Times New Roman" w:cs="Times New Roman"/>
          <w:sz w:val="24"/>
          <w:szCs w:val="24"/>
        </w:rPr>
        <w:t>whether the</w:t>
      </w:r>
      <w:r>
        <w:rPr>
          <w:rFonts w:ascii="Times New Roman" w:hAnsi="Times New Roman" w:cs="Times New Roman"/>
          <w:sz w:val="24"/>
          <w:szCs w:val="24"/>
        </w:rPr>
        <w:t>re is an</w:t>
      </w:r>
      <w:r w:rsidR="000B0027" w:rsidRPr="004367C4">
        <w:rPr>
          <w:rFonts w:ascii="Times New Roman" w:hAnsi="Times New Roman" w:cs="Times New Roman"/>
          <w:sz w:val="24"/>
          <w:szCs w:val="24"/>
        </w:rPr>
        <w:t xml:space="preserve"> unmet need in non-complex cases</w:t>
      </w:r>
      <w:r w:rsidR="000B0027">
        <w:rPr>
          <w:rFonts w:ascii="Times New Roman" w:hAnsi="Times New Roman" w:cs="Times New Roman"/>
          <w:sz w:val="24"/>
          <w:szCs w:val="24"/>
        </w:rPr>
        <w:t>,</w:t>
      </w:r>
      <w:r w:rsidR="000B0027" w:rsidRPr="006705CA">
        <w:rPr>
          <w:rFonts w:ascii="Times New Roman" w:hAnsi="Times New Roman" w:cs="Times New Roman"/>
          <w:sz w:val="24"/>
          <w:szCs w:val="24"/>
        </w:rPr>
        <w:t xml:space="preserve"> </w:t>
      </w:r>
      <w:r>
        <w:rPr>
          <w:rFonts w:ascii="Times New Roman" w:hAnsi="Times New Roman" w:cs="Times New Roman"/>
          <w:sz w:val="24"/>
          <w:szCs w:val="24"/>
        </w:rPr>
        <w:t>the impact of</w:t>
      </w:r>
      <w:r w:rsidRPr="006705CA">
        <w:rPr>
          <w:rFonts w:ascii="Times New Roman" w:hAnsi="Times New Roman" w:cs="Times New Roman"/>
          <w:sz w:val="24"/>
          <w:szCs w:val="24"/>
        </w:rPr>
        <w:t xml:space="preserve"> </w:t>
      </w:r>
      <w:r w:rsidR="000B0027">
        <w:rPr>
          <w:rFonts w:ascii="Times New Roman" w:hAnsi="Times New Roman" w:cs="Times New Roman"/>
          <w:sz w:val="24"/>
          <w:szCs w:val="24"/>
        </w:rPr>
        <w:t xml:space="preserve">an </w:t>
      </w:r>
      <w:r w:rsidR="000B0027" w:rsidRPr="004367C4">
        <w:rPr>
          <w:rFonts w:ascii="Times New Roman" w:hAnsi="Times New Roman" w:cs="Times New Roman"/>
          <w:sz w:val="24"/>
          <w:szCs w:val="24"/>
        </w:rPr>
        <w:t>increase in podiatric surgical services</w:t>
      </w:r>
      <w:r w:rsidR="000B0027">
        <w:rPr>
          <w:rFonts w:ascii="Times New Roman" w:hAnsi="Times New Roman" w:cs="Times New Roman"/>
          <w:sz w:val="24"/>
          <w:szCs w:val="24"/>
        </w:rPr>
        <w:t>,</w:t>
      </w:r>
      <w:r w:rsidR="000B0027" w:rsidRPr="004367C4">
        <w:rPr>
          <w:rFonts w:ascii="Times New Roman" w:hAnsi="Times New Roman" w:cs="Times New Roman"/>
          <w:sz w:val="24"/>
          <w:szCs w:val="24"/>
        </w:rPr>
        <w:t xml:space="preserve"> or whether there would be an increase in some procedures</w:t>
      </w:r>
      <w:r w:rsidR="000B0027">
        <w:rPr>
          <w:rFonts w:ascii="Times New Roman" w:hAnsi="Times New Roman" w:cs="Times New Roman"/>
          <w:sz w:val="24"/>
          <w:szCs w:val="24"/>
        </w:rPr>
        <w:t>.</w:t>
      </w:r>
    </w:p>
    <w:p w:rsidR="00412D01" w:rsidRDefault="00412D01" w:rsidP="000B0027">
      <w:pPr>
        <w:pStyle w:val="NoSpacing"/>
        <w:rPr>
          <w:rFonts w:ascii="Times New Roman" w:hAnsi="Times New Roman" w:cs="Times New Roman"/>
          <w:sz w:val="24"/>
          <w:szCs w:val="24"/>
        </w:rPr>
      </w:pPr>
    </w:p>
    <w:p w:rsidR="000B0027" w:rsidRPr="00D6391F" w:rsidRDefault="000B0027" w:rsidP="000B0027">
      <w:pPr>
        <w:pStyle w:val="NoSpacing"/>
        <w:rPr>
          <w:rFonts w:ascii="Times New Roman" w:hAnsi="Times New Roman" w:cs="Times New Roman"/>
          <w:i/>
          <w:sz w:val="24"/>
          <w:szCs w:val="24"/>
        </w:rPr>
      </w:pPr>
      <w:r w:rsidRPr="00D6391F">
        <w:rPr>
          <w:rFonts w:ascii="Times New Roman" w:hAnsi="Times New Roman" w:cs="Times New Roman"/>
          <w:i/>
          <w:sz w:val="24"/>
          <w:szCs w:val="24"/>
        </w:rPr>
        <w:t>Financial implications</w:t>
      </w:r>
    </w:p>
    <w:p w:rsidR="000B0027" w:rsidRPr="00D6391F" w:rsidRDefault="000B0027" w:rsidP="000B0027">
      <w:pPr>
        <w:pStyle w:val="NoSpacing"/>
        <w:rPr>
          <w:rFonts w:ascii="Times New Roman" w:hAnsi="Times New Roman" w:cs="Times New Roman"/>
          <w:sz w:val="24"/>
          <w:szCs w:val="24"/>
          <w:lang w:val="en-US"/>
        </w:rPr>
      </w:pPr>
      <w:r>
        <w:rPr>
          <w:rFonts w:ascii="Times New Roman" w:hAnsi="Times New Roman" w:cs="Times New Roman"/>
          <w:sz w:val="24"/>
          <w:szCs w:val="24"/>
          <w:lang w:val="en-US"/>
        </w:rPr>
        <w:t>ESC was concerned that t</w:t>
      </w:r>
      <w:r w:rsidRPr="00D6391F">
        <w:rPr>
          <w:rFonts w:ascii="Times New Roman" w:hAnsi="Times New Roman" w:cs="Times New Roman"/>
          <w:sz w:val="24"/>
          <w:szCs w:val="24"/>
          <w:lang w:val="en-US"/>
        </w:rPr>
        <w:t>he patient numbers in the application may have been underestimated.</w:t>
      </w:r>
    </w:p>
    <w:p w:rsidR="000B0027" w:rsidRDefault="000B0027" w:rsidP="000B0027">
      <w:pPr>
        <w:pStyle w:val="NoSpacing"/>
        <w:rPr>
          <w:rFonts w:ascii="Times New Roman" w:eastAsia="Times New Roman" w:hAnsi="Times New Roman" w:cs="Times New Roman"/>
          <w:sz w:val="24"/>
          <w:szCs w:val="24"/>
        </w:rPr>
      </w:pPr>
    </w:p>
    <w:p w:rsidR="000B0027" w:rsidRPr="006C1413" w:rsidRDefault="000B0027" w:rsidP="000B0027">
      <w:pPr>
        <w:pStyle w:val="NoSpacing"/>
        <w:rPr>
          <w:rFonts w:ascii="Times New Roman" w:hAnsi="Times New Roman" w:cs="Times New Roman"/>
          <w:sz w:val="24"/>
          <w:szCs w:val="24"/>
          <w:lang w:val="en-US"/>
        </w:rPr>
      </w:pPr>
      <w:r w:rsidRPr="002C30F8">
        <w:rPr>
          <w:rFonts w:ascii="Times New Roman" w:hAnsi="Times New Roman" w:cs="Times New Roman"/>
          <w:sz w:val="24"/>
          <w:szCs w:val="24"/>
          <w:lang w:val="en-US"/>
        </w:rPr>
        <w:t xml:space="preserve">The </w:t>
      </w:r>
      <w:r w:rsidRPr="00C83439">
        <w:rPr>
          <w:rFonts w:ascii="Times New Roman" w:hAnsi="Times New Roman" w:cs="Times New Roman"/>
          <w:sz w:val="24"/>
          <w:szCs w:val="24"/>
          <w:lang w:val="en-US"/>
        </w:rPr>
        <w:t>financial impact was assessed to be m</w:t>
      </w:r>
      <w:r w:rsidRPr="00D6391F">
        <w:rPr>
          <w:rFonts w:ascii="Times New Roman" w:hAnsi="Times New Roman" w:cs="Times New Roman"/>
          <w:sz w:val="24"/>
          <w:szCs w:val="24"/>
          <w:lang w:val="en-US"/>
        </w:rPr>
        <w:t xml:space="preserve">odest ($6 million maximum in 5 years), based on a conservative approach </w:t>
      </w:r>
      <w:r>
        <w:rPr>
          <w:rFonts w:ascii="Times New Roman" w:hAnsi="Times New Roman" w:cs="Times New Roman"/>
          <w:sz w:val="24"/>
          <w:szCs w:val="24"/>
          <w:lang w:val="en-US"/>
        </w:rPr>
        <w:t xml:space="preserve">which counted </w:t>
      </w:r>
      <w:r w:rsidRPr="00D6391F">
        <w:rPr>
          <w:rFonts w:ascii="Times New Roman" w:hAnsi="Times New Roman" w:cs="Times New Roman"/>
          <w:sz w:val="24"/>
          <w:szCs w:val="24"/>
          <w:lang w:val="en-US"/>
        </w:rPr>
        <w:t>additional services rather than substitution</w:t>
      </w:r>
      <w:r>
        <w:rPr>
          <w:rFonts w:ascii="Times New Roman" w:hAnsi="Times New Roman" w:cs="Times New Roman"/>
          <w:sz w:val="24"/>
          <w:szCs w:val="24"/>
          <w:lang w:val="en-US"/>
        </w:rPr>
        <w:t xml:space="preserve"> of services</w:t>
      </w:r>
      <w:r w:rsidRPr="00D6391F">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D6391F">
        <w:rPr>
          <w:rFonts w:ascii="Times New Roman" w:hAnsi="Times New Roman" w:cs="Times New Roman"/>
          <w:sz w:val="24"/>
          <w:szCs w:val="24"/>
          <w:lang w:val="en-US"/>
        </w:rPr>
        <w:t xml:space="preserve"> key driver in the estimates was the potential growth in accredited podiatric surgeons.  </w:t>
      </w:r>
      <w:r>
        <w:rPr>
          <w:rFonts w:ascii="Times New Roman" w:hAnsi="Times New Roman" w:cs="Times New Roman"/>
          <w:sz w:val="24"/>
          <w:szCs w:val="24"/>
          <w:lang w:val="en-US"/>
        </w:rPr>
        <w:t>However, t</w:t>
      </w:r>
      <w:r w:rsidRPr="00D84868">
        <w:rPr>
          <w:rFonts w:ascii="Times New Roman" w:hAnsi="Times New Roman" w:cs="Times New Roman"/>
          <w:sz w:val="24"/>
          <w:szCs w:val="24"/>
          <w:lang w:val="en-US"/>
        </w:rPr>
        <w:t xml:space="preserve">here </w:t>
      </w:r>
      <w:r>
        <w:rPr>
          <w:rFonts w:ascii="Times New Roman" w:hAnsi="Times New Roman" w:cs="Times New Roman"/>
          <w:sz w:val="24"/>
          <w:szCs w:val="24"/>
          <w:lang w:val="en-US"/>
        </w:rPr>
        <w:t>we</w:t>
      </w:r>
      <w:r w:rsidRPr="00D84868">
        <w:rPr>
          <w:rFonts w:ascii="Times New Roman" w:hAnsi="Times New Roman" w:cs="Times New Roman"/>
          <w:sz w:val="24"/>
          <w:szCs w:val="24"/>
          <w:lang w:val="en-US"/>
        </w:rPr>
        <w:t xml:space="preserve">re still a number of unknown factors around </w:t>
      </w:r>
      <w:r>
        <w:rPr>
          <w:rFonts w:ascii="Times New Roman" w:eastAsia="Times New Roman" w:hAnsi="Times New Roman" w:cs="Times New Roman"/>
          <w:sz w:val="24"/>
          <w:szCs w:val="24"/>
        </w:rPr>
        <w:t>rate</w:t>
      </w:r>
      <w:r w:rsidR="00A87F5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adverse events, follow up care, or whether </w:t>
      </w:r>
      <w:r w:rsidR="00977281">
        <w:rPr>
          <w:rFonts w:ascii="Times New Roman" w:eastAsia="Times New Roman" w:hAnsi="Times New Roman" w:cs="Times New Roman"/>
          <w:sz w:val="24"/>
          <w:szCs w:val="24"/>
        </w:rPr>
        <w:t xml:space="preserve">podiatric surgeons </w:t>
      </w:r>
      <w:r>
        <w:rPr>
          <w:rFonts w:ascii="Times New Roman" w:eastAsia="Times New Roman" w:hAnsi="Times New Roman" w:cs="Times New Roman"/>
          <w:sz w:val="24"/>
          <w:szCs w:val="24"/>
        </w:rPr>
        <w:t>potentially performed more operations than orthopaedic surgeons.</w:t>
      </w:r>
    </w:p>
    <w:p w:rsidR="000B0027" w:rsidRDefault="000B0027" w:rsidP="000B0027"/>
    <w:p w:rsidR="000B0027" w:rsidRPr="006705CA" w:rsidRDefault="000B0027" w:rsidP="000B0027">
      <w:pPr>
        <w:pStyle w:val="NoSpacing"/>
        <w:rPr>
          <w:rFonts w:ascii="Times New Roman" w:hAnsi="Times New Roman" w:cs="Times New Roman"/>
          <w:sz w:val="24"/>
          <w:szCs w:val="24"/>
        </w:rPr>
      </w:pPr>
      <w:r>
        <w:rPr>
          <w:rFonts w:ascii="Times New Roman" w:hAnsi="Times New Roman" w:cs="Times New Roman"/>
          <w:sz w:val="24"/>
          <w:szCs w:val="24"/>
          <w:lang w:val="en-US"/>
        </w:rPr>
        <w:t>There was a</w:t>
      </w:r>
      <w:r w:rsidRPr="006705CA">
        <w:rPr>
          <w:rFonts w:ascii="Times New Roman" w:hAnsi="Times New Roman" w:cs="Times New Roman"/>
          <w:sz w:val="24"/>
          <w:szCs w:val="24"/>
          <w:lang w:val="en-US"/>
        </w:rPr>
        <w:t xml:space="preserve"> </w:t>
      </w:r>
      <w:r w:rsidRPr="006705CA">
        <w:rPr>
          <w:rFonts w:ascii="Times New Roman" w:hAnsi="Times New Roman" w:cs="Times New Roman"/>
          <w:sz w:val="24"/>
          <w:szCs w:val="24"/>
        </w:rPr>
        <w:t xml:space="preserve">lack of consideration of the additional referrals </w:t>
      </w:r>
      <w:r>
        <w:rPr>
          <w:rFonts w:ascii="Times New Roman" w:hAnsi="Times New Roman" w:cs="Times New Roman"/>
          <w:sz w:val="24"/>
          <w:szCs w:val="24"/>
        </w:rPr>
        <w:t>from</w:t>
      </w:r>
      <w:r w:rsidRPr="006705CA">
        <w:rPr>
          <w:rFonts w:ascii="Times New Roman" w:hAnsi="Times New Roman" w:cs="Times New Roman"/>
          <w:sz w:val="24"/>
          <w:szCs w:val="24"/>
        </w:rPr>
        <w:t xml:space="preserve"> GP</w:t>
      </w:r>
      <w:r>
        <w:rPr>
          <w:rFonts w:ascii="Times New Roman" w:hAnsi="Times New Roman" w:cs="Times New Roman"/>
          <w:sz w:val="24"/>
          <w:szCs w:val="24"/>
        </w:rPr>
        <w:t>s</w:t>
      </w:r>
      <w:r w:rsidRPr="006705CA">
        <w:rPr>
          <w:rFonts w:ascii="Times New Roman" w:hAnsi="Times New Roman" w:cs="Times New Roman"/>
          <w:sz w:val="24"/>
          <w:szCs w:val="24"/>
        </w:rPr>
        <w:t xml:space="preserve"> or medical specialist </w:t>
      </w:r>
      <w:r>
        <w:rPr>
          <w:rFonts w:ascii="Times New Roman" w:hAnsi="Times New Roman" w:cs="Times New Roman"/>
          <w:sz w:val="24"/>
          <w:szCs w:val="24"/>
        </w:rPr>
        <w:t xml:space="preserve">that would be needed </w:t>
      </w:r>
      <w:r w:rsidRPr="006705CA">
        <w:rPr>
          <w:rFonts w:ascii="Times New Roman" w:hAnsi="Times New Roman" w:cs="Times New Roman"/>
          <w:sz w:val="24"/>
          <w:szCs w:val="24"/>
        </w:rPr>
        <w:t>to replace the referrals current</w:t>
      </w:r>
      <w:r>
        <w:rPr>
          <w:rFonts w:ascii="Times New Roman" w:hAnsi="Times New Roman" w:cs="Times New Roman"/>
          <w:sz w:val="24"/>
          <w:szCs w:val="24"/>
        </w:rPr>
        <w:t>ly provided by</w:t>
      </w:r>
      <w:r w:rsidRPr="006705CA">
        <w:rPr>
          <w:rFonts w:ascii="Times New Roman" w:hAnsi="Times New Roman" w:cs="Times New Roman"/>
          <w:sz w:val="24"/>
          <w:szCs w:val="24"/>
        </w:rPr>
        <w:t xml:space="preserve"> general podiatrists.</w:t>
      </w:r>
      <w:r>
        <w:rPr>
          <w:rFonts w:ascii="Times New Roman" w:hAnsi="Times New Roman" w:cs="Times New Roman"/>
          <w:sz w:val="24"/>
          <w:szCs w:val="24"/>
        </w:rPr>
        <w:t xml:space="preserve">  Also, </w:t>
      </w:r>
      <w:r>
        <w:rPr>
          <w:rFonts w:ascii="Times New Roman" w:hAnsi="Times New Roman" w:cs="Times New Roman"/>
          <w:sz w:val="24"/>
          <w:szCs w:val="24"/>
        </w:rPr>
        <w:lastRenderedPageBreak/>
        <w:t>as p</w:t>
      </w:r>
      <w:r w:rsidRPr="006705CA">
        <w:rPr>
          <w:rFonts w:ascii="Times New Roman" w:hAnsi="Times New Roman" w:cs="Times New Roman"/>
          <w:sz w:val="24"/>
          <w:szCs w:val="24"/>
        </w:rPr>
        <w:t xml:space="preserve">odiatric surgery </w:t>
      </w:r>
      <w:r>
        <w:rPr>
          <w:rFonts w:ascii="Times New Roman" w:hAnsi="Times New Roman" w:cs="Times New Roman"/>
          <w:sz w:val="24"/>
          <w:szCs w:val="24"/>
        </w:rPr>
        <w:t>is</w:t>
      </w:r>
      <w:r w:rsidRPr="006705CA">
        <w:rPr>
          <w:rFonts w:ascii="Times New Roman" w:hAnsi="Times New Roman" w:cs="Times New Roman"/>
          <w:sz w:val="24"/>
          <w:szCs w:val="24"/>
        </w:rPr>
        <w:t xml:space="preserve"> conducted in the private setting</w:t>
      </w:r>
      <w:r>
        <w:rPr>
          <w:rFonts w:ascii="Times New Roman" w:hAnsi="Times New Roman" w:cs="Times New Roman"/>
          <w:sz w:val="24"/>
          <w:szCs w:val="24"/>
        </w:rPr>
        <w:t xml:space="preserve">, </w:t>
      </w:r>
      <w:r w:rsidRPr="006705CA">
        <w:rPr>
          <w:rFonts w:ascii="Times New Roman" w:hAnsi="Times New Roman" w:cs="Times New Roman"/>
          <w:sz w:val="24"/>
          <w:szCs w:val="24"/>
        </w:rPr>
        <w:t xml:space="preserve">if listed, </w:t>
      </w:r>
      <w:r>
        <w:rPr>
          <w:rFonts w:ascii="Times New Roman" w:hAnsi="Times New Roman" w:cs="Times New Roman"/>
          <w:sz w:val="24"/>
          <w:szCs w:val="24"/>
        </w:rPr>
        <w:t xml:space="preserve">this would </w:t>
      </w:r>
      <w:r w:rsidRPr="006705CA">
        <w:rPr>
          <w:rFonts w:ascii="Times New Roman" w:hAnsi="Times New Roman" w:cs="Times New Roman"/>
          <w:sz w:val="24"/>
          <w:szCs w:val="24"/>
        </w:rPr>
        <w:t>potential</w:t>
      </w:r>
      <w:r>
        <w:rPr>
          <w:rFonts w:ascii="Times New Roman" w:hAnsi="Times New Roman" w:cs="Times New Roman"/>
          <w:sz w:val="24"/>
          <w:szCs w:val="24"/>
        </w:rPr>
        <w:t>ly impact</w:t>
      </w:r>
      <w:r w:rsidRPr="006705CA">
        <w:rPr>
          <w:rFonts w:ascii="Times New Roman" w:hAnsi="Times New Roman" w:cs="Times New Roman"/>
          <w:sz w:val="24"/>
          <w:szCs w:val="24"/>
        </w:rPr>
        <w:t xml:space="preserve"> on private </w:t>
      </w:r>
      <w:r>
        <w:rPr>
          <w:rFonts w:ascii="Times New Roman" w:hAnsi="Times New Roman" w:cs="Times New Roman"/>
          <w:sz w:val="24"/>
          <w:szCs w:val="24"/>
        </w:rPr>
        <w:t>health</w:t>
      </w:r>
      <w:r w:rsidRPr="006705CA">
        <w:rPr>
          <w:rFonts w:ascii="Times New Roman" w:hAnsi="Times New Roman" w:cs="Times New Roman"/>
          <w:sz w:val="24"/>
          <w:szCs w:val="24"/>
        </w:rPr>
        <w:t xml:space="preserve"> insurance</w:t>
      </w:r>
      <w:r w:rsidR="00BA4FC0">
        <w:rPr>
          <w:rFonts w:ascii="Times New Roman" w:hAnsi="Times New Roman" w:cs="Times New Roman"/>
          <w:sz w:val="24"/>
          <w:szCs w:val="24"/>
        </w:rPr>
        <w:t xml:space="preserve"> as insurers would be required to pay at least the 25% difference between the MBS fee and the 75% benefit</w:t>
      </w:r>
      <w:r>
        <w:rPr>
          <w:rFonts w:ascii="Times New Roman" w:hAnsi="Times New Roman" w:cs="Times New Roman"/>
          <w:sz w:val="24"/>
          <w:szCs w:val="24"/>
        </w:rPr>
        <w:t>, however, the level of t</w:t>
      </w:r>
      <w:r w:rsidRPr="006705CA">
        <w:rPr>
          <w:rFonts w:ascii="Times New Roman" w:hAnsi="Times New Roman" w:cs="Times New Roman"/>
          <w:sz w:val="24"/>
          <w:szCs w:val="24"/>
        </w:rPr>
        <w:t xml:space="preserve">his impact </w:t>
      </w:r>
      <w:r>
        <w:rPr>
          <w:rFonts w:ascii="Times New Roman" w:hAnsi="Times New Roman" w:cs="Times New Roman"/>
          <w:sz w:val="24"/>
          <w:szCs w:val="24"/>
        </w:rPr>
        <w:t>is</w:t>
      </w:r>
      <w:r w:rsidRPr="006705CA">
        <w:rPr>
          <w:rFonts w:ascii="Times New Roman" w:hAnsi="Times New Roman" w:cs="Times New Roman"/>
          <w:sz w:val="24"/>
          <w:szCs w:val="24"/>
        </w:rPr>
        <w:t xml:space="preserve"> unclear</w:t>
      </w:r>
      <w:r w:rsidR="00977281">
        <w:rPr>
          <w:rFonts w:ascii="Times New Roman" w:hAnsi="Times New Roman" w:cs="Times New Roman"/>
          <w:sz w:val="24"/>
          <w:szCs w:val="24"/>
        </w:rPr>
        <w:t xml:space="preserve"> but likely to be minimal</w:t>
      </w:r>
      <w:r w:rsidRPr="006705CA">
        <w:rPr>
          <w:rFonts w:ascii="Times New Roman" w:hAnsi="Times New Roman" w:cs="Times New Roman"/>
          <w:sz w:val="24"/>
          <w:szCs w:val="24"/>
        </w:rPr>
        <w:t>.</w:t>
      </w:r>
    </w:p>
    <w:p w:rsidR="000B0027" w:rsidRDefault="000B0027" w:rsidP="000B0027"/>
    <w:p w:rsidR="000B0027" w:rsidRPr="00D6391F" w:rsidRDefault="000B0027" w:rsidP="000B0027">
      <w:pPr>
        <w:pStyle w:val="NoSpacing"/>
        <w:rPr>
          <w:rFonts w:ascii="Times New Roman" w:eastAsia="Times New Roman" w:hAnsi="Times New Roman" w:cs="Times New Roman"/>
          <w:i/>
          <w:sz w:val="24"/>
          <w:szCs w:val="24"/>
          <w:lang w:val="en-US" w:eastAsia="en-AU"/>
        </w:rPr>
      </w:pPr>
      <w:r w:rsidRPr="00D6391F">
        <w:rPr>
          <w:rFonts w:ascii="Times New Roman" w:eastAsia="Times New Roman" w:hAnsi="Times New Roman" w:cs="Times New Roman"/>
          <w:i/>
          <w:sz w:val="24"/>
          <w:szCs w:val="24"/>
          <w:lang w:val="en-US" w:eastAsia="en-AU"/>
        </w:rPr>
        <w:t>Training and accreditation</w:t>
      </w:r>
    </w:p>
    <w:p w:rsidR="000B0027" w:rsidRPr="00D6391F" w:rsidRDefault="000B0027" w:rsidP="000B0027">
      <w:pPr>
        <w:pStyle w:val="NoSpacing"/>
        <w:rPr>
          <w:rFonts w:ascii="Times New Roman" w:hAnsi="Times New Roman" w:cs="Times New Roman"/>
          <w:sz w:val="24"/>
          <w:szCs w:val="24"/>
        </w:rPr>
      </w:pPr>
      <w:r>
        <w:rPr>
          <w:rFonts w:ascii="Times New Roman" w:eastAsia="Times New Roman" w:hAnsi="Times New Roman" w:cs="Times New Roman"/>
          <w:sz w:val="24"/>
          <w:szCs w:val="24"/>
          <w:lang w:val="en-US" w:eastAsia="en-AU"/>
        </w:rPr>
        <w:t xml:space="preserve">The </w:t>
      </w:r>
      <w:r w:rsidRPr="00805D63">
        <w:rPr>
          <w:rFonts w:ascii="Times New Roman" w:eastAsia="Times New Roman" w:hAnsi="Times New Roman" w:cs="Times New Roman"/>
          <w:sz w:val="24"/>
          <w:szCs w:val="24"/>
          <w:lang w:val="en-US" w:eastAsia="en-AU"/>
        </w:rPr>
        <w:t xml:space="preserve">comparator </w:t>
      </w:r>
      <w:r>
        <w:rPr>
          <w:rFonts w:ascii="Times New Roman" w:eastAsia="Times New Roman" w:hAnsi="Times New Roman" w:cs="Times New Roman"/>
          <w:sz w:val="24"/>
          <w:szCs w:val="24"/>
          <w:lang w:val="en-US" w:eastAsia="en-AU"/>
        </w:rPr>
        <w:t xml:space="preserve">selected by the applicant is </w:t>
      </w:r>
      <w:r w:rsidRPr="00D6391F">
        <w:rPr>
          <w:rFonts w:ascii="Times New Roman" w:eastAsia="Times New Roman" w:hAnsi="Times New Roman" w:cs="Times New Roman"/>
          <w:sz w:val="24"/>
          <w:szCs w:val="24"/>
          <w:lang w:eastAsia="en-AU"/>
        </w:rPr>
        <w:t>orthopaedic</w:t>
      </w:r>
      <w:r>
        <w:rPr>
          <w:rFonts w:ascii="Times New Roman" w:eastAsia="Times New Roman" w:hAnsi="Times New Roman" w:cs="Times New Roman"/>
          <w:sz w:val="24"/>
          <w:szCs w:val="24"/>
          <w:lang w:val="en-US" w:eastAsia="en-AU"/>
        </w:rPr>
        <w:t xml:space="preserve"> s</w:t>
      </w:r>
      <w:r w:rsidRPr="00805D63">
        <w:rPr>
          <w:rFonts w:ascii="Times New Roman" w:eastAsia="Times New Roman" w:hAnsi="Times New Roman" w:cs="Times New Roman"/>
          <w:sz w:val="24"/>
          <w:szCs w:val="24"/>
          <w:lang w:val="en-US" w:eastAsia="en-AU"/>
        </w:rPr>
        <w:t>urgeons</w:t>
      </w:r>
      <w:r>
        <w:rPr>
          <w:rFonts w:ascii="Times New Roman" w:eastAsia="Times New Roman" w:hAnsi="Times New Roman" w:cs="Times New Roman"/>
          <w:sz w:val="24"/>
          <w:szCs w:val="24"/>
          <w:lang w:val="en-US" w:eastAsia="en-AU"/>
        </w:rPr>
        <w:t xml:space="preserve"> undertaking the procedures</w:t>
      </w:r>
      <w:r w:rsidRPr="00805D63">
        <w:rPr>
          <w:rFonts w:ascii="Times New Roman" w:eastAsia="Times New Roman" w:hAnsi="Times New Roman" w:cs="Times New Roman"/>
          <w:sz w:val="24"/>
          <w:szCs w:val="24"/>
          <w:lang w:val="en-US" w:eastAsia="en-AU"/>
        </w:rPr>
        <w:t>.</w:t>
      </w:r>
      <w:r>
        <w:rPr>
          <w:rFonts w:ascii="Times New Roman" w:eastAsia="Times New Roman" w:hAnsi="Times New Roman" w:cs="Times New Roman"/>
          <w:sz w:val="24"/>
          <w:szCs w:val="24"/>
          <w:lang w:val="en-US" w:eastAsia="en-AU"/>
        </w:rPr>
        <w:t xml:space="preserve"> While this comparator is</w:t>
      </w:r>
      <w:r w:rsidRPr="00805D63">
        <w:rPr>
          <w:rFonts w:ascii="Times New Roman" w:eastAsia="Times New Roman" w:hAnsi="Times New Roman" w:cs="Times New Roman"/>
          <w:sz w:val="24"/>
          <w:szCs w:val="24"/>
          <w:lang w:val="en-US" w:eastAsia="en-AU"/>
        </w:rPr>
        <w:t xml:space="preserve"> reasonable</w:t>
      </w:r>
      <w:r>
        <w:rPr>
          <w:rFonts w:ascii="Times New Roman" w:eastAsia="Times New Roman" w:hAnsi="Times New Roman" w:cs="Times New Roman"/>
          <w:sz w:val="24"/>
          <w:szCs w:val="24"/>
          <w:lang w:val="en-US" w:eastAsia="en-AU"/>
        </w:rPr>
        <w:t xml:space="preserve"> it raises</w:t>
      </w:r>
      <w:r>
        <w:rPr>
          <w:rFonts w:ascii="Times New Roman" w:hAnsi="Times New Roman" w:cs="Times New Roman"/>
          <w:sz w:val="24"/>
          <w:szCs w:val="24"/>
        </w:rPr>
        <w:t xml:space="preserve"> some concerns with regard to</w:t>
      </w:r>
      <w:r w:rsidRPr="0019538D">
        <w:rPr>
          <w:rFonts w:ascii="Times New Roman" w:hAnsi="Times New Roman" w:cs="Times New Roman"/>
          <w:sz w:val="24"/>
          <w:szCs w:val="24"/>
        </w:rPr>
        <w:t xml:space="preserve"> training</w:t>
      </w:r>
      <w:r>
        <w:rPr>
          <w:rFonts w:ascii="Times New Roman" w:hAnsi="Times New Roman" w:cs="Times New Roman"/>
          <w:sz w:val="24"/>
          <w:szCs w:val="24"/>
        </w:rPr>
        <w:t xml:space="preserve"> and accreditation</w:t>
      </w:r>
      <w:r w:rsidRPr="0019538D">
        <w:rPr>
          <w:rFonts w:ascii="Times New Roman" w:hAnsi="Times New Roman" w:cs="Times New Roman"/>
          <w:sz w:val="24"/>
          <w:szCs w:val="24"/>
        </w:rPr>
        <w:t>.</w:t>
      </w:r>
      <w:r>
        <w:rPr>
          <w:rFonts w:ascii="Times New Roman" w:hAnsi="Times New Roman" w:cs="Times New Roman"/>
          <w:sz w:val="24"/>
          <w:szCs w:val="24"/>
        </w:rPr>
        <w:t xml:space="preserve">  The application identifies a</w:t>
      </w:r>
      <w:r w:rsidRPr="005F423A">
        <w:rPr>
          <w:rFonts w:ascii="Times New Roman" w:hAnsi="Times New Roman" w:cs="Times New Roman"/>
          <w:sz w:val="24"/>
          <w:szCs w:val="24"/>
        </w:rPr>
        <w:t xml:space="preserve"> </w:t>
      </w:r>
      <w:r>
        <w:rPr>
          <w:rFonts w:ascii="Times New Roman" w:hAnsi="Times New Roman" w:cs="Times New Roman"/>
          <w:sz w:val="24"/>
          <w:szCs w:val="24"/>
        </w:rPr>
        <w:t xml:space="preserve">difference in duration and type of training for podiatric and </w:t>
      </w:r>
      <w:r w:rsidRPr="00D6391F">
        <w:rPr>
          <w:rFonts w:ascii="Times New Roman" w:hAnsi="Times New Roman" w:cs="Times New Roman"/>
          <w:sz w:val="24"/>
          <w:szCs w:val="24"/>
        </w:rPr>
        <w:t xml:space="preserve">orthopaedic surgeons (Podiatric: 4 years Bachelor of Podiatry + 3 years post graduate training, and Orthopaedic: 4-6 years medical degree + 5 years orthopaedic training). </w:t>
      </w:r>
    </w:p>
    <w:p w:rsidR="000B0027" w:rsidRPr="00D6391F" w:rsidRDefault="000B0027" w:rsidP="000B0027">
      <w:pPr>
        <w:pStyle w:val="NoSpacing"/>
        <w:rPr>
          <w:rFonts w:ascii="Times New Roman" w:hAnsi="Times New Roman" w:cs="Times New Roman"/>
          <w:sz w:val="24"/>
          <w:szCs w:val="24"/>
        </w:rPr>
      </w:pPr>
    </w:p>
    <w:p w:rsidR="000B0027" w:rsidRPr="00D6391F" w:rsidRDefault="000B0027" w:rsidP="000B0027">
      <w:pPr>
        <w:pStyle w:val="NoSpacing"/>
        <w:rPr>
          <w:rFonts w:ascii="Times New Roman" w:hAnsi="Times New Roman" w:cs="Times New Roman"/>
          <w:sz w:val="24"/>
          <w:szCs w:val="24"/>
        </w:rPr>
      </w:pPr>
      <w:r w:rsidRPr="00D6391F">
        <w:rPr>
          <w:rFonts w:ascii="Times New Roman" w:hAnsi="Times New Roman" w:cs="Times New Roman"/>
          <w:sz w:val="24"/>
          <w:szCs w:val="24"/>
        </w:rPr>
        <w:t xml:space="preserve">The authority for assessing podiatric surgeons training currently resides with the Australian and New Zealand Podiatry Accreditation Council in accordance with the accreditation standards approved by the Podiatry Board of Australia under the </w:t>
      </w:r>
      <w:r w:rsidRPr="00D6391F">
        <w:rPr>
          <w:rFonts w:ascii="Times New Roman" w:hAnsi="Times New Roman" w:cs="Times New Roman"/>
          <w:i/>
          <w:sz w:val="24"/>
          <w:szCs w:val="24"/>
        </w:rPr>
        <w:t>Health Practitioner Regulation National Law 2009.</w:t>
      </w:r>
      <w:r w:rsidRPr="00D6391F">
        <w:rPr>
          <w:rFonts w:ascii="Times New Roman" w:hAnsi="Times New Roman" w:cs="Times New Roman"/>
          <w:sz w:val="24"/>
          <w:szCs w:val="24"/>
        </w:rPr>
        <w:t xml:space="preserve">  Those standards are being considered as part of an independent review of the National Registration and Accreditation Scheme (NRAS).  ESC queried whether the NRAS review would be useful for consideration of this application or whether it would just be used for quality assurance.</w:t>
      </w:r>
    </w:p>
    <w:p w:rsidR="000B0027" w:rsidRPr="00D6391F" w:rsidRDefault="000B0027" w:rsidP="000B0027">
      <w:pPr>
        <w:pStyle w:val="NoSpacing"/>
        <w:rPr>
          <w:rFonts w:ascii="Times New Roman" w:hAnsi="Times New Roman" w:cs="Times New Roman"/>
          <w:sz w:val="24"/>
          <w:szCs w:val="24"/>
        </w:rPr>
      </w:pPr>
    </w:p>
    <w:p w:rsidR="000B0027" w:rsidRDefault="000B0027" w:rsidP="000B0027">
      <w:pPr>
        <w:pStyle w:val="NoSpacing"/>
        <w:rPr>
          <w:rFonts w:ascii="Times New Roman" w:hAnsi="Times New Roman" w:cs="Times New Roman"/>
          <w:sz w:val="24"/>
          <w:szCs w:val="24"/>
        </w:rPr>
      </w:pPr>
      <w:r w:rsidRPr="00D6391F">
        <w:rPr>
          <w:rFonts w:ascii="Times New Roman" w:hAnsi="Times New Roman" w:cs="Times New Roman"/>
          <w:sz w:val="24"/>
          <w:szCs w:val="24"/>
        </w:rPr>
        <w:t>ESC considered that recognition of training and accreditation is an industrial issue that MSAC should not need to consider in its evaluation of the proposed MBS services.</w:t>
      </w:r>
    </w:p>
    <w:p w:rsidR="00CA669F" w:rsidRDefault="00CA669F"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Default="00C70F6B" w:rsidP="000D4338">
      <w:pPr>
        <w:rPr>
          <w:szCs w:val="24"/>
        </w:rPr>
      </w:pPr>
      <w:r w:rsidRPr="00C70F6B">
        <w:rPr>
          <w:szCs w:val="24"/>
        </w:rPr>
        <w:t>Nil.</w:t>
      </w:r>
    </w:p>
    <w:p w:rsidR="00CA669F" w:rsidRPr="00707064" w:rsidRDefault="00CA669F"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Pr="00716B65" w:rsidRDefault="00BC1364" w:rsidP="00230D6B">
      <w:pPr>
        <w:tabs>
          <w:tab w:val="left" w:pos="720"/>
        </w:tabs>
        <w:ind w:left="709" w:hanging="709"/>
        <w:rPr>
          <w:szCs w:val="24"/>
        </w:rPr>
      </w:pPr>
    </w:p>
    <w:p w:rsidR="00BC1364" w:rsidRDefault="00977281" w:rsidP="00230D6B">
      <w:pPr>
        <w:rPr>
          <w:rFonts w:cs="Arial"/>
          <w:szCs w:val="24"/>
        </w:rPr>
      </w:pPr>
      <w:r>
        <w:rPr>
          <w:rFonts w:cs="Arial"/>
          <w:szCs w:val="24"/>
        </w:rPr>
        <w:t>The conclusions of the MSAC are disappointing</w:t>
      </w:r>
      <w:r w:rsidR="00ED58E8">
        <w:rPr>
          <w:rFonts w:cs="Arial"/>
          <w:szCs w:val="24"/>
        </w:rPr>
        <w:t>.</w:t>
      </w:r>
      <w:r>
        <w:rPr>
          <w:rFonts w:cs="Arial"/>
          <w:szCs w:val="24"/>
        </w:rPr>
        <w:t xml:space="preserve"> </w:t>
      </w:r>
      <w:r w:rsidR="00ED58E8">
        <w:rPr>
          <w:rFonts w:cs="Arial"/>
          <w:szCs w:val="24"/>
        </w:rPr>
        <w:t xml:space="preserve">The applicant considers </w:t>
      </w:r>
      <w:r>
        <w:rPr>
          <w:rFonts w:cs="Arial"/>
          <w:szCs w:val="24"/>
        </w:rPr>
        <w:t xml:space="preserve">numerous elements of the process have been misinterpreted and significant levels of robust evidence that supports the College’s Application have been </w:t>
      </w:r>
      <w:r w:rsidR="00951644">
        <w:rPr>
          <w:rFonts w:cs="Arial"/>
          <w:szCs w:val="24"/>
        </w:rPr>
        <w:t>overlooked</w:t>
      </w:r>
      <w:r>
        <w:rPr>
          <w:rFonts w:cs="Arial"/>
          <w:szCs w:val="24"/>
        </w:rPr>
        <w:t xml:space="preserve">.   At this point, however, the PSD does provide some basis for discussion to move forward towards a positive MSAC recommendation in future.   </w:t>
      </w:r>
      <w:r w:rsidR="00951644">
        <w:rPr>
          <w:rFonts w:cs="Arial"/>
          <w:szCs w:val="24"/>
        </w:rPr>
        <w:t>In respect to this application, t</w:t>
      </w:r>
      <w:r>
        <w:rPr>
          <w:rFonts w:cs="Arial"/>
          <w:szCs w:val="24"/>
        </w:rPr>
        <w:t>he College has clearly identified inconsistencies in the inappropriateness of RCTs</w:t>
      </w:r>
      <w:r w:rsidR="00985463">
        <w:rPr>
          <w:rFonts w:cs="Arial"/>
          <w:szCs w:val="24"/>
        </w:rPr>
        <w:t xml:space="preserve"> for this application</w:t>
      </w:r>
      <w:r>
        <w:rPr>
          <w:rFonts w:cs="Arial"/>
          <w:szCs w:val="24"/>
        </w:rPr>
        <w:t xml:space="preserve">, in regards to the item numbers applied for and the significant level of robust evidence that exists demonstrating the safety of podiatric surgery.  Even allowing for these issues however, the PSD acknowledges many positives in respect to podiatric surgeons such as the acceptance of orthopaedic surgeons as the comparator and acknowledgment of the detailed and accredited level of training of podiatric surgeons. The ACPS is concerned however that, </w:t>
      </w:r>
      <w:r w:rsidR="00ED58E8">
        <w:rPr>
          <w:rFonts w:cs="Arial"/>
          <w:szCs w:val="24"/>
        </w:rPr>
        <w:t>greater</w:t>
      </w:r>
      <w:r>
        <w:rPr>
          <w:rFonts w:cs="Arial"/>
          <w:szCs w:val="24"/>
        </w:rPr>
        <w:t xml:space="preserve"> consideration </w:t>
      </w:r>
      <w:r w:rsidR="00ED58E8">
        <w:rPr>
          <w:rFonts w:cs="Arial"/>
          <w:szCs w:val="24"/>
        </w:rPr>
        <w:t xml:space="preserve">should have </w:t>
      </w:r>
      <w:r>
        <w:rPr>
          <w:rFonts w:cs="Arial"/>
          <w:szCs w:val="24"/>
        </w:rPr>
        <w:t xml:space="preserve">been given to the College’s </w:t>
      </w:r>
      <w:r w:rsidR="00985463">
        <w:rPr>
          <w:rFonts w:cs="Arial"/>
          <w:szCs w:val="24"/>
        </w:rPr>
        <w:t>p</w:t>
      </w:r>
      <w:r>
        <w:rPr>
          <w:rFonts w:cs="Arial"/>
          <w:szCs w:val="24"/>
        </w:rPr>
        <w:t xml:space="preserve">re-MSAC </w:t>
      </w:r>
      <w:r w:rsidR="00985463">
        <w:rPr>
          <w:rFonts w:cs="Arial"/>
          <w:szCs w:val="24"/>
        </w:rPr>
        <w:t>c</w:t>
      </w:r>
      <w:r>
        <w:rPr>
          <w:rFonts w:cs="Arial"/>
          <w:szCs w:val="24"/>
        </w:rPr>
        <w:t xml:space="preserve">omments </w:t>
      </w:r>
      <w:r w:rsidR="008A3AD8">
        <w:rPr>
          <w:rFonts w:cs="Arial"/>
          <w:szCs w:val="24"/>
        </w:rPr>
        <w:t>(</w:t>
      </w:r>
      <w:hyperlink r:id="rId11" w:tooltip="Link to the Australian College Podiatrists Surgeons- PreMSAC comment on ESC Review of March 2015" w:history="1">
        <w:r w:rsidR="008A3AD8" w:rsidRPr="0001008C">
          <w:rPr>
            <w:rStyle w:val="Hyperlink"/>
            <w:rFonts w:cs="Arial"/>
            <w:szCs w:val="24"/>
          </w:rPr>
          <w:t>http://acps.edu.au/pub_govsubmissions.php</w:t>
        </w:r>
      </w:hyperlink>
      <w:r w:rsidR="008A3AD8">
        <w:rPr>
          <w:rFonts w:cs="Arial"/>
          <w:szCs w:val="24"/>
        </w:rPr>
        <w:t>).</w:t>
      </w:r>
    </w:p>
    <w:p w:rsidR="008A3AD8" w:rsidRDefault="008A3AD8" w:rsidP="00230D6B">
      <w:pPr>
        <w:rPr>
          <w:rFonts w:cs="Arial"/>
          <w:szCs w:val="24"/>
        </w:rPr>
      </w:pPr>
    </w:p>
    <w:p w:rsidR="00AA0FBC" w:rsidRDefault="00AA0FBC" w:rsidP="00230D6B">
      <w:pPr>
        <w:rPr>
          <w:szCs w:val="24"/>
        </w:rPr>
      </w:pPr>
    </w:p>
    <w:p w:rsidR="00BC1364" w:rsidRDefault="00271F18" w:rsidP="007B32D1">
      <w:pPr>
        <w:pStyle w:val="Heading1"/>
        <w:numPr>
          <w:ilvl w:val="0"/>
          <w:numId w:val="23"/>
        </w:numPr>
        <w:ind w:hanging="720"/>
      </w:pPr>
      <w:r>
        <w:t>Further information on MSAC</w:t>
      </w:r>
    </w:p>
    <w:p w:rsidR="00BC1364" w:rsidRPr="00716B65" w:rsidRDefault="00BC1364" w:rsidP="00DD2858">
      <w:pPr>
        <w:tabs>
          <w:tab w:val="left" w:pos="720"/>
        </w:tabs>
        <w:ind w:left="709" w:hanging="709"/>
        <w:rPr>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2" w:tooltip="This is a link to the MSAC website" w:history="1">
        <w:r w:rsidR="00BC1364" w:rsidRPr="00DD2858">
          <w:rPr>
            <w:rStyle w:val="Hyperlink"/>
            <w:color w:val="auto"/>
            <w:szCs w:val="24"/>
          </w:rPr>
          <w:t>www.msac.gov.au</w:t>
        </w:r>
      </w:hyperlink>
      <w:r w:rsidR="00716B65">
        <w:rPr>
          <w:szCs w:val="24"/>
        </w:rPr>
        <w:t>.</w:t>
      </w:r>
    </w:p>
    <w:sectPr w:rsidR="00BC1364" w:rsidRPr="00DD2858"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5F" w:rsidRDefault="007A735F" w:rsidP="00065623">
      <w:r>
        <w:separator/>
      </w:r>
    </w:p>
  </w:endnote>
  <w:endnote w:type="continuationSeparator" w:id="0">
    <w:p w:rsidR="007A735F" w:rsidRDefault="007A735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D9" w:rsidRDefault="00046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0467D9" w:rsidRDefault="000467D9">
        <w:pPr>
          <w:pStyle w:val="Footer"/>
          <w:jc w:val="right"/>
        </w:pPr>
        <w:r>
          <w:fldChar w:fldCharType="begin"/>
        </w:r>
        <w:r>
          <w:instrText xml:space="preserve"> PAGE   \* MERGEFORMAT </w:instrText>
        </w:r>
        <w:r>
          <w:fldChar w:fldCharType="separate"/>
        </w:r>
        <w:r w:rsidR="00FE00FE">
          <w:rPr>
            <w:noProof/>
          </w:rPr>
          <w:t>4</w:t>
        </w:r>
        <w:r>
          <w:rPr>
            <w:noProof/>
          </w:rPr>
          <w:fldChar w:fldCharType="end"/>
        </w:r>
      </w:p>
    </w:sdtContent>
  </w:sdt>
  <w:p w:rsidR="000467D9" w:rsidRDefault="000467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D9" w:rsidRDefault="00046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5F" w:rsidRDefault="007A735F" w:rsidP="00065623">
      <w:r>
        <w:separator/>
      </w:r>
    </w:p>
  </w:footnote>
  <w:footnote w:type="continuationSeparator" w:id="0">
    <w:p w:rsidR="007A735F" w:rsidRDefault="007A735F"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D9" w:rsidRDefault="000467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D9" w:rsidRDefault="000467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D9" w:rsidRDefault="00046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D60D28"/>
    <w:multiLevelType w:val="hybridMultilevel"/>
    <w:tmpl w:val="BD70FA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05C3B12"/>
    <w:multiLevelType w:val="hybridMultilevel"/>
    <w:tmpl w:val="552849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5D12D8"/>
    <w:multiLevelType w:val="hybridMultilevel"/>
    <w:tmpl w:val="4D1EF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BE32ED"/>
    <w:multiLevelType w:val="hybridMultilevel"/>
    <w:tmpl w:val="ED8A8C20"/>
    <w:lvl w:ilvl="0" w:tplc="F2183E5A">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D317235"/>
    <w:multiLevelType w:val="hybridMultilevel"/>
    <w:tmpl w:val="7CE27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2471855"/>
    <w:multiLevelType w:val="hybridMultilevel"/>
    <w:tmpl w:val="77767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0B6ECC"/>
    <w:multiLevelType w:val="hybridMultilevel"/>
    <w:tmpl w:val="5A1ECD14"/>
    <w:lvl w:ilvl="0" w:tplc="DEFAC1A4">
      <w:start w:val="1"/>
      <w:numFmt w:val="bulle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7">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EA4D7F"/>
    <w:multiLevelType w:val="hybridMultilevel"/>
    <w:tmpl w:val="77A8DDE0"/>
    <w:lvl w:ilvl="0" w:tplc="232CAE84">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DFC66AD"/>
    <w:multiLevelType w:val="hybridMultilevel"/>
    <w:tmpl w:val="F21CA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8754EC"/>
    <w:multiLevelType w:val="hybridMultilevel"/>
    <w:tmpl w:val="D4EC0FA2"/>
    <w:lvl w:ilvl="0" w:tplc="19EA6E70">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6F0E4C14"/>
    <w:multiLevelType w:val="hybridMultilevel"/>
    <w:tmpl w:val="E1F0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2"/>
  </w:num>
  <w:num w:numId="4">
    <w:abstractNumId w:val="23"/>
  </w:num>
  <w:num w:numId="5">
    <w:abstractNumId w:val="15"/>
  </w:num>
  <w:num w:numId="6">
    <w:abstractNumId w:val="21"/>
  </w:num>
  <w:num w:numId="7">
    <w:abstractNumId w:val="27"/>
  </w:num>
  <w:num w:numId="8">
    <w:abstractNumId w:val="17"/>
  </w:num>
  <w:num w:numId="9">
    <w:abstractNumId w:val="35"/>
  </w:num>
  <w:num w:numId="10">
    <w:abstractNumId w:val="0"/>
  </w:num>
  <w:num w:numId="11">
    <w:abstractNumId w:val="26"/>
  </w:num>
  <w:num w:numId="12">
    <w:abstractNumId w:val="28"/>
  </w:num>
  <w:num w:numId="13">
    <w:abstractNumId w:val="6"/>
  </w:num>
  <w:num w:numId="14">
    <w:abstractNumId w:val="33"/>
  </w:num>
  <w:num w:numId="15">
    <w:abstractNumId w:val="24"/>
  </w:num>
  <w:num w:numId="16">
    <w:abstractNumId w:val="29"/>
  </w:num>
  <w:num w:numId="17">
    <w:abstractNumId w:val="18"/>
  </w:num>
  <w:num w:numId="18">
    <w:abstractNumId w:val="19"/>
  </w:num>
  <w:num w:numId="19">
    <w:abstractNumId w:val="31"/>
  </w:num>
  <w:num w:numId="20">
    <w:abstractNumId w:val="30"/>
  </w:num>
  <w:num w:numId="21">
    <w:abstractNumId w:val="4"/>
  </w:num>
  <w:num w:numId="22">
    <w:abstractNumId w:val="14"/>
  </w:num>
  <w:num w:numId="23">
    <w:abstractNumId w:val="3"/>
  </w:num>
  <w:num w:numId="24">
    <w:abstractNumId w:val="12"/>
  </w:num>
  <w:num w:numId="25">
    <w:abstractNumId w:val="7"/>
  </w:num>
  <w:num w:numId="26">
    <w:abstractNumId w:val="13"/>
  </w:num>
  <w:num w:numId="27">
    <w:abstractNumId w:val="1"/>
  </w:num>
  <w:num w:numId="28">
    <w:abstractNumId w:val="32"/>
  </w:num>
  <w:num w:numId="29">
    <w:abstractNumId w:val="5"/>
  </w:num>
  <w:num w:numId="30">
    <w:abstractNumId w:val="8"/>
  </w:num>
  <w:num w:numId="31">
    <w:abstractNumId w:val="25"/>
  </w:num>
  <w:num w:numId="32">
    <w:abstractNumId w:val="22"/>
  </w:num>
  <w:num w:numId="33">
    <w:abstractNumId w:val="10"/>
  </w:num>
  <w:num w:numId="34">
    <w:abstractNumId w:val="34"/>
  </w:num>
  <w:num w:numId="35">
    <w:abstractNumId w:val="1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13B24"/>
    <w:rsid w:val="00020350"/>
    <w:rsid w:val="00023210"/>
    <w:rsid w:val="00026768"/>
    <w:rsid w:val="00035130"/>
    <w:rsid w:val="000467D9"/>
    <w:rsid w:val="00047606"/>
    <w:rsid w:val="00050451"/>
    <w:rsid w:val="00065623"/>
    <w:rsid w:val="00066B10"/>
    <w:rsid w:val="000724ED"/>
    <w:rsid w:val="000756B9"/>
    <w:rsid w:val="000759F8"/>
    <w:rsid w:val="00082836"/>
    <w:rsid w:val="00096B67"/>
    <w:rsid w:val="00096DAF"/>
    <w:rsid w:val="000A222D"/>
    <w:rsid w:val="000B0027"/>
    <w:rsid w:val="000C2F47"/>
    <w:rsid w:val="000C6732"/>
    <w:rsid w:val="000D352B"/>
    <w:rsid w:val="000D4338"/>
    <w:rsid w:val="000D6C00"/>
    <w:rsid w:val="000E4E04"/>
    <w:rsid w:val="000F01E0"/>
    <w:rsid w:val="000F14B4"/>
    <w:rsid w:val="000F75DF"/>
    <w:rsid w:val="00115811"/>
    <w:rsid w:val="001328FA"/>
    <w:rsid w:val="00135C6E"/>
    <w:rsid w:val="00147AAF"/>
    <w:rsid w:val="001552C0"/>
    <w:rsid w:val="001571CC"/>
    <w:rsid w:val="001640B1"/>
    <w:rsid w:val="0018435E"/>
    <w:rsid w:val="001A6596"/>
    <w:rsid w:val="001B0AC2"/>
    <w:rsid w:val="001B3509"/>
    <w:rsid w:val="001B6AAF"/>
    <w:rsid w:val="001C50C0"/>
    <w:rsid w:val="001E525F"/>
    <w:rsid w:val="001E6089"/>
    <w:rsid w:val="002041A1"/>
    <w:rsid w:val="00204B1E"/>
    <w:rsid w:val="002054F0"/>
    <w:rsid w:val="00230D6B"/>
    <w:rsid w:val="00232068"/>
    <w:rsid w:val="00232F90"/>
    <w:rsid w:val="002330F2"/>
    <w:rsid w:val="00243D9E"/>
    <w:rsid w:val="002447ED"/>
    <w:rsid w:val="00253B66"/>
    <w:rsid w:val="00261DF1"/>
    <w:rsid w:val="0026289C"/>
    <w:rsid w:val="00264381"/>
    <w:rsid w:val="00271F18"/>
    <w:rsid w:val="00281D7A"/>
    <w:rsid w:val="00282779"/>
    <w:rsid w:val="0028334D"/>
    <w:rsid w:val="00290246"/>
    <w:rsid w:val="002A0580"/>
    <w:rsid w:val="002B7DB1"/>
    <w:rsid w:val="002B7FFA"/>
    <w:rsid w:val="002C2BCF"/>
    <w:rsid w:val="002F05D5"/>
    <w:rsid w:val="002F2462"/>
    <w:rsid w:val="002F279D"/>
    <w:rsid w:val="002F43B8"/>
    <w:rsid w:val="003007EE"/>
    <w:rsid w:val="0034554D"/>
    <w:rsid w:val="00346A9C"/>
    <w:rsid w:val="00352224"/>
    <w:rsid w:val="003671E6"/>
    <w:rsid w:val="00372A86"/>
    <w:rsid w:val="00381613"/>
    <w:rsid w:val="00384272"/>
    <w:rsid w:val="00386D67"/>
    <w:rsid w:val="003945B8"/>
    <w:rsid w:val="003A5979"/>
    <w:rsid w:val="003D5C48"/>
    <w:rsid w:val="003D7F29"/>
    <w:rsid w:val="00404AFC"/>
    <w:rsid w:val="00405A6B"/>
    <w:rsid w:val="00407B1F"/>
    <w:rsid w:val="00412D01"/>
    <w:rsid w:val="00414C57"/>
    <w:rsid w:val="0041758C"/>
    <w:rsid w:val="00440827"/>
    <w:rsid w:val="004539DE"/>
    <w:rsid w:val="0045771A"/>
    <w:rsid w:val="0046515C"/>
    <w:rsid w:val="00472BE6"/>
    <w:rsid w:val="004A2CF1"/>
    <w:rsid w:val="004B0451"/>
    <w:rsid w:val="004C3035"/>
    <w:rsid w:val="004C307F"/>
    <w:rsid w:val="004C667E"/>
    <w:rsid w:val="004D61B9"/>
    <w:rsid w:val="004E2796"/>
    <w:rsid w:val="004E4BA8"/>
    <w:rsid w:val="004E71EF"/>
    <w:rsid w:val="004F340F"/>
    <w:rsid w:val="004F7B7C"/>
    <w:rsid w:val="00515879"/>
    <w:rsid w:val="00516C50"/>
    <w:rsid w:val="00520E2F"/>
    <w:rsid w:val="00522120"/>
    <w:rsid w:val="0052243D"/>
    <w:rsid w:val="00532435"/>
    <w:rsid w:val="00550354"/>
    <w:rsid w:val="00551CD8"/>
    <w:rsid w:val="00557625"/>
    <w:rsid w:val="00562A7E"/>
    <w:rsid w:val="00571236"/>
    <w:rsid w:val="005953A1"/>
    <w:rsid w:val="005C441C"/>
    <w:rsid w:val="005C7FC2"/>
    <w:rsid w:val="005D0332"/>
    <w:rsid w:val="005D0D8C"/>
    <w:rsid w:val="005E1623"/>
    <w:rsid w:val="00602E17"/>
    <w:rsid w:val="00603A2A"/>
    <w:rsid w:val="00610DBE"/>
    <w:rsid w:val="00621FCC"/>
    <w:rsid w:val="006411A6"/>
    <w:rsid w:val="00642F9E"/>
    <w:rsid w:val="0068071F"/>
    <w:rsid w:val="00685CD0"/>
    <w:rsid w:val="006A0D97"/>
    <w:rsid w:val="006B1F86"/>
    <w:rsid w:val="006C0A91"/>
    <w:rsid w:val="006C612A"/>
    <w:rsid w:val="006D13C8"/>
    <w:rsid w:val="006F3B69"/>
    <w:rsid w:val="00700A67"/>
    <w:rsid w:val="007054BB"/>
    <w:rsid w:val="00705D34"/>
    <w:rsid w:val="007067B9"/>
    <w:rsid w:val="00707064"/>
    <w:rsid w:val="00716B65"/>
    <w:rsid w:val="00716FE6"/>
    <w:rsid w:val="00730683"/>
    <w:rsid w:val="0075261F"/>
    <w:rsid w:val="0075468E"/>
    <w:rsid w:val="00761A5D"/>
    <w:rsid w:val="007665D8"/>
    <w:rsid w:val="00766E36"/>
    <w:rsid w:val="00775104"/>
    <w:rsid w:val="007765F4"/>
    <w:rsid w:val="00776633"/>
    <w:rsid w:val="00784D53"/>
    <w:rsid w:val="00793F7D"/>
    <w:rsid w:val="00797797"/>
    <w:rsid w:val="007A2B7E"/>
    <w:rsid w:val="007A63C9"/>
    <w:rsid w:val="007A6B53"/>
    <w:rsid w:val="007A735F"/>
    <w:rsid w:val="007B32D1"/>
    <w:rsid w:val="007B7095"/>
    <w:rsid w:val="007D24E1"/>
    <w:rsid w:val="007F4CE9"/>
    <w:rsid w:val="007F4E20"/>
    <w:rsid w:val="00800D60"/>
    <w:rsid w:val="00822C7E"/>
    <w:rsid w:val="00823CAD"/>
    <w:rsid w:val="00846E8A"/>
    <w:rsid w:val="00847060"/>
    <w:rsid w:val="00856A33"/>
    <w:rsid w:val="00863BD3"/>
    <w:rsid w:val="0087785E"/>
    <w:rsid w:val="00882E71"/>
    <w:rsid w:val="00892620"/>
    <w:rsid w:val="00894C67"/>
    <w:rsid w:val="008959D5"/>
    <w:rsid w:val="008A32A8"/>
    <w:rsid w:val="008A3AD8"/>
    <w:rsid w:val="008C290D"/>
    <w:rsid w:val="008C50C0"/>
    <w:rsid w:val="008C7D37"/>
    <w:rsid w:val="008D5885"/>
    <w:rsid w:val="008F6D7C"/>
    <w:rsid w:val="00912349"/>
    <w:rsid w:val="00921A9B"/>
    <w:rsid w:val="00923FA2"/>
    <w:rsid w:val="00951254"/>
    <w:rsid w:val="00951644"/>
    <w:rsid w:val="0096060D"/>
    <w:rsid w:val="00974A50"/>
    <w:rsid w:val="0097585A"/>
    <w:rsid w:val="00977281"/>
    <w:rsid w:val="009778A0"/>
    <w:rsid w:val="00981423"/>
    <w:rsid w:val="00985463"/>
    <w:rsid w:val="0098650C"/>
    <w:rsid w:val="009924B0"/>
    <w:rsid w:val="009942C9"/>
    <w:rsid w:val="009A4961"/>
    <w:rsid w:val="009B35C4"/>
    <w:rsid w:val="009B6FC2"/>
    <w:rsid w:val="009C0E5C"/>
    <w:rsid w:val="009C2DB3"/>
    <w:rsid w:val="009C630A"/>
    <w:rsid w:val="009D55BF"/>
    <w:rsid w:val="009E0D98"/>
    <w:rsid w:val="009F2B5D"/>
    <w:rsid w:val="00A02686"/>
    <w:rsid w:val="00A068A1"/>
    <w:rsid w:val="00A1207D"/>
    <w:rsid w:val="00A12FD8"/>
    <w:rsid w:val="00A346FC"/>
    <w:rsid w:val="00A84F93"/>
    <w:rsid w:val="00A87F5F"/>
    <w:rsid w:val="00A959E1"/>
    <w:rsid w:val="00AA0FBC"/>
    <w:rsid w:val="00AB140A"/>
    <w:rsid w:val="00AB1AC5"/>
    <w:rsid w:val="00AB3BFC"/>
    <w:rsid w:val="00AC4F2E"/>
    <w:rsid w:val="00AC59AD"/>
    <w:rsid w:val="00AD0C37"/>
    <w:rsid w:val="00AD385F"/>
    <w:rsid w:val="00AD6506"/>
    <w:rsid w:val="00AE6E2A"/>
    <w:rsid w:val="00B206C6"/>
    <w:rsid w:val="00B31E9C"/>
    <w:rsid w:val="00B35595"/>
    <w:rsid w:val="00B456BA"/>
    <w:rsid w:val="00B51C6D"/>
    <w:rsid w:val="00B6252C"/>
    <w:rsid w:val="00B67CBD"/>
    <w:rsid w:val="00B7602A"/>
    <w:rsid w:val="00B76181"/>
    <w:rsid w:val="00B76268"/>
    <w:rsid w:val="00B86D64"/>
    <w:rsid w:val="00BA11D0"/>
    <w:rsid w:val="00BA4AC5"/>
    <w:rsid w:val="00BA4FC0"/>
    <w:rsid w:val="00BC1364"/>
    <w:rsid w:val="00BC2B2A"/>
    <w:rsid w:val="00BC7DE9"/>
    <w:rsid w:val="00BE53F7"/>
    <w:rsid w:val="00BF4331"/>
    <w:rsid w:val="00BF479B"/>
    <w:rsid w:val="00BF4D41"/>
    <w:rsid w:val="00C02577"/>
    <w:rsid w:val="00C204FB"/>
    <w:rsid w:val="00C20BEE"/>
    <w:rsid w:val="00C2158D"/>
    <w:rsid w:val="00C45775"/>
    <w:rsid w:val="00C6255D"/>
    <w:rsid w:val="00C6355E"/>
    <w:rsid w:val="00C67DD2"/>
    <w:rsid w:val="00C70F6B"/>
    <w:rsid w:val="00C725CB"/>
    <w:rsid w:val="00C76F5C"/>
    <w:rsid w:val="00C86806"/>
    <w:rsid w:val="00C96BAD"/>
    <w:rsid w:val="00CA669F"/>
    <w:rsid w:val="00CA6944"/>
    <w:rsid w:val="00CA7ACA"/>
    <w:rsid w:val="00CB0F8E"/>
    <w:rsid w:val="00CB7E7D"/>
    <w:rsid w:val="00CC2911"/>
    <w:rsid w:val="00CD0DDB"/>
    <w:rsid w:val="00CD256D"/>
    <w:rsid w:val="00CE1440"/>
    <w:rsid w:val="00CF0C6D"/>
    <w:rsid w:val="00CF7307"/>
    <w:rsid w:val="00CF7C68"/>
    <w:rsid w:val="00D05509"/>
    <w:rsid w:val="00D124FA"/>
    <w:rsid w:val="00D340DE"/>
    <w:rsid w:val="00D405EA"/>
    <w:rsid w:val="00D55723"/>
    <w:rsid w:val="00D62FAD"/>
    <w:rsid w:val="00D70450"/>
    <w:rsid w:val="00D704E3"/>
    <w:rsid w:val="00D83BFD"/>
    <w:rsid w:val="00D90A38"/>
    <w:rsid w:val="00DA0515"/>
    <w:rsid w:val="00DA171E"/>
    <w:rsid w:val="00DA56AA"/>
    <w:rsid w:val="00DB37D7"/>
    <w:rsid w:val="00DB4265"/>
    <w:rsid w:val="00DB5833"/>
    <w:rsid w:val="00DB5F1A"/>
    <w:rsid w:val="00DD2858"/>
    <w:rsid w:val="00DD438E"/>
    <w:rsid w:val="00E00AB0"/>
    <w:rsid w:val="00E03E33"/>
    <w:rsid w:val="00E161C5"/>
    <w:rsid w:val="00E25152"/>
    <w:rsid w:val="00E3642A"/>
    <w:rsid w:val="00E36EE2"/>
    <w:rsid w:val="00E415C4"/>
    <w:rsid w:val="00E50016"/>
    <w:rsid w:val="00E50EAA"/>
    <w:rsid w:val="00E605B0"/>
    <w:rsid w:val="00E640DB"/>
    <w:rsid w:val="00E656D6"/>
    <w:rsid w:val="00E66A20"/>
    <w:rsid w:val="00E70516"/>
    <w:rsid w:val="00E82F00"/>
    <w:rsid w:val="00E977EE"/>
    <w:rsid w:val="00EA67A2"/>
    <w:rsid w:val="00EB5F18"/>
    <w:rsid w:val="00EC2539"/>
    <w:rsid w:val="00EC4F98"/>
    <w:rsid w:val="00ED0587"/>
    <w:rsid w:val="00ED1348"/>
    <w:rsid w:val="00ED58E8"/>
    <w:rsid w:val="00EE4996"/>
    <w:rsid w:val="00F01815"/>
    <w:rsid w:val="00F10CD1"/>
    <w:rsid w:val="00F12F02"/>
    <w:rsid w:val="00F150C3"/>
    <w:rsid w:val="00F35134"/>
    <w:rsid w:val="00F35EDB"/>
    <w:rsid w:val="00F41812"/>
    <w:rsid w:val="00F65C2D"/>
    <w:rsid w:val="00F73333"/>
    <w:rsid w:val="00F958D3"/>
    <w:rsid w:val="00F95D8F"/>
    <w:rsid w:val="00FA3FEC"/>
    <w:rsid w:val="00FA4896"/>
    <w:rsid w:val="00FA7AC4"/>
    <w:rsid w:val="00FB350A"/>
    <w:rsid w:val="00FE00FE"/>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
    <w:name w:val="Table"/>
    <w:basedOn w:val="Normal"/>
    <w:link w:val="TableChar"/>
    <w:qFormat/>
    <w:rsid w:val="00264381"/>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264381"/>
    <w:rPr>
      <w:rFonts w:ascii="Candara" w:eastAsiaTheme="majorEastAsia" w:hAnsi="Candara" w:cstheme="majorBidi"/>
      <w:sz w:val="20"/>
      <w:lang w:eastAsia="en-US" w:bidi="en-US"/>
    </w:rPr>
  </w:style>
  <w:style w:type="paragraph" w:customStyle="1" w:styleId="TableCentre">
    <w:name w:val="Table Centre"/>
    <w:basedOn w:val="Table"/>
    <w:uiPriority w:val="99"/>
    <w:qFormat/>
    <w:rsid w:val="00264381"/>
    <w:pPr>
      <w:jc w:val="center"/>
    </w:pPr>
  </w:style>
  <w:style w:type="paragraph" w:customStyle="1" w:styleId="Tabletext">
    <w:name w:val="Table text"/>
    <w:basedOn w:val="Normal"/>
    <w:link w:val="TabletextChar"/>
    <w:qFormat/>
    <w:rsid w:val="00264381"/>
    <w:rPr>
      <w:rFonts w:ascii="Arial Narrow" w:hAnsi="Arial Narrow"/>
      <w:sz w:val="20"/>
      <w:szCs w:val="24"/>
      <w:lang w:eastAsia="en-US"/>
    </w:rPr>
  </w:style>
  <w:style w:type="character" w:customStyle="1" w:styleId="TabletextChar">
    <w:name w:val="Table text Char"/>
    <w:basedOn w:val="DefaultParagraphFont"/>
    <w:link w:val="Tabletext"/>
    <w:rsid w:val="00264381"/>
    <w:rPr>
      <w:rFonts w:ascii="Arial Narrow" w:eastAsia="Times New Roman" w:hAnsi="Arial Narrow"/>
      <w:sz w:val="20"/>
      <w:szCs w:val="24"/>
      <w:lang w:eastAsia="en-US"/>
    </w:rPr>
  </w:style>
  <w:style w:type="paragraph" w:customStyle="1" w:styleId="Tablecaption">
    <w:name w:val="Table caption"/>
    <w:basedOn w:val="Normal"/>
    <w:link w:val="TablecaptionChar"/>
    <w:qFormat/>
    <w:rsid w:val="00264381"/>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264381"/>
    <w:rPr>
      <w:rFonts w:ascii="Arial Narrow" w:eastAsia="Times New Roman" w:hAnsi="Arial Narrow" w:cs="Arial"/>
      <w:sz w:val="20"/>
      <w:szCs w:val="20"/>
      <w:lang w:eastAsia="en-US"/>
    </w:rPr>
  </w:style>
  <w:style w:type="paragraph" w:styleId="Caption">
    <w:name w:val="caption"/>
    <w:aliases w:val="Bayer Caption,IB Caption,Medical Caption,CSR Caption"/>
    <w:basedOn w:val="Normal"/>
    <w:next w:val="Normal"/>
    <w:link w:val="CaptionChar"/>
    <w:uiPriority w:val="99"/>
    <w:unhideWhenUsed/>
    <w:qFormat/>
    <w:locked/>
    <w:rsid w:val="00264381"/>
    <w:pPr>
      <w:keepNext/>
      <w:jc w:val="both"/>
      <w:outlineLvl w:val="4"/>
    </w:pPr>
    <w:rPr>
      <w:rFonts w:ascii="Arial Narrow" w:hAnsi="Arial Narrow" w:cs="Arial"/>
      <w:b/>
      <w:bCs/>
      <w:iCs/>
      <w:sz w:val="20"/>
      <w:lang w:eastAsia="en-US"/>
    </w:rPr>
  </w:style>
  <w:style w:type="character" w:customStyle="1" w:styleId="TableBold">
    <w:name w:val="Table Bold"/>
    <w:uiPriority w:val="4"/>
    <w:qFormat/>
    <w:rsid w:val="00264381"/>
    <w:rPr>
      <w:rFonts w:ascii="Calibri" w:hAnsi="Calibri" w:hint="default"/>
      <w:b/>
      <w:bCs w:val="0"/>
      <w:sz w:val="20"/>
      <w:lang w:val="en-AU"/>
    </w:rPr>
  </w:style>
  <w:style w:type="table" w:customStyle="1" w:styleId="TableGrid12">
    <w:name w:val="Table Grid12"/>
    <w:basedOn w:val="TableNormal"/>
    <w:next w:val="TableGrid"/>
    <w:uiPriority w:val="59"/>
    <w:rsid w:val="00264381"/>
    <w:rPr>
      <w:rFonts w:ascii="Candara" w:eastAsia="Times New Roman" w:hAnsi="Candara" w:cstheme="majorBidi"/>
      <w:sz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CaptionChar">
    <w:name w:val="Caption Char"/>
    <w:aliases w:val="Bayer Caption Char,IB Caption Char,Medical Caption Char,CSR Caption Char"/>
    <w:basedOn w:val="DefaultParagraphFont"/>
    <w:link w:val="Caption"/>
    <w:uiPriority w:val="99"/>
    <w:rsid w:val="00264381"/>
    <w:rPr>
      <w:rFonts w:ascii="Arial Narrow" w:eastAsia="Times New Roman" w:hAnsi="Arial Narrow" w:cs="Arial"/>
      <w:b/>
      <w:bCs/>
      <w:iCs/>
      <w:sz w:val="20"/>
      <w:szCs w:val="20"/>
      <w:lang w:eastAsia="en-US"/>
    </w:rPr>
  </w:style>
  <w:style w:type="table" w:styleId="TableGrid">
    <w:name w:val="Table Grid"/>
    <w:basedOn w:val="TableNormal"/>
    <w:uiPriority w:val="59"/>
    <w:locked/>
    <w:rsid w:val="0026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
    <w:name w:val="Table text bold"/>
    <w:basedOn w:val="Normal"/>
    <w:link w:val="TabletextboldChar"/>
    <w:qFormat/>
    <w:rsid w:val="00264381"/>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264381"/>
    <w:rPr>
      <w:rFonts w:ascii="Arial Narrow" w:eastAsia="Times New Roman" w:hAnsi="Arial Narrow" w:cs="Arial"/>
      <w:b/>
      <w:sz w:val="20"/>
      <w:szCs w:val="20"/>
      <w:lang w:eastAsia="en-US"/>
    </w:rPr>
  </w:style>
  <w:style w:type="paragraph" w:customStyle="1" w:styleId="ESHeading2">
    <w:name w:val="ES Heading 2"/>
    <w:basedOn w:val="Heading2"/>
    <w:link w:val="ESHeading2Char"/>
    <w:qFormat/>
    <w:rsid w:val="00264381"/>
    <w:pPr>
      <w:keepLines w:val="0"/>
      <w:spacing w:before="0"/>
      <w:ind w:left="576" w:hanging="576"/>
      <w:jc w:val="both"/>
    </w:pPr>
    <w:rPr>
      <w:rFonts w:ascii="Garamond" w:eastAsia="Times New Roman" w:hAnsi="Garamond"/>
      <w:iCs/>
      <w:szCs w:val="28"/>
    </w:rPr>
  </w:style>
  <w:style w:type="character" w:customStyle="1" w:styleId="ESHeading2Char">
    <w:name w:val="ES Heading 2 Char"/>
    <w:basedOn w:val="Heading2Char"/>
    <w:link w:val="ESHeading2"/>
    <w:rsid w:val="00264381"/>
    <w:rPr>
      <w:rFonts w:ascii="Garamond" w:eastAsia="Times New Roman" w:hAnsi="Garamond" w:cstheme="majorBidi"/>
      <w:b/>
      <w:bCs/>
      <w:iCs/>
      <w:color w:val="4F81BD" w:themeColor="accent1"/>
      <w:sz w:val="26"/>
      <w:szCs w:val="28"/>
    </w:rPr>
  </w:style>
  <w:style w:type="table" w:customStyle="1" w:styleId="Submissiontemplate2">
    <w:name w:val="Submission template2"/>
    <w:basedOn w:val="TableNormal"/>
    <w:uiPriority w:val="99"/>
    <w:rsid w:val="00264381"/>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textboldleft">
    <w:name w:val="Table text bold left"/>
    <w:basedOn w:val="Tabletextbold"/>
    <w:link w:val="TabletextboldleftChar"/>
    <w:qFormat/>
    <w:rsid w:val="00E00AB0"/>
    <w:pPr>
      <w:jc w:val="left"/>
    </w:pPr>
  </w:style>
  <w:style w:type="character" w:customStyle="1" w:styleId="TabletextboldleftChar">
    <w:name w:val="Table text bold left Char"/>
    <w:basedOn w:val="TabletextboldChar"/>
    <w:link w:val="Tabletextboldleft"/>
    <w:rsid w:val="00E00AB0"/>
    <w:rPr>
      <w:rFonts w:ascii="Arial Narrow" w:eastAsia="Times New Roman" w:hAnsi="Arial Narrow" w:cs="Arial"/>
      <w:b/>
      <w:sz w:val="20"/>
      <w:szCs w:val="20"/>
      <w:lang w:eastAsia="en-US"/>
    </w:rPr>
  </w:style>
  <w:style w:type="table" w:customStyle="1" w:styleId="Submissiontemplate7">
    <w:name w:val="Submission template7"/>
    <w:basedOn w:val="TableNormal"/>
    <w:uiPriority w:val="99"/>
    <w:rsid w:val="00E00AB0"/>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Style2">
    <w:name w:val="Style2"/>
    <w:basedOn w:val="Normal"/>
    <w:link w:val="Style2Char"/>
    <w:qFormat/>
    <w:rsid w:val="00E00AB0"/>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E00AB0"/>
    <w:rPr>
      <w:rFonts w:ascii="Arial" w:eastAsia="Times New Roman" w:hAnsi="Arial" w:cs="Arial"/>
      <w:color w:val="3366FF"/>
      <w:sz w:val="24"/>
      <w:szCs w:val="24"/>
    </w:rPr>
  </w:style>
  <w:style w:type="paragraph" w:styleId="NoSpacing">
    <w:name w:val="No Spacing"/>
    <w:uiPriority w:val="1"/>
    <w:qFormat/>
    <w:rsid w:val="00E00AB0"/>
    <w:rPr>
      <w:rFonts w:asciiTheme="minorHAnsi" w:eastAsiaTheme="minorHAnsi" w:hAnsiTheme="minorHAnsi" w:cstheme="minorBidi"/>
      <w:lang w:eastAsia="en-US"/>
    </w:rPr>
  </w:style>
  <w:style w:type="paragraph" w:customStyle="1" w:styleId="NormalBulletList">
    <w:name w:val="Normal Bullet List"/>
    <w:basedOn w:val="Normal"/>
    <w:uiPriority w:val="3"/>
    <w:qFormat/>
    <w:rsid w:val="009C2DB3"/>
    <w:pPr>
      <w:spacing w:after="240" w:line="276" w:lineRule="auto"/>
      <w:contextualSpacing/>
      <w:jc w:val="both"/>
    </w:pPr>
    <w:rPr>
      <w:rFonts w:ascii="Candara" w:eastAsiaTheme="majorEastAsia" w:hAnsi="Candara" w:cstheme="majorBidi"/>
      <w:szCs w:val="22"/>
      <w:lang w:eastAsia="en-US" w:bidi="en-US"/>
    </w:rPr>
  </w:style>
  <w:style w:type="character" w:styleId="FollowedHyperlink">
    <w:name w:val="FollowedHyperlink"/>
    <w:basedOn w:val="DefaultParagraphFont"/>
    <w:uiPriority w:val="99"/>
    <w:semiHidden/>
    <w:unhideWhenUsed/>
    <w:rsid w:val="00D704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
    <w:name w:val="Table"/>
    <w:basedOn w:val="Normal"/>
    <w:link w:val="TableChar"/>
    <w:qFormat/>
    <w:rsid w:val="00264381"/>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264381"/>
    <w:rPr>
      <w:rFonts w:ascii="Candara" w:eastAsiaTheme="majorEastAsia" w:hAnsi="Candara" w:cstheme="majorBidi"/>
      <w:sz w:val="20"/>
      <w:lang w:eastAsia="en-US" w:bidi="en-US"/>
    </w:rPr>
  </w:style>
  <w:style w:type="paragraph" w:customStyle="1" w:styleId="TableCentre">
    <w:name w:val="Table Centre"/>
    <w:basedOn w:val="Table"/>
    <w:uiPriority w:val="99"/>
    <w:qFormat/>
    <w:rsid w:val="00264381"/>
    <w:pPr>
      <w:jc w:val="center"/>
    </w:pPr>
  </w:style>
  <w:style w:type="paragraph" w:customStyle="1" w:styleId="Tabletext">
    <w:name w:val="Table text"/>
    <w:basedOn w:val="Normal"/>
    <w:link w:val="TabletextChar"/>
    <w:qFormat/>
    <w:rsid w:val="00264381"/>
    <w:rPr>
      <w:rFonts w:ascii="Arial Narrow" w:hAnsi="Arial Narrow"/>
      <w:sz w:val="20"/>
      <w:szCs w:val="24"/>
      <w:lang w:eastAsia="en-US"/>
    </w:rPr>
  </w:style>
  <w:style w:type="character" w:customStyle="1" w:styleId="TabletextChar">
    <w:name w:val="Table text Char"/>
    <w:basedOn w:val="DefaultParagraphFont"/>
    <w:link w:val="Tabletext"/>
    <w:rsid w:val="00264381"/>
    <w:rPr>
      <w:rFonts w:ascii="Arial Narrow" w:eastAsia="Times New Roman" w:hAnsi="Arial Narrow"/>
      <w:sz w:val="20"/>
      <w:szCs w:val="24"/>
      <w:lang w:eastAsia="en-US"/>
    </w:rPr>
  </w:style>
  <w:style w:type="paragraph" w:customStyle="1" w:styleId="Tablecaption">
    <w:name w:val="Table caption"/>
    <w:basedOn w:val="Normal"/>
    <w:link w:val="TablecaptionChar"/>
    <w:qFormat/>
    <w:rsid w:val="00264381"/>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264381"/>
    <w:rPr>
      <w:rFonts w:ascii="Arial Narrow" w:eastAsia="Times New Roman" w:hAnsi="Arial Narrow" w:cs="Arial"/>
      <w:sz w:val="20"/>
      <w:szCs w:val="20"/>
      <w:lang w:eastAsia="en-US"/>
    </w:rPr>
  </w:style>
  <w:style w:type="paragraph" w:styleId="Caption">
    <w:name w:val="caption"/>
    <w:aliases w:val="Bayer Caption,IB Caption,Medical Caption,CSR Caption"/>
    <w:basedOn w:val="Normal"/>
    <w:next w:val="Normal"/>
    <w:link w:val="CaptionChar"/>
    <w:uiPriority w:val="99"/>
    <w:unhideWhenUsed/>
    <w:qFormat/>
    <w:locked/>
    <w:rsid w:val="00264381"/>
    <w:pPr>
      <w:keepNext/>
      <w:jc w:val="both"/>
      <w:outlineLvl w:val="4"/>
    </w:pPr>
    <w:rPr>
      <w:rFonts w:ascii="Arial Narrow" w:hAnsi="Arial Narrow" w:cs="Arial"/>
      <w:b/>
      <w:bCs/>
      <w:iCs/>
      <w:sz w:val="20"/>
      <w:lang w:eastAsia="en-US"/>
    </w:rPr>
  </w:style>
  <w:style w:type="character" w:customStyle="1" w:styleId="TableBold">
    <w:name w:val="Table Bold"/>
    <w:uiPriority w:val="4"/>
    <w:qFormat/>
    <w:rsid w:val="00264381"/>
    <w:rPr>
      <w:rFonts w:ascii="Calibri" w:hAnsi="Calibri" w:hint="default"/>
      <w:b/>
      <w:bCs w:val="0"/>
      <w:sz w:val="20"/>
      <w:lang w:val="en-AU"/>
    </w:rPr>
  </w:style>
  <w:style w:type="table" w:customStyle="1" w:styleId="TableGrid12">
    <w:name w:val="Table Grid12"/>
    <w:basedOn w:val="TableNormal"/>
    <w:next w:val="TableGrid"/>
    <w:uiPriority w:val="59"/>
    <w:rsid w:val="00264381"/>
    <w:rPr>
      <w:rFonts w:ascii="Candara" w:eastAsia="Times New Roman" w:hAnsi="Candara" w:cstheme="majorBidi"/>
      <w:sz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CaptionChar">
    <w:name w:val="Caption Char"/>
    <w:aliases w:val="Bayer Caption Char,IB Caption Char,Medical Caption Char,CSR Caption Char"/>
    <w:basedOn w:val="DefaultParagraphFont"/>
    <w:link w:val="Caption"/>
    <w:uiPriority w:val="99"/>
    <w:rsid w:val="00264381"/>
    <w:rPr>
      <w:rFonts w:ascii="Arial Narrow" w:eastAsia="Times New Roman" w:hAnsi="Arial Narrow" w:cs="Arial"/>
      <w:b/>
      <w:bCs/>
      <w:iCs/>
      <w:sz w:val="20"/>
      <w:szCs w:val="20"/>
      <w:lang w:eastAsia="en-US"/>
    </w:rPr>
  </w:style>
  <w:style w:type="table" w:styleId="TableGrid">
    <w:name w:val="Table Grid"/>
    <w:basedOn w:val="TableNormal"/>
    <w:uiPriority w:val="59"/>
    <w:locked/>
    <w:rsid w:val="0026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
    <w:name w:val="Table text bold"/>
    <w:basedOn w:val="Normal"/>
    <w:link w:val="TabletextboldChar"/>
    <w:qFormat/>
    <w:rsid w:val="00264381"/>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264381"/>
    <w:rPr>
      <w:rFonts w:ascii="Arial Narrow" w:eastAsia="Times New Roman" w:hAnsi="Arial Narrow" w:cs="Arial"/>
      <w:b/>
      <w:sz w:val="20"/>
      <w:szCs w:val="20"/>
      <w:lang w:eastAsia="en-US"/>
    </w:rPr>
  </w:style>
  <w:style w:type="paragraph" w:customStyle="1" w:styleId="ESHeading2">
    <w:name w:val="ES Heading 2"/>
    <w:basedOn w:val="Heading2"/>
    <w:link w:val="ESHeading2Char"/>
    <w:qFormat/>
    <w:rsid w:val="00264381"/>
    <w:pPr>
      <w:keepLines w:val="0"/>
      <w:spacing w:before="0"/>
      <w:ind w:left="576" w:hanging="576"/>
      <w:jc w:val="both"/>
    </w:pPr>
    <w:rPr>
      <w:rFonts w:ascii="Garamond" w:eastAsia="Times New Roman" w:hAnsi="Garamond"/>
      <w:iCs/>
      <w:szCs w:val="28"/>
    </w:rPr>
  </w:style>
  <w:style w:type="character" w:customStyle="1" w:styleId="ESHeading2Char">
    <w:name w:val="ES Heading 2 Char"/>
    <w:basedOn w:val="Heading2Char"/>
    <w:link w:val="ESHeading2"/>
    <w:rsid w:val="00264381"/>
    <w:rPr>
      <w:rFonts w:ascii="Garamond" w:eastAsia="Times New Roman" w:hAnsi="Garamond" w:cstheme="majorBidi"/>
      <w:b/>
      <w:bCs/>
      <w:iCs/>
      <w:color w:val="4F81BD" w:themeColor="accent1"/>
      <w:sz w:val="26"/>
      <w:szCs w:val="28"/>
    </w:rPr>
  </w:style>
  <w:style w:type="table" w:customStyle="1" w:styleId="Submissiontemplate2">
    <w:name w:val="Submission template2"/>
    <w:basedOn w:val="TableNormal"/>
    <w:uiPriority w:val="99"/>
    <w:rsid w:val="00264381"/>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textboldleft">
    <w:name w:val="Table text bold left"/>
    <w:basedOn w:val="Tabletextbold"/>
    <w:link w:val="TabletextboldleftChar"/>
    <w:qFormat/>
    <w:rsid w:val="00E00AB0"/>
    <w:pPr>
      <w:jc w:val="left"/>
    </w:pPr>
  </w:style>
  <w:style w:type="character" w:customStyle="1" w:styleId="TabletextboldleftChar">
    <w:name w:val="Table text bold left Char"/>
    <w:basedOn w:val="TabletextboldChar"/>
    <w:link w:val="Tabletextboldleft"/>
    <w:rsid w:val="00E00AB0"/>
    <w:rPr>
      <w:rFonts w:ascii="Arial Narrow" w:eastAsia="Times New Roman" w:hAnsi="Arial Narrow" w:cs="Arial"/>
      <w:b/>
      <w:sz w:val="20"/>
      <w:szCs w:val="20"/>
      <w:lang w:eastAsia="en-US"/>
    </w:rPr>
  </w:style>
  <w:style w:type="table" w:customStyle="1" w:styleId="Submissiontemplate7">
    <w:name w:val="Submission template7"/>
    <w:basedOn w:val="TableNormal"/>
    <w:uiPriority w:val="99"/>
    <w:rsid w:val="00E00AB0"/>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Style2">
    <w:name w:val="Style2"/>
    <w:basedOn w:val="Normal"/>
    <w:link w:val="Style2Char"/>
    <w:qFormat/>
    <w:rsid w:val="00E00AB0"/>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E00AB0"/>
    <w:rPr>
      <w:rFonts w:ascii="Arial" w:eastAsia="Times New Roman" w:hAnsi="Arial" w:cs="Arial"/>
      <w:color w:val="3366FF"/>
      <w:sz w:val="24"/>
      <w:szCs w:val="24"/>
    </w:rPr>
  </w:style>
  <w:style w:type="paragraph" w:styleId="NoSpacing">
    <w:name w:val="No Spacing"/>
    <w:uiPriority w:val="1"/>
    <w:qFormat/>
    <w:rsid w:val="00E00AB0"/>
    <w:rPr>
      <w:rFonts w:asciiTheme="minorHAnsi" w:eastAsiaTheme="minorHAnsi" w:hAnsiTheme="minorHAnsi" w:cstheme="minorBidi"/>
      <w:lang w:eastAsia="en-US"/>
    </w:rPr>
  </w:style>
  <w:style w:type="paragraph" w:customStyle="1" w:styleId="NormalBulletList">
    <w:name w:val="Normal Bullet List"/>
    <w:basedOn w:val="Normal"/>
    <w:uiPriority w:val="3"/>
    <w:qFormat/>
    <w:rsid w:val="009C2DB3"/>
    <w:pPr>
      <w:spacing w:after="240" w:line="276" w:lineRule="auto"/>
      <w:contextualSpacing/>
      <w:jc w:val="both"/>
    </w:pPr>
    <w:rPr>
      <w:rFonts w:ascii="Candara" w:eastAsiaTheme="majorEastAsia" w:hAnsi="Candara" w:cstheme="majorBidi"/>
      <w:szCs w:val="22"/>
      <w:lang w:eastAsia="en-US" w:bidi="en-US"/>
    </w:rPr>
  </w:style>
  <w:style w:type="character" w:styleId="FollowedHyperlink">
    <w:name w:val="FollowedHyperlink"/>
    <w:basedOn w:val="DefaultParagraphFont"/>
    <w:uiPriority w:val="99"/>
    <w:semiHidden/>
    <w:unhideWhenUsed/>
    <w:rsid w:val="00D704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152601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ps.edu.au/pub_govsubmissions.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6B3C-D240-4569-8EC5-F54D47C9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4955</Words>
  <Characters>28557</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Valeri Mikayla</cp:lastModifiedBy>
  <cp:revision>2</cp:revision>
  <cp:lastPrinted>2015-10-25T23:25:00Z</cp:lastPrinted>
  <dcterms:created xsi:type="dcterms:W3CDTF">2015-11-17T03:28:00Z</dcterms:created>
  <dcterms:modified xsi:type="dcterms:W3CDTF">2015-11-17T03:28:00Z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