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FFDE" w14:textId="77777777" w:rsidR="00051843" w:rsidRPr="00BC0C43" w:rsidRDefault="00051843" w:rsidP="00BC0C43">
      <w:pPr>
        <w:pStyle w:val="Heading1"/>
      </w:pPr>
      <w:r w:rsidRPr="00BC0C43">
        <w:t>Population</w:t>
      </w:r>
    </w:p>
    <w:p w14:paraId="403BD183" w14:textId="738A72BE" w:rsidR="00051843" w:rsidRPr="00BC0C43" w:rsidRDefault="00051843" w:rsidP="00BC0C43">
      <w:pPr>
        <w:pStyle w:val="Heading2"/>
      </w:pPr>
      <w:r w:rsidRPr="00BC0C43">
        <w:t>Describe the population in which the proposed health technology is intended to be used:</w:t>
      </w:r>
    </w:p>
    <w:p w14:paraId="4AD92025" w14:textId="4ACE66C8" w:rsidR="00AF600C" w:rsidRDefault="00AF600C" w:rsidP="00E64D99">
      <w:r w:rsidRPr="00AF600C">
        <w:t>Adult patients with metastatic castration-resistant prostate cancer (</w:t>
      </w:r>
      <w:proofErr w:type="spellStart"/>
      <w:r w:rsidRPr="00AF600C">
        <w:t>mCRPC</w:t>
      </w:r>
      <w:proofErr w:type="spellEnd"/>
      <w:r w:rsidRPr="00AF600C">
        <w:t xml:space="preserve">) with evidence of </w:t>
      </w:r>
      <w:proofErr w:type="spellStart"/>
      <w:r w:rsidRPr="00AF600C">
        <w:t>BReast</w:t>
      </w:r>
      <w:proofErr w:type="spellEnd"/>
      <w:r w:rsidRPr="00AF600C">
        <w:t xml:space="preserve"> </w:t>
      </w:r>
      <w:proofErr w:type="spellStart"/>
      <w:r w:rsidRPr="00AF600C">
        <w:t>CAncer</w:t>
      </w:r>
      <w:proofErr w:type="spellEnd"/>
      <w:r w:rsidRPr="00AF600C">
        <w:t xml:space="preserve"> (BRCA) gene 1 or BRCA 2 gene alteration</w:t>
      </w:r>
    </w:p>
    <w:p w14:paraId="01F1E622" w14:textId="08374184" w:rsidR="00E64D99" w:rsidRPr="00E64D99" w:rsidRDefault="00E64D99" w:rsidP="00E64D99">
      <w:pPr>
        <w:rPr>
          <w:i/>
          <w:iCs/>
          <w:u w:val="single"/>
        </w:rPr>
      </w:pPr>
      <w:r w:rsidRPr="00E64D99">
        <w:rPr>
          <w:i/>
          <w:iCs/>
          <w:u w:val="single"/>
        </w:rPr>
        <w:t>Additional information</w:t>
      </w:r>
    </w:p>
    <w:p w14:paraId="1C686E92" w14:textId="11EE66FE" w:rsidR="00E64D99" w:rsidRDefault="00E64D99" w:rsidP="00E64D99">
      <w:pPr>
        <w:jc w:val="both"/>
      </w:pPr>
      <w:r>
        <w:t xml:space="preserve">Prostate cancer is one of the major health issues of elderly men in the word. Although the prognosis of prostate cancer is generally good, an estimated 10% to 20% of patients progress to castration-resistant disease within a 5-year period (Kirby 2011). Castration-resistant prostate cancer (CRPC) is an advanced form of the disease characterised by continued progression despite maintaining serum testosterone at castrate levels (&lt;50 ng/dL) (Parker 2020, NCCN Guidelines 2022). Most patients develop </w:t>
      </w:r>
      <w:proofErr w:type="spellStart"/>
      <w:r>
        <w:t>mCRPC</w:t>
      </w:r>
      <w:proofErr w:type="spellEnd"/>
      <w:r>
        <w:t xml:space="preserve"> following progression from earlier stages of the disease, with an estimated 65% to 72.6% progressing to </w:t>
      </w:r>
      <w:proofErr w:type="spellStart"/>
      <w:r>
        <w:t>mCRPC</w:t>
      </w:r>
      <w:proofErr w:type="spellEnd"/>
      <w:r>
        <w:t xml:space="preserve"> from metastatic castration sensitive prostate cancer (</w:t>
      </w:r>
      <w:proofErr w:type="spellStart"/>
      <w:r>
        <w:t>mCSPC</w:t>
      </w:r>
      <w:proofErr w:type="spellEnd"/>
      <w:r>
        <w:t>), and 26.2% to 35% progressing from non-metastatic castration-resistant prostate cancer (</w:t>
      </w:r>
      <w:proofErr w:type="spellStart"/>
      <w:r>
        <w:t>nmCRPC</w:t>
      </w:r>
      <w:proofErr w:type="spellEnd"/>
      <w:r>
        <w:t xml:space="preserve">) (Shore 2021, Lam 2018). </w:t>
      </w:r>
    </w:p>
    <w:p w14:paraId="6D669022" w14:textId="77777777" w:rsidR="00E64D99" w:rsidRDefault="00E64D99" w:rsidP="00E64D99">
      <w:pPr>
        <w:jc w:val="both"/>
      </w:pPr>
      <w:r>
        <w:t xml:space="preserve">Bone is the predominant site of metastasis in prostate cancer (Kirby 2011) and more than 84% of patients have bone metastases at diagnosis of </w:t>
      </w:r>
      <w:proofErr w:type="spellStart"/>
      <w:r>
        <w:t>mCRPC</w:t>
      </w:r>
      <w:proofErr w:type="spellEnd"/>
      <w:r>
        <w:t xml:space="preserve">. Other common sites of metastasis in patients with </w:t>
      </w:r>
      <w:proofErr w:type="spellStart"/>
      <w:r>
        <w:t>mCRPC</w:t>
      </w:r>
      <w:proofErr w:type="spellEnd"/>
      <w:r>
        <w:t xml:space="preserve"> include lung and liver (</w:t>
      </w:r>
      <w:proofErr w:type="spellStart"/>
      <w:r>
        <w:t>Halabi</w:t>
      </w:r>
      <w:proofErr w:type="spellEnd"/>
      <w:r>
        <w:t xml:space="preserve"> 2016). </w:t>
      </w:r>
      <w:proofErr w:type="spellStart"/>
      <w:r>
        <w:t>mCRPC</w:t>
      </w:r>
      <w:proofErr w:type="spellEnd"/>
      <w:r>
        <w:t xml:space="preserve"> is generally associated with the poorest prognosis, with recent real-world studies reporting median survival of less than 4 years (</w:t>
      </w:r>
      <w:proofErr w:type="spellStart"/>
      <w:r>
        <w:t>Francini</w:t>
      </w:r>
      <w:proofErr w:type="spellEnd"/>
      <w:r>
        <w:t xml:space="preserve"> 2019, Chowdhury 2020, </w:t>
      </w:r>
      <w:proofErr w:type="spellStart"/>
      <w:r>
        <w:t>Westgeest</w:t>
      </w:r>
      <w:proofErr w:type="spellEnd"/>
      <w:r>
        <w:t xml:space="preserve"> 2021). </w:t>
      </w:r>
    </w:p>
    <w:p w14:paraId="12B451EE" w14:textId="77777777" w:rsidR="00E64D99" w:rsidRDefault="00E64D99" w:rsidP="00E64D99">
      <w:pPr>
        <w:jc w:val="both"/>
      </w:pPr>
      <w:r>
        <w:t>Prostate cancer growth and proliferation are primarily dependent on androgens, and androgen deprivation therapy (ADT) is an effective means of controlling the disease. However, some men develop resistance to androgen deprivation, resulting in the development of castration-resistant prostate cancer (CRPC).</w:t>
      </w:r>
    </w:p>
    <w:p w14:paraId="2AB7C864" w14:textId="77777777" w:rsidR="00E64D99" w:rsidRDefault="00E64D99" w:rsidP="00E64D99">
      <w:pPr>
        <w:jc w:val="both"/>
      </w:pPr>
      <w:r>
        <w:t>Established risk factors for prostate cancer include, but are not limited to, advanced age, family history of disease, certain genetic mutations (e.g., BRCA1/2), Lynch Syndrome and African American descent (Parker 2020). Environment and lifestyle factors such as, smoking, excess body weight, nutritional factors, excess multivitamin use, and dairy and calcium intake, have also been recognized to increase the risk of prostate cancer (NCCN Guidelines 2022).</w:t>
      </w:r>
    </w:p>
    <w:p w14:paraId="678F6F41" w14:textId="77777777" w:rsidR="00E64D99" w:rsidRDefault="00E64D99" w:rsidP="00E64D99">
      <w:pPr>
        <w:jc w:val="both"/>
      </w:pPr>
      <w:r>
        <w:t xml:space="preserve">Early-stage prostate cancer is often asymptomatic. Patients with more advanced cases of prostate cancer can experience symptoms including difficulty urinating, blood in urine or semen, erectile dysfunction, weakness or numbness in legs or feet, and pain in the hips, spine, </w:t>
      </w:r>
      <w:proofErr w:type="gramStart"/>
      <w:r>
        <w:t>ribs</w:t>
      </w:r>
      <w:proofErr w:type="gramEnd"/>
      <w:r>
        <w:t xml:space="preserve"> or other areas where cancer has spread to bone. Compared to the non-metastatic disease stage, patients who progress to </w:t>
      </w:r>
      <w:proofErr w:type="spellStart"/>
      <w:r>
        <w:t>mCRPC</w:t>
      </w:r>
      <w:proofErr w:type="spellEnd"/>
      <w:r>
        <w:t xml:space="preserve"> tend to report greater symptom burden, including fatigue, pain, and urinary frequency and more deterioration in functional well-being (Holmstrom et al, 2019). Because metastasis is predominantly localised in bones (90% of patients with </w:t>
      </w:r>
      <w:proofErr w:type="spellStart"/>
      <w:r>
        <w:t>mCRPC</w:t>
      </w:r>
      <w:proofErr w:type="spellEnd"/>
      <w:r>
        <w:t>), this causes significant morbidity which requires medical interventions (pain and skeletal-related events, spinal cord compression, pathological fractures, etc) (</w:t>
      </w:r>
      <w:proofErr w:type="spellStart"/>
      <w:r>
        <w:t>Gandaglia</w:t>
      </w:r>
      <w:proofErr w:type="spellEnd"/>
      <w:r>
        <w:t xml:space="preserve"> et al, 2015). </w:t>
      </w:r>
    </w:p>
    <w:p w14:paraId="04AC0308" w14:textId="77777777" w:rsidR="00E64D99" w:rsidRDefault="00E64D99" w:rsidP="00E64D99">
      <w:pPr>
        <w:jc w:val="both"/>
      </w:pPr>
      <w:r>
        <w:t xml:space="preserve">Inherited mutations in several genes involved in DNA damage repair have been reported to predispose men to prostate cancer. Between 24% to 30% of </w:t>
      </w:r>
      <w:proofErr w:type="spellStart"/>
      <w:r>
        <w:t>mCRPCs</w:t>
      </w:r>
      <w:proofErr w:type="spellEnd"/>
      <w:r>
        <w:t xml:space="preserve"> have loss of function mutations in genes involved in homologous recombination repair (HRR) of DNA damage response (DDR) (Abida, 2017, Armenia, 2018, Chung, 2019). Mutations in the breast cancer susceptibility genes (BRCA1and/or BRCA2) are the most prevalent HRR gene mutations in </w:t>
      </w:r>
      <w:proofErr w:type="spellStart"/>
      <w:r>
        <w:t>mCRPC</w:t>
      </w:r>
      <w:proofErr w:type="spellEnd"/>
      <w:r>
        <w:t xml:space="preserve"> (with BRCA2 more prevalent than BRCA1) Abida, 2017, Armenia, 2018, Chung, 2019)</w:t>
      </w:r>
    </w:p>
    <w:p w14:paraId="55FD0B64" w14:textId="77777777" w:rsidR="00E64D99" w:rsidRDefault="00E64D99" w:rsidP="00E64D99">
      <w:pPr>
        <w:jc w:val="both"/>
      </w:pPr>
      <w:r>
        <w:lastRenderedPageBreak/>
        <w:t xml:space="preserve">Prostate cancer is a significant cause of morbidity and mortality in men, especially in those over the age of 75 years and impacts their physical, </w:t>
      </w:r>
      <w:proofErr w:type="gramStart"/>
      <w:r>
        <w:t>emotional</w:t>
      </w:r>
      <w:proofErr w:type="gramEnd"/>
      <w:r>
        <w:t xml:space="preserve"> and social life (National Institute for Health Research, April 2019). Data obtained from AIHW ‘Cancer Data in Australia’ in 2022 estimated that 24,217 new cases of prostate cancer were diagnosed, and thus likely to be the </w:t>
      </w:r>
      <w:proofErr w:type="gramStart"/>
      <w:r>
        <w:t>most commonly diagnosed</w:t>
      </w:r>
      <w:proofErr w:type="gramEnd"/>
      <w:r>
        <w:t xml:space="preserve"> cancer in males. In 2022, it is estimated that a male has a 1 in 6 (or 17%) risk of being diagnosed with prostate cancer by the age of 85. In 2022, the age-standardised incidence rate was estimated to be 150.8 cases per 100,000 males (AIHW 2022).  </w:t>
      </w:r>
    </w:p>
    <w:p w14:paraId="64ED26DC" w14:textId="67AAF216" w:rsidR="00B86461" w:rsidRDefault="00E64D99" w:rsidP="00E64D99">
      <w:pPr>
        <w:jc w:val="both"/>
      </w:pPr>
      <w:r>
        <w:t>In 2020, prostate cancer was the third most common cause of cancer death in Australia. The mortality rate was 232 deaths per 100,000 males. Approximately 88% of prostate cancer deaths occurred in the male population aged over 70 years. The number of deaths from prostate cancer (all ages) was 3,568 deaths (with 3,138 deaths for males aged over 70) in 2020. The increase in ageing population will impact prostate cancer mortality statistics. This is because the increase in the number of men reaching higher risk ages for prostate cancer is likely to lead to an increasing number of deaths from prostate cancer in the future (AIHW 2022). In 2022, it is estimated that prostate cancer will become the fourth most common cause of death from cancer, with an estimated 3,507 deaths from this disease.</w:t>
      </w:r>
    </w:p>
    <w:p w14:paraId="64CA6E61" w14:textId="6B49D75A" w:rsidR="00B70617" w:rsidRDefault="00051843" w:rsidP="00AF600C">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w:t>
      </w:r>
      <w:proofErr w:type="gramStart"/>
      <w:r>
        <w:t>managed</w:t>
      </w:r>
      <w:proofErr w:type="gramEnd"/>
      <w:r>
        <w:t xml:space="preserve"> and referred within the Australian health care system in the lead up to being considered eligible for the technology:</w:t>
      </w:r>
    </w:p>
    <w:p w14:paraId="43E1363D" w14:textId="575EA822" w:rsidR="003538A1" w:rsidRPr="003538A1" w:rsidRDefault="003538A1" w:rsidP="003538A1">
      <w:pPr>
        <w:jc w:val="both"/>
        <w:rPr>
          <w:rFonts w:eastAsia="Segoe UI"/>
          <w:color w:val="000000"/>
        </w:rPr>
      </w:pPr>
      <w:r w:rsidRPr="003538A1">
        <w:rPr>
          <w:rFonts w:eastAsia="Segoe UI"/>
          <w:color w:val="000000"/>
        </w:rPr>
        <w:t>The proposed amendment is related to the medical service for testing of tumour prostate tissue to detect BRCA1/2 gene mutations in men with metastatic castration resistant prostate cancer (</w:t>
      </w:r>
      <w:proofErr w:type="spellStart"/>
      <w:r w:rsidRPr="003538A1">
        <w:rPr>
          <w:rFonts w:eastAsia="Segoe UI"/>
          <w:color w:val="000000"/>
        </w:rPr>
        <w:t>mCRPC</w:t>
      </w:r>
      <w:proofErr w:type="spellEnd"/>
      <w:r w:rsidRPr="003538A1">
        <w:rPr>
          <w:rFonts w:eastAsia="Segoe UI"/>
          <w:color w:val="000000"/>
        </w:rPr>
        <w:t xml:space="preserve">) to include treatment with </w:t>
      </w:r>
      <w:proofErr w:type="spellStart"/>
      <w:r w:rsidRPr="003538A1">
        <w:rPr>
          <w:rFonts w:eastAsia="Segoe UI"/>
          <w:color w:val="000000"/>
        </w:rPr>
        <w:t>talazoparib</w:t>
      </w:r>
      <w:proofErr w:type="spellEnd"/>
      <w:r w:rsidRPr="003538A1">
        <w:rPr>
          <w:rFonts w:eastAsia="Segoe UI"/>
          <w:color w:val="000000"/>
        </w:rPr>
        <w:t xml:space="preserve">. Many patients with </w:t>
      </w:r>
      <w:proofErr w:type="spellStart"/>
      <w:r w:rsidRPr="003538A1">
        <w:rPr>
          <w:rFonts w:eastAsia="Segoe UI"/>
          <w:color w:val="000000"/>
        </w:rPr>
        <w:t>mCRPC</w:t>
      </w:r>
      <w:proofErr w:type="spellEnd"/>
      <w:r w:rsidRPr="003538A1">
        <w:rPr>
          <w:rFonts w:eastAsia="Segoe UI"/>
          <w:color w:val="000000"/>
        </w:rPr>
        <w:t xml:space="preserve"> are currently undergoing genetic testing to determine their eligibility for PBS-listed </w:t>
      </w:r>
      <w:proofErr w:type="spellStart"/>
      <w:r w:rsidRPr="003538A1">
        <w:rPr>
          <w:rFonts w:eastAsia="Segoe UI"/>
          <w:color w:val="000000"/>
        </w:rPr>
        <w:t>olaparib</w:t>
      </w:r>
      <w:proofErr w:type="spellEnd"/>
      <w:r w:rsidRPr="003538A1">
        <w:rPr>
          <w:rFonts w:eastAsia="Segoe UI"/>
          <w:color w:val="000000"/>
        </w:rPr>
        <w:t xml:space="preserve"> monotherapy.</w:t>
      </w:r>
    </w:p>
    <w:p w14:paraId="24F796E2" w14:textId="0ECEB06D" w:rsidR="003538A1" w:rsidRPr="003538A1" w:rsidRDefault="003538A1" w:rsidP="003538A1">
      <w:pPr>
        <w:jc w:val="both"/>
        <w:rPr>
          <w:rFonts w:eastAsia="Segoe UI"/>
          <w:color w:val="000000"/>
        </w:rPr>
      </w:pPr>
      <w:r w:rsidRPr="003538A1">
        <w:rPr>
          <w:rFonts w:eastAsia="Segoe UI"/>
          <w:color w:val="000000"/>
        </w:rPr>
        <w:t>Prostate cancers are often discovered early through routine screenings. For early detection and screening in patients without symptoms, prostate-specific antigen (PSA) testing and digital rectal exams (DRE) are recommended. If abnormal DRE results or elevated PSA levels are present, biopsies are typically necessary to provide a definitive diagnosis (NCCN Guidelines 2022). Biopsy testing is required for a definitive diagnosis of prostate cancer. As a first-line investigation for patients with suspected prostate cancer, multiparametric magnetic resonance imaging (</w:t>
      </w:r>
      <w:proofErr w:type="spellStart"/>
      <w:r w:rsidRPr="003538A1">
        <w:rPr>
          <w:rFonts w:eastAsia="Segoe UI"/>
          <w:color w:val="000000"/>
        </w:rPr>
        <w:t>mpMRI</w:t>
      </w:r>
      <w:proofErr w:type="spellEnd"/>
      <w:r w:rsidRPr="003538A1">
        <w:rPr>
          <w:rFonts w:eastAsia="Segoe UI"/>
          <w:color w:val="000000"/>
        </w:rPr>
        <w:t xml:space="preserve">) is recommended to confirm need for biopsy (NICE 2019). The following step after a positive </w:t>
      </w:r>
      <w:proofErr w:type="spellStart"/>
      <w:r w:rsidRPr="003538A1">
        <w:rPr>
          <w:rFonts w:eastAsia="Segoe UI"/>
          <w:color w:val="000000"/>
        </w:rPr>
        <w:t>mpMRI</w:t>
      </w:r>
      <w:proofErr w:type="spellEnd"/>
      <w:r w:rsidRPr="003538A1">
        <w:rPr>
          <w:rFonts w:eastAsia="Segoe UI"/>
          <w:color w:val="000000"/>
        </w:rPr>
        <w:t xml:space="preserve"> is a systematic prostate biopsy, such as a transrectal ultrasonography biopsy. Therefore, some of the routine tests that may be performed to investigate symptoms of prostate cancer and confirm a diagnosis include (Australian Government, Cancer Australia, 2017):</w:t>
      </w:r>
    </w:p>
    <w:p w14:paraId="14A9B1EE" w14:textId="176AE9C0" w:rsidR="003538A1" w:rsidRPr="003538A1" w:rsidRDefault="003538A1" w:rsidP="003538A1">
      <w:pPr>
        <w:pStyle w:val="ListParagraph"/>
        <w:numPr>
          <w:ilvl w:val="0"/>
          <w:numId w:val="1"/>
        </w:numPr>
        <w:rPr>
          <w:rFonts w:eastAsia="Segoe UI"/>
          <w:color w:val="000000"/>
        </w:rPr>
      </w:pPr>
      <w:r w:rsidRPr="003538A1">
        <w:rPr>
          <w:rFonts w:eastAsia="Segoe UI"/>
          <w:color w:val="000000"/>
        </w:rPr>
        <w:t xml:space="preserve">physical examination and medical history </w:t>
      </w:r>
    </w:p>
    <w:p w14:paraId="4D1BA8FD" w14:textId="4CAFFF19" w:rsidR="003538A1" w:rsidRPr="003538A1" w:rsidRDefault="003538A1" w:rsidP="003538A1">
      <w:pPr>
        <w:pStyle w:val="ListParagraph"/>
        <w:numPr>
          <w:ilvl w:val="0"/>
          <w:numId w:val="1"/>
        </w:numPr>
        <w:rPr>
          <w:rFonts w:eastAsia="Segoe UI"/>
          <w:color w:val="000000"/>
        </w:rPr>
      </w:pPr>
      <w:r w:rsidRPr="003538A1">
        <w:rPr>
          <w:rFonts w:eastAsia="Segoe UI"/>
          <w:color w:val="000000"/>
        </w:rPr>
        <w:t xml:space="preserve">digital rectal examination </w:t>
      </w:r>
    </w:p>
    <w:p w14:paraId="392ECE39" w14:textId="4F840406" w:rsidR="003538A1" w:rsidRPr="003538A1" w:rsidRDefault="003538A1" w:rsidP="003538A1">
      <w:pPr>
        <w:pStyle w:val="ListParagraph"/>
        <w:numPr>
          <w:ilvl w:val="0"/>
          <w:numId w:val="1"/>
        </w:numPr>
        <w:rPr>
          <w:rFonts w:eastAsia="Segoe UI"/>
          <w:color w:val="000000"/>
        </w:rPr>
      </w:pPr>
      <w:r w:rsidRPr="003538A1">
        <w:rPr>
          <w:rFonts w:eastAsia="Segoe UI"/>
          <w:color w:val="000000"/>
        </w:rPr>
        <w:t xml:space="preserve">blood test to check for prostate-specific antigen (PSA), a protein produced by the prostate. The level of PSA can be higher than normal in people with prostate cancer (but also in people with other prostate conditions that are not cancer) </w:t>
      </w:r>
    </w:p>
    <w:p w14:paraId="53AA3227" w14:textId="5B94B093" w:rsidR="003538A1" w:rsidRPr="003538A1" w:rsidRDefault="003538A1" w:rsidP="003538A1">
      <w:pPr>
        <w:pStyle w:val="ListParagraph"/>
        <w:numPr>
          <w:ilvl w:val="0"/>
          <w:numId w:val="1"/>
        </w:numPr>
        <w:rPr>
          <w:rFonts w:eastAsia="Segoe UI"/>
          <w:color w:val="000000"/>
        </w:rPr>
      </w:pPr>
      <w:r w:rsidRPr="003538A1">
        <w:rPr>
          <w:rFonts w:eastAsia="Segoe UI"/>
          <w:color w:val="000000"/>
        </w:rPr>
        <w:t xml:space="preserve">transrectal ultrasound – where a probe is inserted into the rectum that uses sound waves to create a picture of the prostate inside the </w:t>
      </w:r>
      <w:proofErr w:type="gramStart"/>
      <w:r w:rsidRPr="003538A1">
        <w:rPr>
          <w:rFonts w:eastAsia="Segoe UI"/>
          <w:color w:val="000000"/>
        </w:rPr>
        <w:t>body</w:t>
      </w:r>
      <w:proofErr w:type="gramEnd"/>
      <w:r w:rsidRPr="003538A1">
        <w:rPr>
          <w:rFonts w:eastAsia="Segoe UI"/>
          <w:color w:val="000000"/>
        </w:rPr>
        <w:t xml:space="preserve"> </w:t>
      </w:r>
    </w:p>
    <w:p w14:paraId="4352ED04" w14:textId="214C0F68" w:rsidR="003538A1" w:rsidRPr="003538A1" w:rsidRDefault="003538A1" w:rsidP="003538A1">
      <w:pPr>
        <w:pStyle w:val="ListParagraph"/>
        <w:numPr>
          <w:ilvl w:val="0"/>
          <w:numId w:val="1"/>
        </w:numPr>
        <w:rPr>
          <w:rFonts w:eastAsia="Segoe UI"/>
          <w:color w:val="000000"/>
        </w:rPr>
      </w:pPr>
      <w:r w:rsidRPr="003538A1">
        <w:rPr>
          <w:rFonts w:eastAsia="Segoe UI"/>
          <w:color w:val="000000"/>
        </w:rPr>
        <w:t xml:space="preserve">magnetic resonance imaging (MRI) </w:t>
      </w:r>
    </w:p>
    <w:p w14:paraId="5F5B8D0A" w14:textId="24D877D2" w:rsidR="003538A1" w:rsidRPr="003538A1" w:rsidRDefault="003538A1" w:rsidP="003538A1">
      <w:pPr>
        <w:pStyle w:val="ListParagraph"/>
        <w:numPr>
          <w:ilvl w:val="0"/>
          <w:numId w:val="1"/>
        </w:numPr>
        <w:rPr>
          <w:rFonts w:eastAsia="Segoe UI"/>
          <w:color w:val="000000"/>
        </w:rPr>
      </w:pPr>
      <w:r w:rsidRPr="003538A1">
        <w:rPr>
          <w:rFonts w:eastAsia="Segoe UI"/>
          <w:color w:val="000000"/>
        </w:rPr>
        <w:t xml:space="preserve">biopsy – where a small sample of tissue is removed to be examined under a microscope. The biopsy results include a Gleason score – a score from 2 to 10 used by the pathologist that indicates the likelihood of the tumour spreading outside the prostate (2 is least likely to spread, and 10 is most likely to spread). </w:t>
      </w:r>
    </w:p>
    <w:p w14:paraId="563EA9A0" w14:textId="77777777" w:rsidR="003538A1" w:rsidRPr="003538A1" w:rsidRDefault="003538A1" w:rsidP="003538A1">
      <w:pPr>
        <w:rPr>
          <w:rFonts w:eastAsia="Segoe UI"/>
          <w:color w:val="000000"/>
        </w:rPr>
      </w:pPr>
      <w:r w:rsidRPr="003538A1">
        <w:rPr>
          <w:rFonts w:eastAsia="Segoe UI"/>
          <w:color w:val="000000"/>
        </w:rPr>
        <w:lastRenderedPageBreak/>
        <w:t>Following diagnosis, tests to determine the stage of prostate cancer can include (Australian Government, Cancer Australia, 2017):</w:t>
      </w:r>
    </w:p>
    <w:p w14:paraId="3CFE35AB" w14:textId="3DDB123F" w:rsidR="003538A1" w:rsidRPr="003538A1" w:rsidRDefault="003538A1" w:rsidP="003538A1">
      <w:pPr>
        <w:pStyle w:val="ListParagraph"/>
        <w:numPr>
          <w:ilvl w:val="0"/>
          <w:numId w:val="2"/>
        </w:numPr>
        <w:rPr>
          <w:rFonts w:eastAsia="Segoe UI"/>
          <w:color w:val="000000"/>
        </w:rPr>
      </w:pPr>
      <w:r w:rsidRPr="003538A1">
        <w:rPr>
          <w:rFonts w:eastAsia="Segoe UI"/>
          <w:color w:val="000000"/>
        </w:rPr>
        <w:t xml:space="preserve">transrectal ultrasound </w:t>
      </w:r>
    </w:p>
    <w:p w14:paraId="7F5DB317" w14:textId="7C9434B9" w:rsidR="003538A1" w:rsidRPr="003538A1" w:rsidRDefault="003538A1" w:rsidP="003538A1">
      <w:pPr>
        <w:pStyle w:val="ListParagraph"/>
        <w:numPr>
          <w:ilvl w:val="0"/>
          <w:numId w:val="2"/>
        </w:numPr>
        <w:rPr>
          <w:rFonts w:eastAsia="Segoe UI"/>
          <w:color w:val="000000"/>
        </w:rPr>
      </w:pPr>
      <w:r w:rsidRPr="003538A1">
        <w:rPr>
          <w:rFonts w:eastAsia="Segoe UI"/>
          <w:color w:val="000000"/>
        </w:rPr>
        <w:t xml:space="preserve">biopsy or removal of lymph nodes – where tissue from the lymph nodes is taken to be examined under a </w:t>
      </w:r>
      <w:proofErr w:type="gramStart"/>
      <w:r w:rsidRPr="003538A1">
        <w:rPr>
          <w:rFonts w:eastAsia="Segoe UI"/>
          <w:color w:val="000000"/>
        </w:rPr>
        <w:t>microscope</w:t>
      </w:r>
      <w:proofErr w:type="gramEnd"/>
    </w:p>
    <w:p w14:paraId="48AC6E9E" w14:textId="0894F41F" w:rsidR="003538A1" w:rsidRPr="003538A1" w:rsidRDefault="003538A1" w:rsidP="003538A1">
      <w:pPr>
        <w:pStyle w:val="ListParagraph"/>
        <w:numPr>
          <w:ilvl w:val="0"/>
          <w:numId w:val="2"/>
        </w:numPr>
        <w:rPr>
          <w:rFonts w:eastAsia="Segoe UI"/>
          <w:color w:val="000000"/>
        </w:rPr>
      </w:pPr>
      <w:r w:rsidRPr="003538A1">
        <w:rPr>
          <w:rFonts w:eastAsia="Segoe UI"/>
          <w:color w:val="000000"/>
        </w:rPr>
        <w:t xml:space="preserve">bone scan </w:t>
      </w:r>
    </w:p>
    <w:p w14:paraId="1A1C8795" w14:textId="781E848F" w:rsidR="003538A1" w:rsidRPr="003538A1" w:rsidRDefault="003538A1" w:rsidP="003538A1">
      <w:pPr>
        <w:pStyle w:val="ListParagraph"/>
        <w:numPr>
          <w:ilvl w:val="0"/>
          <w:numId w:val="2"/>
        </w:numPr>
        <w:rPr>
          <w:rFonts w:eastAsia="Segoe UI"/>
          <w:color w:val="000000"/>
        </w:rPr>
      </w:pPr>
      <w:r w:rsidRPr="003538A1">
        <w:rPr>
          <w:rFonts w:eastAsia="Segoe UI"/>
          <w:color w:val="000000"/>
        </w:rPr>
        <w:t xml:space="preserve">CT, </w:t>
      </w:r>
      <w:proofErr w:type="gramStart"/>
      <w:r w:rsidRPr="003538A1">
        <w:rPr>
          <w:rFonts w:eastAsia="Segoe UI"/>
          <w:color w:val="000000"/>
        </w:rPr>
        <w:t>MRI</w:t>
      </w:r>
      <w:proofErr w:type="gramEnd"/>
      <w:r w:rsidRPr="003538A1">
        <w:rPr>
          <w:rFonts w:eastAsia="Segoe UI"/>
          <w:color w:val="000000"/>
        </w:rPr>
        <w:t xml:space="preserve"> or other scans </w:t>
      </w:r>
    </w:p>
    <w:p w14:paraId="538A0CFC" w14:textId="77777777" w:rsidR="003538A1" w:rsidRPr="003538A1" w:rsidRDefault="003538A1" w:rsidP="003538A1">
      <w:pPr>
        <w:jc w:val="both"/>
        <w:rPr>
          <w:rFonts w:eastAsia="Segoe UI"/>
          <w:color w:val="000000"/>
        </w:rPr>
      </w:pPr>
      <w:r w:rsidRPr="003538A1">
        <w:rPr>
          <w:rFonts w:eastAsia="Segoe UI"/>
          <w:color w:val="000000"/>
        </w:rPr>
        <w:t xml:space="preserve">Localised stage prostate cancer can be cured with surgery or radiotherapy, but some patients will relapse with either overt metastases or an isolated rise in PSA. A proportion of these patients are found to have a local relapse and can have salvage therapy (generally radiation), but the remainder of cases are considered to have incurable advanced disease. There is also a proportion of men who have metastases when the prostate cancer is first diagnosed. </w:t>
      </w:r>
    </w:p>
    <w:p w14:paraId="7220FFAD" w14:textId="77777777" w:rsidR="003538A1" w:rsidRPr="003538A1" w:rsidRDefault="003538A1" w:rsidP="003538A1">
      <w:pPr>
        <w:jc w:val="both"/>
        <w:rPr>
          <w:rFonts w:eastAsia="Segoe UI"/>
          <w:color w:val="000000"/>
        </w:rPr>
      </w:pPr>
      <w:r w:rsidRPr="003538A1">
        <w:rPr>
          <w:rFonts w:eastAsia="Segoe UI"/>
          <w:color w:val="000000"/>
        </w:rPr>
        <w:t>For patients who have already been diagnosed with prostate cancer, serial PSA testing, repeat biopsies, and MRI scans may be used to monitor patients for disease progression (Parker et al, 2020). These procedures are also used to monitor for disease recurrence in patients following radical treatment for prostate cancer. CRPC is diagnosed based on disease progression despite maintaining castration levels of testosterone.  Imaging tests such as MRI scan, computed tomography (CT) scans or isotope bone scans are used to detect potential spread of the cancer, including to distant sites such as bone (NICE 2019). If there is evidence of metastasis, the disease state is defined as metastatic prostate cancer. The management of advanced and metastatic disease is predominantly medical. While the cancer is incurable, it is not untreatable.</w:t>
      </w:r>
    </w:p>
    <w:p w14:paraId="76FD91C5" w14:textId="77777777" w:rsidR="003538A1" w:rsidRPr="003538A1" w:rsidRDefault="003538A1" w:rsidP="003538A1">
      <w:pPr>
        <w:jc w:val="both"/>
        <w:rPr>
          <w:rFonts w:eastAsia="Segoe UI"/>
          <w:color w:val="000000"/>
        </w:rPr>
      </w:pPr>
      <w:r w:rsidRPr="003538A1">
        <w:rPr>
          <w:rFonts w:eastAsia="Segoe UI"/>
          <w:color w:val="000000"/>
        </w:rPr>
        <w:t xml:space="preserve">Only a small proportion of patients with </w:t>
      </w:r>
      <w:proofErr w:type="spellStart"/>
      <w:r w:rsidRPr="003538A1">
        <w:rPr>
          <w:rFonts w:eastAsia="Segoe UI"/>
          <w:color w:val="000000"/>
        </w:rPr>
        <w:t>mCRPC</w:t>
      </w:r>
      <w:proofErr w:type="spellEnd"/>
      <w:r w:rsidRPr="003538A1">
        <w:rPr>
          <w:rFonts w:eastAsia="Segoe UI"/>
          <w:color w:val="000000"/>
        </w:rPr>
        <w:t xml:space="preserve"> have loss of function mutations in candidate genes involved in homologous recombination repair (HRR) of DNA. BRCA1 and BRCA2 are the most well characterised. During its consideration of </w:t>
      </w:r>
      <w:proofErr w:type="spellStart"/>
      <w:r w:rsidRPr="003538A1">
        <w:rPr>
          <w:rFonts w:eastAsia="Segoe UI"/>
          <w:color w:val="000000"/>
        </w:rPr>
        <w:t>olaparib’s</w:t>
      </w:r>
      <w:proofErr w:type="spellEnd"/>
      <w:r w:rsidRPr="003538A1">
        <w:rPr>
          <w:rFonts w:eastAsia="Segoe UI"/>
          <w:color w:val="000000"/>
        </w:rPr>
        <w:t xml:space="preserve"> co-dependent submission as a monotherapy for </w:t>
      </w:r>
      <w:proofErr w:type="spellStart"/>
      <w:r w:rsidRPr="003538A1">
        <w:rPr>
          <w:rFonts w:eastAsia="Segoe UI"/>
          <w:color w:val="000000"/>
        </w:rPr>
        <w:t>mCRPC</w:t>
      </w:r>
      <w:proofErr w:type="spellEnd"/>
      <w:r w:rsidRPr="003538A1">
        <w:rPr>
          <w:rFonts w:eastAsia="Segoe UI"/>
          <w:color w:val="000000"/>
        </w:rPr>
        <w:t xml:space="preserve"> patients with BRCA1/2 mutations, MSAC advised that the prevalence estimates of BRCA1/2 in the Australian population with </w:t>
      </w:r>
      <w:proofErr w:type="spellStart"/>
      <w:r w:rsidRPr="003538A1">
        <w:rPr>
          <w:rFonts w:eastAsia="Segoe UI"/>
          <w:color w:val="000000"/>
        </w:rPr>
        <w:t>mCRPC</w:t>
      </w:r>
      <w:proofErr w:type="spellEnd"/>
      <w:r w:rsidRPr="003538A1">
        <w:rPr>
          <w:rFonts w:eastAsia="Segoe UI"/>
          <w:color w:val="000000"/>
        </w:rPr>
        <w:t xml:space="preserve"> and BRCA1/2 pathogenic variants ranges between 7%–10% (p4, MSAC 1618, PSD, March 2021). The PBAC considered that the lower end of this range (7%) is more appropriate as rates of BRCA1/2 prevalence appear lower in practice than reported in the literature (Table 2, </w:t>
      </w:r>
      <w:proofErr w:type="spellStart"/>
      <w:r w:rsidRPr="003538A1">
        <w:rPr>
          <w:rFonts w:eastAsia="Segoe UI"/>
          <w:color w:val="000000"/>
        </w:rPr>
        <w:t>olaparib</w:t>
      </w:r>
      <w:proofErr w:type="spellEnd"/>
      <w:r w:rsidRPr="003538A1">
        <w:rPr>
          <w:rFonts w:eastAsia="Segoe UI"/>
          <w:color w:val="000000"/>
        </w:rPr>
        <w:t xml:space="preserve"> PSD, November 2021). This prevalence rate was calculated based on the number of patients tested and the proportion of tests that was positive for BRCA1/2 pathogenic variants from the </w:t>
      </w:r>
      <w:proofErr w:type="spellStart"/>
      <w:r w:rsidRPr="003538A1">
        <w:rPr>
          <w:rFonts w:eastAsia="Segoe UI"/>
          <w:color w:val="000000"/>
        </w:rPr>
        <w:t>olaparib</w:t>
      </w:r>
      <w:proofErr w:type="spellEnd"/>
      <w:r w:rsidRPr="003538A1">
        <w:rPr>
          <w:rFonts w:eastAsia="Segoe UI"/>
          <w:color w:val="000000"/>
        </w:rPr>
        <w:t xml:space="preserve"> trial (</w:t>
      </w:r>
      <w:proofErr w:type="spellStart"/>
      <w:r w:rsidRPr="003538A1">
        <w:rPr>
          <w:rFonts w:eastAsia="Segoe UI"/>
          <w:color w:val="000000"/>
        </w:rPr>
        <w:t>PROfound</w:t>
      </w:r>
      <w:proofErr w:type="spellEnd"/>
      <w:r w:rsidRPr="003538A1">
        <w:rPr>
          <w:rFonts w:eastAsia="Segoe UI"/>
          <w:color w:val="000000"/>
        </w:rPr>
        <w:t xml:space="preserve">) (Clause 4.4, </w:t>
      </w:r>
      <w:proofErr w:type="spellStart"/>
      <w:r w:rsidRPr="003538A1">
        <w:rPr>
          <w:rFonts w:eastAsia="Segoe UI"/>
          <w:color w:val="000000"/>
        </w:rPr>
        <w:t>olaparib</w:t>
      </w:r>
      <w:proofErr w:type="spellEnd"/>
      <w:r w:rsidRPr="003538A1">
        <w:rPr>
          <w:rFonts w:eastAsia="Segoe UI"/>
          <w:color w:val="000000"/>
        </w:rPr>
        <w:t xml:space="preserve"> PSD, November 2021). In TALZENNA pivotal TALAPRO-2 trial (Cohort 1 - all comers population), there were 60 patients that were BRCA1/2 positive, equivalent to a prevalence of 7.4%, and consistent with PBAC’s 7% prevalence for BRCA1/2 pathogenic variants in the Australian population.</w:t>
      </w:r>
    </w:p>
    <w:p w14:paraId="2A530EBB" w14:textId="61B1416F" w:rsidR="003538A1" w:rsidRPr="003538A1" w:rsidRDefault="003538A1" w:rsidP="003538A1">
      <w:pPr>
        <w:jc w:val="both"/>
        <w:rPr>
          <w:rFonts w:eastAsia="Segoe UI"/>
          <w:color w:val="000000"/>
        </w:rPr>
      </w:pPr>
      <w:r w:rsidRPr="003538A1">
        <w:rPr>
          <w:rFonts w:eastAsia="Segoe UI"/>
          <w:color w:val="000000"/>
        </w:rPr>
        <w:t xml:space="preserve">In Australia, the </w:t>
      </w:r>
      <w:proofErr w:type="spellStart"/>
      <w:r w:rsidRPr="003538A1">
        <w:rPr>
          <w:rFonts w:eastAsia="Segoe UI"/>
          <w:color w:val="000000"/>
        </w:rPr>
        <w:t>eviQ</w:t>
      </w:r>
      <w:proofErr w:type="spellEnd"/>
      <w:r w:rsidRPr="003538A1">
        <w:rPr>
          <w:rFonts w:eastAsia="Segoe UI"/>
          <w:color w:val="000000"/>
        </w:rPr>
        <w:t xml:space="preserve"> consensus statement for prostate cancer panel testing recommend BRCA testing in patients with prostate cancer and ≥ 10% probability of detecting a BRCA1 or BRCA2 </w:t>
      </w:r>
      <w:r>
        <w:rPr>
          <w:rFonts w:eastAsia="Segoe UI"/>
          <w:color w:val="000000"/>
        </w:rPr>
        <w:t>gene</w:t>
      </w:r>
      <w:r w:rsidRPr="003538A1">
        <w:rPr>
          <w:rFonts w:eastAsia="Segoe UI"/>
          <w:color w:val="000000"/>
        </w:rPr>
        <w:t xml:space="preserve"> variant using a validated pathogenic variant prediction tool </w:t>
      </w:r>
      <w:proofErr w:type="gramStart"/>
      <w:r w:rsidRPr="003538A1">
        <w:rPr>
          <w:rFonts w:eastAsia="Segoe UI"/>
          <w:color w:val="000000"/>
        </w:rPr>
        <w:t>i.e.</w:t>
      </w:r>
      <w:proofErr w:type="gramEnd"/>
      <w:r w:rsidRPr="003538A1">
        <w:rPr>
          <w:rFonts w:eastAsia="Segoe UI"/>
          <w:color w:val="000000"/>
        </w:rPr>
        <w:t xml:space="preserve"> a pathogenic variant already identified in the patient’s family (see Q. 27 for further details).</w:t>
      </w:r>
    </w:p>
    <w:p w14:paraId="6DD09C1E" w14:textId="0AD78997" w:rsidR="003A5B30" w:rsidRDefault="00051843" w:rsidP="00AF600C">
      <w:pPr>
        <w:pStyle w:val="Heading2"/>
      </w:pPr>
      <w:r>
        <w:t>Provide a rationale for the specifics of the eligible population:</w:t>
      </w:r>
    </w:p>
    <w:p w14:paraId="69569E5D" w14:textId="628CCC6C" w:rsidR="00385237" w:rsidRPr="00D30BCA" w:rsidRDefault="00385237" w:rsidP="00D30BCA">
      <w:pPr>
        <w:jc w:val="both"/>
        <w:rPr>
          <w:rFonts w:eastAsia="Segoe UI"/>
          <w:color w:val="000000"/>
        </w:rPr>
      </w:pPr>
      <w:r w:rsidRPr="00D30BCA">
        <w:rPr>
          <w:rFonts w:eastAsia="Segoe UI"/>
          <w:color w:val="000000"/>
        </w:rPr>
        <w:t xml:space="preserve">The proposed amendment is related to the medical service for testing of </w:t>
      </w:r>
      <w:r w:rsidR="003A5B30">
        <w:rPr>
          <w:rFonts w:eastAsia="Segoe UI"/>
          <w:color w:val="000000"/>
        </w:rPr>
        <w:t xml:space="preserve">germline or </w:t>
      </w:r>
      <w:r w:rsidRPr="00D30BCA">
        <w:rPr>
          <w:rFonts w:eastAsia="Segoe UI"/>
          <w:color w:val="000000"/>
        </w:rPr>
        <w:t xml:space="preserve">tumour prostate tissue to detect BRCA1/2 gene mutations in men with </w:t>
      </w:r>
      <w:proofErr w:type="spellStart"/>
      <w:r w:rsidRPr="00D30BCA">
        <w:rPr>
          <w:rFonts w:eastAsia="Segoe UI"/>
          <w:color w:val="000000"/>
        </w:rPr>
        <w:t>mCRPC</w:t>
      </w:r>
      <w:proofErr w:type="spellEnd"/>
      <w:r w:rsidRPr="00D30BCA">
        <w:rPr>
          <w:rFonts w:eastAsia="Segoe UI"/>
          <w:color w:val="000000"/>
        </w:rPr>
        <w:t xml:space="preserve"> to include treatment with </w:t>
      </w:r>
      <w:proofErr w:type="spellStart"/>
      <w:r w:rsidRPr="00D30BCA">
        <w:rPr>
          <w:rFonts w:eastAsia="Segoe UI"/>
          <w:color w:val="000000"/>
        </w:rPr>
        <w:t>talazoparib</w:t>
      </w:r>
      <w:proofErr w:type="spellEnd"/>
      <w:r w:rsidRPr="00D30BCA">
        <w:rPr>
          <w:rFonts w:eastAsia="Segoe UI"/>
          <w:color w:val="000000"/>
        </w:rPr>
        <w:t xml:space="preserve">. Many patients with </w:t>
      </w:r>
      <w:proofErr w:type="spellStart"/>
      <w:r w:rsidRPr="00D30BCA">
        <w:rPr>
          <w:rFonts w:eastAsia="Segoe UI"/>
          <w:color w:val="000000"/>
        </w:rPr>
        <w:t>mCRPC</w:t>
      </w:r>
      <w:proofErr w:type="spellEnd"/>
      <w:r w:rsidRPr="00D30BCA">
        <w:rPr>
          <w:rFonts w:eastAsia="Segoe UI"/>
          <w:color w:val="000000"/>
        </w:rPr>
        <w:t xml:space="preserve"> are currently undergoing genetic testing to determine their eligibility for PBS-listed </w:t>
      </w:r>
      <w:proofErr w:type="spellStart"/>
      <w:r w:rsidRPr="00D30BCA">
        <w:rPr>
          <w:rFonts w:eastAsia="Segoe UI"/>
          <w:color w:val="000000"/>
        </w:rPr>
        <w:t>olaparib</w:t>
      </w:r>
      <w:proofErr w:type="spellEnd"/>
      <w:r w:rsidRPr="00D30BCA">
        <w:rPr>
          <w:rFonts w:eastAsia="Segoe UI"/>
          <w:color w:val="000000"/>
        </w:rPr>
        <w:t xml:space="preserve"> monotherapy.</w:t>
      </w:r>
    </w:p>
    <w:p w14:paraId="3B0654DD" w14:textId="4C54A0A1" w:rsidR="00385237" w:rsidRPr="00D30BCA" w:rsidRDefault="00385237" w:rsidP="00D30BCA">
      <w:pPr>
        <w:jc w:val="both"/>
        <w:rPr>
          <w:rFonts w:eastAsia="Segoe UI"/>
          <w:color w:val="000000"/>
        </w:rPr>
      </w:pPr>
      <w:r w:rsidRPr="00D30BCA">
        <w:rPr>
          <w:rFonts w:eastAsia="Segoe UI"/>
          <w:color w:val="000000"/>
        </w:rPr>
        <w:t xml:space="preserve">The pivotal TALAPRO-2 RCT </w:t>
      </w:r>
      <w:r w:rsidR="00FE41C5">
        <w:rPr>
          <w:rFonts w:eastAsia="Segoe UI"/>
          <w:color w:val="000000"/>
        </w:rPr>
        <w:t xml:space="preserve">of </w:t>
      </w:r>
      <w:proofErr w:type="spellStart"/>
      <w:r w:rsidR="00FE41C5">
        <w:rPr>
          <w:rFonts w:eastAsia="Segoe UI"/>
          <w:color w:val="000000"/>
        </w:rPr>
        <w:t>talazoparib</w:t>
      </w:r>
      <w:proofErr w:type="spellEnd"/>
      <w:r w:rsidR="00FE41C5">
        <w:rPr>
          <w:rFonts w:eastAsia="Segoe UI"/>
          <w:color w:val="000000"/>
        </w:rPr>
        <w:t xml:space="preserve"> plus enzalutamide in </w:t>
      </w:r>
      <w:proofErr w:type="spellStart"/>
      <w:r w:rsidR="00FE41C5">
        <w:rPr>
          <w:rFonts w:eastAsia="Segoe UI"/>
          <w:color w:val="000000"/>
        </w:rPr>
        <w:t>mCRPC</w:t>
      </w:r>
      <w:proofErr w:type="spellEnd"/>
      <w:r w:rsidR="00FE41C5">
        <w:rPr>
          <w:rFonts w:eastAsia="Segoe UI"/>
          <w:color w:val="000000"/>
        </w:rPr>
        <w:t xml:space="preserve"> </w:t>
      </w:r>
      <w:r w:rsidRPr="00D30BCA">
        <w:rPr>
          <w:rFonts w:eastAsia="Segoe UI"/>
          <w:color w:val="000000"/>
        </w:rPr>
        <w:t xml:space="preserve">presents clinical data for three populations: 1) Cohort 1 – intention-to-treat (ITT) all-comers population; 2) Cohort 2 – ITT </w:t>
      </w:r>
      <w:r w:rsidRPr="00D30BCA">
        <w:rPr>
          <w:rFonts w:eastAsia="Segoe UI"/>
          <w:color w:val="000000"/>
        </w:rPr>
        <w:lastRenderedPageBreak/>
        <w:t xml:space="preserve">selected for homologous recombination repair (HRR) deficiencies and 3) prespecified BRCA1/2 subpopulation from Cohort 2 which accounted for 39.6% of the overall population of Cohort 2 (HRR deficient population). All patients in Cohort 2 were prospectively tested for genomic alterations in 12 HRR genes (BRCA1, BRCA2, PALB2, ATM, ATR, CHEK2, FANCA, RAD51C, NBN, MLH1, MRE11A, CDK12). Patients were considered HRR-deficient if they had at least 1 mutation in 1 or more of the 12 genes described or if there was a discordant result between the tissue and liquid result. </w:t>
      </w:r>
    </w:p>
    <w:p w14:paraId="7CF27E85" w14:textId="77777777" w:rsidR="00385237" w:rsidRPr="00D30BCA" w:rsidRDefault="00385237" w:rsidP="00D30BCA">
      <w:pPr>
        <w:jc w:val="both"/>
        <w:rPr>
          <w:rFonts w:eastAsia="Segoe UI"/>
          <w:color w:val="000000"/>
        </w:rPr>
      </w:pPr>
      <w:r w:rsidRPr="00D30BCA">
        <w:rPr>
          <w:rFonts w:eastAsia="Segoe UI"/>
          <w:color w:val="000000"/>
        </w:rPr>
        <w:t xml:space="preserve">The clinical study report (CSR Cohort 1) for the Phase III TALAPRO-2 trial for </w:t>
      </w:r>
      <w:proofErr w:type="spellStart"/>
      <w:r w:rsidRPr="00D30BCA">
        <w:rPr>
          <w:rFonts w:eastAsia="Segoe UI"/>
          <w:color w:val="000000"/>
        </w:rPr>
        <w:t>talazoparib</w:t>
      </w:r>
      <w:proofErr w:type="spellEnd"/>
      <w:r w:rsidRPr="00D30BCA">
        <w:rPr>
          <w:rFonts w:eastAsia="Segoe UI"/>
          <w:color w:val="000000"/>
        </w:rPr>
        <w:t>, Section 3.5 (Study Assessments and Procedures) includes a detailed description BRCA testing that occurred in the pivotal trial. It states that “</w:t>
      </w:r>
      <w:r w:rsidRPr="00D30BCA">
        <w:rPr>
          <w:rFonts w:eastAsia="Segoe UI"/>
          <w:i/>
          <w:iCs/>
          <w:color w:val="000000"/>
        </w:rPr>
        <w:t xml:space="preserve">the assessment of HRR mutation status (a panel of 12 genes that included BRCA1 &amp; BRCA2) by prospective analysis was performed via de novo or archival tissue or historical analysis (with sponsor approval) using </w:t>
      </w:r>
      <w:proofErr w:type="spellStart"/>
      <w:r w:rsidRPr="00D30BCA">
        <w:rPr>
          <w:rFonts w:eastAsia="Segoe UI"/>
          <w:i/>
          <w:iCs/>
          <w:color w:val="000000"/>
        </w:rPr>
        <w:t>FoundationOneCDx</w:t>
      </w:r>
      <w:proofErr w:type="spellEnd"/>
      <w:r w:rsidRPr="00D30BCA">
        <w:rPr>
          <w:rFonts w:eastAsia="Segoe UI"/>
          <w:i/>
          <w:iCs/>
          <w:color w:val="000000"/>
        </w:rPr>
        <w:t xml:space="preserve"> (tissue). Participants were considered HRR-deficient if the participant had at least 1 mutation in 1 or more of the 12 genes (described in first Table in Section 3.5.2) or if there was a discordant result between the tissue and liquid result. If prospective results from blood and </w:t>
      </w:r>
      <w:proofErr w:type="spellStart"/>
      <w:r w:rsidRPr="00D30BCA">
        <w:rPr>
          <w:rFonts w:eastAsia="Segoe UI"/>
          <w:i/>
          <w:iCs/>
          <w:color w:val="000000"/>
        </w:rPr>
        <w:t>tumor</w:t>
      </w:r>
      <w:proofErr w:type="spellEnd"/>
      <w:r w:rsidRPr="00D30BCA">
        <w:rPr>
          <w:rFonts w:eastAsia="Segoe UI"/>
          <w:i/>
          <w:iCs/>
          <w:color w:val="000000"/>
        </w:rPr>
        <w:t xml:space="preserve"> tissue samples were both available, a positive result from either was considered prospectively DDR deficient</w:t>
      </w:r>
      <w:r w:rsidRPr="00D30BCA">
        <w:rPr>
          <w:rFonts w:eastAsia="Segoe UI"/>
          <w:color w:val="000000"/>
        </w:rPr>
        <w:t>.” (CSR TALAPRO-2, Section 3.5.2).</w:t>
      </w:r>
    </w:p>
    <w:p w14:paraId="4AFCAD2A" w14:textId="227A61C1" w:rsidR="00385237" w:rsidRPr="00D30BCA" w:rsidRDefault="00385237" w:rsidP="00D30BCA">
      <w:pPr>
        <w:jc w:val="both"/>
        <w:rPr>
          <w:rFonts w:eastAsia="Segoe UI"/>
          <w:color w:val="000000"/>
        </w:rPr>
      </w:pPr>
      <w:r w:rsidRPr="00D30BCA">
        <w:rPr>
          <w:rFonts w:eastAsia="Segoe UI"/>
          <w:color w:val="000000"/>
        </w:rPr>
        <w:t>It should be noted that</w:t>
      </w:r>
      <w:r w:rsidR="00D30BCA" w:rsidRPr="00D30BCA">
        <w:rPr>
          <w:rFonts w:eastAsia="Segoe UI"/>
          <w:color w:val="000000"/>
        </w:rPr>
        <w:t xml:space="preserve"> the streamlined </w:t>
      </w:r>
      <w:r w:rsidR="003A5B30">
        <w:rPr>
          <w:rFonts w:eastAsia="Segoe UI"/>
          <w:color w:val="000000"/>
        </w:rPr>
        <w:t>co</w:t>
      </w:r>
      <w:r w:rsidR="00D30BCA" w:rsidRPr="00D30BCA">
        <w:rPr>
          <w:rFonts w:eastAsia="Segoe UI"/>
          <w:color w:val="000000"/>
        </w:rPr>
        <w:t>-dependent</w:t>
      </w:r>
      <w:r w:rsidRPr="00D30BCA">
        <w:rPr>
          <w:rFonts w:eastAsia="Segoe UI"/>
          <w:color w:val="000000"/>
        </w:rPr>
        <w:t xml:space="preserve"> submission the was lodged on </w:t>
      </w:r>
      <w:r w:rsidR="003A5B30">
        <w:rPr>
          <w:rFonts w:eastAsia="Segoe UI"/>
          <w:color w:val="000000"/>
        </w:rPr>
        <w:t>01</w:t>
      </w:r>
      <w:r w:rsidRPr="00D30BCA">
        <w:rPr>
          <w:rFonts w:eastAsia="Segoe UI"/>
          <w:color w:val="000000"/>
        </w:rPr>
        <w:t xml:space="preserve"> November 2023 </w:t>
      </w:r>
      <w:r w:rsidR="003A5B30">
        <w:rPr>
          <w:rFonts w:eastAsia="Segoe UI"/>
          <w:color w:val="000000"/>
        </w:rPr>
        <w:t xml:space="preserve">via the HPP </w:t>
      </w:r>
      <w:r w:rsidRPr="00D30BCA">
        <w:rPr>
          <w:rFonts w:eastAsia="Segoe UI"/>
          <w:color w:val="000000"/>
        </w:rPr>
        <w:t xml:space="preserve">requested </w:t>
      </w:r>
      <w:r w:rsidR="003A5B30">
        <w:rPr>
          <w:rFonts w:eastAsia="Segoe UI"/>
          <w:color w:val="000000"/>
        </w:rPr>
        <w:t>the PBS-</w:t>
      </w:r>
      <w:r w:rsidRPr="00D30BCA">
        <w:rPr>
          <w:rFonts w:eastAsia="Segoe UI"/>
          <w:color w:val="000000"/>
        </w:rPr>
        <w:t xml:space="preserve">listing of </w:t>
      </w:r>
      <w:proofErr w:type="spellStart"/>
      <w:r w:rsidRPr="00D30BCA">
        <w:rPr>
          <w:rFonts w:eastAsia="Segoe UI"/>
          <w:color w:val="000000"/>
        </w:rPr>
        <w:t>talazoparib</w:t>
      </w:r>
      <w:proofErr w:type="spellEnd"/>
      <w:r w:rsidRPr="00D30BCA">
        <w:rPr>
          <w:rFonts w:eastAsia="Segoe UI"/>
          <w:color w:val="000000"/>
        </w:rPr>
        <w:t xml:space="preserve"> (to be used in combination with PBS listed enzalutamide) for the treatment of </w:t>
      </w:r>
      <w:proofErr w:type="spellStart"/>
      <w:r w:rsidRPr="00D30BCA">
        <w:rPr>
          <w:rFonts w:eastAsia="Segoe UI"/>
          <w:color w:val="000000"/>
        </w:rPr>
        <w:t>mCRPC</w:t>
      </w:r>
      <w:proofErr w:type="spellEnd"/>
      <w:r w:rsidRPr="00D30BCA">
        <w:rPr>
          <w:rFonts w:eastAsia="Segoe UI"/>
          <w:color w:val="000000"/>
        </w:rPr>
        <w:t xml:space="preserve"> patients </w:t>
      </w:r>
      <w:r w:rsidR="003A5B30">
        <w:rPr>
          <w:rFonts w:eastAsia="Segoe UI"/>
          <w:color w:val="000000"/>
        </w:rPr>
        <w:t>who</w:t>
      </w:r>
      <w:r w:rsidRPr="00D30BCA">
        <w:rPr>
          <w:rFonts w:eastAsia="Segoe UI"/>
          <w:color w:val="000000"/>
        </w:rPr>
        <w:t xml:space="preserve"> have evidence of</w:t>
      </w:r>
      <w:r w:rsidR="00D30BCA" w:rsidRPr="00D30BCA">
        <w:rPr>
          <w:rFonts w:eastAsia="Segoe UI"/>
          <w:color w:val="000000"/>
        </w:rPr>
        <w:t xml:space="preserve"> a</w:t>
      </w:r>
      <w:r w:rsidRPr="00D30BCA">
        <w:rPr>
          <w:rFonts w:eastAsia="Segoe UI"/>
          <w:color w:val="000000"/>
        </w:rPr>
        <w:t xml:space="preserve"> BRCA1/2 </w:t>
      </w:r>
      <w:r w:rsidR="00D30BCA" w:rsidRPr="00D30BCA">
        <w:rPr>
          <w:rFonts w:eastAsia="Segoe UI"/>
          <w:color w:val="000000"/>
        </w:rPr>
        <w:t>gene mutation</w:t>
      </w:r>
      <w:r w:rsidRPr="00D30BCA">
        <w:rPr>
          <w:rFonts w:eastAsia="Segoe UI"/>
          <w:color w:val="000000"/>
        </w:rPr>
        <w:t xml:space="preserve"> only. </w:t>
      </w:r>
    </w:p>
    <w:p w14:paraId="409AB389" w14:textId="1BF6DFCB" w:rsidR="00051843" w:rsidRDefault="00051843" w:rsidP="00BC0C43">
      <w:pPr>
        <w:pStyle w:val="Heading2"/>
      </w:pPr>
      <w:r>
        <w:t xml:space="preserve">Are there any prerequisite tests? </w:t>
      </w:r>
    </w:p>
    <w:p w14:paraId="64EC5580" w14:textId="2371E8B1" w:rsidR="00051843" w:rsidRDefault="00AF600C" w:rsidP="00BC0C43">
      <w:r>
        <w:t>Yes</w:t>
      </w:r>
    </w:p>
    <w:p w14:paraId="5998FE51" w14:textId="7B048AA9" w:rsidR="00051843" w:rsidRDefault="00051843" w:rsidP="00BC0C43">
      <w:pPr>
        <w:pStyle w:val="Heading2"/>
      </w:pPr>
      <w:r>
        <w:t>Are the prerequisite tests MBS funded?</w:t>
      </w:r>
    </w:p>
    <w:p w14:paraId="7B15CE91" w14:textId="46342BFE" w:rsidR="00051843" w:rsidRDefault="00AF600C" w:rsidP="00BC0C43">
      <w:r>
        <w:t>Yes</w:t>
      </w:r>
    </w:p>
    <w:p w14:paraId="0A585F0C" w14:textId="37C6C065" w:rsidR="00051843" w:rsidRPr="00BC0C43" w:rsidRDefault="00051843" w:rsidP="00BC0C43">
      <w:pPr>
        <w:pStyle w:val="Heading2"/>
      </w:pPr>
      <w:r>
        <w:t>Please provide details to fund the prerequisite tests:</w:t>
      </w:r>
    </w:p>
    <w:p w14:paraId="58FB847B" w14:textId="7AB34798" w:rsidR="00D32DD1" w:rsidRDefault="003538A1" w:rsidP="00BC0C43">
      <w:r>
        <w:t>N/A</w:t>
      </w:r>
    </w:p>
    <w:p w14:paraId="1E91D6D2" w14:textId="77777777" w:rsidR="00051843" w:rsidRDefault="00051843" w:rsidP="00BC0C43"/>
    <w:p w14:paraId="19F42368" w14:textId="77777777" w:rsidR="00051843" w:rsidRDefault="00051843" w:rsidP="00BC0C43">
      <w:r>
        <w:br w:type="page"/>
      </w:r>
    </w:p>
    <w:p w14:paraId="730114B1" w14:textId="17224D17" w:rsidR="00280050" w:rsidRDefault="00051843" w:rsidP="00BC0C43">
      <w:pPr>
        <w:pStyle w:val="Heading1"/>
      </w:pPr>
      <w:r>
        <w:lastRenderedPageBreak/>
        <w:t>Intervention</w:t>
      </w:r>
    </w:p>
    <w:p w14:paraId="4EE4D8C5" w14:textId="72F78505" w:rsidR="00665487" w:rsidRPr="00BC0C43" w:rsidRDefault="00665487" w:rsidP="00BC0C43">
      <w:pPr>
        <w:pStyle w:val="Heading2"/>
      </w:pPr>
      <w:r w:rsidRPr="00BC0C43">
        <w:t>Name of the proposed health technology:</w:t>
      </w:r>
    </w:p>
    <w:p w14:paraId="4AED5143" w14:textId="1930241C" w:rsidR="00940409" w:rsidRPr="00940409" w:rsidRDefault="00940409" w:rsidP="00940409">
      <w:pPr>
        <w:jc w:val="both"/>
        <w:rPr>
          <w:rFonts w:eastAsia="Segoe UI"/>
          <w:color w:val="000000"/>
        </w:rPr>
      </w:pPr>
      <w:r w:rsidRPr="00940409">
        <w:rPr>
          <w:rFonts w:eastAsia="Segoe UI"/>
          <w:color w:val="000000"/>
        </w:rPr>
        <w:t xml:space="preserve">Germline and tumour (somatic) BRCA1/2 mutation testing is currently performed in Australia under MBS item numbers 73303 and 73304 to determine </w:t>
      </w:r>
      <w:proofErr w:type="spellStart"/>
      <w:r w:rsidRPr="00940409">
        <w:rPr>
          <w:rFonts w:eastAsia="Segoe UI"/>
          <w:color w:val="000000"/>
        </w:rPr>
        <w:t>mCRPC</w:t>
      </w:r>
      <w:proofErr w:type="spellEnd"/>
      <w:r w:rsidRPr="00940409">
        <w:rPr>
          <w:rFonts w:eastAsia="Segoe UI"/>
          <w:color w:val="000000"/>
        </w:rPr>
        <w:t xml:space="preserve"> patients’ eligibility for treatment with </w:t>
      </w:r>
      <w:proofErr w:type="spellStart"/>
      <w:r w:rsidRPr="00940409">
        <w:rPr>
          <w:rFonts w:eastAsia="Segoe UI"/>
          <w:color w:val="000000"/>
        </w:rPr>
        <w:t>olaparib</w:t>
      </w:r>
      <w:proofErr w:type="spellEnd"/>
      <w:r w:rsidRPr="00940409">
        <w:rPr>
          <w:rFonts w:eastAsia="Segoe UI"/>
          <w:color w:val="000000"/>
        </w:rPr>
        <w:t xml:space="preserve"> monotherapy on the PBS.</w:t>
      </w:r>
      <w:r w:rsidR="00FE41C5" w:rsidRPr="00FE41C5">
        <w:t xml:space="preserve"> </w:t>
      </w:r>
      <w:r w:rsidR="00FE41C5">
        <w:t xml:space="preserve">Therefore, this application requests amending MBS items 73303 and 73304 </w:t>
      </w:r>
      <w:r w:rsidR="00FE41C5" w:rsidRPr="00FE41C5">
        <w:rPr>
          <w:rFonts w:eastAsia="Segoe UI"/>
          <w:color w:val="000000"/>
        </w:rPr>
        <w:t xml:space="preserve">to include treatment with </w:t>
      </w:r>
      <w:proofErr w:type="spellStart"/>
      <w:r w:rsidR="00FE41C5" w:rsidRPr="00FE41C5">
        <w:rPr>
          <w:rFonts w:eastAsia="Segoe UI"/>
          <w:color w:val="000000"/>
        </w:rPr>
        <w:t>talazoparib</w:t>
      </w:r>
      <w:proofErr w:type="spellEnd"/>
      <w:r w:rsidR="00FE41C5" w:rsidRPr="00FE41C5">
        <w:rPr>
          <w:rFonts w:eastAsia="Segoe UI"/>
          <w:color w:val="000000"/>
        </w:rPr>
        <w:t>.</w:t>
      </w:r>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39A3255D" w14:textId="20DCBABE" w:rsidR="00D30BCA" w:rsidRPr="000321E7" w:rsidRDefault="00D30BCA" w:rsidP="000321E7">
      <w:pPr>
        <w:jc w:val="both"/>
        <w:rPr>
          <w:rFonts w:eastAsia="Segoe UI"/>
          <w:color w:val="000000"/>
        </w:rPr>
      </w:pPr>
      <w:proofErr w:type="spellStart"/>
      <w:r w:rsidRPr="000321E7">
        <w:rPr>
          <w:rFonts w:eastAsia="Segoe UI"/>
          <w:color w:val="000000"/>
        </w:rPr>
        <w:t>BRCAm</w:t>
      </w:r>
      <w:proofErr w:type="spellEnd"/>
      <w:r w:rsidRPr="000321E7">
        <w:rPr>
          <w:rFonts w:eastAsia="Segoe UI"/>
          <w:color w:val="000000"/>
        </w:rPr>
        <w:t xml:space="preserve"> may be either germline, meaning the mutation originated in the germ cells of a parent and was inherited, or somatic. Somatic mutations may occur at any time after conception in any of the cells of the body except for germ cells. Since April 2022, patients with </w:t>
      </w:r>
      <w:proofErr w:type="spellStart"/>
      <w:r w:rsidRPr="000321E7">
        <w:rPr>
          <w:rFonts w:eastAsia="Segoe UI"/>
          <w:color w:val="000000"/>
        </w:rPr>
        <w:t>mCRPC</w:t>
      </w:r>
      <w:proofErr w:type="spellEnd"/>
      <w:r w:rsidRPr="000321E7">
        <w:rPr>
          <w:rFonts w:eastAsia="Segoe UI"/>
          <w:color w:val="000000"/>
        </w:rPr>
        <w:t xml:space="preserve"> have access to MBS funded genetic testing to detect both somatic and/or germline BRCA1 or BRCA2 gene variants, to determine eligibility for the PBS listed </w:t>
      </w:r>
      <w:proofErr w:type="spellStart"/>
      <w:r w:rsidRPr="000321E7">
        <w:rPr>
          <w:rFonts w:eastAsia="Segoe UI"/>
          <w:color w:val="000000"/>
        </w:rPr>
        <w:t>olaparib</w:t>
      </w:r>
      <w:proofErr w:type="spellEnd"/>
      <w:r w:rsidRPr="000321E7">
        <w:rPr>
          <w:rFonts w:eastAsia="Segoe UI"/>
          <w:color w:val="000000"/>
        </w:rPr>
        <w:t xml:space="preserve"> monotherapy. </w:t>
      </w:r>
    </w:p>
    <w:p w14:paraId="3CF953F8" w14:textId="380A5939" w:rsidR="00D30BCA" w:rsidRPr="000321E7" w:rsidRDefault="00D30BCA" w:rsidP="000321E7">
      <w:pPr>
        <w:jc w:val="both"/>
        <w:rPr>
          <w:rFonts w:eastAsia="Segoe UI"/>
          <w:color w:val="000000"/>
        </w:rPr>
      </w:pPr>
      <w:r w:rsidRPr="000321E7">
        <w:rPr>
          <w:rFonts w:eastAsia="Segoe UI"/>
          <w:color w:val="000000"/>
        </w:rPr>
        <w:t xml:space="preserve">The </w:t>
      </w:r>
      <w:proofErr w:type="spellStart"/>
      <w:r w:rsidRPr="000321E7">
        <w:rPr>
          <w:rFonts w:eastAsia="Segoe UI"/>
          <w:color w:val="000000"/>
        </w:rPr>
        <w:t>eviQ</w:t>
      </w:r>
      <w:proofErr w:type="spellEnd"/>
      <w:r w:rsidRPr="000321E7">
        <w:rPr>
          <w:rFonts w:eastAsia="Segoe UI"/>
          <w:color w:val="000000"/>
        </w:rPr>
        <w:t xml:space="preserve"> consensus statement for prostate cancer panel testing recommend BRCA testing in patients with prostate cancer and ≥ 10% probability of detecting a BRCA1 or BRCA2 pathogenic variant using a validated pathogenic variant prediction tool </w:t>
      </w:r>
      <w:proofErr w:type="gramStart"/>
      <w:r w:rsidRPr="000321E7">
        <w:rPr>
          <w:rFonts w:eastAsia="Segoe UI"/>
          <w:color w:val="000000"/>
        </w:rPr>
        <w:t>i.e.</w:t>
      </w:r>
      <w:proofErr w:type="gramEnd"/>
      <w:r w:rsidRPr="000321E7">
        <w:rPr>
          <w:rFonts w:eastAsia="Segoe UI"/>
          <w:color w:val="000000"/>
        </w:rPr>
        <w:t xml:space="preserve"> a pathogenic variant already identified in the patient’s family. This includes patients with:</w:t>
      </w:r>
    </w:p>
    <w:p w14:paraId="44172430" w14:textId="50194DF4" w:rsidR="00D30BCA" w:rsidRPr="000321E7" w:rsidRDefault="00E014BD" w:rsidP="000321E7">
      <w:pPr>
        <w:pStyle w:val="ListParagraph"/>
        <w:numPr>
          <w:ilvl w:val="0"/>
          <w:numId w:val="3"/>
        </w:numPr>
        <w:rPr>
          <w:rFonts w:eastAsia="Segoe UI"/>
          <w:color w:val="000000"/>
        </w:rPr>
      </w:pPr>
      <w:r>
        <w:rPr>
          <w:rFonts w:eastAsia="Segoe UI"/>
          <w:color w:val="000000"/>
        </w:rPr>
        <w:t>P</w:t>
      </w:r>
      <w:r w:rsidR="00D30BCA" w:rsidRPr="000321E7">
        <w:rPr>
          <w:rFonts w:eastAsia="Segoe UI"/>
          <w:color w:val="000000"/>
        </w:rPr>
        <w:t>rostate cancer where a pathogenic variant in a gene listed below has been detected on tumour testing.</w:t>
      </w:r>
    </w:p>
    <w:p w14:paraId="46D43023" w14:textId="4B34CD02" w:rsidR="00D30BCA" w:rsidRPr="000321E7" w:rsidRDefault="00D30BCA" w:rsidP="000321E7">
      <w:pPr>
        <w:pStyle w:val="ListParagraph"/>
        <w:numPr>
          <w:ilvl w:val="0"/>
          <w:numId w:val="3"/>
        </w:numPr>
        <w:rPr>
          <w:rFonts w:eastAsia="Segoe UI"/>
          <w:color w:val="000000"/>
        </w:rPr>
      </w:pPr>
      <w:r w:rsidRPr="000321E7">
        <w:rPr>
          <w:rFonts w:eastAsia="Segoe UI"/>
          <w:color w:val="000000"/>
        </w:rPr>
        <w:t>Castrate-resistant metastatic prostate cancer (regardless of other personal or family history factors) for whom genetic testing on tumour DNA is not clinically feasible.</w:t>
      </w:r>
    </w:p>
    <w:p w14:paraId="55477B5E" w14:textId="5DF9683C" w:rsidR="00D30BCA" w:rsidRPr="000321E7" w:rsidRDefault="00D30BCA" w:rsidP="000321E7">
      <w:pPr>
        <w:pStyle w:val="ListParagraph"/>
        <w:numPr>
          <w:ilvl w:val="0"/>
          <w:numId w:val="3"/>
        </w:numPr>
        <w:rPr>
          <w:rFonts w:eastAsia="Segoe UI"/>
          <w:color w:val="000000"/>
        </w:rPr>
      </w:pPr>
      <w:r w:rsidRPr="000321E7">
        <w:rPr>
          <w:rFonts w:eastAsia="Segoe UI"/>
          <w:color w:val="000000"/>
        </w:rPr>
        <w:t>Prostate cancer and ≥ 10% probability of detecting a BRCA1 or BRCA2 pathogenic variant using a validated pathogenic variant prediction tool (</w:t>
      </w:r>
      <w:proofErr w:type="gramStart"/>
      <w:r w:rsidRPr="000321E7">
        <w:rPr>
          <w:rFonts w:eastAsia="Segoe UI"/>
          <w:color w:val="000000"/>
        </w:rPr>
        <w:t>e.g.</w:t>
      </w:r>
      <w:proofErr w:type="gramEnd"/>
      <w:r w:rsidRPr="000321E7">
        <w:rPr>
          <w:rFonts w:eastAsia="Segoe UI"/>
          <w:color w:val="000000"/>
        </w:rPr>
        <w:t xml:space="preserve"> </w:t>
      </w:r>
      <w:proofErr w:type="spellStart"/>
      <w:r w:rsidRPr="000321E7">
        <w:rPr>
          <w:rFonts w:eastAsia="Segoe UI"/>
          <w:color w:val="000000"/>
        </w:rPr>
        <w:t>CanRisk</w:t>
      </w:r>
      <w:proofErr w:type="spellEnd"/>
      <w:r w:rsidRPr="000321E7">
        <w:rPr>
          <w:rFonts w:eastAsia="Segoe UI"/>
          <w:color w:val="000000"/>
        </w:rPr>
        <w:t>).</w:t>
      </w:r>
    </w:p>
    <w:p w14:paraId="32549805" w14:textId="330EDC96" w:rsidR="00D30BCA" w:rsidRPr="000321E7" w:rsidRDefault="00D30BCA" w:rsidP="000321E7">
      <w:pPr>
        <w:pStyle w:val="ListParagraph"/>
        <w:numPr>
          <w:ilvl w:val="0"/>
          <w:numId w:val="3"/>
        </w:numPr>
        <w:rPr>
          <w:rFonts w:eastAsia="Segoe UI"/>
          <w:color w:val="000000"/>
        </w:rPr>
      </w:pPr>
      <w:r w:rsidRPr="000321E7">
        <w:rPr>
          <w:rFonts w:eastAsia="Segoe UI"/>
          <w:color w:val="000000"/>
        </w:rPr>
        <w:t>Prostate cancer with intraductal/ductal histology.</w:t>
      </w:r>
    </w:p>
    <w:p w14:paraId="7258CD9B" w14:textId="66198A18" w:rsidR="00D30BCA" w:rsidRPr="000321E7" w:rsidRDefault="00D30BCA" w:rsidP="000321E7">
      <w:pPr>
        <w:pStyle w:val="ListParagraph"/>
        <w:numPr>
          <w:ilvl w:val="0"/>
          <w:numId w:val="3"/>
        </w:numPr>
        <w:rPr>
          <w:rFonts w:eastAsia="Segoe UI"/>
          <w:color w:val="000000"/>
        </w:rPr>
      </w:pPr>
      <w:r w:rsidRPr="000321E7">
        <w:rPr>
          <w:rFonts w:eastAsia="Segoe UI"/>
          <w:color w:val="000000"/>
        </w:rPr>
        <w:t>Prostate cancer from a population where a founder pathogenic variant of high prevalence exists (</w:t>
      </w:r>
      <w:proofErr w:type="gramStart"/>
      <w:r w:rsidRPr="000321E7">
        <w:rPr>
          <w:rFonts w:eastAsia="Segoe UI"/>
          <w:color w:val="000000"/>
        </w:rPr>
        <w:t>e.g.</w:t>
      </w:r>
      <w:proofErr w:type="gramEnd"/>
      <w:r w:rsidRPr="000321E7">
        <w:rPr>
          <w:rFonts w:eastAsia="Segoe UI"/>
          <w:color w:val="000000"/>
        </w:rPr>
        <w:t xml:space="preserve"> Ashkenazi Jewish, Swedish/Nordic).</w:t>
      </w:r>
    </w:p>
    <w:p w14:paraId="53D4B2B0" w14:textId="77777777" w:rsidR="00D30BCA" w:rsidRPr="00D30BCA" w:rsidRDefault="00D30BCA" w:rsidP="00D30BCA">
      <w:pPr>
        <w:rPr>
          <w:rFonts w:asciiTheme="minorHAnsi" w:eastAsia="Segoe UI" w:hAnsiTheme="minorHAnsi" w:cstheme="minorHAnsi"/>
          <w:color w:val="000000"/>
        </w:rPr>
      </w:pPr>
    </w:p>
    <w:p w14:paraId="21D7DBB0" w14:textId="77777777" w:rsidR="00D30BCA" w:rsidRPr="00E014BD" w:rsidRDefault="00D30BCA" w:rsidP="00D30BCA">
      <w:pPr>
        <w:rPr>
          <w:rFonts w:eastAsia="Segoe UI"/>
          <w:color w:val="000000"/>
        </w:rPr>
      </w:pPr>
      <w:r w:rsidRPr="00E014BD">
        <w:rPr>
          <w:rFonts w:eastAsia="Segoe UI"/>
          <w:color w:val="000000"/>
        </w:rPr>
        <w:t xml:space="preserve">The current key components and clinical steps involved in delivering a tumour BRCA mutation test are as follows: </w:t>
      </w:r>
    </w:p>
    <w:p w14:paraId="7113A8EE" w14:textId="63AD6F14" w:rsidR="00D30BCA" w:rsidRPr="00E014BD" w:rsidRDefault="00D30BCA" w:rsidP="00E014BD">
      <w:pPr>
        <w:pStyle w:val="ListParagraph"/>
        <w:numPr>
          <w:ilvl w:val="0"/>
          <w:numId w:val="4"/>
        </w:numPr>
        <w:ind w:left="357" w:hanging="357"/>
        <w:jc w:val="both"/>
        <w:rPr>
          <w:rFonts w:eastAsia="Segoe UI"/>
          <w:color w:val="000000"/>
        </w:rPr>
      </w:pPr>
      <w:r w:rsidRPr="00E014BD">
        <w:rPr>
          <w:rFonts w:eastAsia="Segoe UI"/>
          <w:color w:val="000000"/>
        </w:rPr>
        <w:t xml:space="preserve">Patient’s tumour sample is taken and sent to a pathology laboratory where BRCA testing is performed. Tumour tissue specimens for BRCA testing may be obtained as either a fresh tissue or an archived tissue specimen as formalin-fixed paraffin-embedded (FFPE) blocks, following primary tumour debulking surgery. DNA is extracted, </w:t>
      </w:r>
      <w:proofErr w:type="gramStart"/>
      <w:r w:rsidRPr="00E014BD">
        <w:rPr>
          <w:rFonts w:eastAsia="Segoe UI"/>
          <w:color w:val="000000"/>
        </w:rPr>
        <w:t>purified</w:t>
      </w:r>
      <w:proofErr w:type="gramEnd"/>
      <w:r w:rsidRPr="00E014BD">
        <w:rPr>
          <w:rFonts w:eastAsia="Segoe UI"/>
          <w:color w:val="000000"/>
        </w:rPr>
        <w:t xml:space="preserve"> and quantified using the laboratory’s preferred commercially available kits. PCR amplification methods may be used. Libraries for sequencing are prepared and library quality may be evaluated at this step. Some gene panels (</w:t>
      </w:r>
      <w:proofErr w:type="gramStart"/>
      <w:r w:rsidRPr="00E014BD">
        <w:rPr>
          <w:rFonts w:eastAsia="Segoe UI"/>
          <w:color w:val="000000"/>
        </w:rPr>
        <w:t>e.g.</w:t>
      </w:r>
      <w:proofErr w:type="gramEnd"/>
      <w:r w:rsidRPr="00E014BD">
        <w:rPr>
          <w:rFonts w:eastAsia="Segoe UI"/>
          <w:color w:val="000000"/>
        </w:rPr>
        <w:t xml:space="preserve"> BROCA) identify all classes of mutations including single base substitutions, small insertions and deletions and large gene re-arrangements. Variants are called using comparison to reference libraries. Next-generation sequencing is </w:t>
      </w:r>
      <w:proofErr w:type="gramStart"/>
      <w:r w:rsidRPr="00E014BD">
        <w:rPr>
          <w:rFonts w:eastAsia="Segoe UI"/>
          <w:color w:val="000000"/>
        </w:rPr>
        <w:t>performed</w:t>
      </w:r>
      <w:proofErr w:type="gramEnd"/>
      <w:r w:rsidRPr="00E014BD">
        <w:rPr>
          <w:rFonts w:eastAsia="Segoe UI"/>
          <w:color w:val="000000"/>
        </w:rPr>
        <w:t xml:space="preserve"> and sequencing results are then reported to the requesting specialist or consultant physician. Tumour tissue specimens obtained as FFPE blocks may have been archived for many months or years prior to tumour testing. Retrieval of archived samples may add up to 2 weeks to the turnaround time for the test, and preparation, extraction and then interpretation can add several additional weeks. It is likely that specialists and consultants may prefer to obtain new tissue samples. However, in some circumstances (such as a long period in archive or issues with the FFPE </w:t>
      </w:r>
      <w:r w:rsidRPr="00E014BD">
        <w:rPr>
          <w:rFonts w:eastAsia="Segoe UI"/>
          <w:color w:val="000000"/>
        </w:rPr>
        <w:lastRenderedPageBreak/>
        <w:t xml:space="preserve">process) there may be degradation of the DNA in the specimen and a re-biopsy may be necessary. A fresh biopsy may also be required in cases where initial neo-adjuvant chemotherapy resulted in significant tumour shrinkage and tumour debulking surgery did not provide any viable tumour tissue. Costs ($88 for block retrieval) will be incurred for retrieving samples from archive and possibly for forwarding them on to the specialist molecular diagnostic laboratories who are able to analyse the tissue. There may be additional harms to patient due to the need for re-biopsy in some cases. </w:t>
      </w:r>
    </w:p>
    <w:p w14:paraId="315272A1" w14:textId="77777777" w:rsidR="00E014BD" w:rsidRDefault="00D30BCA" w:rsidP="00E014BD">
      <w:pPr>
        <w:pStyle w:val="ListParagraph"/>
        <w:numPr>
          <w:ilvl w:val="0"/>
          <w:numId w:val="4"/>
        </w:numPr>
        <w:ind w:left="357" w:hanging="357"/>
        <w:jc w:val="both"/>
        <w:rPr>
          <w:rFonts w:eastAsia="Segoe UI"/>
          <w:color w:val="000000"/>
        </w:rPr>
      </w:pPr>
      <w:r w:rsidRPr="00E014BD">
        <w:rPr>
          <w:rFonts w:eastAsia="Segoe UI"/>
          <w:color w:val="000000"/>
        </w:rPr>
        <w:t xml:space="preserve">The results are sent to the treating medical practitioner. If a mutation is detected, a face-to-face post-test counselling appointment with the patient and their family is arranged to deliver the results. Individuals identified as harbouring a pathogenic mutation (Class 4 or 5) are referred to Genetics Services/Familial Cancer Centres for post-test counselling. Patients with a VUS or strong family history should also be referred for post-test counselling. </w:t>
      </w:r>
    </w:p>
    <w:p w14:paraId="29672743" w14:textId="05E8069D" w:rsidR="00D30BCA" w:rsidRPr="00E014BD" w:rsidRDefault="00D30BCA" w:rsidP="00E014BD">
      <w:pPr>
        <w:pStyle w:val="ListParagraph"/>
        <w:numPr>
          <w:ilvl w:val="0"/>
          <w:numId w:val="4"/>
        </w:numPr>
        <w:ind w:left="357" w:hanging="357"/>
        <w:jc w:val="both"/>
        <w:rPr>
          <w:rFonts w:eastAsia="Segoe UI"/>
          <w:color w:val="000000"/>
        </w:rPr>
      </w:pPr>
      <w:r w:rsidRPr="00E014BD">
        <w:rPr>
          <w:rFonts w:eastAsia="Segoe UI"/>
          <w:color w:val="000000"/>
        </w:rPr>
        <w:t xml:space="preserve">Based on a positive mutation for BRCA, the medical practitioner will consider prescribing </w:t>
      </w:r>
      <w:proofErr w:type="spellStart"/>
      <w:r w:rsidRPr="00E014BD">
        <w:rPr>
          <w:rFonts w:eastAsia="Segoe UI"/>
          <w:color w:val="000000"/>
        </w:rPr>
        <w:t>talazoparib</w:t>
      </w:r>
      <w:proofErr w:type="spellEnd"/>
      <w:r w:rsidRPr="00E014BD">
        <w:rPr>
          <w:rFonts w:eastAsia="Segoe UI"/>
          <w:color w:val="000000"/>
        </w:rPr>
        <w:t xml:space="preserve"> to the patient if they meet the PBS criteria to access treatment</w:t>
      </w:r>
    </w:p>
    <w:p w14:paraId="496F861E" w14:textId="6A84304D" w:rsidR="00BE6B22" w:rsidRPr="00BC0C43" w:rsidRDefault="00665487" w:rsidP="00BC0C43">
      <w:pPr>
        <w:pStyle w:val="Heading2"/>
      </w:pPr>
      <w:r w:rsidRPr="00BC0C43">
        <w:rPr>
          <w:rStyle w:val="Heading2Char"/>
          <w:b/>
          <w:bCs/>
        </w:rPr>
        <w:t>Identify how the proposed technology achieves the intended patient outcomes</w:t>
      </w:r>
      <w:r w:rsidR="00BE6B22" w:rsidRPr="00BC0C43">
        <w:t>:</w:t>
      </w:r>
    </w:p>
    <w:p w14:paraId="72015A67" w14:textId="77B25BB2" w:rsidR="00BE6B22" w:rsidRPr="00BC0C43" w:rsidRDefault="009F54D6" w:rsidP="009F54D6">
      <w:pPr>
        <w:jc w:val="both"/>
        <w:rPr>
          <w:rFonts w:asciiTheme="minorHAnsi" w:eastAsia="Segoe UI" w:hAnsiTheme="minorHAnsi" w:cstheme="minorHAnsi"/>
          <w:color w:val="000000"/>
        </w:rPr>
      </w:pPr>
      <w:r>
        <w:rPr>
          <w:rFonts w:asciiTheme="minorHAnsi" w:eastAsia="Segoe UI" w:hAnsiTheme="minorHAnsi" w:cstheme="minorHAnsi"/>
          <w:color w:val="000000"/>
        </w:rPr>
        <w:t>G</w:t>
      </w:r>
      <w:r w:rsidRPr="009F54D6">
        <w:rPr>
          <w:rFonts w:asciiTheme="minorHAnsi" w:eastAsia="Segoe UI" w:hAnsiTheme="minorHAnsi" w:cstheme="minorHAnsi"/>
          <w:color w:val="000000"/>
        </w:rPr>
        <w:t>e</w:t>
      </w:r>
      <w:r>
        <w:rPr>
          <w:rFonts w:asciiTheme="minorHAnsi" w:eastAsia="Segoe UI" w:hAnsiTheme="minorHAnsi" w:cstheme="minorHAnsi"/>
          <w:color w:val="000000"/>
        </w:rPr>
        <w:t>ne</w:t>
      </w:r>
      <w:r w:rsidRPr="009F54D6">
        <w:rPr>
          <w:rFonts w:asciiTheme="minorHAnsi" w:eastAsia="Segoe UI" w:hAnsiTheme="minorHAnsi" w:cstheme="minorHAnsi"/>
          <w:color w:val="000000"/>
        </w:rPr>
        <w:t xml:space="preserve">tic testing for </w:t>
      </w:r>
      <w:r>
        <w:rPr>
          <w:rFonts w:asciiTheme="minorHAnsi" w:eastAsia="Segoe UI" w:hAnsiTheme="minorHAnsi" w:cstheme="minorHAnsi"/>
          <w:color w:val="000000"/>
        </w:rPr>
        <w:t xml:space="preserve">patients with </w:t>
      </w:r>
      <w:proofErr w:type="spellStart"/>
      <w:r>
        <w:rPr>
          <w:rFonts w:asciiTheme="minorHAnsi" w:eastAsia="Segoe UI" w:hAnsiTheme="minorHAnsi" w:cstheme="minorHAnsi"/>
          <w:color w:val="000000"/>
        </w:rPr>
        <w:t>mCRPC</w:t>
      </w:r>
      <w:proofErr w:type="spellEnd"/>
      <w:r w:rsidRPr="009F54D6">
        <w:rPr>
          <w:rFonts w:asciiTheme="minorHAnsi" w:eastAsia="Segoe UI" w:hAnsiTheme="minorHAnsi" w:cstheme="minorHAnsi"/>
          <w:color w:val="000000"/>
        </w:rPr>
        <w:t xml:space="preserve"> has the potential to improve outcomes by identifying hereditary mutations</w:t>
      </w:r>
      <w:r>
        <w:rPr>
          <w:rFonts w:asciiTheme="minorHAnsi" w:eastAsia="Segoe UI" w:hAnsiTheme="minorHAnsi" w:cstheme="minorHAnsi"/>
          <w:color w:val="000000"/>
        </w:rPr>
        <w:t xml:space="preserve"> such as BRCA1/2</w:t>
      </w:r>
      <w:r w:rsidRPr="009F54D6">
        <w:rPr>
          <w:rFonts w:asciiTheme="minorHAnsi" w:eastAsia="Segoe UI" w:hAnsiTheme="minorHAnsi" w:cstheme="minorHAnsi"/>
          <w:color w:val="000000"/>
        </w:rPr>
        <w:t xml:space="preserve"> in patients leading to better treatment options and outcomes</w:t>
      </w:r>
      <w:r>
        <w:rPr>
          <w:rFonts w:asciiTheme="minorHAnsi" w:eastAsia="Segoe UI" w:hAnsiTheme="minorHAnsi" w:cstheme="minorHAnsi"/>
          <w:color w:val="000000"/>
        </w:rPr>
        <w:t>. As described below, results from t</w:t>
      </w:r>
      <w:r w:rsidRPr="009F54D6">
        <w:rPr>
          <w:rFonts w:asciiTheme="minorHAnsi" w:eastAsia="Segoe UI" w:hAnsiTheme="minorHAnsi" w:cstheme="minorHAnsi"/>
          <w:color w:val="000000"/>
        </w:rPr>
        <w:t xml:space="preserve">he pivotal Phase III TALAPRO-2 randomised controlled trial evaluating TAL + ENZ versus placebo (PBO) + ENZ in patients with </w:t>
      </w:r>
      <w:proofErr w:type="spellStart"/>
      <w:r w:rsidRPr="009F54D6">
        <w:rPr>
          <w:rFonts w:asciiTheme="minorHAnsi" w:eastAsia="Segoe UI" w:hAnsiTheme="minorHAnsi" w:cstheme="minorHAnsi"/>
          <w:color w:val="000000"/>
        </w:rPr>
        <w:t>mCRPC</w:t>
      </w:r>
      <w:proofErr w:type="spellEnd"/>
      <w:r w:rsidRPr="009F54D6">
        <w:rPr>
          <w:rFonts w:asciiTheme="minorHAnsi" w:eastAsia="Segoe UI" w:hAnsiTheme="minorHAnsi" w:cstheme="minorHAnsi"/>
          <w:color w:val="000000"/>
        </w:rPr>
        <w:t xml:space="preserve"> has demonstrated that the </w:t>
      </w:r>
      <w:proofErr w:type="gramStart"/>
      <w:r w:rsidRPr="009F54D6">
        <w:rPr>
          <w:rFonts w:asciiTheme="minorHAnsi" w:eastAsia="Segoe UI" w:hAnsiTheme="minorHAnsi" w:cstheme="minorHAnsi"/>
          <w:color w:val="000000"/>
        </w:rPr>
        <w:t>first-line</w:t>
      </w:r>
      <w:proofErr w:type="gramEnd"/>
      <w:r w:rsidRPr="009F54D6">
        <w:rPr>
          <w:rFonts w:asciiTheme="minorHAnsi" w:eastAsia="Segoe UI" w:hAnsiTheme="minorHAnsi" w:cstheme="minorHAnsi"/>
          <w:color w:val="000000"/>
        </w:rPr>
        <w:t xml:space="preserve"> (1L) treatment with TAL + ENZ provides statistically significant and clinically meaningful improvement in radiographic progression-free survival (</w:t>
      </w:r>
      <w:proofErr w:type="spellStart"/>
      <w:r w:rsidRPr="009F54D6">
        <w:rPr>
          <w:rFonts w:asciiTheme="minorHAnsi" w:eastAsia="Segoe UI" w:hAnsiTheme="minorHAnsi" w:cstheme="minorHAnsi"/>
          <w:color w:val="000000"/>
        </w:rPr>
        <w:t>rPFS</w:t>
      </w:r>
      <w:proofErr w:type="spellEnd"/>
      <w:r w:rsidRPr="009F54D6">
        <w:rPr>
          <w:rFonts w:asciiTheme="minorHAnsi" w:eastAsia="Segoe UI" w:hAnsiTheme="minorHAnsi" w:cstheme="minorHAnsi"/>
          <w:color w:val="000000"/>
        </w:rPr>
        <w:t xml:space="preserve">) while maintaining QoL. Prespecified subgroup analyses from the trial demonstrated that the greatest benefits in </w:t>
      </w:r>
      <w:proofErr w:type="spellStart"/>
      <w:r w:rsidRPr="009F54D6">
        <w:rPr>
          <w:rFonts w:asciiTheme="minorHAnsi" w:eastAsia="Segoe UI" w:hAnsiTheme="minorHAnsi" w:cstheme="minorHAnsi"/>
          <w:color w:val="000000"/>
        </w:rPr>
        <w:t>rPFS</w:t>
      </w:r>
      <w:proofErr w:type="spellEnd"/>
      <w:r w:rsidRPr="009F54D6">
        <w:rPr>
          <w:rFonts w:asciiTheme="minorHAnsi" w:eastAsia="Segoe UI" w:hAnsiTheme="minorHAnsi" w:cstheme="minorHAnsi"/>
          <w:color w:val="000000"/>
        </w:rPr>
        <w:t xml:space="preserve"> and overall survival (OS) are observed in patients with BRCA1/2 gene mutations</w:t>
      </w:r>
      <w:r>
        <w:rPr>
          <w:rFonts w:asciiTheme="minorHAnsi" w:eastAsia="Segoe UI" w:hAnsiTheme="minorHAnsi" w:cstheme="minorHAnsi"/>
          <w:color w:val="000000"/>
        </w:rPr>
        <w:t>.</w:t>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10080DFF" w:rsidR="00BE6B22" w:rsidRDefault="00AF600C" w:rsidP="00BC0C43">
      <w:r>
        <w:t>No</w:t>
      </w:r>
    </w:p>
    <w:p w14:paraId="282702BD" w14:textId="77777777" w:rsidR="00D30BCA" w:rsidRDefault="00D30BCA" w:rsidP="00D30BCA">
      <w:pPr>
        <w:jc w:val="both"/>
      </w:pPr>
      <w:r>
        <w:t>The test does not have a registered trademark. However, registered trademarks may be held by the various commercial kits used at the different stages of the testing process (</w:t>
      </w:r>
      <w:proofErr w:type="gramStart"/>
      <w:r>
        <w:t>e.g.</w:t>
      </w:r>
      <w:proofErr w:type="gramEnd"/>
      <w:r>
        <w:t xml:space="preserve"> DNA extraction, quality assurance, quantification, PCR amplification, Next Generation Sequencing [NGS] platform).  </w:t>
      </w:r>
    </w:p>
    <w:p w14:paraId="296AFD10" w14:textId="5922F5BC" w:rsidR="00D30BCA" w:rsidRDefault="00D30BCA" w:rsidP="00D30BCA">
      <w:pPr>
        <w:jc w:val="both"/>
      </w:pPr>
      <w:r>
        <w:t xml:space="preserve">The medicine </w:t>
      </w:r>
      <w:proofErr w:type="spellStart"/>
      <w:r>
        <w:t>talazoparib</w:t>
      </w:r>
      <w:proofErr w:type="spellEnd"/>
      <w:r>
        <w:t xml:space="preserve"> (brand name TALZENNA®) is a registered trademark.</w:t>
      </w:r>
    </w:p>
    <w:p w14:paraId="6FE677F6" w14:textId="53A28694" w:rsidR="00B759D1" w:rsidRPr="00BC0C43" w:rsidRDefault="00665487" w:rsidP="00BC0C43">
      <w:pPr>
        <w:pStyle w:val="Heading2"/>
      </w:pPr>
      <w:r w:rsidRPr="00B15CDF">
        <w:t>Explain whether it is essential to have this trademark component or whether there would be other components that would be suitable</w:t>
      </w:r>
      <w:r w:rsidR="00B759D1">
        <w:t>:</w:t>
      </w:r>
    </w:p>
    <w:p w14:paraId="2D4411B7" w14:textId="00466373" w:rsidR="00B759D1" w:rsidRPr="00BC0C43" w:rsidRDefault="00AF600C" w:rsidP="00BC0C43">
      <w:pPr>
        <w:rPr>
          <w:rFonts w:asciiTheme="minorHAnsi" w:eastAsia="Segoe UI" w:hAnsiTheme="minorHAnsi" w:cstheme="minorHAnsi"/>
          <w:color w:val="000000"/>
        </w:rPr>
      </w:pPr>
      <w:r>
        <w:t>N/A</w:t>
      </w:r>
    </w:p>
    <w:p w14:paraId="46AD8179" w14:textId="43F90C68" w:rsidR="00665487" w:rsidRDefault="00EA7B42" w:rsidP="00BC0C43">
      <w:pPr>
        <w:pStyle w:val="Heading2"/>
      </w:pPr>
      <w:r w:rsidRPr="00B15CDF">
        <w:t xml:space="preserve">Are there any proposed limitations on the provision of the proposed health technology delivered to the </w:t>
      </w:r>
      <w:proofErr w:type="gramStart"/>
      <w:r w:rsidRPr="00B15CDF">
        <w:t>patient</w:t>
      </w:r>
      <w:r w:rsidR="009572CD">
        <w:t>?</w:t>
      </w:r>
      <w:r>
        <w:t>:</w:t>
      </w:r>
      <w:proofErr w:type="gramEnd"/>
      <w:r w:rsidR="00665487">
        <w:t xml:space="preserve"> </w:t>
      </w:r>
    </w:p>
    <w:p w14:paraId="669B5F75" w14:textId="2472856E" w:rsidR="00665487" w:rsidRDefault="00AF600C" w:rsidP="00BC0C43">
      <w:r>
        <w:t>No</w:t>
      </w:r>
    </w:p>
    <w:p w14:paraId="207973FE" w14:textId="0108C50B" w:rsidR="00665487" w:rsidRPr="00BC0C43" w:rsidRDefault="00EA7B42" w:rsidP="00BC0C43">
      <w:pPr>
        <w:pStyle w:val="Heading2"/>
      </w:pPr>
      <w:r>
        <w:t>Provide details and explain</w:t>
      </w:r>
      <w:r w:rsidR="00665487">
        <w:t>:</w:t>
      </w:r>
    </w:p>
    <w:p w14:paraId="79F4E2B8" w14:textId="77777777" w:rsidR="00940409" w:rsidRPr="00940409" w:rsidRDefault="00940409" w:rsidP="00940409">
      <w:pPr>
        <w:jc w:val="both"/>
        <w:rPr>
          <w:rFonts w:eastAsia="Segoe UI"/>
          <w:color w:val="000000"/>
        </w:rPr>
      </w:pPr>
      <w:r w:rsidRPr="00940409">
        <w:rPr>
          <w:rFonts w:eastAsia="Segoe UI"/>
          <w:color w:val="000000"/>
        </w:rPr>
        <w:t xml:space="preserve">It is unlikely that a patient would require more than one tumour BRCA1/2 test in their lifetime. </w:t>
      </w:r>
    </w:p>
    <w:p w14:paraId="766BDE25" w14:textId="6A949029" w:rsidR="00940409" w:rsidRPr="00940409" w:rsidRDefault="00940409" w:rsidP="00940409">
      <w:pPr>
        <w:jc w:val="both"/>
        <w:rPr>
          <w:rFonts w:eastAsia="Segoe UI"/>
          <w:color w:val="000000"/>
        </w:rPr>
      </w:pPr>
      <w:r w:rsidRPr="00940409">
        <w:rPr>
          <w:rFonts w:eastAsia="Segoe UI"/>
          <w:color w:val="000000"/>
        </w:rPr>
        <w:t xml:space="preserve">BRCA testing is well established in Australia and is currently performed in </w:t>
      </w:r>
      <w:proofErr w:type="spellStart"/>
      <w:r w:rsidRPr="00940409">
        <w:rPr>
          <w:rFonts w:eastAsia="Segoe UI"/>
          <w:color w:val="000000"/>
        </w:rPr>
        <w:t>mCRPC</w:t>
      </w:r>
      <w:proofErr w:type="spellEnd"/>
      <w:r w:rsidRPr="00940409">
        <w:rPr>
          <w:rFonts w:eastAsia="Segoe UI"/>
          <w:color w:val="000000"/>
        </w:rPr>
        <w:t>, as well as in breast and ovarian cancer. It is performed by many accredited public and private pathology laboratories in Australia.</w:t>
      </w:r>
    </w:p>
    <w:p w14:paraId="5D31263E" w14:textId="77777777" w:rsidR="009572CD" w:rsidRDefault="009572CD">
      <w:pPr>
        <w:spacing w:after="160" w:line="259" w:lineRule="auto"/>
        <w:rPr>
          <w:b/>
          <w:bCs/>
        </w:rPr>
      </w:pPr>
      <w:r>
        <w:br w:type="page"/>
      </w:r>
    </w:p>
    <w:p w14:paraId="3ED511AC" w14:textId="445DCA92" w:rsidR="00AF600C" w:rsidRDefault="006227EF" w:rsidP="00BC0C43">
      <w:pPr>
        <w:pStyle w:val="Heading2"/>
      </w:pPr>
      <w:r>
        <w:lastRenderedPageBreak/>
        <w:t>If applicable, advise which health professionals will be needed to provide the proposed health technology:</w:t>
      </w:r>
    </w:p>
    <w:p w14:paraId="079E84F9" w14:textId="77777777" w:rsidR="00AF600C" w:rsidRDefault="00AF600C" w:rsidP="00AF600C">
      <w:pPr>
        <w:rPr>
          <w:b/>
          <w:bCs/>
        </w:rPr>
      </w:pPr>
      <w:r w:rsidRPr="00AF600C">
        <w:t>Testing to identify BRCA1/2 gene mutations should be conducted and the results interpreted and reported by suitably qualified and trained molecular pathologists. Testing should be conducted in specialist laboratories holding the appropriate accreditation.</w:t>
      </w:r>
    </w:p>
    <w:p w14:paraId="46150CA8" w14:textId="0F13D9FD"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45AEC0AD" w14:textId="603F3F59" w:rsidR="00940409" w:rsidRPr="00BC0C43" w:rsidRDefault="00940409" w:rsidP="00BC0C43">
      <w:pPr>
        <w:rPr>
          <w:rFonts w:asciiTheme="minorHAnsi" w:eastAsia="Segoe UI" w:hAnsiTheme="minorHAnsi" w:cstheme="minorHAnsi"/>
          <w:color w:val="000000"/>
        </w:rPr>
      </w:pPr>
      <w:r>
        <w:t>N/A</w:t>
      </w:r>
    </w:p>
    <w:p w14:paraId="414D5196" w14:textId="42D4776C" w:rsidR="006227EF" w:rsidRPr="00BC0C43" w:rsidRDefault="006227EF" w:rsidP="00BC0C43">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1D8E358E" w14:textId="4BE8EF54" w:rsidR="00940409" w:rsidRPr="00BC0C43" w:rsidRDefault="00527E78" w:rsidP="00BC0C43">
      <w:pPr>
        <w:rPr>
          <w:rFonts w:asciiTheme="minorHAnsi" w:eastAsia="Segoe UI" w:hAnsiTheme="minorHAnsi" w:cstheme="minorHAnsi"/>
          <w:color w:val="000000"/>
        </w:rPr>
      </w:pPr>
      <w:r>
        <w:t xml:space="preserve">Addressed </w:t>
      </w:r>
      <w:proofErr w:type="gramStart"/>
      <w:r>
        <w:t>above</w:t>
      </w:r>
      <w:proofErr w:type="gramEnd"/>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63F16F6F" w:rsidR="00380C41" w:rsidRDefault="00AF600C" w:rsidP="00BC0C43">
      <w:r>
        <w:t>Yes</w:t>
      </w:r>
    </w:p>
    <w:p w14:paraId="0E842550" w14:textId="4EA98943" w:rsidR="00380C41" w:rsidRPr="00BC0C43" w:rsidRDefault="00380C41" w:rsidP="00BC0C43">
      <w:pPr>
        <w:pStyle w:val="Heading2"/>
      </w:pPr>
      <w:r>
        <w:t>Provide details and explain:</w:t>
      </w:r>
    </w:p>
    <w:p w14:paraId="3DA52D6A" w14:textId="1907F81B" w:rsidR="00527E78" w:rsidRPr="00527E78" w:rsidRDefault="00527E78" w:rsidP="00527E78">
      <w:pPr>
        <w:jc w:val="both"/>
      </w:pPr>
      <w:r w:rsidRPr="001A4E0D">
        <w:rPr>
          <w:szCs w:val="20"/>
        </w:rPr>
        <w:t>Testing to identify BRCA</w:t>
      </w:r>
      <w:r>
        <w:rPr>
          <w:szCs w:val="20"/>
        </w:rPr>
        <w:t xml:space="preserve">1/2 </w:t>
      </w:r>
      <w:r w:rsidRPr="001A4E0D">
        <w:rPr>
          <w:szCs w:val="20"/>
        </w:rPr>
        <w:t xml:space="preserve">gene mutations in patients with </w:t>
      </w:r>
      <w:proofErr w:type="spellStart"/>
      <w:r w:rsidRPr="001A4E0D">
        <w:rPr>
          <w:szCs w:val="20"/>
        </w:rPr>
        <w:t>mCRPC</w:t>
      </w:r>
      <w:proofErr w:type="spellEnd"/>
      <w:r w:rsidRPr="001A4E0D">
        <w:rPr>
          <w:szCs w:val="20"/>
        </w:rPr>
        <w:t xml:space="preserve"> should be based on a referral request from a specialist or consultant physician and should not be pathologist determinable.</w:t>
      </w:r>
      <w:r>
        <w:rPr>
          <w:szCs w:val="20"/>
        </w:rPr>
        <w:t xml:space="preserve"> </w:t>
      </w:r>
    </w:p>
    <w:p w14:paraId="2C8F7277" w14:textId="61C5D08A" w:rsidR="00BC0C43" w:rsidRPr="00527E78" w:rsidRDefault="00527E78" w:rsidP="00527E78">
      <w:pPr>
        <w:rPr>
          <w:szCs w:val="20"/>
        </w:rPr>
      </w:pPr>
      <w:r w:rsidRPr="00264257">
        <w:rPr>
          <w:szCs w:val="20"/>
        </w:rPr>
        <w:t>All laboratories</w:t>
      </w:r>
      <w:r>
        <w:rPr>
          <w:szCs w:val="20"/>
        </w:rPr>
        <w:t xml:space="preserve"> that perform</w:t>
      </w:r>
      <w:r w:rsidRPr="00264257">
        <w:rPr>
          <w:szCs w:val="20"/>
        </w:rPr>
        <w:t xml:space="preserve"> </w:t>
      </w:r>
      <w:r>
        <w:rPr>
          <w:szCs w:val="20"/>
        </w:rPr>
        <w:t xml:space="preserve">BRCA testing </w:t>
      </w:r>
      <w:r w:rsidRPr="00264257">
        <w:rPr>
          <w:szCs w:val="20"/>
        </w:rPr>
        <w:t xml:space="preserve">are accredited to the Royal College of Pathologist of Australasia (RCPA) Quality Assurance Programs. </w:t>
      </w:r>
      <w:r w:rsidRPr="00DE7777">
        <w:rPr>
          <w:szCs w:val="20"/>
        </w:rPr>
        <w:t xml:space="preserve">For further information please refer to the website: </w:t>
      </w:r>
      <w:hyperlink r:id="rId11" w:history="1">
        <w:r w:rsidRPr="008156B7">
          <w:rPr>
            <w:rStyle w:val="Hyperlink"/>
            <w:szCs w:val="20"/>
          </w:rPr>
          <w:t>https://www.rcpaqap.com.au/home-page</w:t>
        </w:r>
      </w:hyperlink>
    </w:p>
    <w:p w14:paraId="54E88C9C" w14:textId="5BC841C1" w:rsidR="00380C41" w:rsidRPr="00BC0C43" w:rsidRDefault="00BB494A" w:rsidP="00BC0C43">
      <w:pPr>
        <w:pStyle w:val="Heading2"/>
      </w:pPr>
      <w:r>
        <w:t xml:space="preserve">Indicate the proposed setting(s) in which the proposed health technology will be delivered: </w:t>
      </w:r>
      <w:r w:rsidRPr="00B63A61">
        <w:t>(</w:t>
      </w:r>
      <w:r>
        <w:t>select all relevant settings</w:t>
      </w:r>
      <w:r w:rsidRPr="00B63A61">
        <w:t>)</w:t>
      </w:r>
    </w:p>
    <w:p w14:paraId="6C4BF8E1" w14:textId="77777777" w:rsidR="00BC0C43" w:rsidRPr="00BC0C43" w:rsidRDefault="00BC0C43"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w:t>
      </w:r>
      <w:r w:rsidR="00BB494A" w:rsidRPr="00BC0C43">
        <w:rPr>
          <w:rFonts w:ascii="Segoe UI" w:hAnsi="Segoe UI" w:cs="Segoe UI"/>
          <w:sz w:val="22"/>
          <w:szCs w:val="22"/>
        </w:rPr>
        <w:t>Consulting rooms</w:t>
      </w:r>
      <w:r w:rsidR="00380C41" w:rsidRPr="00BC0C43">
        <w:rPr>
          <w:rFonts w:ascii="Segoe UI" w:hAnsi="Segoe UI" w:cs="Segoe UI"/>
          <w:sz w:val="22"/>
          <w:szCs w:val="22"/>
        </w:rPr>
        <w:t xml:space="preserve"> </w:t>
      </w:r>
    </w:p>
    <w:p w14:paraId="27A91C50" w14:textId="0DD9818F" w:rsidR="00380C41" w:rsidRPr="00BC0C43" w:rsidRDefault="00380C41"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w:t>
      </w:r>
      <w:r w:rsidR="00BB494A" w:rsidRPr="00BC0C43">
        <w:rPr>
          <w:rFonts w:ascii="Segoe UI" w:hAnsi="Segoe UI" w:cs="Segoe UI"/>
          <w:sz w:val="22"/>
          <w:szCs w:val="22"/>
        </w:rPr>
        <w:t>Day surgery centre</w:t>
      </w:r>
    </w:p>
    <w:p w14:paraId="1DAFF305" w14:textId="40C84702" w:rsidR="00380C41" w:rsidRPr="00BC0C43" w:rsidRDefault="00380C41"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w:t>
      </w:r>
      <w:r w:rsidR="00BB494A" w:rsidRPr="00BC0C43">
        <w:rPr>
          <w:rFonts w:ascii="Segoe UI" w:hAnsi="Segoe UI" w:cs="Segoe UI"/>
          <w:sz w:val="22"/>
          <w:szCs w:val="22"/>
        </w:rPr>
        <w:t>Emergency Department</w:t>
      </w:r>
      <w:r w:rsidRPr="00BC0C43">
        <w:rPr>
          <w:rFonts w:ascii="Segoe UI" w:hAnsi="Segoe UI" w:cs="Segoe UI"/>
          <w:sz w:val="22"/>
          <w:szCs w:val="22"/>
        </w:rPr>
        <w:t xml:space="preserve"> </w:t>
      </w:r>
    </w:p>
    <w:p w14:paraId="020AC503" w14:textId="5C662B9C" w:rsidR="00380C41" w:rsidRPr="00BC0C43" w:rsidRDefault="00380C41"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w:t>
      </w:r>
      <w:r w:rsidR="00BB494A" w:rsidRPr="00BC0C43">
        <w:rPr>
          <w:rFonts w:ascii="Segoe UI" w:hAnsi="Segoe UI" w:cs="Segoe UI"/>
          <w:sz w:val="22"/>
          <w:szCs w:val="22"/>
        </w:rPr>
        <w:t>Inpatient private hospital</w:t>
      </w:r>
    </w:p>
    <w:p w14:paraId="6E8C6D7D" w14:textId="0255442B" w:rsidR="00BB494A" w:rsidRPr="00BC0C43" w:rsidRDefault="00BB494A"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Inpatient public hospital</w:t>
      </w:r>
    </w:p>
    <w:p w14:paraId="1C5133DF" w14:textId="6616B8AA" w:rsidR="00BB494A" w:rsidRPr="00BC0C43" w:rsidRDefault="00D30BCA" w:rsidP="00BC0C43">
      <w:pPr>
        <w:pStyle w:val="Tickboxes"/>
        <w:ind w:left="0"/>
        <w:rPr>
          <w:rFonts w:ascii="Segoe UI" w:hAnsi="Segoe UI" w:cs="Segoe UI"/>
          <w:sz w:val="22"/>
          <w:szCs w:val="22"/>
        </w:rPr>
      </w:pPr>
      <w:r>
        <w:rPr>
          <w:rFonts w:ascii="Segoe UI" w:hAnsi="Segoe UI" w:cs="Segoe UI"/>
          <w:sz w:val="22"/>
          <w:szCs w:val="22"/>
        </w:rPr>
        <w:fldChar w:fldCharType="begin">
          <w:ffData>
            <w:name w:val="Check2"/>
            <w:enabled/>
            <w:calcOnExit w:val="0"/>
            <w:checkBox>
              <w:sizeAuto/>
              <w:default w:val="1"/>
            </w:checkBox>
          </w:ffData>
        </w:fldChar>
      </w:r>
      <w:bookmarkStart w:id="0" w:name="Check2"/>
      <w:r>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Pr>
          <w:rFonts w:ascii="Segoe UI" w:hAnsi="Segoe UI" w:cs="Segoe UI"/>
          <w:sz w:val="22"/>
          <w:szCs w:val="22"/>
        </w:rPr>
        <w:fldChar w:fldCharType="end"/>
      </w:r>
      <w:bookmarkEnd w:id="0"/>
      <w:r w:rsidR="00BB494A" w:rsidRPr="00BC0C43">
        <w:rPr>
          <w:rFonts w:ascii="Segoe UI" w:hAnsi="Segoe UI" w:cs="Segoe UI"/>
          <w:sz w:val="22"/>
          <w:szCs w:val="22"/>
        </w:rPr>
        <w:t xml:space="preserve"> Laboratory</w:t>
      </w:r>
    </w:p>
    <w:p w14:paraId="723FB55F" w14:textId="4F589AB5" w:rsidR="00BB494A" w:rsidRPr="00BC0C43" w:rsidRDefault="00BB494A"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Outpatient clinic </w:t>
      </w:r>
    </w:p>
    <w:p w14:paraId="111DE2AB" w14:textId="35A5324A" w:rsidR="00BB494A" w:rsidRPr="00BC0C43" w:rsidRDefault="00BB494A"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Patient’s home</w:t>
      </w:r>
    </w:p>
    <w:p w14:paraId="428D75FD" w14:textId="3E4C76FA" w:rsidR="00BB494A" w:rsidRPr="00BC0C43" w:rsidRDefault="00BB494A"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Point of care testing </w:t>
      </w:r>
    </w:p>
    <w:p w14:paraId="47F449C5" w14:textId="7A9B3B9E" w:rsidR="00BB494A" w:rsidRPr="00BC0C43" w:rsidRDefault="00BB494A"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Residential aged care facility</w:t>
      </w:r>
    </w:p>
    <w:p w14:paraId="01BEE2C3" w14:textId="404D7701" w:rsidR="00BB494A" w:rsidRPr="00BC0C43" w:rsidRDefault="00BB494A"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Other (please specify) </w:t>
      </w:r>
    </w:p>
    <w:p w14:paraId="594B3A20" w14:textId="77777777" w:rsidR="00BB494A" w:rsidRPr="000627EF" w:rsidRDefault="00BB494A" w:rsidP="00BC0C43">
      <w:pPr>
        <w:pStyle w:val="Tickboxes"/>
      </w:pPr>
    </w:p>
    <w:p w14:paraId="2A1C0D0A" w14:textId="3D79FC0A" w:rsidR="002D7216" w:rsidRDefault="002D7216" w:rsidP="00BC0C43">
      <w:pPr>
        <w:pStyle w:val="Heading2"/>
      </w:pPr>
      <w:r>
        <w:t xml:space="preserve">Is the proposed health technology intended to be entirely rendered inside Australia? </w:t>
      </w:r>
    </w:p>
    <w:p w14:paraId="0478F3B1" w14:textId="53A4F70D" w:rsidR="002D7216" w:rsidRDefault="00AF600C" w:rsidP="00BC0C43">
      <w:r>
        <w:t>Yes</w:t>
      </w:r>
    </w:p>
    <w:p w14:paraId="3BD866A7" w14:textId="60BE4198" w:rsidR="00BC0C43" w:rsidRPr="00527E78" w:rsidRDefault="002D7216" w:rsidP="00527E78">
      <w:pPr>
        <w:pStyle w:val="Heading2"/>
      </w:pPr>
      <w:r>
        <w:t>Please provide additional details on the proposed health technology to be rendered outside of Australia</w:t>
      </w:r>
      <w:r w:rsidR="00527E78">
        <w:t xml:space="preserve">:  </w:t>
      </w:r>
      <w:r w:rsidR="00AF600C">
        <w:br/>
      </w:r>
      <w:r w:rsidR="000321E7" w:rsidRPr="00527E78">
        <w:rPr>
          <w:b w:val="0"/>
          <w:bCs w:val="0"/>
        </w:rPr>
        <w:t>N/</w:t>
      </w:r>
      <w:r w:rsidR="00527E78" w:rsidRPr="00527E78">
        <w:rPr>
          <w:b w:val="0"/>
          <w:bCs w:val="0"/>
        </w:rPr>
        <w:t>A</w:t>
      </w:r>
      <w:r w:rsidR="00BC0C43">
        <w:br w:type="page"/>
      </w:r>
    </w:p>
    <w:p w14:paraId="5B9D9A2F" w14:textId="5569185C" w:rsidR="00FE257E" w:rsidRDefault="00FE257E" w:rsidP="00BC0C43">
      <w:pPr>
        <w:pStyle w:val="Heading1"/>
      </w:pPr>
      <w:r>
        <w:lastRenderedPageBreak/>
        <w:t>Comparator</w:t>
      </w:r>
    </w:p>
    <w:p w14:paraId="35E164E6" w14:textId="7DE75A3A" w:rsidR="00D52CEF" w:rsidRDefault="00FE257E" w:rsidP="00AF600C">
      <w:pPr>
        <w:pStyle w:val="Heading2"/>
      </w:pPr>
      <w:r w:rsidRPr="00FE257E">
        <w:t>Nominate the appropriate comparator(s) for the proposed medical service (</w:t>
      </w:r>
      <w:proofErr w:type="gramStart"/>
      <w:r w:rsidRPr="00FE257E">
        <w:t>i.e.</w:t>
      </w:r>
      <w:proofErr w:type="gramEnd"/>
      <w:r w:rsidRPr="00FE257E">
        <w:t xml:space="preserv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53511A57" w14:textId="14185BDF" w:rsidR="00F5738E" w:rsidRPr="00F5738E" w:rsidRDefault="00F5738E" w:rsidP="00F5738E">
      <w:pPr>
        <w:jc w:val="both"/>
        <w:rPr>
          <w:rFonts w:eastAsia="Segoe UI"/>
          <w:color w:val="000000"/>
        </w:rPr>
      </w:pPr>
      <w:r w:rsidRPr="00F5738E">
        <w:rPr>
          <w:rFonts w:eastAsia="Segoe UI"/>
          <w:color w:val="000000"/>
        </w:rPr>
        <w:t xml:space="preserve">The nominated comparator in the PBAC submission is enzalutamide monotherapy. Enzalutamide and abiraterone monotherapy are </w:t>
      </w:r>
      <w:r>
        <w:rPr>
          <w:rFonts w:eastAsia="Segoe UI"/>
          <w:color w:val="000000"/>
        </w:rPr>
        <w:t xml:space="preserve">PBS listed and are </w:t>
      </w:r>
      <w:r w:rsidRPr="00F5738E">
        <w:rPr>
          <w:rFonts w:eastAsia="Segoe UI"/>
          <w:color w:val="000000"/>
        </w:rPr>
        <w:t xml:space="preserve">standard of care for 1L treatment of </w:t>
      </w:r>
      <w:proofErr w:type="spellStart"/>
      <w:r w:rsidRPr="00F5738E">
        <w:rPr>
          <w:rFonts w:eastAsia="Segoe UI"/>
          <w:color w:val="000000"/>
        </w:rPr>
        <w:t>mCRPC</w:t>
      </w:r>
      <w:proofErr w:type="spellEnd"/>
      <w:r w:rsidRPr="00F5738E">
        <w:rPr>
          <w:rFonts w:eastAsia="Segoe UI"/>
          <w:color w:val="000000"/>
        </w:rPr>
        <w:t xml:space="preserve"> in Australia.</w:t>
      </w:r>
      <w:r w:rsidR="00D52CEF">
        <w:rPr>
          <w:rFonts w:eastAsia="Segoe UI"/>
          <w:color w:val="000000"/>
        </w:rPr>
        <w:t xml:space="preserve"> </w:t>
      </w:r>
    </w:p>
    <w:p w14:paraId="3E3431F7" w14:textId="5F954AA9" w:rsidR="00FE257E" w:rsidRDefault="00955904" w:rsidP="00BC0C43">
      <w:pPr>
        <w:pStyle w:val="Heading2"/>
      </w:pPr>
      <w:r>
        <w:t>List any existing MBS item numbers that are relevant for the nominated comparators</w:t>
      </w:r>
      <w:r w:rsidR="000627EF">
        <w:t>:</w:t>
      </w:r>
      <w:r w:rsidR="00FE257E">
        <w:t xml:space="preserve"> </w:t>
      </w:r>
    </w:p>
    <w:p w14:paraId="3680D722" w14:textId="2F7D667F" w:rsidR="00C95333" w:rsidRPr="00C95333" w:rsidRDefault="000222F5" w:rsidP="00C95333">
      <w:pPr>
        <w:jc w:val="both"/>
        <w:rPr>
          <w:rFonts w:eastAsia="Segoe UI"/>
          <w:color w:val="000000"/>
        </w:rPr>
      </w:pPr>
      <w:r w:rsidRPr="000222F5">
        <w:rPr>
          <w:rFonts w:eastAsia="Segoe UI"/>
          <w:color w:val="000000"/>
        </w:rPr>
        <w:t>BRCA</w:t>
      </w:r>
      <w:r w:rsidR="00D52CEF">
        <w:rPr>
          <w:rFonts w:eastAsia="Segoe UI"/>
          <w:color w:val="000000"/>
        </w:rPr>
        <w:t>1/2 somatic or germline</w:t>
      </w:r>
      <w:r w:rsidRPr="000222F5">
        <w:rPr>
          <w:rFonts w:eastAsia="Segoe UI"/>
          <w:color w:val="000000"/>
        </w:rPr>
        <w:t xml:space="preserve"> mutation testing is currently performed in </w:t>
      </w:r>
      <w:proofErr w:type="spellStart"/>
      <w:r w:rsidRPr="000222F5">
        <w:rPr>
          <w:rFonts w:eastAsia="Segoe UI"/>
          <w:color w:val="000000"/>
        </w:rPr>
        <w:t>mCRPC</w:t>
      </w:r>
      <w:proofErr w:type="spellEnd"/>
      <w:r w:rsidRPr="000222F5">
        <w:rPr>
          <w:rFonts w:eastAsia="Segoe UI"/>
          <w:color w:val="000000"/>
        </w:rPr>
        <w:t xml:space="preserve"> to determine eligibility for PBS-listed </w:t>
      </w:r>
      <w:proofErr w:type="spellStart"/>
      <w:r w:rsidRPr="000222F5">
        <w:rPr>
          <w:rFonts w:eastAsia="Segoe UI"/>
          <w:color w:val="000000"/>
        </w:rPr>
        <w:t>olaparib</w:t>
      </w:r>
      <w:proofErr w:type="spellEnd"/>
      <w:r w:rsidRPr="000222F5">
        <w:rPr>
          <w:rFonts w:eastAsia="Segoe UI"/>
          <w:color w:val="000000"/>
        </w:rPr>
        <w:t xml:space="preserve"> </w:t>
      </w:r>
      <w:r>
        <w:rPr>
          <w:rFonts w:eastAsia="Segoe UI"/>
          <w:color w:val="000000"/>
        </w:rPr>
        <w:t>(</w:t>
      </w:r>
      <w:r w:rsidR="00C95333" w:rsidRPr="00C95333">
        <w:rPr>
          <w:rFonts w:eastAsia="Segoe UI"/>
          <w:color w:val="000000"/>
        </w:rPr>
        <w:t>MBS item numbers 73303 and 73304</w:t>
      </w:r>
      <w:r>
        <w:rPr>
          <w:rFonts w:eastAsia="Segoe UI"/>
          <w:color w:val="000000"/>
        </w:rPr>
        <w:t>)</w:t>
      </w:r>
      <w:r w:rsidR="00C95333" w:rsidRPr="00C95333">
        <w:rPr>
          <w:rFonts w:eastAsia="Segoe UI"/>
          <w:color w:val="000000"/>
        </w:rPr>
        <w:t xml:space="preserve">. No genetic testing is required for enzalutamide </w:t>
      </w:r>
      <w:r w:rsidR="00C95333">
        <w:rPr>
          <w:rFonts w:eastAsia="Segoe UI"/>
          <w:color w:val="000000"/>
        </w:rPr>
        <w:t>(</w:t>
      </w:r>
      <w:r w:rsidR="00C95333" w:rsidRPr="00C95333">
        <w:rPr>
          <w:rFonts w:eastAsia="Segoe UI"/>
          <w:color w:val="000000"/>
        </w:rPr>
        <w:t>or abiraterone</w:t>
      </w:r>
      <w:r w:rsidR="00C95333">
        <w:rPr>
          <w:rFonts w:eastAsia="Segoe UI"/>
          <w:color w:val="000000"/>
        </w:rPr>
        <w:t>)</w:t>
      </w:r>
      <w:r w:rsidR="00C95333" w:rsidRPr="00C95333">
        <w:rPr>
          <w:rFonts w:eastAsia="Segoe UI"/>
          <w:color w:val="000000"/>
        </w:rPr>
        <w:t xml:space="preserve"> </w:t>
      </w:r>
      <w:r w:rsidR="00C95333">
        <w:rPr>
          <w:rFonts w:eastAsia="Segoe UI"/>
          <w:color w:val="000000"/>
        </w:rPr>
        <w:t>for the 1L treatment of</w:t>
      </w:r>
      <w:r w:rsidR="00C95333" w:rsidRPr="00C95333">
        <w:rPr>
          <w:rFonts w:eastAsia="Segoe UI"/>
          <w:color w:val="000000"/>
        </w:rPr>
        <w:t xml:space="preserve"> </w:t>
      </w:r>
      <w:proofErr w:type="spellStart"/>
      <w:r w:rsidR="00C95333" w:rsidRPr="00C95333">
        <w:rPr>
          <w:rFonts w:eastAsia="Segoe UI"/>
          <w:color w:val="000000"/>
        </w:rPr>
        <w:t>mCRPC</w:t>
      </w:r>
      <w:proofErr w:type="spellEnd"/>
      <w:r w:rsidR="00C95333">
        <w:rPr>
          <w:rFonts w:eastAsia="Segoe UI"/>
          <w:color w:val="000000"/>
        </w:rPr>
        <w:t>.</w:t>
      </w:r>
    </w:p>
    <w:p w14:paraId="7AE42CF7" w14:textId="717301D1" w:rsidR="00FE257E" w:rsidRPr="00BC0C43" w:rsidRDefault="005B5A58" w:rsidP="00BC0C43">
      <w:pPr>
        <w:pStyle w:val="Heading2"/>
      </w:pPr>
      <w:r>
        <w:t>Please provide a rationale for why this is a comparator</w:t>
      </w:r>
      <w:r w:rsidR="000627EF">
        <w:t>:</w:t>
      </w:r>
    </w:p>
    <w:p w14:paraId="2F47DBF3" w14:textId="322C8C63" w:rsidR="00FE257E" w:rsidRPr="00BC0C43" w:rsidRDefault="00D52CEF" w:rsidP="00BC0C43">
      <w:pPr>
        <w:rPr>
          <w:rFonts w:asciiTheme="minorHAnsi" w:eastAsia="Segoe UI" w:hAnsiTheme="minorHAnsi" w:cstheme="minorHAnsi"/>
          <w:color w:val="000000"/>
        </w:rPr>
      </w:pPr>
      <w:r>
        <w:t>As stated above, e</w:t>
      </w:r>
      <w:r w:rsidRPr="00D52CEF">
        <w:t xml:space="preserve">nzalutamide monotherapy </w:t>
      </w:r>
      <w:r>
        <w:t>is</w:t>
      </w:r>
      <w:r w:rsidRPr="00D52CEF">
        <w:t xml:space="preserve"> PBS listed and </w:t>
      </w:r>
      <w:r>
        <w:t>is</w:t>
      </w:r>
      <w:r w:rsidRPr="00D52CEF">
        <w:t xml:space="preserve"> standard of care for 1L treatment of </w:t>
      </w:r>
      <w:proofErr w:type="spellStart"/>
      <w:r w:rsidRPr="00D52CEF">
        <w:t>mCRPC</w:t>
      </w:r>
      <w:proofErr w:type="spellEnd"/>
      <w:r w:rsidRPr="00D52CEF">
        <w:t xml:space="preserve"> in Australia. </w:t>
      </w:r>
      <w:proofErr w:type="spellStart"/>
      <w:r>
        <w:t>Talazoparib</w:t>
      </w:r>
      <w:proofErr w:type="spellEnd"/>
      <w:r>
        <w:t xml:space="preserve"> is an add-on therapy to enzalutamide and the requested PBS listing is for </w:t>
      </w:r>
      <w:proofErr w:type="spellStart"/>
      <w:r>
        <w:t>mCRPC</w:t>
      </w:r>
      <w:proofErr w:type="spellEnd"/>
      <w:r>
        <w:t xml:space="preserve"> patients with a BRCA1/2 mutation. BRCA1/2 mutation testing in </w:t>
      </w:r>
      <w:proofErr w:type="spellStart"/>
      <w:r>
        <w:t>mCRPC</w:t>
      </w:r>
      <w:proofErr w:type="spellEnd"/>
      <w:r>
        <w:t xml:space="preserve"> is performed to access PBS listed </w:t>
      </w:r>
      <w:proofErr w:type="spellStart"/>
      <w:r>
        <w:t>olaparib</w:t>
      </w:r>
      <w:proofErr w:type="spellEnd"/>
      <w:r>
        <w:t xml:space="preserve"> which is a ‘subsequent” line of therapy in </w:t>
      </w:r>
      <w:proofErr w:type="spellStart"/>
      <w:r>
        <w:t>mCRPC</w:t>
      </w:r>
      <w:proofErr w:type="spellEnd"/>
      <w:r>
        <w:t>.</w:t>
      </w:r>
    </w:p>
    <w:p w14:paraId="1DB01406" w14:textId="3E3F289E" w:rsidR="000627EF" w:rsidRPr="00BC0C43" w:rsidRDefault="005B5A58" w:rsidP="00BC0C43">
      <w:pPr>
        <w:pStyle w:val="Heading2"/>
      </w:pPr>
      <w:r>
        <w:t xml:space="preserve">Pattern of substitution – Will the proposed health technology wholly replace the proposed comparator, partially replace </w:t>
      </w:r>
      <w:r w:rsidR="000627EF">
        <w:t xml:space="preserve">the proposed comparator, displace the proposed </w:t>
      </w:r>
      <w:proofErr w:type="gramStart"/>
      <w:r w:rsidR="000627EF">
        <w:t>comparator</w:t>
      </w:r>
      <w:proofErr w:type="gramEnd"/>
      <w:r w:rsidR="000627EF">
        <w:t xml:space="preserve"> or be used in combination with the proposed comparator?</w:t>
      </w:r>
    </w:p>
    <w:p w14:paraId="0A5F4C44" w14:textId="3CADCEFD" w:rsidR="000627EF" w:rsidRPr="00BC0C43" w:rsidRDefault="00703D66"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Pr>
          <w:rFonts w:ascii="Segoe UI" w:hAnsi="Segoe UI" w:cs="Segoe UI"/>
          <w:sz w:val="22"/>
          <w:szCs w:val="22"/>
        </w:rPr>
        <w:fldChar w:fldCharType="end"/>
      </w:r>
      <w:r w:rsidR="00BC0C43" w:rsidRPr="00BC0C43">
        <w:rPr>
          <w:rFonts w:ascii="Segoe UI" w:hAnsi="Segoe UI" w:cs="Segoe UI"/>
          <w:sz w:val="22"/>
          <w:szCs w:val="22"/>
        </w:rPr>
        <w:t xml:space="preserve"> </w:t>
      </w:r>
      <w:r w:rsidR="000627EF" w:rsidRPr="00BC0C43">
        <w:rPr>
          <w:rFonts w:ascii="Segoe UI" w:hAnsi="Segoe UI" w:cs="Segoe UI"/>
          <w:sz w:val="22"/>
          <w:szCs w:val="22"/>
        </w:rPr>
        <w:t xml:space="preserve">None </w:t>
      </w:r>
      <w:r w:rsidR="00BC0C43" w:rsidRPr="00BC0C43">
        <w:rPr>
          <w:rFonts w:ascii="Segoe UI" w:hAnsi="Segoe UI" w:cs="Segoe UI"/>
          <w:i/>
          <w:iCs/>
          <w:sz w:val="18"/>
          <w:szCs w:val="18"/>
        </w:rPr>
        <w:t>(u</w:t>
      </w:r>
      <w:r w:rsidR="000627EF" w:rsidRPr="00BC0C43">
        <w:rPr>
          <w:rFonts w:ascii="Segoe UI" w:hAnsi="Segoe UI" w:cs="Segoe UI"/>
          <w:i/>
          <w:iCs/>
          <w:sz w:val="18"/>
          <w:szCs w:val="18"/>
        </w:rPr>
        <w:t>sed with the comparator</w:t>
      </w:r>
      <w:r w:rsidR="00BC0C43" w:rsidRPr="00BC0C43">
        <w:rPr>
          <w:rFonts w:ascii="Segoe UI" w:hAnsi="Segoe UI" w:cs="Segoe UI"/>
          <w:i/>
          <w:iCs/>
          <w:sz w:val="18"/>
          <w:szCs w:val="18"/>
        </w:rPr>
        <w:t>)</w:t>
      </w:r>
      <w:r w:rsidR="000627EF" w:rsidRPr="00BC0C43">
        <w:rPr>
          <w:rFonts w:ascii="Segoe UI" w:hAnsi="Segoe UI" w:cs="Segoe UI"/>
          <w:sz w:val="18"/>
          <w:szCs w:val="18"/>
        </w:rPr>
        <w:t xml:space="preserve"> </w:t>
      </w:r>
    </w:p>
    <w:p w14:paraId="04FD711F" w14:textId="717AF290" w:rsidR="000627EF" w:rsidRPr="00BC0C43" w:rsidRDefault="000627EF" w:rsidP="00BC0C43">
      <w:pPr>
        <w:pStyle w:val="Tickboxes"/>
        <w:ind w:left="0"/>
        <w:rPr>
          <w:rFonts w:ascii="Segoe UI" w:hAnsi="Segoe UI" w:cs="Segoe UI"/>
          <w:i/>
          <w:iCs/>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Displaced </w:t>
      </w:r>
      <w:r w:rsidR="00BC0C43" w:rsidRPr="00BC0C43">
        <w:rPr>
          <w:rFonts w:ascii="Segoe UI" w:hAnsi="Segoe UI" w:cs="Segoe UI"/>
          <w:i/>
          <w:iCs/>
          <w:sz w:val="18"/>
          <w:szCs w:val="18"/>
        </w:rPr>
        <w:t>(c</w:t>
      </w:r>
      <w:r w:rsidRPr="00BC0C43">
        <w:rPr>
          <w:rFonts w:ascii="Segoe UI" w:hAnsi="Segoe UI" w:cs="Segoe UI"/>
          <w:i/>
          <w:iCs/>
          <w:sz w:val="18"/>
          <w:szCs w:val="18"/>
        </w:rPr>
        <w:t>omparator will likely be used following the proposed technology in some patients</w:t>
      </w:r>
      <w:r w:rsidR="00BC0C43" w:rsidRPr="00BC0C43">
        <w:rPr>
          <w:rFonts w:ascii="Segoe UI" w:hAnsi="Segoe UI" w:cs="Segoe UI"/>
          <w:i/>
          <w:iCs/>
          <w:sz w:val="18"/>
          <w:szCs w:val="18"/>
        </w:rPr>
        <w:t>)</w:t>
      </w:r>
    </w:p>
    <w:p w14:paraId="3243B3BE" w14:textId="7B648699" w:rsidR="000627EF" w:rsidRPr="00BC0C43" w:rsidRDefault="00703D66" w:rsidP="00BC0C43">
      <w:pPr>
        <w:pStyle w:val="Tickboxes"/>
        <w:ind w:left="0"/>
        <w:rPr>
          <w:rFonts w:ascii="Segoe UI" w:hAnsi="Segoe UI" w:cs="Segoe UI"/>
          <w:sz w:val="18"/>
          <w:szCs w:val="18"/>
        </w:rPr>
      </w:pPr>
      <w:r>
        <w:rPr>
          <w:rFonts w:ascii="Segoe UI" w:hAnsi="Segoe UI" w:cs="Segoe UI"/>
          <w:sz w:val="22"/>
          <w:szCs w:val="22"/>
        </w:rPr>
        <w:fldChar w:fldCharType="begin">
          <w:ffData>
            <w:name w:val=""/>
            <w:enabled/>
            <w:calcOnExit w:val="0"/>
            <w:checkBox>
              <w:sizeAuto/>
              <w:default w:val="0"/>
            </w:checkBox>
          </w:ffData>
        </w:fldChar>
      </w:r>
      <w:r>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Pr>
          <w:rFonts w:ascii="Segoe UI" w:hAnsi="Segoe UI" w:cs="Segoe UI"/>
          <w:sz w:val="22"/>
          <w:szCs w:val="22"/>
        </w:rPr>
        <w:fldChar w:fldCharType="end"/>
      </w:r>
      <w:r w:rsidR="000627EF" w:rsidRPr="00BC0C43">
        <w:rPr>
          <w:rFonts w:ascii="Segoe UI" w:hAnsi="Segoe UI" w:cs="Segoe UI"/>
          <w:sz w:val="22"/>
          <w:szCs w:val="22"/>
        </w:rPr>
        <w:t xml:space="preserve"> Partial </w:t>
      </w:r>
      <w:r w:rsidR="00BC0C43" w:rsidRPr="00BC0C43">
        <w:rPr>
          <w:rFonts w:ascii="Segoe UI" w:hAnsi="Segoe UI" w:cs="Segoe UI"/>
          <w:i/>
          <w:iCs/>
          <w:sz w:val="18"/>
          <w:szCs w:val="18"/>
        </w:rPr>
        <w:t>(in</w:t>
      </w:r>
      <w:r w:rsidR="000627EF" w:rsidRPr="00BC0C43">
        <w:rPr>
          <w:rFonts w:ascii="Segoe UI" w:hAnsi="Segoe UI" w:cs="Segoe UI"/>
          <w:i/>
          <w:iCs/>
          <w:sz w:val="18"/>
          <w:szCs w:val="18"/>
        </w:rPr>
        <w:t xml:space="preserve"> some cases, the proposed technology will replace the use of the comparator, but not in all cases</w:t>
      </w:r>
      <w:r w:rsidR="00BC0C43" w:rsidRPr="00BC0C43">
        <w:rPr>
          <w:rFonts w:ascii="Segoe UI" w:hAnsi="Segoe UI" w:cs="Segoe UI"/>
          <w:i/>
          <w:iCs/>
          <w:sz w:val="18"/>
          <w:szCs w:val="18"/>
        </w:rPr>
        <w:t>)</w:t>
      </w:r>
      <w:r w:rsidR="000627EF" w:rsidRPr="00BC0C43">
        <w:rPr>
          <w:rFonts w:ascii="Segoe UI" w:hAnsi="Segoe UI" w:cs="Segoe UI"/>
          <w:sz w:val="18"/>
          <w:szCs w:val="18"/>
        </w:rPr>
        <w:t xml:space="preserve"> </w:t>
      </w:r>
    </w:p>
    <w:p w14:paraId="32AA0FD6" w14:textId="3CBE39A3" w:rsidR="000627EF" w:rsidRPr="00BC0C43" w:rsidRDefault="000627EF" w:rsidP="00BC0C43">
      <w:pPr>
        <w:pStyle w:val="Tickboxes"/>
        <w:ind w:left="0"/>
        <w:rPr>
          <w:rFonts w:ascii="Segoe UI" w:hAnsi="Segoe UI" w:cs="Segoe UI"/>
          <w:b/>
          <w:i/>
          <w:iCs/>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Full </w:t>
      </w:r>
      <w:r w:rsidR="00BC0C43" w:rsidRPr="00BC0C43">
        <w:rPr>
          <w:rFonts w:ascii="Segoe UI" w:hAnsi="Segoe UI" w:cs="Segoe UI"/>
          <w:i/>
          <w:iCs/>
          <w:sz w:val="18"/>
          <w:szCs w:val="18"/>
        </w:rPr>
        <w:t>(s</w:t>
      </w:r>
      <w:r w:rsidRPr="00BC0C43">
        <w:rPr>
          <w:rFonts w:ascii="Segoe UI" w:hAnsi="Segoe UI" w:cs="Segoe UI"/>
          <w:i/>
          <w:iCs/>
          <w:sz w:val="18"/>
          <w:szCs w:val="18"/>
        </w:rPr>
        <w:t>ubjects who receive the proposed intervention will not receive the comparator</w:t>
      </w:r>
      <w:r w:rsidR="00BC0C43" w:rsidRPr="00BC0C43">
        <w:rPr>
          <w:rFonts w:ascii="Segoe UI" w:hAnsi="Segoe UI" w:cs="Segoe UI"/>
          <w:i/>
          <w:iCs/>
          <w:sz w:val="18"/>
          <w:szCs w:val="18"/>
        </w:rPr>
        <w:t>)</w:t>
      </w:r>
    </w:p>
    <w:p w14:paraId="3D9A6633" w14:textId="68B5F2FC" w:rsidR="000627EF" w:rsidRPr="00BC0C43" w:rsidRDefault="000627EF" w:rsidP="00BC0C43">
      <w:pPr>
        <w:pStyle w:val="Heading2"/>
      </w:pPr>
      <w:r>
        <w:t>Please outline and explain the extent to which the current comparator is expected to be substituted:</w:t>
      </w:r>
    </w:p>
    <w:p w14:paraId="72445E42" w14:textId="45EB69AB" w:rsidR="000627EF" w:rsidRDefault="000222F5" w:rsidP="000222F5">
      <w:pPr>
        <w:jc w:val="both"/>
      </w:pPr>
      <w:r w:rsidRPr="000222F5">
        <w:t>As discussed above, the current MBS items 73303 and 73304 for BRCA</w:t>
      </w:r>
      <w:r w:rsidR="00D52CEF">
        <w:t>1/2</w:t>
      </w:r>
      <w:r w:rsidRPr="000222F5">
        <w:t xml:space="preserve"> mutation testing are not expected to be substituted. BRCA</w:t>
      </w:r>
      <w:r w:rsidR="00D52CEF">
        <w:t xml:space="preserve">1/2 </w:t>
      </w:r>
      <w:r w:rsidRPr="000222F5">
        <w:t xml:space="preserve">mutation testing in </w:t>
      </w:r>
      <w:proofErr w:type="spellStart"/>
      <w:r w:rsidRPr="000222F5">
        <w:t>mCRPC</w:t>
      </w:r>
      <w:proofErr w:type="spellEnd"/>
      <w:r w:rsidRPr="000222F5">
        <w:t xml:space="preserve"> to determine eligibility for PBS-listed </w:t>
      </w:r>
      <w:proofErr w:type="spellStart"/>
      <w:r w:rsidRPr="000222F5">
        <w:t>olaparib</w:t>
      </w:r>
      <w:proofErr w:type="spellEnd"/>
      <w:r w:rsidRPr="000222F5">
        <w:t xml:space="preserve"> is expected to continue to be performed in the future, and the listing of </w:t>
      </w:r>
      <w:proofErr w:type="spellStart"/>
      <w:r w:rsidRPr="000222F5">
        <w:t>talazoparib</w:t>
      </w:r>
      <w:proofErr w:type="spellEnd"/>
      <w:r w:rsidRPr="000222F5">
        <w:t xml:space="preserve"> on the PBS will not alter the utilisation of this service.</w:t>
      </w:r>
    </w:p>
    <w:p w14:paraId="6549A5AD" w14:textId="77777777" w:rsidR="000627EF" w:rsidRDefault="000627EF" w:rsidP="00BC0C43"/>
    <w:p w14:paraId="14825D70" w14:textId="77777777" w:rsidR="0016065A" w:rsidRDefault="0016065A" w:rsidP="00BC0C43"/>
    <w:p w14:paraId="21550A9A" w14:textId="77777777" w:rsidR="000627EF" w:rsidRDefault="000627EF" w:rsidP="00BC0C43">
      <w:r>
        <w:br w:type="page"/>
      </w:r>
    </w:p>
    <w:p w14:paraId="527F0163" w14:textId="2737A668" w:rsidR="0016065A" w:rsidRPr="00BC0C43" w:rsidRDefault="0016065A" w:rsidP="00BC0C43">
      <w:pPr>
        <w:pStyle w:val="Heading1"/>
      </w:pPr>
      <w:r>
        <w:lastRenderedPageBreak/>
        <w:t>Outcome</w:t>
      </w:r>
      <w:r w:rsidR="00770FA6">
        <w:t>s</w:t>
      </w:r>
    </w:p>
    <w:p w14:paraId="3E7AD725" w14:textId="1CF7BD19" w:rsidR="00765B2C" w:rsidRPr="00BC0C43" w:rsidRDefault="00FA6D97" w:rsidP="00BC0C43">
      <w:pPr>
        <w:rPr>
          <w:rFonts w:eastAsia="Segoe UI"/>
          <w:bCs/>
          <w:i/>
          <w:iCs/>
          <w:color w:val="000000"/>
        </w:rPr>
      </w:pPr>
      <w:r w:rsidRPr="00BC0C43">
        <w:rPr>
          <w:i/>
          <w:iCs/>
        </w:rPr>
        <w:t>(Please copy the below questions and complete for each outcome</w:t>
      </w:r>
      <w:r w:rsidRPr="00BC0C43">
        <w:rPr>
          <w:rFonts w:eastAsia="Segoe UI"/>
          <w:bCs/>
          <w:i/>
          <w:iCs/>
          <w:color w:val="000000"/>
        </w:rPr>
        <w:t>)</w:t>
      </w:r>
    </w:p>
    <w:p w14:paraId="7DF00C74" w14:textId="180611DD" w:rsidR="004C02B7" w:rsidRPr="00BC0C43" w:rsidRDefault="004C02B7" w:rsidP="00BC0C43">
      <w:pPr>
        <w:pStyle w:val="Heading2"/>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2BA09AC5" w14:textId="0A733A0C" w:rsidR="004C02B7" w:rsidRPr="00BC0C43" w:rsidRDefault="008712AB"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Pr>
          <w:rFonts w:ascii="Segoe UI" w:hAnsi="Segoe UI" w:cs="Segoe UI"/>
          <w:sz w:val="22"/>
          <w:szCs w:val="22"/>
        </w:rPr>
        <w:fldChar w:fldCharType="end"/>
      </w:r>
      <w:r w:rsidR="00BC0C43" w:rsidRPr="00BC0C43">
        <w:rPr>
          <w:rFonts w:ascii="Segoe UI" w:hAnsi="Segoe UI" w:cs="Segoe UI"/>
          <w:sz w:val="22"/>
          <w:szCs w:val="22"/>
        </w:rPr>
        <w:t xml:space="preserve"> </w:t>
      </w:r>
      <w:r w:rsidR="004C02B7" w:rsidRPr="00BC0C43">
        <w:rPr>
          <w:rFonts w:ascii="Segoe UI" w:hAnsi="Segoe UI" w:cs="Segoe UI"/>
          <w:sz w:val="22"/>
          <w:szCs w:val="22"/>
        </w:rPr>
        <w:t xml:space="preserve">Health benefits </w:t>
      </w:r>
    </w:p>
    <w:p w14:paraId="4B5E35E8" w14:textId="7CEC8961" w:rsidR="004C02B7" w:rsidRPr="00BC0C43" w:rsidRDefault="008712AB"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Pr>
          <w:rFonts w:ascii="Segoe UI" w:hAnsi="Segoe UI" w:cs="Segoe UI"/>
          <w:sz w:val="22"/>
          <w:szCs w:val="22"/>
        </w:rPr>
        <w:fldChar w:fldCharType="end"/>
      </w:r>
      <w:r w:rsidR="004C02B7" w:rsidRPr="00BC0C43">
        <w:rPr>
          <w:rFonts w:ascii="Segoe UI" w:hAnsi="Segoe UI" w:cs="Segoe UI"/>
          <w:sz w:val="22"/>
          <w:szCs w:val="22"/>
        </w:rPr>
        <w:t xml:space="preserve"> Health harms</w:t>
      </w:r>
    </w:p>
    <w:p w14:paraId="7846E3EA" w14:textId="2FF72254" w:rsidR="004C02B7" w:rsidRPr="00BC0C43" w:rsidRDefault="004C02B7"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Resources </w:t>
      </w:r>
    </w:p>
    <w:p w14:paraId="4A3C8161" w14:textId="3093E4D6" w:rsidR="00E00CD3" w:rsidRPr="00BC0C43" w:rsidRDefault="004C02B7" w:rsidP="00BC0C43">
      <w:pPr>
        <w:pStyle w:val="Tickboxes"/>
        <w:ind w:left="0"/>
        <w:rPr>
          <w:rFonts w:ascii="Segoe UI" w:hAnsi="Segoe UI" w:cs="Segoe UI"/>
          <w:b/>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Value of knowing</w:t>
      </w:r>
    </w:p>
    <w:p w14:paraId="36189B68" w14:textId="34BEBBFC" w:rsidR="004C02B7" w:rsidRPr="00BC0C43" w:rsidRDefault="00E00CD3" w:rsidP="00BC0C43">
      <w:pPr>
        <w:pStyle w:val="Heading2"/>
      </w:pPr>
      <w:r>
        <w:t>O</w:t>
      </w:r>
      <w:r w:rsidR="00CB5480">
        <w:t>utcome description</w:t>
      </w:r>
      <w:r>
        <w:t xml:space="preserve"> – please include information about whether a change in patient management, or prognosis, occurs </w:t>
      </w:r>
      <w:proofErr w:type="gramStart"/>
      <w:r>
        <w:t>as a result of</w:t>
      </w:r>
      <w:proofErr w:type="gramEnd"/>
      <w:r>
        <w:t xml:space="preserve"> the test information</w:t>
      </w:r>
      <w:r w:rsidR="004C02B7">
        <w:t>:</w:t>
      </w:r>
    </w:p>
    <w:p w14:paraId="7194BAE5" w14:textId="3255C21C" w:rsidR="004C02B7" w:rsidRDefault="003E5331" w:rsidP="003E5331">
      <w:pPr>
        <w:jc w:val="both"/>
      </w:pPr>
      <w:r>
        <w:t xml:space="preserve">Newly diagnosed </w:t>
      </w:r>
      <w:proofErr w:type="spellStart"/>
      <w:r w:rsidRPr="003E5331">
        <w:t>mCRPC</w:t>
      </w:r>
      <w:proofErr w:type="spellEnd"/>
      <w:r w:rsidRPr="003E5331">
        <w:t xml:space="preserve"> patients who have evidence of BRCA1/2 gene mutations, and who have not received prior </w:t>
      </w:r>
      <w:r>
        <w:t>novel hormonal agent</w:t>
      </w:r>
      <w:r w:rsidRPr="003E5331">
        <w:t xml:space="preserve">, will be eligible to receive the combination therapy of TAL + ENZ. For patients who have progressed on the combination of TAL + ENZ in the first-line setting will not be eligible to receive </w:t>
      </w:r>
      <w:proofErr w:type="spellStart"/>
      <w:r w:rsidRPr="003E5331">
        <w:t>olaparib</w:t>
      </w:r>
      <w:proofErr w:type="spellEnd"/>
      <w:r w:rsidRPr="003E5331">
        <w:t xml:space="preserve"> monotherapy in second or subsequent lines. Further, </w:t>
      </w:r>
      <w:r>
        <w:t xml:space="preserve">prostate cancer </w:t>
      </w:r>
      <w:r w:rsidRPr="003E5331">
        <w:t>patients who are receiving treatment with an NHA (</w:t>
      </w:r>
      <w:proofErr w:type="spellStart"/>
      <w:r w:rsidRPr="003E5331">
        <w:t>darolutamide</w:t>
      </w:r>
      <w:proofErr w:type="spellEnd"/>
      <w:r w:rsidRPr="003E5331">
        <w:t xml:space="preserve">, apalutamide or enzalutamide) for </w:t>
      </w:r>
      <w:proofErr w:type="spellStart"/>
      <w:r w:rsidRPr="003E5331">
        <w:t>mHSPC</w:t>
      </w:r>
      <w:proofErr w:type="spellEnd"/>
      <w:r w:rsidRPr="003E5331">
        <w:t xml:space="preserve"> or </w:t>
      </w:r>
      <w:proofErr w:type="spellStart"/>
      <w:r w:rsidRPr="003E5331">
        <w:t>nmCRPC</w:t>
      </w:r>
      <w:proofErr w:type="spellEnd"/>
      <w:r w:rsidRPr="003E5331">
        <w:t xml:space="preserve"> will not be eligible to receive TAL + ENZ combination therapy if their disease progresses to </w:t>
      </w:r>
      <w:proofErr w:type="spellStart"/>
      <w:r w:rsidRPr="003E5331">
        <w:t>mCRPC</w:t>
      </w:r>
      <w:proofErr w:type="spellEnd"/>
      <w:r w:rsidRPr="003E5331">
        <w:t xml:space="preserve"> (and are BRCA1/2 positive), consistent with the current PBS restriction relating to only one NHA once in a lifetime</w:t>
      </w:r>
      <w:r>
        <w:t>.</w:t>
      </w:r>
    </w:p>
    <w:p w14:paraId="0F33880B" w14:textId="77777777" w:rsidR="00566CF9" w:rsidRDefault="00566CF9" w:rsidP="00BC0C43">
      <w:r>
        <w:br w:type="page"/>
      </w:r>
    </w:p>
    <w:p w14:paraId="51234613" w14:textId="244CDB64" w:rsidR="00566CF9" w:rsidRDefault="00566CF9" w:rsidP="00BC0C43">
      <w:pPr>
        <w:pStyle w:val="Heading1"/>
      </w:pPr>
      <w:r>
        <w:lastRenderedPageBreak/>
        <w:t xml:space="preserve">Proposed MBS </w:t>
      </w:r>
      <w:proofErr w:type="gramStart"/>
      <w:r>
        <w:t>items</w:t>
      </w:r>
      <w:proofErr w:type="gramEnd"/>
    </w:p>
    <w:p w14:paraId="65E4A37C" w14:textId="39325C07" w:rsidR="009C0554" w:rsidRDefault="009C0554" w:rsidP="00BC0C43">
      <w:pPr>
        <w:pStyle w:val="Heading2"/>
      </w:pPr>
      <w:r>
        <w:t>How is the technology/service funded at present? (</w:t>
      </w:r>
      <w:proofErr w:type="gramStart"/>
      <w:r>
        <w:t>for</w:t>
      </w:r>
      <w:proofErr w:type="gramEnd"/>
      <w:r>
        <w:t xml:space="preserve"> example: research funding; State-based funding; self-funded by patients; no funding or payments): </w:t>
      </w:r>
    </w:p>
    <w:p w14:paraId="379BB39E" w14:textId="77777777" w:rsidR="00D52CEF" w:rsidRDefault="003E5331" w:rsidP="002172B1">
      <w:pPr>
        <w:spacing w:before="120"/>
        <w:jc w:val="both"/>
        <w:rPr>
          <w:rFonts w:eastAsia="Segoe UI"/>
          <w:color w:val="000000"/>
        </w:rPr>
      </w:pPr>
      <w:r w:rsidRPr="002172B1">
        <w:rPr>
          <w:rFonts w:eastAsia="Segoe UI"/>
          <w:color w:val="000000"/>
        </w:rPr>
        <w:t xml:space="preserve">MBS funded. </w:t>
      </w:r>
    </w:p>
    <w:p w14:paraId="1C849485" w14:textId="73419FC8" w:rsidR="003E5331" w:rsidRPr="00BC0C43" w:rsidRDefault="003E5331" w:rsidP="002172B1">
      <w:pPr>
        <w:spacing w:before="120"/>
        <w:jc w:val="both"/>
        <w:rPr>
          <w:rFonts w:asciiTheme="minorHAnsi" w:eastAsia="Segoe UI" w:hAnsiTheme="minorHAnsi" w:cstheme="minorHAnsi"/>
          <w:color w:val="000000"/>
        </w:rPr>
      </w:pPr>
      <w:r w:rsidRPr="002172B1">
        <w:rPr>
          <w:rFonts w:eastAsia="Segoe UI"/>
          <w:color w:val="000000"/>
        </w:rPr>
        <w:t>This application seeks an amendment to MBS Item 73303 and MBS item 73304 to add access</w:t>
      </w:r>
      <w:r w:rsidR="002172B1" w:rsidRPr="002172B1">
        <w:rPr>
          <w:rFonts w:eastAsia="Segoe UI"/>
          <w:color w:val="000000"/>
        </w:rPr>
        <w:t xml:space="preserve"> </w:t>
      </w:r>
      <w:r w:rsidRPr="002172B1">
        <w:rPr>
          <w:rFonts w:eastAsia="Segoe UI"/>
          <w:color w:val="000000"/>
        </w:rPr>
        <w:t xml:space="preserve">to </w:t>
      </w:r>
      <w:proofErr w:type="spellStart"/>
      <w:r w:rsidRPr="002172B1">
        <w:rPr>
          <w:rFonts w:eastAsia="Segoe UI"/>
          <w:color w:val="000000"/>
        </w:rPr>
        <w:t>talazoparib</w:t>
      </w:r>
      <w:proofErr w:type="spellEnd"/>
      <w:r w:rsidRPr="002172B1">
        <w:rPr>
          <w:rFonts w:eastAsia="Segoe UI"/>
          <w:color w:val="000000"/>
        </w:rPr>
        <w:t xml:space="preserve"> (a PARP inhibitor) under the Pharmaceutical Benefits Scheme. The change will not result in</w:t>
      </w:r>
      <w:r w:rsidR="002172B1" w:rsidRPr="002172B1">
        <w:rPr>
          <w:rFonts w:eastAsia="Segoe UI"/>
          <w:color w:val="000000"/>
        </w:rPr>
        <w:t xml:space="preserve"> </w:t>
      </w:r>
      <w:r w:rsidRPr="002172B1">
        <w:rPr>
          <w:rFonts w:eastAsia="Segoe UI"/>
          <w:color w:val="000000"/>
        </w:rPr>
        <w:t>a change to testing methodology, the patient population who access testing through the MBS, or to the</w:t>
      </w:r>
      <w:r w:rsidR="002172B1" w:rsidRPr="002172B1">
        <w:rPr>
          <w:rFonts w:eastAsia="Segoe UI"/>
          <w:color w:val="000000"/>
        </w:rPr>
        <w:t xml:space="preserve"> </w:t>
      </w:r>
      <w:r w:rsidRPr="002172B1">
        <w:rPr>
          <w:rFonts w:eastAsia="Segoe UI"/>
          <w:color w:val="000000"/>
        </w:rPr>
        <w:t>MBS fee</w:t>
      </w:r>
      <w:r w:rsidRPr="003E5331">
        <w:rPr>
          <w:rFonts w:asciiTheme="minorHAnsi" w:eastAsia="Segoe UI" w:hAnsiTheme="minorHAnsi" w:cstheme="minorHAnsi"/>
          <w:color w:val="000000"/>
        </w:rPr>
        <w:t>.</w:t>
      </w:r>
    </w:p>
    <w:p w14:paraId="3EA8BF30" w14:textId="3F011F1C" w:rsidR="00566CF9" w:rsidRPr="00BC0C43" w:rsidRDefault="00566CF9" w:rsidP="00BC0C43">
      <w:pPr>
        <w:pStyle w:val="Heading2"/>
      </w:pPr>
      <w:r>
        <w:t xml:space="preserve">Please provide at least one proposed item with their descriptor and associated costs, for each population/Intervention: </w:t>
      </w:r>
      <w:r w:rsidR="0009097A" w:rsidRPr="00566CF9">
        <w:t xml:space="preserve">(please </w:t>
      </w:r>
      <w:r w:rsidR="0009097A">
        <w:t xml:space="preserve">copy the below questions and complete </w:t>
      </w:r>
      <w:r w:rsidR="0009097A" w:rsidRPr="00566CF9">
        <w:t>for each proposed item)</w:t>
      </w:r>
    </w:p>
    <w:p w14:paraId="17C1E836" w14:textId="5001B00A" w:rsidR="00836A15" w:rsidRDefault="00836A15" w:rsidP="00BC0C43"/>
    <w:tbl>
      <w:tblPr>
        <w:tblStyle w:val="TableGrid"/>
        <w:tblW w:w="0" w:type="auto"/>
        <w:tblLook w:val="04A0" w:firstRow="1" w:lastRow="0" w:firstColumn="1" w:lastColumn="0" w:noHBand="0" w:noVBand="1"/>
      </w:tblPr>
      <w:tblGrid>
        <w:gridCol w:w="3256"/>
        <w:gridCol w:w="6209"/>
      </w:tblGrid>
      <w:tr w:rsidR="00A05B4D" w14:paraId="550CA6B5" w14:textId="77777777" w:rsidTr="00A05B4D">
        <w:tc>
          <w:tcPr>
            <w:tcW w:w="3256" w:type="dxa"/>
          </w:tcPr>
          <w:p w14:paraId="392E8065" w14:textId="4B535A9C" w:rsidR="00A05B4D" w:rsidRPr="00A05B4D" w:rsidRDefault="00A05B4D" w:rsidP="00BC0C43">
            <w:bookmarkStart w:id="1" w:name="_Hlk150345631"/>
            <w:bookmarkStart w:id="2" w:name="_Hlk121232719"/>
            <w:r w:rsidRPr="00A05B4D">
              <w:t xml:space="preserve">MBS item number </w:t>
            </w:r>
          </w:p>
        </w:tc>
        <w:tc>
          <w:tcPr>
            <w:tcW w:w="6209" w:type="dxa"/>
          </w:tcPr>
          <w:p w14:paraId="4800781C" w14:textId="49C14270" w:rsidR="002172B1" w:rsidRPr="00A05B4D" w:rsidRDefault="002172B1" w:rsidP="00BC0C43">
            <w:r>
              <w:t>73303</w:t>
            </w:r>
          </w:p>
        </w:tc>
      </w:tr>
      <w:tr w:rsidR="00A05B4D" w14:paraId="28C30EF6" w14:textId="77777777" w:rsidTr="00A05B4D">
        <w:tc>
          <w:tcPr>
            <w:tcW w:w="3256" w:type="dxa"/>
          </w:tcPr>
          <w:p w14:paraId="6164541B" w14:textId="67698528" w:rsidR="00A05B4D" w:rsidRPr="00A05B4D" w:rsidRDefault="00A05B4D" w:rsidP="00BC0C43">
            <w:r w:rsidRPr="00A05B4D">
              <w:t>Category number</w:t>
            </w:r>
          </w:p>
        </w:tc>
        <w:tc>
          <w:tcPr>
            <w:tcW w:w="6209" w:type="dxa"/>
          </w:tcPr>
          <w:p w14:paraId="60FB6E4B" w14:textId="47436845" w:rsidR="00A05B4D" w:rsidRPr="00A05B4D" w:rsidRDefault="002172B1" w:rsidP="00BC0C43">
            <w:r>
              <w:t>6</w:t>
            </w:r>
          </w:p>
        </w:tc>
      </w:tr>
      <w:tr w:rsidR="00A05B4D" w14:paraId="27CB821A" w14:textId="77777777" w:rsidTr="00A05B4D">
        <w:tc>
          <w:tcPr>
            <w:tcW w:w="3256" w:type="dxa"/>
          </w:tcPr>
          <w:p w14:paraId="5E21B36E" w14:textId="39749155" w:rsidR="00A05B4D" w:rsidRPr="00A05B4D" w:rsidRDefault="00A05B4D" w:rsidP="00BC0C43">
            <w:r w:rsidRPr="00A05B4D">
              <w:t>Category description</w:t>
            </w:r>
          </w:p>
        </w:tc>
        <w:tc>
          <w:tcPr>
            <w:tcW w:w="6209" w:type="dxa"/>
          </w:tcPr>
          <w:p w14:paraId="4DED686A" w14:textId="39982198" w:rsidR="00A05B4D" w:rsidRPr="00A05B4D" w:rsidRDefault="002172B1" w:rsidP="00BC0C43">
            <w:r>
              <w:t>PATHOLOGY SERVICES</w:t>
            </w:r>
          </w:p>
        </w:tc>
      </w:tr>
      <w:tr w:rsidR="00A05B4D" w14:paraId="7AF5F341" w14:textId="77777777" w:rsidTr="00A05B4D">
        <w:tc>
          <w:tcPr>
            <w:tcW w:w="3256" w:type="dxa"/>
          </w:tcPr>
          <w:p w14:paraId="454ADFE2" w14:textId="5F0060E6" w:rsidR="00A05B4D" w:rsidRPr="00A05B4D" w:rsidRDefault="00A05B4D" w:rsidP="00BC0C43">
            <w:r w:rsidRPr="00A05B4D">
              <w:t>Proposed item descriptor</w:t>
            </w:r>
          </w:p>
        </w:tc>
        <w:tc>
          <w:tcPr>
            <w:tcW w:w="6209" w:type="dxa"/>
          </w:tcPr>
          <w:p w14:paraId="647BC308" w14:textId="0C77BD34" w:rsidR="00A05B4D" w:rsidRPr="00A05B4D" w:rsidRDefault="00BD38D4" w:rsidP="00BD38D4">
            <w:r>
              <w:t xml:space="preserve">A test of tumour tissue from a patient with metastatic castration-resistant prostate cancer, including subsequent characterisation of germline gene variants should tumour tissue testing undertaken during the same service be inconclusive, requested by a specialist or consultant physician, to determine eligibility relating to BRCA status for access to </w:t>
            </w:r>
            <w:proofErr w:type="spellStart"/>
            <w:r>
              <w:t>olaparib</w:t>
            </w:r>
            <w:proofErr w:type="spellEnd"/>
            <w:r>
              <w:t xml:space="preserve"> </w:t>
            </w:r>
            <w:r w:rsidRPr="00BD38D4">
              <w:rPr>
                <w:b/>
                <w:bCs/>
                <w:i/>
                <w:iCs/>
                <w:u w:val="single"/>
              </w:rPr>
              <w:t xml:space="preserve">or </w:t>
            </w:r>
            <w:proofErr w:type="spellStart"/>
            <w:r w:rsidRPr="00BD38D4">
              <w:rPr>
                <w:b/>
                <w:bCs/>
                <w:i/>
                <w:iCs/>
                <w:u w:val="single"/>
              </w:rPr>
              <w:t>talazoparib</w:t>
            </w:r>
            <w:proofErr w:type="spellEnd"/>
            <w:r>
              <w:t xml:space="preserve"> under the Pharmaceutical Benefits Scheme. Applicable once per primary tumour diagnosis</w:t>
            </w:r>
          </w:p>
        </w:tc>
      </w:tr>
      <w:tr w:rsidR="00A05B4D" w14:paraId="2C0CA02D" w14:textId="77777777" w:rsidTr="00A05B4D">
        <w:tc>
          <w:tcPr>
            <w:tcW w:w="3256" w:type="dxa"/>
          </w:tcPr>
          <w:p w14:paraId="4881ED4A" w14:textId="6F25EF4B" w:rsidR="00A05B4D" w:rsidRPr="00A05B4D" w:rsidRDefault="00A05B4D" w:rsidP="00BC0C43">
            <w:r w:rsidRPr="00A05B4D">
              <w:t>Proposed MBS fee</w:t>
            </w:r>
          </w:p>
        </w:tc>
        <w:tc>
          <w:tcPr>
            <w:tcW w:w="6209" w:type="dxa"/>
          </w:tcPr>
          <w:p w14:paraId="3B790048" w14:textId="2BDC1516" w:rsidR="00A05B4D" w:rsidRPr="00A05B4D" w:rsidRDefault="002172B1" w:rsidP="00BC0C43">
            <w:r>
              <w:t>$1,000</w:t>
            </w:r>
          </w:p>
        </w:tc>
      </w:tr>
      <w:tr w:rsidR="00A05B4D" w14:paraId="0984AD65" w14:textId="77777777" w:rsidTr="00A05B4D">
        <w:tc>
          <w:tcPr>
            <w:tcW w:w="3256" w:type="dxa"/>
          </w:tcPr>
          <w:p w14:paraId="7B69A5E7" w14:textId="0C7AED59" w:rsidR="00A05B4D" w:rsidRPr="00A05B4D" w:rsidRDefault="00A05B4D" w:rsidP="00BC0C43">
            <w:r w:rsidRPr="00A05B4D">
              <w:t>Indicate the overall cost per patient of providing the proposed health technology</w:t>
            </w:r>
          </w:p>
        </w:tc>
        <w:tc>
          <w:tcPr>
            <w:tcW w:w="6209" w:type="dxa"/>
          </w:tcPr>
          <w:p w14:paraId="1F0E7AAB" w14:textId="44251E96" w:rsidR="00A05B4D" w:rsidRPr="00A05B4D" w:rsidRDefault="00BD38D4" w:rsidP="00BC0C43">
            <w:r>
              <w:t>$1,000</w:t>
            </w:r>
          </w:p>
        </w:tc>
      </w:tr>
      <w:tr w:rsidR="00A05B4D" w14:paraId="273F94AE" w14:textId="77777777" w:rsidTr="00A05B4D">
        <w:tc>
          <w:tcPr>
            <w:tcW w:w="3256" w:type="dxa"/>
          </w:tcPr>
          <w:p w14:paraId="41FCA2CE" w14:textId="1F2EB5A8" w:rsidR="00A05B4D" w:rsidRPr="00A05B4D" w:rsidRDefault="00A05B4D" w:rsidP="00BC0C43">
            <w:r w:rsidRPr="00A05B4D">
              <w:t>Please specify any anticipated out of pocket expenses</w:t>
            </w:r>
          </w:p>
        </w:tc>
        <w:tc>
          <w:tcPr>
            <w:tcW w:w="6209" w:type="dxa"/>
          </w:tcPr>
          <w:p w14:paraId="13FE8BA2" w14:textId="4EFD65EC" w:rsidR="00A05B4D" w:rsidRDefault="00BD38D4" w:rsidP="00BC0C43">
            <w:pPr>
              <w:rPr>
                <w:rFonts w:eastAsia="Segoe UI"/>
                <w:bCs/>
                <w:color w:val="000000"/>
              </w:rPr>
            </w:pPr>
            <w:r>
              <w:t>$250</w:t>
            </w:r>
          </w:p>
        </w:tc>
      </w:tr>
      <w:tr w:rsidR="00A05B4D" w14:paraId="553E9440" w14:textId="77777777" w:rsidTr="00A05B4D">
        <w:tc>
          <w:tcPr>
            <w:tcW w:w="3256" w:type="dxa"/>
          </w:tcPr>
          <w:p w14:paraId="4D378DFC" w14:textId="4C67A6B8" w:rsidR="00A05B4D" w:rsidRPr="00A05B4D" w:rsidRDefault="00A05B4D" w:rsidP="00BC0C43">
            <w:r w:rsidRPr="00A05B4D">
              <w:t>Provide any further details and explain</w:t>
            </w:r>
          </w:p>
        </w:tc>
        <w:tc>
          <w:tcPr>
            <w:tcW w:w="6209" w:type="dxa"/>
          </w:tcPr>
          <w:p w14:paraId="2C21C961" w14:textId="77777777" w:rsidR="00BD38D4" w:rsidRDefault="00BD38D4" w:rsidP="00BC0C43">
            <w:r w:rsidRPr="00BD38D4">
              <w:t>Applicable once per lifetime</w:t>
            </w:r>
          </w:p>
          <w:p w14:paraId="674ECDEB" w14:textId="60AB712E" w:rsidR="00A05B4D" w:rsidRDefault="00BD38D4" w:rsidP="00BC0C43">
            <w:pPr>
              <w:rPr>
                <w:rFonts w:eastAsia="Segoe UI"/>
                <w:bCs/>
                <w:color w:val="000000"/>
              </w:rPr>
            </w:pPr>
            <w:r w:rsidRPr="00BD38D4">
              <w:t>Proposed additions are italicised in table. The change will not result in a change to testing methodology, the patient population who access testing through the MBS, or to the MBS fee</w:t>
            </w:r>
          </w:p>
        </w:tc>
      </w:tr>
      <w:bookmarkEnd w:id="1"/>
    </w:tbl>
    <w:p w14:paraId="6BCB3F21" w14:textId="6F41CA79" w:rsidR="00A05B4D" w:rsidRDefault="00A05B4D" w:rsidP="00BC0C43"/>
    <w:bookmarkEnd w:id="2"/>
    <w:p w14:paraId="2A9E3CB7" w14:textId="77777777" w:rsidR="00AF600C" w:rsidRDefault="00AF600C">
      <w:r>
        <w:br w:type="page"/>
      </w:r>
    </w:p>
    <w:tbl>
      <w:tblPr>
        <w:tblStyle w:val="TableGrid"/>
        <w:tblW w:w="0" w:type="auto"/>
        <w:tblLook w:val="04A0" w:firstRow="1" w:lastRow="0" w:firstColumn="1" w:lastColumn="0" w:noHBand="0" w:noVBand="1"/>
      </w:tblPr>
      <w:tblGrid>
        <w:gridCol w:w="3256"/>
        <w:gridCol w:w="6209"/>
      </w:tblGrid>
      <w:tr w:rsidR="00BD38D4" w14:paraId="3935CB3F" w14:textId="77777777" w:rsidTr="00462B4B">
        <w:tc>
          <w:tcPr>
            <w:tcW w:w="3256" w:type="dxa"/>
          </w:tcPr>
          <w:p w14:paraId="1B2AB916" w14:textId="7AD39D11" w:rsidR="00BD38D4" w:rsidRPr="00A05B4D" w:rsidRDefault="00BD38D4" w:rsidP="00462B4B">
            <w:r w:rsidRPr="00A05B4D">
              <w:lastRenderedPageBreak/>
              <w:t xml:space="preserve">MBS item number </w:t>
            </w:r>
          </w:p>
        </w:tc>
        <w:tc>
          <w:tcPr>
            <w:tcW w:w="6209" w:type="dxa"/>
          </w:tcPr>
          <w:p w14:paraId="510B4A7F" w14:textId="168FCA00" w:rsidR="00BD38D4" w:rsidRPr="00A05B4D" w:rsidRDefault="00BD38D4" w:rsidP="00462B4B">
            <w:r>
              <w:t>73304</w:t>
            </w:r>
          </w:p>
        </w:tc>
      </w:tr>
      <w:tr w:rsidR="00BD38D4" w14:paraId="744DC326" w14:textId="77777777" w:rsidTr="00462B4B">
        <w:tc>
          <w:tcPr>
            <w:tcW w:w="3256" w:type="dxa"/>
          </w:tcPr>
          <w:p w14:paraId="5FC2F2F2" w14:textId="77777777" w:rsidR="00BD38D4" w:rsidRPr="00A05B4D" w:rsidRDefault="00BD38D4" w:rsidP="00462B4B">
            <w:r w:rsidRPr="00A05B4D">
              <w:t>Category number</w:t>
            </w:r>
          </w:p>
        </w:tc>
        <w:tc>
          <w:tcPr>
            <w:tcW w:w="6209" w:type="dxa"/>
          </w:tcPr>
          <w:p w14:paraId="54EF1D8E" w14:textId="77777777" w:rsidR="00BD38D4" w:rsidRPr="00A05B4D" w:rsidRDefault="00BD38D4" w:rsidP="00462B4B">
            <w:r>
              <w:t>6</w:t>
            </w:r>
          </w:p>
        </w:tc>
      </w:tr>
      <w:tr w:rsidR="00BD38D4" w14:paraId="1D0D1AA5" w14:textId="77777777" w:rsidTr="00462B4B">
        <w:tc>
          <w:tcPr>
            <w:tcW w:w="3256" w:type="dxa"/>
          </w:tcPr>
          <w:p w14:paraId="66447E97" w14:textId="77777777" w:rsidR="00BD38D4" w:rsidRPr="00A05B4D" w:rsidRDefault="00BD38D4" w:rsidP="00462B4B">
            <w:r w:rsidRPr="00A05B4D">
              <w:t>Category description</w:t>
            </w:r>
          </w:p>
        </w:tc>
        <w:tc>
          <w:tcPr>
            <w:tcW w:w="6209" w:type="dxa"/>
          </w:tcPr>
          <w:p w14:paraId="6CB9555F" w14:textId="77777777" w:rsidR="00BD38D4" w:rsidRPr="00A05B4D" w:rsidRDefault="00BD38D4" w:rsidP="00462B4B">
            <w:r>
              <w:t>PATHOLOGY SERVICES</w:t>
            </w:r>
          </w:p>
        </w:tc>
      </w:tr>
      <w:tr w:rsidR="00BD38D4" w14:paraId="6355E4E1" w14:textId="77777777" w:rsidTr="00462B4B">
        <w:tc>
          <w:tcPr>
            <w:tcW w:w="3256" w:type="dxa"/>
          </w:tcPr>
          <w:p w14:paraId="1AC3EC9B" w14:textId="77777777" w:rsidR="00BD38D4" w:rsidRPr="00A05B4D" w:rsidRDefault="00BD38D4" w:rsidP="00462B4B">
            <w:r w:rsidRPr="00A05B4D">
              <w:t>Proposed item descriptor</w:t>
            </w:r>
          </w:p>
        </w:tc>
        <w:tc>
          <w:tcPr>
            <w:tcW w:w="6209" w:type="dxa"/>
          </w:tcPr>
          <w:p w14:paraId="48CC5E99" w14:textId="7CF8FAD3" w:rsidR="00BD38D4" w:rsidRPr="00A05B4D" w:rsidRDefault="00BD38D4" w:rsidP="00462B4B">
            <w:r w:rsidRPr="00BD38D4">
              <w:t xml:space="preserve">Detection of germline BRCA1 or BRCA2 pathogenic or likely pathogenic gene variants, in a patient with metastatic castration‑resistant prostate cancer, for whom testing of tumour tissue is not clinically feasible, requested by a specialist or consultant physician, to determine eligibility for </w:t>
            </w:r>
            <w:proofErr w:type="spellStart"/>
            <w:r w:rsidRPr="00BD38D4">
              <w:t>olaparib</w:t>
            </w:r>
            <w:proofErr w:type="spellEnd"/>
            <w:r w:rsidRPr="00BD38D4">
              <w:t xml:space="preserve"> </w:t>
            </w:r>
            <w:r w:rsidRPr="007A638E">
              <w:rPr>
                <w:b/>
                <w:bCs/>
                <w:i/>
                <w:iCs/>
                <w:u w:val="single"/>
              </w:rPr>
              <w:t xml:space="preserve">or </w:t>
            </w:r>
            <w:proofErr w:type="spellStart"/>
            <w:r w:rsidRPr="007A638E">
              <w:rPr>
                <w:b/>
                <w:bCs/>
                <w:i/>
                <w:iCs/>
                <w:u w:val="single"/>
              </w:rPr>
              <w:t>talazoparib</w:t>
            </w:r>
            <w:proofErr w:type="spellEnd"/>
            <w:r w:rsidRPr="00BD38D4">
              <w:t xml:space="preserve"> under the Pharmaceutical Benefits Scheme.</w:t>
            </w:r>
          </w:p>
        </w:tc>
      </w:tr>
      <w:tr w:rsidR="00BD38D4" w14:paraId="6ED0842D" w14:textId="77777777" w:rsidTr="00462B4B">
        <w:tc>
          <w:tcPr>
            <w:tcW w:w="3256" w:type="dxa"/>
          </w:tcPr>
          <w:p w14:paraId="713A7FA6" w14:textId="77777777" w:rsidR="00BD38D4" w:rsidRPr="00A05B4D" w:rsidRDefault="00BD38D4" w:rsidP="00462B4B">
            <w:r w:rsidRPr="00A05B4D">
              <w:t>Proposed MBS fee</w:t>
            </w:r>
          </w:p>
        </w:tc>
        <w:tc>
          <w:tcPr>
            <w:tcW w:w="6209" w:type="dxa"/>
          </w:tcPr>
          <w:p w14:paraId="6C40036E" w14:textId="77777777" w:rsidR="00BD38D4" w:rsidRPr="00A05B4D" w:rsidRDefault="00BD38D4" w:rsidP="00462B4B">
            <w:r>
              <w:t>$1,000</w:t>
            </w:r>
          </w:p>
        </w:tc>
      </w:tr>
      <w:tr w:rsidR="00BD38D4" w14:paraId="11818CA2" w14:textId="77777777" w:rsidTr="00462B4B">
        <w:tc>
          <w:tcPr>
            <w:tcW w:w="3256" w:type="dxa"/>
          </w:tcPr>
          <w:p w14:paraId="506B9DDE" w14:textId="77777777" w:rsidR="00BD38D4" w:rsidRPr="00A05B4D" w:rsidRDefault="00BD38D4" w:rsidP="00462B4B">
            <w:r w:rsidRPr="00A05B4D">
              <w:t>Indicate the overall cost per patient of providing the proposed health technology</w:t>
            </w:r>
          </w:p>
        </w:tc>
        <w:tc>
          <w:tcPr>
            <w:tcW w:w="6209" w:type="dxa"/>
          </w:tcPr>
          <w:p w14:paraId="4B9440AA" w14:textId="383A6A1E" w:rsidR="00BD38D4" w:rsidRPr="00A05B4D" w:rsidRDefault="00BD38D4" w:rsidP="00462B4B">
            <w:r>
              <w:t>$1,000</w:t>
            </w:r>
          </w:p>
        </w:tc>
      </w:tr>
      <w:tr w:rsidR="00BD38D4" w14:paraId="096682BC" w14:textId="77777777" w:rsidTr="00462B4B">
        <w:tc>
          <w:tcPr>
            <w:tcW w:w="3256" w:type="dxa"/>
          </w:tcPr>
          <w:p w14:paraId="31FCD248" w14:textId="77777777" w:rsidR="00BD38D4" w:rsidRPr="00A05B4D" w:rsidRDefault="00BD38D4" w:rsidP="00462B4B">
            <w:r w:rsidRPr="00A05B4D">
              <w:t>Please specify any anticipated out of pocket expenses</w:t>
            </w:r>
          </w:p>
        </w:tc>
        <w:tc>
          <w:tcPr>
            <w:tcW w:w="6209" w:type="dxa"/>
          </w:tcPr>
          <w:p w14:paraId="4B1BED2C" w14:textId="18731624" w:rsidR="00BD38D4" w:rsidRDefault="00BD38D4" w:rsidP="00462B4B">
            <w:pPr>
              <w:rPr>
                <w:rFonts w:eastAsia="Segoe UI"/>
                <w:bCs/>
                <w:color w:val="000000"/>
              </w:rPr>
            </w:pPr>
            <w:r>
              <w:t>$250</w:t>
            </w:r>
          </w:p>
        </w:tc>
      </w:tr>
      <w:tr w:rsidR="00BD38D4" w14:paraId="0D59F3D3" w14:textId="77777777" w:rsidTr="00462B4B">
        <w:tc>
          <w:tcPr>
            <w:tcW w:w="3256" w:type="dxa"/>
          </w:tcPr>
          <w:p w14:paraId="3CB2204B" w14:textId="77777777" w:rsidR="00BD38D4" w:rsidRPr="00A05B4D" w:rsidRDefault="00BD38D4" w:rsidP="00462B4B">
            <w:r w:rsidRPr="00A05B4D">
              <w:t>Provide any further details and explain</w:t>
            </w:r>
          </w:p>
        </w:tc>
        <w:tc>
          <w:tcPr>
            <w:tcW w:w="6209" w:type="dxa"/>
          </w:tcPr>
          <w:p w14:paraId="0DBA2B99" w14:textId="77777777" w:rsidR="00BD38D4" w:rsidRDefault="00BD38D4" w:rsidP="00462B4B">
            <w:r w:rsidRPr="00BD38D4">
              <w:t>Applicable once per lifetime</w:t>
            </w:r>
          </w:p>
          <w:p w14:paraId="188DA75A" w14:textId="06870AC2" w:rsidR="00BD38D4" w:rsidRDefault="00BD38D4" w:rsidP="00462B4B">
            <w:pPr>
              <w:rPr>
                <w:rFonts w:eastAsia="Segoe UI"/>
                <w:bCs/>
                <w:color w:val="000000"/>
              </w:rPr>
            </w:pPr>
            <w:r w:rsidRPr="00BD38D4">
              <w:t>Proposed additions are italicised in table. The change will not result in a change to testing methodology, the patient population who access testing through the MBS, or to the MBS fee</w:t>
            </w:r>
            <w:r w:rsidR="007A638E">
              <w:t>.</w:t>
            </w:r>
          </w:p>
        </w:tc>
      </w:tr>
    </w:tbl>
    <w:p w14:paraId="2B0168A0" w14:textId="77777777" w:rsidR="00566CF9" w:rsidRDefault="00566CF9" w:rsidP="00BC0C43"/>
    <w:p w14:paraId="6F0CDD95" w14:textId="6AD770DD" w:rsidR="00FE257E" w:rsidRDefault="00FE257E" w:rsidP="00BC0C43">
      <w:r>
        <w:br w:type="page"/>
      </w:r>
    </w:p>
    <w:p w14:paraId="321449D0" w14:textId="53188756" w:rsidR="005E1CFB" w:rsidRDefault="0090168B" w:rsidP="00BC0C43">
      <w:pPr>
        <w:pStyle w:val="Heading1"/>
      </w:pPr>
      <w:r>
        <w:lastRenderedPageBreak/>
        <w:t>Algorithms</w:t>
      </w:r>
    </w:p>
    <w:p w14:paraId="7EDD3EB5" w14:textId="0FB2261E" w:rsidR="0090168B" w:rsidRPr="00BC0C43" w:rsidRDefault="0090168B" w:rsidP="00BC0C43">
      <w:pPr>
        <w:pStyle w:val="Heading2"/>
        <w:rPr>
          <w:u w:val="single"/>
        </w:rPr>
      </w:pPr>
      <w:r w:rsidRPr="00BC0C43">
        <w:rPr>
          <w:u w:val="single"/>
        </w:rPr>
        <w:t xml:space="preserve">Preparation for using the health </w:t>
      </w:r>
      <w:proofErr w:type="gramStart"/>
      <w:r w:rsidRPr="00BC0C43">
        <w:rPr>
          <w:u w:val="single"/>
        </w:rPr>
        <w:t>technology</w:t>
      </w:r>
      <w:proofErr w:type="gramEnd"/>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02942F52" w:rsidR="005E1CFB" w:rsidRDefault="007A638E" w:rsidP="007A638E">
      <w:pPr>
        <w:jc w:val="both"/>
      </w:pPr>
      <w:r w:rsidRPr="007A638E">
        <w:t xml:space="preserve">In Australia, enzalutamide and abiraterone (as monotherapy) are the standard of care for 1L </w:t>
      </w:r>
      <w:proofErr w:type="spellStart"/>
      <w:r w:rsidRPr="007A638E">
        <w:t>mCRPC</w:t>
      </w:r>
      <w:proofErr w:type="spellEnd"/>
      <w:r w:rsidRPr="007A638E">
        <w:t xml:space="preserve">. A small proportion (&lt;10%) of </w:t>
      </w:r>
      <w:proofErr w:type="spellStart"/>
      <w:r w:rsidRPr="007A638E">
        <w:t>mCRPC</w:t>
      </w:r>
      <w:proofErr w:type="spellEnd"/>
      <w:r w:rsidRPr="007A638E">
        <w:t xml:space="preserve"> patients may receive docetaxel initially to slow the growth of cancer cells before initiating therapy with novel hormonal agent (NHA), however, docetaxel’s main place in the treatment algorithm is post-progression on an NHA. In the </w:t>
      </w:r>
      <w:proofErr w:type="gramStart"/>
      <w:r w:rsidRPr="007A638E">
        <w:t>second-line</w:t>
      </w:r>
      <w:proofErr w:type="gramEnd"/>
      <w:r w:rsidRPr="007A638E">
        <w:t xml:space="preserve"> setting, </w:t>
      </w:r>
      <w:proofErr w:type="spellStart"/>
      <w:r w:rsidRPr="007A638E">
        <w:t>olaparib</w:t>
      </w:r>
      <w:proofErr w:type="spellEnd"/>
      <w:r w:rsidRPr="007A638E">
        <w:t xml:space="preserve"> is listed on the PBS as a monotherapy for patients with BRCA1/2 gene mutations following progression on NHA in first line (</w:t>
      </w:r>
      <w:proofErr w:type="spellStart"/>
      <w:r w:rsidRPr="007A638E">
        <w:t>mCRPC</w:t>
      </w:r>
      <w:proofErr w:type="spellEnd"/>
      <w:r w:rsidRPr="007A638E">
        <w:t>, non-metastatic CRPC or metastatic hormone sensitive prostate cancer [</w:t>
      </w:r>
      <w:proofErr w:type="spellStart"/>
      <w:r w:rsidRPr="007A638E">
        <w:t>mHSPC</w:t>
      </w:r>
      <w:proofErr w:type="spellEnd"/>
      <w:r w:rsidRPr="007A638E">
        <w:t xml:space="preserve">]). For patients who do not have BRCA1/2 gene mutations, docetaxel remains the preferred treatment option post progression on NHA. </w:t>
      </w:r>
      <w:proofErr w:type="spellStart"/>
      <w:r w:rsidRPr="007A638E">
        <w:t>Cabazitaxel</w:t>
      </w:r>
      <w:proofErr w:type="spellEnd"/>
      <w:r w:rsidRPr="007A638E">
        <w:t xml:space="preserve"> is the recommended treatment of </w:t>
      </w:r>
      <w:proofErr w:type="spellStart"/>
      <w:r w:rsidRPr="007A638E">
        <w:t>mCRPC</w:t>
      </w:r>
      <w:proofErr w:type="spellEnd"/>
      <w:r w:rsidRPr="007A638E">
        <w:t xml:space="preserve"> after docetaxel failure. Figure 1 </w:t>
      </w:r>
      <w:r w:rsidR="00B67171">
        <w:t xml:space="preserve">below </w:t>
      </w:r>
      <w:r w:rsidRPr="007A638E">
        <w:t xml:space="preserve">presents the current treatment algorithm for </w:t>
      </w:r>
      <w:proofErr w:type="spellStart"/>
      <w:r w:rsidRPr="007A638E">
        <w:t>mCRPC</w:t>
      </w:r>
      <w:proofErr w:type="spellEnd"/>
      <w:r w:rsidRPr="007A638E">
        <w:t xml:space="preserve"> in the Australian setting. The treatment algorithm also accounts for patients who are treated with NHAs (</w:t>
      </w:r>
      <w:proofErr w:type="spellStart"/>
      <w:r w:rsidRPr="007A638E">
        <w:t>darolutamide</w:t>
      </w:r>
      <w:proofErr w:type="spellEnd"/>
      <w:r w:rsidRPr="007A638E">
        <w:t xml:space="preserve">, apalutamide or enzalutamide) in the </w:t>
      </w:r>
      <w:proofErr w:type="spellStart"/>
      <w:r w:rsidRPr="007A638E">
        <w:t>nmCRPC</w:t>
      </w:r>
      <w:proofErr w:type="spellEnd"/>
      <w:r w:rsidRPr="007A638E">
        <w:t xml:space="preserve"> and </w:t>
      </w:r>
      <w:proofErr w:type="spellStart"/>
      <w:r w:rsidRPr="007A638E">
        <w:t>mHSPC</w:t>
      </w:r>
      <w:proofErr w:type="spellEnd"/>
      <w:r w:rsidRPr="007A638E">
        <w:t xml:space="preserve"> settings</w:t>
      </w:r>
      <w:r>
        <w:t>.</w:t>
      </w:r>
    </w:p>
    <w:p w14:paraId="210662FA" w14:textId="77777777" w:rsidR="007A638E" w:rsidRPr="00BC0C43" w:rsidRDefault="007A638E" w:rsidP="007A638E">
      <w:pPr>
        <w:jc w:val="both"/>
        <w:rPr>
          <w:rFonts w:asciiTheme="minorHAnsi" w:eastAsia="Segoe UI" w:hAnsiTheme="minorHAnsi" w:cstheme="minorHAnsi"/>
          <w:color w:val="000000"/>
        </w:rPr>
      </w:pPr>
    </w:p>
    <w:p w14:paraId="4131E93D" w14:textId="44D9E7B5"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76386BCE" w14:textId="6BBB2B0A" w:rsidR="00A21204" w:rsidRDefault="00AF600C" w:rsidP="00BC0C43">
      <w:r>
        <w:t>No.</w:t>
      </w:r>
    </w:p>
    <w:p w14:paraId="1546906F" w14:textId="41CD6171" w:rsidR="005E1CFB" w:rsidRDefault="00A21204" w:rsidP="00BC0C43">
      <w:r>
        <w:t xml:space="preserve">BRCA1/2 mutation testing in </w:t>
      </w:r>
      <w:proofErr w:type="spellStart"/>
      <w:r>
        <w:t>mCRPC</w:t>
      </w:r>
      <w:proofErr w:type="spellEnd"/>
      <w:r>
        <w:t xml:space="preserve"> is not expected to change </w:t>
      </w:r>
      <w:proofErr w:type="gramStart"/>
      <w:r>
        <w:t>as a result of</w:t>
      </w:r>
      <w:proofErr w:type="gramEnd"/>
      <w:r>
        <w:t xml:space="preserve"> </w:t>
      </w:r>
      <w:proofErr w:type="spellStart"/>
      <w:r>
        <w:t>talazoparib</w:t>
      </w:r>
      <w:proofErr w:type="spellEnd"/>
      <w:r>
        <w:t xml:space="preserve"> listing on the PBS, because it is required to access to </w:t>
      </w:r>
      <w:proofErr w:type="spellStart"/>
      <w:r>
        <w:t>olaparib</w:t>
      </w:r>
      <w:proofErr w:type="spellEnd"/>
      <w:r>
        <w:t xml:space="preserve"> monotherapy on the PBS.</w:t>
      </w:r>
    </w:p>
    <w:p w14:paraId="0EA69E70" w14:textId="2F8BA449" w:rsidR="005E1CFB" w:rsidRPr="00BC0C43" w:rsidRDefault="0090168B" w:rsidP="00BC0C43">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3EED6D2C" w14:textId="688F2B9B" w:rsidR="007A638E" w:rsidRPr="00BC0C43" w:rsidRDefault="0055224E" w:rsidP="009572CD">
      <w:r>
        <w:t>N/A</w:t>
      </w:r>
    </w:p>
    <w:p w14:paraId="2AEB8C28" w14:textId="42D1C856" w:rsidR="00F16239" w:rsidRPr="00BC0C43" w:rsidRDefault="00F16239" w:rsidP="00BC0C43">
      <w:pPr>
        <w:pStyle w:val="Heading2"/>
        <w:rPr>
          <w:u w:val="single"/>
        </w:rPr>
      </w:pPr>
      <w:r w:rsidRPr="00BC0C43">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0579DC4D" w:rsidR="0090168B" w:rsidRPr="00BC0C43" w:rsidRDefault="00B67171" w:rsidP="00BC0C43">
      <w:pPr>
        <w:rPr>
          <w:rFonts w:asciiTheme="minorHAnsi" w:eastAsia="Segoe UI" w:hAnsiTheme="minorHAnsi" w:cstheme="minorHAnsi"/>
          <w:color w:val="000000"/>
        </w:rPr>
      </w:pPr>
      <w:r>
        <w:t xml:space="preserve">Same healthcare resources as per BRCA1/2 testing performed to access PBS-listed </w:t>
      </w:r>
      <w:proofErr w:type="spellStart"/>
      <w:r>
        <w:t>olaparib</w:t>
      </w:r>
      <w:proofErr w:type="spellEnd"/>
      <w:r>
        <w:t>.</w:t>
      </w:r>
    </w:p>
    <w:p w14:paraId="38D2ADE7" w14:textId="00333F26" w:rsidR="0090168B" w:rsidRPr="00BC0C43"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4151B2DB" w14:textId="593E3443" w:rsidR="0090168B" w:rsidRPr="00BC0C43" w:rsidRDefault="0055224E" w:rsidP="00BC0C43">
      <w:pPr>
        <w:rPr>
          <w:rFonts w:asciiTheme="minorHAnsi" w:eastAsia="Segoe UI" w:hAnsiTheme="minorHAnsi" w:cstheme="minorHAnsi"/>
          <w:color w:val="000000"/>
        </w:rPr>
      </w:pPr>
      <w:r>
        <w:t>N/A</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161BEF1B" w14:textId="47215224" w:rsidR="00F16239" w:rsidRPr="00BE6B22" w:rsidRDefault="0055224E" w:rsidP="00BC0C43">
      <w:pPr>
        <w:rPr>
          <w:rFonts w:asciiTheme="minorHAnsi" w:eastAsia="Segoe UI" w:hAnsiTheme="minorHAnsi" w:cstheme="minorHAnsi"/>
          <w:color w:val="000000"/>
        </w:rPr>
      </w:pPr>
      <w:r>
        <w:t>N/A</w:t>
      </w:r>
    </w:p>
    <w:p w14:paraId="6B643E83" w14:textId="77777777" w:rsidR="00AF600C" w:rsidRDefault="00AF600C">
      <w:pPr>
        <w:spacing w:after="160" w:line="259" w:lineRule="auto"/>
        <w:rPr>
          <w:b/>
          <w:bCs/>
          <w:u w:val="single"/>
        </w:rPr>
      </w:pPr>
      <w:r>
        <w:rPr>
          <w:u w:val="single"/>
        </w:rPr>
        <w:br w:type="page"/>
      </w:r>
    </w:p>
    <w:p w14:paraId="2BE17ED5" w14:textId="066F001E" w:rsidR="00F16239" w:rsidRPr="00BF4BAA" w:rsidRDefault="00DD0A06" w:rsidP="00BF4BAA">
      <w:pPr>
        <w:pStyle w:val="Heading2"/>
        <w:rPr>
          <w:u w:val="single"/>
        </w:rPr>
      </w:pPr>
      <w:r w:rsidRPr="00BC0C43">
        <w:rPr>
          <w:u w:val="single"/>
        </w:rPr>
        <w:lastRenderedPageBreak/>
        <w:t>Clinical management after the use of</w:t>
      </w:r>
      <w:r w:rsidR="00F16239" w:rsidRPr="00BC0C43">
        <w:rPr>
          <w:u w:val="single"/>
        </w:rPr>
        <w:t xml:space="preserve"> health technology</w:t>
      </w:r>
    </w:p>
    <w:p w14:paraId="3017C87B" w14:textId="631F5EC6" w:rsidR="00F16239" w:rsidRPr="00BC0C43" w:rsidRDefault="00F16239" w:rsidP="00BC0C43">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517F22E9" w14:textId="77777777" w:rsidR="00A21204" w:rsidRPr="00A21204" w:rsidRDefault="00A21204" w:rsidP="00AF600C">
      <w:pPr>
        <w:rPr>
          <w:b/>
          <w:bCs/>
        </w:rPr>
      </w:pPr>
      <w:r w:rsidRPr="00A21204">
        <w:t xml:space="preserve">The proposed treatment algorithm is presented in Figure 2 and shows the place of TAL + ENZ if listed on the PBS. Patients diagnosed with </w:t>
      </w:r>
      <w:proofErr w:type="spellStart"/>
      <w:r w:rsidRPr="00A21204">
        <w:t>mCRPC</w:t>
      </w:r>
      <w:proofErr w:type="spellEnd"/>
      <w:r w:rsidRPr="00A21204">
        <w:t xml:space="preserve"> and without a BRCA1/2 gene mutation will continue to be treated as per current treatment algorithm shown in Figure 1. Those </w:t>
      </w:r>
      <w:proofErr w:type="spellStart"/>
      <w:r w:rsidRPr="00A21204">
        <w:t>mCRPC</w:t>
      </w:r>
      <w:proofErr w:type="spellEnd"/>
      <w:r w:rsidRPr="00A21204">
        <w:t xml:space="preserve"> patients who have evidence of BRCA1/2 gene mutations, and who have not received prior NHA, will be eligible to receive the combination therapy of TAL + ENZ. For patients who have progressed on the combination of TAL + ENZ in the first-line setting will not be eligible to receive </w:t>
      </w:r>
      <w:proofErr w:type="spellStart"/>
      <w:r w:rsidRPr="00A21204">
        <w:t>olaparib</w:t>
      </w:r>
      <w:proofErr w:type="spellEnd"/>
      <w:r w:rsidRPr="00A21204">
        <w:t xml:space="preserve"> monotherapy in second or subsequent lines. Further, prevalent patients who are receiving treatment with an NHA (</w:t>
      </w:r>
      <w:proofErr w:type="spellStart"/>
      <w:r w:rsidRPr="00A21204">
        <w:t>darolutamide</w:t>
      </w:r>
      <w:proofErr w:type="spellEnd"/>
      <w:r w:rsidRPr="00A21204">
        <w:t xml:space="preserve">, apalutamide or enzalutamide) for </w:t>
      </w:r>
      <w:proofErr w:type="spellStart"/>
      <w:r w:rsidRPr="00A21204">
        <w:t>mHSPC</w:t>
      </w:r>
      <w:proofErr w:type="spellEnd"/>
      <w:r w:rsidRPr="00A21204">
        <w:t xml:space="preserve"> or </w:t>
      </w:r>
      <w:proofErr w:type="spellStart"/>
      <w:r w:rsidRPr="00A21204">
        <w:t>nmCRPC</w:t>
      </w:r>
      <w:proofErr w:type="spellEnd"/>
      <w:r w:rsidRPr="00A21204">
        <w:t xml:space="preserve"> will not be eligible to receive TAL + ENZ combination therapy if their disease progresses to </w:t>
      </w:r>
      <w:proofErr w:type="spellStart"/>
      <w:r w:rsidRPr="00A21204">
        <w:t>mCRPC</w:t>
      </w:r>
      <w:proofErr w:type="spellEnd"/>
      <w:r w:rsidRPr="00A21204">
        <w:t xml:space="preserve"> (and are BRCA1/2 positive), consistent with the current PBS restriction relating to only one NHA once in a lifetime.</w:t>
      </w:r>
    </w:p>
    <w:p w14:paraId="09165252" w14:textId="5726F058" w:rsidR="00F16239" w:rsidRPr="00A21204" w:rsidRDefault="00F16239" w:rsidP="00BC0C43">
      <w:pPr>
        <w:pStyle w:val="Heading2"/>
        <w:rPr>
          <w:b w:val="0"/>
          <w:bCs w:val="0"/>
        </w:rPr>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7261FD8A" w14:textId="4C759C70" w:rsidR="00F16239" w:rsidRPr="00BC0C43" w:rsidRDefault="00844922" w:rsidP="00BC0C43">
      <w:pPr>
        <w:rPr>
          <w:rFonts w:asciiTheme="minorHAnsi" w:eastAsia="Segoe UI" w:hAnsiTheme="minorHAnsi" w:cstheme="minorHAnsi"/>
          <w:color w:val="000000"/>
        </w:rPr>
      </w:pPr>
      <w:r>
        <w:t>N/A</w:t>
      </w:r>
    </w:p>
    <w:p w14:paraId="5C871695" w14:textId="78E78F7F" w:rsidR="00F16239" w:rsidRPr="00BC0C43" w:rsidRDefault="00F16239" w:rsidP="00BC0C43">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412D7764" w:rsidR="00F16239" w:rsidRDefault="00844922" w:rsidP="00BC0C43">
      <w:pPr>
        <w:rPr>
          <w:rFonts w:asciiTheme="minorHAnsi" w:eastAsia="Segoe UI" w:hAnsiTheme="minorHAnsi" w:cstheme="minorHAnsi"/>
          <w:color w:val="000000"/>
        </w:rPr>
      </w:pPr>
      <w:r>
        <w:t>N/A</w:t>
      </w:r>
    </w:p>
    <w:p w14:paraId="7B93B3A6" w14:textId="77777777" w:rsidR="00F16239" w:rsidRPr="00BE6B22" w:rsidRDefault="00F16239" w:rsidP="00BC0C43"/>
    <w:p w14:paraId="1EE2B4EC" w14:textId="7EBEC4B1" w:rsidR="0090168B" w:rsidRDefault="0090168B" w:rsidP="00BC0C43"/>
    <w:p w14:paraId="48694048" w14:textId="77777777" w:rsidR="00BC0C43" w:rsidRDefault="00BC0C43">
      <w:pPr>
        <w:spacing w:after="160" w:line="259" w:lineRule="auto"/>
      </w:pPr>
      <w:r>
        <w:br w:type="page"/>
      </w:r>
    </w:p>
    <w:p w14:paraId="27B35421" w14:textId="1A4012B9" w:rsidR="00A21204" w:rsidRPr="00AF600C" w:rsidRDefault="00364572" w:rsidP="00AF600C">
      <w:pPr>
        <w:pStyle w:val="Heading2"/>
      </w:pPr>
      <w:r>
        <w:lastRenderedPageBreak/>
        <w:t xml:space="preserve">Insert </w:t>
      </w:r>
      <w:r w:rsidR="00545A4C">
        <w:t>diagrams demonstrating the clinical management algorithm with and without the proposed health technology:</w:t>
      </w:r>
    </w:p>
    <w:p w14:paraId="61B70B73" w14:textId="77777777" w:rsidR="00A21204" w:rsidRDefault="00A21204" w:rsidP="00A21204">
      <w:pPr>
        <w:jc w:val="both"/>
        <w:rPr>
          <w:rFonts w:asciiTheme="minorHAnsi" w:eastAsia="Segoe UI" w:hAnsiTheme="minorHAnsi" w:cstheme="minorHAnsi"/>
          <w:color w:val="000000"/>
        </w:rPr>
      </w:pPr>
      <w:r>
        <w:rPr>
          <w:rFonts w:asciiTheme="minorHAnsi" w:eastAsia="Segoe UI" w:hAnsiTheme="minorHAnsi" w:cstheme="minorHAnsi"/>
          <w:noProof/>
          <w:color w:val="000000"/>
        </w:rPr>
        <w:drawing>
          <wp:inline distT="0" distB="0" distL="0" distR="0" wp14:anchorId="5BEB3207" wp14:editId="028B9033">
            <wp:extent cx="5934890" cy="3171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733" cy="3174948"/>
                    </a:xfrm>
                    <a:prstGeom prst="rect">
                      <a:avLst/>
                    </a:prstGeom>
                    <a:noFill/>
                  </pic:spPr>
                </pic:pic>
              </a:graphicData>
            </a:graphic>
          </wp:inline>
        </w:drawing>
      </w:r>
    </w:p>
    <w:p w14:paraId="463F1D75" w14:textId="77777777" w:rsidR="00A21204" w:rsidRPr="0014557B" w:rsidRDefault="00A21204" w:rsidP="00A21204">
      <w:pPr>
        <w:contextualSpacing/>
        <w:rPr>
          <w:rFonts w:cs="Calibri"/>
          <w:b/>
          <w:bCs/>
          <w:sz w:val="18"/>
          <w:szCs w:val="18"/>
        </w:rPr>
      </w:pPr>
      <w:r w:rsidRPr="0014557B">
        <w:rPr>
          <w:rFonts w:cs="Calibri"/>
          <w:b/>
          <w:bCs/>
          <w:sz w:val="18"/>
          <w:szCs w:val="18"/>
        </w:rPr>
        <w:t>Figure 1 Current treatment algorithm</w:t>
      </w:r>
    </w:p>
    <w:p w14:paraId="7E59F3CE" w14:textId="77777777" w:rsidR="00A21204" w:rsidRPr="0014557B" w:rsidRDefault="00A21204" w:rsidP="00A21204">
      <w:pPr>
        <w:rPr>
          <w:rFonts w:cs="Calibri"/>
          <w:sz w:val="18"/>
          <w:szCs w:val="18"/>
        </w:rPr>
      </w:pPr>
      <w:bookmarkStart w:id="3" w:name="_Hlk150430672"/>
      <w:r w:rsidRPr="0014557B">
        <w:rPr>
          <w:rFonts w:cs="Calibri"/>
          <w:sz w:val="18"/>
          <w:szCs w:val="18"/>
        </w:rPr>
        <w:t xml:space="preserve">Abbreviations: ABI, abiraterone; BRCA, </w:t>
      </w:r>
      <w:proofErr w:type="spellStart"/>
      <w:r>
        <w:rPr>
          <w:rFonts w:cs="Calibri"/>
          <w:sz w:val="18"/>
          <w:szCs w:val="18"/>
        </w:rPr>
        <w:t>BR</w:t>
      </w:r>
      <w:r w:rsidRPr="0014557B">
        <w:rPr>
          <w:rFonts w:cs="Calibri"/>
          <w:sz w:val="18"/>
          <w:szCs w:val="18"/>
        </w:rPr>
        <w:t>east</w:t>
      </w:r>
      <w:proofErr w:type="spellEnd"/>
      <w:r w:rsidRPr="0014557B">
        <w:rPr>
          <w:rFonts w:cs="Calibri"/>
          <w:sz w:val="18"/>
          <w:szCs w:val="18"/>
        </w:rPr>
        <w:t xml:space="preserve"> </w:t>
      </w:r>
      <w:proofErr w:type="spellStart"/>
      <w:r>
        <w:rPr>
          <w:rFonts w:cs="Calibri"/>
          <w:sz w:val="18"/>
          <w:szCs w:val="18"/>
        </w:rPr>
        <w:t>CA</w:t>
      </w:r>
      <w:r w:rsidRPr="0014557B">
        <w:rPr>
          <w:rFonts w:cs="Calibri"/>
          <w:sz w:val="18"/>
          <w:szCs w:val="18"/>
        </w:rPr>
        <w:t>ncer</w:t>
      </w:r>
      <w:proofErr w:type="spellEnd"/>
      <w:r w:rsidRPr="0014557B">
        <w:rPr>
          <w:rFonts w:cs="Calibri"/>
          <w:sz w:val="18"/>
          <w:szCs w:val="18"/>
        </w:rPr>
        <w:t xml:space="preserve"> gene; </w:t>
      </w:r>
      <w:r>
        <w:rPr>
          <w:rFonts w:cs="Calibri"/>
          <w:sz w:val="18"/>
          <w:szCs w:val="18"/>
        </w:rPr>
        <w:t xml:space="preserve">DAR, </w:t>
      </w:r>
      <w:proofErr w:type="spellStart"/>
      <w:r>
        <w:rPr>
          <w:rFonts w:cs="Calibri"/>
          <w:sz w:val="18"/>
          <w:szCs w:val="18"/>
        </w:rPr>
        <w:t>darolutamide</w:t>
      </w:r>
      <w:proofErr w:type="spellEnd"/>
      <w:r>
        <w:rPr>
          <w:rFonts w:cs="Calibri"/>
          <w:sz w:val="18"/>
          <w:szCs w:val="18"/>
        </w:rPr>
        <w:t xml:space="preserve">; </w:t>
      </w:r>
      <w:r w:rsidRPr="0031374C">
        <w:rPr>
          <w:rFonts w:cs="Calibri"/>
          <w:sz w:val="18"/>
          <w:szCs w:val="18"/>
        </w:rPr>
        <w:t xml:space="preserve">ENZ, enzalutamide; HSPC, hormone sensitive prostate cancer </w:t>
      </w:r>
      <w:proofErr w:type="spellStart"/>
      <w:r>
        <w:rPr>
          <w:rFonts w:cs="Calibri"/>
          <w:sz w:val="18"/>
          <w:szCs w:val="18"/>
        </w:rPr>
        <w:t>n</w:t>
      </w:r>
      <w:r w:rsidRPr="0014557B">
        <w:rPr>
          <w:rFonts w:cs="Calibri"/>
          <w:sz w:val="18"/>
          <w:szCs w:val="18"/>
        </w:rPr>
        <w:t>mCRPC</w:t>
      </w:r>
      <w:proofErr w:type="spellEnd"/>
      <w:r w:rsidRPr="0014557B">
        <w:rPr>
          <w:rFonts w:cs="Calibri"/>
          <w:sz w:val="18"/>
          <w:szCs w:val="18"/>
        </w:rPr>
        <w:t xml:space="preserve">, non-metastatic castration resistant prostate cancer; </w:t>
      </w:r>
      <w:proofErr w:type="spellStart"/>
      <w:r w:rsidRPr="0014557B">
        <w:rPr>
          <w:rFonts w:cs="Calibri"/>
          <w:sz w:val="18"/>
          <w:szCs w:val="18"/>
        </w:rPr>
        <w:t>mCRPC</w:t>
      </w:r>
      <w:proofErr w:type="spellEnd"/>
      <w:r w:rsidRPr="0014557B">
        <w:rPr>
          <w:rFonts w:cs="Calibri"/>
          <w:sz w:val="18"/>
          <w:szCs w:val="18"/>
        </w:rPr>
        <w:t>, metastatic castration resistant prostate cancer</w:t>
      </w:r>
      <w:bookmarkEnd w:id="3"/>
      <w:r>
        <w:rPr>
          <w:rFonts w:cs="Calibri"/>
          <w:sz w:val="18"/>
          <w:szCs w:val="18"/>
        </w:rPr>
        <w:t xml:space="preserve">. </w:t>
      </w:r>
    </w:p>
    <w:p w14:paraId="697F9A28" w14:textId="77777777" w:rsidR="00A21204" w:rsidRPr="003B5CCD" w:rsidRDefault="00A21204" w:rsidP="003B5CCD">
      <w:pPr>
        <w:spacing w:before="120"/>
        <w:rPr>
          <w:i/>
          <w:iCs/>
        </w:rPr>
      </w:pPr>
    </w:p>
    <w:p w14:paraId="5BB8C752" w14:textId="77777777" w:rsidR="00A21204" w:rsidRPr="00A11865" w:rsidRDefault="00A21204" w:rsidP="00A21204">
      <w:pPr>
        <w:contextualSpacing/>
        <w:rPr>
          <w:rFonts w:asciiTheme="minorHAnsi" w:hAnsiTheme="minorHAnsi"/>
        </w:rPr>
      </w:pPr>
      <w:r>
        <w:rPr>
          <w:rFonts w:asciiTheme="minorHAnsi" w:hAnsiTheme="minorHAnsi"/>
          <w:noProof/>
        </w:rPr>
        <w:drawing>
          <wp:inline distT="0" distB="0" distL="0" distR="0" wp14:anchorId="19240962" wp14:editId="600F20A4">
            <wp:extent cx="5911706" cy="3124200"/>
            <wp:effectExtent l="19050" t="19050" r="1333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150" r="1"/>
                    <a:stretch/>
                  </pic:blipFill>
                  <pic:spPr bwMode="auto">
                    <a:xfrm>
                      <a:off x="0" y="0"/>
                      <a:ext cx="5918654" cy="3127872"/>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5AC38076" w14:textId="73AC771A" w:rsidR="00A21204" w:rsidRDefault="00A21204" w:rsidP="00A21204">
      <w:pPr>
        <w:contextualSpacing/>
        <w:rPr>
          <w:rFonts w:cs="Calibri"/>
          <w:b/>
          <w:bCs/>
          <w:sz w:val="18"/>
          <w:szCs w:val="18"/>
        </w:rPr>
      </w:pPr>
      <w:r w:rsidRPr="00643ED9">
        <w:rPr>
          <w:rFonts w:cs="Calibri"/>
          <w:b/>
          <w:bCs/>
          <w:sz w:val="18"/>
          <w:szCs w:val="18"/>
        </w:rPr>
        <w:t>Figure 2 Proposed treatment algorithm</w:t>
      </w:r>
    </w:p>
    <w:p w14:paraId="3A621B1B" w14:textId="2FEEE71C" w:rsidR="00B67171" w:rsidRPr="00643ED9" w:rsidRDefault="00B67171" w:rsidP="00A21204">
      <w:pPr>
        <w:contextualSpacing/>
        <w:rPr>
          <w:rFonts w:cs="Calibri"/>
          <w:b/>
          <w:bCs/>
          <w:sz w:val="18"/>
          <w:szCs w:val="18"/>
        </w:rPr>
      </w:pPr>
      <w:r w:rsidRPr="0014557B">
        <w:rPr>
          <w:rFonts w:cs="Calibri"/>
          <w:sz w:val="18"/>
          <w:szCs w:val="18"/>
        </w:rPr>
        <w:t xml:space="preserve">Abbreviations: ABI, abiraterone; BRCA, </w:t>
      </w:r>
      <w:proofErr w:type="spellStart"/>
      <w:r>
        <w:rPr>
          <w:rFonts w:cs="Calibri"/>
          <w:sz w:val="18"/>
          <w:szCs w:val="18"/>
        </w:rPr>
        <w:t>BR</w:t>
      </w:r>
      <w:r w:rsidRPr="0014557B">
        <w:rPr>
          <w:rFonts w:cs="Calibri"/>
          <w:sz w:val="18"/>
          <w:szCs w:val="18"/>
        </w:rPr>
        <w:t>east</w:t>
      </w:r>
      <w:proofErr w:type="spellEnd"/>
      <w:r w:rsidRPr="0014557B">
        <w:rPr>
          <w:rFonts w:cs="Calibri"/>
          <w:sz w:val="18"/>
          <w:szCs w:val="18"/>
        </w:rPr>
        <w:t xml:space="preserve"> </w:t>
      </w:r>
      <w:proofErr w:type="spellStart"/>
      <w:r>
        <w:rPr>
          <w:rFonts w:cs="Calibri"/>
          <w:sz w:val="18"/>
          <w:szCs w:val="18"/>
        </w:rPr>
        <w:t>CA</w:t>
      </w:r>
      <w:r w:rsidRPr="0014557B">
        <w:rPr>
          <w:rFonts w:cs="Calibri"/>
          <w:sz w:val="18"/>
          <w:szCs w:val="18"/>
        </w:rPr>
        <w:t>ncer</w:t>
      </w:r>
      <w:proofErr w:type="spellEnd"/>
      <w:r w:rsidRPr="0014557B">
        <w:rPr>
          <w:rFonts w:cs="Calibri"/>
          <w:sz w:val="18"/>
          <w:szCs w:val="18"/>
        </w:rPr>
        <w:t xml:space="preserve"> gene; </w:t>
      </w:r>
      <w:r>
        <w:rPr>
          <w:rFonts w:cs="Calibri"/>
          <w:sz w:val="18"/>
          <w:szCs w:val="18"/>
        </w:rPr>
        <w:t xml:space="preserve">DAR, </w:t>
      </w:r>
      <w:proofErr w:type="spellStart"/>
      <w:r>
        <w:rPr>
          <w:rFonts w:cs="Calibri"/>
          <w:sz w:val="18"/>
          <w:szCs w:val="18"/>
        </w:rPr>
        <w:t>darolutamide</w:t>
      </w:r>
      <w:proofErr w:type="spellEnd"/>
      <w:r>
        <w:rPr>
          <w:rFonts w:cs="Calibri"/>
          <w:sz w:val="18"/>
          <w:szCs w:val="18"/>
        </w:rPr>
        <w:t xml:space="preserve">; </w:t>
      </w:r>
      <w:r w:rsidRPr="0031374C">
        <w:rPr>
          <w:rFonts w:cs="Calibri"/>
          <w:sz w:val="18"/>
          <w:szCs w:val="18"/>
        </w:rPr>
        <w:t xml:space="preserve">ENZ, enzalutamide; HSPC, hormone sensitive prostate cancer </w:t>
      </w:r>
      <w:proofErr w:type="spellStart"/>
      <w:r>
        <w:rPr>
          <w:rFonts w:cs="Calibri"/>
          <w:sz w:val="18"/>
          <w:szCs w:val="18"/>
        </w:rPr>
        <w:t>n</w:t>
      </w:r>
      <w:r w:rsidRPr="0014557B">
        <w:rPr>
          <w:rFonts w:cs="Calibri"/>
          <w:sz w:val="18"/>
          <w:szCs w:val="18"/>
        </w:rPr>
        <w:t>mCRPC</w:t>
      </w:r>
      <w:proofErr w:type="spellEnd"/>
      <w:r w:rsidRPr="0014557B">
        <w:rPr>
          <w:rFonts w:cs="Calibri"/>
          <w:sz w:val="18"/>
          <w:szCs w:val="18"/>
        </w:rPr>
        <w:t xml:space="preserve">, non-metastatic castration resistant prostate cancer; </w:t>
      </w:r>
      <w:proofErr w:type="spellStart"/>
      <w:r w:rsidRPr="0014557B">
        <w:rPr>
          <w:rFonts w:cs="Calibri"/>
          <w:sz w:val="18"/>
          <w:szCs w:val="18"/>
        </w:rPr>
        <w:t>mCRPC</w:t>
      </w:r>
      <w:proofErr w:type="spellEnd"/>
      <w:r w:rsidRPr="0014557B">
        <w:rPr>
          <w:rFonts w:cs="Calibri"/>
          <w:sz w:val="18"/>
          <w:szCs w:val="18"/>
        </w:rPr>
        <w:t>, metastatic castration resistant prostate cancer</w:t>
      </w:r>
    </w:p>
    <w:p w14:paraId="5BE624EA" w14:textId="51D86881" w:rsidR="004A45BE" w:rsidRDefault="004A45BE" w:rsidP="00BC0C43">
      <w:r>
        <w:br w:type="page"/>
      </w:r>
    </w:p>
    <w:p w14:paraId="5C94C69B" w14:textId="4B95100F" w:rsidR="004A45BE" w:rsidRDefault="004A45BE" w:rsidP="00BC0C43">
      <w:pPr>
        <w:pStyle w:val="Heading1"/>
      </w:pPr>
      <w:r>
        <w:lastRenderedPageBreak/>
        <w:t>Claims</w:t>
      </w:r>
    </w:p>
    <w:p w14:paraId="48DF0F99" w14:textId="33C8FE4F" w:rsidR="004A45BE" w:rsidRDefault="004A45BE" w:rsidP="00BC0C43">
      <w:pPr>
        <w:pStyle w:val="Heading2"/>
      </w:pPr>
      <w:bookmarkStart w:id="4" w:name="_Hlk121218597"/>
      <w:r>
        <w:t>In terms of health outcomes (comparative benefits and harms), is the proposed technology claimed to be superior, non-inferior or inferior to the comparator(s)?</w:t>
      </w:r>
    </w:p>
    <w:p w14:paraId="137243BD" w14:textId="27DF2338" w:rsidR="004209FC" w:rsidRPr="00BC0C43" w:rsidRDefault="006025D8" w:rsidP="00BC0C43">
      <w:pPr>
        <w:pStyle w:val="Tickboxes"/>
        <w:ind w:left="0"/>
        <w:rPr>
          <w:rFonts w:ascii="Segoe UI" w:hAnsi="Segoe UI" w:cs="Segoe UI"/>
          <w:sz w:val="22"/>
          <w:szCs w:val="22"/>
        </w:rPr>
      </w:pPr>
      <w:r>
        <w:rPr>
          <w:rFonts w:ascii="Segoe UI" w:hAnsi="Segoe UI" w:cs="Segoe UI"/>
          <w:sz w:val="22"/>
          <w:szCs w:val="22"/>
        </w:rPr>
        <w:fldChar w:fldCharType="begin">
          <w:ffData>
            <w:name w:val="Check1"/>
            <w:enabled/>
            <w:calcOnExit w:val="0"/>
            <w:checkBox>
              <w:sizeAuto/>
              <w:default w:val="1"/>
            </w:checkBox>
          </w:ffData>
        </w:fldChar>
      </w:r>
      <w:bookmarkStart w:id="5" w:name="Check1"/>
      <w:r>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Pr>
          <w:rFonts w:ascii="Segoe UI" w:hAnsi="Segoe UI" w:cs="Segoe UI"/>
          <w:sz w:val="22"/>
          <w:szCs w:val="22"/>
        </w:rPr>
        <w:fldChar w:fldCharType="end"/>
      </w:r>
      <w:bookmarkEnd w:id="5"/>
      <w:r w:rsidR="004209FC" w:rsidRPr="00BC0C43">
        <w:rPr>
          <w:rFonts w:ascii="Segoe UI" w:hAnsi="Segoe UI" w:cs="Segoe UI"/>
          <w:sz w:val="22"/>
          <w:szCs w:val="22"/>
        </w:rPr>
        <w:t xml:space="preserve"> Superior </w:t>
      </w:r>
    </w:p>
    <w:p w14:paraId="219D6AC6" w14:textId="2814637D" w:rsidR="004209FC" w:rsidRPr="00BC0C43" w:rsidRDefault="00844922"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Pr>
          <w:rFonts w:ascii="Segoe UI" w:hAnsi="Segoe UI" w:cs="Segoe UI"/>
          <w:sz w:val="22"/>
          <w:szCs w:val="22"/>
        </w:rPr>
        <w:fldChar w:fldCharType="end"/>
      </w:r>
      <w:r w:rsidR="004209FC" w:rsidRPr="00BC0C43">
        <w:rPr>
          <w:rFonts w:ascii="Segoe UI" w:hAnsi="Segoe UI" w:cs="Segoe UI"/>
          <w:sz w:val="22"/>
          <w:szCs w:val="22"/>
        </w:rPr>
        <w:t xml:space="preserve"> Non-inferior</w:t>
      </w:r>
    </w:p>
    <w:p w14:paraId="1E1E7FC3" w14:textId="6E51E804" w:rsidR="00364572" w:rsidRPr="00BC0C43" w:rsidRDefault="004209FC"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Inferior </w:t>
      </w:r>
    </w:p>
    <w:p w14:paraId="12D880D8" w14:textId="573EC961" w:rsidR="004A45BE" w:rsidRPr="00BC0C43" w:rsidRDefault="00364572" w:rsidP="00AF600C">
      <w:pPr>
        <w:pStyle w:val="Heading2"/>
      </w:pPr>
      <w:r w:rsidRPr="0026282C">
        <w:t>Please state what the overall claim is, and provide a rationale</w:t>
      </w:r>
      <w:r w:rsidRPr="00B15CDF">
        <w:t>:</w:t>
      </w:r>
    </w:p>
    <w:bookmarkEnd w:id="4"/>
    <w:p w14:paraId="1D698F40" w14:textId="77777777" w:rsidR="00AF600C" w:rsidRDefault="00844922" w:rsidP="00AF600C">
      <w:pPr>
        <w:pStyle w:val="Heading2"/>
      </w:pPr>
      <w:r w:rsidRPr="00844922">
        <w:t>Efficacy:</w:t>
      </w:r>
    </w:p>
    <w:p w14:paraId="44D64B40" w14:textId="28E2BC96" w:rsidR="00844922" w:rsidRPr="00AF600C" w:rsidRDefault="00844922" w:rsidP="00844922">
      <w:pPr>
        <w:rPr>
          <w:b/>
          <w:bCs/>
        </w:rPr>
      </w:pPr>
      <w:r>
        <w:t>A clinical claim of superior efficacy is made for TAL+ENZ versus PBO + ENZ.</w:t>
      </w:r>
    </w:p>
    <w:p w14:paraId="6C11C225" w14:textId="77777777" w:rsidR="00844922" w:rsidRPr="00844922" w:rsidRDefault="00844922" w:rsidP="00844922">
      <w:pPr>
        <w:rPr>
          <w:b/>
          <w:bCs/>
        </w:rPr>
      </w:pPr>
      <w:r w:rsidRPr="00844922">
        <w:rPr>
          <w:b/>
          <w:bCs/>
        </w:rPr>
        <w:t xml:space="preserve">Safety: </w:t>
      </w:r>
    </w:p>
    <w:p w14:paraId="4C50D112" w14:textId="0051F4DD" w:rsidR="004A45BE" w:rsidRPr="00BC0C43" w:rsidRDefault="00844922" w:rsidP="00844922">
      <w:pPr>
        <w:rPr>
          <w:rFonts w:asciiTheme="minorHAnsi" w:eastAsia="Segoe UI" w:hAnsiTheme="minorHAnsi" w:cstheme="minorHAnsi"/>
          <w:color w:val="000000"/>
        </w:rPr>
      </w:pPr>
      <w:r>
        <w:t>TAL + ENZ has an inferior safety profile to PBO + ENZ, with this being regarded as tolerable and manageable, as evidenced by no detriment to QoL.</w:t>
      </w:r>
    </w:p>
    <w:p w14:paraId="43670E9E" w14:textId="469B133E" w:rsidR="004A45BE" w:rsidRDefault="004A45BE" w:rsidP="00BC0C43">
      <w:pPr>
        <w:pStyle w:val="Heading2"/>
      </w:pPr>
      <w:r>
        <w:t>Why would the requestor seek to use the proposed investigative technology rather than the comparator(s)?</w:t>
      </w:r>
    </w:p>
    <w:p w14:paraId="463DF93B" w14:textId="7537A6C2" w:rsidR="006E38F9" w:rsidRPr="006E38F9" w:rsidRDefault="006E38F9" w:rsidP="006E38F9">
      <w:r>
        <w:t xml:space="preserve">The proposed population in the PBAC submission for </w:t>
      </w:r>
      <w:proofErr w:type="spellStart"/>
      <w:r>
        <w:t>talazoparib</w:t>
      </w:r>
      <w:proofErr w:type="spellEnd"/>
      <w:r>
        <w:t xml:space="preserve"> is </w:t>
      </w:r>
      <w:proofErr w:type="spellStart"/>
      <w:r>
        <w:t>mCRPC</w:t>
      </w:r>
      <w:proofErr w:type="spellEnd"/>
      <w:r>
        <w:t xml:space="preserve"> with BRCA1/2 gene mutations. Therefore, genetic testing that is currently performed in the </w:t>
      </w:r>
      <w:proofErr w:type="spellStart"/>
      <w:r>
        <w:t>mCRPC</w:t>
      </w:r>
      <w:proofErr w:type="spellEnd"/>
      <w:r>
        <w:t xml:space="preserve"> patients with identify patients eligible for treatment with </w:t>
      </w:r>
      <w:proofErr w:type="spellStart"/>
      <w:r>
        <w:t>talazoparib</w:t>
      </w:r>
      <w:proofErr w:type="spellEnd"/>
      <w:r>
        <w:t xml:space="preserve">. </w:t>
      </w:r>
    </w:p>
    <w:p w14:paraId="67792CDE" w14:textId="20F96D42" w:rsidR="004A45BE" w:rsidRPr="00BC0C43" w:rsidRDefault="004A45BE" w:rsidP="00BC0C43">
      <w:pPr>
        <w:pStyle w:val="Heading2"/>
      </w:pPr>
      <w:r w:rsidRPr="00B15CDF">
        <w:t>Identify how the proposed technology achieves the intended patient outcomes</w:t>
      </w:r>
      <w:r>
        <w:t>:</w:t>
      </w:r>
    </w:p>
    <w:p w14:paraId="41784E92" w14:textId="6C3A3C4C" w:rsidR="006E38F9" w:rsidRDefault="006E38F9" w:rsidP="006E38F9">
      <w:pPr>
        <w:jc w:val="both"/>
      </w:pPr>
      <w:r w:rsidRPr="006E38F9">
        <w:t>The clinical evidence informing the comparative efficacy of TAL+ENZ vs ENZ is derived from the pivotal Phase III TALAPRO-2 RCT that compared TAL+ENZ with PBO+ENZ</w:t>
      </w:r>
      <w:r>
        <w:t xml:space="preserve"> in </w:t>
      </w:r>
      <w:proofErr w:type="spellStart"/>
      <w:r>
        <w:t>mCRPC</w:t>
      </w:r>
      <w:proofErr w:type="spellEnd"/>
      <w:r>
        <w:t xml:space="preserve"> patients with BRCA1/2 gene mutations</w:t>
      </w:r>
      <w:r w:rsidRPr="006E38F9">
        <w:t>. The evidence presented is supportive of a clinical claim of superior efficacy and-inferior but manageable safety profile for TAL + ENZ versus PBO + ENZ.</w:t>
      </w:r>
    </w:p>
    <w:p w14:paraId="0541FEAD" w14:textId="535D8CF2" w:rsidR="006E38F9" w:rsidRPr="009664B1" w:rsidRDefault="006E38F9" w:rsidP="006E38F9">
      <w:pPr>
        <w:jc w:val="both"/>
      </w:pPr>
      <w:r>
        <w:t>TALAPRO-2</w:t>
      </w:r>
      <w:r w:rsidRPr="00923378">
        <w:t xml:space="preserve"> is a Phase III, </w:t>
      </w:r>
      <w:r>
        <w:t xml:space="preserve">double-blind RCT that evaluated the </w:t>
      </w:r>
      <w:r w:rsidRPr="00AE1D1E">
        <w:t xml:space="preserve">efficacy and safety of </w:t>
      </w:r>
      <w:r>
        <w:t>TAL + ENZ</w:t>
      </w:r>
      <w:r w:rsidRPr="00AE1D1E">
        <w:t xml:space="preserve"> in </w:t>
      </w:r>
      <w:r>
        <w:t xml:space="preserve">patients with </w:t>
      </w:r>
      <w:proofErr w:type="spellStart"/>
      <w:r>
        <w:t>mCRPC</w:t>
      </w:r>
      <w:proofErr w:type="spellEnd"/>
      <w:r>
        <w:t xml:space="preserve"> in two cohorts with equally split alpha for data analysis: unselected (Cohort 1, the allcomers cohort, recruited first) and selected (Cohort 2, HRR-deficient only, which completed recruitment after completion of enrolment in Cohort 1) for DNA damage response alterations in genes directly or indirectly involved in HRR. The study prospectively assessed the HRR gene alteration status in tumour tissue, considered a gold standard for establishing the</w:t>
      </w:r>
      <w:r w:rsidRPr="009954B9">
        <w:t xml:space="preserve"> </w:t>
      </w:r>
      <w:r>
        <w:t>biomarker status in cancer. Furthermore, the study used HRR status (HRR positive vs HRR negative or unknown status) as a prespecified stratification factor to establish benefits in each group. Testing for genomic alterations included 12 HRR genes: BRCA1, BRCA2, PALB2, ATM, ATR, CHEK2, FANCA, RAD51C, NBN, MLH1, MRE11A, CDK12. 805 patients were enrolled in Cohort 1, of which, 636(79.0%) were non-HRR-deficient or had unknown HRR status and 169 (21.0%) were HRR-deficient). Cohort 2 included the 169 patients from Cohort 1 who were HRR-deficient as well as an additional 230 patients enrolled directly into the cohort, for a total of 399 patients.</w:t>
      </w:r>
    </w:p>
    <w:p w14:paraId="4FD3E6B3" w14:textId="77777777" w:rsidR="006E38F9" w:rsidRPr="00923378" w:rsidRDefault="006E38F9" w:rsidP="006E38F9">
      <w:pPr>
        <w:jc w:val="both"/>
      </w:pPr>
      <w:r>
        <w:t xml:space="preserve">Patients were randomized 1:1 to receive 0.5 mg/day TAL or matched placebo in combination with 160 mg/day ENZ. The primary endpoints were </w:t>
      </w:r>
      <w:proofErr w:type="spellStart"/>
      <w:r>
        <w:t>rPFS</w:t>
      </w:r>
      <w:proofErr w:type="spellEnd"/>
      <w:r>
        <w:t xml:space="preserve"> per blinded independent central review (BICR) in Cohort 1 and Cohort 2. The key secondary endpoint is OS (alpha protected). </w:t>
      </w:r>
      <w:r w:rsidRPr="00B931CA">
        <w:t xml:space="preserve">The trial was powered to detect significant improvement in </w:t>
      </w:r>
      <w:proofErr w:type="spellStart"/>
      <w:r>
        <w:t>rPFS</w:t>
      </w:r>
      <w:proofErr w:type="spellEnd"/>
      <w:r w:rsidRPr="00B931CA">
        <w:t xml:space="preserve"> in both of its populations. </w:t>
      </w:r>
      <w:r>
        <w:t xml:space="preserve">The prespecified subgroup analyses for BRCA1/2 gene alteration indicate that the greatest improvement in the primary endpoint of </w:t>
      </w:r>
      <w:proofErr w:type="spellStart"/>
      <w:r>
        <w:t>rPFS</w:t>
      </w:r>
      <w:proofErr w:type="spellEnd"/>
      <w:r>
        <w:t xml:space="preserve"> and the key secondary endpoint of OS has been demonstrated for patients with BRCA1/2 genetic alteration (39.6% of patients enrolled in Cohort 2). </w:t>
      </w:r>
    </w:p>
    <w:p w14:paraId="0F462F2E" w14:textId="595DDC31" w:rsidR="006E38F9" w:rsidRPr="00BA2374" w:rsidRDefault="006E38F9" w:rsidP="006E38F9">
      <w:pPr>
        <w:jc w:val="both"/>
      </w:pPr>
      <w:bookmarkStart w:id="6" w:name="_Hlk54346801"/>
      <w:r w:rsidRPr="00182167">
        <w:lastRenderedPageBreak/>
        <w:t xml:space="preserve">A </w:t>
      </w:r>
      <w:r w:rsidRPr="001311A0">
        <w:t xml:space="preserve">summary of the </w:t>
      </w:r>
      <w:proofErr w:type="gramStart"/>
      <w:r w:rsidRPr="001311A0">
        <w:t>final results</w:t>
      </w:r>
      <w:proofErr w:type="gramEnd"/>
      <w:r w:rsidRPr="001311A0">
        <w:t xml:space="preserve"> of </w:t>
      </w:r>
      <w:proofErr w:type="spellStart"/>
      <w:r w:rsidRPr="001311A0">
        <w:t>rPFS</w:t>
      </w:r>
      <w:proofErr w:type="spellEnd"/>
      <w:r w:rsidRPr="001311A0">
        <w:t xml:space="preserve"> assessed by BICR for all randomised patients from Cohort-2 (ITT HRR deficient) and for the subgroup of patients with BRCA1/2 gene mutation is presented in Table 1. </w:t>
      </w:r>
      <w:bookmarkEnd w:id="6"/>
      <w:r w:rsidRPr="001311A0">
        <w:t xml:space="preserve">Importantly, subgroup analyses of </w:t>
      </w:r>
      <w:proofErr w:type="spellStart"/>
      <w:r w:rsidRPr="001311A0">
        <w:t>rPFS</w:t>
      </w:r>
      <w:proofErr w:type="spellEnd"/>
      <w:r w:rsidRPr="001311A0">
        <w:t xml:space="preserve"> for patients with BRCA1/2 assigned to TAL + ENZ had a statistically significant and clinically meaningful improvement in </w:t>
      </w:r>
      <w:proofErr w:type="spellStart"/>
      <w:r w:rsidRPr="001311A0">
        <w:t>rPFS</w:t>
      </w:r>
      <w:proofErr w:type="spellEnd"/>
      <w:r w:rsidRPr="001311A0">
        <w:t xml:space="preserve"> compared with BRCA1/2 patients assigned to PBO + ENZ (HR 0.20; 95%CI: 0.11, 0.36; p-value &lt;0.0001). The median </w:t>
      </w:r>
      <w:proofErr w:type="spellStart"/>
      <w:r w:rsidRPr="001311A0">
        <w:t>rPFS</w:t>
      </w:r>
      <w:proofErr w:type="spellEnd"/>
      <w:r w:rsidRPr="001311A0">
        <w:t xml:space="preserve"> was </w:t>
      </w:r>
      <w:r w:rsidR="002B791D">
        <w:t>not reached (NR)</w:t>
      </w:r>
      <w:r w:rsidRPr="001311A0">
        <w:t xml:space="preserve"> in the TAL + ENZ arm and was 11.0 months in the PBO + ENZ arm.</w:t>
      </w:r>
      <w:r w:rsidRPr="00182167">
        <w:rPr>
          <w:rFonts w:asciiTheme="minorHAnsi" w:hAnsiTheme="minorHAnsi"/>
        </w:rPr>
        <w:t xml:space="preserve"> </w:t>
      </w:r>
    </w:p>
    <w:p w14:paraId="128CBC80" w14:textId="7DF2B37B" w:rsidR="006E38F9" w:rsidRPr="00AF600C" w:rsidRDefault="006E38F9" w:rsidP="00AF600C">
      <w:pPr>
        <w:pStyle w:val="Caption"/>
        <w:tabs>
          <w:tab w:val="clear" w:pos="1701"/>
          <w:tab w:val="left" w:pos="851"/>
        </w:tabs>
        <w:ind w:left="851" w:hanging="851"/>
        <w:jc w:val="left"/>
        <w:rPr>
          <w:rFonts w:cs="Calibri"/>
          <w:sz w:val="20"/>
        </w:rPr>
      </w:pPr>
      <w:r w:rsidRPr="00AF600C">
        <w:rPr>
          <w:rFonts w:cs="Calibri"/>
          <w:sz w:val="20"/>
        </w:rPr>
        <w:t xml:space="preserve">Table 1 </w:t>
      </w:r>
      <w:r w:rsidR="00AF600C">
        <w:rPr>
          <w:rFonts w:cs="Calibri"/>
          <w:sz w:val="20"/>
        </w:rPr>
        <w:tab/>
      </w:r>
      <w:r w:rsidRPr="00AF600C">
        <w:rPr>
          <w:rFonts w:cs="Calibri"/>
          <w:sz w:val="20"/>
        </w:rPr>
        <w:t xml:space="preserve">Summary of </w:t>
      </w:r>
      <w:proofErr w:type="spellStart"/>
      <w:r w:rsidRPr="00AF600C">
        <w:rPr>
          <w:rFonts w:cs="Calibri"/>
          <w:sz w:val="20"/>
        </w:rPr>
        <w:t>rPFS</w:t>
      </w:r>
      <w:proofErr w:type="spellEnd"/>
      <w:r w:rsidRPr="00AF600C">
        <w:rPr>
          <w:rFonts w:cs="Calibri"/>
          <w:sz w:val="20"/>
        </w:rPr>
        <w:t xml:space="preserve"> based on BICR assessment – Cohort 2 (ITT patients selected for HRR deficiencies), BRCA1/2</w:t>
      </w:r>
      <w:r w:rsidR="00AF600C">
        <w:rPr>
          <w:rFonts w:cs="Calibri"/>
          <w:sz w:val="20"/>
        </w:rPr>
        <w:t xml:space="preserve"> </w:t>
      </w:r>
      <w:r w:rsidRPr="00AF600C">
        <w:rPr>
          <w:rFonts w:cs="Calibri"/>
          <w:sz w:val="20"/>
        </w:rPr>
        <w:t xml:space="preserve">and non-BRCA1/2 subgroup </w:t>
      </w:r>
      <w:proofErr w:type="gramStart"/>
      <w:r w:rsidRPr="00AF600C">
        <w:rPr>
          <w:rFonts w:cs="Calibri"/>
          <w:sz w:val="20"/>
        </w:rPr>
        <w:t>populations</w:t>
      </w:r>
      <w:proofErr w:type="gramEnd"/>
      <w:r w:rsidRPr="00AF600C">
        <w:rPr>
          <w:rFonts w:cs="Calibri"/>
          <w:sz w:val="20"/>
        </w:rPr>
        <w:t xml:space="preserve"> </w:t>
      </w:r>
    </w:p>
    <w:tbl>
      <w:tblPr>
        <w:tblStyle w:val="TableGrid"/>
        <w:tblW w:w="5000" w:type="pct"/>
        <w:tblLook w:val="04A0" w:firstRow="1" w:lastRow="0" w:firstColumn="1" w:lastColumn="0" w:noHBand="0" w:noVBand="1"/>
      </w:tblPr>
      <w:tblGrid>
        <w:gridCol w:w="1781"/>
        <w:gridCol w:w="1210"/>
        <w:gridCol w:w="1323"/>
        <w:gridCol w:w="1187"/>
        <w:gridCol w:w="1191"/>
        <w:gridCol w:w="1338"/>
        <w:gridCol w:w="1435"/>
      </w:tblGrid>
      <w:tr w:rsidR="006E38F9" w:rsidRPr="002D004D" w14:paraId="3636EFC7" w14:textId="77777777" w:rsidTr="00462B4B">
        <w:trPr>
          <w:trHeight w:val="244"/>
        </w:trPr>
        <w:tc>
          <w:tcPr>
            <w:tcW w:w="941" w:type="pct"/>
            <w:tcBorders>
              <w:top w:val="single" w:sz="4" w:space="0" w:color="auto"/>
              <w:left w:val="single" w:sz="4" w:space="0" w:color="auto"/>
              <w:bottom w:val="single" w:sz="4" w:space="0" w:color="auto"/>
              <w:right w:val="single" w:sz="4" w:space="0" w:color="auto"/>
            </w:tcBorders>
            <w:vAlign w:val="center"/>
          </w:tcPr>
          <w:p w14:paraId="3C28243C" w14:textId="77777777" w:rsidR="006E38F9" w:rsidRDefault="006E38F9" w:rsidP="00462B4B">
            <w:pPr>
              <w:pStyle w:val="Tableheading"/>
            </w:pPr>
          </w:p>
        </w:tc>
        <w:tc>
          <w:tcPr>
            <w:tcW w:w="1338" w:type="pct"/>
            <w:gridSpan w:val="2"/>
            <w:tcBorders>
              <w:top w:val="single" w:sz="4" w:space="0" w:color="auto"/>
              <w:left w:val="single" w:sz="4" w:space="0" w:color="auto"/>
              <w:bottom w:val="single" w:sz="4" w:space="0" w:color="auto"/>
              <w:right w:val="single" w:sz="4" w:space="0" w:color="auto"/>
            </w:tcBorders>
            <w:vAlign w:val="center"/>
          </w:tcPr>
          <w:p w14:paraId="6B02F24D" w14:textId="77777777" w:rsidR="006E38F9" w:rsidRDefault="006E38F9" w:rsidP="00462B4B">
            <w:pPr>
              <w:pStyle w:val="Tableheading"/>
              <w:jc w:val="center"/>
            </w:pPr>
            <w:r>
              <w:t>Cohort 2- ITT HRR def</w:t>
            </w:r>
          </w:p>
        </w:tc>
        <w:tc>
          <w:tcPr>
            <w:tcW w:w="1256" w:type="pct"/>
            <w:gridSpan w:val="2"/>
            <w:tcBorders>
              <w:top w:val="single" w:sz="4" w:space="0" w:color="auto"/>
              <w:left w:val="single" w:sz="4" w:space="0" w:color="auto"/>
              <w:bottom w:val="single" w:sz="4" w:space="0" w:color="auto"/>
              <w:right w:val="single" w:sz="4" w:space="0" w:color="auto"/>
            </w:tcBorders>
            <w:vAlign w:val="center"/>
          </w:tcPr>
          <w:p w14:paraId="6B167260" w14:textId="77777777" w:rsidR="006E38F9" w:rsidRPr="002D004D" w:rsidRDefault="006E38F9" w:rsidP="00462B4B">
            <w:pPr>
              <w:pStyle w:val="Tableheading"/>
              <w:jc w:val="center"/>
            </w:pPr>
            <w:r>
              <w:t>Cohort 2 – BRCA1/2</w:t>
            </w:r>
          </w:p>
        </w:tc>
        <w:tc>
          <w:tcPr>
            <w:tcW w:w="1465" w:type="pct"/>
            <w:gridSpan w:val="2"/>
            <w:tcBorders>
              <w:top w:val="single" w:sz="4" w:space="0" w:color="auto"/>
              <w:left w:val="single" w:sz="4" w:space="0" w:color="auto"/>
              <w:bottom w:val="single" w:sz="4" w:space="0" w:color="auto"/>
              <w:right w:val="single" w:sz="4" w:space="0" w:color="auto"/>
            </w:tcBorders>
          </w:tcPr>
          <w:p w14:paraId="572EB732" w14:textId="77777777" w:rsidR="006E38F9" w:rsidRPr="002D004D" w:rsidRDefault="006E38F9" w:rsidP="00462B4B">
            <w:pPr>
              <w:pStyle w:val="Tableheading"/>
              <w:jc w:val="center"/>
            </w:pPr>
            <w:r>
              <w:t>Cohort 2 – non-BRCA1/2</w:t>
            </w:r>
          </w:p>
        </w:tc>
      </w:tr>
      <w:tr w:rsidR="006E38F9" w:rsidRPr="002D004D" w14:paraId="6ABC2251" w14:textId="77777777" w:rsidTr="00462B4B">
        <w:trPr>
          <w:trHeight w:val="244"/>
        </w:trPr>
        <w:tc>
          <w:tcPr>
            <w:tcW w:w="941" w:type="pct"/>
            <w:tcBorders>
              <w:top w:val="single" w:sz="4" w:space="0" w:color="auto"/>
              <w:left w:val="single" w:sz="4" w:space="0" w:color="auto"/>
              <w:bottom w:val="single" w:sz="4" w:space="0" w:color="auto"/>
              <w:right w:val="single" w:sz="4" w:space="0" w:color="auto"/>
            </w:tcBorders>
            <w:vAlign w:val="center"/>
            <w:hideMark/>
          </w:tcPr>
          <w:p w14:paraId="74996D5F" w14:textId="77777777" w:rsidR="006E38F9" w:rsidRPr="002D004D" w:rsidRDefault="006E38F9" w:rsidP="00462B4B">
            <w:pPr>
              <w:pStyle w:val="Tableheading"/>
            </w:pPr>
          </w:p>
        </w:tc>
        <w:tc>
          <w:tcPr>
            <w:tcW w:w="639" w:type="pct"/>
            <w:tcBorders>
              <w:top w:val="single" w:sz="4" w:space="0" w:color="auto"/>
              <w:left w:val="single" w:sz="4" w:space="0" w:color="auto"/>
              <w:bottom w:val="single" w:sz="4" w:space="0" w:color="auto"/>
              <w:right w:val="single" w:sz="4" w:space="0" w:color="auto"/>
            </w:tcBorders>
            <w:vAlign w:val="center"/>
            <w:hideMark/>
          </w:tcPr>
          <w:p w14:paraId="3D05CBAD" w14:textId="77777777" w:rsidR="006E38F9" w:rsidRDefault="006E38F9" w:rsidP="00462B4B">
            <w:pPr>
              <w:pStyle w:val="Tableheading"/>
              <w:jc w:val="center"/>
            </w:pPr>
            <w:r>
              <w:t>TAL</w:t>
            </w:r>
            <w:r w:rsidRPr="002D004D">
              <w:t xml:space="preserve"> + </w:t>
            </w:r>
            <w:r>
              <w:t>ENZ</w:t>
            </w:r>
          </w:p>
          <w:p w14:paraId="2263708F" w14:textId="77777777" w:rsidR="006E38F9" w:rsidRPr="002D004D" w:rsidRDefault="006E38F9" w:rsidP="00462B4B">
            <w:pPr>
              <w:pStyle w:val="Tableheading"/>
              <w:jc w:val="center"/>
            </w:pPr>
            <w:r>
              <w:t>N=200</w:t>
            </w:r>
          </w:p>
        </w:tc>
        <w:tc>
          <w:tcPr>
            <w:tcW w:w="699" w:type="pct"/>
            <w:tcBorders>
              <w:top w:val="single" w:sz="4" w:space="0" w:color="auto"/>
              <w:left w:val="single" w:sz="4" w:space="0" w:color="auto"/>
              <w:bottom w:val="single" w:sz="4" w:space="0" w:color="auto"/>
              <w:right w:val="single" w:sz="4" w:space="0" w:color="auto"/>
            </w:tcBorders>
            <w:vAlign w:val="center"/>
            <w:hideMark/>
          </w:tcPr>
          <w:p w14:paraId="5BE1E714" w14:textId="77777777" w:rsidR="006E38F9" w:rsidRDefault="006E38F9" w:rsidP="00462B4B">
            <w:pPr>
              <w:pStyle w:val="Tableheading"/>
              <w:jc w:val="center"/>
            </w:pPr>
            <w:r>
              <w:t>PBO + ENZ</w:t>
            </w:r>
          </w:p>
          <w:p w14:paraId="046ACEE6" w14:textId="77777777" w:rsidR="006E38F9" w:rsidRPr="002D004D" w:rsidRDefault="006E38F9" w:rsidP="00462B4B">
            <w:pPr>
              <w:pStyle w:val="Tableheading"/>
              <w:jc w:val="center"/>
            </w:pPr>
            <w:r>
              <w:t>N=199</w:t>
            </w:r>
          </w:p>
        </w:tc>
        <w:tc>
          <w:tcPr>
            <w:tcW w:w="627" w:type="pct"/>
            <w:tcBorders>
              <w:top w:val="single" w:sz="4" w:space="0" w:color="auto"/>
              <w:left w:val="single" w:sz="4" w:space="0" w:color="auto"/>
              <w:bottom w:val="single" w:sz="4" w:space="0" w:color="auto"/>
              <w:right w:val="single" w:sz="4" w:space="0" w:color="auto"/>
            </w:tcBorders>
            <w:vAlign w:val="center"/>
            <w:hideMark/>
          </w:tcPr>
          <w:p w14:paraId="108FFEDC" w14:textId="77777777" w:rsidR="006E38F9" w:rsidRDefault="006E38F9" w:rsidP="00462B4B">
            <w:pPr>
              <w:pStyle w:val="Tableheading"/>
              <w:jc w:val="center"/>
            </w:pPr>
            <w:r>
              <w:t>TAL</w:t>
            </w:r>
            <w:r w:rsidRPr="002D004D">
              <w:t xml:space="preserve"> + </w:t>
            </w:r>
            <w:r>
              <w:t>ENZ</w:t>
            </w:r>
          </w:p>
          <w:p w14:paraId="7F310553" w14:textId="77777777" w:rsidR="006E38F9" w:rsidRPr="002D004D" w:rsidRDefault="006E38F9" w:rsidP="00462B4B">
            <w:pPr>
              <w:pStyle w:val="Tableheading"/>
              <w:jc w:val="center"/>
            </w:pPr>
            <w:r>
              <w:t>N=71</w:t>
            </w:r>
          </w:p>
        </w:tc>
        <w:tc>
          <w:tcPr>
            <w:tcW w:w="629" w:type="pct"/>
            <w:tcBorders>
              <w:top w:val="single" w:sz="4" w:space="0" w:color="auto"/>
              <w:left w:val="single" w:sz="4" w:space="0" w:color="auto"/>
              <w:bottom w:val="single" w:sz="4" w:space="0" w:color="auto"/>
              <w:right w:val="single" w:sz="4" w:space="0" w:color="auto"/>
            </w:tcBorders>
            <w:vAlign w:val="center"/>
            <w:hideMark/>
          </w:tcPr>
          <w:p w14:paraId="16A64554" w14:textId="77777777" w:rsidR="006E38F9" w:rsidRDefault="006E38F9" w:rsidP="00462B4B">
            <w:pPr>
              <w:pStyle w:val="Tableheading"/>
              <w:jc w:val="center"/>
            </w:pPr>
            <w:r>
              <w:t>PBO + ENZ</w:t>
            </w:r>
          </w:p>
          <w:p w14:paraId="03BE6AE1" w14:textId="77777777" w:rsidR="006E38F9" w:rsidRPr="002D004D" w:rsidRDefault="006E38F9" w:rsidP="00462B4B">
            <w:pPr>
              <w:pStyle w:val="Tableheading"/>
              <w:jc w:val="center"/>
            </w:pPr>
            <w:r>
              <w:t>N=84</w:t>
            </w:r>
          </w:p>
        </w:tc>
        <w:tc>
          <w:tcPr>
            <w:tcW w:w="707" w:type="pct"/>
            <w:tcBorders>
              <w:top w:val="single" w:sz="4" w:space="0" w:color="auto"/>
              <w:left w:val="single" w:sz="4" w:space="0" w:color="auto"/>
              <w:bottom w:val="single" w:sz="4" w:space="0" w:color="auto"/>
              <w:right w:val="single" w:sz="4" w:space="0" w:color="auto"/>
            </w:tcBorders>
            <w:vAlign w:val="center"/>
          </w:tcPr>
          <w:p w14:paraId="3B16F887" w14:textId="77777777" w:rsidR="006E38F9" w:rsidRDefault="006E38F9" w:rsidP="00462B4B">
            <w:pPr>
              <w:pStyle w:val="Tableheading"/>
              <w:jc w:val="center"/>
            </w:pPr>
            <w:r>
              <w:t>TAL</w:t>
            </w:r>
            <w:r w:rsidRPr="002D004D">
              <w:t xml:space="preserve"> + </w:t>
            </w:r>
            <w:r>
              <w:t>ENZ</w:t>
            </w:r>
          </w:p>
          <w:p w14:paraId="7B49351F" w14:textId="77777777" w:rsidR="006E38F9" w:rsidRPr="002D004D" w:rsidRDefault="006E38F9" w:rsidP="00462B4B">
            <w:pPr>
              <w:pStyle w:val="Tableheading"/>
              <w:jc w:val="center"/>
            </w:pPr>
            <w:r>
              <w:t>N=127</w:t>
            </w:r>
          </w:p>
        </w:tc>
        <w:tc>
          <w:tcPr>
            <w:tcW w:w="758" w:type="pct"/>
            <w:tcBorders>
              <w:top w:val="single" w:sz="4" w:space="0" w:color="auto"/>
              <w:left w:val="single" w:sz="4" w:space="0" w:color="auto"/>
              <w:bottom w:val="single" w:sz="4" w:space="0" w:color="auto"/>
              <w:right w:val="single" w:sz="4" w:space="0" w:color="auto"/>
            </w:tcBorders>
            <w:vAlign w:val="center"/>
          </w:tcPr>
          <w:p w14:paraId="4287DD8C" w14:textId="77777777" w:rsidR="006E38F9" w:rsidRDefault="006E38F9" w:rsidP="00462B4B">
            <w:pPr>
              <w:pStyle w:val="Tableheading"/>
              <w:jc w:val="center"/>
            </w:pPr>
            <w:r>
              <w:t>PBO + ENZ</w:t>
            </w:r>
          </w:p>
          <w:p w14:paraId="714B244A" w14:textId="77777777" w:rsidR="006E38F9" w:rsidRPr="002D004D" w:rsidRDefault="006E38F9" w:rsidP="00462B4B">
            <w:pPr>
              <w:pStyle w:val="Tableheading"/>
              <w:jc w:val="center"/>
            </w:pPr>
            <w:r>
              <w:t>N=113</w:t>
            </w:r>
          </w:p>
        </w:tc>
      </w:tr>
      <w:tr w:rsidR="006E38F9" w:rsidRPr="002D004D" w14:paraId="3CA2F9AE" w14:textId="77777777" w:rsidTr="00462B4B">
        <w:trPr>
          <w:trHeight w:val="244"/>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7D6BF2" w14:textId="77777777" w:rsidR="006E38F9" w:rsidRDefault="006E38F9" w:rsidP="00462B4B">
            <w:pPr>
              <w:keepNext/>
              <w:contextualSpacing/>
              <w:rPr>
                <w:rFonts w:asciiTheme="minorHAnsi" w:hAnsiTheme="minorHAnsi"/>
                <w:b/>
                <w:bCs/>
              </w:rPr>
            </w:pPr>
            <w:proofErr w:type="spellStart"/>
            <w:r>
              <w:rPr>
                <w:rFonts w:asciiTheme="minorHAnsi" w:hAnsiTheme="minorHAnsi"/>
                <w:b/>
                <w:bCs/>
              </w:rPr>
              <w:t>rPFS</w:t>
            </w:r>
            <w:proofErr w:type="spellEnd"/>
            <w:r>
              <w:rPr>
                <w:rFonts w:asciiTheme="minorHAnsi" w:hAnsiTheme="minorHAnsi"/>
                <w:b/>
                <w:bCs/>
              </w:rPr>
              <w:t xml:space="preserve"> - BICR</w:t>
            </w:r>
            <w:r w:rsidRPr="002D004D">
              <w:rPr>
                <w:rFonts w:asciiTheme="minorHAnsi" w:hAnsiTheme="minorHAnsi"/>
                <w:b/>
                <w:bCs/>
              </w:rPr>
              <w:t xml:space="preserve"> </w:t>
            </w:r>
            <w:r>
              <w:rPr>
                <w:rFonts w:asciiTheme="minorHAnsi" w:hAnsiTheme="minorHAnsi"/>
                <w:b/>
                <w:bCs/>
              </w:rPr>
              <w:t>(IA 03 October 2022)</w:t>
            </w:r>
          </w:p>
        </w:tc>
      </w:tr>
      <w:tr w:rsidR="006E38F9" w:rsidRPr="002D004D" w14:paraId="73A79B75" w14:textId="77777777" w:rsidTr="00462B4B">
        <w:trPr>
          <w:trHeight w:val="244"/>
        </w:trPr>
        <w:tc>
          <w:tcPr>
            <w:tcW w:w="941" w:type="pct"/>
            <w:tcBorders>
              <w:top w:val="single" w:sz="4" w:space="0" w:color="auto"/>
              <w:left w:val="single" w:sz="4" w:space="0" w:color="auto"/>
              <w:bottom w:val="single" w:sz="4" w:space="0" w:color="auto"/>
              <w:right w:val="single" w:sz="4" w:space="0" w:color="auto"/>
            </w:tcBorders>
            <w:vAlign w:val="center"/>
            <w:hideMark/>
          </w:tcPr>
          <w:p w14:paraId="53516F16" w14:textId="77777777" w:rsidR="006E38F9" w:rsidRPr="002D004D" w:rsidRDefault="006E38F9" w:rsidP="00462B4B">
            <w:pPr>
              <w:pStyle w:val="Tabletext"/>
            </w:pPr>
            <w:r w:rsidRPr="002D004D">
              <w:t>Events, n (%</w:t>
            </w:r>
          </w:p>
        </w:tc>
        <w:tc>
          <w:tcPr>
            <w:tcW w:w="639" w:type="pct"/>
            <w:tcBorders>
              <w:top w:val="single" w:sz="4" w:space="0" w:color="auto"/>
              <w:left w:val="single" w:sz="4" w:space="0" w:color="auto"/>
              <w:bottom w:val="single" w:sz="4" w:space="0" w:color="auto"/>
              <w:right w:val="single" w:sz="4" w:space="0" w:color="auto"/>
            </w:tcBorders>
            <w:vAlign w:val="center"/>
            <w:hideMark/>
          </w:tcPr>
          <w:p w14:paraId="761F87E4" w14:textId="77777777" w:rsidR="006E38F9" w:rsidRPr="002D004D" w:rsidRDefault="006E38F9" w:rsidP="00462B4B">
            <w:pPr>
              <w:pStyle w:val="Tabletext"/>
              <w:jc w:val="center"/>
            </w:pPr>
            <w:r>
              <w:t>66</w:t>
            </w:r>
            <w:r w:rsidRPr="002D004D">
              <w:t xml:space="preserve"> (</w:t>
            </w:r>
            <w:r>
              <w:t>33.0</w:t>
            </w:r>
            <w:r w:rsidRPr="002D004D">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2AD1B0F" w14:textId="77777777" w:rsidR="006E38F9" w:rsidRPr="002D004D" w:rsidRDefault="006E38F9" w:rsidP="00462B4B">
            <w:pPr>
              <w:pStyle w:val="Tabletext"/>
              <w:jc w:val="center"/>
            </w:pPr>
            <w:r w:rsidRPr="00A86C0D">
              <w:t>104 (52.3)</w:t>
            </w:r>
          </w:p>
        </w:tc>
        <w:tc>
          <w:tcPr>
            <w:tcW w:w="627" w:type="pct"/>
            <w:tcBorders>
              <w:top w:val="single" w:sz="4" w:space="0" w:color="auto"/>
              <w:left w:val="single" w:sz="4" w:space="0" w:color="auto"/>
              <w:bottom w:val="single" w:sz="4" w:space="0" w:color="auto"/>
              <w:right w:val="single" w:sz="4" w:space="0" w:color="auto"/>
            </w:tcBorders>
            <w:vAlign w:val="center"/>
            <w:hideMark/>
          </w:tcPr>
          <w:p w14:paraId="35F3D136" w14:textId="77777777" w:rsidR="006E38F9" w:rsidRPr="002D004D" w:rsidRDefault="006E38F9" w:rsidP="00462B4B">
            <w:pPr>
              <w:pStyle w:val="Tabletext"/>
              <w:jc w:val="center"/>
            </w:pPr>
            <w:r>
              <w:t>15</w:t>
            </w:r>
            <w:r w:rsidRPr="002D004D">
              <w:t xml:space="preserve"> (</w:t>
            </w:r>
            <w:r>
              <w:t>21.1</w:t>
            </w:r>
            <w:r w:rsidRPr="002D004D">
              <w:t>)</w:t>
            </w:r>
          </w:p>
        </w:tc>
        <w:tc>
          <w:tcPr>
            <w:tcW w:w="629" w:type="pct"/>
            <w:tcBorders>
              <w:top w:val="single" w:sz="4" w:space="0" w:color="auto"/>
              <w:left w:val="single" w:sz="4" w:space="0" w:color="auto"/>
              <w:bottom w:val="single" w:sz="4" w:space="0" w:color="auto"/>
              <w:right w:val="single" w:sz="4" w:space="0" w:color="auto"/>
            </w:tcBorders>
            <w:vAlign w:val="center"/>
            <w:hideMark/>
          </w:tcPr>
          <w:p w14:paraId="65ADD863" w14:textId="77777777" w:rsidR="006E38F9" w:rsidRPr="002D004D" w:rsidRDefault="006E38F9" w:rsidP="00462B4B">
            <w:pPr>
              <w:pStyle w:val="Tabletext"/>
              <w:jc w:val="center"/>
            </w:pPr>
            <w:r>
              <w:t>54</w:t>
            </w:r>
            <w:r w:rsidRPr="00A86C0D">
              <w:t xml:space="preserve"> (</w:t>
            </w:r>
            <w:r>
              <w:t>64</w:t>
            </w:r>
            <w:r w:rsidRPr="00A86C0D">
              <w:t>.3)</w:t>
            </w:r>
          </w:p>
        </w:tc>
        <w:tc>
          <w:tcPr>
            <w:tcW w:w="707" w:type="pct"/>
            <w:tcBorders>
              <w:top w:val="single" w:sz="4" w:space="0" w:color="auto"/>
              <w:left w:val="single" w:sz="4" w:space="0" w:color="auto"/>
              <w:bottom w:val="single" w:sz="4" w:space="0" w:color="auto"/>
              <w:right w:val="single" w:sz="4" w:space="0" w:color="auto"/>
            </w:tcBorders>
            <w:vAlign w:val="center"/>
          </w:tcPr>
          <w:p w14:paraId="59532AA6" w14:textId="77777777" w:rsidR="006E38F9" w:rsidRPr="002D004D" w:rsidRDefault="006E38F9" w:rsidP="00462B4B">
            <w:pPr>
              <w:pStyle w:val="Tabletext"/>
              <w:jc w:val="center"/>
            </w:pPr>
            <w:r w:rsidRPr="00064DAC">
              <w:t>5</w:t>
            </w:r>
            <w:r>
              <w:t>0</w:t>
            </w:r>
            <w:r w:rsidRPr="00064DAC">
              <w:t xml:space="preserve"> (</w:t>
            </w:r>
            <w:r>
              <w:t>39</w:t>
            </w:r>
            <w:r w:rsidRPr="00064DAC">
              <w:t>.</w:t>
            </w:r>
            <w:r>
              <w:t>4</w:t>
            </w:r>
            <w:r w:rsidRPr="00064DAC">
              <w:t>)</w:t>
            </w:r>
          </w:p>
        </w:tc>
        <w:tc>
          <w:tcPr>
            <w:tcW w:w="758" w:type="pct"/>
            <w:tcBorders>
              <w:top w:val="single" w:sz="4" w:space="0" w:color="auto"/>
              <w:left w:val="single" w:sz="4" w:space="0" w:color="auto"/>
              <w:bottom w:val="single" w:sz="4" w:space="0" w:color="auto"/>
              <w:right w:val="single" w:sz="4" w:space="0" w:color="auto"/>
            </w:tcBorders>
            <w:vAlign w:val="center"/>
          </w:tcPr>
          <w:p w14:paraId="66981697" w14:textId="77777777" w:rsidR="006E38F9" w:rsidRPr="002D004D" w:rsidRDefault="006E38F9" w:rsidP="00462B4B">
            <w:pPr>
              <w:pStyle w:val="Tabletext"/>
              <w:jc w:val="center"/>
            </w:pPr>
            <w:r>
              <w:t>50</w:t>
            </w:r>
            <w:r w:rsidRPr="00064DAC">
              <w:t xml:space="preserve"> (4</w:t>
            </w:r>
            <w:r>
              <w:t>4</w:t>
            </w:r>
            <w:r w:rsidRPr="00064DAC">
              <w:t>.2)</w:t>
            </w:r>
          </w:p>
        </w:tc>
      </w:tr>
      <w:tr w:rsidR="006E38F9" w:rsidRPr="002D004D" w14:paraId="7C71C221" w14:textId="77777777" w:rsidTr="00462B4B">
        <w:trPr>
          <w:trHeight w:val="244"/>
        </w:trPr>
        <w:tc>
          <w:tcPr>
            <w:tcW w:w="941" w:type="pct"/>
            <w:tcBorders>
              <w:top w:val="single" w:sz="4" w:space="0" w:color="auto"/>
              <w:left w:val="single" w:sz="4" w:space="0" w:color="auto"/>
              <w:bottom w:val="single" w:sz="4" w:space="0" w:color="auto"/>
              <w:right w:val="single" w:sz="4" w:space="0" w:color="auto"/>
            </w:tcBorders>
            <w:vAlign w:val="center"/>
            <w:hideMark/>
          </w:tcPr>
          <w:p w14:paraId="0003DA55" w14:textId="77777777" w:rsidR="006E38F9" w:rsidRPr="002D004D" w:rsidRDefault="006E38F9" w:rsidP="00462B4B">
            <w:pPr>
              <w:pStyle w:val="Tabletext"/>
            </w:pPr>
            <w:r w:rsidRPr="002D004D">
              <w:t xml:space="preserve">Median (95% CI), months </w:t>
            </w:r>
          </w:p>
        </w:tc>
        <w:tc>
          <w:tcPr>
            <w:tcW w:w="639" w:type="pct"/>
            <w:tcBorders>
              <w:top w:val="single" w:sz="4" w:space="0" w:color="auto"/>
              <w:left w:val="single" w:sz="4" w:space="0" w:color="auto"/>
              <w:bottom w:val="single" w:sz="4" w:space="0" w:color="auto"/>
              <w:right w:val="single" w:sz="4" w:space="0" w:color="auto"/>
            </w:tcBorders>
            <w:vAlign w:val="center"/>
            <w:hideMark/>
          </w:tcPr>
          <w:p w14:paraId="2EDBA80D" w14:textId="77777777" w:rsidR="006E38F9" w:rsidRPr="002D004D" w:rsidRDefault="006E38F9" w:rsidP="00462B4B">
            <w:pPr>
              <w:pStyle w:val="Tabletext"/>
              <w:jc w:val="center"/>
            </w:pPr>
            <w:r w:rsidRPr="00A86C0D">
              <w:t>N</w:t>
            </w:r>
            <w:r>
              <w:t xml:space="preserve">R </w:t>
            </w:r>
            <w:r w:rsidRPr="00A86C0D">
              <w:t>(21.9, N</w:t>
            </w:r>
            <w:r>
              <w:t>R</w:t>
            </w:r>
            <w:r w:rsidRPr="00A86C0D">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BCAC4E7" w14:textId="77777777" w:rsidR="006E38F9" w:rsidRPr="002D004D" w:rsidRDefault="006E38F9" w:rsidP="00462B4B">
            <w:pPr>
              <w:pStyle w:val="Tabletext"/>
              <w:jc w:val="center"/>
            </w:pPr>
            <w:r w:rsidRPr="00A86C0D">
              <w:t>13.8 (11.0, 16.7)</w:t>
            </w:r>
          </w:p>
        </w:tc>
        <w:tc>
          <w:tcPr>
            <w:tcW w:w="627" w:type="pct"/>
            <w:tcBorders>
              <w:top w:val="single" w:sz="4" w:space="0" w:color="auto"/>
              <w:left w:val="single" w:sz="4" w:space="0" w:color="auto"/>
              <w:bottom w:val="single" w:sz="4" w:space="0" w:color="auto"/>
              <w:right w:val="single" w:sz="4" w:space="0" w:color="auto"/>
            </w:tcBorders>
            <w:vAlign w:val="center"/>
            <w:hideMark/>
          </w:tcPr>
          <w:p w14:paraId="6CF0B2D6" w14:textId="77777777" w:rsidR="006E38F9" w:rsidRPr="002D004D" w:rsidRDefault="006E38F9" w:rsidP="00462B4B">
            <w:pPr>
              <w:pStyle w:val="Tabletext"/>
              <w:jc w:val="center"/>
            </w:pPr>
            <w:r w:rsidRPr="00A86C0D">
              <w:t>N</w:t>
            </w:r>
            <w:r>
              <w:t>R</w:t>
            </w:r>
            <w:r w:rsidRPr="00A86C0D">
              <w:t xml:space="preserve"> (</w:t>
            </w:r>
            <w:r>
              <w:t>NR</w:t>
            </w:r>
            <w:r w:rsidRPr="00A86C0D">
              <w:t>, N</w:t>
            </w:r>
            <w:r>
              <w:t>R</w:t>
            </w:r>
            <w:r w:rsidRPr="00A86C0D">
              <w:t>)</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09A6E3" w14:textId="77777777" w:rsidR="006E38F9" w:rsidRPr="002D004D" w:rsidRDefault="006E38F9" w:rsidP="00462B4B">
            <w:pPr>
              <w:pStyle w:val="Tabletext"/>
              <w:jc w:val="center"/>
            </w:pPr>
            <w:r w:rsidRPr="00A86C0D">
              <w:t>1</w:t>
            </w:r>
            <w:r>
              <w:t>1</w:t>
            </w:r>
            <w:r w:rsidRPr="00A86C0D">
              <w:t>.</w:t>
            </w:r>
            <w:r>
              <w:t>0</w:t>
            </w:r>
            <w:r w:rsidRPr="00A86C0D">
              <w:t xml:space="preserve"> (</w:t>
            </w:r>
            <w:r>
              <w:t>8</w:t>
            </w:r>
            <w:r w:rsidRPr="00A86C0D">
              <w:t>.</w:t>
            </w:r>
            <w:r>
              <w:t>3</w:t>
            </w:r>
            <w:r w:rsidRPr="00A86C0D">
              <w:t>, 1</w:t>
            </w:r>
            <w:r>
              <w:t>1</w:t>
            </w:r>
            <w:r w:rsidRPr="00A86C0D">
              <w:t>.</w:t>
            </w:r>
            <w:r>
              <w:t>1</w:t>
            </w:r>
            <w:r w:rsidRPr="00A86C0D">
              <w:t>)</w:t>
            </w:r>
          </w:p>
        </w:tc>
        <w:tc>
          <w:tcPr>
            <w:tcW w:w="707" w:type="pct"/>
            <w:tcBorders>
              <w:top w:val="single" w:sz="4" w:space="0" w:color="auto"/>
              <w:left w:val="single" w:sz="4" w:space="0" w:color="auto"/>
              <w:bottom w:val="single" w:sz="4" w:space="0" w:color="auto"/>
              <w:right w:val="single" w:sz="4" w:space="0" w:color="auto"/>
            </w:tcBorders>
            <w:vAlign w:val="center"/>
          </w:tcPr>
          <w:p w14:paraId="32544914" w14:textId="77777777" w:rsidR="006E38F9" w:rsidRPr="002D004D" w:rsidRDefault="006E38F9" w:rsidP="00462B4B">
            <w:pPr>
              <w:pStyle w:val="Tabletext"/>
              <w:jc w:val="center"/>
            </w:pPr>
            <w:r>
              <w:t>24.7</w:t>
            </w:r>
            <w:r w:rsidRPr="00064DAC">
              <w:t xml:space="preserve"> (</w:t>
            </w:r>
            <w:r>
              <w:t>16.4</w:t>
            </w:r>
            <w:r w:rsidRPr="00064DAC">
              <w:t>, N</w:t>
            </w:r>
            <w:r>
              <w:t>R</w:t>
            </w:r>
            <w:r w:rsidRPr="00064DAC">
              <w:t>)</w:t>
            </w:r>
          </w:p>
        </w:tc>
        <w:tc>
          <w:tcPr>
            <w:tcW w:w="758" w:type="pct"/>
            <w:tcBorders>
              <w:top w:val="single" w:sz="4" w:space="0" w:color="auto"/>
              <w:left w:val="single" w:sz="4" w:space="0" w:color="auto"/>
              <w:bottom w:val="single" w:sz="4" w:space="0" w:color="auto"/>
              <w:right w:val="single" w:sz="4" w:space="0" w:color="auto"/>
            </w:tcBorders>
            <w:vAlign w:val="center"/>
          </w:tcPr>
          <w:p w14:paraId="66844C58" w14:textId="77777777" w:rsidR="006E38F9" w:rsidRPr="002D004D" w:rsidRDefault="006E38F9" w:rsidP="00462B4B">
            <w:pPr>
              <w:pStyle w:val="Tabletext"/>
              <w:jc w:val="center"/>
            </w:pPr>
            <w:r w:rsidRPr="00064DAC">
              <w:t>16.</w:t>
            </w:r>
            <w:r>
              <w:t>7</w:t>
            </w:r>
            <w:r w:rsidRPr="00064DAC">
              <w:t xml:space="preserve"> (13.</w:t>
            </w:r>
            <w:r>
              <w:t>8</w:t>
            </w:r>
            <w:r w:rsidRPr="00064DAC">
              <w:t>, 2</w:t>
            </w:r>
            <w:r>
              <w:t>7</w:t>
            </w:r>
            <w:r w:rsidRPr="00064DAC">
              <w:t>.</w:t>
            </w:r>
            <w:r>
              <w:t>7</w:t>
            </w:r>
            <w:r w:rsidRPr="00064DAC">
              <w:t>)</w:t>
            </w:r>
          </w:p>
        </w:tc>
      </w:tr>
      <w:tr w:rsidR="006E38F9" w:rsidRPr="002D004D" w14:paraId="31074447" w14:textId="77777777" w:rsidTr="00462B4B">
        <w:trPr>
          <w:trHeight w:val="253"/>
        </w:trPr>
        <w:tc>
          <w:tcPr>
            <w:tcW w:w="941" w:type="pct"/>
            <w:tcBorders>
              <w:top w:val="single" w:sz="4" w:space="0" w:color="auto"/>
              <w:left w:val="single" w:sz="4" w:space="0" w:color="auto"/>
              <w:bottom w:val="single" w:sz="4" w:space="0" w:color="auto"/>
              <w:right w:val="single" w:sz="4" w:space="0" w:color="auto"/>
            </w:tcBorders>
          </w:tcPr>
          <w:p w14:paraId="333156FD" w14:textId="77777777" w:rsidR="006E38F9" w:rsidRPr="002D004D" w:rsidRDefault="006E38F9" w:rsidP="00462B4B">
            <w:pPr>
              <w:pStyle w:val="Tabletext"/>
            </w:pPr>
            <w:r>
              <w:t>HR (95% CI)</w:t>
            </w:r>
          </w:p>
        </w:tc>
        <w:tc>
          <w:tcPr>
            <w:tcW w:w="1338" w:type="pct"/>
            <w:gridSpan w:val="2"/>
            <w:tcBorders>
              <w:top w:val="single" w:sz="4" w:space="0" w:color="auto"/>
              <w:left w:val="single" w:sz="4" w:space="0" w:color="auto"/>
              <w:bottom w:val="single" w:sz="4" w:space="0" w:color="auto"/>
              <w:right w:val="single" w:sz="4" w:space="0" w:color="auto"/>
            </w:tcBorders>
          </w:tcPr>
          <w:p w14:paraId="06E2EA13" w14:textId="77777777" w:rsidR="006E38F9" w:rsidRDefault="006E38F9" w:rsidP="00462B4B">
            <w:pPr>
              <w:pStyle w:val="Tabletext"/>
              <w:jc w:val="center"/>
            </w:pPr>
            <w:r w:rsidRPr="000A4AC7">
              <w:t>0.45 (0.33, 0.61)</w:t>
            </w:r>
          </w:p>
        </w:tc>
        <w:tc>
          <w:tcPr>
            <w:tcW w:w="1256" w:type="pct"/>
            <w:gridSpan w:val="2"/>
            <w:tcBorders>
              <w:top w:val="single" w:sz="4" w:space="0" w:color="auto"/>
              <w:left w:val="single" w:sz="4" w:space="0" w:color="auto"/>
              <w:bottom w:val="single" w:sz="4" w:space="0" w:color="auto"/>
              <w:right w:val="single" w:sz="4" w:space="0" w:color="auto"/>
            </w:tcBorders>
          </w:tcPr>
          <w:p w14:paraId="4A3A9D4A" w14:textId="77777777" w:rsidR="006E38F9" w:rsidRPr="002D004D" w:rsidRDefault="006E38F9" w:rsidP="00462B4B">
            <w:pPr>
              <w:pStyle w:val="Tabletext"/>
              <w:jc w:val="center"/>
            </w:pPr>
            <w:r w:rsidRPr="00FE7AE4">
              <w:t>0.20 (0.11, 0.36)</w:t>
            </w:r>
          </w:p>
        </w:tc>
        <w:tc>
          <w:tcPr>
            <w:tcW w:w="1465" w:type="pct"/>
            <w:gridSpan w:val="2"/>
            <w:tcBorders>
              <w:top w:val="single" w:sz="4" w:space="0" w:color="auto"/>
              <w:left w:val="single" w:sz="4" w:space="0" w:color="auto"/>
              <w:bottom w:val="single" w:sz="4" w:space="0" w:color="auto"/>
              <w:right w:val="single" w:sz="4" w:space="0" w:color="auto"/>
            </w:tcBorders>
          </w:tcPr>
          <w:p w14:paraId="45B0F72D" w14:textId="77777777" w:rsidR="006E38F9" w:rsidRPr="002D004D" w:rsidRDefault="006E38F9" w:rsidP="00462B4B">
            <w:pPr>
              <w:pStyle w:val="Tabletext"/>
              <w:jc w:val="center"/>
            </w:pPr>
            <w:r>
              <w:t>0.69 (0.46, 1.02)</w:t>
            </w:r>
          </w:p>
        </w:tc>
      </w:tr>
      <w:tr w:rsidR="006E38F9" w:rsidRPr="002D004D" w14:paraId="71EA09D7" w14:textId="77777777" w:rsidTr="00462B4B">
        <w:trPr>
          <w:trHeight w:val="331"/>
        </w:trPr>
        <w:tc>
          <w:tcPr>
            <w:tcW w:w="941" w:type="pct"/>
            <w:tcBorders>
              <w:top w:val="single" w:sz="4" w:space="0" w:color="auto"/>
              <w:left w:val="single" w:sz="4" w:space="0" w:color="auto"/>
              <w:bottom w:val="single" w:sz="4" w:space="0" w:color="auto"/>
              <w:right w:val="single" w:sz="4" w:space="0" w:color="auto"/>
            </w:tcBorders>
          </w:tcPr>
          <w:p w14:paraId="7ED323D7" w14:textId="77777777" w:rsidR="006E38F9" w:rsidRPr="002D004D" w:rsidRDefault="006E38F9" w:rsidP="00462B4B">
            <w:pPr>
              <w:pStyle w:val="Tabletext"/>
            </w:pPr>
            <w:r w:rsidRPr="002D004D">
              <w:t>One sided</w:t>
            </w:r>
            <w:r>
              <w:t xml:space="preserve"> </w:t>
            </w:r>
            <w:r w:rsidRPr="002D004D">
              <w:t>p-value</w:t>
            </w:r>
          </w:p>
        </w:tc>
        <w:tc>
          <w:tcPr>
            <w:tcW w:w="1338" w:type="pct"/>
            <w:gridSpan w:val="2"/>
            <w:tcBorders>
              <w:top w:val="single" w:sz="4" w:space="0" w:color="auto"/>
              <w:left w:val="single" w:sz="4" w:space="0" w:color="auto"/>
              <w:bottom w:val="single" w:sz="4" w:space="0" w:color="auto"/>
              <w:right w:val="single" w:sz="4" w:space="0" w:color="auto"/>
            </w:tcBorders>
          </w:tcPr>
          <w:p w14:paraId="0512FD53" w14:textId="77777777" w:rsidR="006E38F9" w:rsidRDefault="006E38F9" w:rsidP="00462B4B">
            <w:pPr>
              <w:pStyle w:val="Tabletext"/>
              <w:jc w:val="center"/>
            </w:pPr>
            <w:r w:rsidRPr="003D00AA">
              <w:t>&lt; 0.0001</w:t>
            </w:r>
          </w:p>
        </w:tc>
        <w:tc>
          <w:tcPr>
            <w:tcW w:w="1256" w:type="pct"/>
            <w:gridSpan w:val="2"/>
            <w:tcBorders>
              <w:top w:val="single" w:sz="4" w:space="0" w:color="auto"/>
              <w:left w:val="single" w:sz="4" w:space="0" w:color="auto"/>
              <w:bottom w:val="single" w:sz="4" w:space="0" w:color="auto"/>
              <w:right w:val="single" w:sz="4" w:space="0" w:color="auto"/>
            </w:tcBorders>
          </w:tcPr>
          <w:p w14:paraId="448D0356" w14:textId="77777777" w:rsidR="006E38F9" w:rsidRPr="002D004D" w:rsidRDefault="006E38F9" w:rsidP="00462B4B">
            <w:pPr>
              <w:pStyle w:val="Tabletext"/>
              <w:jc w:val="center"/>
            </w:pPr>
            <w:r w:rsidRPr="00FE7AE4">
              <w:t>&lt; 0.0001</w:t>
            </w:r>
          </w:p>
        </w:tc>
        <w:tc>
          <w:tcPr>
            <w:tcW w:w="1465" w:type="pct"/>
            <w:gridSpan w:val="2"/>
            <w:tcBorders>
              <w:top w:val="single" w:sz="4" w:space="0" w:color="auto"/>
              <w:left w:val="single" w:sz="4" w:space="0" w:color="auto"/>
              <w:bottom w:val="single" w:sz="4" w:space="0" w:color="auto"/>
              <w:right w:val="single" w:sz="4" w:space="0" w:color="auto"/>
            </w:tcBorders>
          </w:tcPr>
          <w:p w14:paraId="70C5DE32" w14:textId="77777777" w:rsidR="006E38F9" w:rsidRPr="002D004D" w:rsidRDefault="006E38F9" w:rsidP="00462B4B">
            <w:pPr>
              <w:pStyle w:val="Tabletext"/>
              <w:jc w:val="center"/>
            </w:pPr>
            <w:r>
              <w:t>0.0298</w:t>
            </w:r>
          </w:p>
        </w:tc>
      </w:tr>
      <w:tr w:rsidR="006E38F9" w:rsidRPr="002D004D" w14:paraId="3C65C36B" w14:textId="77777777" w:rsidTr="00462B4B">
        <w:trPr>
          <w:trHeight w:val="331"/>
        </w:trPr>
        <w:tc>
          <w:tcPr>
            <w:tcW w:w="5000" w:type="pct"/>
            <w:gridSpan w:val="7"/>
            <w:tcBorders>
              <w:top w:val="single" w:sz="4" w:space="0" w:color="auto"/>
              <w:left w:val="single" w:sz="4" w:space="0" w:color="auto"/>
              <w:bottom w:val="single" w:sz="4" w:space="0" w:color="auto"/>
              <w:right w:val="single" w:sz="4" w:space="0" w:color="auto"/>
            </w:tcBorders>
          </w:tcPr>
          <w:p w14:paraId="3A8869AD" w14:textId="77777777" w:rsidR="006E38F9" w:rsidRPr="00C31019" w:rsidRDefault="006E38F9" w:rsidP="00462B4B">
            <w:pPr>
              <w:pStyle w:val="Tabletext"/>
              <w:rPr>
                <w:b/>
                <w:bCs/>
              </w:rPr>
            </w:pPr>
            <w:r w:rsidRPr="00C31019">
              <w:rPr>
                <w:b/>
                <w:bCs/>
              </w:rPr>
              <w:t>BRCA</w:t>
            </w:r>
            <w:r>
              <w:rPr>
                <w:b/>
                <w:bCs/>
              </w:rPr>
              <w:t xml:space="preserve">1/2     </w:t>
            </w:r>
            <w:r w:rsidRPr="00C31019">
              <w:rPr>
                <w:b/>
                <w:bCs/>
              </w:rPr>
              <w:t xml:space="preserve"> 03 OCT 2022 </w:t>
            </w:r>
            <w:proofErr w:type="spellStart"/>
            <w:r w:rsidRPr="00C31019">
              <w:rPr>
                <w:b/>
                <w:bCs/>
              </w:rPr>
              <w:t>datacut</w:t>
            </w:r>
            <w:proofErr w:type="spellEnd"/>
          </w:p>
          <w:p w14:paraId="1E4AF355" w14:textId="77777777" w:rsidR="006E38F9" w:rsidRDefault="006E38F9" w:rsidP="00462B4B">
            <w:pPr>
              <w:pStyle w:val="Tabletext"/>
            </w:pPr>
            <w:r>
              <w:rPr>
                <w:noProof/>
              </w:rPr>
              <w:drawing>
                <wp:inline distT="0" distB="0" distL="0" distR="0" wp14:anchorId="2031A7CB" wp14:editId="2BFECA00">
                  <wp:extent cx="3409200" cy="215280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9200" cy="2152800"/>
                          </a:xfrm>
                          <a:prstGeom prst="rect">
                            <a:avLst/>
                          </a:prstGeom>
                          <a:noFill/>
                        </pic:spPr>
                      </pic:pic>
                    </a:graphicData>
                  </a:graphic>
                </wp:inline>
              </w:drawing>
            </w:r>
          </w:p>
        </w:tc>
      </w:tr>
    </w:tbl>
    <w:p w14:paraId="2706BAE9" w14:textId="77777777" w:rsidR="006E38F9" w:rsidRPr="00301661" w:rsidRDefault="006E38F9" w:rsidP="006E38F9">
      <w:pPr>
        <w:spacing w:after="0"/>
        <w:rPr>
          <w:rFonts w:asciiTheme="minorHAnsi" w:hAnsiTheme="minorHAnsi" w:cstheme="minorHAnsi"/>
          <w:sz w:val="18"/>
        </w:rPr>
      </w:pPr>
      <w:r>
        <w:rPr>
          <w:rFonts w:asciiTheme="minorHAnsi" w:hAnsiTheme="minorHAnsi" w:cstheme="minorHAnsi"/>
          <w:sz w:val="18"/>
        </w:rPr>
        <w:t xml:space="preserve">Source: Section 2.5 and Section 2.6.1. </w:t>
      </w:r>
      <w:r w:rsidRPr="00301661">
        <w:rPr>
          <w:rFonts w:asciiTheme="minorHAnsi" w:hAnsiTheme="minorHAnsi" w:cstheme="minorHAnsi"/>
          <w:sz w:val="18"/>
        </w:rPr>
        <w:t xml:space="preserve">Abbreviations: BICR, blinded independent central review; CI, confidence interval; ENZ, enzalutamide; HR, hazard ratio; ITT, intention-to-treat; NE, not evaluable; NR, not reached; </w:t>
      </w:r>
      <w:proofErr w:type="spellStart"/>
      <w:r w:rsidRPr="00301661">
        <w:rPr>
          <w:rFonts w:asciiTheme="minorHAnsi" w:hAnsiTheme="minorHAnsi" w:cstheme="minorHAnsi"/>
          <w:sz w:val="18"/>
        </w:rPr>
        <w:t>rPFS</w:t>
      </w:r>
      <w:proofErr w:type="spellEnd"/>
      <w:r w:rsidRPr="00301661">
        <w:rPr>
          <w:rFonts w:asciiTheme="minorHAnsi" w:hAnsiTheme="minorHAnsi" w:cstheme="minorHAnsi"/>
          <w:sz w:val="18"/>
        </w:rPr>
        <w:t xml:space="preserve">, radiographic progression-free survival; TAL, </w:t>
      </w:r>
      <w:proofErr w:type="spellStart"/>
      <w:r w:rsidRPr="00301661">
        <w:rPr>
          <w:rFonts w:asciiTheme="minorHAnsi" w:hAnsiTheme="minorHAnsi" w:cstheme="minorHAnsi"/>
          <w:sz w:val="18"/>
        </w:rPr>
        <w:t>talazoparib</w:t>
      </w:r>
      <w:proofErr w:type="spellEnd"/>
      <w:r w:rsidRPr="00301661">
        <w:rPr>
          <w:rFonts w:asciiTheme="minorHAnsi" w:hAnsiTheme="minorHAnsi" w:cstheme="minorHAnsi"/>
          <w:sz w:val="18"/>
        </w:rPr>
        <w:t>.</w:t>
      </w:r>
    </w:p>
    <w:p w14:paraId="483D4AB8" w14:textId="77777777" w:rsidR="006E38F9" w:rsidRPr="00301661" w:rsidRDefault="006E38F9" w:rsidP="006E38F9">
      <w:pPr>
        <w:spacing w:after="0"/>
        <w:rPr>
          <w:rFonts w:asciiTheme="minorHAnsi" w:hAnsiTheme="minorHAnsi" w:cstheme="minorHAnsi"/>
          <w:sz w:val="18"/>
        </w:rPr>
      </w:pPr>
      <w:r w:rsidRPr="00301661">
        <w:rPr>
          <w:rFonts w:asciiTheme="minorHAnsi" w:hAnsiTheme="minorHAnsi" w:cstheme="minorHAnsi"/>
          <w:sz w:val="18"/>
        </w:rPr>
        <w:t xml:space="preserve">For K-M estimates, CIs are calculated using Brookmeyer and Crowley method. </w:t>
      </w:r>
    </w:p>
    <w:p w14:paraId="72685905" w14:textId="77777777" w:rsidR="006E38F9" w:rsidRPr="00301661" w:rsidRDefault="006E38F9" w:rsidP="006E38F9">
      <w:pPr>
        <w:spacing w:after="0"/>
        <w:rPr>
          <w:rFonts w:asciiTheme="minorHAnsi" w:hAnsiTheme="minorHAnsi" w:cstheme="minorHAnsi"/>
          <w:sz w:val="18"/>
        </w:rPr>
      </w:pPr>
      <w:r w:rsidRPr="00301661">
        <w:rPr>
          <w:rFonts w:asciiTheme="minorHAnsi" w:hAnsiTheme="minorHAnsi" w:cstheme="minorHAnsi"/>
          <w:sz w:val="18"/>
        </w:rPr>
        <w:t>For HR and 1-sided p-value estimates, a Cox proportional hazard model and a stratified log-rank test were used, respectively.</w:t>
      </w:r>
    </w:p>
    <w:p w14:paraId="282C0F67" w14:textId="77777777" w:rsidR="006E38F9" w:rsidRDefault="006E38F9" w:rsidP="006E38F9">
      <w:pPr>
        <w:spacing w:after="0"/>
      </w:pPr>
    </w:p>
    <w:p w14:paraId="3D579C30" w14:textId="46CF5D7C" w:rsidR="006E38F9" w:rsidRPr="001168C2" w:rsidRDefault="006E38F9" w:rsidP="001311A0">
      <w:pPr>
        <w:jc w:val="both"/>
      </w:pPr>
      <w:r w:rsidRPr="004C5CB7">
        <w:t xml:space="preserve">A summary of the efficacy results of OS for patients with HRR deficiencies and for the subgroup of patients with BRCA1/2 gene alteration is presented in Table </w:t>
      </w:r>
      <w:r w:rsidR="001311A0">
        <w:t>2</w:t>
      </w:r>
      <w:r>
        <w:t xml:space="preserve">. </w:t>
      </w:r>
      <w:r w:rsidRPr="001168C2">
        <w:fldChar w:fldCharType="begin"/>
      </w:r>
      <w:r w:rsidRPr="001168C2">
        <w:instrText xml:space="preserve"> REF _Ref137560281 \h  \* MERGEFORMAT </w:instrText>
      </w:r>
      <w:r w:rsidR="009572CD">
        <w:fldChar w:fldCharType="separate"/>
      </w:r>
      <w:r w:rsidRPr="001168C2">
        <w:fldChar w:fldCharType="end"/>
      </w:r>
      <w:r w:rsidRPr="001168C2">
        <w:t xml:space="preserve">These analyses are from the IA 03 October 2022. An updated analysis for OS </w:t>
      </w:r>
      <w:r>
        <w:t xml:space="preserve">from the </w:t>
      </w:r>
      <w:r w:rsidRPr="001168C2">
        <w:t>28 March 2023</w:t>
      </w:r>
      <w:r>
        <w:t xml:space="preserve"> data </w:t>
      </w:r>
      <w:proofErr w:type="spellStart"/>
      <w:r>
        <w:t>cutoff</w:t>
      </w:r>
      <w:proofErr w:type="spellEnd"/>
      <w:r w:rsidRPr="001168C2">
        <w:t xml:space="preserve"> is presented </w:t>
      </w:r>
      <w:r w:rsidR="00133084">
        <w:t xml:space="preserve">in the PBAC submission for </w:t>
      </w:r>
      <w:proofErr w:type="spellStart"/>
      <w:r w:rsidR="00133084">
        <w:t>talazoparib</w:t>
      </w:r>
      <w:proofErr w:type="spellEnd"/>
      <w:r w:rsidR="00133084">
        <w:t xml:space="preserve"> </w:t>
      </w:r>
      <w:r>
        <w:t xml:space="preserve">but </w:t>
      </w:r>
      <w:r w:rsidRPr="001168C2">
        <w:t>only for the patients with BRCA</w:t>
      </w:r>
      <w:r>
        <w:t>1/2 gene</w:t>
      </w:r>
      <w:r w:rsidRPr="001168C2">
        <w:t xml:space="preserve"> alterations. </w:t>
      </w:r>
      <w:r>
        <w:t xml:space="preserve">As stated above, </w:t>
      </w:r>
      <w:proofErr w:type="spellStart"/>
      <w:r>
        <w:t>rPFS</w:t>
      </w:r>
      <w:proofErr w:type="spellEnd"/>
      <w:r>
        <w:t xml:space="preserve"> results from the IA 03 October 2022 were final and</w:t>
      </w:r>
      <w:r w:rsidRPr="001168C2">
        <w:t xml:space="preserve"> no updated </w:t>
      </w:r>
      <w:proofErr w:type="spellStart"/>
      <w:r w:rsidRPr="001168C2">
        <w:t>rPFS</w:t>
      </w:r>
      <w:proofErr w:type="spellEnd"/>
      <w:r w:rsidRPr="001168C2">
        <w:t xml:space="preserve"> analysis is available from the 28 March 2023 data</w:t>
      </w:r>
      <w:r>
        <w:t xml:space="preserve"> </w:t>
      </w:r>
      <w:proofErr w:type="spellStart"/>
      <w:r w:rsidRPr="001168C2">
        <w:t>cut</w:t>
      </w:r>
      <w:r>
        <w:t>off</w:t>
      </w:r>
      <w:proofErr w:type="spellEnd"/>
      <w:r w:rsidRPr="001168C2">
        <w:t>.</w:t>
      </w:r>
    </w:p>
    <w:p w14:paraId="650FB8FF" w14:textId="77777777" w:rsidR="006E38F9" w:rsidRPr="001168C2" w:rsidRDefault="006E38F9" w:rsidP="001311A0">
      <w:pPr>
        <w:jc w:val="both"/>
      </w:pPr>
      <w:r w:rsidRPr="001168C2">
        <w:t xml:space="preserve">As of the 03 October 2022 data </w:t>
      </w:r>
      <w:proofErr w:type="spellStart"/>
      <w:r w:rsidRPr="001168C2">
        <w:t>cutoff</w:t>
      </w:r>
      <w:proofErr w:type="spellEnd"/>
      <w:r w:rsidRPr="001168C2">
        <w:t>, 34 death events were observed (22% data maturity) in patients with BRCA</w:t>
      </w:r>
      <w:r>
        <w:t>1/2 gene</w:t>
      </w:r>
      <w:r w:rsidRPr="001168C2">
        <w:t xml:space="preserve"> alterations, of which 13 occurred in the TAL + ENZ </w:t>
      </w:r>
      <w:r>
        <w:t>arm</w:t>
      </w:r>
      <w:r w:rsidRPr="001168C2">
        <w:t xml:space="preserve"> and 21 occurred in the PBO + ENZ </w:t>
      </w:r>
      <w:r>
        <w:t>arm</w:t>
      </w:r>
      <w:r w:rsidRPr="001168C2">
        <w:t xml:space="preserve">. </w:t>
      </w:r>
      <w:r>
        <w:t xml:space="preserve">At this IA, </w:t>
      </w:r>
      <w:r w:rsidRPr="001168C2">
        <w:t>OS analysis showed a trend in favour of TAL + ENZ with the observed stratified HR of 0.61 (95% CI: 0.31 to 1.23; p=0.0821) for TAL + ENZ versus PBO + ENZ. Median OS was not reached (95% CI: 29.8 to NR) in the TAL + ENZ arm and was also not reached (95% CI: 24.5 to NR) in the PBO + ENZ arm. Median OS was also immature for patients with HRR deficiencies (ITT) and the subgroup of patients without BRCA alterations.</w:t>
      </w:r>
    </w:p>
    <w:p w14:paraId="52C7621B" w14:textId="314336C8" w:rsidR="006E38F9" w:rsidRPr="005D5B28" w:rsidRDefault="006E38F9" w:rsidP="00AF600C">
      <w:pPr>
        <w:pStyle w:val="Caption"/>
        <w:tabs>
          <w:tab w:val="clear" w:pos="1701"/>
          <w:tab w:val="left" w:pos="851"/>
        </w:tabs>
        <w:ind w:left="851" w:hanging="851"/>
        <w:jc w:val="left"/>
        <w:rPr>
          <w:rStyle w:val="CaptionChar"/>
          <w:rFonts w:cs="Calibri"/>
          <w:sz w:val="20"/>
        </w:rPr>
      </w:pPr>
      <w:r w:rsidRPr="005D5B28">
        <w:rPr>
          <w:rFonts w:cs="Calibri"/>
          <w:sz w:val="20"/>
        </w:rPr>
        <w:lastRenderedPageBreak/>
        <w:t xml:space="preserve">Table </w:t>
      </w:r>
      <w:r w:rsidR="001311A0">
        <w:rPr>
          <w:rFonts w:cs="Calibri"/>
          <w:sz w:val="20"/>
        </w:rPr>
        <w:t>2</w:t>
      </w:r>
      <w:r w:rsidRPr="005D5B28">
        <w:rPr>
          <w:rFonts w:cs="Calibri"/>
          <w:sz w:val="20"/>
        </w:rPr>
        <w:t xml:space="preserve"> </w:t>
      </w:r>
      <w:r w:rsidR="00AF600C">
        <w:rPr>
          <w:rFonts w:cs="Calibri"/>
          <w:sz w:val="20"/>
        </w:rPr>
        <w:tab/>
      </w:r>
      <w:r w:rsidRPr="005D5B28">
        <w:rPr>
          <w:rFonts w:cs="Calibri"/>
          <w:sz w:val="20"/>
        </w:rPr>
        <w:t>Summary of OS –Cohort 2 (ITT selected for HRR deficiencies),</w:t>
      </w:r>
      <w:r w:rsidRPr="005D5B28">
        <w:rPr>
          <w:sz w:val="20"/>
        </w:rPr>
        <w:t xml:space="preserve"> </w:t>
      </w:r>
      <w:r w:rsidRPr="005D5B28">
        <w:rPr>
          <w:rFonts w:cs="Calibri"/>
          <w:sz w:val="20"/>
        </w:rPr>
        <w:t>BRCA1/2 &amp; non-BRCA1/2 subgroup</w:t>
      </w:r>
      <w:r w:rsidR="00AF600C">
        <w:rPr>
          <w:rFonts w:cs="Calibri"/>
          <w:sz w:val="20"/>
        </w:rPr>
        <w:t xml:space="preserve"> </w:t>
      </w:r>
      <w:r w:rsidR="00AF600C" w:rsidRPr="005D5B28">
        <w:rPr>
          <w:rFonts w:cs="Calibri"/>
          <w:sz w:val="20"/>
        </w:rPr>
        <w:t>populations.</w:t>
      </w:r>
    </w:p>
    <w:tbl>
      <w:tblPr>
        <w:tblStyle w:val="TableGrid"/>
        <w:tblW w:w="5000" w:type="pct"/>
        <w:tblLook w:val="04A0" w:firstRow="1" w:lastRow="0" w:firstColumn="1" w:lastColumn="0" w:noHBand="0" w:noVBand="1"/>
      </w:tblPr>
      <w:tblGrid>
        <w:gridCol w:w="1780"/>
        <w:gridCol w:w="1339"/>
        <w:gridCol w:w="1196"/>
        <w:gridCol w:w="1484"/>
        <w:gridCol w:w="1363"/>
        <w:gridCol w:w="1018"/>
        <w:gridCol w:w="1285"/>
      </w:tblGrid>
      <w:tr w:rsidR="006E38F9" w:rsidRPr="004355FC" w14:paraId="3EB1A876" w14:textId="77777777" w:rsidTr="00462B4B">
        <w:trPr>
          <w:trHeight w:val="244"/>
        </w:trPr>
        <w:tc>
          <w:tcPr>
            <w:tcW w:w="940" w:type="pct"/>
            <w:tcBorders>
              <w:top w:val="single" w:sz="4" w:space="0" w:color="auto"/>
              <w:left w:val="single" w:sz="4" w:space="0" w:color="auto"/>
              <w:bottom w:val="single" w:sz="4" w:space="0" w:color="auto"/>
              <w:right w:val="single" w:sz="4" w:space="0" w:color="auto"/>
            </w:tcBorders>
            <w:vAlign w:val="center"/>
          </w:tcPr>
          <w:p w14:paraId="460B7CA7" w14:textId="77777777" w:rsidR="006E38F9" w:rsidRPr="004355FC" w:rsidRDefault="006E38F9" w:rsidP="00462B4B">
            <w:pPr>
              <w:pStyle w:val="Tableheading"/>
              <w:rPr>
                <w:rFonts w:ascii="Calibri" w:hAnsi="Calibri" w:cs="Calibri"/>
              </w:rPr>
            </w:pPr>
          </w:p>
        </w:tc>
        <w:tc>
          <w:tcPr>
            <w:tcW w:w="1339" w:type="pct"/>
            <w:gridSpan w:val="2"/>
            <w:tcBorders>
              <w:top w:val="single" w:sz="4" w:space="0" w:color="auto"/>
              <w:left w:val="single" w:sz="4" w:space="0" w:color="auto"/>
              <w:bottom w:val="single" w:sz="4" w:space="0" w:color="auto"/>
              <w:right w:val="single" w:sz="4" w:space="0" w:color="auto"/>
            </w:tcBorders>
            <w:vAlign w:val="center"/>
          </w:tcPr>
          <w:p w14:paraId="41B9DA26" w14:textId="77777777" w:rsidR="006E38F9" w:rsidRPr="004355FC" w:rsidRDefault="006E38F9" w:rsidP="00462B4B">
            <w:pPr>
              <w:pStyle w:val="Tableheading"/>
              <w:jc w:val="center"/>
              <w:rPr>
                <w:rFonts w:ascii="Calibri" w:hAnsi="Calibri" w:cs="Calibri"/>
              </w:rPr>
            </w:pPr>
            <w:r w:rsidRPr="004355FC">
              <w:rPr>
                <w:rFonts w:ascii="Calibri" w:hAnsi="Calibri" w:cs="Calibri"/>
              </w:rPr>
              <w:t>Cohort 2- ITT HRR deficient</w:t>
            </w:r>
          </w:p>
        </w:tc>
        <w:tc>
          <w:tcPr>
            <w:tcW w:w="1504" w:type="pct"/>
            <w:gridSpan w:val="2"/>
            <w:tcBorders>
              <w:top w:val="single" w:sz="4" w:space="0" w:color="auto"/>
              <w:left w:val="single" w:sz="4" w:space="0" w:color="auto"/>
              <w:bottom w:val="single" w:sz="4" w:space="0" w:color="auto"/>
              <w:right w:val="single" w:sz="4" w:space="0" w:color="auto"/>
            </w:tcBorders>
            <w:vAlign w:val="center"/>
          </w:tcPr>
          <w:p w14:paraId="11F2C896" w14:textId="77777777" w:rsidR="006E38F9" w:rsidRPr="004355FC" w:rsidRDefault="006E38F9" w:rsidP="00462B4B">
            <w:pPr>
              <w:pStyle w:val="Tableheading"/>
              <w:jc w:val="center"/>
              <w:rPr>
                <w:rFonts w:ascii="Calibri" w:hAnsi="Calibri" w:cs="Calibri"/>
              </w:rPr>
            </w:pPr>
            <w:r w:rsidRPr="004355FC">
              <w:rPr>
                <w:rFonts w:ascii="Calibri" w:hAnsi="Calibri" w:cs="Calibri"/>
              </w:rPr>
              <w:t>Cohort 2 – BRCA</w:t>
            </w:r>
            <w:r>
              <w:rPr>
                <w:rFonts w:ascii="Calibri" w:hAnsi="Calibri" w:cs="Calibri"/>
              </w:rPr>
              <w:t>1/2</w:t>
            </w:r>
          </w:p>
        </w:tc>
        <w:tc>
          <w:tcPr>
            <w:tcW w:w="1217" w:type="pct"/>
            <w:gridSpan w:val="2"/>
            <w:tcBorders>
              <w:top w:val="single" w:sz="4" w:space="0" w:color="auto"/>
              <w:left w:val="single" w:sz="4" w:space="0" w:color="auto"/>
              <w:bottom w:val="single" w:sz="4" w:space="0" w:color="auto"/>
              <w:right w:val="single" w:sz="4" w:space="0" w:color="auto"/>
            </w:tcBorders>
          </w:tcPr>
          <w:p w14:paraId="2A05E1BC" w14:textId="77777777" w:rsidR="006E38F9" w:rsidRPr="004355FC" w:rsidRDefault="006E38F9" w:rsidP="00462B4B">
            <w:pPr>
              <w:pStyle w:val="Tableheading"/>
              <w:jc w:val="center"/>
              <w:rPr>
                <w:rFonts w:ascii="Calibri" w:hAnsi="Calibri" w:cs="Calibri"/>
              </w:rPr>
            </w:pPr>
            <w:r w:rsidRPr="004355FC">
              <w:rPr>
                <w:rFonts w:ascii="Calibri" w:hAnsi="Calibri" w:cs="Calibri"/>
              </w:rPr>
              <w:t>Cohort 2 – non-BRCA</w:t>
            </w:r>
            <w:r>
              <w:rPr>
                <w:rFonts w:ascii="Calibri" w:hAnsi="Calibri" w:cs="Calibri"/>
              </w:rPr>
              <w:t>1/2</w:t>
            </w:r>
          </w:p>
        </w:tc>
      </w:tr>
      <w:tr w:rsidR="006E38F9" w:rsidRPr="004355FC" w14:paraId="3314CDCC" w14:textId="77777777" w:rsidTr="00462B4B">
        <w:trPr>
          <w:trHeight w:val="244"/>
        </w:trPr>
        <w:tc>
          <w:tcPr>
            <w:tcW w:w="940" w:type="pct"/>
            <w:tcBorders>
              <w:top w:val="single" w:sz="4" w:space="0" w:color="auto"/>
              <w:left w:val="single" w:sz="4" w:space="0" w:color="auto"/>
              <w:bottom w:val="single" w:sz="4" w:space="0" w:color="auto"/>
              <w:right w:val="single" w:sz="4" w:space="0" w:color="auto"/>
            </w:tcBorders>
            <w:vAlign w:val="center"/>
            <w:hideMark/>
          </w:tcPr>
          <w:p w14:paraId="4098956D" w14:textId="77777777" w:rsidR="006E38F9" w:rsidRPr="004355FC" w:rsidRDefault="006E38F9" w:rsidP="00462B4B">
            <w:pPr>
              <w:pStyle w:val="Tableheading"/>
              <w:rPr>
                <w:rFonts w:ascii="Calibri" w:hAnsi="Calibri" w:cs="Calibri"/>
              </w:rPr>
            </w:pPr>
            <w:r w:rsidRPr="004355FC">
              <w:rPr>
                <w:rFonts w:ascii="Calibri" w:hAnsi="Calibri" w:cs="Calibri"/>
              </w:rPr>
              <w:t>OS</w:t>
            </w:r>
          </w:p>
        </w:tc>
        <w:tc>
          <w:tcPr>
            <w:tcW w:w="707" w:type="pct"/>
            <w:tcBorders>
              <w:top w:val="single" w:sz="4" w:space="0" w:color="auto"/>
              <w:left w:val="single" w:sz="4" w:space="0" w:color="auto"/>
              <w:bottom w:val="single" w:sz="4" w:space="0" w:color="auto"/>
              <w:right w:val="single" w:sz="4" w:space="0" w:color="auto"/>
            </w:tcBorders>
            <w:vAlign w:val="center"/>
            <w:hideMark/>
          </w:tcPr>
          <w:p w14:paraId="38A95947" w14:textId="77777777" w:rsidR="006E38F9" w:rsidRPr="004355FC" w:rsidRDefault="006E38F9" w:rsidP="00462B4B">
            <w:pPr>
              <w:pStyle w:val="Tableheading"/>
              <w:jc w:val="center"/>
              <w:rPr>
                <w:rFonts w:ascii="Calibri" w:hAnsi="Calibri" w:cs="Calibri"/>
              </w:rPr>
            </w:pPr>
            <w:r w:rsidRPr="004355FC">
              <w:rPr>
                <w:rFonts w:ascii="Calibri" w:hAnsi="Calibri" w:cs="Calibri"/>
              </w:rPr>
              <w:t>TAL + ENZ</w:t>
            </w:r>
          </w:p>
          <w:p w14:paraId="53D2DB19" w14:textId="77777777" w:rsidR="006E38F9" w:rsidRPr="004355FC" w:rsidRDefault="006E38F9" w:rsidP="00462B4B">
            <w:pPr>
              <w:pStyle w:val="Tableheading"/>
              <w:jc w:val="center"/>
              <w:rPr>
                <w:rFonts w:ascii="Calibri" w:hAnsi="Calibri" w:cs="Calibri"/>
              </w:rPr>
            </w:pPr>
            <w:r w:rsidRPr="004355FC">
              <w:rPr>
                <w:rFonts w:ascii="Calibri" w:hAnsi="Calibri" w:cs="Calibri"/>
              </w:rPr>
              <w:t>N=200</w:t>
            </w:r>
          </w:p>
        </w:tc>
        <w:tc>
          <w:tcPr>
            <w:tcW w:w="632" w:type="pct"/>
            <w:tcBorders>
              <w:top w:val="single" w:sz="4" w:space="0" w:color="auto"/>
              <w:left w:val="single" w:sz="4" w:space="0" w:color="auto"/>
              <w:bottom w:val="single" w:sz="4" w:space="0" w:color="auto"/>
              <w:right w:val="single" w:sz="4" w:space="0" w:color="auto"/>
            </w:tcBorders>
            <w:vAlign w:val="center"/>
            <w:hideMark/>
          </w:tcPr>
          <w:p w14:paraId="5B2C33E9" w14:textId="77777777" w:rsidR="006E38F9" w:rsidRPr="004355FC" w:rsidRDefault="006E38F9" w:rsidP="00462B4B">
            <w:pPr>
              <w:pStyle w:val="Tableheading"/>
              <w:jc w:val="center"/>
              <w:rPr>
                <w:rFonts w:ascii="Calibri" w:hAnsi="Calibri" w:cs="Calibri"/>
              </w:rPr>
            </w:pPr>
            <w:r w:rsidRPr="004355FC">
              <w:rPr>
                <w:rFonts w:ascii="Calibri" w:hAnsi="Calibri" w:cs="Calibri"/>
              </w:rPr>
              <w:t>PBO + ENZ</w:t>
            </w:r>
          </w:p>
          <w:p w14:paraId="49D045B7" w14:textId="77777777" w:rsidR="006E38F9" w:rsidRPr="004355FC" w:rsidRDefault="006E38F9" w:rsidP="00462B4B">
            <w:pPr>
              <w:pStyle w:val="Tableheading"/>
              <w:jc w:val="center"/>
              <w:rPr>
                <w:rFonts w:ascii="Calibri" w:hAnsi="Calibri" w:cs="Calibri"/>
              </w:rPr>
            </w:pPr>
            <w:r w:rsidRPr="004355FC">
              <w:rPr>
                <w:rFonts w:ascii="Calibri" w:hAnsi="Calibri" w:cs="Calibri"/>
              </w:rPr>
              <w:t>N=199</w:t>
            </w:r>
          </w:p>
        </w:tc>
        <w:tc>
          <w:tcPr>
            <w:tcW w:w="784" w:type="pct"/>
            <w:tcBorders>
              <w:top w:val="single" w:sz="4" w:space="0" w:color="auto"/>
              <w:left w:val="single" w:sz="4" w:space="0" w:color="auto"/>
              <w:bottom w:val="single" w:sz="4" w:space="0" w:color="auto"/>
              <w:right w:val="single" w:sz="4" w:space="0" w:color="auto"/>
            </w:tcBorders>
            <w:vAlign w:val="center"/>
            <w:hideMark/>
          </w:tcPr>
          <w:p w14:paraId="560F4FAD" w14:textId="77777777" w:rsidR="006E38F9" w:rsidRPr="004355FC" w:rsidRDefault="006E38F9" w:rsidP="00462B4B">
            <w:pPr>
              <w:pStyle w:val="Tableheading"/>
              <w:jc w:val="center"/>
              <w:rPr>
                <w:rFonts w:ascii="Calibri" w:hAnsi="Calibri" w:cs="Calibri"/>
              </w:rPr>
            </w:pPr>
            <w:r w:rsidRPr="004355FC">
              <w:rPr>
                <w:rFonts w:ascii="Calibri" w:hAnsi="Calibri" w:cs="Calibri"/>
              </w:rPr>
              <w:t>TAL + ENZ</w:t>
            </w:r>
          </w:p>
          <w:p w14:paraId="247083A7" w14:textId="77777777" w:rsidR="006E38F9" w:rsidRPr="004355FC" w:rsidRDefault="006E38F9" w:rsidP="00462B4B">
            <w:pPr>
              <w:pStyle w:val="Tableheading"/>
              <w:jc w:val="center"/>
              <w:rPr>
                <w:rFonts w:ascii="Calibri" w:hAnsi="Calibri" w:cs="Calibri"/>
              </w:rPr>
            </w:pPr>
            <w:r w:rsidRPr="004355FC">
              <w:rPr>
                <w:rFonts w:ascii="Calibri" w:hAnsi="Calibri" w:cs="Calibri"/>
              </w:rPr>
              <w:t>N=71</w:t>
            </w:r>
          </w:p>
        </w:tc>
        <w:tc>
          <w:tcPr>
            <w:tcW w:w="720" w:type="pct"/>
            <w:tcBorders>
              <w:top w:val="single" w:sz="4" w:space="0" w:color="auto"/>
              <w:left w:val="single" w:sz="4" w:space="0" w:color="auto"/>
              <w:bottom w:val="single" w:sz="4" w:space="0" w:color="auto"/>
              <w:right w:val="single" w:sz="4" w:space="0" w:color="auto"/>
            </w:tcBorders>
            <w:vAlign w:val="center"/>
            <w:hideMark/>
          </w:tcPr>
          <w:p w14:paraId="0B77756A" w14:textId="77777777" w:rsidR="006E38F9" w:rsidRPr="004355FC" w:rsidRDefault="006E38F9" w:rsidP="00462B4B">
            <w:pPr>
              <w:pStyle w:val="Tableheading"/>
              <w:jc w:val="center"/>
              <w:rPr>
                <w:rFonts w:ascii="Calibri" w:hAnsi="Calibri" w:cs="Calibri"/>
              </w:rPr>
            </w:pPr>
            <w:r w:rsidRPr="004355FC">
              <w:rPr>
                <w:rFonts w:ascii="Calibri" w:hAnsi="Calibri" w:cs="Calibri"/>
              </w:rPr>
              <w:t>PBO + ENZ</w:t>
            </w:r>
          </w:p>
          <w:p w14:paraId="00E00B86" w14:textId="77777777" w:rsidR="006E38F9" w:rsidRPr="004355FC" w:rsidRDefault="006E38F9" w:rsidP="00462B4B">
            <w:pPr>
              <w:pStyle w:val="Tableheading"/>
              <w:jc w:val="center"/>
              <w:rPr>
                <w:rFonts w:ascii="Calibri" w:hAnsi="Calibri" w:cs="Calibri"/>
              </w:rPr>
            </w:pPr>
            <w:r w:rsidRPr="004355FC">
              <w:rPr>
                <w:rFonts w:ascii="Calibri" w:hAnsi="Calibri" w:cs="Calibri"/>
              </w:rPr>
              <w:t>N=84</w:t>
            </w:r>
          </w:p>
        </w:tc>
        <w:tc>
          <w:tcPr>
            <w:tcW w:w="538" w:type="pct"/>
            <w:tcBorders>
              <w:top w:val="single" w:sz="4" w:space="0" w:color="auto"/>
              <w:left w:val="single" w:sz="4" w:space="0" w:color="auto"/>
              <w:bottom w:val="single" w:sz="4" w:space="0" w:color="auto"/>
              <w:right w:val="single" w:sz="4" w:space="0" w:color="auto"/>
            </w:tcBorders>
            <w:vAlign w:val="center"/>
          </w:tcPr>
          <w:p w14:paraId="2E26C702" w14:textId="77777777" w:rsidR="006E38F9" w:rsidRPr="004355FC" w:rsidRDefault="006E38F9" w:rsidP="00462B4B">
            <w:pPr>
              <w:pStyle w:val="Tableheading"/>
              <w:jc w:val="center"/>
              <w:rPr>
                <w:rFonts w:ascii="Calibri" w:hAnsi="Calibri" w:cs="Calibri"/>
              </w:rPr>
            </w:pPr>
            <w:r w:rsidRPr="004355FC">
              <w:rPr>
                <w:rFonts w:ascii="Calibri" w:hAnsi="Calibri" w:cs="Calibri"/>
              </w:rPr>
              <w:t>TAL + ENZ</w:t>
            </w:r>
          </w:p>
          <w:p w14:paraId="20AD5B77" w14:textId="77777777" w:rsidR="006E38F9" w:rsidRPr="004355FC" w:rsidRDefault="006E38F9" w:rsidP="00462B4B">
            <w:pPr>
              <w:pStyle w:val="Tableheading"/>
              <w:jc w:val="center"/>
              <w:rPr>
                <w:rFonts w:ascii="Calibri" w:hAnsi="Calibri" w:cs="Calibri"/>
              </w:rPr>
            </w:pPr>
            <w:r w:rsidRPr="004355FC">
              <w:rPr>
                <w:rFonts w:ascii="Calibri" w:hAnsi="Calibri" w:cs="Calibri"/>
              </w:rPr>
              <w:t>N=127</w:t>
            </w:r>
          </w:p>
        </w:tc>
        <w:tc>
          <w:tcPr>
            <w:tcW w:w="679" w:type="pct"/>
            <w:tcBorders>
              <w:top w:val="single" w:sz="4" w:space="0" w:color="auto"/>
              <w:left w:val="single" w:sz="4" w:space="0" w:color="auto"/>
              <w:bottom w:val="single" w:sz="4" w:space="0" w:color="auto"/>
              <w:right w:val="single" w:sz="4" w:space="0" w:color="auto"/>
            </w:tcBorders>
            <w:vAlign w:val="center"/>
          </w:tcPr>
          <w:p w14:paraId="359AAB00" w14:textId="77777777" w:rsidR="006E38F9" w:rsidRPr="004355FC" w:rsidRDefault="006E38F9" w:rsidP="00462B4B">
            <w:pPr>
              <w:pStyle w:val="Tableheading"/>
              <w:jc w:val="center"/>
              <w:rPr>
                <w:rFonts w:ascii="Calibri" w:hAnsi="Calibri" w:cs="Calibri"/>
              </w:rPr>
            </w:pPr>
            <w:r w:rsidRPr="004355FC">
              <w:rPr>
                <w:rFonts w:ascii="Calibri" w:hAnsi="Calibri" w:cs="Calibri"/>
              </w:rPr>
              <w:t>PBO + ENZ</w:t>
            </w:r>
          </w:p>
          <w:p w14:paraId="099EFB21" w14:textId="77777777" w:rsidR="006E38F9" w:rsidRPr="004355FC" w:rsidRDefault="006E38F9" w:rsidP="00462B4B">
            <w:pPr>
              <w:pStyle w:val="Tableheading"/>
              <w:jc w:val="center"/>
              <w:rPr>
                <w:rFonts w:ascii="Calibri" w:hAnsi="Calibri" w:cs="Calibri"/>
              </w:rPr>
            </w:pPr>
            <w:r w:rsidRPr="004355FC">
              <w:rPr>
                <w:rFonts w:ascii="Calibri" w:hAnsi="Calibri" w:cs="Calibri"/>
              </w:rPr>
              <w:t>N=113</w:t>
            </w:r>
          </w:p>
        </w:tc>
      </w:tr>
      <w:tr w:rsidR="006E38F9" w:rsidRPr="004355FC" w14:paraId="5359690A" w14:textId="77777777" w:rsidTr="00462B4B">
        <w:trPr>
          <w:trHeight w:val="311"/>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27D66A" w14:textId="77777777" w:rsidR="006E38F9" w:rsidRPr="004355FC" w:rsidRDefault="006E38F9" w:rsidP="00462B4B">
            <w:pPr>
              <w:keepNext/>
              <w:spacing w:after="0"/>
              <w:contextualSpacing/>
              <w:rPr>
                <w:rFonts w:cs="Calibri"/>
                <w:b/>
                <w:bCs/>
              </w:rPr>
            </w:pPr>
            <w:r w:rsidRPr="004355FC">
              <w:rPr>
                <w:rFonts w:cs="Calibri"/>
                <w:b/>
                <w:bCs/>
              </w:rPr>
              <w:t>IA 03 October 2022</w:t>
            </w:r>
          </w:p>
        </w:tc>
      </w:tr>
      <w:tr w:rsidR="006E38F9" w:rsidRPr="004355FC" w14:paraId="2E62AF5C" w14:textId="77777777" w:rsidTr="00462B4B">
        <w:trPr>
          <w:trHeight w:val="272"/>
        </w:trPr>
        <w:tc>
          <w:tcPr>
            <w:tcW w:w="940" w:type="pct"/>
            <w:tcBorders>
              <w:top w:val="single" w:sz="4" w:space="0" w:color="auto"/>
              <w:left w:val="single" w:sz="4" w:space="0" w:color="auto"/>
              <w:bottom w:val="single" w:sz="4" w:space="0" w:color="auto"/>
              <w:right w:val="single" w:sz="4" w:space="0" w:color="auto"/>
            </w:tcBorders>
            <w:vAlign w:val="center"/>
          </w:tcPr>
          <w:p w14:paraId="281F77E1" w14:textId="77777777" w:rsidR="006E38F9" w:rsidRPr="004355FC" w:rsidRDefault="006E38F9" w:rsidP="00462B4B">
            <w:pPr>
              <w:pStyle w:val="Tabletext"/>
              <w:rPr>
                <w:rFonts w:ascii="Calibri" w:hAnsi="Calibri" w:cs="Calibri"/>
              </w:rPr>
            </w:pPr>
            <w:r w:rsidRPr="004355FC">
              <w:rPr>
                <w:rFonts w:ascii="Calibri" w:hAnsi="Calibri" w:cs="Calibri"/>
              </w:rPr>
              <w:t>Events, n (%</w:t>
            </w:r>
            <w:r>
              <w:rPr>
                <w:rFonts w:ascii="Calibri" w:hAnsi="Calibri" w:cs="Calibri"/>
              </w:rPr>
              <w:t>)</w:t>
            </w:r>
          </w:p>
        </w:tc>
        <w:tc>
          <w:tcPr>
            <w:tcW w:w="707" w:type="pct"/>
            <w:tcBorders>
              <w:top w:val="single" w:sz="4" w:space="0" w:color="auto"/>
              <w:left w:val="single" w:sz="4" w:space="0" w:color="auto"/>
              <w:bottom w:val="single" w:sz="4" w:space="0" w:color="auto"/>
              <w:right w:val="single" w:sz="4" w:space="0" w:color="auto"/>
            </w:tcBorders>
            <w:vAlign w:val="center"/>
          </w:tcPr>
          <w:p w14:paraId="5A46C502" w14:textId="77777777" w:rsidR="006E38F9" w:rsidRPr="004355FC" w:rsidRDefault="006E38F9" w:rsidP="00462B4B">
            <w:pPr>
              <w:pStyle w:val="Tabletext"/>
              <w:jc w:val="center"/>
              <w:rPr>
                <w:rFonts w:ascii="Calibri" w:hAnsi="Calibri" w:cs="Calibri"/>
              </w:rPr>
            </w:pPr>
            <w:r w:rsidRPr="004355FC">
              <w:rPr>
                <w:rFonts w:ascii="Calibri" w:hAnsi="Calibri" w:cs="Calibri"/>
              </w:rPr>
              <w:t>43 (21.5)</w:t>
            </w:r>
          </w:p>
        </w:tc>
        <w:tc>
          <w:tcPr>
            <w:tcW w:w="632" w:type="pct"/>
            <w:tcBorders>
              <w:top w:val="single" w:sz="4" w:space="0" w:color="auto"/>
              <w:left w:val="single" w:sz="4" w:space="0" w:color="auto"/>
              <w:bottom w:val="single" w:sz="4" w:space="0" w:color="auto"/>
              <w:right w:val="single" w:sz="4" w:space="0" w:color="auto"/>
            </w:tcBorders>
            <w:vAlign w:val="center"/>
          </w:tcPr>
          <w:p w14:paraId="6800C87F" w14:textId="77777777" w:rsidR="006E38F9" w:rsidRPr="004355FC" w:rsidRDefault="006E38F9" w:rsidP="00462B4B">
            <w:pPr>
              <w:pStyle w:val="Tabletext"/>
              <w:jc w:val="center"/>
              <w:rPr>
                <w:rFonts w:ascii="Calibri" w:hAnsi="Calibri" w:cs="Calibri"/>
              </w:rPr>
            </w:pPr>
            <w:r w:rsidRPr="004355FC">
              <w:rPr>
                <w:rFonts w:ascii="Calibri" w:hAnsi="Calibri" w:cs="Calibri"/>
              </w:rPr>
              <w:t>53 (26.6)</w:t>
            </w:r>
          </w:p>
        </w:tc>
        <w:tc>
          <w:tcPr>
            <w:tcW w:w="784" w:type="pct"/>
            <w:tcBorders>
              <w:top w:val="single" w:sz="4" w:space="0" w:color="auto"/>
              <w:left w:val="single" w:sz="4" w:space="0" w:color="auto"/>
              <w:bottom w:val="single" w:sz="4" w:space="0" w:color="auto"/>
              <w:right w:val="single" w:sz="4" w:space="0" w:color="auto"/>
            </w:tcBorders>
            <w:vAlign w:val="center"/>
          </w:tcPr>
          <w:p w14:paraId="0118AA20" w14:textId="77777777" w:rsidR="006E38F9" w:rsidRPr="004355FC" w:rsidRDefault="006E38F9" w:rsidP="00462B4B">
            <w:pPr>
              <w:pStyle w:val="Tabletext"/>
              <w:jc w:val="center"/>
              <w:rPr>
                <w:rFonts w:ascii="Calibri" w:hAnsi="Calibri" w:cs="Calibri"/>
              </w:rPr>
            </w:pPr>
            <w:r w:rsidRPr="004355FC">
              <w:rPr>
                <w:rFonts w:ascii="Calibri" w:hAnsi="Calibri" w:cs="Calibri"/>
              </w:rPr>
              <w:t>13 (18.3)</w:t>
            </w:r>
          </w:p>
        </w:tc>
        <w:tc>
          <w:tcPr>
            <w:tcW w:w="720" w:type="pct"/>
            <w:tcBorders>
              <w:top w:val="single" w:sz="4" w:space="0" w:color="auto"/>
              <w:left w:val="single" w:sz="4" w:space="0" w:color="auto"/>
              <w:bottom w:val="single" w:sz="4" w:space="0" w:color="auto"/>
              <w:right w:val="single" w:sz="4" w:space="0" w:color="auto"/>
            </w:tcBorders>
            <w:vAlign w:val="center"/>
          </w:tcPr>
          <w:p w14:paraId="2A433603" w14:textId="77777777" w:rsidR="006E38F9" w:rsidRPr="004355FC" w:rsidRDefault="006E38F9" w:rsidP="00462B4B">
            <w:pPr>
              <w:pStyle w:val="Tabletext"/>
              <w:jc w:val="center"/>
              <w:rPr>
                <w:rFonts w:ascii="Calibri" w:hAnsi="Calibri" w:cs="Calibri"/>
              </w:rPr>
            </w:pPr>
            <w:r w:rsidRPr="004355FC">
              <w:rPr>
                <w:rFonts w:ascii="Calibri" w:hAnsi="Calibri" w:cs="Calibri"/>
              </w:rPr>
              <w:t>21 (25.0)</w:t>
            </w:r>
          </w:p>
        </w:tc>
        <w:tc>
          <w:tcPr>
            <w:tcW w:w="538" w:type="pct"/>
            <w:tcBorders>
              <w:top w:val="single" w:sz="4" w:space="0" w:color="auto"/>
              <w:left w:val="single" w:sz="4" w:space="0" w:color="auto"/>
              <w:bottom w:val="single" w:sz="4" w:space="0" w:color="auto"/>
              <w:right w:val="single" w:sz="4" w:space="0" w:color="auto"/>
            </w:tcBorders>
            <w:vAlign w:val="center"/>
          </w:tcPr>
          <w:p w14:paraId="6F7BE742" w14:textId="77777777" w:rsidR="006E38F9" w:rsidRPr="004355FC" w:rsidRDefault="006E38F9" w:rsidP="00462B4B">
            <w:pPr>
              <w:pStyle w:val="Tabletext"/>
              <w:jc w:val="center"/>
              <w:rPr>
                <w:rFonts w:ascii="Calibri" w:hAnsi="Calibri" w:cs="Calibri"/>
              </w:rPr>
            </w:pPr>
            <w:r w:rsidRPr="004355FC">
              <w:rPr>
                <w:rFonts w:ascii="Calibri" w:hAnsi="Calibri" w:cs="Calibri"/>
              </w:rPr>
              <w:t>29 (22.8)</w:t>
            </w:r>
          </w:p>
        </w:tc>
        <w:tc>
          <w:tcPr>
            <w:tcW w:w="679" w:type="pct"/>
            <w:tcBorders>
              <w:top w:val="single" w:sz="4" w:space="0" w:color="auto"/>
              <w:left w:val="single" w:sz="4" w:space="0" w:color="auto"/>
              <w:bottom w:val="single" w:sz="4" w:space="0" w:color="auto"/>
              <w:right w:val="single" w:sz="4" w:space="0" w:color="auto"/>
            </w:tcBorders>
            <w:vAlign w:val="center"/>
          </w:tcPr>
          <w:p w14:paraId="7F63AFF8" w14:textId="77777777" w:rsidR="006E38F9" w:rsidRPr="004355FC" w:rsidRDefault="006E38F9" w:rsidP="00462B4B">
            <w:pPr>
              <w:pStyle w:val="Tabletext"/>
              <w:jc w:val="center"/>
              <w:rPr>
                <w:rFonts w:ascii="Calibri" w:hAnsi="Calibri" w:cs="Calibri"/>
              </w:rPr>
            </w:pPr>
            <w:r w:rsidRPr="004355FC">
              <w:rPr>
                <w:rFonts w:ascii="Calibri" w:hAnsi="Calibri" w:cs="Calibri"/>
              </w:rPr>
              <w:t>32 (28.3)</w:t>
            </w:r>
          </w:p>
        </w:tc>
      </w:tr>
      <w:tr w:rsidR="006E38F9" w:rsidRPr="004355FC" w14:paraId="749FEBF2" w14:textId="77777777" w:rsidTr="00462B4B">
        <w:trPr>
          <w:trHeight w:val="244"/>
        </w:trPr>
        <w:tc>
          <w:tcPr>
            <w:tcW w:w="940" w:type="pct"/>
            <w:tcBorders>
              <w:top w:val="single" w:sz="4" w:space="0" w:color="auto"/>
              <w:left w:val="single" w:sz="4" w:space="0" w:color="auto"/>
              <w:bottom w:val="single" w:sz="4" w:space="0" w:color="auto"/>
              <w:right w:val="single" w:sz="4" w:space="0" w:color="auto"/>
            </w:tcBorders>
            <w:vAlign w:val="center"/>
          </w:tcPr>
          <w:p w14:paraId="1AEE366A" w14:textId="77777777" w:rsidR="006E38F9" w:rsidRPr="004355FC" w:rsidRDefault="006E38F9" w:rsidP="00462B4B">
            <w:pPr>
              <w:pStyle w:val="Tabletext"/>
              <w:rPr>
                <w:rFonts w:ascii="Calibri" w:hAnsi="Calibri" w:cs="Calibri"/>
              </w:rPr>
            </w:pPr>
            <w:r w:rsidRPr="004355FC">
              <w:rPr>
                <w:rFonts w:ascii="Calibri" w:hAnsi="Calibri" w:cs="Calibri"/>
              </w:rPr>
              <w:t xml:space="preserve">Median (95% CI), months </w:t>
            </w:r>
          </w:p>
        </w:tc>
        <w:tc>
          <w:tcPr>
            <w:tcW w:w="707" w:type="pct"/>
            <w:tcBorders>
              <w:top w:val="single" w:sz="4" w:space="0" w:color="auto"/>
              <w:left w:val="single" w:sz="4" w:space="0" w:color="auto"/>
              <w:bottom w:val="single" w:sz="4" w:space="0" w:color="auto"/>
              <w:right w:val="single" w:sz="4" w:space="0" w:color="auto"/>
            </w:tcBorders>
            <w:vAlign w:val="center"/>
          </w:tcPr>
          <w:p w14:paraId="3FAA39C1" w14:textId="77777777" w:rsidR="006E38F9" w:rsidRPr="004355FC" w:rsidRDefault="006E38F9" w:rsidP="00462B4B">
            <w:pPr>
              <w:pStyle w:val="Tabletext"/>
              <w:jc w:val="center"/>
              <w:rPr>
                <w:rFonts w:ascii="Calibri" w:hAnsi="Calibri" w:cs="Calibri"/>
              </w:rPr>
            </w:pPr>
            <w:r w:rsidRPr="004355FC">
              <w:rPr>
                <w:rFonts w:ascii="Calibri" w:hAnsi="Calibri" w:cs="Calibri"/>
              </w:rPr>
              <w:t>NR (36.4, NR)</w:t>
            </w:r>
          </w:p>
        </w:tc>
        <w:tc>
          <w:tcPr>
            <w:tcW w:w="632" w:type="pct"/>
            <w:tcBorders>
              <w:top w:val="single" w:sz="4" w:space="0" w:color="auto"/>
              <w:left w:val="single" w:sz="4" w:space="0" w:color="auto"/>
              <w:bottom w:val="single" w:sz="4" w:space="0" w:color="auto"/>
              <w:right w:val="single" w:sz="4" w:space="0" w:color="auto"/>
            </w:tcBorders>
            <w:vAlign w:val="center"/>
          </w:tcPr>
          <w:p w14:paraId="00767244" w14:textId="77777777" w:rsidR="006E38F9" w:rsidRDefault="006E38F9" w:rsidP="00462B4B">
            <w:pPr>
              <w:pStyle w:val="Tabletext"/>
              <w:jc w:val="center"/>
              <w:rPr>
                <w:rFonts w:ascii="Calibri" w:hAnsi="Calibri" w:cs="Calibri"/>
              </w:rPr>
            </w:pPr>
            <w:r w:rsidRPr="004355FC">
              <w:rPr>
                <w:rFonts w:ascii="Calibri" w:hAnsi="Calibri" w:cs="Calibri"/>
              </w:rPr>
              <w:t xml:space="preserve">33.7 </w:t>
            </w:r>
          </w:p>
          <w:p w14:paraId="5B0A4350" w14:textId="77777777" w:rsidR="006E38F9" w:rsidRPr="004355FC" w:rsidRDefault="006E38F9" w:rsidP="00462B4B">
            <w:pPr>
              <w:pStyle w:val="Tabletext"/>
              <w:jc w:val="center"/>
              <w:rPr>
                <w:rFonts w:ascii="Calibri" w:hAnsi="Calibri" w:cs="Calibri"/>
              </w:rPr>
            </w:pPr>
            <w:r w:rsidRPr="004355FC">
              <w:rPr>
                <w:rFonts w:ascii="Calibri" w:hAnsi="Calibri" w:cs="Calibri"/>
              </w:rPr>
              <w:t>(27.6, NR)</w:t>
            </w:r>
          </w:p>
        </w:tc>
        <w:tc>
          <w:tcPr>
            <w:tcW w:w="784" w:type="pct"/>
            <w:tcBorders>
              <w:top w:val="single" w:sz="4" w:space="0" w:color="auto"/>
              <w:left w:val="single" w:sz="4" w:space="0" w:color="auto"/>
              <w:bottom w:val="single" w:sz="4" w:space="0" w:color="auto"/>
              <w:right w:val="single" w:sz="4" w:space="0" w:color="auto"/>
            </w:tcBorders>
            <w:vAlign w:val="center"/>
          </w:tcPr>
          <w:p w14:paraId="33C53F23" w14:textId="77777777" w:rsidR="006E38F9" w:rsidRPr="004355FC" w:rsidRDefault="006E38F9" w:rsidP="00462B4B">
            <w:pPr>
              <w:pStyle w:val="Tabletext"/>
              <w:jc w:val="center"/>
              <w:rPr>
                <w:rFonts w:ascii="Calibri" w:hAnsi="Calibri" w:cs="Calibri"/>
              </w:rPr>
            </w:pPr>
            <w:r w:rsidRPr="004355FC">
              <w:rPr>
                <w:rFonts w:ascii="Calibri" w:hAnsi="Calibri" w:cs="Calibri"/>
              </w:rPr>
              <w:t>NR (29.8, NR)</w:t>
            </w:r>
          </w:p>
        </w:tc>
        <w:tc>
          <w:tcPr>
            <w:tcW w:w="720" w:type="pct"/>
            <w:tcBorders>
              <w:top w:val="single" w:sz="4" w:space="0" w:color="auto"/>
              <w:left w:val="single" w:sz="4" w:space="0" w:color="auto"/>
              <w:bottom w:val="single" w:sz="4" w:space="0" w:color="auto"/>
              <w:right w:val="single" w:sz="4" w:space="0" w:color="auto"/>
            </w:tcBorders>
            <w:vAlign w:val="center"/>
          </w:tcPr>
          <w:p w14:paraId="3113F64F" w14:textId="77777777" w:rsidR="006E38F9" w:rsidRPr="004355FC" w:rsidRDefault="006E38F9" w:rsidP="00462B4B">
            <w:pPr>
              <w:pStyle w:val="Tabletext"/>
              <w:jc w:val="center"/>
              <w:rPr>
                <w:rFonts w:ascii="Calibri" w:hAnsi="Calibri" w:cs="Calibri"/>
              </w:rPr>
            </w:pPr>
            <w:r w:rsidRPr="004355FC">
              <w:rPr>
                <w:rFonts w:ascii="Calibri" w:hAnsi="Calibri" w:cs="Calibri"/>
              </w:rPr>
              <w:t>NR (24.5, NR)</w:t>
            </w:r>
          </w:p>
        </w:tc>
        <w:tc>
          <w:tcPr>
            <w:tcW w:w="538" w:type="pct"/>
            <w:tcBorders>
              <w:top w:val="single" w:sz="4" w:space="0" w:color="auto"/>
              <w:left w:val="single" w:sz="4" w:space="0" w:color="auto"/>
              <w:bottom w:val="single" w:sz="4" w:space="0" w:color="auto"/>
              <w:right w:val="single" w:sz="4" w:space="0" w:color="auto"/>
            </w:tcBorders>
            <w:vAlign w:val="center"/>
          </w:tcPr>
          <w:p w14:paraId="65DD114F" w14:textId="77777777" w:rsidR="006E38F9" w:rsidRPr="004355FC" w:rsidRDefault="006E38F9" w:rsidP="00462B4B">
            <w:pPr>
              <w:pStyle w:val="Tabletext"/>
              <w:jc w:val="center"/>
              <w:rPr>
                <w:rFonts w:ascii="Calibri" w:hAnsi="Calibri" w:cs="Calibri"/>
              </w:rPr>
            </w:pPr>
            <w:r w:rsidRPr="004355FC">
              <w:rPr>
                <w:rFonts w:ascii="Calibri" w:hAnsi="Calibri" w:cs="Calibri"/>
              </w:rPr>
              <w:t>36.4 (36.4, NR)</w:t>
            </w:r>
          </w:p>
        </w:tc>
        <w:tc>
          <w:tcPr>
            <w:tcW w:w="679" w:type="pct"/>
            <w:tcBorders>
              <w:top w:val="single" w:sz="4" w:space="0" w:color="auto"/>
              <w:left w:val="single" w:sz="4" w:space="0" w:color="auto"/>
              <w:bottom w:val="single" w:sz="4" w:space="0" w:color="auto"/>
              <w:right w:val="single" w:sz="4" w:space="0" w:color="auto"/>
            </w:tcBorders>
            <w:vAlign w:val="center"/>
          </w:tcPr>
          <w:p w14:paraId="6CEDF104" w14:textId="77777777" w:rsidR="006E38F9" w:rsidRDefault="006E38F9" w:rsidP="00462B4B">
            <w:pPr>
              <w:pStyle w:val="Tabletext"/>
              <w:jc w:val="center"/>
              <w:rPr>
                <w:rFonts w:ascii="Calibri" w:hAnsi="Calibri" w:cs="Calibri"/>
              </w:rPr>
            </w:pPr>
            <w:r w:rsidRPr="004355FC">
              <w:rPr>
                <w:rFonts w:ascii="Calibri" w:hAnsi="Calibri" w:cs="Calibri"/>
              </w:rPr>
              <w:t xml:space="preserve">33.7 </w:t>
            </w:r>
          </w:p>
          <w:p w14:paraId="7F44272D" w14:textId="77777777" w:rsidR="006E38F9" w:rsidRPr="004355FC" w:rsidRDefault="006E38F9" w:rsidP="00462B4B">
            <w:pPr>
              <w:pStyle w:val="Tabletext"/>
              <w:jc w:val="center"/>
              <w:rPr>
                <w:rFonts w:ascii="Calibri" w:hAnsi="Calibri" w:cs="Calibri"/>
              </w:rPr>
            </w:pPr>
            <w:r w:rsidRPr="004355FC">
              <w:rPr>
                <w:rFonts w:ascii="Calibri" w:hAnsi="Calibri" w:cs="Calibri"/>
              </w:rPr>
              <w:t>(27.6, NR)</w:t>
            </w:r>
          </w:p>
        </w:tc>
      </w:tr>
      <w:tr w:rsidR="006E38F9" w:rsidRPr="004355FC" w14:paraId="66763D31" w14:textId="77777777" w:rsidTr="00462B4B">
        <w:trPr>
          <w:trHeight w:val="324"/>
        </w:trPr>
        <w:tc>
          <w:tcPr>
            <w:tcW w:w="940" w:type="pct"/>
            <w:tcBorders>
              <w:top w:val="single" w:sz="4" w:space="0" w:color="auto"/>
              <w:left w:val="single" w:sz="4" w:space="0" w:color="auto"/>
              <w:bottom w:val="single" w:sz="4" w:space="0" w:color="auto"/>
              <w:right w:val="single" w:sz="4" w:space="0" w:color="auto"/>
            </w:tcBorders>
          </w:tcPr>
          <w:p w14:paraId="362B93D5" w14:textId="77777777" w:rsidR="006E38F9" w:rsidRPr="004355FC" w:rsidRDefault="006E38F9" w:rsidP="00462B4B">
            <w:pPr>
              <w:pStyle w:val="Tabletext"/>
              <w:rPr>
                <w:rFonts w:ascii="Calibri" w:hAnsi="Calibri" w:cs="Calibri"/>
              </w:rPr>
            </w:pPr>
            <w:r w:rsidRPr="004355FC">
              <w:rPr>
                <w:rFonts w:ascii="Calibri" w:hAnsi="Calibri" w:cs="Calibri"/>
              </w:rPr>
              <w:t>HR (95% CI)</w:t>
            </w:r>
          </w:p>
        </w:tc>
        <w:tc>
          <w:tcPr>
            <w:tcW w:w="1339" w:type="pct"/>
            <w:gridSpan w:val="2"/>
            <w:tcBorders>
              <w:top w:val="single" w:sz="4" w:space="0" w:color="auto"/>
              <w:left w:val="single" w:sz="4" w:space="0" w:color="auto"/>
              <w:bottom w:val="single" w:sz="4" w:space="0" w:color="auto"/>
              <w:right w:val="single" w:sz="4" w:space="0" w:color="auto"/>
            </w:tcBorders>
          </w:tcPr>
          <w:p w14:paraId="40D32207" w14:textId="77777777" w:rsidR="006E38F9" w:rsidRPr="004355FC" w:rsidRDefault="006E38F9" w:rsidP="00462B4B">
            <w:pPr>
              <w:pStyle w:val="Tabletext"/>
              <w:jc w:val="center"/>
              <w:rPr>
                <w:rFonts w:ascii="Calibri" w:hAnsi="Calibri" w:cs="Calibri"/>
              </w:rPr>
            </w:pPr>
            <w:r w:rsidRPr="004355FC">
              <w:rPr>
                <w:rFonts w:ascii="Calibri" w:hAnsi="Calibri" w:cs="Calibri"/>
              </w:rPr>
              <w:t>0.69 (0.46, 1.03)</w:t>
            </w:r>
          </w:p>
        </w:tc>
        <w:tc>
          <w:tcPr>
            <w:tcW w:w="1504" w:type="pct"/>
            <w:gridSpan w:val="2"/>
            <w:tcBorders>
              <w:left w:val="single" w:sz="4" w:space="0" w:color="auto"/>
              <w:right w:val="single" w:sz="4" w:space="0" w:color="auto"/>
            </w:tcBorders>
          </w:tcPr>
          <w:p w14:paraId="7ECD439A" w14:textId="77777777" w:rsidR="006E38F9" w:rsidRPr="004355FC" w:rsidRDefault="006E38F9" w:rsidP="00462B4B">
            <w:pPr>
              <w:spacing w:after="0"/>
              <w:jc w:val="center"/>
              <w:rPr>
                <w:rFonts w:cs="Calibri"/>
              </w:rPr>
            </w:pPr>
            <w:r w:rsidRPr="004355FC">
              <w:rPr>
                <w:rFonts w:cs="Calibri"/>
              </w:rPr>
              <w:t>0.613 (0.306, 1.230)</w:t>
            </w:r>
          </w:p>
        </w:tc>
        <w:tc>
          <w:tcPr>
            <w:tcW w:w="1217" w:type="pct"/>
            <w:gridSpan w:val="2"/>
            <w:tcBorders>
              <w:left w:val="single" w:sz="4" w:space="0" w:color="auto"/>
              <w:right w:val="single" w:sz="4" w:space="0" w:color="auto"/>
            </w:tcBorders>
          </w:tcPr>
          <w:p w14:paraId="23A75BB7" w14:textId="77777777" w:rsidR="006E38F9" w:rsidRPr="004355FC" w:rsidRDefault="006E38F9" w:rsidP="00462B4B">
            <w:pPr>
              <w:spacing w:after="0"/>
              <w:jc w:val="center"/>
              <w:rPr>
                <w:rFonts w:cs="Calibri"/>
              </w:rPr>
            </w:pPr>
            <w:r w:rsidRPr="004355FC">
              <w:rPr>
                <w:rFonts w:cs="Calibri"/>
              </w:rPr>
              <w:t>0.664 (0.399, 1.105)</w:t>
            </w:r>
          </w:p>
        </w:tc>
      </w:tr>
      <w:tr w:rsidR="006E38F9" w:rsidRPr="004355FC" w14:paraId="5EAD020B" w14:textId="77777777" w:rsidTr="00462B4B">
        <w:trPr>
          <w:trHeight w:val="244"/>
        </w:trPr>
        <w:tc>
          <w:tcPr>
            <w:tcW w:w="940" w:type="pct"/>
            <w:tcBorders>
              <w:top w:val="single" w:sz="4" w:space="0" w:color="auto"/>
              <w:left w:val="single" w:sz="4" w:space="0" w:color="auto"/>
              <w:bottom w:val="single" w:sz="4" w:space="0" w:color="auto"/>
              <w:right w:val="single" w:sz="4" w:space="0" w:color="auto"/>
            </w:tcBorders>
          </w:tcPr>
          <w:p w14:paraId="6116661A" w14:textId="77777777" w:rsidR="006E38F9" w:rsidRPr="004355FC" w:rsidRDefault="006E38F9" w:rsidP="00462B4B">
            <w:pPr>
              <w:pStyle w:val="Tabletext"/>
              <w:rPr>
                <w:rFonts w:ascii="Calibri" w:hAnsi="Calibri" w:cs="Calibri"/>
              </w:rPr>
            </w:pPr>
            <w:r w:rsidRPr="004355FC">
              <w:rPr>
                <w:rFonts w:ascii="Calibri" w:hAnsi="Calibri" w:cs="Calibri"/>
              </w:rPr>
              <w:t>One sided p-value</w:t>
            </w:r>
          </w:p>
        </w:tc>
        <w:tc>
          <w:tcPr>
            <w:tcW w:w="1339" w:type="pct"/>
            <w:gridSpan w:val="2"/>
            <w:tcBorders>
              <w:top w:val="single" w:sz="4" w:space="0" w:color="auto"/>
              <w:left w:val="single" w:sz="4" w:space="0" w:color="auto"/>
              <w:bottom w:val="single" w:sz="4" w:space="0" w:color="auto"/>
              <w:right w:val="single" w:sz="4" w:space="0" w:color="auto"/>
            </w:tcBorders>
          </w:tcPr>
          <w:p w14:paraId="3357E377" w14:textId="77777777" w:rsidR="006E38F9" w:rsidRPr="004355FC" w:rsidRDefault="006E38F9" w:rsidP="00462B4B">
            <w:pPr>
              <w:pStyle w:val="Tabletext"/>
              <w:jc w:val="center"/>
              <w:rPr>
                <w:rFonts w:ascii="Calibri" w:hAnsi="Calibri" w:cs="Calibri"/>
              </w:rPr>
            </w:pPr>
            <w:r w:rsidRPr="004355FC">
              <w:rPr>
                <w:rFonts w:ascii="Calibri" w:hAnsi="Calibri" w:cs="Calibri"/>
              </w:rPr>
              <w:t>0.0338</w:t>
            </w:r>
          </w:p>
        </w:tc>
        <w:tc>
          <w:tcPr>
            <w:tcW w:w="1504" w:type="pct"/>
            <w:gridSpan w:val="2"/>
            <w:tcBorders>
              <w:left w:val="single" w:sz="4" w:space="0" w:color="auto"/>
              <w:right w:val="single" w:sz="4" w:space="0" w:color="auto"/>
            </w:tcBorders>
          </w:tcPr>
          <w:p w14:paraId="4DBE14E9" w14:textId="77777777" w:rsidR="006E38F9" w:rsidRPr="004355FC" w:rsidRDefault="006E38F9" w:rsidP="00462B4B">
            <w:pPr>
              <w:spacing w:after="0"/>
              <w:jc w:val="center"/>
              <w:rPr>
                <w:rFonts w:cs="Calibri"/>
              </w:rPr>
            </w:pPr>
            <w:r w:rsidRPr="004355FC">
              <w:rPr>
                <w:rFonts w:cs="Calibri"/>
              </w:rPr>
              <w:t>0.0821</w:t>
            </w:r>
          </w:p>
        </w:tc>
        <w:tc>
          <w:tcPr>
            <w:tcW w:w="1217" w:type="pct"/>
            <w:gridSpan w:val="2"/>
            <w:tcBorders>
              <w:left w:val="single" w:sz="4" w:space="0" w:color="auto"/>
              <w:right w:val="single" w:sz="4" w:space="0" w:color="auto"/>
            </w:tcBorders>
          </w:tcPr>
          <w:p w14:paraId="10350FD4" w14:textId="77777777" w:rsidR="006E38F9" w:rsidRPr="004355FC" w:rsidRDefault="006E38F9" w:rsidP="00462B4B">
            <w:pPr>
              <w:spacing w:after="0"/>
              <w:jc w:val="center"/>
              <w:rPr>
                <w:rFonts w:cs="Calibri"/>
              </w:rPr>
            </w:pPr>
            <w:r w:rsidRPr="004355FC">
              <w:rPr>
                <w:rFonts w:cs="Calibri"/>
              </w:rPr>
              <w:t>0.0560</w:t>
            </w:r>
          </w:p>
        </w:tc>
      </w:tr>
      <w:tr w:rsidR="006E38F9" w:rsidRPr="004355FC" w14:paraId="2741F9E5" w14:textId="77777777" w:rsidTr="00462B4B">
        <w:trPr>
          <w:trHeight w:val="244"/>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44B85" w14:textId="1C422F1F" w:rsidR="006E38F9" w:rsidRPr="004355FC" w:rsidRDefault="006E38F9" w:rsidP="00462B4B">
            <w:pPr>
              <w:keepNext/>
              <w:spacing w:after="0"/>
              <w:rPr>
                <w:rFonts w:cs="Calibri"/>
                <w:b/>
                <w:bCs/>
              </w:rPr>
            </w:pPr>
          </w:p>
        </w:tc>
      </w:tr>
      <w:tr w:rsidR="00133084" w:rsidRPr="004355FC" w14:paraId="4A416161" w14:textId="77777777" w:rsidTr="00133084">
        <w:trPr>
          <w:trHeight w:val="244"/>
        </w:trPr>
        <w:tc>
          <w:tcPr>
            <w:tcW w:w="5000" w:type="pct"/>
            <w:gridSpan w:val="7"/>
            <w:tcBorders>
              <w:top w:val="single" w:sz="4" w:space="0" w:color="auto"/>
              <w:left w:val="single" w:sz="4" w:space="0" w:color="auto"/>
              <w:bottom w:val="single" w:sz="4" w:space="0" w:color="auto"/>
              <w:right w:val="single" w:sz="4" w:space="0" w:color="auto"/>
            </w:tcBorders>
          </w:tcPr>
          <w:p w14:paraId="58290239" w14:textId="77777777" w:rsidR="00133084" w:rsidRDefault="00133084" w:rsidP="00462B4B">
            <w:pPr>
              <w:rPr>
                <w:rFonts w:cs="Calibri"/>
                <w:b/>
                <w:bCs/>
              </w:rPr>
            </w:pPr>
            <w:r w:rsidRPr="004355FC">
              <w:rPr>
                <w:rFonts w:cs="Calibri"/>
                <w:b/>
                <w:bCs/>
              </w:rPr>
              <w:t>A.</w:t>
            </w:r>
            <w:r w:rsidRPr="004355FC">
              <w:rPr>
                <w:rFonts w:cs="Calibri"/>
                <w:b/>
                <w:bCs/>
              </w:rPr>
              <w:tab/>
              <w:t>BRCA</w:t>
            </w:r>
            <w:r>
              <w:rPr>
                <w:rFonts w:cs="Calibri"/>
                <w:b/>
                <w:bCs/>
              </w:rPr>
              <w:t>1/2</w:t>
            </w:r>
            <w:r w:rsidRPr="004355FC">
              <w:rPr>
                <w:rFonts w:cs="Calibri"/>
                <w:b/>
                <w:bCs/>
              </w:rPr>
              <w:t xml:space="preserve"> (03 OCT 2022 </w:t>
            </w:r>
            <w:proofErr w:type="spellStart"/>
            <w:r w:rsidRPr="004355FC">
              <w:rPr>
                <w:rFonts w:cs="Calibri"/>
                <w:b/>
                <w:bCs/>
              </w:rPr>
              <w:t>datacut</w:t>
            </w:r>
            <w:proofErr w:type="spellEnd"/>
            <w:r w:rsidRPr="004355FC">
              <w:rPr>
                <w:rFonts w:cs="Calibri"/>
                <w:b/>
                <w:bCs/>
              </w:rPr>
              <w:t>)</w:t>
            </w:r>
          </w:p>
          <w:p w14:paraId="7DE16089" w14:textId="06A1889D" w:rsidR="00133084" w:rsidRPr="00133084" w:rsidRDefault="00133084" w:rsidP="00462B4B">
            <w:pPr>
              <w:rPr>
                <w:rFonts w:cs="Calibri"/>
                <w:b/>
                <w:bCs/>
              </w:rPr>
            </w:pPr>
            <w:r>
              <w:rPr>
                <w:rFonts w:cs="Calibri"/>
                <w:b/>
                <w:bCs/>
                <w:noProof/>
              </w:rPr>
              <w:drawing>
                <wp:inline distT="0" distB="0" distL="0" distR="0" wp14:anchorId="68981EC4" wp14:editId="2EE12AF5">
                  <wp:extent cx="2818800" cy="184320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8800" cy="1843200"/>
                          </a:xfrm>
                          <a:prstGeom prst="rect">
                            <a:avLst/>
                          </a:prstGeom>
                          <a:noFill/>
                        </pic:spPr>
                      </pic:pic>
                    </a:graphicData>
                  </a:graphic>
                </wp:inline>
              </w:drawing>
            </w:r>
          </w:p>
        </w:tc>
      </w:tr>
      <w:tr w:rsidR="006E38F9" w:rsidRPr="004355FC" w14:paraId="74877DDE" w14:textId="77777777" w:rsidTr="00462B4B">
        <w:trPr>
          <w:trHeight w:val="244"/>
        </w:trPr>
        <w:tc>
          <w:tcPr>
            <w:tcW w:w="5000" w:type="pct"/>
            <w:gridSpan w:val="7"/>
            <w:tcBorders>
              <w:top w:val="single" w:sz="4" w:space="0" w:color="auto"/>
              <w:left w:val="single" w:sz="4" w:space="0" w:color="auto"/>
              <w:bottom w:val="single" w:sz="4" w:space="0" w:color="auto"/>
              <w:right w:val="single" w:sz="4" w:space="0" w:color="auto"/>
            </w:tcBorders>
          </w:tcPr>
          <w:p w14:paraId="49419896" w14:textId="44E8459D" w:rsidR="006E38F9" w:rsidRPr="00EC5162" w:rsidRDefault="006E38F9" w:rsidP="00462B4B">
            <w:pPr>
              <w:rPr>
                <w:rFonts w:cs="Calibri"/>
                <w:sz w:val="18"/>
                <w:szCs w:val="18"/>
              </w:rPr>
            </w:pPr>
            <w:r w:rsidRPr="00EC5162">
              <w:rPr>
                <w:rFonts w:cs="Calibri"/>
                <w:sz w:val="18"/>
                <w:szCs w:val="18"/>
              </w:rPr>
              <w:t xml:space="preserve">Source: </w:t>
            </w:r>
            <w:r w:rsidR="001311A0">
              <w:rPr>
                <w:rFonts w:cs="Calibri"/>
                <w:sz w:val="18"/>
                <w:szCs w:val="18"/>
              </w:rPr>
              <w:t xml:space="preserve">TALAPRO-2 Cohort 2 CSR_ </w:t>
            </w:r>
            <w:r w:rsidRPr="00EC5162">
              <w:rPr>
                <w:rFonts w:cs="Calibri"/>
                <w:sz w:val="18"/>
                <w:szCs w:val="18"/>
              </w:rPr>
              <w:t>Section 2.5 and Section 2.6.1. Abbreviations</w:t>
            </w:r>
            <w:r>
              <w:rPr>
                <w:rFonts w:cs="Calibri"/>
                <w:sz w:val="18"/>
                <w:szCs w:val="18"/>
              </w:rPr>
              <w:t>:</w:t>
            </w:r>
            <w:r w:rsidRPr="00EC5162">
              <w:rPr>
                <w:rFonts w:cs="Calibri"/>
                <w:sz w:val="18"/>
                <w:szCs w:val="18"/>
              </w:rPr>
              <w:t xml:space="preserve"> CI, confidence interval; ENZ, enzalutamide; HR, hazard ratio; </w:t>
            </w:r>
            <w:r>
              <w:rPr>
                <w:rFonts w:cs="Calibri"/>
                <w:sz w:val="18"/>
                <w:szCs w:val="18"/>
              </w:rPr>
              <w:t xml:space="preserve">IA, interim analysis; </w:t>
            </w:r>
            <w:r w:rsidRPr="00EC5162">
              <w:rPr>
                <w:rFonts w:cs="Calibri"/>
                <w:sz w:val="18"/>
                <w:szCs w:val="18"/>
              </w:rPr>
              <w:t>ITT, intention-to-treat; NE, not evaluable;</w:t>
            </w:r>
            <w:r>
              <w:rPr>
                <w:rFonts w:cs="Calibri"/>
                <w:sz w:val="18"/>
                <w:szCs w:val="18"/>
              </w:rPr>
              <w:t xml:space="preserve"> NR, not reached;</w:t>
            </w:r>
            <w:r w:rsidRPr="00EC5162">
              <w:rPr>
                <w:rFonts w:cs="Calibri"/>
                <w:sz w:val="18"/>
                <w:szCs w:val="18"/>
              </w:rPr>
              <w:t xml:space="preserve"> </w:t>
            </w:r>
            <w:r>
              <w:rPr>
                <w:rFonts w:cs="Calibri"/>
                <w:sz w:val="18"/>
                <w:szCs w:val="18"/>
              </w:rPr>
              <w:t xml:space="preserve">OS, overall survival; </w:t>
            </w:r>
            <w:r w:rsidRPr="00EC5162">
              <w:rPr>
                <w:rFonts w:cs="Calibri"/>
                <w:sz w:val="18"/>
                <w:szCs w:val="18"/>
              </w:rPr>
              <w:t xml:space="preserve">TAL, </w:t>
            </w:r>
            <w:proofErr w:type="spellStart"/>
            <w:r w:rsidRPr="00EC5162">
              <w:rPr>
                <w:rFonts w:cs="Calibri"/>
                <w:sz w:val="18"/>
                <w:szCs w:val="18"/>
              </w:rPr>
              <w:t>talazoparib</w:t>
            </w:r>
            <w:proofErr w:type="spellEnd"/>
            <w:r w:rsidRPr="00EC5162">
              <w:rPr>
                <w:rFonts w:cs="Calibri"/>
                <w:sz w:val="18"/>
                <w:szCs w:val="18"/>
              </w:rPr>
              <w:t>.</w:t>
            </w:r>
            <w:r>
              <w:rPr>
                <w:rFonts w:cs="Calibri"/>
                <w:sz w:val="18"/>
                <w:szCs w:val="18"/>
              </w:rPr>
              <w:t xml:space="preserve"> F</w:t>
            </w:r>
            <w:r w:rsidRPr="00EC5162">
              <w:rPr>
                <w:rFonts w:cs="Calibri"/>
                <w:sz w:val="18"/>
                <w:szCs w:val="18"/>
              </w:rPr>
              <w:t>or K-M estimates, CIs are calculated using Brookmeyer and Crowley method.</w:t>
            </w:r>
            <w:r w:rsidRPr="00EC5162">
              <w:rPr>
                <w:sz w:val="18"/>
                <w:szCs w:val="18"/>
              </w:rPr>
              <w:t xml:space="preserve"> </w:t>
            </w:r>
            <w:r w:rsidRPr="00EC5162">
              <w:rPr>
                <w:rFonts w:cs="Calibri"/>
                <w:sz w:val="18"/>
                <w:szCs w:val="18"/>
              </w:rPr>
              <w:t>For HR and 1-sided p-value estimates, a Cox proportional hazard model and a stratified log-rank test were used, respectively.</w:t>
            </w:r>
          </w:p>
        </w:tc>
      </w:tr>
    </w:tbl>
    <w:p w14:paraId="226C4B2B" w14:textId="77777777" w:rsidR="006E38F9" w:rsidRPr="00BC0C43" w:rsidRDefault="006E38F9" w:rsidP="006E38F9">
      <w:pPr>
        <w:jc w:val="both"/>
        <w:rPr>
          <w:rFonts w:asciiTheme="minorHAnsi" w:eastAsia="Segoe UI" w:hAnsiTheme="minorHAnsi" w:cstheme="minorHAnsi"/>
          <w:color w:val="000000"/>
        </w:rPr>
      </w:pPr>
    </w:p>
    <w:p w14:paraId="0C2BEC69" w14:textId="2C345F79" w:rsidR="004A45BE" w:rsidRPr="00665487" w:rsidRDefault="004A45BE" w:rsidP="00BC0C43">
      <w:pPr>
        <w:pStyle w:val="Heading2"/>
      </w:pPr>
      <w:r>
        <w:t xml:space="preserve">For some people, compared with the comparator(s), does the test information result in: </w:t>
      </w:r>
    </w:p>
    <w:p w14:paraId="67DE36BA" w14:textId="6CCD9EB4" w:rsidR="004A45BE" w:rsidRPr="00BC0C43" w:rsidRDefault="004A45BE" w:rsidP="00BC0C43">
      <w:pPr>
        <w:rPr>
          <w:bCs/>
        </w:rPr>
      </w:pPr>
      <w:r w:rsidRPr="004A45BE">
        <w:t>A change in clinical management?</w:t>
      </w:r>
      <w:r>
        <w:rPr>
          <w:bCs/>
        </w:rPr>
        <w:tab/>
      </w:r>
      <w:r w:rsidR="00AF600C">
        <w:rPr>
          <w:bCs/>
        </w:rPr>
        <w:t>Yes</w:t>
      </w:r>
    </w:p>
    <w:p w14:paraId="6C54CA8D" w14:textId="19C13BA6" w:rsidR="004A45BE" w:rsidRPr="00BC0C43" w:rsidRDefault="004A45BE" w:rsidP="00BC0C43">
      <w:pPr>
        <w:rPr>
          <w:bCs/>
        </w:rPr>
      </w:pPr>
      <w:r w:rsidRPr="004A45BE">
        <w:t xml:space="preserve">A change in </w:t>
      </w:r>
      <w:r>
        <w:t>health outcome</w:t>
      </w:r>
      <w:r w:rsidRPr="004A45BE">
        <w:t>?</w:t>
      </w:r>
      <w:r>
        <w:rPr>
          <w:bCs/>
        </w:rPr>
        <w:tab/>
      </w:r>
      <w:r>
        <w:rPr>
          <w:bCs/>
        </w:rPr>
        <w:tab/>
      </w:r>
      <w:r w:rsidR="00AF600C">
        <w:rPr>
          <w:bCs/>
        </w:rPr>
        <w:t>Yes</w:t>
      </w:r>
    </w:p>
    <w:p w14:paraId="0434A6A4" w14:textId="00806D46" w:rsidR="004A45BE" w:rsidRPr="00BC0C43" w:rsidRDefault="004A45BE" w:rsidP="00BC0C43">
      <w:pPr>
        <w:rPr>
          <w:bCs/>
        </w:rPr>
      </w:pPr>
      <w:r>
        <w:t>Other benefits</w:t>
      </w:r>
      <w:r w:rsidRPr="004A45BE">
        <w:t>?</w:t>
      </w:r>
      <w:r>
        <w:rPr>
          <w:bCs/>
        </w:rPr>
        <w:tab/>
      </w:r>
      <w:r>
        <w:rPr>
          <w:bCs/>
        </w:rPr>
        <w:tab/>
      </w:r>
      <w:r>
        <w:rPr>
          <w:bCs/>
        </w:rPr>
        <w:tab/>
      </w:r>
      <w:r w:rsidR="006E38F9">
        <w:rPr>
          <w:bCs/>
        </w:rPr>
        <w:t>No</w:t>
      </w:r>
    </w:p>
    <w:p w14:paraId="04716397" w14:textId="0FE58BC1" w:rsidR="004A45BE" w:rsidRPr="00BC0C43" w:rsidRDefault="009D5D20" w:rsidP="00BC0C43">
      <w:pPr>
        <w:pStyle w:val="Heading2"/>
      </w:pPr>
      <w:r>
        <w:t>Please provide a rationale, and information on other benefits if relevant</w:t>
      </w:r>
      <w:r w:rsidR="004A45BE">
        <w:t>:</w:t>
      </w:r>
    </w:p>
    <w:p w14:paraId="7A710088" w14:textId="05E3A9AF" w:rsidR="001311A0" w:rsidRPr="002B791D" w:rsidRDefault="001311A0" w:rsidP="001311A0">
      <w:pPr>
        <w:rPr>
          <w:i/>
          <w:iCs/>
        </w:rPr>
      </w:pPr>
      <w:r w:rsidRPr="002B791D">
        <w:rPr>
          <w:i/>
          <w:iCs/>
        </w:rPr>
        <w:t>Safety results (required to support the claim of non-inferiority in terms of safety)</w:t>
      </w:r>
    </w:p>
    <w:p w14:paraId="3CC608CB" w14:textId="3BE78E86" w:rsidR="001311A0" w:rsidRDefault="001311A0" w:rsidP="001311A0">
      <w:pPr>
        <w:jc w:val="both"/>
      </w:pPr>
      <w:r w:rsidRPr="001713C4">
        <w:t xml:space="preserve">The </w:t>
      </w:r>
      <w:r w:rsidRPr="0055391F">
        <w:t xml:space="preserve">summary of safety outcomes in the safety population for Cohort-2 (ITT HRR deficient population) is presented in Table </w:t>
      </w:r>
      <w:r>
        <w:t>3</w:t>
      </w:r>
      <w:r w:rsidRPr="0055391F">
        <w:t xml:space="preserve">. Overall, the </w:t>
      </w:r>
      <w:r>
        <w:t>incidence</w:t>
      </w:r>
      <w:r w:rsidRPr="0055391F">
        <w:t xml:space="preserve"> of TEAEs of any grade was</w:t>
      </w:r>
      <w:r>
        <w:t xml:space="preserve"> higher for TAL + ENZ vs PBO + ENZ</w:t>
      </w:r>
      <w:r w:rsidRPr="0055391F">
        <w:t xml:space="preserve"> </w:t>
      </w:r>
      <w:r>
        <w:t>(99.0% versus 96.0%)</w:t>
      </w:r>
      <w:r w:rsidRPr="0055391F">
        <w:t xml:space="preserve">. Treatment-related AEs were reported in 90.9% of patients in the TAL + ENZ group and in 72.4% of patients in the PBO + ENZ group. </w:t>
      </w:r>
      <w:r>
        <w:t>The frequency of grade 3/4 TE</w:t>
      </w:r>
      <w:r w:rsidRPr="00F233A7">
        <w:t xml:space="preserve">AE also occurred in a higher proportion of patients in the </w:t>
      </w:r>
      <w:r>
        <w:t>TAL</w:t>
      </w:r>
      <w:r w:rsidRPr="00F233A7">
        <w:t xml:space="preserve"> +</w:t>
      </w:r>
      <w:r>
        <w:t xml:space="preserve"> ENZ</w:t>
      </w:r>
      <w:r w:rsidRPr="00F233A7">
        <w:t xml:space="preserve"> group than in the </w:t>
      </w:r>
      <w:r>
        <w:t>PBO + ENZ</w:t>
      </w:r>
      <w:r w:rsidRPr="00F233A7">
        <w:t xml:space="preserve"> group (</w:t>
      </w:r>
      <w:r>
        <w:t>66</w:t>
      </w:r>
      <w:r w:rsidRPr="00F233A7">
        <w:t>.</w:t>
      </w:r>
      <w:r>
        <w:t>2</w:t>
      </w:r>
      <w:r w:rsidRPr="00F233A7">
        <w:t xml:space="preserve">% and </w:t>
      </w:r>
      <w:r>
        <w:t>37</w:t>
      </w:r>
      <w:r w:rsidRPr="00F233A7">
        <w:t>.2%, respectively</w:t>
      </w:r>
      <w:r>
        <w:t>)</w:t>
      </w:r>
      <w:r w:rsidRPr="0055391F">
        <w:t xml:space="preserve">. Grade 5 TEAEs occurred in 1.5% of patients </w:t>
      </w:r>
      <w:r w:rsidRPr="0055391F">
        <w:lastRenderedPageBreak/>
        <w:t>in the TAL + ENZ group and in 2.5% of patients in the PBO + ENZ group. No (fatal) grade 5 treatment-related AEs occurred in the TAL + ENZ group or the PBO + ENZ group.</w:t>
      </w:r>
      <w:r>
        <w:t xml:space="preserve"> T</w:t>
      </w:r>
      <w:r w:rsidRPr="00B20100">
        <w:t xml:space="preserve">here were no cases of myelodysplastic syndrome or acute myeloid leukemia during the safety reporting period or the follow-up period in the TAL + ENZ or PBO + ENZ group. Pulmonary embolism was reported in 2.0% of patients (n=4; grade ≥3 in 3 patients) in the TAL + ENZ group and in 1.0% (n=2; grade ≥3 in 2 patients) in the PBO + ENZ group. </w:t>
      </w:r>
    </w:p>
    <w:p w14:paraId="144C1829" w14:textId="274E5688" w:rsidR="001311A0" w:rsidRPr="00A337A7" w:rsidRDefault="001311A0" w:rsidP="00AF600C">
      <w:pPr>
        <w:pStyle w:val="Caption"/>
        <w:tabs>
          <w:tab w:val="clear" w:pos="1701"/>
          <w:tab w:val="left" w:pos="851"/>
        </w:tabs>
        <w:ind w:left="851" w:hanging="851"/>
        <w:rPr>
          <w:rFonts w:cs="Calibri"/>
          <w:b w:val="0"/>
          <w:bCs w:val="0"/>
          <w:sz w:val="20"/>
        </w:rPr>
      </w:pPr>
      <w:r w:rsidRPr="005D5B28">
        <w:rPr>
          <w:rFonts w:cs="Calibri"/>
          <w:sz w:val="20"/>
        </w:rPr>
        <w:t xml:space="preserve">Table </w:t>
      </w:r>
      <w:r>
        <w:rPr>
          <w:rFonts w:cs="Calibri"/>
          <w:sz w:val="20"/>
        </w:rPr>
        <w:t>3</w:t>
      </w:r>
      <w:r w:rsidRPr="005D5B28">
        <w:rPr>
          <w:rFonts w:cs="Calibri"/>
          <w:sz w:val="20"/>
        </w:rPr>
        <w:t xml:space="preserve"> </w:t>
      </w:r>
      <w:r w:rsidR="00AF600C">
        <w:rPr>
          <w:rFonts w:cs="Calibri"/>
          <w:sz w:val="20"/>
        </w:rPr>
        <w:tab/>
      </w:r>
      <w:r w:rsidRPr="00FE37B4">
        <w:rPr>
          <w:rFonts w:cs="Calibri"/>
          <w:sz w:val="20"/>
        </w:rPr>
        <w:t>Summary of adverse events</w:t>
      </w:r>
      <w:r>
        <w:rPr>
          <w:rFonts w:cs="Calibri"/>
          <w:sz w:val="20"/>
        </w:rPr>
        <w:t xml:space="preserve"> (Cohort 2 – ITT HRR deficient population)</w:t>
      </w:r>
    </w:p>
    <w:tbl>
      <w:tblPr>
        <w:tblStyle w:val="TableGrid"/>
        <w:tblW w:w="5000" w:type="pct"/>
        <w:tblLook w:val="04A0" w:firstRow="1" w:lastRow="0" w:firstColumn="1" w:lastColumn="0" w:noHBand="0" w:noVBand="1"/>
      </w:tblPr>
      <w:tblGrid>
        <w:gridCol w:w="4492"/>
        <w:gridCol w:w="2258"/>
        <w:gridCol w:w="2715"/>
      </w:tblGrid>
      <w:tr w:rsidR="001311A0" w:rsidRPr="002D004D" w14:paraId="420CAFB8" w14:textId="77777777" w:rsidTr="00462B4B">
        <w:trPr>
          <w:trHeight w:val="244"/>
          <w:tblHeader/>
        </w:trPr>
        <w:tc>
          <w:tcPr>
            <w:tcW w:w="2373" w:type="pct"/>
            <w:tcBorders>
              <w:top w:val="single" w:sz="4" w:space="0" w:color="auto"/>
              <w:left w:val="single" w:sz="4" w:space="0" w:color="auto"/>
              <w:bottom w:val="single" w:sz="4" w:space="0" w:color="auto"/>
              <w:right w:val="single" w:sz="4" w:space="0" w:color="auto"/>
            </w:tcBorders>
            <w:shd w:val="clear" w:color="auto" w:fill="F2F2F2"/>
            <w:hideMark/>
          </w:tcPr>
          <w:p w14:paraId="46478A27" w14:textId="77777777" w:rsidR="001311A0" w:rsidRPr="002D004D" w:rsidRDefault="001311A0" w:rsidP="00462B4B">
            <w:pPr>
              <w:pStyle w:val="Tableheading"/>
            </w:pPr>
            <w:r w:rsidRPr="002D004D">
              <w:t>Adverse events, n (%)</w:t>
            </w:r>
          </w:p>
        </w:tc>
        <w:tc>
          <w:tcPr>
            <w:tcW w:w="1193" w:type="pct"/>
            <w:tcBorders>
              <w:top w:val="single" w:sz="4" w:space="0" w:color="auto"/>
              <w:left w:val="single" w:sz="4" w:space="0" w:color="auto"/>
              <w:bottom w:val="single" w:sz="4" w:space="0" w:color="auto"/>
              <w:right w:val="single" w:sz="4" w:space="0" w:color="auto"/>
            </w:tcBorders>
            <w:shd w:val="clear" w:color="auto" w:fill="F2F2F2"/>
            <w:hideMark/>
          </w:tcPr>
          <w:p w14:paraId="418BC8EB" w14:textId="77777777" w:rsidR="001311A0" w:rsidRPr="002D004D" w:rsidRDefault="001311A0" w:rsidP="00462B4B">
            <w:pPr>
              <w:pStyle w:val="Tableheading"/>
              <w:jc w:val="center"/>
              <w:rPr>
                <w:b w:val="0"/>
              </w:rPr>
            </w:pPr>
            <w:r>
              <w:t>TAL</w:t>
            </w:r>
            <w:r w:rsidRPr="002D004D">
              <w:t xml:space="preserve"> + </w:t>
            </w:r>
            <w:r>
              <w:t>ENZ</w:t>
            </w:r>
          </w:p>
          <w:p w14:paraId="2AA7B58A" w14:textId="77777777" w:rsidR="001311A0" w:rsidRPr="002D004D" w:rsidRDefault="001311A0" w:rsidP="00462B4B">
            <w:pPr>
              <w:pStyle w:val="Tableheading"/>
              <w:jc w:val="center"/>
            </w:pPr>
            <w:r w:rsidRPr="002D004D">
              <w:t xml:space="preserve">N = </w:t>
            </w:r>
            <w:r>
              <w:t>198</w:t>
            </w:r>
          </w:p>
        </w:tc>
        <w:tc>
          <w:tcPr>
            <w:tcW w:w="1434" w:type="pct"/>
            <w:tcBorders>
              <w:top w:val="single" w:sz="4" w:space="0" w:color="auto"/>
              <w:left w:val="single" w:sz="4" w:space="0" w:color="auto"/>
              <w:bottom w:val="single" w:sz="4" w:space="0" w:color="auto"/>
              <w:right w:val="single" w:sz="4" w:space="0" w:color="auto"/>
            </w:tcBorders>
            <w:shd w:val="clear" w:color="auto" w:fill="F2F2F2"/>
            <w:hideMark/>
          </w:tcPr>
          <w:p w14:paraId="7EEC449F" w14:textId="77777777" w:rsidR="001311A0" w:rsidRPr="002D004D" w:rsidRDefault="001311A0" w:rsidP="00462B4B">
            <w:pPr>
              <w:pStyle w:val="Tableheading"/>
              <w:jc w:val="center"/>
              <w:rPr>
                <w:b w:val="0"/>
              </w:rPr>
            </w:pPr>
            <w:r>
              <w:t>PBO + ENZ</w:t>
            </w:r>
          </w:p>
          <w:p w14:paraId="491191A1" w14:textId="77777777" w:rsidR="001311A0" w:rsidRPr="002D004D" w:rsidRDefault="001311A0" w:rsidP="00462B4B">
            <w:pPr>
              <w:pStyle w:val="Tableheading"/>
              <w:jc w:val="center"/>
            </w:pPr>
            <w:r w:rsidRPr="002D004D">
              <w:t xml:space="preserve">N = </w:t>
            </w:r>
            <w:r>
              <w:t>199</w:t>
            </w:r>
          </w:p>
        </w:tc>
      </w:tr>
      <w:tr w:rsidR="001311A0" w:rsidRPr="002D004D" w14:paraId="7EDCCF78" w14:textId="77777777" w:rsidTr="00462B4B">
        <w:trPr>
          <w:trHeight w:val="244"/>
        </w:trPr>
        <w:tc>
          <w:tcPr>
            <w:tcW w:w="2373" w:type="pct"/>
            <w:tcBorders>
              <w:top w:val="single" w:sz="4" w:space="0" w:color="auto"/>
              <w:left w:val="single" w:sz="4" w:space="0" w:color="auto"/>
              <w:bottom w:val="single" w:sz="4" w:space="0" w:color="auto"/>
              <w:right w:val="single" w:sz="4" w:space="0" w:color="auto"/>
            </w:tcBorders>
            <w:hideMark/>
          </w:tcPr>
          <w:p w14:paraId="7BBE04B3" w14:textId="77777777" w:rsidR="001311A0" w:rsidRPr="00F00678" w:rsidRDefault="001311A0" w:rsidP="00462B4B">
            <w:pPr>
              <w:pStyle w:val="Tabletext"/>
            </w:pPr>
            <w:r w:rsidRPr="00F00678">
              <w:t>Any adverse event</w:t>
            </w:r>
          </w:p>
        </w:tc>
        <w:tc>
          <w:tcPr>
            <w:tcW w:w="1193" w:type="pct"/>
            <w:tcBorders>
              <w:top w:val="single" w:sz="4" w:space="0" w:color="auto"/>
              <w:left w:val="single" w:sz="4" w:space="0" w:color="auto"/>
              <w:bottom w:val="single" w:sz="4" w:space="0" w:color="auto"/>
              <w:right w:val="single" w:sz="4" w:space="0" w:color="auto"/>
            </w:tcBorders>
            <w:hideMark/>
          </w:tcPr>
          <w:p w14:paraId="43C74595" w14:textId="77777777" w:rsidR="001311A0" w:rsidRPr="00F00678" w:rsidRDefault="001311A0" w:rsidP="00462B4B">
            <w:pPr>
              <w:pStyle w:val="Tabletext"/>
              <w:jc w:val="center"/>
            </w:pPr>
            <w:r w:rsidRPr="00F00678">
              <w:t>182 (91.9)</w:t>
            </w:r>
          </w:p>
        </w:tc>
        <w:tc>
          <w:tcPr>
            <w:tcW w:w="1434" w:type="pct"/>
            <w:tcBorders>
              <w:top w:val="single" w:sz="4" w:space="0" w:color="auto"/>
              <w:left w:val="single" w:sz="4" w:space="0" w:color="auto"/>
              <w:bottom w:val="single" w:sz="4" w:space="0" w:color="auto"/>
              <w:right w:val="single" w:sz="4" w:space="0" w:color="auto"/>
            </w:tcBorders>
            <w:hideMark/>
          </w:tcPr>
          <w:p w14:paraId="4EC53706" w14:textId="77777777" w:rsidR="001311A0" w:rsidRPr="00F00678" w:rsidRDefault="001311A0" w:rsidP="00462B4B">
            <w:pPr>
              <w:pStyle w:val="Tabletext"/>
              <w:jc w:val="center"/>
            </w:pPr>
            <w:r w:rsidRPr="00F00678">
              <w:t>111 (56.1)</w:t>
            </w:r>
          </w:p>
        </w:tc>
      </w:tr>
      <w:tr w:rsidR="001311A0" w:rsidRPr="002D004D" w14:paraId="5CB6F647" w14:textId="77777777" w:rsidTr="00462B4B">
        <w:trPr>
          <w:trHeight w:val="244"/>
        </w:trPr>
        <w:tc>
          <w:tcPr>
            <w:tcW w:w="2373" w:type="pct"/>
            <w:tcBorders>
              <w:top w:val="single" w:sz="4" w:space="0" w:color="auto"/>
              <w:left w:val="single" w:sz="4" w:space="0" w:color="auto"/>
              <w:bottom w:val="single" w:sz="4" w:space="0" w:color="auto"/>
              <w:right w:val="single" w:sz="4" w:space="0" w:color="auto"/>
            </w:tcBorders>
          </w:tcPr>
          <w:p w14:paraId="78103D2E" w14:textId="77777777" w:rsidR="001311A0" w:rsidRPr="00F00678" w:rsidRDefault="001311A0" w:rsidP="00462B4B">
            <w:pPr>
              <w:pStyle w:val="Tabletext"/>
            </w:pPr>
            <w:r w:rsidRPr="00F00678">
              <w:t>Serious TEAE</w:t>
            </w:r>
          </w:p>
        </w:tc>
        <w:tc>
          <w:tcPr>
            <w:tcW w:w="1193" w:type="pct"/>
            <w:tcBorders>
              <w:top w:val="single" w:sz="4" w:space="0" w:color="auto"/>
              <w:left w:val="single" w:sz="4" w:space="0" w:color="auto"/>
              <w:bottom w:val="single" w:sz="4" w:space="0" w:color="auto"/>
              <w:right w:val="single" w:sz="4" w:space="0" w:color="auto"/>
            </w:tcBorders>
          </w:tcPr>
          <w:p w14:paraId="22080107" w14:textId="77777777" w:rsidR="001311A0" w:rsidRPr="00F00678" w:rsidRDefault="001311A0" w:rsidP="00462B4B">
            <w:pPr>
              <w:pStyle w:val="Tabletext"/>
              <w:jc w:val="center"/>
            </w:pPr>
            <w:r w:rsidRPr="00F00678">
              <w:t>60 (30.3)</w:t>
            </w:r>
          </w:p>
        </w:tc>
        <w:tc>
          <w:tcPr>
            <w:tcW w:w="1434" w:type="pct"/>
            <w:tcBorders>
              <w:top w:val="single" w:sz="4" w:space="0" w:color="auto"/>
              <w:left w:val="single" w:sz="4" w:space="0" w:color="auto"/>
              <w:bottom w:val="single" w:sz="4" w:space="0" w:color="auto"/>
              <w:right w:val="single" w:sz="4" w:space="0" w:color="auto"/>
            </w:tcBorders>
          </w:tcPr>
          <w:p w14:paraId="281C3200" w14:textId="77777777" w:rsidR="001311A0" w:rsidRPr="00F00678" w:rsidRDefault="001311A0" w:rsidP="00462B4B">
            <w:pPr>
              <w:pStyle w:val="Tabletext"/>
              <w:jc w:val="center"/>
            </w:pPr>
            <w:r w:rsidRPr="00F00678">
              <w:t>40 (20.1)</w:t>
            </w:r>
          </w:p>
        </w:tc>
      </w:tr>
      <w:tr w:rsidR="001311A0" w:rsidRPr="002D004D" w14:paraId="52F1AC70" w14:textId="77777777" w:rsidTr="00462B4B">
        <w:trPr>
          <w:trHeight w:val="244"/>
        </w:trPr>
        <w:tc>
          <w:tcPr>
            <w:tcW w:w="2373" w:type="pct"/>
            <w:tcBorders>
              <w:top w:val="single" w:sz="4" w:space="0" w:color="auto"/>
              <w:left w:val="single" w:sz="4" w:space="0" w:color="auto"/>
              <w:bottom w:val="single" w:sz="4" w:space="0" w:color="auto"/>
              <w:right w:val="single" w:sz="4" w:space="0" w:color="auto"/>
            </w:tcBorders>
          </w:tcPr>
          <w:p w14:paraId="7212D82F" w14:textId="77777777" w:rsidR="001311A0" w:rsidRPr="00F00678" w:rsidRDefault="001311A0" w:rsidP="00462B4B">
            <w:pPr>
              <w:pStyle w:val="Tabletext"/>
            </w:pPr>
            <w:r w:rsidRPr="00F00678">
              <w:t>TEAE grade 3 or 4, n (%)</w:t>
            </w:r>
          </w:p>
        </w:tc>
        <w:tc>
          <w:tcPr>
            <w:tcW w:w="1193" w:type="pct"/>
            <w:tcBorders>
              <w:top w:val="single" w:sz="4" w:space="0" w:color="auto"/>
              <w:left w:val="single" w:sz="4" w:space="0" w:color="auto"/>
              <w:bottom w:val="single" w:sz="4" w:space="0" w:color="auto"/>
              <w:right w:val="single" w:sz="4" w:space="0" w:color="auto"/>
            </w:tcBorders>
          </w:tcPr>
          <w:p w14:paraId="57FC6D79" w14:textId="77777777" w:rsidR="001311A0" w:rsidRPr="00F00678" w:rsidRDefault="001311A0" w:rsidP="00462B4B">
            <w:pPr>
              <w:pStyle w:val="Tabletext"/>
              <w:jc w:val="center"/>
            </w:pPr>
            <w:r w:rsidRPr="00F00678">
              <w:t>131 (66.2)</w:t>
            </w:r>
          </w:p>
        </w:tc>
        <w:tc>
          <w:tcPr>
            <w:tcW w:w="1434" w:type="pct"/>
            <w:tcBorders>
              <w:top w:val="single" w:sz="4" w:space="0" w:color="auto"/>
              <w:left w:val="single" w:sz="4" w:space="0" w:color="auto"/>
              <w:bottom w:val="single" w:sz="4" w:space="0" w:color="auto"/>
              <w:right w:val="single" w:sz="4" w:space="0" w:color="auto"/>
            </w:tcBorders>
          </w:tcPr>
          <w:p w14:paraId="0A00921A" w14:textId="77777777" w:rsidR="001311A0" w:rsidRPr="00F00678" w:rsidRDefault="001311A0" w:rsidP="00462B4B">
            <w:pPr>
              <w:pStyle w:val="Tabletext"/>
              <w:jc w:val="center"/>
            </w:pPr>
            <w:r w:rsidRPr="00F00678">
              <w:t>74 (37.2)</w:t>
            </w:r>
          </w:p>
        </w:tc>
      </w:tr>
      <w:tr w:rsidR="001311A0" w:rsidRPr="002D004D" w14:paraId="4D721D3B" w14:textId="77777777" w:rsidTr="00462B4B">
        <w:trPr>
          <w:trHeight w:val="244"/>
        </w:trPr>
        <w:tc>
          <w:tcPr>
            <w:tcW w:w="2373" w:type="pct"/>
            <w:tcBorders>
              <w:top w:val="single" w:sz="4" w:space="0" w:color="auto"/>
              <w:left w:val="single" w:sz="4" w:space="0" w:color="auto"/>
              <w:bottom w:val="single" w:sz="4" w:space="0" w:color="auto"/>
              <w:right w:val="single" w:sz="4" w:space="0" w:color="auto"/>
            </w:tcBorders>
          </w:tcPr>
          <w:p w14:paraId="1C7118FC" w14:textId="77777777" w:rsidR="001311A0" w:rsidRPr="00F00678" w:rsidRDefault="001311A0" w:rsidP="00462B4B">
            <w:pPr>
              <w:pStyle w:val="Tabletext"/>
            </w:pPr>
            <w:r w:rsidRPr="00F00678">
              <w:t>Grade 5 TEAE</w:t>
            </w:r>
          </w:p>
        </w:tc>
        <w:tc>
          <w:tcPr>
            <w:tcW w:w="1193" w:type="pct"/>
            <w:tcBorders>
              <w:top w:val="single" w:sz="4" w:space="0" w:color="auto"/>
              <w:left w:val="single" w:sz="4" w:space="0" w:color="auto"/>
              <w:bottom w:val="single" w:sz="4" w:space="0" w:color="auto"/>
              <w:right w:val="single" w:sz="4" w:space="0" w:color="auto"/>
            </w:tcBorders>
          </w:tcPr>
          <w:p w14:paraId="39D83C49" w14:textId="77777777" w:rsidR="001311A0" w:rsidRPr="00F00678" w:rsidRDefault="001311A0" w:rsidP="00462B4B">
            <w:pPr>
              <w:pStyle w:val="Tabletext"/>
              <w:jc w:val="center"/>
            </w:pPr>
            <w:r w:rsidRPr="00F00678">
              <w:t>3 (1.5)</w:t>
            </w:r>
          </w:p>
        </w:tc>
        <w:tc>
          <w:tcPr>
            <w:tcW w:w="1434" w:type="pct"/>
            <w:tcBorders>
              <w:top w:val="single" w:sz="4" w:space="0" w:color="auto"/>
              <w:left w:val="single" w:sz="4" w:space="0" w:color="auto"/>
              <w:bottom w:val="single" w:sz="4" w:space="0" w:color="auto"/>
              <w:right w:val="single" w:sz="4" w:space="0" w:color="auto"/>
            </w:tcBorders>
          </w:tcPr>
          <w:p w14:paraId="378D93F6" w14:textId="77777777" w:rsidR="001311A0" w:rsidRPr="00F00678" w:rsidRDefault="001311A0" w:rsidP="00462B4B">
            <w:pPr>
              <w:pStyle w:val="Tabletext"/>
              <w:jc w:val="center"/>
            </w:pPr>
            <w:r w:rsidRPr="00F00678">
              <w:t>5 (2.5)</w:t>
            </w:r>
          </w:p>
        </w:tc>
      </w:tr>
    </w:tbl>
    <w:p w14:paraId="2DD84A9C" w14:textId="77777777" w:rsidR="001311A0" w:rsidRPr="00B205E2" w:rsidRDefault="001311A0" w:rsidP="001311A0">
      <w:pPr>
        <w:pStyle w:val="MainBodyText"/>
        <w:spacing w:after="0" w:line="240" w:lineRule="auto"/>
        <w:rPr>
          <w:rFonts w:eastAsia="Times New Roman" w:cs="Calibri"/>
          <w:sz w:val="18"/>
          <w:szCs w:val="18"/>
          <w:lang w:eastAsia="en-AU"/>
        </w:rPr>
      </w:pPr>
      <w:r w:rsidRPr="00B205E2">
        <w:rPr>
          <w:rFonts w:eastAsia="Times New Roman" w:cs="Calibri"/>
          <w:sz w:val="18"/>
          <w:szCs w:val="18"/>
          <w:lang w:eastAsia="en-AU"/>
        </w:rPr>
        <w:t xml:space="preserve">Source: TALAPRO-2 CSR Cohort 2 Section 5.2.1. Adverse Events, Table </w:t>
      </w:r>
      <w:proofErr w:type="gramStart"/>
      <w:r w:rsidRPr="00B205E2">
        <w:rPr>
          <w:rFonts w:eastAsia="Times New Roman" w:cs="Calibri"/>
          <w:sz w:val="18"/>
          <w:szCs w:val="18"/>
          <w:lang w:eastAsia="en-AU"/>
        </w:rPr>
        <w:t>27</w:t>
      </w:r>
      <w:proofErr w:type="gramEnd"/>
      <w:r w:rsidRPr="00B205E2">
        <w:rPr>
          <w:rFonts w:eastAsia="Times New Roman" w:cs="Calibri"/>
          <w:sz w:val="18"/>
          <w:szCs w:val="18"/>
          <w:lang w:eastAsia="en-AU"/>
        </w:rPr>
        <w:t xml:space="preserve"> and Table 28</w:t>
      </w:r>
    </w:p>
    <w:p w14:paraId="5DB304E8" w14:textId="77777777" w:rsidR="001311A0" w:rsidRDefault="001311A0" w:rsidP="001311A0">
      <w:pPr>
        <w:pStyle w:val="MainBodyText"/>
        <w:spacing w:after="0" w:line="240" w:lineRule="auto"/>
        <w:rPr>
          <w:rFonts w:eastAsia="Times New Roman" w:cs="Calibri"/>
          <w:sz w:val="18"/>
          <w:szCs w:val="18"/>
          <w:lang w:eastAsia="en-AU"/>
        </w:rPr>
      </w:pPr>
      <w:r w:rsidRPr="00B205E2">
        <w:rPr>
          <w:rFonts w:eastAsia="Times New Roman" w:cs="Calibri"/>
          <w:sz w:val="18"/>
          <w:szCs w:val="18"/>
          <w:lang w:eastAsia="en-AU"/>
        </w:rPr>
        <w:t xml:space="preserve">Abbreviations: AE, adverse event; CI, confidence interval; ENZ, enzalutamide; PBO, placebo; TAL, </w:t>
      </w:r>
      <w:proofErr w:type="spellStart"/>
      <w:r w:rsidRPr="00B205E2">
        <w:rPr>
          <w:rFonts w:eastAsia="Times New Roman" w:cs="Calibri"/>
          <w:sz w:val="18"/>
          <w:szCs w:val="18"/>
          <w:lang w:eastAsia="en-AU"/>
        </w:rPr>
        <w:t>talazoparib</w:t>
      </w:r>
      <w:proofErr w:type="spellEnd"/>
      <w:r w:rsidRPr="00B205E2">
        <w:rPr>
          <w:rFonts w:eastAsia="Times New Roman" w:cs="Calibri"/>
          <w:sz w:val="18"/>
          <w:szCs w:val="18"/>
          <w:lang w:eastAsia="en-AU"/>
        </w:rPr>
        <w:t>; TEAE, treatment emergent adverse event.</w:t>
      </w:r>
    </w:p>
    <w:p w14:paraId="37D02800" w14:textId="77777777" w:rsidR="001311A0" w:rsidRPr="00807818" w:rsidRDefault="001311A0" w:rsidP="001311A0">
      <w:pPr>
        <w:pStyle w:val="MainBodyText"/>
        <w:spacing w:after="0" w:line="240" w:lineRule="auto"/>
        <w:rPr>
          <w:rFonts w:eastAsia="Times New Roman" w:cs="Calibri"/>
          <w:sz w:val="18"/>
          <w:szCs w:val="18"/>
          <w:lang w:eastAsia="en-AU"/>
        </w:rPr>
      </w:pPr>
    </w:p>
    <w:p w14:paraId="479B5B2C" w14:textId="49A7E1A0" w:rsidR="001311A0" w:rsidRDefault="001311A0" w:rsidP="001311A0">
      <w:pPr>
        <w:jc w:val="both"/>
      </w:pPr>
      <w:r w:rsidRPr="00723D08">
        <w:t>In Cohort 2, 10.1% of patients in the TAL + ENZ group and 7.</w:t>
      </w:r>
      <w:r>
        <w:t>6</w:t>
      </w:r>
      <w:r w:rsidRPr="00723D08">
        <w:t xml:space="preserve">% of patients in the PBO + ENZ group experienced AEs leading to discontinuation of TAL or PBO. AEs leading to dose interruption of TAL were reported in </w:t>
      </w:r>
      <w:r>
        <w:t>5</w:t>
      </w:r>
      <w:r w:rsidRPr="00723D08">
        <w:t>7.</w:t>
      </w:r>
      <w:r>
        <w:t>6</w:t>
      </w:r>
      <w:r w:rsidRPr="00723D08">
        <w:t>% of patients in the TAL + ENZ group and AEs leading to dose interruption of PBO were reported in 1</w:t>
      </w:r>
      <w:r>
        <w:t>7</w:t>
      </w:r>
      <w:r w:rsidRPr="00723D08">
        <w:t>.</w:t>
      </w:r>
      <w:r>
        <w:t>1</w:t>
      </w:r>
      <w:r w:rsidRPr="00723D08">
        <w:t>% of patients in the PBO + ENZ group. AEs leading to dose reduction of TAL were reported in 5</w:t>
      </w:r>
      <w:r>
        <w:t>2</w:t>
      </w:r>
      <w:r w:rsidRPr="00723D08">
        <w:t>.</w:t>
      </w:r>
      <w:r>
        <w:t>0</w:t>
      </w:r>
      <w:r w:rsidRPr="00723D08">
        <w:t xml:space="preserve">% of patients in the TAL + ENZ group and AEs leading to dose reduction of PBO were reported in </w:t>
      </w:r>
      <w:r>
        <w:t>5.5</w:t>
      </w:r>
      <w:r w:rsidRPr="00723D08">
        <w:t>% of patients in the PBO + ENZ group</w:t>
      </w:r>
      <w:r>
        <w:t xml:space="preserve"> (Table 4).</w:t>
      </w:r>
    </w:p>
    <w:p w14:paraId="2E05724A" w14:textId="7BA27698" w:rsidR="001311A0" w:rsidRPr="00A337A7" w:rsidRDefault="001311A0" w:rsidP="00AF600C">
      <w:pPr>
        <w:pStyle w:val="Caption"/>
        <w:ind w:left="993" w:hanging="993"/>
        <w:jc w:val="left"/>
        <w:rPr>
          <w:rFonts w:cs="Calibri"/>
          <w:b w:val="0"/>
          <w:bCs w:val="0"/>
          <w:sz w:val="20"/>
        </w:rPr>
      </w:pPr>
      <w:r w:rsidRPr="005D5B28">
        <w:rPr>
          <w:rFonts w:cs="Calibri"/>
          <w:sz w:val="20"/>
        </w:rPr>
        <w:t xml:space="preserve">Table </w:t>
      </w:r>
      <w:r>
        <w:rPr>
          <w:rFonts w:cs="Calibri"/>
          <w:sz w:val="20"/>
        </w:rPr>
        <w:t>4</w:t>
      </w:r>
      <w:r w:rsidRPr="005D5B28">
        <w:rPr>
          <w:rFonts w:cs="Calibri"/>
          <w:sz w:val="20"/>
        </w:rPr>
        <w:t xml:space="preserve"> </w:t>
      </w:r>
      <w:r w:rsidR="00AF600C">
        <w:rPr>
          <w:rFonts w:cs="Calibri"/>
          <w:sz w:val="20"/>
        </w:rPr>
        <w:tab/>
      </w:r>
      <w:r w:rsidRPr="004A5757">
        <w:rPr>
          <w:rFonts w:cs="Calibri"/>
          <w:sz w:val="20"/>
        </w:rPr>
        <w:t>Summary of dose modifications of TAL or placebo due to AEs in TALAPRO-2 (Cohort 2</w:t>
      </w:r>
      <w:r>
        <w:rPr>
          <w:rFonts w:cs="Calibri"/>
          <w:sz w:val="20"/>
        </w:rPr>
        <w:t xml:space="preserve"> – ITT HRR deficient</w:t>
      </w:r>
      <w:r w:rsidRPr="004A5757">
        <w:rPr>
          <w:rFonts w:cs="Calibri"/>
          <w:sz w:val="20"/>
        </w:rPr>
        <w:t>)</w:t>
      </w:r>
    </w:p>
    <w:tbl>
      <w:tblPr>
        <w:tblStyle w:val="TableGrid"/>
        <w:tblW w:w="5000" w:type="pct"/>
        <w:tblLook w:val="04A0" w:firstRow="1" w:lastRow="0" w:firstColumn="1" w:lastColumn="0" w:noHBand="0" w:noVBand="1"/>
      </w:tblPr>
      <w:tblGrid>
        <w:gridCol w:w="4492"/>
        <w:gridCol w:w="2258"/>
        <w:gridCol w:w="2715"/>
      </w:tblGrid>
      <w:tr w:rsidR="001311A0" w:rsidRPr="002D004D" w14:paraId="6EED6EE2" w14:textId="77777777" w:rsidTr="00462B4B">
        <w:trPr>
          <w:trHeight w:val="244"/>
          <w:tblHeader/>
        </w:trPr>
        <w:tc>
          <w:tcPr>
            <w:tcW w:w="2373" w:type="pct"/>
            <w:tcBorders>
              <w:top w:val="single" w:sz="4" w:space="0" w:color="auto"/>
              <w:left w:val="single" w:sz="4" w:space="0" w:color="auto"/>
              <w:bottom w:val="single" w:sz="4" w:space="0" w:color="auto"/>
              <w:right w:val="single" w:sz="4" w:space="0" w:color="auto"/>
            </w:tcBorders>
            <w:shd w:val="clear" w:color="auto" w:fill="F2F2F2"/>
            <w:hideMark/>
          </w:tcPr>
          <w:p w14:paraId="21FE496A" w14:textId="77777777" w:rsidR="001311A0" w:rsidRPr="002D004D" w:rsidRDefault="001311A0" w:rsidP="00462B4B">
            <w:pPr>
              <w:pStyle w:val="Tableheading"/>
            </w:pPr>
            <w:r>
              <w:t>Dose modifications</w:t>
            </w:r>
            <w:r w:rsidRPr="002D004D">
              <w:t>, n (%)</w:t>
            </w:r>
          </w:p>
        </w:tc>
        <w:tc>
          <w:tcPr>
            <w:tcW w:w="1193" w:type="pct"/>
            <w:tcBorders>
              <w:top w:val="single" w:sz="4" w:space="0" w:color="auto"/>
              <w:left w:val="single" w:sz="4" w:space="0" w:color="auto"/>
              <w:bottom w:val="single" w:sz="4" w:space="0" w:color="auto"/>
              <w:right w:val="single" w:sz="4" w:space="0" w:color="auto"/>
            </w:tcBorders>
            <w:shd w:val="clear" w:color="auto" w:fill="F2F2F2"/>
            <w:hideMark/>
          </w:tcPr>
          <w:p w14:paraId="33533AC1" w14:textId="77777777" w:rsidR="001311A0" w:rsidRPr="002D004D" w:rsidRDefault="001311A0" w:rsidP="00462B4B">
            <w:pPr>
              <w:pStyle w:val="Tableheading"/>
              <w:jc w:val="center"/>
              <w:rPr>
                <w:b w:val="0"/>
              </w:rPr>
            </w:pPr>
            <w:r>
              <w:t>TAL</w:t>
            </w:r>
            <w:r w:rsidRPr="002D004D">
              <w:t xml:space="preserve"> + </w:t>
            </w:r>
            <w:r>
              <w:t>ENZ</w:t>
            </w:r>
          </w:p>
          <w:p w14:paraId="1B01D063" w14:textId="77777777" w:rsidR="001311A0" w:rsidRPr="002D004D" w:rsidRDefault="001311A0" w:rsidP="00462B4B">
            <w:pPr>
              <w:pStyle w:val="Tableheading"/>
              <w:jc w:val="center"/>
            </w:pPr>
            <w:r w:rsidRPr="002D004D">
              <w:t xml:space="preserve">N = </w:t>
            </w:r>
            <w:r>
              <w:t>198</w:t>
            </w:r>
          </w:p>
        </w:tc>
        <w:tc>
          <w:tcPr>
            <w:tcW w:w="1434" w:type="pct"/>
            <w:tcBorders>
              <w:top w:val="single" w:sz="4" w:space="0" w:color="auto"/>
              <w:left w:val="single" w:sz="4" w:space="0" w:color="auto"/>
              <w:bottom w:val="single" w:sz="4" w:space="0" w:color="auto"/>
              <w:right w:val="single" w:sz="4" w:space="0" w:color="auto"/>
            </w:tcBorders>
            <w:shd w:val="clear" w:color="auto" w:fill="F2F2F2"/>
            <w:hideMark/>
          </w:tcPr>
          <w:p w14:paraId="2FA42A60" w14:textId="77777777" w:rsidR="001311A0" w:rsidRPr="002D004D" w:rsidRDefault="001311A0" w:rsidP="00462B4B">
            <w:pPr>
              <w:pStyle w:val="Tableheading"/>
              <w:jc w:val="center"/>
              <w:rPr>
                <w:b w:val="0"/>
              </w:rPr>
            </w:pPr>
            <w:r>
              <w:t>PBO + ENZ</w:t>
            </w:r>
          </w:p>
          <w:p w14:paraId="47FA787F" w14:textId="77777777" w:rsidR="001311A0" w:rsidRPr="002D004D" w:rsidRDefault="001311A0" w:rsidP="00462B4B">
            <w:pPr>
              <w:pStyle w:val="Tableheading"/>
              <w:jc w:val="center"/>
            </w:pPr>
            <w:r w:rsidRPr="002D004D">
              <w:t xml:space="preserve">N = </w:t>
            </w:r>
            <w:r>
              <w:t>199</w:t>
            </w:r>
          </w:p>
        </w:tc>
      </w:tr>
      <w:tr w:rsidR="001311A0" w:rsidRPr="002D004D" w14:paraId="7018CAF7" w14:textId="77777777" w:rsidTr="00462B4B">
        <w:trPr>
          <w:trHeight w:val="244"/>
        </w:trPr>
        <w:tc>
          <w:tcPr>
            <w:tcW w:w="2373" w:type="pct"/>
            <w:vAlign w:val="center"/>
          </w:tcPr>
          <w:p w14:paraId="25C3D0A2" w14:textId="77777777" w:rsidR="001311A0" w:rsidRPr="00F00678" w:rsidRDefault="001311A0" w:rsidP="00462B4B">
            <w:pPr>
              <w:pStyle w:val="Tabletext"/>
            </w:pPr>
            <w:r w:rsidRPr="00597AF4">
              <w:t>Dose interruption due to AEs</w:t>
            </w:r>
          </w:p>
        </w:tc>
        <w:tc>
          <w:tcPr>
            <w:tcW w:w="1193" w:type="pct"/>
            <w:vAlign w:val="center"/>
          </w:tcPr>
          <w:p w14:paraId="6427AC7E" w14:textId="77777777" w:rsidR="001311A0" w:rsidRPr="00F00678" w:rsidRDefault="001311A0" w:rsidP="00462B4B">
            <w:pPr>
              <w:pStyle w:val="Tabletext"/>
              <w:jc w:val="center"/>
            </w:pPr>
            <w:r>
              <w:t>114</w:t>
            </w:r>
            <w:r w:rsidRPr="00597AF4">
              <w:t xml:space="preserve"> (</w:t>
            </w:r>
            <w:r>
              <w:t>57.6</w:t>
            </w:r>
            <w:r w:rsidRPr="00597AF4">
              <w:t>%)</w:t>
            </w:r>
          </w:p>
        </w:tc>
        <w:tc>
          <w:tcPr>
            <w:tcW w:w="1434" w:type="pct"/>
            <w:vAlign w:val="center"/>
          </w:tcPr>
          <w:p w14:paraId="61114F37" w14:textId="77777777" w:rsidR="001311A0" w:rsidRPr="00F00678" w:rsidRDefault="001311A0" w:rsidP="00462B4B">
            <w:pPr>
              <w:pStyle w:val="Tabletext"/>
              <w:jc w:val="center"/>
            </w:pPr>
            <w:r>
              <w:t>31</w:t>
            </w:r>
            <w:r w:rsidRPr="00597AF4">
              <w:t xml:space="preserve"> (</w:t>
            </w:r>
            <w:r>
              <w:t>15</w:t>
            </w:r>
            <w:r w:rsidRPr="00597AF4">
              <w:t>.</w:t>
            </w:r>
            <w:r>
              <w:t>6</w:t>
            </w:r>
            <w:r w:rsidRPr="00597AF4">
              <w:t>%)</w:t>
            </w:r>
          </w:p>
        </w:tc>
      </w:tr>
      <w:tr w:rsidR="001311A0" w:rsidRPr="002D004D" w14:paraId="1EAE27F6" w14:textId="77777777" w:rsidTr="00462B4B">
        <w:trPr>
          <w:trHeight w:val="244"/>
        </w:trPr>
        <w:tc>
          <w:tcPr>
            <w:tcW w:w="2373" w:type="pct"/>
            <w:vAlign w:val="center"/>
          </w:tcPr>
          <w:p w14:paraId="022F6BB5" w14:textId="77777777" w:rsidR="001311A0" w:rsidRPr="00F00678" w:rsidRDefault="001311A0" w:rsidP="00462B4B">
            <w:pPr>
              <w:pStyle w:val="Tabletext"/>
            </w:pPr>
            <w:r w:rsidRPr="00597AF4">
              <w:t>Dose reduction due to AEs</w:t>
            </w:r>
          </w:p>
        </w:tc>
        <w:tc>
          <w:tcPr>
            <w:tcW w:w="1193" w:type="pct"/>
            <w:vAlign w:val="center"/>
          </w:tcPr>
          <w:p w14:paraId="7043A989" w14:textId="77777777" w:rsidR="001311A0" w:rsidRPr="00F00678" w:rsidRDefault="001311A0" w:rsidP="00462B4B">
            <w:pPr>
              <w:pStyle w:val="Tabletext"/>
              <w:jc w:val="center"/>
            </w:pPr>
            <w:r>
              <w:t>103</w:t>
            </w:r>
            <w:r w:rsidRPr="00597AF4">
              <w:t xml:space="preserve"> (5</w:t>
            </w:r>
            <w:r>
              <w:t>2</w:t>
            </w:r>
            <w:r w:rsidRPr="00597AF4">
              <w:t>.</w:t>
            </w:r>
            <w:r>
              <w:t>0</w:t>
            </w:r>
            <w:r w:rsidRPr="00597AF4">
              <w:t>%)</w:t>
            </w:r>
          </w:p>
        </w:tc>
        <w:tc>
          <w:tcPr>
            <w:tcW w:w="1434" w:type="pct"/>
            <w:vAlign w:val="center"/>
          </w:tcPr>
          <w:p w14:paraId="6ECBE21B" w14:textId="77777777" w:rsidR="001311A0" w:rsidRPr="00F00678" w:rsidRDefault="001311A0" w:rsidP="00462B4B">
            <w:pPr>
              <w:pStyle w:val="Tabletext"/>
              <w:jc w:val="center"/>
            </w:pPr>
            <w:r>
              <w:t>12</w:t>
            </w:r>
            <w:r w:rsidRPr="00597AF4">
              <w:t xml:space="preserve"> (</w:t>
            </w:r>
            <w:r>
              <w:t>6.0</w:t>
            </w:r>
            <w:r w:rsidRPr="00597AF4">
              <w:t>%)</w:t>
            </w:r>
          </w:p>
        </w:tc>
      </w:tr>
      <w:tr w:rsidR="001311A0" w:rsidRPr="002D004D" w14:paraId="774EBBF1" w14:textId="77777777" w:rsidTr="00462B4B">
        <w:trPr>
          <w:trHeight w:val="244"/>
        </w:trPr>
        <w:tc>
          <w:tcPr>
            <w:tcW w:w="2373" w:type="pct"/>
            <w:vAlign w:val="center"/>
          </w:tcPr>
          <w:p w14:paraId="1A3FCF7A" w14:textId="77777777" w:rsidR="001311A0" w:rsidRPr="00F00678" w:rsidRDefault="001311A0" w:rsidP="00462B4B">
            <w:pPr>
              <w:pStyle w:val="Tabletext"/>
            </w:pPr>
            <w:r w:rsidRPr="00597AF4">
              <w:t>Discontinuation due to AEs</w:t>
            </w:r>
          </w:p>
        </w:tc>
        <w:tc>
          <w:tcPr>
            <w:tcW w:w="1193" w:type="pct"/>
            <w:vAlign w:val="center"/>
          </w:tcPr>
          <w:p w14:paraId="1D073D42" w14:textId="77777777" w:rsidR="001311A0" w:rsidRPr="00F00678" w:rsidRDefault="001311A0" w:rsidP="00462B4B">
            <w:pPr>
              <w:pStyle w:val="Tabletext"/>
              <w:jc w:val="center"/>
            </w:pPr>
            <w:r>
              <w:t>20</w:t>
            </w:r>
            <w:r w:rsidRPr="00597AF4">
              <w:t xml:space="preserve"> (1</w:t>
            </w:r>
            <w:r>
              <w:t>0</w:t>
            </w:r>
            <w:r w:rsidRPr="00597AF4">
              <w:t>.1%)</w:t>
            </w:r>
          </w:p>
        </w:tc>
        <w:tc>
          <w:tcPr>
            <w:tcW w:w="1434" w:type="pct"/>
            <w:vAlign w:val="center"/>
          </w:tcPr>
          <w:p w14:paraId="39C5E0D2" w14:textId="77777777" w:rsidR="001311A0" w:rsidRPr="00F00678" w:rsidRDefault="001311A0" w:rsidP="00462B4B">
            <w:pPr>
              <w:pStyle w:val="Tabletext"/>
              <w:jc w:val="center"/>
            </w:pPr>
            <w:r>
              <w:t>14</w:t>
            </w:r>
            <w:r w:rsidRPr="00597AF4">
              <w:t xml:space="preserve"> (</w:t>
            </w:r>
            <w:r>
              <w:t>7</w:t>
            </w:r>
            <w:r w:rsidRPr="00597AF4">
              <w:t>.</w:t>
            </w:r>
            <w:r>
              <w:t>0</w:t>
            </w:r>
            <w:r w:rsidRPr="00597AF4">
              <w:t>%)</w:t>
            </w:r>
          </w:p>
        </w:tc>
      </w:tr>
    </w:tbl>
    <w:p w14:paraId="228CFCB8" w14:textId="77777777" w:rsidR="001311A0" w:rsidRPr="00605AAE" w:rsidRDefault="001311A0" w:rsidP="001311A0">
      <w:pPr>
        <w:pStyle w:val="MainBodyText"/>
        <w:spacing w:after="0" w:line="240" w:lineRule="auto"/>
        <w:rPr>
          <w:rFonts w:eastAsia="Times New Roman" w:cs="Calibri"/>
          <w:sz w:val="18"/>
          <w:szCs w:val="18"/>
          <w:lang w:eastAsia="en-AU"/>
        </w:rPr>
      </w:pPr>
      <w:r w:rsidRPr="00605AAE">
        <w:rPr>
          <w:rFonts w:eastAsia="Times New Roman" w:cs="Calibri"/>
          <w:sz w:val="18"/>
          <w:szCs w:val="18"/>
          <w:lang w:eastAsia="en-AU"/>
        </w:rPr>
        <w:t>Source: TALAPRO-2 CSR Cohort 2 Section 5.2.1.8 Dose Modifications</w:t>
      </w:r>
    </w:p>
    <w:p w14:paraId="33DC9E36" w14:textId="15C7F58A" w:rsidR="006E38F9" w:rsidRDefault="001311A0" w:rsidP="001311A0">
      <w:pPr>
        <w:spacing w:after="0"/>
      </w:pPr>
      <w:r w:rsidRPr="00605AAE">
        <w:rPr>
          <w:rFonts w:eastAsia="Times New Roman" w:cs="Calibri"/>
          <w:sz w:val="18"/>
          <w:szCs w:val="18"/>
          <w:lang w:eastAsia="en-AU"/>
        </w:rPr>
        <w:t xml:space="preserve">Abbreviations: AE, adverse event; CI, confidence interval; ENZ, enzalutamide; PBO, placebo; TAL, </w:t>
      </w:r>
      <w:proofErr w:type="spellStart"/>
      <w:r w:rsidRPr="00605AAE">
        <w:rPr>
          <w:rFonts w:eastAsia="Times New Roman" w:cs="Calibri"/>
          <w:sz w:val="18"/>
          <w:szCs w:val="18"/>
          <w:lang w:eastAsia="en-AU"/>
        </w:rPr>
        <w:t>talazoparib</w:t>
      </w:r>
      <w:proofErr w:type="spellEnd"/>
    </w:p>
    <w:p w14:paraId="1CAE3F41" w14:textId="53527147" w:rsidR="004A45BE" w:rsidRDefault="009D5D20" w:rsidP="00BC0C43">
      <w:pPr>
        <w:pStyle w:val="Heading2"/>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r w:rsidR="004A45BE" w:rsidRPr="00B63A61">
        <w:t>(</w:t>
      </w:r>
      <w:proofErr w:type="gramStart"/>
      <w:r w:rsidR="004A45BE" w:rsidRPr="00B63A61">
        <w:t>please</w:t>
      </w:r>
      <w:proofErr w:type="gramEnd"/>
      <w:r w:rsidR="004A45BE" w:rsidRPr="00B63A61">
        <w:t xml:space="preserve"> </w:t>
      </w:r>
      <w:r w:rsidR="00DB2D53">
        <w:t>select</w:t>
      </w:r>
      <w:r w:rsidR="004A45BE" w:rsidRPr="00B63A61">
        <w:t xml:space="preserve"> your response)</w:t>
      </w:r>
    </w:p>
    <w:p w14:paraId="0EB954C3" w14:textId="3E1C620F" w:rsidR="006437E6" w:rsidRPr="00BC0C43" w:rsidRDefault="001311A0" w:rsidP="00BC0C43">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Pr>
          <w:rFonts w:ascii="Segoe UI" w:hAnsi="Segoe UI" w:cs="Segoe UI"/>
          <w:sz w:val="22"/>
          <w:szCs w:val="22"/>
        </w:rPr>
        <w:fldChar w:fldCharType="end"/>
      </w:r>
      <w:r w:rsidR="006437E6" w:rsidRPr="00BC0C43">
        <w:rPr>
          <w:rFonts w:ascii="Segoe UI" w:hAnsi="Segoe UI" w:cs="Segoe UI"/>
          <w:sz w:val="22"/>
          <w:szCs w:val="22"/>
        </w:rPr>
        <w:t xml:space="preserve"> More costly </w:t>
      </w:r>
    </w:p>
    <w:p w14:paraId="76F56838" w14:textId="77777777" w:rsidR="006437E6" w:rsidRPr="00BC0C43" w:rsidRDefault="006437E6"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2"/>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Same cost</w:t>
      </w:r>
    </w:p>
    <w:p w14:paraId="7925F574" w14:textId="04A11129" w:rsidR="00025969" w:rsidRPr="00BC0C43" w:rsidRDefault="006437E6" w:rsidP="00BC0C43">
      <w:pPr>
        <w:pStyle w:val="Tickboxes"/>
        <w:ind w:left="0"/>
        <w:rPr>
          <w:rFonts w:ascii="Segoe UI" w:hAnsi="Segoe UI" w:cs="Segoe UI"/>
          <w:sz w:val="22"/>
          <w:szCs w:val="22"/>
        </w:rPr>
      </w:pPr>
      <w:r w:rsidRPr="00BC0C43">
        <w:rPr>
          <w:rFonts w:ascii="Segoe UI" w:hAnsi="Segoe UI" w:cs="Segoe UI"/>
          <w:sz w:val="22"/>
          <w:szCs w:val="22"/>
        </w:rPr>
        <w:fldChar w:fldCharType="begin">
          <w:ffData>
            <w:name w:val="Check1"/>
            <w:enabled/>
            <w:calcOnExit w:val="0"/>
            <w:checkBox>
              <w:sizeAuto/>
              <w:default w:val="0"/>
            </w:checkBox>
          </w:ffData>
        </w:fldChar>
      </w:r>
      <w:r w:rsidRPr="00BC0C43">
        <w:rPr>
          <w:rFonts w:ascii="Segoe UI" w:hAnsi="Segoe UI" w:cs="Segoe UI"/>
          <w:sz w:val="22"/>
          <w:szCs w:val="22"/>
        </w:rPr>
        <w:instrText xml:space="preserve"> FORMCHECKBOX </w:instrText>
      </w:r>
      <w:r w:rsidR="009572CD">
        <w:rPr>
          <w:rFonts w:ascii="Segoe UI" w:hAnsi="Segoe UI" w:cs="Segoe UI"/>
          <w:sz w:val="22"/>
          <w:szCs w:val="22"/>
        </w:rPr>
      </w:r>
      <w:r w:rsidR="009572CD">
        <w:rPr>
          <w:rFonts w:ascii="Segoe UI" w:hAnsi="Segoe UI" w:cs="Segoe UI"/>
          <w:sz w:val="22"/>
          <w:szCs w:val="22"/>
        </w:rPr>
        <w:fldChar w:fldCharType="separate"/>
      </w:r>
      <w:r w:rsidRPr="00BC0C43">
        <w:rPr>
          <w:rFonts w:ascii="Segoe UI" w:hAnsi="Segoe UI" w:cs="Segoe UI"/>
          <w:sz w:val="22"/>
          <w:szCs w:val="22"/>
        </w:rPr>
        <w:fldChar w:fldCharType="end"/>
      </w:r>
      <w:r w:rsidRPr="00BC0C43">
        <w:rPr>
          <w:rFonts w:ascii="Segoe UI" w:hAnsi="Segoe UI" w:cs="Segoe UI"/>
          <w:sz w:val="22"/>
          <w:szCs w:val="22"/>
        </w:rPr>
        <w:t xml:space="preserve"> Less costly </w:t>
      </w:r>
    </w:p>
    <w:p w14:paraId="3797314E" w14:textId="321C0DC3" w:rsidR="004A45BE" w:rsidRPr="00BC0C43" w:rsidRDefault="009D5D20" w:rsidP="00BC0C43">
      <w:pPr>
        <w:pStyle w:val="Heading2"/>
      </w:pPr>
      <w:r>
        <w:t>Provide a brief rationale for the claim</w:t>
      </w:r>
      <w:r w:rsidR="004A45BE">
        <w:t>:</w:t>
      </w:r>
    </w:p>
    <w:p w14:paraId="3F8CC722" w14:textId="549A4C30" w:rsidR="00BF4BAA" w:rsidRDefault="00A46C91" w:rsidP="00AF600C">
      <w:pPr>
        <w:jc w:val="both"/>
      </w:pPr>
      <w:r w:rsidRPr="00A46C91">
        <w:t xml:space="preserve">As discussed above, the current MBS items 73303 and 73304 for BRCA mutation testing are not expected to be substituted. BRCA mutation testing in </w:t>
      </w:r>
      <w:proofErr w:type="spellStart"/>
      <w:r w:rsidRPr="00A46C91">
        <w:t>mCRPC</w:t>
      </w:r>
      <w:proofErr w:type="spellEnd"/>
      <w:r w:rsidRPr="00A46C91">
        <w:t xml:space="preserve"> to determine eligibility for PBS-listed </w:t>
      </w:r>
      <w:proofErr w:type="spellStart"/>
      <w:r w:rsidRPr="00A46C91">
        <w:t>olaparib</w:t>
      </w:r>
      <w:proofErr w:type="spellEnd"/>
      <w:r w:rsidRPr="00A46C91">
        <w:t xml:space="preserve"> is expected to continue to be performed in the future, and the listing of </w:t>
      </w:r>
      <w:proofErr w:type="spellStart"/>
      <w:r w:rsidRPr="00A46C91">
        <w:t>talazoparib</w:t>
      </w:r>
      <w:proofErr w:type="spellEnd"/>
      <w:r w:rsidRPr="00A46C91">
        <w:t xml:space="preserve"> on the PBS will not alter the utilisation of this service</w:t>
      </w:r>
      <w:r>
        <w:t xml:space="preserve">. However, it is anticipated that the listing of </w:t>
      </w:r>
      <w:proofErr w:type="spellStart"/>
      <w:r>
        <w:t>talazoparib</w:t>
      </w:r>
      <w:proofErr w:type="spellEnd"/>
      <w:r>
        <w:t xml:space="preserve"> on the PBS will incur additional costs to the PBS because it is an add-on therapy to an existing therapy (enzalutamide) on the PBS and the use of this combination in </w:t>
      </w:r>
      <w:proofErr w:type="spellStart"/>
      <w:r>
        <w:t>mCRPC</w:t>
      </w:r>
      <w:proofErr w:type="spellEnd"/>
      <w:r>
        <w:t xml:space="preserve"> patients with BRCA1/2 gene mutation results in </w:t>
      </w:r>
      <w:r w:rsidR="00C349B6">
        <w:t xml:space="preserve">an </w:t>
      </w:r>
      <w:r>
        <w:t>increase</w:t>
      </w:r>
      <w:r w:rsidR="00C349B6">
        <w:t xml:space="preserve"> in</w:t>
      </w:r>
      <w:r>
        <w:t xml:space="preserve"> treatment duration.</w:t>
      </w:r>
      <w:bookmarkStart w:id="7" w:name="_Hlk122532620"/>
    </w:p>
    <w:p w14:paraId="3F215402" w14:textId="5A385E76" w:rsidR="00B67171" w:rsidRDefault="00B67171" w:rsidP="00B67171">
      <w:pPr>
        <w:spacing w:after="160" w:line="259" w:lineRule="auto"/>
        <w:sectPr w:rsidR="00B67171" w:rsidSect="00452657">
          <w:headerReference w:type="default" r:id="rId16"/>
          <w:footerReference w:type="default" r:id="rId17"/>
          <w:pgSz w:w="11906" w:h="16838"/>
          <w:pgMar w:top="1440" w:right="991" w:bottom="1135" w:left="1440" w:header="426" w:footer="252" w:gutter="0"/>
          <w:cols w:space="708"/>
          <w:docGrid w:linePitch="360"/>
        </w:sectPr>
      </w:pPr>
    </w:p>
    <w:p w14:paraId="78D9C328" w14:textId="7948D0B2" w:rsidR="0030566C" w:rsidRDefault="0030566C" w:rsidP="00BC0C43">
      <w:pPr>
        <w:pStyle w:val="Heading1"/>
      </w:pPr>
      <w:r>
        <w:lastRenderedPageBreak/>
        <w:t>Summary of Evidence</w:t>
      </w:r>
    </w:p>
    <w:p w14:paraId="093E0992" w14:textId="77777777" w:rsidR="00BC0C43" w:rsidRPr="00BC0C43" w:rsidRDefault="0030566C" w:rsidP="00BC0C43">
      <w:pPr>
        <w:pStyle w:val="Heading2"/>
      </w:pPr>
      <w:r w:rsidRPr="00BC0C43">
        <w:t xml:space="preserve">Provide one or more recent (published) high quality clinical studies that support use of the proposed health service/technology. At ‘Application Form lodgement’, </w:t>
      </w:r>
    </w:p>
    <w:p w14:paraId="30B8B45A" w14:textId="1FEF8176" w:rsidR="0030566C" w:rsidRDefault="00BC0C43" w:rsidP="00BC0C43">
      <w:pPr>
        <w:spacing w:before="120"/>
        <w:rPr>
          <w:i/>
          <w:iCs/>
        </w:rPr>
      </w:pPr>
      <w:r w:rsidRPr="00BC0C43">
        <w:rPr>
          <w:i/>
          <w:iCs/>
        </w:rPr>
        <w:t>D</w:t>
      </w:r>
      <w:r w:rsidR="0030566C" w:rsidRPr="00BC0C43">
        <w:rPr>
          <w:i/>
          <w:iCs/>
        </w:rPr>
        <w:t>o not attach full text articles; just provide a summary (repeat columns as required).</w:t>
      </w:r>
    </w:p>
    <w:tbl>
      <w:tblPr>
        <w:tblStyle w:val="TableGrid"/>
        <w:tblW w:w="5000" w:type="pct"/>
        <w:tblLayout w:type="fixed"/>
        <w:tblLook w:val="04A0" w:firstRow="1" w:lastRow="0" w:firstColumn="1" w:lastColumn="0" w:noHBand="0" w:noVBand="1"/>
        <w:tblCaption w:val="Summary of Evidence - Published"/>
      </w:tblPr>
      <w:tblGrid>
        <w:gridCol w:w="535"/>
        <w:gridCol w:w="1585"/>
        <w:gridCol w:w="3119"/>
        <w:gridCol w:w="4253"/>
        <w:gridCol w:w="2694"/>
        <w:gridCol w:w="2067"/>
      </w:tblGrid>
      <w:tr w:rsidR="00B72C24" w14:paraId="2130945D" w14:textId="77777777" w:rsidTr="009572CD">
        <w:trPr>
          <w:trHeight w:val="747"/>
          <w:tblHeader/>
        </w:trPr>
        <w:tc>
          <w:tcPr>
            <w:tcW w:w="188" w:type="pct"/>
          </w:tcPr>
          <w:p w14:paraId="11E9936E" w14:textId="77777777" w:rsidR="00B72C24" w:rsidRPr="006025D8" w:rsidRDefault="00B72C24" w:rsidP="00462B4B">
            <w:pPr>
              <w:pStyle w:val="TableHEADER"/>
            </w:pPr>
          </w:p>
        </w:tc>
        <w:tc>
          <w:tcPr>
            <w:tcW w:w="556" w:type="pct"/>
          </w:tcPr>
          <w:p w14:paraId="48C990D1" w14:textId="3E69A507" w:rsidR="00B72C24" w:rsidRPr="006025D8" w:rsidRDefault="00B72C24" w:rsidP="006025D8">
            <w:pPr>
              <w:rPr>
                <w:b/>
                <w:bCs/>
                <w:sz w:val="20"/>
                <w:szCs w:val="20"/>
              </w:rPr>
            </w:pPr>
            <w:r w:rsidRPr="006025D8">
              <w:rPr>
                <w:b/>
                <w:bCs/>
                <w:sz w:val="20"/>
                <w:szCs w:val="20"/>
              </w:rPr>
              <w:t>Type of study design</w:t>
            </w:r>
          </w:p>
        </w:tc>
        <w:tc>
          <w:tcPr>
            <w:tcW w:w="1094" w:type="pct"/>
          </w:tcPr>
          <w:p w14:paraId="77C5820E" w14:textId="508462E8" w:rsidR="00B72C24" w:rsidRPr="006025D8" w:rsidRDefault="00B72C24" w:rsidP="006025D8">
            <w:pPr>
              <w:rPr>
                <w:b/>
                <w:bCs/>
                <w:sz w:val="20"/>
                <w:szCs w:val="20"/>
              </w:rPr>
            </w:pPr>
            <w:r w:rsidRPr="006025D8">
              <w:rPr>
                <w:b/>
                <w:bCs/>
                <w:sz w:val="20"/>
                <w:szCs w:val="20"/>
              </w:rPr>
              <w:t xml:space="preserve">Title of journal article or research project </w:t>
            </w:r>
          </w:p>
        </w:tc>
        <w:tc>
          <w:tcPr>
            <w:tcW w:w="1492" w:type="pct"/>
          </w:tcPr>
          <w:p w14:paraId="6F1B5502" w14:textId="75ECE457" w:rsidR="00B72C24" w:rsidRPr="006025D8" w:rsidRDefault="00B72C24" w:rsidP="006025D8">
            <w:pPr>
              <w:rPr>
                <w:b/>
                <w:bCs/>
                <w:sz w:val="20"/>
                <w:szCs w:val="20"/>
              </w:rPr>
            </w:pPr>
            <w:r w:rsidRPr="006025D8">
              <w:rPr>
                <w:b/>
                <w:bCs/>
                <w:sz w:val="20"/>
                <w:szCs w:val="20"/>
              </w:rPr>
              <w:t xml:space="preserve">Short description of research </w:t>
            </w:r>
          </w:p>
        </w:tc>
        <w:tc>
          <w:tcPr>
            <w:tcW w:w="945" w:type="pct"/>
          </w:tcPr>
          <w:p w14:paraId="06992CBC" w14:textId="698091FA" w:rsidR="00B72C24" w:rsidRPr="006025D8" w:rsidRDefault="00B72C24" w:rsidP="006025D8">
            <w:pPr>
              <w:rPr>
                <w:b/>
                <w:bCs/>
                <w:sz w:val="20"/>
                <w:szCs w:val="20"/>
              </w:rPr>
            </w:pPr>
            <w:r w:rsidRPr="006025D8">
              <w:rPr>
                <w:b/>
                <w:bCs/>
                <w:sz w:val="20"/>
                <w:szCs w:val="20"/>
              </w:rPr>
              <w:t>Website link to journal article or research</w:t>
            </w:r>
          </w:p>
        </w:tc>
        <w:tc>
          <w:tcPr>
            <w:tcW w:w="725" w:type="pct"/>
          </w:tcPr>
          <w:p w14:paraId="3D55D747" w14:textId="2ECED9C0" w:rsidR="00B72C24" w:rsidRPr="006025D8" w:rsidRDefault="00B72C24" w:rsidP="006025D8">
            <w:pPr>
              <w:rPr>
                <w:b/>
                <w:bCs/>
                <w:sz w:val="20"/>
                <w:szCs w:val="20"/>
              </w:rPr>
            </w:pPr>
            <w:r w:rsidRPr="006025D8">
              <w:rPr>
                <w:b/>
                <w:bCs/>
                <w:sz w:val="20"/>
                <w:szCs w:val="20"/>
              </w:rPr>
              <w:t>Date of publication</w:t>
            </w:r>
          </w:p>
        </w:tc>
      </w:tr>
      <w:tr w:rsidR="00B72C24" w14:paraId="42DC6A4D" w14:textId="77777777" w:rsidTr="00462B4B">
        <w:trPr>
          <w:trHeight w:val="263"/>
        </w:trPr>
        <w:tc>
          <w:tcPr>
            <w:tcW w:w="5000" w:type="pct"/>
            <w:gridSpan w:val="6"/>
            <w:shd w:val="clear" w:color="auto" w:fill="F2F2F2" w:themeFill="background1" w:themeFillShade="F2"/>
          </w:tcPr>
          <w:p w14:paraId="5FB877E5" w14:textId="77777777" w:rsidR="00B72C24" w:rsidRPr="00675B0C" w:rsidRDefault="00B72C24" w:rsidP="00462B4B">
            <w:pPr>
              <w:spacing w:after="0"/>
              <w:rPr>
                <w:b/>
                <w:bCs/>
                <w:sz w:val="18"/>
                <w:szCs w:val="18"/>
              </w:rPr>
            </w:pPr>
            <w:r w:rsidRPr="00675B0C">
              <w:rPr>
                <w:b/>
                <w:bCs/>
                <w:sz w:val="18"/>
                <w:szCs w:val="18"/>
              </w:rPr>
              <w:t>Pivotal study</w:t>
            </w:r>
          </w:p>
        </w:tc>
      </w:tr>
      <w:tr w:rsidR="00B72C24" w14:paraId="05118D79" w14:textId="77777777" w:rsidTr="009572CD">
        <w:trPr>
          <w:trHeight w:val="1547"/>
        </w:trPr>
        <w:tc>
          <w:tcPr>
            <w:tcW w:w="188" w:type="pct"/>
          </w:tcPr>
          <w:p w14:paraId="1CE6EB3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w:t>
            </w:r>
          </w:p>
        </w:tc>
        <w:tc>
          <w:tcPr>
            <w:tcW w:w="556" w:type="pct"/>
          </w:tcPr>
          <w:p w14:paraId="61DA24EC"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Randomised Phase III trial </w:t>
            </w:r>
          </w:p>
        </w:tc>
        <w:tc>
          <w:tcPr>
            <w:tcW w:w="1094" w:type="pct"/>
          </w:tcPr>
          <w:p w14:paraId="08C75551" w14:textId="77777777" w:rsidR="00B72C24" w:rsidRPr="006025D8" w:rsidRDefault="00B72C24" w:rsidP="00462B4B">
            <w:pPr>
              <w:rPr>
                <w:rFonts w:ascii="Calibri" w:hAnsi="Calibri" w:cs="Calibri"/>
                <w:sz w:val="20"/>
                <w:szCs w:val="20"/>
              </w:rPr>
            </w:pPr>
            <w:proofErr w:type="spellStart"/>
            <w:r w:rsidRPr="006025D8">
              <w:rPr>
                <w:rFonts w:ascii="Calibri" w:hAnsi="Calibri" w:cs="Calibri"/>
                <w:sz w:val="20"/>
                <w:szCs w:val="20"/>
              </w:rPr>
              <w:t>Talazoparib</w:t>
            </w:r>
            <w:proofErr w:type="spellEnd"/>
            <w:r w:rsidRPr="006025D8">
              <w:rPr>
                <w:rFonts w:ascii="Calibri" w:hAnsi="Calibri" w:cs="Calibri"/>
                <w:sz w:val="20"/>
                <w:szCs w:val="20"/>
              </w:rPr>
              <w:t xml:space="preserve"> plus enzalutamide in men with first-line metastatic castration-resistant prostate cancer (TALAPRO-2): a randomised, placebo-controlled, phase 3 trial</w:t>
            </w:r>
          </w:p>
          <w:p w14:paraId="6220C743"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ClinicalTrials.gov NCT03395197</w:t>
            </w:r>
          </w:p>
        </w:tc>
        <w:tc>
          <w:tcPr>
            <w:tcW w:w="1492" w:type="pct"/>
          </w:tcPr>
          <w:p w14:paraId="1E89301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The purpose of this study is to evaluate the efficacy and safety (including evaluating side effects) of combination of </w:t>
            </w:r>
            <w:proofErr w:type="spellStart"/>
            <w:r w:rsidRPr="006025D8">
              <w:rPr>
                <w:rFonts w:ascii="Calibri" w:hAnsi="Calibri" w:cs="Calibri"/>
                <w:sz w:val="20"/>
                <w:szCs w:val="20"/>
              </w:rPr>
              <w:t>talazoparib</w:t>
            </w:r>
            <w:proofErr w:type="spellEnd"/>
            <w:r w:rsidRPr="006025D8">
              <w:rPr>
                <w:rFonts w:ascii="Calibri" w:hAnsi="Calibri" w:cs="Calibri"/>
                <w:sz w:val="20"/>
                <w:szCs w:val="20"/>
              </w:rPr>
              <w:t xml:space="preserve"> and enzalutamide versus placebo and enzalutamide in patients with metastatic castration resistant prostate cancer (</w:t>
            </w:r>
            <w:proofErr w:type="spellStart"/>
            <w:r w:rsidRPr="006025D8">
              <w:rPr>
                <w:rFonts w:ascii="Calibri" w:hAnsi="Calibri" w:cs="Calibri"/>
                <w:sz w:val="20"/>
                <w:szCs w:val="20"/>
              </w:rPr>
              <w:t>mCRPC</w:t>
            </w:r>
            <w:proofErr w:type="spellEnd"/>
            <w:r w:rsidRPr="006025D8">
              <w:rPr>
                <w:rFonts w:ascii="Calibri" w:hAnsi="Calibri" w:cs="Calibri"/>
                <w:sz w:val="20"/>
                <w:szCs w:val="20"/>
              </w:rPr>
              <w:t>)</w:t>
            </w:r>
          </w:p>
        </w:tc>
        <w:tc>
          <w:tcPr>
            <w:tcW w:w="945" w:type="pct"/>
          </w:tcPr>
          <w:p w14:paraId="100647D6" w14:textId="77777777" w:rsidR="00B72C24" w:rsidRPr="006025D8" w:rsidRDefault="009572CD" w:rsidP="00462B4B">
            <w:pPr>
              <w:rPr>
                <w:rFonts w:ascii="Calibri" w:hAnsi="Calibri" w:cs="Calibri"/>
                <w:sz w:val="20"/>
                <w:szCs w:val="20"/>
              </w:rPr>
            </w:pPr>
            <w:hyperlink r:id="rId18" w:history="1">
              <w:r w:rsidR="00B72C24" w:rsidRPr="006025D8">
                <w:rPr>
                  <w:rStyle w:val="Hyperlink"/>
                  <w:rFonts w:ascii="Calibri" w:hAnsi="Calibri" w:cs="Calibri"/>
                  <w:sz w:val="20"/>
                  <w:szCs w:val="20"/>
                </w:rPr>
                <w:t>https://pubmed.ncbi.nlm.nih.gov/37285865/</w:t>
              </w:r>
            </w:hyperlink>
          </w:p>
          <w:p w14:paraId="5BFE84AD" w14:textId="77777777" w:rsidR="00B72C24" w:rsidRPr="006025D8" w:rsidRDefault="00B72C24" w:rsidP="00462B4B">
            <w:pPr>
              <w:rPr>
                <w:rFonts w:ascii="Calibri" w:hAnsi="Calibri" w:cs="Calibri"/>
                <w:sz w:val="20"/>
                <w:szCs w:val="20"/>
              </w:rPr>
            </w:pPr>
          </w:p>
        </w:tc>
        <w:tc>
          <w:tcPr>
            <w:tcW w:w="725" w:type="pct"/>
          </w:tcPr>
          <w:p w14:paraId="4E34D9EE"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Agarwal et al 2023</w:t>
            </w:r>
          </w:p>
          <w:p w14:paraId="5C996DAE"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Lancet. 2023 Jul 22;402(10398):291-303</w:t>
            </w:r>
          </w:p>
        </w:tc>
      </w:tr>
      <w:tr w:rsidR="00B72C24" w14:paraId="7F7905ED" w14:textId="77777777" w:rsidTr="009572CD">
        <w:trPr>
          <w:trHeight w:val="351"/>
        </w:trPr>
        <w:tc>
          <w:tcPr>
            <w:tcW w:w="4275" w:type="pct"/>
            <w:gridSpan w:val="5"/>
            <w:shd w:val="clear" w:color="auto" w:fill="F2F2F2" w:themeFill="background1" w:themeFillShade="F2"/>
            <w:vAlign w:val="center"/>
          </w:tcPr>
          <w:p w14:paraId="0D6D0598" w14:textId="77777777" w:rsidR="00B72C24" w:rsidRPr="006025D8" w:rsidRDefault="00B72C24" w:rsidP="00462B4B">
            <w:pPr>
              <w:spacing w:after="0"/>
              <w:rPr>
                <w:rFonts w:ascii="Calibri" w:hAnsi="Calibri" w:cs="Calibri"/>
                <w:b/>
                <w:bCs/>
                <w:sz w:val="20"/>
                <w:szCs w:val="20"/>
              </w:rPr>
            </w:pPr>
            <w:r w:rsidRPr="006025D8">
              <w:rPr>
                <w:rFonts w:ascii="Calibri" w:hAnsi="Calibri" w:cs="Calibri"/>
                <w:b/>
                <w:bCs/>
                <w:sz w:val="20"/>
                <w:szCs w:val="20"/>
              </w:rPr>
              <w:t>Diagnostic studies</w:t>
            </w:r>
          </w:p>
        </w:tc>
        <w:tc>
          <w:tcPr>
            <w:tcW w:w="725" w:type="pct"/>
          </w:tcPr>
          <w:p w14:paraId="2A7C5942" w14:textId="77777777" w:rsidR="00B72C24" w:rsidRPr="006025D8" w:rsidRDefault="00B72C24" w:rsidP="00462B4B">
            <w:pPr>
              <w:rPr>
                <w:rFonts w:ascii="Calibri" w:hAnsi="Calibri" w:cs="Calibri"/>
                <w:sz w:val="20"/>
                <w:szCs w:val="20"/>
              </w:rPr>
            </w:pPr>
          </w:p>
        </w:tc>
      </w:tr>
      <w:tr w:rsidR="00B72C24" w14:paraId="7CD7ABEC" w14:textId="77777777" w:rsidTr="009572CD">
        <w:trPr>
          <w:trHeight w:val="1547"/>
        </w:trPr>
        <w:tc>
          <w:tcPr>
            <w:tcW w:w="188" w:type="pct"/>
          </w:tcPr>
          <w:p w14:paraId="60E543D7"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2</w:t>
            </w:r>
          </w:p>
        </w:tc>
        <w:tc>
          <w:tcPr>
            <w:tcW w:w="556" w:type="pct"/>
          </w:tcPr>
          <w:p w14:paraId="56687AED"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Diagnostic study</w:t>
            </w:r>
          </w:p>
        </w:tc>
        <w:tc>
          <w:tcPr>
            <w:tcW w:w="1094" w:type="pct"/>
          </w:tcPr>
          <w:p w14:paraId="0140BE8D"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Early On-treatment Changes in Circulating </w:t>
            </w:r>
            <w:proofErr w:type="spellStart"/>
            <w:r w:rsidRPr="006025D8">
              <w:rPr>
                <w:rFonts w:ascii="Calibri" w:hAnsi="Calibri" w:cs="Calibri"/>
                <w:sz w:val="20"/>
                <w:szCs w:val="20"/>
              </w:rPr>
              <w:t>Tumor</w:t>
            </w:r>
            <w:proofErr w:type="spellEnd"/>
            <w:r w:rsidRPr="006025D8">
              <w:rPr>
                <w:rFonts w:ascii="Calibri" w:hAnsi="Calibri" w:cs="Calibri"/>
                <w:sz w:val="20"/>
                <w:szCs w:val="20"/>
              </w:rPr>
              <w:t xml:space="preserve"> DNA Fraction and Response to Enzalutamide or Abiraterone in Metastatic Castration-Resistant Prostate Cancer.</w:t>
            </w:r>
          </w:p>
        </w:tc>
        <w:tc>
          <w:tcPr>
            <w:tcW w:w="1492" w:type="pct"/>
          </w:tcPr>
          <w:p w14:paraId="2BDAE2A4"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Plasma cell-free DNA was collected from 81 patients with </w:t>
            </w:r>
            <w:proofErr w:type="spellStart"/>
            <w:r w:rsidRPr="006025D8">
              <w:rPr>
                <w:rFonts w:ascii="Calibri" w:hAnsi="Calibri" w:cs="Calibri"/>
                <w:sz w:val="20"/>
                <w:szCs w:val="20"/>
              </w:rPr>
              <w:t>mCRPC</w:t>
            </w:r>
            <w:proofErr w:type="spellEnd"/>
            <w:r w:rsidRPr="006025D8">
              <w:rPr>
                <w:rFonts w:ascii="Calibri" w:hAnsi="Calibri" w:cs="Calibri"/>
                <w:sz w:val="20"/>
                <w:szCs w:val="20"/>
              </w:rPr>
              <w:t xml:space="preserve"> at baseline and after 4 weeks of first-line ARPI treatment during two prospective </w:t>
            </w:r>
            <w:proofErr w:type="spellStart"/>
            <w:r w:rsidRPr="006025D8">
              <w:rPr>
                <w:rFonts w:ascii="Calibri" w:hAnsi="Calibri" w:cs="Calibri"/>
                <w:sz w:val="20"/>
                <w:szCs w:val="20"/>
              </w:rPr>
              <w:t>multicenter</w:t>
            </w:r>
            <w:proofErr w:type="spellEnd"/>
            <w:r w:rsidRPr="006025D8">
              <w:rPr>
                <w:rFonts w:ascii="Calibri" w:hAnsi="Calibri" w:cs="Calibri"/>
                <w:sz w:val="20"/>
                <w:szCs w:val="20"/>
              </w:rPr>
              <w:t xml:space="preserve"> observational studies (NCT02426333; NCT02471469). </w:t>
            </w:r>
            <w:proofErr w:type="spellStart"/>
            <w:r w:rsidRPr="006025D8">
              <w:rPr>
                <w:rFonts w:ascii="Calibri" w:hAnsi="Calibri" w:cs="Calibri"/>
                <w:sz w:val="20"/>
                <w:szCs w:val="20"/>
              </w:rPr>
              <w:t>ctDNA</w:t>
            </w:r>
            <w:proofErr w:type="spellEnd"/>
            <w:r w:rsidRPr="006025D8">
              <w:rPr>
                <w:rFonts w:ascii="Calibri" w:hAnsi="Calibri" w:cs="Calibri"/>
                <w:sz w:val="20"/>
                <w:szCs w:val="20"/>
              </w:rPr>
              <w:t xml:space="preserve"> fraction was calculated from somatic mutations in targeted sequencing and genome copy-number profiles. </w:t>
            </w:r>
            <w:proofErr w:type="spellStart"/>
            <w:r w:rsidRPr="006025D8">
              <w:rPr>
                <w:rFonts w:ascii="Calibri" w:hAnsi="Calibri" w:cs="Calibri"/>
                <w:sz w:val="20"/>
                <w:szCs w:val="20"/>
              </w:rPr>
              <w:t>ctDNA</w:t>
            </w:r>
            <w:proofErr w:type="spellEnd"/>
            <w:r w:rsidRPr="006025D8">
              <w:rPr>
                <w:rFonts w:ascii="Calibri" w:hAnsi="Calibri" w:cs="Calibri"/>
                <w:sz w:val="20"/>
                <w:szCs w:val="20"/>
              </w:rPr>
              <w:t xml:space="preserve"> was detected in 48/81 (59%) baseline and 29/81 (36%) 4-week samples. </w:t>
            </w:r>
            <w:proofErr w:type="spellStart"/>
            <w:r w:rsidRPr="006025D8">
              <w:rPr>
                <w:rFonts w:ascii="Calibri" w:hAnsi="Calibri" w:cs="Calibri"/>
                <w:sz w:val="20"/>
                <w:szCs w:val="20"/>
              </w:rPr>
              <w:t>ctDNA</w:t>
            </w:r>
            <w:proofErr w:type="spellEnd"/>
            <w:r w:rsidRPr="006025D8">
              <w:rPr>
                <w:rFonts w:ascii="Calibri" w:hAnsi="Calibri" w:cs="Calibri"/>
                <w:sz w:val="20"/>
                <w:szCs w:val="20"/>
              </w:rPr>
              <w:t xml:space="preserve"> fraction for samples with detected </w:t>
            </w:r>
            <w:proofErr w:type="spellStart"/>
            <w:r w:rsidRPr="006025D8">
              <w:rPr>
                <w:rFonts w:ascii="Calibri" w:hAnsi="Calibri" w:cs="Calibri"/>
                <w:sz w:val="20"/>
                <w:szCs w:val="20"/>
              </w:rPr>
              <w:t>ctDNA</w:t>
            </w:r>
            <w:proofErr w:type="spellEnd"/>
            <w:r w:rsidRPr="006025D8">
              <w:rPr>
                <w:rFonts w:ascii="Calibri" w:hAnsi="Calibri" w:cs="Calibri"/>
                <w:sz w:val="20"/>
                <w:szCs w:val="20"/>
              </w:rPr>
              <w:t xml:space="preserve"> was lower at 4 weeks versus baseline (median 5.0% versus 14.5%, P = 0.017). PFS and OS were shortest for patients with persistent </w:t>
            </w:r>
            <w:proofErr w:type="spellStart"/>
            <w:r w:rsidRPr="006025D8">
              <w:rPr>
                <w:rFonts w:ascii="Calibri" w:hAnsi="Calibri" w:cs="Calibri"/>
                <w:sz w:val="20"/>
                <w:szCs w:val="20"/>
              </w:rPr>
              <w:t>ctDNA</w:t>
            </w:r>
            <w:proofErr w:type="spellEnd"/>
            <w:r w:rsidRPr="006025D8">
              <w:rPr>
                <w:rFonts w:ascii="Calibri" w:hAnsi="Calibri" w:cs="Calibri"/>
                <w:sz w:val="20"/>
                <w:szCs w:val="20"/>
              </w:rPr>
              <w:t xml:space="preserve"> at 4 weeks (univariate HR, 4.79; 95% CI, 2.62-8.77 and univariate HR, 5.49; 95% CI, 2.76-10.91, respectively), independent of clinical prognostic factors</w:t>
            </w:r>
          </w:p>
        </w:tc>
        <w:tc>
          <w:tcPr>
            <w:tcW w:w="945" w:type="pct"/>
          </w:tcPr>
          <w:p w14:paraId="073588FF" w14:textId="77777777" w:rsidR="00B72C24" w:rsidRPr="006025D8" w:rsidRDefault="009572CD" w:rsidP="00462B4B">
            <w:pPr>
              <w:rPr>
                <w:rFonts w:ascii="Calibri" w:hAnsi="Calibri" w:cs="Calibri"/>
                <w:sz w:val="20"/>
                <w:szCs w:val="20"/>
              </w:rPr>
            </w:pPr>
            <w:hyperlink r:id="rId19" w:history="1">
              <w:r w:rsidR="00B72C24" w:rsidRPr="006025D8">
                <w:rPr>
                  <w:rStyle w:val="Hyperlink"/>
                  <w:rFonts w:ascii="Calibri" w:hAnsi="Calibri" w:cs="Calibri"/>
                  <w:sz w:val="20"/>
                  <w:szCs w:val="20"/>
                </w:rPr>
                <w:t>https://pubmed.ncbi.nlm.nih.gov/36996325/</w:t>
              </w:r>
            </w:hyperlink>
          </w:p>
          <w:p w14:paraId="2BD54E55" w14:textId="77777777" w:rsidR="00B72C24" w:rsidRPr="006025D8" w:rsidRDefault="00B72C24" w:rsidP="00462B4B">
            <w:pPr>
              <w:rPr>
                <w:rFonts w:ascii="Calibri" w:hAnsi="Calibri" w:cs="Calibri"/>
                <w:sz w:val="20"/>
                <w:szCs w:val="20"/>
              </w:rPr>
            </w:pPr>
          </w:p>
        </w:tc>
        <w:tc>
          <w:tcPr>
            <w:tcW w:w="725" w:type="pct"/>
          </w:tcPr>
          <w:p w14:paraId="312ACABD" w14:textId="77777777" w:rsidR="00B72C24" w:rsidRPr="006025D8" w:rsidRDefault="00B72C24" w:rsidP="00462B4B">
            <w:pPr>
              <w:rPr>
                <w:rFonts w:ascii="Calibri" w:hAnsi="Calibri" w:cs="Calibri"/>
                <w:sz w:val="20"/>
                <w:szCs w:val="20"/>
              </w:rPr>
            </w:pPr>
            <w:proofErr w:type="spellStart"/>
            <w:r w:rsidRPr="006025D8">
              <w:rPr>
                <w:rFonts w:ascii="Calibri" w:hAnsi="Calibri" w:cs="Calibri"/>
                <w:sz w:val="20"/>
                <w:szCs w:val="20"/>
              </w:rPr>
              <w:t>Tolmeije</w:t>
            </w:r>
            <w:proofErr w:type="spellEnd"/>
            <w:r w:rsidRPr="006025D8">
              <w:rPr>
                <w:rFonts w:ascii="Calibri" w:hAnsi="Calibri" w:cs="Calibri"/>
                <w:sz w:val="20"/>
                <w:szCs w:val="20"/>
              </w:rPr>
              <w:t xml:space="preserve"> et al, 2023</w:t>
            </w:r>
          </w:p>
          <w:p w14:paraId="51B08B2A"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Clin Cancer Res. 2023 Aug 1;29(15):2835-2844</w:t>
            </w:r>
          </w:p>
        </w:tc>
      </w:tr>
      <w:tr w:rsidR="00B72C24" w14:paraId="7830D4B9" w14:textId="77777777" w:rsidTr="009572CD">
        <w:trPr>
          <w:trHeight w:val="1547"/>
        </w:trPr>
        <w:tc>
          <w:tcPr>
            <w:tcW w:w="188" w:type="pct"/>
          </w:tcPr>
          <w:p w14:paraId="78EB8733"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lastRenderedPageBreak/>
              <w:t>3</w:t>
            </w:r>
          </w:p>
        </w:tc>
        <w:tc>
          <w:tcPr>
            <w:tcW w:w="556" w:type="pct"/>
          </w:tcPr>
          <w:p w14:paraId="7EAEA323"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Diagnostic study </w:t>
            </w:r>
          </w:p>
        </w:tc>
        <w:tc>
          <w:tcPr>
            <w:tcW w:w="1094" w:type="pct"/>
          </w:tcPr>
          <w:p w14:paraId="0CB58069"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Germline DNA Repair Gene Mutation Landscape in Chinese </w:t>
            </w:r>
            <w:proofErr w:type="gramStart"/>
            <w:r w:rsidRPr="006025D8">
              <w:rPr>
                <w:rFonts w:ascii="Calibri" w:hAnsi="Calibri" w:cs="Calibri"/>
                <w:sz w:val="20"/>
                <w:szCs w:val="20"/>
              </w:rPr>
              <w:t>Prostate  Cancer</w:t>
            </w:r>
            <w:proofErr w:type="gramEnd"/>
            <w:r w:rsidRPr="006025D8">
              <w:rPr>
                <w:rFonts w:ascii="Calibri" w:hAnsi="Calibri" w:cs="Calibri"/>
                <w:sz w:val="20"/>
                <w:szCs w:val="20"/>
              </w:rPr>
              <w:t xml:space="preserve"> Patients </w:t>
            </w:r>
          </w:p>
        </w:tc>
        <w:tc>
          <w:tcPr>
            <w:tcW w:w="1492" w:type="pct"/>
          </w:tcPr>
          <w:p w14:paraId="2A0BF804"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Landscape of 18 germline DNA repair gene mutation in 316 Chinese patients with prostate cancer. Among all cases, 9.8% (31/316, 95% confidence interval [CI]: 6.5–13%) carried pathogenic mutations in 18 </w:t>
            </w:r>
            <w:proofErr w:type="spellStart"/>
            <w:r w:rsidRPr="006025D8">
              <w:rPr>
                <w:rFonts w:ascii="Calibri" w:hAnsi="Calibri" w:cs="Calibri"/>
                <w:sz w:val="20"/>
                <w:szCs w:val="20"/>
              </w:rPr>
              <w:t>PCa</w:t>
            </w:r>
            <w:proofErr w:type="spellEnd"/>
            <w:r w:rsidRPr="006025D8">
              <w:rPr>
                <w:rFonts w:ascii="Calibri" w:hAnsi="Calibri" w:cs="Calibri"/>
                <w:sz w:val="20"/>
                <w:szCs w:val="20"/>
              </w:rPr>
              <w:t xml:space="preserve">-related DRGs: 6.3% in BRCA2, 0.63% in BRCA1, 0.63% in ATM, and 2.5% in 15 other genes. Overall, study observed similar germline DRG mutation frequencies, although there is large disparity in the risk of </w:t>
            </w:r>
            <w:proofErr w:type="spellStart"/>
            <w:r w:rsidRPr="006025D8">
              <w:rPr>
                <w:rFonts w:ascii="Calibri" w:hAnsi="Calibri" w:cs="Calibri"/>
                <w:sz w:val="20"/>
                <w:szCs w:val="20"/>
              </w:rPr>
              <w:t>PCa</w:t>
            </w:r>
            <w:proofErr w:type="spellEnd"/>
            <w:r w:rsidRPr="006025D8">
              <w:rPr>
                <w:rFonts w:ascii="Calibri" w:hAnsi="Calibri" w:cs="Calibri"/>
                <w:sz w:val="20"/>
                <w:szCs w:val="20"/>
              </w:rPr>
              <w:t xml:space="preserve"> between China and the West. </w:t>
            </w:r>
          </w:p>
        </w:tc>
        <w:tc>
          <w:tcPr>
            <w:tcW w:w="945" w:type="pct"/>
          </w:tcPr>
          <w:p w14:paraId="283669F3" w14:textId="77777777" w:rsidR="00B72C24" w:rsidRPr="006025D8" w:rsidRDefault="009572CD" w:rsidP="00462B4B">
            <w:pPr>
              <w:rPr>
                <w:rFonts w:ascii="Calibri" w:hAnsi="Calibri" w:cs="Calibri"/>
                <w:sz w:val="20"/>
                <w:szCs w:val="20"/>
              </w:rPr>
            </w:pPr>
            <w:hyperlink r:id="rId20" w:history="1">
              <w:r w:rsidR="00B72C24" w:rsidRPr="006025D8">
                <w:rPr>
                  <w:rStyle w:val="Hyperlink"/>
                  <w:rFonts w:ascii="Calibri" w:hAnsi="Calibri" w:cs="Calibri"/>
                  <w:sz w:val="20"/>
                  <w:szCs w:val="20"/>
                </w:rPr>
                <w:t>https://www.sciencedirect.com/science/article/pii/S0302283819304531</w:t>
              </w:r>
            </w:hyperlink>
          </w:p>
          <w:p w14:paraId="4A8B6778" w14:textId="77777777" w:rsidR="00B72C24" w:rsidRPr="006025D8" w:rsidRDefault="00B72C24" w:rsidP="00462B4B">
            <w:pPr>
              <w:rPr>
                <w:rFonts w:ascii="Calibri" w:hAnsi="Calibri" w:cs="Calibri"/>
                <w:sz w:val="20"/>
                <w:szCs w:val="20"/>
              </w:rPr>
            </w:pPr>
          </w:p>
        </w:tc>
        <w:tc>
          <w:tcPr>
            <w:tcW w:w="725" w:type="pct"/>
          </w:tcPr>
          <w:p w14:paraId="610D386A" w14:textId="77777777" w:rsidR="00B72C24" w:rsidRPr="006025D8" w:rsidRDefault="00B72C24" w:rsidP="00462B4B">
            <w:pPr>
              <w:rPr>
                <w:rFonts w:ascii="Calibri" w:hAnsi="Calibri" w:cs="Calibri"/>
                <w:sz w:val="20"/>
                <w:szCs w:val="20"/>
              </w:rPr>
            </w:pPr>
            <w:proofErr w:type="spellStart"/>
            <w:proofErr w:type="gramStart"/>
            <w:r w:rsidRPr="006025D8">
              <w:rPr>
                <w:rFonts w:ascii="Calibri" w:hAnsi="Calibri" w:cs="Calibri"/>
                <w:sz w:val="20"/>
                <w:szCs w:val="20"/>
              </w:rPr>
              <w:t>Wei,Y</w:t>
            </w:r>
            <w:proofErr w:type="spellEnd"/>
            <w:r w:rsidRPr="006025D8">
              <w:rPr>
                <w:rFonts w:ascii="Calibri" w:hAnsi="Calibri" w:cs="Calibri"/>
                <w:sz w:val="20"/>
                <w:szCs w:val="20"/>
              </w:rPr>
              <w:t>.</w:t>
            </w:r>
            <w:proofErr w:type="gramEnd"/>
            <w:r w:rsidRPr="006025D8">
              <w:rPr>
                <w:rFonts w:ascii="Calibri" w:hAnsi="Calibri" w:cs="Calibri"/>
                <w:sz w:val="20"/>
                <w:szCs w:val="20"/>
              </w:rPr>
              <w:t xml:space="preserve"> et al, 2019</w:t>
            </w:r>
          </w:p>
          <w:p w14:paraId="533A21D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European Urology Volume 76, Issue 3, September 2019, Pages 280-28</w:t>
            </w:r>
          </w:p>
        </w:tc>
      </w:tr>
      <w:tr w:rsidR="00B72C24" w14:paraId="2FC8605F" w14:textId="77777777" w:rsidTr="009572CD">
        <w:trPr>
          <w:trHeight w:val="1854"/>
        </w:trPr>
        <w:tc>
          <w:tcPr>
            <w:tcW w:w="188" w:type="pct"/>
          </w:tcPr>
          <w:p w14:paraId="045DB013"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4</w:t>
            </w:r>
          </w:p>
        </w:tc>
        <w:tc>
          <w:tcPr>
            <w:tcW w:w="556" w:type="pct"/>
          </w:tcPr>
          <w:p w14:paraId="19388DEA"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Diagnostic study </w:t>
            </w:r>
          </w:p>
        </w:tc>
        <w:tc>
          <w:tcPr>
            <w:tcW w:w="1094" w:type="pct"/>
          </w:tcPr>
          <w:p w14:paraId="29A908A6"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Germline DNA-repair Gene Mutations and Outcomes in Men with Metastatic Castration-resistant Prostate Cancer Receiving First-line Abiraterone and Enzalutamide</w:t>
            </w:r>
          </w:p>
        </w:tc>
        <w:tc>
          <w:tcPr>
            <w:tcW w:w="1492" w:type="pct"/>
          </w:tcPr>
          <w:p w14:paraId="54BD9C73"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To determine whether and how germline DNA-repair gene mutations influence clinical outcomes to abiraterone or enzalutamide in patients with castration-resistant prostate cancer using germline genotyping for 50 DNA repair genes using blood samples from 172 patients with CRPC beginning first-line systemic therapy with abiraterone or enzalutamide. </w:t>
            </w:r>
          </w:p>
        </w:tc>
        <w:tc>
          <w:tcPr>
            <w:tcW w:w="945" w:type="pct"/>
          </w:tcPr>
          <w:p w14:paraId="0927C0F2" w14:textId="77777777" w:rsidR="00B72C24" w:rsidRPr="006025D8" w:rsidRDefault="009572CD" w:rsidP="00462B4B">
            <w:pPr>
              <w:rPr>
                <w:rFonts w:ascii="Calibri" w:hAnsi="Calibri" w:cs="Calibri"/>
                <w:sz w:val="20"/>
                <w:szCs w:val="20"/>
              </w:rPr>
            </w:pPr>
            <w:hyperlink r:id="rId21" w:history="1">
              <w:r w:rsidR="00B72C24" w:rsidRPr="006025D8">
                <w:rPr>
                  <w:rStyle w:val="Hyperlink"/>
                  <w:rFonts w:ascii="Calibri" w:hAnsi="Calibri" w:cs="Calibri"/>
                  <w:sz w:val="20"/>
                  <w:szCs w:val="20"/>
                </w:rPr>
                <w:t>https://www.ncbi.nlm.nih.gov/pmc/articles/PMC6045965/</w:t>
              </w:r>
            </w:hyperlink>
          </w:p>
          <w:p w14:paraId="5521BD3C" w14:textId="77777777" w:rsidR="00B72C24" w:rsidRPr="006025D8" w:rsidRDefault="00B72C24" w:rsidP="00462B4B">
            <w:pPr>
              <w:rPr>
                <w:rFonts w:ascii="Calibri" w:hAnsi="Calibri" w:cs="Calibri"/>
                <w:sz w:val="20"/>
                <w:szCs w:val="20"/>
              </w:rPr>
            </w:pPr>
          </w:p>
        </w:tc>
        <w:tc>
          <w:tcPr>
            <w:tcW w:w="725" w:type="pct"/>
          </w:tcPr>
          <w:p w14:paraId="0A657EEB" w14:textId="77777777" w:rsidR="00B72C24" w:rsidRPr="006025D8" w:rsidRDefault="00B72C24" w:rsidP="00462B4B">
            <w:pPr>
              <w:rPr>
                <w:rFonts w:ascii="Calibri" w:hAnsi="Calibri" w:cs="Calibri"/>
                <w:sz w:val="20"/>
                <w:szCs w:val="20"/>
              </w:rPr>
            </w:pPr>
            <w:proofErr w:type="spellStart"/>
            <w:r w:rsidRPr="006025D8">
              <w:rPr>
                <w:rFonts w:ascii="Calibri" w:hAnsi="Calibri" w:cs="Calibri"/>
                <w:sz w:val="20"/>
                <w:szCs w:val="20"/>
              </w:rPr>
              <w:t>Antonarakis</w:t>
            </w:r>
            <w:proofErr w:type="spellEnd"/>
            <w:r w:rsidRPr="006025D8">
              <w:rPr>
                <w:rFonts w:ascii="Calibri" w:hAnsi="Calibri" w:cs="Calibri"/>
                <w:sz w:val="20"/>
                <w:szCs w:val="20"/>
              </w:rPr>
              <w:t xml:space="preserve"> et al, 2018 </w:t>
            </w:r>
          </w:p>
          <w:p w14:paraId="72C2A1DC" w14:textId="77777777" w:rsidR="00B72C24" w:rsidRPr="006025D8" w:rsidRDefault="00B72C24" w:rsidP="00462B4B">
            <w:pPr>
              <w:rPr>
                <w:rFonts w:ascii="Calibri" w:hAnsi="Calibri" w:cs="Calibri"/>
                <w:b/>
                <w:sz w:val="20"/>
                <w:szCs w:val="20"/>
              </w:rPr>
            </w:pPr>
            <w:proofErr w:type="spellStart"/>
            <w:r w:rsidRPr="006025D8">
              <w:rPr>
                <w:rFonts w:ascii="Calibri" w:hAnsi="Calibri" w:cs="Calibri"/>
                <w:sz w:val="20"/>
                <w:szCs w:val="20"/>
              </w:rPr>
              <w:t>Eur</w:t>
            </w:r>
            <w:proofErr w:type="spellEnd"/>
            <w:r w:rsidRPr="006025D8">
              <w:rPr>
                <w:rFonts w:ascii="Calibri" w:hAnsi="Calibri" w:cs="Calibri"/>
                <w:sz w:val="20"/>
                <w:szCs w:val="20"/>
              </w:rPr>
              <w:t xml:space="preserve"> Urol. 2018 Aug; 74(2): 218–225.</w:t>
            </w:r>
          </w:p>
        </w:tc>
      </w:tr>
      <w:tr w:rsidR="00B72C24" w14:paraId="6CD2F113" w14:textId="77777777" w:rsidTr="009572CD">
        <w:tc>
          <w:tcPr>
            <w:tcW w:w="188" w:type="pct"/>
          </w:tcPr>
          <w:p w14:paraId="3525E24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5</w:t>
            </w:r>
          </w:p>
        </w:tc>
        <w:tc>
          <w:tcPr>
            <w:tcW w:w="556" w:type="pct"/>
          </w:tcPr>
          <w:p w14:paraId="09664F08"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Diagnostic study</w:t>
            </w:r>
          </w:p>
        </w:tc>
        <w:tc>
          <w:tcPr>
            <w:tcW w:w="1094" w:type="pct"/>
          </w:tcPr>
          <w:p w14:paraId="34F290D7"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Treatment Outcomes and </w:t>
            </w:r>
            <w:proofErr w:type="spellStart"/>
            <w:r w:rsidRPr="006025D8">
              <w:rPr>
                <w:rFonts w:ascii="Calibri" w:hAnsi="Calibri" w:cs="Calibri"/>
                <w:sz w:val="20"/>
                <w:szCs w:val="20"/>
              </w:rPr>
              <w:t>Tumor</w:t>
            </w:r>
            <w:proofErr w:type="spellEnd"/>
            <w:r w:rsidRPr="006025D8">
              <w:rPr>
                <w:rFonts w:ascii="Calibri" w:hAnsi="Calibri" w:cs="Calibri"/>
                <w:sz w:val="20"/>
                <w:szCs w:val="20"/>
              </w:rPr>
              <w:t xml:space="preserve"> Loss of Heterozygosity in Germline DNA Repair-deficient Prostate Cancer</w:t>
            </w:r>
          </w:p>
        </w:tc>
        <w:tc>
          <w:tcPr>
            <w:tcW w:w="1492" w:type="pct"/>
          </w:tcPr>
          <w:p w14:paraId="58AB6504"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 xml:space="preserve">To determine the clinical response of 319 </w:t>
            </w:r>
            <w:proofErr w:type="spellStart"/>
            <w:r w:rsidRPr="006025D8">
              <w:rPr>
                <w:rFonts w:ascii="Calibri" w:hAnsi="Calibri" w:cs="Calibri"/>
                <w:sz w:val="20"/>
                <w:szCs w:val="20"/>
                <w:lang w:val="en-US"/>
              </w:rPr>
              <w:t>mCRPC</w:t>
            </w:r>
            <w:proofErr w:type="spellEnd"/>
            <w:r w:rsidRPr="006025D8">
              <w:rPr>
                <w:rFonts w:ascii="Calibri" w:hAnsi="Calibri" w:cs="Calibri"/>
                <w:sz w:val="20"/>
                <w:szCs w:val="20"/>
                <w:lang w:val="en-US"/>
              </w:rPr>
              <w:t xml:space="preserve"> patients with germline DNA repair defects to androgen </w:t>
            </w:r>
            <w:proofErr w:type="spellStart"/>
            <w:r w:rsidRPr="006025D8">
              <w:rPr>
                <w:rFonts w:ascii="Calibri" w:hAnsi="Calibri" w:cs="Calibri"/>
                <w:sz w:val="20"/>
                <w:szCs w:val="20"/>
                <w:lang w:val="en-US"/>
              </w:rPr>
              <w:t>receptordirected</w:t>
            </w:r>
            <w:proofErr w:type="spellEnd"/>
            <w:r w:rsidRPr="006025D8">
              <w:rPr>
                <w:rFonts w:ascii="Calibri" w:hAnsi="Calibri" w:cs="Calibri"/>
                <w:sz w:val="20"/>
                <w:szCs w:val="20"/>
                <w:lang w:val="en-US"/>
              </w:rPr>
              <w:t xml:space="preserve"> therapies and to establish whether biallelic DNA repair gene loss is detectable in matched circulating </w:t>
            </w:r>
            <w:proofErr w:type="spellStart"/>
            <w:r w:rsidRPr="006025D8">
              <w:rPr>
                <w:rFonts w:ascii="Calibri" w:hAnsi="Calibri" w:cs="Calibri"/>
                <w:sz w:val="20"/>
                <w:szCs w:val="20"/>
                <w:lang w:val="en-US"/>
              </w:rPr>
              <w:t>tumour</w:t>
            </w:r>
            <w:proofErr w:type="spellEnd"/>
            <w:r w:rsidRPr="006025D8">
              <w:rPr>
                <w:rFonts w:ascii="Calibri" w:hAnsi="Calibri" w:cs="Calibri"/>
                <w:sz w:val="20"/>
                <w:szCs w:val="20"/>
                <w:lang w:val="en-US"/>
              </w:rPr>
              <w:t xml:space="preserve"> DNA.</w:t>
            </w:r>
          </w:p>
        </w:tc>
        <w:tc>
          <w:tcPr>
            <w:tcW w:w="945" w:type="pct"/>
          </w:tcPr>
          <w:p w14:paraId="424F2D49" w14:textId="77777777" w:rsidR="00B72C24" w:rsidRPr="006025D8" w:rsidRDefault="009572CD" w:rsidP="00462B4B">
            <w:pPr>
              <w:rPr>
                <w:rFonts w:ascii="Calibri" w:hAnsi="Calibri" w:cs="Calibri"/>
                <w:sz w:val="20"/>
                <w:szCs w:val="20"/>
              </w:rPr>
            </w:pPr>
            <w:hyperlink r:id="rId22" w:history="1">
              <w:r w:rsidR="00B72C24" w:rsidRPr="006025D8">
                <w:rPr>
                  <w:rStyle w:val="Hyperlink"/>
                  <w:rFonts w:ascii="Calibri" w:hAnsi="Calibri" w:cs="Calibri"/>
                  <w:sz w:val="20"/>
                  <w:szCs w:val="20"/>
                </w:rPr>
                <w:t>https://www.ncbi.nlm.nih.gov/pubmed/28259476</w:t>
              </w:r>
            </w:hyperlink>
          </w:p>
          <w:p w14:paraId="72891365" w14:textId="77777777" w:rsidR="00B72C24" w:rsidRPr="006025D8" w:rsidRDefault="00B72C24" w:rsidP="00462B4B">
            <w:pPr>
              <w:rPr>
                <w:rFonts w:ascii="Calibri" w:hAnsi="Calibri" w:cs="Calibri"/>
                <w:sz w:val="20"/>
                <w:szCs w:val="20"/>
              </w:rPr>
            </w:pPr>
          </w:p>
        </w:tc>
        <w:tc>
          <w:tcPr>
            <w:tcW w:w="725" w:type="pct"/>
          </w:tcPr>
          <w:p w14:paraId="0FBA0DA5" w14:textId="77777777" w:rsidR="00B72C24" w:rsidRPr="006025D8" w:rsidRDefault="00B72C24" w:rsidP="00462B4B">
            <w:pPr>
              <w:rPr>
                <w:rFonts w:ascii="Calibri" w:hAnsi="Calibri" w:cs="Calibri"/>
                <w:sz w:val="20"/>
                <w:szCs w:val="20"/>
                <w:lang w:val="en-US"/>
              </w:rPr>
            </w:pPr>
            <w:proofErr w:type="spellStart"/>
            <w:r w:rsidRPr="006025D8">
              <w:rPr>
                <w:rFonts w:ascii="Calibri" w:hAnsi="Calibri" w:cs="Calibri"/>
                <w:sz w:val="20"/>
                <w:szCs w:val="20"/>
                <w:lang w:val="en-US"/>
              </w:rPr>
              <w:t>Annala</w:t>
            </w:r>
            <w:proofErr w:type="spellEnd"/>
            <w:r w:rsidRPr="006025D8">
              <w:rPr>
                <w:rFonts w:ascii="Calibri" w:hAnsi="Calibri" w:cs="Calibri"/>
                <w:sz w:val="20"/>
                <w:szCs w:val="20"/>
                <w:lang w:val="en-US"/>
              </w:rPr>
              <w:t xml:space="preserve"> et al, </w:t>
            </w:r>
            <w:r w:rsidRPr="006025D8">
              <w:rPr>
                <w:rFonts w:ascii="Calibri" w:hAnsi="Calibri" w:cs="Calibri"/>
                <w:sz w:val="20"/>
                <w:szCs w:val="20"/>
              </w:rPr>
              <w:t>2017</w:t>
            </w:r>
          </w:p>
          <w:p w14:paraId="6FAA2178" w14:textId="77777777" w:rsidR="00B72C24" w:rsidRPr="006025D8" w:rsidRDefault="00B72C24" w:rsidP="00462B4B">
            <w:pPr>
              <w:rPr>
                <w:rFonts w:ascii="Calibri" w:hAnsi="Calibri" w:cs="Calibri"/>
                <w:sz w:val="20"/>
                <w:szCs w:val="20"/>
              </w:rPr>
            </w:pPr>
            <w:proofErr w:type="spellStart"/>
            <w:r w:rsidRPr="006025D8">
              <w:rPr>
                <w:rFonts w:ascii="Calibri" w:hAnsi="Calibri" w:cs="Calibri"/>
                <w:sz w:val="20"/>
                <w:szCs w:val="20"/>
              </w:rPr>
              <w:t>Eur</w:t>
            </w:r>
            <w:proofErr w:type="spellEnd"/>
            <w:r w:rsidRPr="006025D8">
              <w:rPr>
                <w:rFonts w:ascii="Calibri" w:hAnsi="Calibri" w:cs="Calibri"/>
                <w:sz w:val="20"/>
                <w:szCs w:val="20"/>
              </w:rPr>
              <w:t xml:space="preserve"> Urol. 2017 Jul;72(1):34-42</w:t>
            </w:r>
            <w:r w:rsidRPr="006025D8">
              <w:rPr>
                <w:rFonts w:ascii="Calibri" w:hAnsi="Calibri" w:cs="Calibri"/>
                <w:b/>
                <w:sz w:val="20"/>
                <w:szCs w:val="20"/>
              </w:rPr>
              <w:t xml:space="preserve"> </w:t>
            </w:r>
          </w:p>
        </w:tc>
      </w:tr>
      <w:tr w:rsidR="00B72C24" w14:paraId="23541866" w14:textId="77777777" w:rsidTr="009572CD">
        <w:tc>
          <w:tcPr>
            <w:tcW w:w="188" w:type="pct"/>
          </w:tcPr>
          <w:p w14:paraId="73776919"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6</w:t>
            </w:r>
          </w:p>
        </w:tc>
        <w:tc>
          <w:tcPr>
            <w:tcW w:w="556" w:type="pct"/>
          </w:tcPr>
          <w:p w14:paraId="4707E662"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Diagnostic study</w:t>
            </w:r>
          </w:p>
        </w:tc>
        <w:tc>
          <w:tcPr>
            <w:tcW w:w="1094" w:type="pct"/>
          </w:tcPr>
          <w:p w14:paraId="151E12A6"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Inherited DNA-repair gene mutations in men with metastatic prostate cancer</w:t>
            </w:r>
          </w:p>
        </w:tc>
        <w:tc>
          <w:tcPr>
            <w:tcW w:w="1492" w:type="pct"/>
          </w:tcPr>
          <w:p w14:paraId="3DBE2400" w14:textId="77777777" w:rsidR="00B72C24" w:rsidRPr="006025D8" w:rsidRDefault="00B72C24" w:rsidP="00462B4B">
            <w:pPr>
              <w:rPr>
                <w:rFonts w:ascii="Calibri" w:hAnsi="Calibri" w:cs="Calibri"/>
                <w:sz w:val="20"/>
                <w:szCs w:val="20"/>
                <w:lang w:val="en-US"/>
              </w:rPr>
            </w:pPr>
            <w:proofErr w:type="spellStart"/>
            <w:r w:rsidRPr="006025D8">
              <w:rPr>
                <w:rFonts w:ascii="Calibri" w:hAnsi="Calibri" w:cs="Calibri"/>
                <w:sz w:val="20"/>
                <w:szCs w:val="20"/>
                <w:lang w:val="en-US"/>
              </w:rPr>
              <w:t>Multicentre</w:t>
            </w:r>
            <w:proofErr w:type="spellEnd"/>
            <w:r w:rsidRPr="006025D8">
              <w:rPr>
                <w:rFonts w:ascii="Calibri" w:hAnsi="Calibri" w:cs="Calibri"/>
                <w:sz w:val="20"/>
                <w:szCs w:val="20"/>
                <w:lang w:val="en-US"/>
              </w:rPr>
              <w:t xml:space="preserve"> study that recruited 692 men with metastatic prostate cancer who were unselected for family history of cancer or age at diagnosis. Germline DNA was isolated and used multiplex sequencing assays to assess mutations in 20 DNA-repair genes associated with autosomal dominant cancer-predisposition syndromes. </w:t>
            </w:r>
          </w:p>
        </w:tc>
        <w:tc>
          <w:tcPr>
            <w:tcW w:w="945" w:type="pct"/>
          </w:tcPr>
          <w:p w14:paraId="4277E898" w14:textId="77777777" w:rsidR="00B72C24" w:rsidRPr="006025D8" w:rsidRDefault="009572CD" w:rsidP="00462B4B">
            <w:pPr>
              <w:rPr>
                <w:rFonts w:ascii="Calibri" w:hAnsi="Calibri" w:cs="Calibri"/>
                <w:sz w:val="20"/>
                <w:szCs w:val="20"/>
              </w:rPr>
            </w:pPr>
            <w:hyperlink r:id="rId23" w:history="1">
              <w:r w:rsidR="00B72C24" w:rsidRPr="006025D8">
                <w:rPr>
                  <w:rStyle w:val="Hyperlink"/>
                  <w:rFonts w:ascii="Calibri" w:hAnsi="Calibri" w:cs="Calibri"/>
                  <w:sz w:val="20"/>
                  <w:szCs w:val="20"/>
                </w:rPr>
                <w:t>https://www.nejm.org/doi/full/10.1056/NEJMoa1603144</w:t>
              </w:r>
            </w:hyperlink>
          </w:p>
          <w:p w14:paraId="0D22EBD5" w14:textId="77777777" w:rsidR="00B72C24" w:rsidRPr="006025D8" w:rsidRDefault="00B72C24" w:rsidP="00462B4B">
            <w:pPr>
              <w:rPr>
                <w:rFonts w:ascii="Calibri" w:hAnsi="Calibri" w:cs="Calibri"/>
                <w:sz w:val="20"/>
                <w:szCs w:val="20"/>
              </w:rPr>
            </w:pPr>
          </w:p>
        </w:tc>
        <w:tc>
          <w:tcPr>
            <w:tcW w:w="725" w:type="pct"/>
          </w:tcPr>
          <w:p w14:paraId="0FBE1157"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 xml:space="preserve">Pritchard et al, 2016 </w:t>
            </w:r>
          </w:p>
          <w:p w14:paraId="09ABEA9C" w14:textId="77777777" w:rsidR="00B72C24" w:rsidRPr="006025D8" w:rsidRDefault="00B72C24" w:rsidP="00462B4B">
            <w:pPr>
              <w:rPr>
                <w:rFonts w:ascii="Calibri" w:hAnsi="Calibri" w:cs="Calibri"/>
                <w:sz w:val="20"/>
                <w:szCs w:val="20"/>
              </w:rPr>
            </w:pPr>
            <w:r w:rsidRPr="006025D8">
              <w:rPr>
                <w:rFonts w:ascii="Calibri" w:hAnsi="Calibri" w:cs="Calibri"/>
                <w:sz w:val="20"/>
                <w:szCs w:val="20"/>
                <w:lang w:val="en-US"/>
              </w:rPr>
              <w:t xml:space="preserve">N </w:t>
            </w:r>
            <w:proofErr w:type="spellStart"/>
            <w:r w:rsidRPr="006025D8">
              <w:rPr>
                <w:rFonts w:ascii="Calibri" w:hAnsi="Calibri" w:cs="Calibri"/>
                <w:sz w:val="20"/>
                <w:szCs w:val="20"/>
                <w:lang w:val="en-US"/>
              </w:rPr>
              <w:t>Engl</w:t>
            </w:r>
            <w:proofErr w:type="spellEnd"/>
            <w:r w:rsidRPr="006025D8">
              <w:rPr>
                <w:rFonts w:ascii="Calibri" w:hAnsi="Calibri" w:cs="Calibri"/>
                <w:sz w:val="20"/>
                <w:szCs w:val="20"/>
                <w:lang w:val="en-US"/>
              </w:rPr>
              <w:t xml:space="preserve"> J Med 2016; 375:443-453</w:t>
            </w:r>
          </w:p>
        </w:tc>
      </w:tr>
      <w:tr w:rsidR="00B72C24" w14:paraId="01DF25BF" w14:textId="77777777" w:rsidTr="009572CD">
        <w:trPr>
          <w:trHeight w:val="1485"/>
        </w:trPr>
        <w:tc>
          <w:tcPr>
            <w:tcW w:w="188" w:type="pct"/>
          </w:tcPr>
          <w:p w14:paraId="6C38BD98"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lastRenderedPageBreak/>
              <w:t>7</w:t>
            </w:r>
          </w:p>
        </w:tc>
        <w:tc>
          <w:tcPr>
            <w:tcW w:w="556" w:type="pct"/>
          </w:tcPr>
          <w:p w14:paraId="57CE676E"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Diagnostic study</w:t>
            </w:r>
          </w:p>
        </w:tc>
        <w:tc>
          <w:tcPr>
            <w:tcW w:w="1094" w:type="pct"/>
          </w:tcPr>
          <w:p w14:paraId="2462C081" w14:textId="77777777" w:rsidR="00B72C24" w:rsidRPr="006025D8" w:rsidRDefault="00B72C24" w:rsidP="00462B4B">
            <w:pPr>
              <w:rPr>
                <w:rFonts w:ascii="Calibri" w:eastAsia="Arial Unicode MS" w:hAnsi="Calibri" w:cs="Calibri"/>
                <w:sz w:val="20"/>
                <w:szCs w:val="20"/>
              </w:rPr>
            </w:pPr>
            <w:r w:rsidRPr="006025D8">
              <w:rPr>
                <w:rFonts w:ascii="Calibri" w:eastAsia="Arial Unicode MS" w:hAnsi="Calibri" w:cs="Calibri"/>
                <w:sz w:val="20"/>
                <w:szCs w:val="20"/>
              </w:rPr>
              <w:t xml:space="preserve">Circulating </w:t>
            </w:r>
            <w:proofErr w:type="spellStart"/>
            <w:r w:rsidRPr="006025D8">
              <w:rPr>
                <w:rFonts w:ascii="Calibri" w:eastAsia="Arial Unicode MS" w:hAnsi="Calibri" w:cs="Calibri"/>
                <w:sz w:val="20"/>
                <w:szCs w:val="20"/>
              </w:rPr>
              <w:t>tumor</w:t>
            </w:r>
            <w:proofErr w:type="spellEnd"/>
            <w:r w:rsidRPr="006025D8">
              <w:rPr>
                <w:rFonts w:ascii="Calibri" w:eastAsia="Arial Unicode MS" w:hAnsi="Calibri" w:cs="Calibri"/>
                <w:sz w:val="20"/>
                <w:szCs w:val="20"/>
              </w:rPr>
              <w:t xml:space="preserve"> DNA (</w:t>
            </w:r>
            <w:proofErr w:type="spellStart"/>
            <w:r w:rsidRPr="006025D8">
              <w:rPr>
                <w:rFonts w:ascii="Calibri" w:eastAsia="Arial Unicode MS" w:hAnsi="Calibri" w:cs="Calibri"/>
                <w:sz w:val="20"/>
                <w:szCs w:val="20"/>
              </w:rPr>
              <w:t>ctDNA</w:t>
            </w:r>
            <w:proofErr w:type="spellEnd"/>
            <w:r w:rsidRPr="006025D8">
              <w:rPr>
                <w:rFonts w:ascii="Calibri" w:eastAsia="Arial Unicode MS" w:hAnsi="Calibri" w:cs="Calibri"/>
                <w:sz w:val="20"/>
                <w:szCs w:val="20"/>
              </w:rPr>
              <w:t>) burden and actionable mutations in treatment-naive metastatic castration-resistant prostate cancer (</w:t>
            </w:r>
            <w:proofErr w:type="spellStart"/>
            <w:r w:rsidRPr="006025D8">
              <w:rPr>
                <w:rFonts w:ascii="Calibri" w:eastAsia="Arial Unicode MS" w:hAnsi="Calibri" w:cs="Calibri"/>
                <w:sz w:val="20"/>
                <w:szCs w:val="20"/>
              </w:rPr>
              <w:t>mCRPC</w:t>
            </w:r>
            <w:proofErr w:type="spellEnd"/>
            <w:r w:rsidRPr="006025D8">
              <w:rPr>
                <w:rFonts w:ascii="Calibri" w:eastAsia="Arial Unicode MS" w:hAnsi="Calibri" w:cs="Calibri"/>
                <w:sz w:val="20"/>
                <w:szCs w:val="20"/>
              </w:rPr>
              <w:t>)</w:t>
            </w:r>
          </w:p>
        </w:tc>
        <w:tc>
          <w:tcPr>
            <w:tcW w:w="1492" w:type="pct"/>
          </w:tcPr>
          <w:p w14:paraId="7B7FCAA9"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 xml:space="preserve">Collection of </w:t>
            </w:r>
            <w:proofErr w:type="gramStart"/>
            <w:r w:rsidRPr="006025D8">
              <w:rPr>
                <w:rFonts w:ascii="Calibri" w:hAnsi="Calibri" w:cs="Calibri"/>
                <w:sz w:val="20"/>
                <w:szCs w:val="20"/>
                <w:lang w:val="en-US"/>
              </w:rPr>
              <w:t>baseline</w:t>
            </w:r>
            <w:proofErr w:type="gramEnd"/>
            <w:r w:rsidRPr="006025D8">
              <w:rPr>
                <w:rFonts w:ascii="Calibri" w:hAnsi="Calibri" w:cs="Calibri"/>
                <w:sz w:val="20"/>
                <w:szCs w:val="20"/>
                <w:lang w:val="en-US"/>
              </w:rPr>
              <w:t xml:space="preserve"> </w:t>
            </w:r>
            <w:proofErr w:type="spellStart"/>
            <w:r w:rsidRPr="006025D8">
              <w:rPr>
                <w:rFonts w:ascii="Calibri" w:hAnsi="Calibri" w:cs="Calibri"/>
                <w:sz w:val="20"/>
                <w:szCs w:val="20"/>
                <w:lang w:val="en-US"/>
              </w:rPr>
              <w:t>cellfree</w:t>
            </w:r>
            <w:proofErr w:type="spellEnd"/>
            <w:r w:rsidRPr="006025D8">
              <w:rPr>
                <w:rFonts w:ascii="Calibri" w:hAnsi="Calibri" w:cs="Calibri"/>
                <w:sz w:val="20"/>
                <w:szCs w:val="20"/>
                <w:lang w:val="en-US"/>
              </w:rPr>
              <w:t xml:space="preserve"> DNA (cfDNA samples from 36 chemotherapy-naive </w:t>
            </w:r>
            <w:proofErr w:type="spellStart"/>
            <w:r w:rsidRPr="006025D8">
              <w:rPr>
                <w:rFonts w:ascii="Calibri" w:hAnsi="Calibri" w:cs="Calibri"/>
                <w:sz w:val="20"/>
                <w:szCs w:val="20"/>
                <w:lang w:val="en-US"/>
              </w:rPr>
              <w:t>mCRPC</w:t>
            </w:r>
            <w:proofErr w:type="spellEnd"/>
            <w:r w:rsidRPr="006025D8">
              <w:rPr>
                <w:rFonts w:ascii="Calibri" w:hAnsi="Calibri" w:cs="Calibri"/>
                <w:sz w:val="20"/>
                <w:szCs w:val="20"/>
                <w:lang w:val="en-US"/>
              </w:rPr>
              <w:t xml:space="preserve"> patients enrolled in an ongoing </w:t>
            </w:r>
            <w:proofErr w:type="spellStart"/>
            <w:r w:rsidRPr="006025D8">
              <w:rPr>
                <w:rFonts w:ascii="Calibri" w:hAnsi="Calibri" w:cs="Calibri"/>
                <w:sz w:val="20"/>
                <w:szCs w:val="20"/>
                <w:lang w:val="en-US"/>
              </w:rPr>
              <w:t>randomised</w:t>
            </w:r>
            <w:proofErr w:type="spellEnd"/>
            <w:r w:rsidRPr="006025D8">
              <w:rPr>
                <w:rFonts w:ascii="Calibri" w:hAnsi="Calibri" w:cs="Calibri"/>
                <w:sz w:val="20"/>
                <w:szCs w:val="20"/>
                <w:lang w:val="en-US"/>
              </w:rPr>
              <w:t xml:space="preserve"> phase II crossover trial of abiraterone vs enzalutamide (NCT02125357) and performed deep targeted sequencing using a custom </w:t>
            </w:r>
            <w:proofErr w:type="spellStart"/>
            <w:r w:rsidRPr="006025D8">
              <w:rPr>
                <w:rFonts w:ascii="Calibri" w:hAnsi="Calibri" w:cs="Calibri"/>
                <w:sz w:val="20"/>
                <w:szCs w:val="20"/>
                <w:lang w:val="en-US"/>
              </w:rPr>
              <w:t>NimbleGen</w:t>
            </w:r>
            <w:proofErr w:type="spellEnd"/>
            <w:r w:rsidRPr="006025D8">
              <w:rPr>
                <w:rFonts w:ascii="Calibri" w:hAnsi="Calibri" w:cs="Calibri"/>
                <w:sz w:val="20"/>
                <w:szCs w:val="20"/>
                <w:lang w:val="en-US"/>
              </w:rPr>
              <w:t xml:space="preserve"> </w:t>
            </w:r>
            <w:proofErr w:type="spellStart"/>
            <w:r w:rsidRPr="006025D8">
              <w:rPr>
                <w:rFonts w:ascii="Calibri" w:hAnsi="Calibri" w:cs="Calibri"/>
                <w:sz w:val="20"/>
                <w:szCs w:val="20"/>
                <w:lang w:val="en-US"/>
              </w:rPr>
              <w:t>SeqCap</w:t>
            </w:r>
            <w:proofErr w:type="spellEnd"/>
            <w:r w:rsidRPr="006025D8">
              <w:rPr>
                <w:rFonts w:ascii="Calibri" w:hAnsi="Calibri" w:cs="Calibri"/>
                <w:sz w:val="20"/>
                <w:szCs w:val="20"/>
                <w:lang w:val="en-US"/>
              </w:rPr>
              <w:t xml:space="preserve"> EZ Choice panel of 72 </w:t>
            </w:r>
            <w:proofErr w:type="spellStart"/>
            <w:r w:rsidRPr="006025D8">
              <w:rPr>
                <w:rFonts w:ascii="Calibri" w:hAnsi="Calibri" w:cs="Calibri"/>
                <w:sz w:val="20"/>
                <w:szCs w:val="20"/>
                <w:lang w:val="en-US"/>
              </w:rPr>
              <w:t>mCRPC</w:t>
            </w:r>
            <w:proofErr w:type="spellEnd"/>
            <w:r w:rsidRPr="006025D8">
              <w:rPr>
                <w:rFonts w:ascii="Calibri" w:hAnsi="Calibri" w:cs="Calibri"/>
                <w:sz w:val="20"/>
                <w:szCs w:val="20"/>
                <w:lang w:val="en-US"/>
              </w:rPr>
              <w:t>-related genes</w:t>
            </w:r>
          </w:p>
        </w:tc>
        <w:tc>
          <w:tcPr>
            <w:tcW w:w="945" w:type="pct"/>
          </w:tcPr>
          <w:p w14:paraId="708E9F44" w14:textId="77777777" w:rsidR="00B72C24" w:rsidRPr="006025D8" w:rsidRDefault="009572CD" w:rsidP="00462B4B">
            <w:pPr>
              <w:rPr>
                <w:rFonts w:ascii="Calibri" w:hAnsi="Calibri" w:cs="Calibri"/>
                <w:sz w:val="20"/>
                <w:szCs w:val="20"/>
              </w:rPr>
            </w:pPr>
            <w:hyperlink r:id="rId24" w:history="1">
              <w:r w:rsidR="00B72C24" w:rsidRPr="006025D8">
                <w:rPr>
                  <w:rStyle w:val="Hyperlink"/>
                  <w:rFonts w:ascii="Calibri" w:hAnsi="Calibri" w:cs="Calibri"/>
                  <w:sz w:val="20"/>
                  <w:szCs w:val="20"/>
                </w:rPr>
                <w:t>https://www.cochranelibrary.com/central/doi/10.1002/central/CN-01267739/full</w:t>
              </w:r>
            </w:hyperlink>
          </w:p>
          <w:p w14:paraId="2A80E6DF" w14:textId="77777777" w:rsidR="00B72C24" w:rsidRPr="006025D8" w:rsidRDefault="00B72C24" w:rsidP="00462B4B">
            <w:pPr>
              <w:rPr>
                <w:rFonts w:ascii="Calibri" w:hAnsi="Calibri" w:cs="Calibri"/>
                <w:sz w:val="20"/>
                <w:szCs w:val="20"/>
              </w:rPr>
            </w:pPr>
          </w:p>
        </w:tc>
        <w:tc>
          <w:tcPr>
            <w:tcW w:w="725" w:type="pct"/>
          </w:tcPr>
          <w:p w14:paraId="2E25B388"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Wyatt et al, 2016</w:t>
            </w:r>
          </w:p>
          <w:p w14:paraId="77653CEC"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Journal of clinical oncology 2016; Volume:34</w:t>
            </w:r>
          </w:p>
        </w:tc>
      </w:tr>
      <w:tr w:rsidR="00B72C24" w14:paraId="2476E975" w14:textId="77777777" w:rsidTr="009572CD">
        <w:trPr>
          <w:trHeight w:val="1067"/>
        </w:trPr>
        <w:tc>
          <w:tcPr>
            <w:tcW w:w="188" w:type="pct"/>
          </w:tcPr>
          <w:p w14:paraId="68B7B52D"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8</w:t>
            </w:r>
          </w:p>
        </w:tc>
        <w:tc>
          <w:tcPr>
            <w:tcW w:w="556" w:type="pct"/>
          </w:tcPr>
          <w:p w14:paraId="6AAE604E"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Diagnostic study</w:t>
            </w:r>
          </w:p>
        </w:tc>
        <w:tc>
          <w:tcPr>
            <w:tcW w:w="1094" w:type="pct"/>
          </w:tcPr>
          <w:p w14:paraId="3EB182D4"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Circulating tumor DNA genomics correlate with resistance to abiraterone and enzalutamide in prostate cancer</w:t>
            </w:r>
          </w:p>
        </w:tc>
        <w:tc>
          <w:tcPr>
            <w:tcW w:w="1492" w:type="pct"/>
          </w:tcPr>
          <w:p w14:paraId="3AF4C779"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Randomisation of 202 patients with treatment-naïve </w:t>
            </w:r>
            <w:proofErr w:type="spellStart"/>
            <w:r w:rsidRPr="006025D8">
              <w:rPr>
                <w:rFonts w:ascii="Calibri" w:hAnsi="Calibri" w:cs="Calibri"/>
                <w:sz w:val="20"/>
                <w:szCs w:val="20"/>
              </w:rPr>
              <w:t>mCRPC</w:t>
            </w:r>
            <w:proofErr w:type="spellEnd"/>
            <w:r w:rsidRPr="006025D8">
              <w:rPr>
                <w:rFonts w:ascii="Calibri" w:hAnsi="Calibri" w:cs="Calibri"/>
                <w:sz w:val="20"/>
                <w:szCs w:val="20"/>
              </w:rPr>
              <w:t xml:space="preserve"> to abiraterone or enzalutamide for whole exome and deep targeted 72 gene sequencing of plasma cell free DNA prior to therapy. </w:t>
            </w:r>
          </w:p>
        </w:tc>
        <w:tc>
          <w:tcPr>
            <w:tcW w:w="945" w:type="pct"/>
          </w:tcPr>
          <w:p w14:paraId="5B95393C" w14:textId="77777777" w:rsidR="00B72C24" w:rsidRPr="006025D8" w:rsidRDefault="009572CD" w:rsidP="00462B4B">
            <w:pPr>
              <w:rPr>
                <w:rFonts w:ascii="Calibri" w:hAnsi="Calibri" w:cs="Calibri"/>
                <w:sz w:val="20"/>
                <w:szCs w:val="20"/>
              </w:rPr>
            </w:pPr>
            <w:hyperlink r:id="rId25" w:history="1">
              <w:r w:rsidR="00B72C24" w:rsidRPr="006025D8">
                <w:rPr>
                  <w:rStyle w:val="Hyperlink"/>
                  <w:rFonts w:ascii="Calibri" w:hAnsi="Calibri" w:cs="Calibri"/>
                  <w:sz w:val="20"/>
                  <w:szCs w:val="20"/>
                </w:rPr>
                <w:t>https://pubmed.ncbi.nlm.nih.gov/29367197/</w:t>
              </w:r>
            </w:hyperlink>
          </w:p>
          <w:p w14:paraId="06C18931" w14:textId="77777777" w:rsidR="00B72C24" w:rsidRPr="006025D8" w:rsidRDefault="00B72C24" w:rsidP="00462B4B">
            <w:pPr>
              <w:rPr>
                <w:rFonts w:ascii="Calibri" w:hAnsi="Calibri" w:cs="Calibri"/>
                <w:sz w:val="20"/>
                <w:szCs w:val="20"/>
              </w:rPr>
            </w:pPr>
          </w:p>
        </w:tc>
        <w:tc>
          <w:tcPr>
            <w:tcW w:w="725" w:type="pct"/>
          </w:tcPr>
          <w:p w14:paraId="49B8E0D6" w14:textId="77777777" w:rsidR="00B72C24" w:rsidRPr="006025D8" w:rsidRDefault="00B72C24" w:rsidP="00462B4B">
            <w:pPr>
              <w:rPr>
                <w:rFonts w:ascii="Calibri" w:hAnsi="Calibri" w:cs="Calibri"/>
                <w:sz w:val="20"/>
                <w:szCs w:val="20"/>
                <w:lang w:val="en-US"/>
              </w:rPr>
            </w:pPr>
            <w:proofErr w:type="spellStart"/>
            <w:r w:rsidRPr="006025D8">
              <w:rPr>
                <w:rFonts w:ascii="Calibri" w:hAnsi="Calibri" w:cs="Calibri"/>
                <w:sz w:val="20"/>
                <w:szCs w:val="20"/>
                <w:lang w:val="en-US"/>
              </w:rPr>
              <w:t>Annala</w:t>
            </w:r>
            <w:proofErr w:type="spellEnd"/>
            <w:r w:rsidRPr="006025D8">
              <w:rPr>
                <w:rFonts w:ascii="Calibri" w:hAnsi="Calibri" w:cs="Calibri"/>
                <w:sz w:val="20"/>
                <w:szCs w:val="20"/>
                <w:lang w:val="en-US"/>
              </w:rPr>
              <w:t xml:space="preserve"> et al, 2017</w:t>
            </w:r>
          </w:p>
          <w:p w14:paraId="549648E2" w14:textId="77777777" w:rsidR="00B72C24" w:rsidRPr="006025D8" w:rsidRDefault="00B72C24" w:rsidP="00462B4B">
            <w:pPr>
              <w:rPr>
                <w:rFonts w:ascii="Calibri" w:eastAsia="Arial Unicode MS" w:hAnsi="Calibri" w:cs="Calibri"/>
                <w:sz w:val="20"/>
                <w:szCs w:val="20"/>
              </w:rPr>
            </w:pPr>
            <w:r w:rsidRPr="006025D8">
              <w:rPr>
                <w:rFonts w:ascii="Calibri" w:eastAsia="Arial Unicode MS" w:hAnsi="Calibri" w:cs="Calibri"/>
                <w:sz w:val="20"/>
                <w:szCs w:val="20"/>
              </w:rPr>
              <w:t xml:space="preserve">Cancer </w:t>
            </w:r>
            <w:proofErr w:type="spellStart"/>
            <w:r w:rsidRPr="006025D8">
              <w:rPr>
                <w:rFonts w:ascii="Calibri" w:eastAsia="Arial Unicode MS" w:hAnsi="Calibri" w:cs="Calibri"/>
                <w:sz w:val="20"/>
                <w:szCs w:val="20"/>
              </w:rPr>
              <w:t>Discov</w:t>
            </w:r>
            <w:proofErr w:type="spellEnd"/>
            <w:r w:rsidRPr="006025D8">
              <w:rPr>
                <w:rFonts w:ascii="Calibri" w:eastAsia="Arial Unicode MS" w:hAnsi="Calibri" w:cs="Calibri"/>
                <w:sz w:val="20"/>
                <w:szCs w:val="20"/>
              </w:rPr>
              <w:t>. 2018 Apr;8(4):444-457.</w:t>
            </w:r>
            <w:r w:rsidRPr="006025D8">
              <w:rPr>
                <w:rFonts w:ascii="Calibri" w:eastAsia="Arial Unicode MS" w:hAnsi="Calibri" w:cs="Calibri"/>
                <w:b/>
                <w:sz w:val="20"/>
                <w:szCs w:val="20"/>
              </w:rPr>
              <w:t xml:space="preserve"> </w:t>
            </w:r>
          </w:p>
        </w:tc>
      </w:tr>
      <w:tr w:rsidR="00B72C24" w14:paraId="30552A01" w14:textId="77777777" w:rsidTr="009572CD">
        <w:trPr>
          <w:trHeight w:val="1948"/>
        </w:trPr>
        <w:tc>
          <w:tcPr>
            <w:tcW w:w="188" w:type="pct"/>
          </w:tcPr>
          <w:p w14:paraId="00E701CD"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9</w:t>
            </w:r>
          </w:p>
        </w:tc>
        <w:tc>
          <w:tcPr>
            <w:tcW w:w="556" w:type="pct"/>
          </w:tcPr>
          <w:p w14:paraId="393CD636"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Diagnostic study</w:t>
            </w:r>
          </w:p>
        </w:tc>
        <w:tc>
          <w:tcPr>
            <w:tcW w:w="1094" w:type="pct"/>
          </w:tcPr>
          <w:p w14:paraId="6DF2AD0F" w14:textId="77777777" w:rsidR="00B72C24" w:rsidRPr="006025D8" w:rsidRDefault="00B72C24" w:rsidP="006025D8">
            <w:pPr>
              <w:pStyle w:val="Heading1"/>
              <w:shd w:val="clear" w:color="auto" w:fill="FFFFFF"/>
              <w:spacing w:before="0" w:after="200"/>
              <w:rPr>
                <w:rFonts w:ascii="Calibri" w:hAnsi="Calibri" w:cs="Calibri"/>
                <w:b w:val="0"/>
                <w:sz w:val="20"/>
                <w:szCs w:val="20"/>
              </w:rPr>
            </w:pPr>
            <w:r w:rsidRPr="006025D8">
              <w:rPr>
                <w:rFonts w:ascii="Calibri" w:hAnsi="Calibri" w:cs="Calibri"/>
                <w:b w:val="0"/>
                <w:sz w:val="20"/>
                <w:szCs w:val="20"/>
              </w:rPr>
              <w:t>Abiraterone + prednisone (Abi) +/- veliparib (Vel) for patients (pts) with metastatic castration-resistant prostate cancer (CRPC): NCI 9012 updated clinical and genomics data</w:t>
            </w:r>
          </w:p>
        </w:tc>
        <w:tc>
          <w:tcPr>
            <w:tcW w:w="1492" w:type="pct"/>
          </w:tcPr>
          <w:p w14:paraId="11E5FCC8"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148 patients had metastatic disease biopsy, stratified by IHC-ETS </w:t>
            </w:r>
            <w:proofErr w:type="gramStart"/>
            <w:r w:rsidRPr="006025D8">
              <w:rPr>
                <w:rFonts w:ascii="Calibri" w:hAnsi="Calibri" w:cs="Calibri"/>
                <w:sz w:val="20"/>
                <w:szCs w:val="20"/>
              </w:rPr>
              <w:t>status</w:t>
            </w:r>
            <w:proofErr w:type="gramEnd"/>
            <w:r w:rsidRPr="006025D8">
              <w:rPr>
                <w:rFonts w:ascii="Calibri" w:hAnsi="Calibri" w:cs="Calibri"/>
                <w:sz w:val="20"/>
                <w:szCs w:val="20"/>
              </w:rPr>
              <w:t xml:space="preserve"> and randomised to Abi (Arm A) or Abi + Vel (Arm B). Primary endpoint: PSA response rate (RR &gt; = 50% decline). Secondary endpoints: safety, objective RR (ORR), progression free survival (PFS), and molecular analysis including if DNA repair gene deficiency (DRD: BRCA 1, BRCA 2, ATM, FANCA, PALB2, RAD51B, RAD51C) predicts response.</w:t>
            </w:r>
          </w:p>
        </w:tc>
        <w:tc>
          <w:tcPr>
            <w:tcW w:w="945" w:type="pct"/>
          </w:tcPr>
          <w:p w14:paraId="3F1F4086" w14:textId="77777777" w:rsidR="00B72C24" w:rsidRPr="006025D8" w:rsidRDefault="009572CD" w:rsidP="00462B4B">
            <w:pPr>
              <w:rPr>
                <w:rFonts w:ascii="Calibri" w:hAnsi="Calibri" w:cs="Calibri"/>
                <w:sz w:val="20"/>
                <w:szCs w:val="20"/>
              </w:rPr>
            </w:pPr>
            <w:hyperlink r:id="rId26" w:history="1">
              <w:r w:rsidR="00B72C24" w:rsidRPr="006025D8">
                <w:rPr>
                  <w:rStyle w:val="Hyperlink"/>
                  <w:rFonts w:ascii="Calibri" w:hAnsi="Calibri" w:cs="Calibri"/>
                  <w:sz w:val="20"/>
                  <w:szCs w:val="20"/>
                </w:rPr>
                <w:t>https://www.cochranelibrary.com/central/doi/10.1002/central/CN-01750310/full</w:t>
              </w:r>
            </w:hyperlink>
          </w:p>
          <w:p w14:paraId="2CFB338A" w14:textId="77777777" w:rsidR="00B72C24" w:rsidRPr="006025D8" w:rsidRDefault="00B72C24" w:rsidP="00462B4B">
            <w:pPr>
              <w:rPr>
                <w:rFonts w:ascii="Calibri" w:hAnsi="Calibri" w:cs="Calibri"/>
                <w:sz w:val="20"/>
                <w:szCs w:val="20"/>
              </w:rPr>
            </w:pPr>
          </w:p>
        </w:tc>
        <w:tc>
          <w:tcPr>
            <w:tcW w:w="725" w:type="pct"/>
          </w:tcPr>
          <w:p w14:paraId="3BF50D53" w14:textId="77777777" w:rsidR="00B72C24" w:rsidRPr="006025D8" w:rsidRDefault="00B72C24" w:rsidP="00462B4B">
            <w:pPr>
              <w:shd w:val="clear" w:color="auto" w:fill="FFFFFF"/>
              <w:spacing w:after="0"/>
              <w:textAlignment w:val="baseline"/>
              <w:rPr>
                <w:rFonts w:ascii="Calibri" w:hAnsi="Calibri" w:cs="Calibri"/>
                <w:sz w:val="20"/>
                <w:szCs w:val="20"/>
              </w:rPr>
            </w:pPr>
            <w:r w:rsidRPr="006025D8">
              <w:rPr>
                <w:rFonts w:ascii="Calibri" w:hAnsi="Calibri" w:cs="Calibri"/>
                <w:sz w:val="20"/>
                <w:szCs w:val="20"/>
              </w:rPr>
              <w:t>Hussain et al, 2017.</w:t>
            </w:r>
          </w:p>
          <w:p w14:paraId="430CFAF9" w14:textId="77777777" w:rsidR="00B72C24" w:rsidRPr="006025D8" w:rsidRDefault="00B72C24" w:rsidP="00462B4B">
            <w:pPr>
              <w:shd w:val="clear" w:color="auto" w:fill="FFFFFF"/>
              <w:spacing w:after="0"/>
              <w:textAlignment w:val="baseline"/>
              <w:rPr>
                <w:rFonts w:ascii="Calibri" w:hAnsi="Calibri" w:cs="Calibri"/>
                <w:sz w:val="20"/>
                <w:szCs w:val="20"/>
              </w:rPr>
            </w:pPr>
            <w:r w:rsidRPr="006025D8">
              <w:rPr>
                <w:rFonts w:ascii="Calibri" w:hAnsi="Calibri" w:cs="Calibri"/>
                <w:sz w:val="20"/>
                <w:szCs w:val="20"/>
              </w:rPr>
              <w:t>Journal of clinical oncology, 2017</w:t>
            </w:r>
          </w:p>
          <w:p w14:paraId="640509C8" w14:textId="77777777" w:rsidR="00B72C24" w:rsidRPr="006025D8" w:rsidRDefault="00B72C24" w:rsidP="00462B4B">
            <w:pPr>
              <w:shd w:val="clear" w:color="auto" w:fill="FFFFFF"/>
              <w:spacing w:after="0"/>
              <w:textAlignment w:val="baseline"/>
              <w:rPr>
                <w:rFonts w:ascii="Calibri" w:hAnsi="Calibri" w:cs="Calibri"/>
                <w:sz w:val="20"/>
                <w:szCs w:val="20"/>
              </w:rPr>
            </w:pPr>
            <w:r w:rsidRPr="006025D8">
              <w:rPr>
                <w:rFonts w:ascii="Calibri" w:hAnsi="Calibri" w:cs="Calibri"/>
                <w:sz w:val="20"/>
                <w:szCs w:val="20"/>
              </w:rPr>
              <w:t>Volume:35</w:t>
            </w:r>
          </w:p>
        </w:tc>
      </w:tr>
      <w:tr w:rsidR="00B72C24" w14:paraId="2D2A6B5C" w14:textId="77777777" w:rsidTr="009572CD">
        <w:trPr>
          <w:trHeight w:val="2059"/>
        </w:trPr>
        <w:tc>
          <w:tcPr>
            <w:tcW w:w="188" w:type="pct"/>
          </w:tcPr>
          <w:p w14:paraId="4E3934DD"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10</w:t>
            </w:r>
          </w:p>
        </w:tc>
        <w:tc>
          <w:tcPr>
            <w:tcW w:w="556" w:type="pct"/>
          </w:tcPr>
          <w:p w14:paraId="03ADED96"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Diagnostic study</w:t>
            </w:r>
          </w:p>
        </w:tc>
        <w:tc>
          <w:tcPr>
            <w:tcW w:w="1094" w:type="pct"/>
          </w:tcPr>
          <w:p w14:paraId="42804B2A"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Genomic alterations in circulating tumor DNA (</w:t>
            </w:r>
            <w:proofErr w:type="spellStart"/>
            <w:r w:rsidRPr="006025D8">
              <w:rPr>
                <w:rFonts w:ascii="Calibri" w:hAnsi="Calibri" w:cs="Calibri"/>
                <w:sz w:val="20"/>
                <w:szCs w:val="20"/>
                <w:lang w:val="en-US"/>
              </w:rPr>
              <w:t>ctDNA</w:t>
            </w:r>
            <w:proofErr w:type="spellEnd"/>
            <w:r w:rsidRPr="006025D8">
              <w:rPr>
                <w:rFonts w:ascii="Calibri" w:hAnsi="Calibri" w:cs="Calibri"/>
                <w:sz w:val="20"/>
                <w:szCs w:val="20"/>
                <w:lang w:val="en-US"/>
              </w:rPr>
              <w:t>) are associated with clinical outcomes in treatment naive metastatic castration-resistant prostate cancer (</w:t>
            </w:r>
            <w:proofErr w:type="spellStart"/>
            <w:r w:rsidRPr="006025D8">
              <w:rPr>
                <w:rFonts w:ascii="Calibri" w:hAnsi="Calibri" w:cs="Calibri"/>
                <w:sz w:val="20"/>
                <w:szCs w:val="20"/>
                <w:lang w:val="en-US"/>
              </w:rPr>
              <w:t>mCRPC</w:t>
            </w:r>
            <w:proofErr w:type="spellEnd"/>
            <w:r w:rsidRPr="006025D8">
              <w:rPr>
                <w:rFonts w:ascii="Calibri" w:hAnsi="Calibri" w:cs="Calibri"/>
                <w:sz w:val="20"/>
                <w:szCs w:val="20"/>
                <w:lang w:val="en-US"/>
              </w:rPr>
              <w:t>) patients commencing androgen receptor (AR)-targeted therapy</w:t>
            </w:r>
          </w:p>
        </w:tc>
        <w:tc>
          <w:tcPr>
            <w:tcW w:w="1492" w:type="pct"/>
          </w:tcPr>
          <w:p w14:paraId="4ED06286"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 xml:space="preserve">Deep targeted sequencing of 72 </w:t>
            </w:r>
            <w:proofErr w:type="spellStart"/>
            <w:r w:rsidRPr="006025D8">
              <w:rPr>
                <w:rFonts w:ascii="Calibri" w:hAnsi="Calibri" w:cs="Calibri"/>
                <w:sz w:val="20"/>
                <w:szCs w:val="20"/>
                <w:lang w:val="en-US"/>
              </w:rPr>
              <w:t>mCRPC</w:t>
            </w:r>
            <w:proofErr w:type="spellEnd"/>
            <w:r w:rsidRPr="006025D8">
              <w:rPr>
                <w:rFonts w:ascii="Calibri" w:hAnsi="Calibri" w:cs="Calibri"/>
                <w:sz w:val="20"/>
                <w:szCs w:val="20"/>
                <w:lang w:val="en-US"/>
              </w:rPr>
              <w:t xml:space="preserve">-related genes in baseline cfDNA from 62 chemotherapy-naïve </w:t>
            </w:r>
            <w:proofErr w:type="spellStart"/>
            <w:r w:rsidRPr="006025D8">
              <w:rPr>
                <w:rFonts w:ascii="Calibri" w:hAnsi="Calibri" w:cs="Calibri"/>
                <w:sz w:val="20"/>
                <w:szCs w:val="20"/>
                <w:lang w:val="en-US"/>
              </w:rPr>
              <w:t>mCRPC</w:t>
            </w:r>
            <w:proofErr w:type="spellEnd"/>
            <w:r w:rsidRPr="006025D8">
              <w:rPr>
                <w:rFonts w:ascii="Calibri" w:hAnsi="Calibri" w:cs="Calibri"/>
                <w:sz w:val="20"/>
                <w:szCs w:val="20"/>
                <w:lang w:val="en-US"/>
              </w:rPr>
              <w:t xml:space="preserve"> patients enrolled in an ongoing </w:t>
            </w:r>
            <w:proofErr w:type="spellStart"/>
            <w:r w:rsidRPr="006025D8">
              <w:rPr>
                <w:rFonts w:ascii="Calibri" w:hAnsi="Calibri" w:cs="Calibri"/>
                <w:sz w:val="20"/>
                <w:szCs w:val="20"/>
                <w:lang w:val="en-US"/>
              </w:rPr>
              <w:t>randomised</w:t>
            </w:r>
            <w:proofErr w:type="spellEnd"/>
            <w:r w:rsidRPr="006025D8">
              <w:rPr>
                <w:rFonts w:ascii="Calibri" w:hAnsi="Calibri" w:cs="Calibri"/>
                <w:sz w:val="20"/>
                <w:szCs w:val="20"/>
                <w:lang w:val="en-US"/>
              </w:rPr>
              <w:t xml:space="preserve"> phase II trial of abiraterone vs enzalutamide (NCT02125357). Genomic alterations in cfDNA were examined for association with clinical variables including time on treatment. </w:t>
            </w:r>
          </w:p>
        </w:tc>
        <w:tc>
          <w:tcPr>
            <w:tcW w:w="945" w:type="pct"/>
          </w:tcPr>
          <w:p w14:paraId="2B608779" w14:textId="77777777" w:rsidR="00B72C24" w:rsidRPr="006025D8" w:rsidRDefault="009572CD" w:rsidP="00462B4B">
            <w:pPr>
              <w:rPr>
                <w:rFonts w:ascii="Calibri" w:hAnsi="Calibri" w:cs="Calibri"/>
                <w:color w:val="0563C1" w:themeColor="hyperlink"/>
                <w:sz w:val="20"/>
                <w:szCs w:val="20"/>
                <w:u w:val="single"/>
              </w:rPr>
            </w:pPr>
            <w:hyperlink r:id="rId27" w:history="1">
              <w:r w:rsidR="00B72C24" w:rsidRPr="006025D8">
                <w:rPr>
                  <w:rStyle w:val="Hyperlink"/>
                  <w:rFonts w:ascii="Calibri" w:hAnsi="Calibri" w:cs="Calibri"/>
                  <w:sz w:val="20"/>
                  <w:szCs w:val="20"/>
                </w:rPr>
                <w:t xml:space="preserve">https://www.cochranelibrary.com/central/doi/10.1002/central/CN-01295966/full </w:t>
              </w:r>
              <w:r w:rsidR="00B72C24" w:rsidRPr="006025D8">
                <w:rPr>
                  <w:rStyle w:val="Hyperlink"/>
                  <w:rFonts w:ascii="Calibri" w:hAnsi="Calibri" w:cs="Calibri"/>
                  <w:sz w:val="20"/>
                  <w:szCs w:val="20"/>
                </w:rPr>
                <w:cr/>
              </w:r>
            </w:hyperlink>
          </w:p>
        </w:tc>
        <w:tc>
          <w:tcPr>
            <w:tcW w:w="725" w:type="pct"/>
          </w:tcPr>
          <w:p w14:paraId="3139E9CD"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Wyatt et al, 2016</w:t>
            </w:r>
          </w:p>
          <w:p w14:paraId="15CB23D5" w14:textId="77777777" w:rsidR="00B72C24" w:rsidRPr="006025D8" w:rsidRDefault="00B72C24" w:rsidP="00462B4B">
            <w:pPr>
              <w:rPr>
                <w:rFonts w:ascii="Calibri" w:hAnsi="Calibri" w:cs="Calibri"/>
                <w:b/>
                <w:sz w:val="20"/>
                <w:szCs w:val="20"/>
              </w:rPr>
            </w:pPr>
            <w:r w:rsidRPr="006025D8">
              <w:rPr>
                <w:rFonts w:ascii="Calibri" w:hAnsi="Calibri" w:cs="Calibri"/>
                <w:sz w:val="20"/>
                <w:szCs w:val="20"/>
              </w:rPr>
              <w:t xml:space="preserve">Annals of oncology, 2016, Volume 27. </w:t>
            </w:r>
          </w:p>
        </w:tc>
      </w:tr>
      <w:tr w:rsidR="00B72C24" w14:paraId="69D7850D" w14:textId="77777777" w:rsidTr="009572CD">
        <w:tc>
          <w:tcPr>
            <w:tcW w:w="188" w:type="pct"/>
          </w:tcPr>
          <w:p w14:paraId="4F657F1D"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11</w:t>
            </w:r>
          </w:p>
        </w:tc>
        <w:tc>
          <w:tcPr>
            <w:tcW w:w="556" w:type="pct"/>
          </w:tcPr>
          <w:p w14:paraId="03CA5B73"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Diagnostic study</w:t>
            </w:r>
          </w:p>
        </w:tc>
        <w:tc>
          <w:tcPr>
            <w:tcW w:w="1094" w:type="pct"/>
          </w:tcPr>
          <w:p w14:paraId="0522EB13"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 xml:space="preserve">Co-targeting androgen receptor (AR) and DNA repair: a randomized ETS gene fusion-stratified trial of </w:t>
            </w:r>
            <w:r w:rsidRPr="006025D8">
              <w:rPr>
                <w:rFonts w:ascii="Calibri" w:hAnsi="Calibri" w:cs="Calibri"/>
                <w:sz w:val="20"/>
                <w:szCs w:val="20"/>
                <w:lang w:val="en-US"/>
              </w:rPr>
              <w:lastRenderedPageBreak/>
              <w:t>abiraterone + prednisone (Abi) +/- the PARP1 inhibitor veliparib for metastatic castration-resistant prostate cancer (</w:t>
            </w:r>
            <w:proofErr w:type="spellStart"/>
            <w:r w:rsidRPr="006025D8">
              <w:rPr>
                <w:rFonts w:ascii="Calibri" w:hAnsi="Calibri" w:cs="Calibri"/>
                <w:sz w:val="20"/>
                <w:szCs w:val="20"/>
                <w:lang w:val="en-US"/>
              </w:rPr>
              <w:t>mCRPC</w:t>
            </w:r>
            <w:proofErr w:type="spellEnd"/>
            <w:r w:rsidRPr="006025D8">
              <w:rPr>
                <w:rFonts w:ascii="Calibri" w:hAnsi="Calibri" w:cs="Calibri"/>
                <w:sz w:val="20"/>
                <w:szCs w:val="20"/>
                <w:lang w:val="en-US"/>
              </w:rPr>
              <w:t>) patients (pts) (NCI9012)-A University of Chicago phase II consortium trial</w:t>
            </w:r>
          </w:p>
        </w:tc>
        <w:tc>
          <w:tcPr>
            <w:tcW w:w="1492" w:type="pct"/>
          </w:tcPr>
          <w:p w14:paraId="27A0F66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lastRenderedPageBreak/>
              <w:t xml:space="preserve">148 eligible </w:t>
            </w:r>
            <w:proofErr w:type="spellStart"/>
            <w:r w:rsidRPr="006025D8">
              <w:rPr>
                <w:rFonts w:ascii="Calibri" w:hAnsi="Calibri" w:cs="Calibri"/>
                <w:sz w:val="20"/>
                <w:szCs w:val="20"/>
              </w:rPr>
              <w:t>mCRPC</w:t>
            </w:r>
            <w:proofErr w:type="spellEnd"/>
            <w:r w:rsidRPr="006025D8">
              <w:rPr>
                <w:rFonts w:ascii="Calibri" w:hAnsi="Calibri" w:cs="Calibri"/>
                <w:sz w:val="20"/>
                <w:szCs w:val="20"/>
              </w:rPr>
              <w:t xml:space="preserve"> patients underwent metastatic disease biopsy, were stratified by ETS </w:t>
            </w:r>
            <w:proofErr w:type="gramStart"/>
            <w:r w:rsidRPr="006025D8">
              <w:rPr>
                <w:rFonts w:ascii="Calibri" w:hAnsi="Calibri" w:cs="Calibri"/>
                <w:sz w:val="20"/>
                <w:szCs w:val="20"/>
              </w:rPr>
              <w:t>status</w:t>
            </w:r>
            <w:proofErr w:type="gramEnd"/>
            <w:r w:rsidRPr="006025D8">
              <w:rPr>
                <w:rFonts w:ascii="Calibri" w:hAnsi="Calibri" w:cs="Calibri"/>
                <w:sz w:val="20"/>
                <w:szCs w:val="20"/>
              </w:rPr>
              <w:t xml:space="preserve"> and randomised to Abi (Arm A) or Abi + </w:t>
            </w:r>
            <w:r w:rsidRPr="006025D8">
              <w:rPr>
                <w:rFonts w:ascii="Calibri" w:hAnsi="Calibri" w:cs="Calibri"/>
                <w:sz w:val="20"/>
                <w:szCs w:val="20"/>
              </w:rPr>
              <w:lastRenderedPageBreak/>
              <w:t>Veliparib (Arm B). The primary endpoint was confirmed PSA response rate. Secondary endpoints included safety, objective RR (ORR), progression free survival (PFS), and if DNA repair gene deficiency (DRD; homozygous deletions or deleterious mutations: BRCA 1, BRCA 2, ATM, FANCA, PALB2, RAD51B, RAD51C) predicts response.</w:t>
            </w:r>
          </w:p>
        </w:tc>
        <w:tc>
          <w:tcPr>
            <w:tcW w:w="945" w:type="pct"/>
          </w:tcPr>
          <w:p w14:paraId="651946E6" w14:textId="77777777" w:rsidR="00B72C24" w:rsidRPr="006025D8" w:rsidRDefault="009572CD" w:rsidP="00462B4B">
            <w:pPr>
              <w:rPr>
                <w:rFonts w:ascii="Calibri" w:hAnsi="Calibri" w:cs="Calibri"/>
                <w:sz w:val="20"/>
                <w:szCs w:val="20"/>
              </w:rPr>
            </w:pPr>
            <w:hyperlink r:id="rId28" w:history="1">
              <w:r w:rsidR="00B72C24" w:rsidRPr="006025D8">
                <w:rPr>
                  <w:rStyle w:val="Hyperlink"/>
                  <w:rFonts w:ascii="Calibri" w:hAnsi="Calibri" w:cs="Calibri"/>
                  <w:sz w:val="20"/>
                  <w:szCs w:val="20"/>
                </w:rPr>
                <w:t>https://www.cochranelibrary.com/central/doi/10.1002/central/CN-01733597/full</w:t>
              </w:r>
            </w:hyperlink>
          </w:p>
          <w:p w14:paraId="15C1C6F7" w14:textId="77777777" w:rsidR="00B72C24" w:rsidRPr="006025D8" w:rsidRDefault="00B72C24" w:rsidP="00462B4B">
            <w:pPr>
              <w:rPr>
                <w:rFonts w:ascii="Calibri" w:hAnsi="Calibri" w:cs="Calibri"/>
                <w:sz w:val="20"/>
                <w:szCs w:val="20"/>
              </w:rPr>
            </w:pPr>
          </w:p>
        </w:tc>
        <w:tc>
          <w:tcPr>
            <w:tcW w:w="725" w:type="pct"/>
          </w:tcPr>
          <w:p w14:paraId="45FAAA4D"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lastRenderedPageBreak/>
              <w:t>Hussain et al, 2016</w:t>
            </w:r>
          </w:p>
          <w:p w14:paraId="3C642B22" w14:textId="77777777" w:rsidR="00B72C24" w:rsidRPr="006025D8" w:rsidRDefault="00B72C24" w:rsidP="00462B4B">
            <w:pPr>
              <w:rPr>
                <w:rFonts w:ascii="Calibri" w:hAnsi="Calibri" w:cs="Calibri"/>
                <w:b/>
                <w:sz w:val="20"/>
                <w:szCs w:val="20"/>
              </w:rPr>
            </w:pPr>
            <w:r w:rsidRPr="006025D8">
              <w:rPr>
                <w:rFonts w:ascii="Calibri" w:hAnsi="Calibri" w:cs="Calibri"/>
                <w:sz w:val="20"/>
                <w:szCs w:val="20"/>
              </w:rPr>
              <w:lastRenderedPageBreak/>
              <w:t xml:space="preserve">Journal of clinical oncology, 2016, 34. </w:t>
            </w:r>
          </w:p>
        </w:tc>
      </w:tr>
      <w:tr w:rsidR="00B72C24" w14:paraId="1646B710" w14:textId="77777777" w:rsidTr="00462B4B">
        <w:trPr>
          <w:trHeight w:val="337"/>
        </w:trPr>
        <w:tc>
          <w:tcPr>
            <w:tcW w:w="5000" w:type="pct"/>
            <w:gridSpan w:val="6"/>
            <w:shd w:val="clear" w:color="auto" w:fill="F2F2F2" w:themeFill="background1" w:themeFillShade="F2"/>
            <w:vAlign w:val="center"/>
          </w:tcPr>
          <w:p w14:paraId="0C182B6D" w14:textId="77777777" w:rsidR="00B72C24" w:rsidRPr="006025D8" w:rsidRDefault="00B72C24" w:rsidP="00462B4B">
            <w:pPr>
              <w:spacing w:after="0"/>
              <w:rPr>
                <w:rFonts w:ascii="Calibri" w:hAnsi="Calibri" w:cs="Calibri"/>
                <w:b/>
                <w:bCs/>
                <w:sz w:val="20"/>
                <w:szCs w:val="20"/>
                <w:lang w:val="en-US"/>
              </w:rPr>
            </w:pPr>
            <w:r w:rsidRPr="006025D8">
              <w:rPr>
                <w:rFonts w:ascii="Calibri" w:hAnsi="Calibri" w:cs="Calibri"/>
                <w:b/>
                <w:bCs/>
                <w:sz w:val="20"/>
                <w:szCs w:val="20"/>
                <w:lang w:val="en-US"/>
              </w:rPr>
              <w:lastRenderedPageBreak/>
              <w:t>Other studies</w:t>
            </w:r>
          </w:p>
        </w:tc>
      </w:tr>
      <w:tr w:rsidR="00B72C24" w14:paraId="0AD6958A" w14:textId="77777777" w:rsidTr="009572CD">
        <w:tc>
          <w:tcPr>
            <w:tcW w:w="188" w:type="pct"/>
          </w:tcPr>
          <w:p w14:paraId="31E998B6"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12</w:t>
            </w:r>
          </w:p>
        </w:tc>
        <w:tc>
          <w:tcPr>
            <w:tcW w:w="556" w:type="pct"/>
          </w:tcPr>
          <w:p w14:paraId="699444EC"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Phase II trial</w:t>
            </w:r>
          </w:p>
        </w:tc>
        <w:tc>
          <w:tcPr>
            <w:tcW w:w="1094" w:type="pct"/>
          </w:tcPr>
          <w:p w14:paraId="7825048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BRCAAWAY: A randomized phase 2 trial of abiraterone, </w:t>
            </w:r>
            <w:proofErr w:type="spellStart"/>
            <w:r w:rsidRPr="006025D8">
              <w:rPr>
                <w:rFonts w:ascii="Calibri" w:hAnsi="Calibri" w:cs="Calibri"/>
                <w:sz w:val="20"/>
                <w:szCs w:val="20"/>
              </w:rPr>
              <w:t>olaparib</w:t>
            </w:r>
            <w:proofErr w:type="spellEnd"/>
            <w:r w:rsidRPr="006025D8">
              <w:rPr>
                <w:rFonts w:ascii="Calibri" w:hAnsi="Calibri" w:cs="Calibri"/>
                <w:sz w:val="20"/>
                <w:szCs w:val="20"/>
              </w:rPr>
              <w:t xml:space="preserve">, or abiraterone + </w:t>
            </w:r>
            <w:proofErr w:type="spellStart"/>
            <w:r w:rsidRPr="006025D8">
              <w:rPr>
                <w:rFonts w:ascii="Calibri" w:hAnsi="Calibri" w:cs="Calibri"/>
                <w:sz w:val="20"/>
                <w:szCs w:val="20"/>
              </w:rPr>
              <w:t>olaparib</w:t>
            </w:r>
            <w:proofErr w:type="spellEnd"/>
            <w:r w:rsidRPr="006025D8">
              <w:rPr>
                <w:rFonts w:ascii="Calibri" w:hAnsi="Calibri" w:cs="Calibri"/>
                <w:sz w:val="20"/>
                <w:szCs w:val="20"/>
              </w:rPr>
              <w:t xml:space="preserve"> in patients with metastatic castration-resistant prostate cancer (</w:t>
            </w:r>
            <w:proofErr w:type="spellStart"/>
            <w:r w:rsidRPr="006025D8">
              <w:rPr>
                <w:rFonts w:ascii="Calibri" w:hAnsi="Calibri" w:cs="Calibri"/>
                <w:sz w:val="20"/>
                <w:szCs w:val="20"/>
              </w:rPr>
              <w:t>mCRPC</w:t>
            </w:r>
            <w:proofErr w:type="spellEnd"/>
            <w:r w:rsidRPr="006025D8">
              <w:rPr>
                <w:rFonts w:ascii="Calibri" w:hAnsi="Calibri" w:cs="Calibri"/>
                <w:sz w:val="20"/>
                <w:szCs w:val="20"/>
              </w:rPr>
              <w:t>) with DNA repair defects.</w:t>
            </w:r>
          </w:p>
          <w:p w14:paraId="3F2B6D02"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Clinical trial information: NCT03012321</w:t>
            </w:r>
          </w:p>
        </w:tc>
        <w:tc>
          <w:tcPr>
            <w:tcW w:w="1492" w:type="pct"/>
          </w:tcPr>
          <w:p w14:paraId="0001C7F6"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61 pts had NGS testing; 60 pts were randomized to Arms 1-3; to date 59 are evaluable for toxicity and 53 are evaluable for PFS. Mutational status: BRCA1 only n = 2, BRCA2 only n = 39, ATM only n = 8, and &gt; 1 </w:t>
            </w:r>
            <w:proofErr w:type="spellStart"/>
            <w:r w:rsidRPr="006025D8">
              <w:rPr>
                <w:rFonts w:ascii="Calibri" w:hAnsi="Calibri" w:cs="Calibri"/>
                <w:sz w:val="20"/>
                <w:szCs w:val="20"/>
              </w:rPr>
              <w:t>HRRm</w:t>
            </w:r>
            <w:proofErr w:type="spellEnd"/>
            <w:r w:rsidRPr="006025D8">
              <w:rPr>
                <w:rFonts w:ascii="Calibri" w:hAnsi="Calibri" w:cs="Calibri"/>
                <w:sz w:val="20"/>
                <w:szCs w:val="20"/>
              </w:rPr>
              <w:t xml:space="preserve"> n = 11. 34 pts had germline and 26 had somatic mutations. In </w:t>
            </w:r>
            <w:proofErr w:type="spellStart"/>
            <w:r w:rsidRPr="006025D8">
              <w:rPr>
                <w:rFonts w:ascii="Calibri" w:hAnsi="Calibri" w:cs="Calibri"/>
                <w:sz w:val="20"/>
                <w:szCs w:val="20"/>
              </w:rPr>
              <w:t>mCRPC</w:t>
            </w:r>
            <w:proofErr w:type="spellEnd"/>
            <w:r w:rsidRPr="006025D8">
              <w:rPr>
                <w:rFonts w:ascii="Calibri" w:hAnsi="Calibri" w:cs="Calibri"/>
                <w:sz w:val="20"/>
                <w:szCs w:val="20"/>
              </w:rPr>
              <w:t xml:space="preserve"> pts with inactivating BRCA1, BRCA2 and/or ATM alterations Abi/pred + </w:t>
            </w:r>
            <w:proofErr w:type="spellStart"/>
            <w:r w:rsidRPr="006025D8">
              <w:rPr>
                <w:rFonts w:ascii="Calibri" w:hAnsi="Calibri" w:cs="Calibri"/>
                <w:sz w:val="20"/>
                <w:szCs w:val="20"/>
              </w:rPr>
              <w:t>olaparib</w:t>
            </w:r>
            <w:proofErr w:type="spellEnd"/>
            <w:r w:rsidRPr="006025D8">
              <w:rPr>
                <w:rFonts w:ascii="Calibri" w:hAnsi="Calibri" w:cs="Calibri"/>
                <w:sz w:val="20"/>
                <w:szCs w:val="20"/>
              </w:rPr>
              <w:t xml:space="preserve"> was well tolerated and resulted in longer PFS and better PSA response vs either agent alone. </w:t>
            </w:r>
          </w:p>
        </w:tc>
        <w:tc>
          <w:tcPr>
            <w:tcW w:w="945" w:type="pct"/>
          </w:tcPr>
          <w:p w14:paraId="5F60E0DD" w14:textId="77777777" w:rsidR="00B72C24" w:rsidRPr="006025D8" w:rsidRDefault="009572CD" w:rsidP="00462B4B">
            <w:pPr>
              <w:rPr>
                <w:rFonts w:ascii="Calibri" w:hAnsi="Calibri" w:cs="Calibri"/>
                <w:sz w:val="20"/>
                <w:szCs w:val="20"/>
              </w:rPr>
            </w:pPr>
            <w:hyperlink r:id="rId29" w:history="1">
              <w:r w:rsidR="00B72C24" w:rsidRPr="006025D8">
                <w:rPr>
                  <w:rStyle w:val="Hyperlink"/>
                  <w:rFonts w:ascii="Calibri" w:hAnsi="Calibri" w:cs="Calibri"/>
                  <w:sz w:val="20"/>
                  <w:szCs w:val="20"/>
                </w:rPr>
                <w:t>https://ascopubs.org/doi/10.1200/JCO.2022.40.16_suppl.5018</w:t>
              </w:r>
            </w:hyperlink>
          </w:p>
          <w:p w14:paraId="229F567B" w14:textId="77777777" w:rsidR="00B72C24" w:rsidRPr="006025D8" w:rsidRDefault="00B72C24" w:rsidP="00462B4B">
            <w:pPr>
              <w:rPr>
                <w:rFonts w:ascii="Calibri" w:hAnsi="Calibri" w:cs="Calibri"/>
                <w:sz w:val="20"/>
                <w:szCs w:val="20"/>
              </w:rPr>
            </w:pPr>
          </w:p>
        </w:tc>
        <w:tc>
          <w:tcPr>
            <w:tcW w:w="725" w:type="pct"/>
          </w:tcPr>
          <w:p w14:paraId="55C56601"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Hussain et al, 2022</w:t>
            </w:r>
          </w:p>
          <w:p w14:paraId="10E70C7B"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ASCO 2022 Conference abstract</w:t>
            </w:r>
          </w:p>
        </w:tc>
      </w:tr>
      <w:tr w:rsidR="00B72C24" w14:paraId="33267B06" w14:textId="77777777" w:rsidTr="009572CD">
        <w:tc>
          <w:tcPr>
            <w:tcW w:w="188" w:type="pct"/>
          </w:tcPr>
          <w:p w14:paraId="65339437"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13</w:t>
            </w:r>
          </w:p>
        </w:tc>
        <w:tc>
          <w:tcPr>
            <w:tcW w:w="556" w:type="pct"/>
          </w:tcPr>
          <w:p w14:paraId="06C9EDF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Prospective report</w:t>
            </w:r>
          </w:p>
        </w:tc>
        <w:tc>
          <w:tcPr>
            <w:tcW w:w="1094" w:type="pct"/>
          </w:tcPr>
          <w:p w14:paraId="0BBA79AB"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Circulating cell-free DNA to guide prostate cancer treatment with PARP inhibition</w:t>
            </w:r>
          </w:p>
        </w:tc>
        <w:tc>
          <w:tcPr>
            <w:tcW w:w="1492" w:type="pct"/>
          </w:tcPr>
          <w:p w14:paraId="0BDA484D" w14:textId="77777777" w:rsidR="00B72C24" w:rsidRPr="006025D8" w:rsidRDefault="00B72C24" w:rsidP="00462B4B">
            <w:pPr>
              <w:rPr>
                <w:rFonts w:ascii="Calibri" w:hAnsi="Calibri" w:cs="Calibri"/>
                <w:sz w:val="20"/>
                <w:szCs w:val="20"/>
              </w:rPr>
            </w:pPr>
            <w:proofErr w:type="spellStart"/>
            <w:r w:rsidRPr="006025D8">
              <w:rPr>
                <w:rFonts w:ascii="Calibri" w:hAnsi="Calibri" w:cs="Calibri"/>
                <w:sz w:val="20"/>
                <w:szCs w:val="20"/>
              </w:rPr>
              <w:t>Areport</w:t>
            </w:r>
            <w:proofErr w:type="spellEnd"/>
            <w:r w:rsidRPr="006025D8">
              <w:rPr>
                <w:rFonts w:ascii="Calibri" w:hAnsi="Calibri" w:cs="Calibri"/>
                <w:sz w:val="20"/>
                <w:szCs w:val="20"/>
              </w:rPr>
              <w:t xml:space="preserve"> on prospectively planned, serial, cfDNA analyses from patients with metastatic prostate cancer treated on an investigator-initiated phase II trial of </w:t>
            </w:r>
            <w:proofErr w:type="spellStart"/>
            <w:r w:rsidRPr="006025D8">
              <w:rPr>
                <w:rFonts w:ascii="Calibri" w:hAnsi="Calibri" w:cs="Calibri"/>
                <w:sz w:val="20"/>
                <w:szCs w:val="20"/>
              </w:rPr>
              <w:t>olaparib</w:t>
            </w:r>
            <w:proofErr w:type="spellEnd"/>
            <w:r w:rsidRPr="006025D8">
              <w:rPr>
                <w:rFonts w:ascii="Calibri" w:hAnsi="Calibri" w:cs="Calibri"/>
                <w:sz w:val="20"/>
                <w:szCs w:val="20"/>
              </w:rPr>
              <w:t xml:space="preserve">. These analyses provide predictive, prognostic, response, and resistance data with "second hit" mutations first detectable at disease progression. </w:t>
            </w:r>
          </w:p>
        </w:tc>
        <w:tc>
          <w:tcPr>
            <w:tcW w:w="945" w:type="pct"/>
          </w:tcPr>
          <w:p w14:paraId="501467C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https://www.ncbi.nlm.nih.gov/pmc/articles/PMC6143169/</w:t>
            </w:r>
            <w:r w:rsidRPr="006025D8">
              <w:rPr>
                <w:rFonts w:ascii="Calibri" w:hAnsi="Calibri" w:cs="Calibri"/>
                <w:sz w:val="20"/>
                <w:szCs w:val="20"/>
              </w:rPr>
              <w:cr/>
            </w:r>
          </w:p>
          <w:p w14:paraId="39DDDA71" w14:textId="77777777" w:rsidR="00B72C24" w:rsidRPr="006025D8" w:rsidRDefault="00B72C24" w:rsidP="00462B4B">
            <w:pPr>
              <w:rPr>
                <w:rFonts w:ascii="Calibri" w:hAnsi="Calibri" w:cs="Calibri"/>
                <w:sz w:val="20"/>
                <w:szCs w:val="20"/>
              </w:rPr>
            </w:pPr>
          </w:p>
        </w:tc>
        <w:tc>
          <w:tcPr>
            <w:tcW w:w="725" w:type="pct"/>
          </w:tcPr>
          <w:p w14:paraId="0F11EDC8"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Goodall et al, 2017</w:t>
            </w:r>
          </w:p>
          <w:p w14:paraId="3DDBC522"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Cancer </w:t>
            </w:r>
            <w:proofErr w:type="spellStart"/>
            <w:r w:rsidRPr="006025D8">
              <w:rPr>
                <w:rFonts w:ascii="Calibri" w:hAnsi="Calibri" w:cs="Calibri"/>
                <w:sz w:val="20"/>
                <w:szCs w:val="20"/>
              </w:rPr>
              <w:t>Discov</w:t>
            </w:r>
            <w:proofErr w:type="spellEnd"/>
            <w:r w:rsidRPr="006025D8">
              <w:rPr>
                <w:rFonts w:ascii="Calibri" w:hAnsi="Calibri" w:cs="Calibri"/>
                <w:sz w:val="20"/>
                <w:szCs w:val="20"/>
              </w:rPr>
              <w:t>. 2017 Sep; 7(9): 1006–1017.</w:t>
            </w:r>
          </w:p>
        </w:tc>
      </w:tr>
      <w:tr w:rsidR="00B72C24" w14:paraId="4A0866AF" w14:textId="77777777" w:rsidTr="009572CD">
        <w:tc>
          <w:tcPr>
            <w:tcW w:w="188" w:type="pct"/>
          </w:tcPr>
          <w:p w14:paraId="664A6E91"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14</w:t>
            </w:r>
          </w:p>
        </w:tc>
        <w:tc>
          <w:tcPr>
            <w:tcW w:w="556" w:type="pct"/>
          </w:tcPr>
          <w:p w14:paraId="5080A543"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Case series</w:t>
            </w:r>
          </w:p>
        </w:tc>
        <w:tc>
          <w:tcPr>
            <w:tcW w:w="1094" w:type="pct"/>
          </w:tcPr>
          <w:p w14:paraId="7250ED74"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Analysis of Circulating Cell-Free DNA Identifies Multiclonal Heterogeneity of BRCA2 Reversion Mutations Associated with Resistance to PARP Inhibitors</w:t>
            </w:r>
          </w:p>
        </w:tc>
        <w:tc>
          <w:tcPr>
            <w:tcW w:w="1492" w:type="pct"/>
          </w:tcPr>
          <w:p w14:paraId="25B26D7C"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Identification of BRCA2 reversion mutations associated with </w:t>
            </w:r>
            <w:proofErr w:type="spellStart"/>
            <w:r w:rsidRPr="006025D8">
              <w:rPr>
                <w:rFonts w:ascii="Calibri" w:hAnsi="Calibri" w:cs="Calibri"/>
                <w:sz w:val="20"/>
                <w:szCs w:val="20"/>
              </w:rPr>
              <w:t>olaparib</w:t>
            </w:r>
            <w:proofErr w:type="spellEnd"/>
            <w:r w:rsidRPr="006025D8">
              <w:rPr>
                <w:rFonts w:ascii="Calibri" w:hAnsi="Calibri" w:cs="Calibri"/>
                <w:sz w:val="20"/>
                <w:szCs w:val="20"/>
              </w:rPr>
              <w:t xml:space="preserve"> and </w:t>
            </w:r>
            <w:proofErr w:type="spellStart"/>
            <w:r w:rsidRPr="006025D8">
              <w:rPr>
                <w:rFonts w:ascii="Calibri" w:hAnsi="Calibri" w:cs="Calibri"/>
                <w:sz w:val="20"/>
                <w:szCs w:val="20"/>
              </w:rPr>
              <w:t>talazoparib</w:t>
            </w:r>
            <w:proofErr w:type="spellEnd"/>
            <w:r w:rsidRPr="006025D8">
              <w:rPr>
                <w:rFonts w:ascii="Calibri" w:hAnsi="Calibri" w:cs="Calibri"/>
                <w:sz w:val="20"/>
                <w:szCs w:val="20"/>
              </w:rPr>
              <w:t xml:space="preserve"> resistance in prostate cancer patients.</w:t>
            </w:r>
          </w:p>
        </w:tc>
        <w:tc>
          <w:tcPr>
            <w:tcW w:w="945" w:type="pct"/>
          </w:tcPr>
          <w:p w14:paraId="491EE8B7"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https://www.ncbi.nlm.nih.gov/pmc/articles/PMC5581695/</w:t>
            </w:r>
          </w:p>
        </w:tc>
        <w:tc>
          <w:tcPr>
            <w:tcW w:w="725" w:type="pct"/>
          </w:tcPr>
          <w:p w14:paraId="41D296F0"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Quigley et al, 2017</w:t>
            </w:r>
          </w:p>
          <w:p w14:paraId="46F54297" w14:textId="77777777" w:rsidR="00B72C24" w:rsidRPr="006025D8" w:rsidRDefault="00B72C24" w:rsidP="00462B4B">
            <w:pPr>
              <w:rPr>
                <w:rFonts w:ascii="Calibri" w:hAnsi="Calibri" w:cs="Calibri"/>
                <w:b/>
                <w:sz w:val="20"/>
                <w:szCs w:val="20"/>
              </w:rPr>
            </w:pPr>
            <w:r w:rsidRPr="006025D8">
              <w:rPr>
                <w:rFonts w:ascii="Calibri" w:hAnsi="Calibri" w:cs="Calibri"/>
                <w:sz w:val="20"/>
                <w:szCs w:val="20"/>
              </w:rPr>
              <w:t xml:space="preserve">Cancer </w:t>
            </w:r>
            <w:proofErr w:type="spellStart"/>
            <w:r w:rsidRPr="006025D8">
              <w:rPr>
                <w:rFonts w:ascii="Calibri" w:hAnsi="Calibri" w:cs="Calibri"/>
                <w:sz w:val="20"/>
                <w:szCs w:val="20"/>
              </w:rPr>
              <w:t>Discov</w:t>
            </w:r>
            <w:proofErr w:type="spellEnd"/>
            <w:r w:rsidRPr="006025D8">
              <w:rPr>
                <w:rFonts w:ascii="Calibri" w:hAnsi="Calibri" w:cs="Calibri"/>
                <w:sz w:val="20"/>
                <w:szCs w:val="20"/>
              </w:rPr>
              <w:t>. 2017 Sep; 7(9): 999–1005.</w:t>
            </w:r>
          </w:p>
        </w:tc>
      </w:tr>
      <w:tr w:rsidR="00B72C24" w14:paraId="31FE3D14" w14:textId="77777777" w:rsidTr="00462B4B">
        <w:trPr>
          <w:trHeight w:val="78"/>
        </w:trPr>
        <w:tc>
          <w:tcPr>
            <w:tcW w:w="5000" w:type="pct"/>
            <w:gridSpan w:val="6"/>
            <w:shd w:val="clear" w:color="auto" w:fill="F2F2F2" w:themeFill="background1" w:themeFillShade="F2"/>
            <w:vAlign w:val="center"/>
          </w:tcPr>
          <w:p w14:paraId="3F581A85" w14:textId="77777777" w:rsidR="00B72C24" w:rsidRPr="006025D8" w:rsidRDefault="00B72C24" w:rsidP="009572CD">
            <w:pPr>
              <w:pageBreakBefore/>
              <w:rPr>
                <w:rFonts w:ascii="Calibri" w:hAnsi="Calibri" w:cs="Calibri"/>
                <w:b/>
                <w:bCs/>
                <w:sz w:val="20"/>
                <w:szCs w:val="20"/>
              </w:rPr>
            </w:pPr>
            <w:r w:rsidRPr="006025D8">
              <w:rPr>
                <w:rFonts w:ascii="Calibri" w:hAnsi="Calibri" w:cs="Calibri"/>
                <w:b/>
                <w:bCs/>
                <w:sz w:val="20"/>
                <w:szCs w:val="20"/>
              </w:rPr>
              <w:lastRenderedPageBreak/>
              <w:t>Reviews</w:t>
            </w:r>
          </w:p>
        </w:tc>
      </w:tr>
      <w:tr w:rsidR="00B72C24" w14:paraId="1C2ED128" w14:textId="77777777" w:rsidTr="009572CD">
        <w:trPr>
          <w:trHeight w:val="986"/>
        </w:trPr>
        <w:tc>
          <w:tcPr>
            <w:tcW w:w="188" w:type="pct"/>
          </w:tcPr>
          <w:p w14:paraId="0179FD2A"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15</w:t>
            </w:r>
          </w:p>
        </w:tc>
        <w:tc>
          <w:tcPr>
            <w:tcW w:w="556" w:type="pct"/>
          </w:tcPr>
          <w:p w14:paraId="3FF1E004"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w:t>
            </w:r>
          </w:p>
        </w:tc>
        <w:tc>
          <w:tcPr>
            <w:tcW w:w="1094" w:type="pct"/>
          </w:tcPr>
          <w:p w14:paraId="3D2BD64A" w14:textId="77777777" w:rsidR="00B72C24" w:rsidRPr="006025D8" w:rsidRDefault="00B72C24" w:rsidP="00B72C24">
            <w:pPr>
              <w:pStyle w:val="Heading1"/>
              <w:shd w:val="clear" w:color="auto" w:fill="FCFCFC"/>
              <w:spacing w:before="0"/>
              <w:rPr>
                <w:rFonts w:ascii="Calibri" w:hAnsi="Calibri" w:cs="Calibri"/>
                <w:b w:val="0"/>
                <w:sz w:val="20"/>
                <w:szCs w:val="20"/>
              </w:rPr>
            </w:pPr>
            <w:r w:rsidRPr="006025D8">
              <w:rPr>
                <w:rFonts w:ascii="Calibri" w:hAnsi="Calibri" w:cs="Calibri"/>
                <w:b w:val="0"/>
                <w:sz w:val="20"/>
                <w:szCs w:val="20"/>
              </w:rPr>
              <w:t>Targeting the DNA damage response: PARP inhibitors and new perspectives in the landscape of cancer treatment</w:t>
            </w:r>
          </w:p>
        </w:tc>
        <w:tc>
          <w:tcPr>
            <w:tcW w:w="1492" w:type="pct"/>
          </w:tcPr>
          <w:p w14:paraId="55C8BC3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Summary of the main DDR pathways, explain the current role of PARP inhibitors in cancer therapy and illustrate new therapeutic strategies targeting the DDR, focusing on the combinations of PARP inhibitors with other agents and on cell-cycle checkpoint inhibitors.</w:t>
            </w:r>
          </w:p>
        </w:tc>
        <w:tc>
          <w:tcPr>
            <w:tcW w:w="945" w:type="pct"/>
          </w:tcPr>
          <w:p w14:paraId="787C8BFD" w14:textId="257949FE" w:rsidR="00B72C24" w:rsidRPr="006025D8" w:rsidRDefault="009572CD" w:rsidP="00462B4B">
            <w:pPr>
              <w:rPr>
                <w:rFonts w:ascii="Calibri" w:hAnsi="Calibri" w:cs="Calibri"/>
                <w:sz w:val="20"/>
                <w:szCs w:val="20"/>
              </w:rPr>
            </w:pPr>
            <w:hyperlink r:id="rId30" w:history="1">
              <w:r w:rsidR="00B72C24" w:rsidRPr="006025D8">
                <w:rPr>
                  <w:rStyle w:val="Hyperlink"/>
                  <w:rFonts w:ascii="Calibri" w:hAnsi="Calibri" w:cs="Calibri"/>
                  <w:sz w:val="20"/>
                  <w:szCs w:val="20"/>
                </w:rPr>
                <w:t>https://pubmed.ncbi.nlm.nih.gov/34800653/</w:t>
              </w:r>
            </w:hyperlink>
          </w:p>
          <w:p w14:paraId="10E9299A" w14:textId="094A0A5F" w:rsidR="00B72C24" w:rsidRPr="006025D8" w:rsidRDefault="00B72C24" w:rsidP="00462B4B">
            <w:pPr>
              <w:rPr>
                <w:rFonts w:ascii="Calibri" w:hAnsi="Calibri" w:cs="Calibri"/>
                <w:sz w:val="20"/>
                <w:szCs w:val="20"/>
              </w:rPr>
            </w:pPr>
          </w:p>
        </w:tc>
        <w:tc>
          <w:tcPr>
            <w:tcW w:w="725" w:type="pct"/>
          </w:tcPr>
          <w:p w14:paraId="5BEDC572" w14:textId="77777777" w:rsidR="00B72C24" w:rsidRPr="006025D8" w:rsidRDefault="00B72C24" w:rsidP="00462B4B">
            <w:pPr>
              <w:rPr>
                <w:rFonts w:ascii="Calibri" w:hAnsi="Calibri" w:cs="Calibri"/>
                <w:sz w:val="20"/>
                <w:szCs w:val="20"/>
              </w:rPr>
            </w:pPr>
            <w:proofErr w:type="spellStart"/>
            <w:r w:rsidRPr="006025D8">
              <w:rPr>
                <w:rFonts w:ascii="Calibri" w:hAnsi="Calibri" w:cs="Calibri"/>
                <w:sz w:val="20"/>
                <w:szCs w:val="20"/>
              </w:rPr>
              <w:t>Genta</w:t>
            </w:r>
            <w:proofErr w:type="spellEnd"/>
            <w:r w:rsidRPr="006025D8">
              <w:rPr>
                <w:rFonts w:ascii="Calibri" w:hAnsi="Calibri" w:cs="Calibri"/>
                <w:sz w:val="20"/>
                <w:szCs w:val="20"/>
              </w:rPr>
              <w:t xml:space="preserve"> et al 2021</w:t>
            </w:r>
          </w:p>
          <w:p w14:paraId="4BBC91B6"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Crit Rev Oncol </w:t>
            </w:r>
            <w:proofErr w:type="spellStart"/>
            <w:r w:rsidRPr="006025D8">
              <w:rPr>
                <w:rFonts w:ascii="Calibri" w:hAnsi="Calibri" w:cs="Calibri"/>
                <w:sz w:val="20"/>
                <w:szCs w:val="20"/>
              </w:rPr>
              <w:t>Hematol</w:t>
            </w:r>
            <w:proofErr w:type="spellEnd"/>
            <w:r w:rsidRPr="006025D8">
              <w:rPr>
                <w:rFonts w:ascii="Calibri" w:hAnsi="Calibri" w:cs="Calibri"/>
                <w:sz w:val="20"/>
                <w:szCs w:val="20"/>
              </w:rPr>
              <w:t xml:space="preserve">. 2021 </w:t>
            </w:r>
            <w:proofErr w:type="gramStart"/>
            <w:r w:rsidRPr="006025D8">
              <w:rPr>
                <w:rFonts w:ascii="Calibri" w:hAnsi="Calibri" w:cs="Calibri"/>
                <w:sz w:val="20"/>
                <w:szCs w:val="20"/>
              </w:rPr>
              <w:t>Dec;168:103539</w:t>
            </w:r>
            <w:proofErr w:type="gramEnd"/>
          </w:p>
        </w:tc>
      </w:tr>
      <w:tr w:rsidR="00B72C24" w14:paraId="41747AF7" w14:textId="77777777" w:rsidTr="009572CD">
        <w:trPr>
          <w:trHeight w:val="986"/>
        </w:trPr>
        <w:tc>
          <w:tcPr>
            <w:tcW w:w="188" w:type="pct"/>
          </w:tcPr>
          <w:p w14:paraId="4B1A9D6F"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16</w:t>
            </w:r>
          </w:p>
        </w:tc>
        <w:tc>
          <w:tcPr>
            <w:tcW w:w="556" w:type="pct"/>
          </w:tcPr>
          <w:p w14:paraId="5716841D"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w:t>
            </w:r>
          </w:p>
        </w:tc>
        <w:tc>
          <w:tcPr>
            <w:tcW w:w="1094" w:type="pct"/>
          </w:tcPr>
          <w:p w14:paraId="15D72FBE" w14:textId="77777777" w:rsidR="00B72C24" w:rsidRPr="006025D8" w:rsidRDefault="00B72C24" w:rsidP="00B72C24">
            <w:pPr>
              <w:pStyle w:val="Heading1"/>
              <w:shd w:val="clear" w:color="auto" w:fill="FCFCFC"/>
              <w:spacing w:before="0"/>
              <w:rPr>
                <w:rFonts w:ascii="Calibri" w:hAnsi="Calibri" w:cs="Calibri"/>
                <w:b w:val="0"/>
                <w:sz w:val="20"/>
                <w:szCs w:val="20"/>
              </w:rPr>
            </w:pPr>
            <w:r w:rsidRPr="006025D8">
              <w:rPr>
                <w:rFonts w:ascii="Calibri" w:hAnsi="Calibri" w:cs="Calibri"/>
                <w:b w:val="0"/>
                <w:sz w:val="20"/>
                <w:szCs w:val="20"/>
              </w:rPr>
              <w:t>Recent advances in DNA repair pathway and its application in personalized care of metastatic castration-resistant prostate cancer (</w:t>
            </w:r>
            <w:proofErr w:type="spellStart"/>
            <w:r w:rsidRPr="006025D8">
              <w:rPr>
                <w:rFonts w:ascii="Calibri" w:hAnsi="Calibri" w:cs="Calibri"/>
                <w:b w:val="0"/>
                <w:sz w:val="20"/>
                <w:szCs w:val="20"/>
              </w:rPr>
              <w:t>mCRPC</w:t>
            </w:r>
            <w:proofErr w:type="spellEnd"/>
            <w:r w:rsidRPr="006025D8">
              <w:rPr>
                <w:rFonts w:ascii="Calibri" w:hAnsi="Calibri" w:cs="Calibri"/>
                <w:b w:val="0"/>
                <w:sz w:val="20"/>
                <w:szCs w:val="20"/>
              </w:rPr>
              <w:t>).</w:t>
            </w:r>
          </w:p>
        </w:tc>
        <w:tc>
          <w:tcPr>
            <w:tcW w:w="1492" w:type="pct"/>
          </w:tcPr>
          <w:p w14:paraId="7B4F5261"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Review focused on recent advances in biology and clinical implication of DDR pathway and discuss the latest results in advanced prostate cancer, especially </w:t>
            </w:r>
            <w:proofErr w:type="spellStart"/>
            <w:r w:rsidRPr="006025D8">
              <w:rPr>
                <w:rFonts w:ascii="Calibri" w:hAnsi="Calibri" w:cs="Calibri"/>
                <w:sz w:val="20"/>
                <w:szCs w:val="20"/>
              </w:rPr>
              <w:t>mCRPC</w:t>
            </w:r>
            <w:proofErr w:type="spellEnd"/>
          </w:p>
        </w:tc>
        <w:tc>
          <w:tcPr>
            <w:tcW w:w="945" w:type="pct"/>
          </w:tcPr>
          <w:p w14:paraId="3841A628" w14:textId="52CD986E" w:rsidR="00B72C24" w:rsidRPr="006025D8" w:rsidRDefault="009572CD" w:rsidP="00462B4B">
            <w:pPr>
              <w:rPr>
                <w:rFonts w:ascii="Calibri" w:hAnsi="Calibri" w:cs="Calibri"/>
                <w:sz w:val="20"/>
                <w:szCs w:val="20"/>
              </w:rPr>
            </w:pPr>
            <w:hyperlink r:id="rId31" w:history="1">
              <w:r w:rsidR="00B72C24" w:rsidRPr="006025D8">
                <w:rPr>
                  <w:rStyle w:val="Hyperlink"/>
                  <w:rFonts w:ascii="Calibri" w:hAnsi="Calibri" w:cs="Calibri"/>
                  <w:sz w:val="20"/>
                  <w:szCs w:val="20"/>
                </w:rPr>
                <w:t>https://pubmed.ncbi.nlm.nih.gov/32710316/</w:t>
              </w:r>
            </w:hyperlink>
          </w:p>
          <w:p w14:paraId="2D184295" w14:textId="4D1BA2CE" w:rsidR="00B72C24" w:rsidRPr="006025D8" w:rsidRDefault="00B72C24" w:rsidP="00462B4B">
            <w:pPr>
              <w:rPr>
                <w:rFonts w:ascii="Calibri" w:hAnsi="Calibri" w:cs="Calibri"/>
                <w:sz w:val="20"/>
                <w:szCs w:val="20"/>
              </w:rPr>
            </w:pPr>
          </w:p>
        </w:tc>
        <w:tc>
          <w:tcPr>
            <w:tcW w:w="725" w:type="pct"/>
          </w:tcPr>
          <w:p w14:paraId="16BF24F9"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Xu et al. 2020</w:t>
            </w:r>
          </w:p>
          <w:p w14:paraId="3DFA2BF0"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Methods Mol Biol. 2020; 2204:75-89</w:t>
            </w:r>
          </w:p>
        </w:tc>
      </w:tr>
      <w:tr w:rsidR="00B72C24" w14:paraId="07352F50" w14:textId="77777777" w:rsidTr="009572CD">
        <w:trPr>
          <w:trHeight w:val="986"/>
        </w:trPr>
        <w:tc>
          <w:tcPr>
            <w:tcW w:w="188" w:type="pct"/>
          </w:tcPr>
          <w:p w14:paraId="2C9E3B56"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17</w:t>
            </w:r>
          </w:p>
        </w:tc>
        <w:tc>
          <w:tcPr>
            <w:tcW w:w="556" w:type="pct"/>
          </w:tcPr>
          <w:p w14:paraId="4D571168"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w:t>
            </w:r>
          </w:p>
        </w:tc>
        <w:tc>
          <w:tcPr>
            <w:tcW w:w="1094" w:type="pct"/>
          </w:tcPr>
          <w:p w14:paraId="2043A158" w14:textId="77777777" w:rsidR="00B72C24" w:rsidRPr="006025D8" w:rsidRDefault="00B72C24" w:rsidP="00B72C24">
            <w:pPr>
              <w:pStyle w:val="Heading1"/>
              <w:shd w:val="clear" w:color="auto" w:fill="FCFCFC"/>
              <w:spacing w:before="0"/>
              <w:rPr>
                <w:rFonts w:ascii="Calibri" w:hAnsi="Calibri" w:cs="Calibri"/>
                <w:b w:val="0"/>
                <w:sz w:val="20"/>
                <w:szCs w:val="20"/>
              </w:rPr>
            </w:pPr>
            <w:r w:rsidRPr="006025D8">
              <w:rPr>
                <w:rFonts w:ascii="Calibri" w:hAnsi="Calibri" w:cs="Calibri"/>
                <w:b w:val="0"/>
                <w:sz w:val="20"/>
                <w:szCs w:val="20"/>
              </w:rPr>
              <w:t>PARP inhibitors in prostate cancer: The preclinical rationale and current clinical development</w:t>
            </w:r>
          </w:p>
        </w:tc>
        <w:tc>
          <w:tcPr>
            <w:tcW w:w="1492" w:type="pct"/>
          </w:tcPr>
          <w:p w14:paraId="5D916949"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Overview of published and ongoing trials exploring PARP inhibitors in treatment of prostate cancer and discuss the underlying biology</w:t>
            </w:r>
          </w:p>
        </w:tc>
        <w:tc>
          <w:tcPr>
            <w:tcW w:w="945" w:type="pct"/>
          </w:tcPr>
          <w:p w14:paraId="2E80F7D4" w14:textId="77777777" w:rsidR="00B72C24" w:rsidRPr="006025D8" w:rsidRDefault="009572CD" w:rsidP="00462B4B">
            <w:pPr>
              <w:rPr>
                <w:rFonts w:ascii="Calibri" w:hAnsi="Calibri" w:cs="Calibri"/>
                <w:sz w:val="20"/>
                <w:szCs w:val="20"/>
              </w:rPr>
            </w:pPr>
            <w:hyperlink r:id="rId32" w:history="1">
              <w:r w:rsidR="00B72C24" w:rsidRPr="006025D8">
                <w:rPr>
                  <w:rStyle w:val="Hyperlink"/>
                  <w:rFonts w:ascii="Calibri" w:hAnsi="Calibri" w:cs="Calibri"/>
                  <w:sz w:val="20"/>
                  <w:szCs w:val="20"/>
                </w:rPr>
                <w:t>https://www.ncbi.nlm.nih.gov/pmc/articles/PMC6723995/</w:t>
              </w:r>
            </w:hyperlink>
          </w:p>
        </w:tc>
        <w:tc>
          <w:tcPr>
            <w:tcW w:w="725" w:type="pct"/>
          </w:tcPr>
          <w:p w14:paraId="24B03F7B"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Virtanen. </w:t>
            </w:r>
            <w:r w:rsidRPr="006025D8">
              <w:rPr>
                <w:rFonts w:ascii="Calibri" w:hAnsi="Calibri" w:cs="Calibri"/>
                <w:i/>
                <w:sz w:val="20"/>
                <w:szCs w:val="20"/>
              </w:rPr>
              <w:t>et al.</w:t>
            </w:r>
            <w:r w:rsidRPr="006025D8">
              <w:rPr>
                <w:rFonts w:ascii="Calibri" w:hAnsi="Calibri" w:cs="Calibri"/>
                <w:sz w:val="20"/>
                <w:szCs w:val="20"/>
              </w:rPr>
              <w:t xml:space="preserve"> 2019</w:t>
            </w:r>
          </w:p>
          <w:p w14:paraId="188025C2" w14:textId="77777777" w:rsidR="00B72C24" w:rsidRPr="006025D8" w:rsidRDefault="00B72C24" w:rsidP="00462B4B">
            <w:pPr>
              <w:rPr>
                <w:rFonts w:ascii="Calibri" w:hAnsi="Calibri" w:cs="Calibri"/>
                <w:b/>
                <w:sz w:val="20"/>
                <w:szCs w:val="20"/>
              </w:rPr>
            </w:pPr>
            <w:r w:rsidRPr="006025D8">
              <w:rPr>
                <w:rFonts w:ascii="Calibri" w:hAnsi="Calibri" w:cs="Calibri"/>
                <w:sz w:val="20"/>
                <w:szCs w:val="20"/>
              </w:rPr>
              <w:t>Genes (Basel). 2019 Aug; 10(8): 565</w:t>
            </w:r>
          </w:p>
        </w:tc>
      </w:tr>
      <w:tr w:rsidR="00B72C24" w14:paraId="09823940" w14:textId="77777777" w:rsidTr="009572CD">
        <w:tc>
          <w:tcPr>
            <w:tcW w:w="188" w:type="pct"/>
          </w:tcPr>
          <w:p w14:paraId="1E64CD82"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18</w:t>
            </w:r>
          </w:p>
        </w:tc>
        <w:tc>
          <w:tcPr>
            <w:tcW w:w="556" w:type="pct"/>
          </w:tcPr>
          <w:p w14:paraId="1C2CA59B"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w:t>
            </w:r>
          </w:p>
        </w:tc>
        <w:tc>
          <w:tcPr>
            <w:tcW w:w="1094" w:type="pct"/>
          </w:tcPr>
          <w:p w14:paraId="77D9F9AE"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Recent advances in prostate cancer research: Large-scale genomic analyses reveal novel driver mutations and DNA repair defects</w:t>
            </w:r>
          </w:p>
        </w:tc>
        <w:tc>
          <w:tcPr>
            <w:tcW w:w="1492" w:type="pct"/>
          </w:tcPr>
          <w:p w14:paraId="004C8845"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 of the recent advances in prostate cancer research, including understanding the genetic alterations that drive the disease and how specific mutations can sensitise tumours to potential therapies.</w:t>
            </w:r>
          </w:p>
        </w:tc>
        <w:tc>
          <w:tcPr>
            <w:tcW w:w="945" w:type="pct"/>
          </w:tcPr>
          <w:p w14:paraId="13145C84" w14:textId="77777777" w:rsidR="00B72C24" w:rsidRPr="006025D8" w:rsidRDefault="009572CD" w:rsidP="00462B4B">
            <w:pPr>
              <w:rPr>
                <w:rFonts w:ascii="Calibri" w:hAnsi="Calibri" w:cs="Calibri"/>
                <w:sz w:val="20"/>
                <w:szCs w:val="20"/>
              </w:rPr>
            </w:pPr>
            <w:hyperlink r:id="rId33" w:history="1">
              <w:r w:rsidR="00B72C24" w:rsidRPr="006025D8">
                <w:rPr>
                  <w:rStyle w:val="Hyperlink"/>
                  <w:rFonts w:ascii="Calibri" w:hAnsi="Calibri" w:cs="Calibri"/>
                  <w:sz w:val="20"/>
                  <w:szCs w:val="20"/>
                </w:rPr>
                <w:t>https://www.ncbi.nlm.nih.gov/pmc/articles/PMC6073096/</w:t>
              </w:r>
            </w:hyperlink>
          </w:p>
          <w:p w14:paraId="0F2DF632" w14:textId="77777777" w:rsidR="00B72C24" w:rsidRPr="006025D8" w:rsidRDefault="00B72C24" w:rsidP="00462B4B">
            <w:pPr>
              <w:rPr>
                <w:rFonts w:ascii="Calibri" w:hAnsi="Calibri" w:cs="Calibri"/>
                <w:sz w:val="20"/>
                <w:szCs w:val="20"/>
              </w:rPr>
            </w:pPr>
          </w:p>
        </w:tc>
        <w:tc>
          <w:tcPr>
            <w:tcW w:w="725" w:type="pct"/>
          </w:tcPr>
          <w:p w14:paraId="714A8D85"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 xml:space="preserve">Sander et al, 2018 </w:t>
            </w:r>
          </w:p>
          <w:p w14:paraId="542423E7" w14:textId="77777777" w:rsidR="00B72C24" w:rsidRPr="006025D8" w:rsidRDefault="00B72C24" w:rsidP="00462B4B">
            <w:pPr>
              <w:rPr>
                <w:rFonts w:ascii="Calibri" w:hAnsi="Calibri" w:cs="Calibri"/>
                <w:b/>
                <w:sz w:val="20"/>
                <w:szCs w:val="20"/>
              </w:rPr>
            </w:pPr>
            <w:r w:rsidRPr="006025D8">
              <w:rPr>
                <w:rFonts w:ascii="Calibri" w:hAnsi="Calibri" w:cs="Calibri"/>
                <w:sz w:val="20"/>
                <w:szCs w:val="20"/>
                <w:lang w:val="en-US"/>
              </w:rPr>
              <w:t>F1000Research 2018, 7(F1000 Faculty Rev):1173</w:t>
            </w:r>
          </w:p>
        </w:tc>
      </w:tr>
      <w:tr w:rsidR="00B72C24" w14:paraId="529D8821" w14:textId="77777777" w:rsidTr="009572CD">
        <w:trPr>
          <w:trHeight w:val="921"/>
        </w:trPr>
        <w:tc>
          <w:tcPr>
            <w:tcW w:w="188" w:type="pct"/>
          </w:tcPr>
          <w:p w14:paraId="63DB080A"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19</w:t>
            </w:r>
          </w:p>
        </w:tc>
        <w:tc>
          <w:tcPr>
            <w:tcW w:w="556" w:type="pct"/>
          </w:tcPr>
          <w:p w14:paraId="64D065E3"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w:t>
            </w:r>
          </w:p>
        </w:tc>
        <w:tc>
          <w:tcPr>
            <w:tcW w:w="1094" w:type="pct"/>
          </w:tcPr>
          <w:p w14:paraId="29E191C7"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A decade of clinical development of PARP inhibitors in perspective</w:t>
            </w:r>
          </w:p>
        </w:tc>
        <w:tc>
          <w:tcPr>
            <w:tcW w:w="1492" w:type="pct"/>
          </w:tcPr>
          <w:p w14:paraId="4DA250BD"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Summary of a decade of PARP inhibitor clinical development. </w:t>
            </w:r>
          </w:p>
        </w:tc>
        <w:tc>
          <w:tcPr>
            <w:tcW w:w="945" w:type="pct"/>
          </w:tcPr>
          <w:p w14:paraId="67004D81" w14:textId="77777777" w:rsidR="00B72C24" w:rsidRPr="006025D8" w:rsidRDefault="009572CD" w:rsidP="00462B4B">
            <w:pPr>
              <w:rPr>
                <w:rFonts w:ascii="Calibri" w:hAnsi="Calibri" w:cs="Calibri"/>
                <w:sz w:val="20"/>
                <w:szCs w:val="20"/>
              </w:rPr>
            </w:pPr>
            <w:hyperlink r:id="rId34" w:history="1">
              <w:r w:rsidR="00B72C24" w:rsidRPr="006025D8">
                <w:rPr>
                  <w:rStyle w:val="Hyperlink"/>
                  <w:rFonts w:ascii="Calibri" w:hAnsi="Calibri" w:cs="Calibri"/>
                  <w:sz w:val="20"/>
                  <w:szCs w:val="20"/>
                </w:rPr>
                <w:t>https://www.sciencedirect.com/science/article/pii/S0923753419459851?via%3Dihub</w:t>
              </w:r>
            </w:hyperlink>
          </w:p>
        </w:tc>
        <w:tc>
          <w:tcPr>
            <w:tcW w:w="725" w:type="pct"/>
          </w:tcPr>
          <w:p w14:paraId="11AA4ED1" w14:textId="77777777" w:rsidR="00B72C24" w:rsidRPr="006025D8" w:rsidRDefault="00B72C24" w:rsidP="00462B4B">
            <w:pPr>
              <w:rPr>
                <w:rFonts w:ascii="Calibri" w:eastAsia="Arial Unicode MS" w:hAnsi="Calibri" w:cs="Calibri"/>
                <w:sz w:val="20"/>
                <w:szCs w:val="20"/>
              </w:rPr>
            </w:pPr>
            <w:r w:rsidRPr="006025D8">
              <w:rPr>
                <w:rFonts w:ascii="Calibri" w:eastAsia="Arial Unicode MS" w:hAnsi="Calibri" w:cs="Calibri"/>
                <w:sz w:val="20"/>
                <w:szCs w:val="20"/>
              </w:rPr>
              <w:t>Mateo et al, 2019</w:t>
            </w:r>
          </w:p>
          <w:p w14:paraId="4D9E728E" w14:textId="77777777" w:rsidR="00B72C24" w:rsidRPr="006025D8" w:rsidRDefault="00B72C24" w:rsidP="00462B4B">
            <w:pPr>
              <w:rPr>
                <w:rFonts w:ascii="Calibri" w:eastAsia="Arial Unicode MS" w:hAnsi="Calibri" w:cs="Calibri"/>
                <w:sz w:val="20"/>
                <w:szCs w:val="20"/>
              </w:rPr>
            </w:pPr>
            <w:r w:rsidRPr="006025D8">
              <w:rPr>
                <w:rFonts w:ascii="Calibri" w:eastAsia="Arial Unicode MS" w:hAnsi="Calibri" w:cs="Calibri"/>
                <w:sz w:val="20"/>
                <w:szCs w:val="20"/>
              </w:rPr>
              <w:t>Ann Oncol. 2019 Sep 1;30(9):1437-1447</w:t>
            </w:r>
          </w:p>
        </w:tc>
      </w:tr>
      <w:tr w:rsidR="00B72C24" w14:paraId="7F99F8AA" w14:textId="77777777" w:rsidTr="009572CD">
        <w:trPr>
          <w:trHeight w:val="1065"/>
        </w:trPr>
        <w:tc>
          <w:tcPr>
            <w:tcW w:w="188" w:type="pct"/>
          </w:tcPr>
          <w:p w14:paraId="007C2BF7"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20</w:t>
            </w:r>
          </w:p>
        </w:tc>
        <w:tc>
          <w:tcPr>
            <w:tcW w:w="556" w:type="pct"/>
          </w:tcPr>
          <w:p w14:paraId="36AF4B44"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w:t>
            </w:r>
          </w:p>
        </w:tc>
        <w:tc>
          <w:tcPr>
            <w:tcW w:w="1094" w:type="pct"/>
          </w:tcPr>
          <w:p w14:paraId="7DE753CE"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DNA repair defects in prostate cancer: impact for screening, </w:t>
            </w:r>
            <w:proofErr w:type="gramStart"/>
            <w:r w:rsidRPr="006025D8">
              <w:rPr>
                <w:rFonts w:ascii="Calibri" w:hAnsi="Calibri" w:cs="Calibri"/>
                <w:sz w:val="20"/>
                <w:szCs w:val="20"/>
              </w:rPr>
              <w:t>prognostication</w:t>
            </w:r>
            <w:proofErr w:type="gramEnd"/>
            <w:r w:rsidRPr="006025D8">
              <w:rPr>
                <w:rFonts w:ascii="Calibri" w:hAnsi="Calibri" w:cs="Calibri"/>
                <w:sz w:val="20"/>
                <w:szCs w:val="20"/>
              </w:rPr>
              <w:t xml:space="preserve"> and treatment</w:t>
            </w:r>
          </w:p>
        </w:tc>
        <w:tc>
          <w:tcPr>
            <w:tcW w:w="1492" w:type="pct"/>
          </w:tcPr>
          <w:p w14:paraId="2E8704EA"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 covers the relationship between DNA repair defects and prostate cancer, highlighting the prevalence of mutations in key genes and their controversial association with clinical outcomes.</w:t>
            </w:r>
          </w:p>
        </w:tc>
        <w:tc>
          <w:tcPr>
            <w:tcW w:w="945" w:type="pct"/>
          </w:tcPr>
          <w:p w14:paraId="0CD4613F" w14:textId="77777777" w:rsidR="00B72C24" w:rsidRPr="006025D8" w:rsidRDefault="009572CD" w:rsidP="00462B4B">
            <w:pPr>
              <w:rPr>
                <w:rFonts w:ascii="Calibri" w:hAnsi="Calibri" w:cs="Calibri"/>
                <w:sz w:val="20"/>
                <w:szCs w:val="20"/>
              </w:rPr>
            </w:pPr>
            <w:hyperlink r:id="rId35" w:history="1">
              <w:r w:rsidR="00B72C24" w:rsidRPr="006025D8">
                <w:rPr>
                  <w:rStyle w:val="Hyperlink"/>
                  <w:rFonts w:ascii="Calibri" w:hAnsi="Calibri" w:cs="Calibri"/>
                  <w:sz w:val="20"/>
                  <w:szCs w:val="20"/>
                </w:rPr>
                <w:t>https://www.ncbi.nlm.nih.gov/pubmed/30281887/</w:t>
              </w:r>
            </w:hyperlink>
          </w:p>
          <w:p w14:paraId="4AA3785D" w14:textId="77777777" w:rsidR="00B72C24" w:rsidRPr="006025D8" w:rsidRDefault="00B72C24" w:rsidP="00462B4B">
            <w:pPr>
              <w:rPr>
                <w:rFonts w:ascii="Calibri" w:hAnsi="Calibri" w:cs="Calibri"/>
                <w:sz w:val="20"/>
                <w:szCs w:val="20"/>
              </w:rPr>
            </w:pPr>
          </w:p>
        </w:tc>
        <w:tc>
          <w:tcPr>
            <w:tcW w:w="725" w:type="pct"/>
          </w:tcPr>
          <w:p w14:paraId="7C4D76C0"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 xml:space="preserve">Warner et al, 2019 </w:t>
            </w:r>
          </w:p>
          <w:p w14:paraId="42D1A454"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BJU Int. 2019 May;123(5):769-776</w:t>
            </w:r>
          </w:p>
        </w:tc>
      </w:tr>
      <w:tr w:rsidR="00B72C24" w14:paraId="5B7C63CC" w14:textId="77777777" w:rsidTr="009572CD">
        <w:trPr>
          <w:trHeight w:val="642"/>
        </w:trPr>
        <w:tc>
          <w:tcPr>
            <w:tcW w:w="188" w:type="pct"/>
          </w:tcPr>
          <w:p w14:paraId="50E57CE8"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lastRenderedPageBreak/>
              <w:t>21</w:t>
            </w:r>
          </w:p>
        </w:tc>
        <w:tc>
          <w:tcPr>
            <w:tcW w:w="556" w:type="pct"/>
          </w:tcPr>
          <w:p w14:paraId="0EF5A088"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w:t>
            </w:r>
          </w:p>
        </w:tc>
        <w:tc>
          <w:tcPr>
            <w:tcW w:w="1094" w:type="pct"/>
          </w:tcPr>
          <w:p w14:paraId="001C497E" w14:textId="77777777" w:rsidR="00B72C24" w:rsidRPr="006025D8" w:rsidRDefault="00B72C24" w:rsidP="00462B4B">
            <w:pPr>
              <w:rPr>
                <w:rFonts w:ascii="Calibri" w:eastAsia="Arial Unicode MS" w:hAnsi="Calibri" w:cs="Calibri"/>
                <w:sz w:val="20"/>
                <w:szCs w:val="20"/>
              </w:rPr>
            </w:pPr>
            <w:r w:rsidRPr="006025D8">
              <w:rPr>
                <w:rFonts w:ascii="Calibri" w:eastAsia="Arial Unicode MS" w:hAnsi="Calibri" w:cs="Calibri"/>
                <w:sz w:val="20"/>
                <w:szCs w:val="20"/>
              </w:rPr>
              <w:t>Targeting DNA Repair Defects for Precision Medicine in Prostate Cancer</w:t>
            </w:r>
          </w:p>
        </w:tc>
        <w:tc>
          <w:tcPr>
            <w:tcW w:w="1492" w:type="pct"/>
          </w:tcPr>
          <w:p w14:paraId="583C1035" w14:textId="77777777"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 xml:space="preserve">Review of the current knowledge on DNA repair defects in prostate cancer and an overview of how these alterations can be targeted towards a </w:t>
            </w:r>
            <w:proofErr w:type="spellStart"/>
            <w:r w:rsidRPr="006025D8">
              <w:rPr>
                <w:rFonts w:ascii="Calibri" w:hAnsi="Calibri" w:cs="Calibri"/>
                <w:sz w:val="20"/>
                <w:szCs w:val="20"/>
                <w:lang w:val="en-US"/>
              </w:rPr>
              <w:t>personalised</w:t>
            </w:r>
            <w:proofErr w:type="spellEnd"/>
            <w:r w:rsidRPr="006025D8">
              <w:rPr>
                <w:rFonts w:ascii="Calibri" w:hAnsi="Calibri" w:cs="Calibri"/>
                <w:sz w:val="20"/>
                <w:szCs w:val="20"/>
                <w:lang w:val="en-US"/>
              </w:rPr>
              <w:t xml:space="preserve"> prostate cancer management</w:t>
            </w:r>
          </w:p>
        </w:tc>
        <w:tc>
          <w:tcPr>
            <w:tcW w:w="945" w:type="pct"/>
          </w:tcPr>
          <w:p w14:paraId="1346AC42" w14:textId="77777777" w:rsidR="00B72C24" w:rsidRPr="006025D8" w:rsidRDefault="009572CD" w:rsidP="00462B4B">
            <w:pPr>
              <w:rPr>
                <w:rFonts w:ascii="Calibri" w:hAnsi="Calibri" w:cs="Calibri"/>
                <w:sz w:val="20"/>
                <w:szCs w:val="20"/>
              </w:rPr>
            </w:pPr>
            <w:hyperlink r:id="rId36" w:history="1">
              <w:r w:rsidR="00B72C24" w:rsidRPr="006025D8">
                <w:rPr>
                  <w:rStyle w:val="Hyperlink"/>
                  <w:rFonts w:ascii="Calibri" w:hAnsi="Calibri" w:cs="Calibri"/>
                  <w:sz w:val="20"/>
                  <w:szCs w:val="20"/>
                </w:rPr>
                <w:t>https://pubmed.ncbi.nlm.nih.gov/30919167/</w:t>
              </w:r>
            </w:hyperlink>
          </w:p>
          <w:p w14:paraId="194B0A2A" w14:textId="77777777" w:rsidR="00B72C24" w:rsidRPr="006025D8" w:rsidRDefault="00B72C24" w:rsidP="00462B4B">
            <w:pPr>
              <w:rPr>
                <w:rFonts w:ascii="Calibri" w:hAnsi="Calibri" w:cs="Calibri"/>
                <w:sz w:val="20"/>
                <w:szCs w:val="20"/>
              </w:rPr>
            </w:pPr>
          </w:p>
        </w:tc>
        <w:tc>
          <w:tcPr>
            <w:tcW w:w="725" w:type="pct"/>
          </w:tcPr>
          <w:p w14:paraId="6ED1AAD9" w14:textId="77777777" w:rsidR="00B72C24" w:rsidRPr="006025D8" w:rsidRDefault="00B72C24" w:rsidP="00462B4B">
            <w:pPr>
              <w:rPr>
                <w:rFonts w:ascii="Calibri" w:hAnsi="Calibri" w:cs="Calibri"/>
                <w:sz w:val="20"/>
                <w:szCs w:val="20"/>
                <w:lang w:val="en-US"/>
              </w:rPr>
            </w:pPr>
            <w:proofErr w:type="spellStart"/>
            <w:r w:rsidRPr="006025D8">
              <w:rPr>
                <w:rFonts w:ascii="Calibri" w:hAnsi="Calibri" w:cs="Calibri"/>
                <w:sz w:val="20"/>
                <w:szCs w:val="20"/>
                <w:lang w:val="en-US"/>
              </w:rPr>
              <w:t>Athie</w:t>
            </w:r>
            <w:proofErr w:type="spellEnd"/>
            <w:r w:rsidRPr="006025D8">
              <w:rPr>
                <w:rFonts w:ascii="Calibri" w:hAnsi="Calibri" w:cs="Calibri"/>
                <w:sz w:val="20"/>
                <w:szCs w:val="20"/>
                <w:lang w:val="en-US"/>
              </w:rPr>
              <w:t xml:space="preserve"> et al. 2019</w:t>
            </w:r>
          </w:p>
          <w:p w14:paraId="7C942C82" w14:textId="77777777" w:rsidR="00B72C24" w:rsidRPr="006025D8" w:rsidRDefault="00B72C24" w:rsidP="00462B4B">
            <w:pPr>
              <w:rPr>
                <w:rFonts w:ascii="Calibri" w:eastAsia="Arial Unicode MS" w:hAnsi="Calibri" w:cs="Calibri"/>
                <w:sz w:val="20"/>
                <w:szCs w:val="20"/>
              </w:rPr>
            </w:pPr>
            <w:proofErr w:type="spellStart"/>
            <w:r w:rsidRPr="006025D8">
              <w:rPr>
                <w:rFonts w:ascii="Calibri" w:eastAsia="Arial Unicode MS" w:hAnsi="Calibri" w:cs="Calibri"/>
                <w:sz w:val="20"/>
                <w:szCs w:val="20"/>
              </w:rPr>
              <w:t>Curr</w:t>
            </w:r>
            <w:proofErr w:type="spellEnd"/>
            <w:r w:rsidRPr="006025D8">
              <w:rPr>
                <w:rFonts w:ascii="Calibri" w:eastAsia="Arial Unicode MS" w:hAnsi="Calibri" w:cs="Calibri"/>
                <w:sz w:val="20"/>
                <w:szCs w:val="20"/>
              </w:rPr>
              <w:t xml:space="preserve"> Oncol Rep. 2019 Mar 27;21(5):42</w:t>
            </w:r>
          </w:p>
        </w:tc>
      </w:tr>
      <w:tr w:rsidR="00B72C24" w14:paraId="17673040" w14:textId="77777777" w:rsidTr="009572CD">
        <w:trPr>
          <w:trHeight w:val="1918"/>
        </w:trPr>
        <w:tc>
          <w:tcPr>
            <w:tcW w:w="188" w:type="pct"/>
          </w:tcPr>
          <w:p w14:paraId="4E0D6A97"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22</w:t>
            </w:r>
          </w:p>
        </w:tc>
        <w:tc>
          <w:tcPr>
            <w:tcW w:w="556" w:type="pct"/>
          </w:tcPr>
          <w:p w14:paraId="73BF08C1" w14:textId="77777777" w:rsidR="00B72C24" w:rsidRPr="006025D8" w:rsidRDefault="00B72C24" w:rsidP="00462B4B">
            <w:pPr>
              <w:rPr>
                <w:rFonts w:ascii="Calibri" w:hAnsi="Calibri" w:cs="Calibri"/>
                <w:sz w:val="20"/>
                <w:szCs w:val="20"/>
              </w:rPr>
            </w:pPr>
            <w:r w:rsidRPr="006025D8">
              <w:rPr>
                <w:rFonts w:ascii="Calibri" w:hAnsi="Calibri" w:cs="Calibri"/>
                <w:sz w:val="20"/>
                <w:szCs w:val="20"/>
              </w:rPr>
              <w:t>Review</w:t>
            </w:r>
          </w:p>
        </w:tc>
        <w:tc>
          <w:tcPr>
            <w:tcW w:w="1094" w:type="pct"/>
          </w:tcPr>
          <w:p w14:paraId="02BFD585" w14:textId="77777777" w:rsidR="00B72C24" w:rsidRPr="006025D8" w:rsidRDefault="00B72C24" w:rsidP="00462B4B">
            <w:pPr>
              <w:rPr>
                <w:rFonts w:ascii="Calibri" w:eastAsia="Arial Unicode MS" w:hAnsi="Calibri" w:cs="Calibri"/>
                <w:sz w:val="20"/>
                <w:szCs w:val="20"/>
              </w:rPr>
            </w:pPr>
            <w:r w:rsidRPr="006025D8">
              <w:rPr>
                <w:rFonts w:ascii="Calibri" w:eastAsia="Arial Unicode MS" w:hAnsi="Calibri" w:cs="Calibri"/>
                <w:sz w:val="20"/>
                <w:szCs w:val="20"/>
              </w:rPr>
              <w:t>DNA damage repair: An emerging strategy in metastatic prostate cancer</w:t>
            </w:r>
          </w:p>
        </w:tc>
        <w:tc>
          <w:tcPr>
            <w:tcW w:w="1492" w:type="pct"/>
          </w:tcPr>
          <w:p w14:paraId="146EF71B" w14:textId="4F99FDF0" w:rsidR="00B72C24" w:rsidRPr="006025D8" w:rsidRDefault="00B72C24" w:rsidP="00462B4B">
            <w:pPr>
              <w:rPr>
                <w:rFonts w:ascii="Calibri" w:hAnsi="Calibri" w:cs="Calibri"/>
                <w:sz w:val="20"/>
                <w:szCs w:val="20"/>
                <w:lang w:val="en-US"/>
              </w:rPr>
            </w:pPr>
            <w:r w:rsidRPr="006025D8">
              <w:rPr>
                <w:rFonts w:ascii="Calibri" w:hAnsi="Calibri" w:cs="Calibri"/>
                <w:sz w:val="20"/>
                <w:szCs w:val="20"/>
                <w:lang w:val="en-US"/>
              </w:rPr>
              <w:t>Review in prostate cancer discussing DNA repair abnormalities which mainly correspond to somatic or constitutional mutations of the BRCA2 and ATM genes. Therapeutic management of metastatic castration</w:t>
            </w:r>
            <w:r w:rsidR="006025D8">
              <w:rPr>
                <w:rFonts w:ascii="Calibri" w:hAnsi="Calibri" w:cs="Calibri"/>
                <w:sz w:val="20"/>
                <w:szCs w:val="20"/>
                <w:lang w:val="en-US"/>
              </w:rPr>
              <w:t xml:space="preserve"> </w:t>
            </w:r>
            <w:r w:rsidRPr="006025D8">
              <w:rPr>
                <w:rFonts w:ascii="Calibri" w:hAnsi="Calibri" w:cs="Calibri"/>
                <w:sz w:val="20"/>
                <w:szCs w:val="20"/>
                <w:lang w:val="en-US"/>
              </w:rPr>
              <w:t>resistant prostate cancer (</w:t>
            </w:r>
            <w:proofErr w:type="spellStart"/>
            <w:r w:rsidRPr="006025D8">
              <w:rPr>
                <w:rFonts w:ascii="Calibri" w:hAnsi="Calibri" w:cs="Calibri"/>
                <w:sz w:val="20"/>
                <w:szCs w:val="20"/>
                <w:lang w:val="en-US"/>
              </w:rPr>
              <w:t>mCRPC</w:t>
            </w:r>
            <w:proofErr w:type="spellEnd"/>
            <w:r w:rsidRPr="006025D8">
              <w:rPr>
                <w:rFonts w:ascii="Calibri" w:hAnsi="Calibri" w:cs="Calibri"/>
                <w:sz w:val="20"/>
                <w:szCs w:val="20"/>
                <w:lang w:val="en-US"/>
              </w:rPr>
              <w:t xml:space="preserve">) is currently based on new hormonal therapies and </w:t>
            </w:r>
            <w:proofErr w:type="spellStart"/>
            <w:r w:rsidRPr="006025D8">
              <w:rPr>
                <w:rFonts w:ascii="Calibri" w:hAnsi="Calibri" w:cs="Calibri"/>
                <w:sz w:val="20"/>
                <w:szCs w:val="20"/>
                <w:lang w:val="en-US"/>
              </w:rPr>
              <w:t>taxane</w:t>
            </w:r>
            <w:proofErr w:type="spellEnd"/>
            <w:r w:rsidRPr="006025D8">
              <w:rPr>
                <w:rFonts w:ascii="Calibri" w:hAnsi="Calibri" w:cs="Calibri"/>
                <w:sz w:val="20"/>
                <w:szCs w:val="20"/>
                <w:lang w:val="en-US"/>
              </w:rPr>
              <w:t>-type chemotherapy</w:t>
            </w:r>
          </w:p>
        </w:tc>
        <w:tc>
          <w:tcPr>
            <w:tcW w:w="945" w:type="pct"/>
          </w:tcPr>
          <w:p w14:paraId="000A8B99" w14:textId="77777777" w:rsidR="00B72C24" w:rsidRPr="006025D8" w:rsidRDefault="009572CD" w:rsidP="00462B4B">
            <w:pPr>
              <w:rPr>
                <w:rFonts w:ascii="Calibri" w:hAnsi="Calibri" w:cs="Calibri"/>
                <w:sz w:val="20"/>
                <w:szCs w:val="20"/>
              </w:rPr>
            </w:pPr>
            <w:hyperlink r:id="rId37" w:history="1">
              <w:r w:rsidR="00B72C24" w:rsidRPr="006025D8">
                <w:rPr>
                  <w:rStyle w:val="Hyperlink"/>
                  <w:rFonts w:ascii="Calibri" w:hAnsi="Calibri" w:cs="Calibri"/>
                  <w:sz w:val="20"/>
                  <w:szCs w:val="20"/>
                </w:rPr>
                <w:t>https://pubmed.ncbi.nlm.nih.gov/30278883/</w:t>
              </w:r>
            </w:hyperlink>
          </w:p>
          <w:p w14:paraId="2F9A2D52" w14:textId="77777777" w:rsidR="00B72C24" w:rsidRPr="006025D8" w:rsidRDefault="00B72C24" w:rsidP="00462B4B">
            <w:pPr>
              <w:rPr>
                <w:rFonts w:ascii="Calibri" w:hAnsi="Calibri" w:cs="Calibri"/>
                <w:sz w:val="20"/>
                <w:szCs w:val="20"/>
              </w:rPr>
            </w:pPr>
          </w:p>
        </w:tc>
        <w:tc>
          <w:tcPr>
            <w:tcW w:w="725" w:type="pct"/>
          </w:tcPr>
          <w:p w14:paraId="48C97A3B" w14:textId="77777777" w:rsidR="00B72C24" w:rsidRPr="006025D8" w:rsidRDefault="00B72C24" w:rsidP="00462B4B">
            <w:pPr>
              <w:rPr>
                <w:rFonts w:ascii="Calibri" w:hAnsi="Calibri" w:cs="Calibri"/>
                <w:sz w:val="20"/>
                <w:szCs w:val="20"/>
                <w:lang w:val="en-US"/>
              </w:rPr>
            </w:pPr>
            <w:proofErr w:type="spellStart"/>
            <w:r w:rsidRPr="006025D8">
              <w:rPr>
                <w:rFonts w:ascii="Calibri" w:hAnsi="Calibri" w:cs="Calibri"/>
                <w:sz w:val="20"/>
                <w:szCs w:val="20"/>
                <w:lang w:val="en-US"/>
              </w:rPr>
              <w:t>Loriot</w:t>
            </w:r>
            <w:proofErr w:type="spellEnd"/>
            <w:r w:rsidRPr="006025D8">
              <w:rPr>
                <w:rFonts w:ascii="Calibri" w:hAnsi="Calibri" w:cs="Calibri"/>
                <w:sz w:val="20"/>
                <w:szCs w:val="20"/>
                <w:lang w:val="en-US"/>
              </w:rPr>
              <w:t xml:space="preserve"> et al, 2018 </w:t>
            </w:r>
          </w:p>
          <w:p w14:paraId="74630FEF" w14:textId="77777777" w:rsidR="00B72C24" w:rsidRPr="006025D8" w:rsidRDefault="00B72C24" w:rsidP="00462B4B">
            <w:pPr>
              <w:rPr>
                <w:rFonts w:ascii="Calibri" w:eastAsia="Arial Unicode MS" w:hAnsi="Calibri" w:cs="Calibri"/>
                <w:sz w:val="20"/>
                <w:szCs w:val="20"/>
              </w:rPr>
            </w:pPr>
            <w:r w:rsidRPr="006025D8">
              <w:rPr>
                <w:rFonts w:ascii="Calibri" w:eastAsia="Arial Unicode MS" w:hAnsi="Calibri" w:cs="Calibri"/>
                <w:sz w:val="20"/>
                <w:szCs w:val="20"/>
              </w:rPr>
              <w:t>Bull Cancer. 2018 Oct;105(10):944-954</w:t>
            </w:r>
          </w:p>
        </w:tc>
      </w:tr>
    </w:tbl>
    <w:p w14:paraId="791F0387" w14:textId="35D7413D" w:rsidR="00BC0C43" w:rsidRDefault="00BC0C43" w:rsidP="00BC0C43"/>
    <w:p w14:paraId="455A5736" w14:textId="632C10E7" w:rsidR="0030566C" w:rsidRPr="009572CD" w:rsidRDefault="0030566C" w:rsidP="00BC0C43">
      <w:r w:rsidRPr="00BC0C43">
        <w:rPr>
          <w:rStyle w:val="Heading2Char"/>
        </w:rPr>
        <w:t xml:space="preserve">Identify yet-to-be-published research that may have results available </w:t>
      </w:r>
      <w:proofErr w:type="gramStart"/>
      <w:r w:rsidRPr="00BC0C43">
        <w:rPr>
          <w:rStyle w:val="Heading2Char"/>
        </w:rPr>
        <w:t>in the near future</w:t>
      </w:r>
      <w:proofErr w:type="gramEnd"/>
      <w:r w:rsidRPr="00BC0C43">
        <w:rPr>
          <w:rStyle w:val="Heading2Char"/>
        </w:rPr>
        <w:t xml:space="preserve"> (that could be relevant to your application).</w:t>
      </w:r>
      <w:r w:rsidRPr="0030566C">
        <w:t xml:space="preserve"> </w:t>
      </w:r>
    </w:p>
    <w:tbl>
      <w:tblPr>
        <w:tblStyle w:val="TableGrid"/>
        <w:tblW w:w="5000" w:type="pct"/>
        <w:tblLook w:val="04A0" w:firstRow="1" w:lastRow="0" w:firstColumn="1" w:lastColumn="0" w:noHBand="0" w:noVBand="1"/>
        <w:tblCaption w:val="Summary of Evidence - Published"/>
      </w:tblPr>
      <w:tblGrid>
        <w:gridCol w:w="598"/>
        <w:gridCol w:w="1522"/>
        <w:gridCol w:w="3119"/>
        <w:gridCol w:w="4253"/>
        <w:gridCol w:w="2694"/>
        <w:gridCol w:w="2067"/>
      </w:tblGrid>
      <w:tr w:rsidR="0030566C" w:rsidRPr="0030566C" w14:paraId="66CF159D" w14:textId="77777777" w:rsidTr="009572CD">
        <w:trPr>
          <w:cantSplit/>
          <w:tblHeader/>
        </w:trPr>
        <w:tc>
          <w:tcPr>
            <w:tcW w:w="210" w:type="pct"/>
          </w:tcPr>
          <w:p w14:paraId="1BD69B3B" w14:textId="77777777" w:rsidR="0030566C" w:rsidRPr="0030566C" w:rsidRDefault="0030566C" w:rsidP="00BC0C43"/>
        </w:tc>
        <w:tc>
          <w:tcPr>
            <w:tcW w:w="534" w:type="pct"/>
          </w:tcPr>
          <w:p w14:paraId="130DF137" w14:textId="50076720" w:rsidR="0030566C" w:rsidRPr="009572CD" w:rsidRDefault="0030566C" w:rsidP="00BC0C43">
            <w:pPr>
              <w:rPr>
                <w:b/>
                <w:bCs/>
                <w:sz w:val="20"/>
                <w:szCs w:val="20"/>
              </w:rPr>
            </w:pPr>
            <w:r w:rsidRPr="009572CD">
              <w:rPr>
                <w:b/>
                <w:bCs/>
                <w:sz w:val="20"/>
                <w:szCs w:val="20"/>
              </w:rPr>
              <w:t>Type of study design</w:t>
            </w:r>
          </w:p>
        </w:tc>
        <w:tc>
          <w:tcPr>
            <w:tcW w:w="1094" w:type="pct"/>
          </w:tcPr>
          <w:p w14:paraId="18EB8919" w14:textId="470C243F" w:rsidR="0030566C" w:rsidRPr="009572CD" w:rsidRDefault="0030566C" w:rsidP="00BC0C43">
            <w:pPr>
              <w:rPr>
                <w:b/>
                <w:bCs/>
                <w:sz w:val="20"/>
                <w:szCs w:val="20"/>
              </w:rPr>
            </w:pPr>
            <w:r w:rsidRPr="009572CD">
              <w:rPr>
                <w:b/>
                <w:bCs/>
                <w:sz w:val="20"/>
                <w:szCs w:val="20"/>
              </w:rPr>
              <w:t xml:space="preserve">Title of journal article or research project </w:t>
            </w:r>
          </w:p>
        </w:tc>
        <w:tc>
          <w:tcPr>
            <w:tcW w:w="1492" w:type="pct"/>
          </w:tcPr>
          <w:p w14:paraId="1EF74DD0" w14:textId="37D754C3" w:rsidR="0030566C" w:rsidRPr="009572CD" w:rsidRDefault="0030566C" w:rsidP="00BC0C43">
            <w:pPr>
              <w:rPr>
                <w:b/>
                <w:bCs/>
                <w:sz w:val="20"/>
                <w:szCs w:val="20"/>
              </w:rPr>
            </w:pPr>
            <w:r w:rsidRPr="009572CD">
              <w:rPr>
                <w:b/>
                <w:bCs/>
                <w:sz w:val="20"/>
                <w:szCs w:val="20"/>
              </w:rPr>
              <w:t>Short description of research</w:t>
            </w:r>
          </w:p>
        </w:tc>
        <w:tc>
          <w:tcPr>
            <w:tcW w:w="945" w:type="pct"/>
          </w:tcPr>
          <w:p w14:paraId="1070F437" w14:textId="5ADB8871" w:rsidR="0030566C" w:rsidRPr="009572CD" w:rsidRDefault="0030566C" w:rsidP="00BC0C43">
            <w:pPr>
              <w:rPr>
                <w:b/>
                <w:bCs/>
                <w:sz w:val="20"/>
                <w:szCs w:val="20"/>
              </w:rPr>
            </w:pPr>
            <w:r w:rsidRPr="009572CD">
              <w:rPr>
                <w:b/>
                <w:bCs/>
                <w:sz w:val="20"/>
                <w:szCs w:val="20"/>
              </w:rPr>
              <w:t xml:space="preserve">Website link to journal article or research </w:t>
            </w:r>
          </w:p>
        </w:tc>
        <w:tc>
          <w:tcPr>
            <w:tcW w:w="725" w:type="pct"/>
          </w:tcPr>
          <w:p w14:paraId="585598AD" w14:textId="330E3B75" w:rsidR="0030566C" w:rsidRPr="009572CD" w:rsidRDefault="0030566C" w:rsidP="00BC0C43">
            <w:pPr>
              <w:rPr>
                <w:b/>
                <w:bCs/>
                <w:sz w:val="20"/>
                <w:szCs w:val="20"/>
              </w:rPr>
            </w:pPr>
            <w:r w:rsidRPr="009572CD">
              <w:rPr>
                <w:b/>
                <w:bCs/>
                <w:sz w:val="20"/>
                <w:szCs w:val="20"/>
              </w:rPr>
              <w:t>Date of publication</w:t>
            </w:r>
          </w:p>
        </w:tc>
      </w:tr>
      <w:tr w:rsidR="00B72C24" w:rsidRPr="0030566C" w14:paraId="6A401450" w14:textId="77777777" w:rsidTr="009572CD">
        <w:trPr>
          <w:cantSplit/>
        </w:trPr>
        <w:tc>
          <w:tcPr>
            <w:tcW w:w="210" w:type="pct"/>
          </w:tcPr>
          <w:p w14:paraId="317D1009" w14:textId="24FFB186" w:rsidR="00B72C24" w:rsidRPr="009572CD" w:rsidRDefault="00B72C24" w:rsidP="00B72C24">
            <w:pPr>
              <w:rPr>
                <w:rFonts w:asciiTheme="minorHAnsi" w:hAnsiTheme="minorHAnsi" w:cstheme="minorHAnsi"/>
                <w:sz w:val="20"/>
                <w:szCs w:val="20"/>
              </w:rPr>
            </w:pPr>
            <w:r w:rsidRPr="009572CD">
              <w:rPr>
                <w:rFonts w:asciiTheme="minorHAnsi" w:hAnsiTheme="minorHAnsi" w:cstheme="minorHAnsi"/>
                <w:sz w:val="20"/>
                <w:szCs w:val="20"/>
              </w:rPr>
              <w:t>1.</w:t>
            </w:r>
          </w:p>
        </w:tc>
        <w:tc>
          <w:tcPr>
            <w:tcW w:w="534" w:type="pct"/>
          </w:tcPr>
          <w:p w14:paraId="25DD079B" w14:textId="38F464D8" w:rsidR="00B72C24" w:rsidRPr="006025D8" w:rsidRDefault="00B72C24" w:rsidP="00B72C24">
            <w:pPr>
              <w:rPr>
                <w:rFonts w:ascii="Calibri" w:hAnsi="Calibri" w:cs="Calibri"/>
                <w:b/>
                <w:sz w:val="20"/>
                <w:szCs w:val="20"/>
              </w:rPr>
            </w:pPr>
            <w:r w:rsidRPr="006025D8">
              <w:rPr>
                <w:rFonts w:ascii="Calibri" w:hAnsi="Calibri" w:cs="Calibri"/>
                <w:sz w:val="20"/>
                <w:szCs w:val="20"/>
              </w:rPr>
              <w:t xml:space="preserve">Randomised Phase III trial </w:t>
            </w:r>
          </w:p>
        </w:tc>
        <w:tc>
          <w:tcPr>
            <w:tcW w:w="1094" w:type="pct"/>
          </w:tcPr>
          <w:p w14:paraId="735E6950" w14:textId="77777777" w:rsidR="00B72C24" w:rsidRPr="006025D8" w:rsidRDefault="00B72C24" w:rsidP="00B72C24">
            <w:pPr>
              <w:rPr>
                <w:rFonts w:ascii="Calibri" w:hAnsi="Calibri" w:cs="Calibri"/>
                <w:sz w:val="20"/>
                <w:szCs w:val="20"/>
              </w:rPr>
            </w:pPr>
            <w:r w:rsidRPr="006025D8">
              <w:rPr>
                <w:rFonts w:ascii="Calibri" w:hAnsi="Calibri" w:cs="Calibri"/>
                <w:sz w:val="20"/>
                <w:szCs w:val="20"/>
              </w:rPr>
              <w:t xml:space="preserve">Talapro-3: A phase 3, double-blind, randomized study of enzalutamide (ENZA) plus </w:t>
            </w:r>
            <w:proofErr w:type="spellStart"/>
            <w:r w:rsidRPr="006025D8">
              <w:rPr>
                <w:rFonts w:ascii="Calibri" w:hAnsi="Calibri" w:cs="Calibri"/>
                <w:sz w:val="20"/>
                <w:szCs w:val="20"/>
              </w:rPr>
              <w:t>talazoparib</w:t>
            </w:r>
            <w:proofErr w:type="spellEnd"/>
            <w:r w:rsidRPr="006025D8">
              <w:rPr>
                <w:rFonts w:ascii="Calibri" w:hAnsi="Calibri" w:cs="Calibri"/>
                <w:sz w:val="20"/>
                <w:szCs w:val="20"/>
              </w:rPr>
              <w:t xml:space="preserve"> (TALA) versus placebo plus </w:t>
            </w:r>
            <w:proofErr w:type="spellStart"/>
            <w:r w:rsidRPr="006025D8">
              <w:rPr>
                <w:rFonts w:ascii="Calibri" w:hAnsi="Calibri" w:cs="Calibri"/>
                <w:sz w:val="20"/>
                <w:szCs w:val="20"/>
              </w:rPr>
              <w:t>enza</w:t>
            </w:r>
            <w:proofErr w:type="spellEnd"/>
            <w:r w:rsidRPr="006025D8">
              <w:rPr>
                <w:rFonts w:ascii="Calibri" w:hAnsi="Calibri" w:cs="Calibri"/>
                <w:sz w:val="20"/>
                <w:szCs w:val="20"/>
              </w:rPr>
              <w:t xml:space="preserve"> in patients with DDR gene mutated metastatic castration-sensitive prostate cancer (</w:t>
            </w:r>
            <w:proofErr w:type="spellStart"/>
            <w:r w:rsidRPr="006025D8">
              <w:rPr>
                <w:rFonts w:ascii="Calibri" w:hAnsi="Calibri" w:cs="Calibri"/>
                <w:sz w:val="20"/>
                <w:szCs w:val="20"/>
              </w:rPr>
              <w:t>mCSPC</w:t>
            </w:r>
            <w:proofErr w:type="spellEnd"/>
            <w:r w:rsidRPr="006025D8">
              <w:rPr>
                <w:rFonts w:ascii="Calibri" w:hAnsi="Calibri" w:cs="Calibri"/>
                <w:sz w:val="20"/>
                <w:szCs w:val="20"/>
              </w:rPr>
              <w:t>).</w:t>
            </w:r>
          </w:p>
          <w:p w14:paraId="2B799316" w14:textId="07FB2318" w:rsidR="00B72C24" w:rsidRPr="006025D8" w:rsidRDefault="00B72C24" w:rsidP="00B72C24">
            <w:pPr>
              <w:rPr>
                <w:rFonts w:ascii="Calibri" w:hAnsi="Calibri" w:cs="Calibri"/>
                <w:b/>
                <w:sz w:val="20"/>
                <w:szCs w:val="20"/>
              </w:rPr>
            </w:pPr>
            <w:r w:rsidRPr="006025D8">
              <w:rPr>
                <w:rFonts w:ascii="Calibri" w:hAnsi="Calibri" w:cs="Calibri"/>
                <w:sz w:val="20"/>
                <w:szCs w:val="20"/>
              </w:rPr>
              <w:t>ClinicalTrials.gov NCT04821622</w:t>
            </w:r>
          </w:p>
        </w:tc>
        <w:tc>
          <w:tcPr>
            <w:tcW w:w="1492" w:type="pct"/>
          </w:tcPr>
          <w:p w14:paraId="720C7B4C" w14:textId="2416F4CE" w:rsidR="00B72C24" w:rsidRPr="006025D8" w:rsidRDefault="00B72C24" w:rsidP="00B72C24">
            <w:pPr>
              <w:rPr>
                <w:rFonts w:ascii="Calibri" w:hAnsi="Calibri" w:cs="Calibri"/>
                <w:b/>
                <w:sz w:val="20"/>
                <w:szCs w:val="20"/>
              </w:rPr>
            </w:pPr>
            <w:r w:rsidRPr="006025D8">
              <w:rPr>
                <w:rFonts w:ascii="Calibri" w:hAnsi="Calibri" w:cs="Calibri"/>
                <w:sz w:val="20"/>
                <w:szCs w:val="20"/>
              </w:rPr>
              <w:t xml:space="preserve">The purpose of this study is to evaluate the efficacy and safety (including evaluating side effects) of combination of </w:t>
            </w:r>
            <w:proofErr w:type="spellStart"/>
            <w:r w:rsidRPr="006025D8">
              <w:rPr>
                <w:rFonts w:ascii="Calibri" w:hAnsi="Calibri" w:cs="Calibri"/>
                <w:sz w:val="20"/>
                <w:szCs w:val="20"/>
              </w:rPr>
              <w:t>talazoparib</w:t>
            </w:r>
            <w:proofErr w:type="spellEnd"/>
            <w:r w:rsidRPr="006025D8">
              <w:rPr>
                <w:rFonts w:ascii="Calibri" w:hAnsi="Calibri" w:cs="Calibri"/>
                <w:sz w:val="20"/>
                <w:szCs w:val="20"/>
              </w:rPr>
              <w:t xml:space="preserve"> and enzalutamide versus placebo and enzalutamide in patients with metastatic castration resistant prostate cancer (</w:t>
            </w:r>
            <w:proofErr w:type="spellStart"/>
            <w:r w:rsidRPr="006025D8">
              <w:rPr>
                <w:rFonts w:ascii="Calibri" w:hAnsi="Calibri" w:cs="Calibri"/>
                <w:sz w:val="20"/>
                <w:szCs w:val="20"/>
              </w:rPr>
              <w:t>mCRPC</w:t>
            </w:r>
            <w:proofErr w:type="spellEnd"/>
            <w:r w:rsidRPr="006025D8">
              <w:rPr>
                <w:rFonts w:ascii="Calibri" w:hAnsi="Calibri" w:cs="Calibri"/>
                <w:sz w:val="20"/>
                <w:szCs w:val="20"/>
              </w:rPr>
              <w:t>) with DDR gene mutations</w:t>
            </w:r>
          </w:p>
        </w:tc>
        <w:tc>
          <w:tcPr>
            <w:tcW w:w="945" w:type="pct"/>
          </w:tcPr>
          <w:p w14:paraId="63E2F750" w14:textId="492685AD" w:rsidR="00B72C24" w:rsidRPr="006025D8" w:rsidRDefault="009572CD" w:rsidP="00B72C24">
            <w:pPr>
              <w:rPr>
                <w:rFonts w:ascii="Calibri" w:hAnsi="Calibri" w:cs="Calibri"/>
                <w:b/>
                <w:sz w:val="20"/>
                <w:szCs w:val="20"/>
              </w:rPr>
            </w:pPr>
            <w:hyperlink r:id="rId38" w:history="1">
              <w:r w:rsidR="00B72C24" w:rsidRPr="006025D8">
                <w:rPr>
                  <w:rFonts w:ascii="Calibri" w:hAnsi="Calibri" w:cs="Calibri"/>
                  <w:color w:val="0000FF"/>
                  <w:sz w:val="20"/>
                  <w:szCs w:val="20"/>
                  <w:u w:val="single"/>
                </w:rPr>
                <w:t xml:space="preserve">Study of </w:t>
              </w:r>
              <w:proofErr w:type="spellStart"/>
              <w:r w:rsidR="00B72C24" w:rsidRPr="006025D8">
                <w:rPr>
                  <w:rFonts w:ascii="Calibri" w:hAnsi="Calibri" w:cs="Calibri"/>
                  <w:color w:val="0000FF"/>
                  <w:sz w:val="20"/>
                  <w:szCs w:val="20"/>
                  <w:u w:val="single"/>
                </w:rPr>
                <w:t>Talazoparib</w:t>
              </w:r>
              <w:proofErr w:type="spellEnd"/>
              <w:r w:rsidR="00B72C24" w:rsidRPr="006025D8">
                <w:rPr>
                  <w:rFonts w:ascii="Calibri" w:hAnsi="Calibri" w:cs="Calibri"/>
                  <w:color w:val="0000FF"/>
                  <w:sz w:val="20"/>
                  <w:szCs w:val="20"/>
                  <w:u w:val="single"/>
                </w:rPr>
                <w:t xml:space="preserve"> </w:t>
              </w:r>
              <w:proofErr w:type="gramStart"/>
              <w:r w:rsidR="00B72C24" w:rsidRPr="006025D8">
                <w:rPr>
                  <w:rFonts w:ascii="Calibri" w:hAnsi="Calibri" w:cs="Calibri"/>
                  <w:color w:val="0000FF"/>
                  <w:sz w:val="20"/>
                  <w:szCs w:val="20"/>
                  <w:u w:val="single"/>
                </w:rPr>
                <w:t>With</w:t>
              </w:r>
              <w:proofErr w:type="gramEnd"/>
              <w:r w:rsidR="00B72C24" w:rsidRPr="006025D8">
                <w:rPr>
                  <w:rFonts w:ascii="Calibri" w:hAnsi="Calibri" w:cs="Calibri"/>
                  <w:color w:val="0000FF"/>
                  <w:sz w:val="20"/>
                  <w:szCs w:val="20"/>
                  <w:u w:val="single"/>
                </w:rPr>
                <w:t xml:space="preserve"> Enzalutamide in Men With DDR Gene Mutated </w:t>
              </w:r>
              <w:proofErr w:type="spellStart"/>
              <w:r w:rsidR="00B72C24" w:rsidRPr="006025D8">
                <w:rPr>
                  <w:rFonts w:ascii="Calibri" w:hAnsi="Calibri" w:cs="Calibri"/>
                  <w:color w:val="0000FF"/>
                  <w:sz w:val="20"/>
                  <w:szCs w:val="20"/>
                  <w:u w:val="single"/>
                </w:rPr>
                <w:t>mCSPC</w:t>
              </w:r>
              <w:proofErr w:type="spellEnd"/>
              <w:r w:rsidR="00B72C24" w:rsidRPr="006025D8">
                <w:rPr>
                  <w:rFonts w:ascii="Calibri" w:hAnsi="Calibri" w:cs="Calibri"/>
                  <w:color w:val="0000FF"/>
                  <w:sz w:val="20"/>
                  <w:szCs w:val="20"/>
                  <w:u w:val="single"/>
                </w:rPr>
                <w:t xml:space="preserve"> - Full Text View - ClinicalTrials.gov</w:t>
              </w:r>
            </w:hyperlink>
          </w:p>
        </w:tc>
        <w:tc>
          <w:tcPr>
            <w:tcW w:w="725" w:type="pct"/>
          </w:tcPr>
          <w:p w14:paraId="153696B3" w14:textId="2FD4365E" w:rsidR="00B72C24" w:rsidRPr="006025D8" w:rsidRDefault="00B72C24" w:rsidP="00B72C24">
            <w:pPr>
              <w:rPr>
                <w:rFonts w:ascii="Calibri" w:hAnsi="Calibri" w:cs="Calibri"/>
                <w:b/>
                <w:sz w:val="20"/>
                <w:szCs w:val="20"/>
              </w:rPr>
            </w:pPr>
            <w:r w:rsidRPr="006025D8">
              <w:rPr>
                <w:rFonts w:ascii="Calibri" w:hAnsi="Calibri" w:cs="Calibri"/>
                <w:sz w:val="20"/>
                <w:szCs w:val="20"/>
              </w:rPr>
              <w:t>202</w:t>
            </w:r>
            <w:r w:rsidR="00E64D99">
              <w:rPr>
                <w:rFonts w:ascii="Calibri" w:hAnsi="Calibri" w:cs="Calibri"/>
                <w:sz w:val="20"/>
                <w:szCs w:val="20"/>
              </w:rPr>
              <w:t>6</w:t>
            </w:r>
          </w:p>
        </w:tc>
      </w:tr>
      <w:bookmarkEnd w:id="7"/>
    </w:tbl>
    <w:p w14:paraId="32E57EB9" w14:textId="77777777" w:rsidR="00E64D99" w:rsidRDefault="00E64D99" w:rsidP="00BC0C43">
      <w:pPr>
        <w:sectPr w:rsidR="00E64D99" w:rsidSect="00BF4BAA">
          <w:pgSz w:w="16838" w:h="11906" w:orient="landscape"/>
          <w:pgMar w:top="1440" w:right="1440" w:bottom="991" w:left="1135" w:header="426" w:footer="252" w:gutter="0"/>
          <w:cols w:space="708"/>
          <w:docGrid w:linePitch="360"/>
        </w:sectPr>
      </w:pPr>
    </w:p>
    <w:p w14:paraId="280927B1" w14:textId="0603BA65" w:rsidR="00E64D99" w:rsidRPr="00E64D99" w:rsidRDefault="00E64D99" w:rsidP="00E64D99">
      <w:pPr>
        <w:pStyle w:val="Heading1"/>
      </w:pPr>
      <w:r w:rsidRPr="00E64D99">
        <w:lastRenderedPageBreak/>
        <w:t>References</w:t>
      </w:r>
    </w:p>
    <w:p w14:paraId="024478C9" w14:textId="77777777" w:rsidR="00E64D99" w:rsidRPr="009572CD" w:rsidRDefault="00E64D99" w:rsidP="009572CD">
      <w:pPr>
        <w:rPr>
          <w:sz w:val="21"/>
          <w:szCs w:val="21"/>
        </w:rPr>
      </w:pPr>
      <w:r w:rsidRPr="009572CD">
        <w:rPr>
          <w:sz w:val="21"/>
          <w:szCs w:val="21"/>
        </w:rPr>
        <w:t xml:space="preserve">Abida, A, Armenia, J et al, Gopalan, A et al. (2017). Prospective Genomic Profiling of Prostate Cancer Across Disease States Reveals Germline and Somatic Alterations That May Affect Clinical Decision Making JCO Precis Oncol. 2017; 1: PO.17.00029. </w:t>
      </w:r>
      <w:proofErr w:type="spellStart"/>
      <w:r w:rsidRPr="009572CD">
        <w:rPr>
          <w:sz w:val="21"/>
          <w:szCs w:val="21"/>
        </w:rPr>
        <w:t>doi</w:t>
      </w:r>
      <w:proofErr w:type="spellEnd"/>
      <w:r w:rsidRPr="009572CD">
        <w:rPr>
          <w:sz w:val="21"/>
          <w:szCs w:val="21"/>
        </w:rPr>
        <w:t>: 10.1200/PO.17.00029.</w:t>
      </w:r>
    </w:p>
    <w:p w14:paraId="17DA7570" w14:textId="77777777" w:rsidR="00E64D99" w:rsidRPr="009572CD" w:rsidRDefault="00E64D99" w:rsidP="009572CD">
      <w:pPr>
        <w:rPr>
          <w:sz w:val="21"/>
          <w:szCs w:val="21"/>
        </w:rPr>
      </w:pPr>
      <w:r w:rsidRPr="009572CD">
        <w:rPr>
          <w:sz w:val="21"/>
          <w:szCs w:val="21"/>
        </w:rPr>
        <w:t xml:space="preserve">Armenia, J, </w:t>
      </w:r>
      <w:proofErr w:type="spellStart"/>
      <w:r w:rsidRPr="009572CD">
        <w:rPr>
          <w:sz w:val="21"/>
          <w:szCs w:val="21"/>
        </w:rPr>
        <w:t>Wankowicz</w:t>
      </w:r>
      <w:proofErr w:type="spellEnd"/>
      <w:r w:rsidRPr="009572CD">
        <w:rPr>
          <w:sz w:val="21"/>
          <w:szCs w:val="21"/>
        </w:rPr>
        <w:t xml:space="preserve">, S, Liu, D, et al. (2018). The long tail of oncogenic drivers in prostate cancer. Nat Genet. 2018 May;50(5):645-651. </w:t>
      </w:r>
      <w:proofErr w:type="spellStart"/>
      <w:r w:rsidRPr="009572CD">
        <w:rPr>
          <w:sz w:val="21"/>
          <w:szCs w:val="21"/>
        </w:rPr>
        <w:t>doi</w:t>
      </w:r>
      <w:proofErr w:type="spellEnd"/>
      <w:r w:rsidRPr="009572CD">
        <w:rPr>
          <w:sz w:val="21"/>
          <w:szCs w:val="21"/>
        </w:rPr>
        <w:t>: 10.1038/s41588-018-0078-z</w:t>
      </w:r>
    </w:p>
    <w:p w14:paraId="32D808EE" w14:textId="77777777" w:rsidR="00E64D99" w:rsidRPr="009572CD" w:rsidRDefault="00E64D99" w:rsidP="009572CD">
      <w:pPr>
        <w:rPr>
          <w:sz w:val="21"/>
          <w:szCs w:val="21"/>
        </w:rPr>
      </w:pPr>
      <w:r w:rsidRPr="009572CD">
        <w:rPr>
          <w:sz w:val="21"/>
          <w:szCs w:val="21"/>
        </w:rPr>
        <w:t xml:space="preserve">Chowdhury, S., </w:t>
      </w:r>
      <w:proofErr w:type="spellStart"/>
      <w:r w:rsidRPr="009572CD">
        <w:rPr>
          <w:sz w:val="21"/>
          <w:szCs w:val="21"/>
        </w:rPr>
        <w:t>Bjartell</w:t>
      </w:r>
      <w:proofErr w:type="spellEnd"/>
      <w:r w:rsidRPr="009572CD">
        <w:rPr>
          <w:sz w:val="21"/>
          <w:szCs w:val="21"/>
        </w:rPr>
        <w:t xml:space="preserve">, A., Lumen, N., </w:t>
      </w:r>
      <w:proofErr w:type="spellStart"/>
      <w:r w:rsidRPr="009572CD">
        <w:rPr>
          <w:sz w:val="21"/>
          <w:szCs w:val="21"/>
        </w:rPr>
        <w:t>Maroto</w:t>
      </w:r>
      <w:proofErr w:type="spellEnd"/>
      <w:r w:rsidRPr="009572CD">
        <w:rPr>
          <w:sz w:val="21"/>
          <w:szCs w:val="21"/>
        </w:rPr>
        <w:t xml:space="preserve">, P., </w:t>
      </w:r>
      <w:proofErr w:type="spellStart"/>
      <w:r w:rsidRPr="009572CD">
        <w:rPr>
          <w:sz w:val="21"/>
          <w:szCs w:val="21"/>
        </w:rPr>
        <w:t>Paiss</w:t>
      </w:r>
      <w:proofErr w:type="spellEnd"/>
      <w:r w:rsidRPr="009572CD">
        <w:rPr>
          <w:sz w:val="21"/>
          <w:szCs w:val="21"/>
        </w:rPr>
        <w:t>, T., Gomez-</w:t>
      </w:r>
      <w:proofErr w:type="spellStart"/>
      <w:r w:rsidRPr="009572CD">
        <w:rPr>
          <w:sz w:val="21"/>
          <w:szCs w:val="21"/>
        </w:rPr>
        <w:t>Veiga</w:t>
      </w:r>
      <w:proofErr w:type="spellEnd"/>
      <w:r w:rsidRPr="009572CD">
        <w:rPr>
          <w:sz w:val="21"/>
          <w:szCs w:val="21"/>
        </w:rPr>
        <w:t>, F., . . . Costa, L. (2020). Real-World Outcomes in First-Line Treatment of Metastatic Castration-Resistant Prostate Cancer: The Prostate Cancer Registry. Target Oncol, 15(3), 301-315. doi:10.1007/s11523-020-00720-2</w:t>
      </w:r>
    </w:p>
    <w:p w14:paraId="24DB68A1" w14:textId="77777777" w:rsidR="00E64D99" w:rsidRPr="009572CD" w:rsidRDefault="00E64D99" w:rsidP="009572CD">
      <w:pPr>
        <w:rPr>
          <w:sz w:val="21"/>
          <w:szCs w:val="21"/>
        </w:rPr>
      </w:pPr>
      <w:r w:rsidRPr="009572CD">
        <w:rPr>
          <w:sz w:val="21"/>
          <w:szCs w:val="21"/>
        </w:rPr>
        <w:t xml:space="preserve">Chung, J; </w:t>
      </w:r>
      <w:proofErr w:type="spellStart"/>
      <w:r w:rsidRPr="009572CD">
        <w:rPr>
          <w:sz w:val="21"/>
          <w:szCs w:val="21"/>
        </w:rPr>
        <w:t>Dewal</w:t>
      </w:r>
      <w:proofErr w:type="spellEnd"/>
      <w:r w:rsidRPr="009572CD">
        <w:rPr>
          <w:sz w:val="21"/>
          <w:szCs w:val="21"/>
        </w:rPr>
        <w:t xml:space="preserve">, N; Sokol, E, et al. (2019). Prospective Comprehensive Genomic Profiling of Primary and Metastatic Prostate </w:t>
      </w:r>
      <w:proofErr w:type="spellStart"/>
      <w:r w:rsidRPr="009572CD">
        <w:rPr>
          <w:sz w:val="21"/>
          <w:szCs w:val="21"/>
        </w:rPr>
        <w:t>Tumors</w:t>
      </w:r>
      <w:proofErr w:type="spellEnd"/>
      <w:r w:rsidRPr="009572CD">
        <w:rPr>
          <w:sz w:val="21"/>
          <w:szCs w:val="21"/>
        </w:rPr>
        <w:t>. JCO Precision Oncology. DOI https://doi.org/10.1200/PO.18.00283</w:t>
      </w:r>
    </w:p>
    <w:p w14:paraId="1049BDFC" w14:textId="77777777" w:rsidR="00E64D99" w:rsidRPr="009572CD" w:rsidRDefault="00E64D99" w:rsidP="009572CD">
      <w:pPr>
        <w:rPr>
          <w:sz w:val="21"/>
          <w:szCs w:val="21"/>
        </w:rPr>
      </w:pPr>
      <w:proofErr w:type="spellStart"/>
      <w:r w:rsidRPr="009572CD">
        <w:rPr>
          <w:sz w:val="21"/>
          <w:szCs w:val="21"/>
        </w:rPr>
        <w:t>Francini</w:t>
      </w:r>
      <w:proofErr w:type="spellEnd"/>
      <w:r w:rsidRPr="009572CD">
        <w:rPr>
          <w:sz w:val="21"/>
          <w:szCs w:val="21"/>
        </w:rPr>
        <w:t>, E., Gray, K. P., Shaw, G. K., Evan, C. P., Hamid, A. A., Perry, C. E., Sweeney, C. J. (2019). Impact of new systemic therapies on overall survival of patients with metastatic castration-resistant prostate cancer in a hospital-based registry. Prostate Cancer and Prostatic Diseases, 22(3), 420-427. doi:10.1038/s41391-018-0121-2</w:t>
      </w:r>
    </w:p>
    <w:p w14:paraId="780A29AF" w14:textId="77777777" w:rsidR="00E64D99" w:rsidRPr="009572CD" w:rsidRDefault="00E64D99" w:rsidP="009572CD">
      <w:pPr>
        <w:rPr>
          <w:sz w:val="21"/>
          <w:szCs w:val="21"/>
        </w:rPr>
      </w:pPr>
      <w:proofErr w:type="spellStart"/>
      <w:r w:rsidRPr="009572CD">
        <w:rPr>
          <w:sz w:val="21"/>
          <w:szCs w:val="21"/>
        </w:rPr>
        <w:t>Gandaglia</w:t>
      </w:r>
      <w:proofErr w:type="spellEnd"/>
      <w:r w:rsidRPr="009572CD">
        <w:rPr>
          <w:sz w:val="21"/>
          <w:szCs w:val="21"/>
        </w:rPr>
        <w:t xml:space="preserve">, G., </w:t>
      </w:r>
      <w:proofErr w:type="spellStart"/>
      <w:r w:rsidRPr="009572CD">
        <w:rPr>
          <w:sz w:val="21"/>
          <w:szCs w:val="21"/>
        </w:rPr>
        <w:t>Karakiewicz</w:t>
      </w:r>
      <w:proofErr w:type="spellEnd"/>
      <w:r w:rsidRPr="009572CD">
        <w:rPr>
          <w:sz w:val="21"/>
          <w:szCs w:val="21"/>
        </w:rPr>
        <w:t xml:space="preserve">, P. I., Briganti, A., </w:t>
      </w:r>
      <w:proofErr w:type="spellStart"/>
      <w:r w:rsidRPr="009572CD">
        <w:rPr>
          <w:sz w:val="21"/>
          <w:szCs w:val="21"/>
        </w:rPr>
        <w:t>Passoni</w:t>
      </w:r>
      <w:proofErr w:type="spellEnd"/>
      <w:r w:rsidRPr="009572CD">
        <w:rPr>
          <w:sz w:val="21"/>
          <w:szCs w:val="21"/>
        </w:rPr>
        <w:t xml:space="preserve">, N. M., </w:t>
      </w:r>
      <w:proofErr w:type="spellStart"/>
      <w:r w:rsidRPr="009572CD">
        <w:rPr>
          <w:sz w:val="21"/>
          <w:szCs w:val="21"/>
        </w:rPr>
        <w:t>Schiffmann</w:t>
      </w:r>
      <w:proofErr w:type="spellEnd"/>
      <w:r w:rsidRPr="009572CD">
        <w:rPr>
          <w:sz w:val="21"/>
          <w:szCs w:val="21"/>
        </w:rPr>
        <w:t xml:space="preserve">, J., Trudeau, V., . . . Sun, M. (2015). Impact of the Site of Metastases on Survival in Patients with Metastatic Prostate Cancer. European Urology, 68(2), 325-334. </w:t>
      </w:r>
      <w:proofErr w:type="gramStart"/>
      <w:r w:rsidRPr="009572CD">
        <w:rPr>
          <w:sz w:val="21"/>
          <w:szCs w:val="21"/>
        </w:rPr>
        <w:t>doi:10.1016/j.eururo</w:t>
      </w:r>
      <w:proofErr w:type="gramEnd"/>
      <w:r w:rsidRPr="009572CD">
        <w:rPr>
          <w:sz w:val="21"/>
          <w:szCs w:val="21"/>
        </w:rPr>
        <w:t>.2014.07.020</w:t>
      </w:r>
    </w:p>
    <w:p w14:paraId="38EE272B" w14:textId="77777777" w:rsidR="00E64D99" w:rsidRPr="009572CD" w:rsidRDefault="00E64D99" w:rsidP="009572CD">
      <w:pPr>
        <w:rPr>
          <w:sz w:val="21"/>
          <w:szCs w:val="21"/>
        </w:rPr>
      </w:pPr>
      <w:proofErr w:type="spellStart"/>
      <w:r w:rsidRPr="009572CD">
        <w:rPr>
          <w:sz w:val="21"/>
          <w:szCs w:val="21"/>
        </w:rPr>
        <w:t>Halabi</w:t>
      </w:r>
      <w:proofErr w:type="spellEnd"/>
      <w:r w:rsidRPr="009572CD">
        <w:rPr>
          <w:sz w:val="21"/>
          <w:szCs w:val="21"/>
        </w:rPr>
        <w:t xml:space="preserve">, S., Kelly, W. K., Ma, H., Zhou, H. J., Solomon, N. C., </w:t>
      </w:r>
      <w:proofErr w:type="spellStart"/>
      <w:r w:rsidRPr="009572CD">
        <w:rPr>
          <w:sz w:val="21"/>
          <w:szCs w:val="21"/>
        </w:rPr>
        <w:t>Fizazi</w:t>
      </w:r>
      <w:proofErr w:type="spellEnd"/>
      <w:r w:rsidRPr="009572CD">
        <w:rPr>
          <w:sz w:val="21"/>
          <w:szCs w:val="21"/>
        </w:rPr>
        <w:t>, K.</w:t>
      </w:r>
      <w:proofErr w:type="gramStart"/>
      <w:r w:rsidRPr="009572CD">
        <w:rPr>
          <w:sz w:val="21"/>
          <w:szCs w:val="21"/>
        </w:rPr>
        <w:t>,  Small</w:t>
      </w:r>
      <w:proofErr w:type="gramEnd"/>
      <w:r w:rsidRPr="009572CD">
        <w:rPr>
          <w:sz w:val="21"/>
          <w:szCs w:val="21"/>
        </w:rPr>
        <w:t xml:space="preserve">, E. J. (2016). Meta-Analysis Evaluating the Impact of Site of Metastasis on Overall Survival in Men </w:t>
      </w:r>
      <w:proofErr w:type="gramStart"/>
      <w:r w:rsidRPr="009572CD">
        <w:rPr>
          <w:sz w:val="21"/>
          <w:szCs w:val="21"/>
        </w:rPr>
        <w:t>With</w:t>
      </w:r>
      <w:proofErr w:type="gramEnd"/>
      <w:r w:rsidRPr="009572CD">
        <w:rPr>
          <w:sz w:val="21"/>
          <w:szCs w:val="21"/>
        </w:rPr>
        <w:t xml:space="preserve"> Castration-Resistant Prostate Cancer. Journal of Clinical Oncology, 34(14), 1652-U1191. doi:10.1200/Jco.2015.65.7270</w:t>
      </w:r>
    </w:p>
    <w:p w14:paraId="23617B8F" w14:textId="1BD608A2" w:rsidR="00E64D99" w:rsidRPr="009572CD" w:rsidRDefault="00E64D99" w:rsidP="009572CD">
      <w:pPr>
        <w:rPr>
          <w:sz w:val="21"/>
          <w:szCs w:val="21"/>
        </w:rPr>
      </w:pPr>
      <w:r w:rsidRPr="009572CD">
        <w:rPr>
          <w:sz w:val="21"/>
          <w:szCs w:val="21"/>
        </w:rPr>
        <w:t xml:space="preserve">Lam J, Y. C., Kaiser C, Wong W. (2018). Real-world treatment patterns and care pathways in metastatic castration resistant prostate cancer. Abstract presented at: ISPOR Annual Meeting. </w:t>
      </w:r>
    </w:p>
    <w:p w14:paraId="6DCDD5BE" w14:textId="77777777" w:rsidR="00E64D99" w:rsidRPr="009572CD" w:rsidRDefault="00E64D99" w:rsidP="009572CD">
      <w:pPr>
        <w:rPr>
          <w:sz w:val="21"/>
          <w:szCs w:val="21"/>
        </w:rPr>
      </w:pPr>
      <w:r w:rsidRPr="009572CD">
        <w:rPr>
          <w:sz w:val="21"/>
          <w:szCs w:val="21"/>
        </w:rPr>
        <w:t xml:space="preserve">Kirby, M., Hirst, C., &amp; Crawford, E. D. (2011). Characterising the castration-resistant prostate cancer population: a systematic review. Int J Clin </w:t>
      </w:r>
      <w:proofErr w:type="spellStart"/>
      <w:r w:rsidRPr="009572CD">
        <w:rPr>
          <w:sz w:val="21"/>
          <w:szCs w:val="21"/>
        </w:rPr>
        <w:t>Pract</w:t>
      </w:r>
      <w:proofErr w:type="spellEnd"/>
      <w:r w:rsidRPr="009572CD">
        <w:rPr>
          <w:sz w:val="21"/>
          <w:szCs w:val="21"/>
        </w:rPr>
        <w:t>, 65(11), 1180-1192. doi:10.1111/j.1742-1241.</w:t>
      </w:r>
      <w:proofErr w:type="gramStart"/>
      <w:r w:rsidRPr="009572CD">
        <w:rPr>
          <w:sz w:val="21"/>
          <w:szCs w:val="21"/>
        </w:rPr>
        <w:t>2011.02799.x</w:t>
      </w:r>
      <w:proofErr w:type="gramEnd"/>
    </w:p>
    <w:p w14:paraId="0C8DCE17" w14:textId="77777777" w:rsidR="00E64D99" w:rsidRPr="009572CD" w:rsidRDefault="00E64D99" w:rsidP="009572CD">
      <w:pPr>
        <w:rPr>
          <w:sz w:val="21"/>
          <w:szCs w:val="21"/>
        </w:rPr>
      </w:pPr>
      <w:r w:rsidRPr="009572CD">
        <w:rPr>
          <w:sz w:val="21"/>
          <w:szCs w:val="21"/>
        </w:rPr>
        <w:t>National Institute for Health and Care Excellence. NICE prostate cancer: diagnosis and management (NG131). (2019).</w:t>
      </w:r>
    </w:p>
    <w:p w14:paraId="372809C5" w14:textId="77777777" w:rsidR="00E64D99" w:rsidRPr="009572CD" w:rsidRDefault="00E64D99" w:rsidP="009572CD">
      <w:pPr>
        <w:rPr>
          <w:sz w:val="21"/>
          <w:szCs w:val="21"/>
        </w:rPr>
      </w:pPr>
      <w:r w:rsidRPr="009572CD">
        <w:rPr>
          <w:sz w:val="21"/>
          <w:szCs w:val="21"/>
        </w:rPr>
        <w:t xml:space="preserve">Parker, C., Castro, E., </w:t>
      </w:r>
      <w:proofErr w:type="spellStart"/>
      <w:r w:rsidRPr="009572CD">
        <w:rPr>
          <w:sz w:val="21"/>
          <w:szCs w:val="21"/>
        </w:rPr>
        <w:t>Fizazi</w:t>
      </w:r>
      <w:proofErr w:type="spellEnd"/>
      <w:r w:rsidRPr="009572CD">
        <w:rPr>
          <w:sz w:val="21"/>
          <w:szCs w:val="21"/>
        </w:rPr>
        <w:t>, K., Heidenreich, A., Ost, P., Procopio, G.</w:t>
      </w:r>
      <w:proofErr w:type="gramStart"/>
      <w:r w:rsidRPr="009572CD">
        <w:rPr>
          <w:sz w:val="21"/>
          <w:szCs w:val="21"/>
        </w:rPr>
        <w:t>, .</w:t>
      </w:r>
      <w:proofErr w:type="gramEnd"/>
      <w:r w:rsidRPr="009572CD">
        <w:rPr>
          <w:sz w:val="21"/>
          <w:szCs w:val="21"/>
        </w:rPr>
        <w:t xml:space="preserve">clinicalguidelines@esmo.org, E. G. C. E. a. (2020). Prostate cancer: ESMO Clinical Practice Guidelines for diagnosis, </w:t>
      </w:r>
      <w:proofErr w:type="gramStart"/>
      <w:r w:rsidRPr="009572CD">
        <w:rPr>
          <w:sz w:val="21"/>
          <w:szCs w:val="21"/>
        </w:rPr>
        <w:t>treatment</w:t>
      </w:r>
      <w:proofErr w:type="gramEnd"/>
      <w:r w:rsidRPr="009572CD">
        <w:rPr>
          <w:sz w:val="21"/>
          <w:szCs w:val="21"/>
        </w:rPr>
        <w:t xml:space="preserve"> and follow-up. Ann Oncol, 31(9), 1119-1134. </w:t>
      </w:r>
      <w:proofErr w:type="gramStart"/>
      <w:r w:rsidRPr="009572CD">
        <w:rPr>
          <w:sz w:val="21"/>
          <w:szCs w:val="21"/>
        </w:rPr>
        <w:t>doi:10.1016/j.annonc</w:t>
      </w:r>
      <w:proofErr w:type="gramEnd"/>
      <w:r w:rsidRPr="009572CD">
        <w:rPr>
          <w:sz w:val="21"/>
          <w:szCs w:val="21"/>
        </w:rPr>
        <w:t>.2020.06.011</w:t>
      </w:r>
    </w:p>
    <w:p w14:paraId="160B9400" w14:textId="77777777" w:rsidR="00E64D99" w:rsidRPr="009572CD" w:rsidRDefault="00E64D99" w:rsidP="009572CD">
      <w:pPr>
        <w:rPr>
          <w:sz w:val="21"/>
          <w:szCs w:val="21"/>
        </w:rPr>
      </w:pPr>
      <w:r w:rsidRPr="009572CD">
        <w:rPr>
          <w:sz w:val="21"/>
          <w:szCs w:val="21"/>
        </w:rPr>
        <w:t xml:space="preserve">Shore, N. D., </w:t>
      </w:r>
      <w:proofErr w:type="spellStart"/>
      <w:r w:rsidRPr="009572CD">
        <w:rPr>
          <w:sz w:val="21"/>
          <w:szCs w:val="21"/>
        </w:rPr>
        <w:t>Laliberte</w:t>
      </w:r>
      <w:proofErr w:type="spellEnd"/>
      <w:r w:rsidRPr="009572CD">
        <w:rPr>
          <w:sz w:val="21"/>
          <w:szCs w:val="21"/>
        </w:rPr>
        <w:t>, F., Ionescu-</w:t>
      </w:r>
      <w:proofErr w:type="spellStart"/>
      <w:r w:rsidRPr="009572CD">
        <w:rPr>
          <w:sz w:val="21"/>
          <w:szCs w:val="21"/>
        </w:rPr>
        <w:t>Ittu</w:t>
      </w:r>
      <w:proofErr w:type="spellEnd"/>
      <w:r w:rsidRPr="009572CD">
        <w:rPr>
          <w:sz w:val="21"/>
          <w:szCs w:val="21"/>
        </w:rPr>
        <w:t xml:space="preserve">, R., Yang, L. F., Mahendran, M., </w:t>
      </w:r>
      <w:proofErr w:type="spellStart"/>
      <w:r w:rsidRPr="009572CD">
        <w:rPr>
          <w:sz w:val="21"/>
          <w:szCs w:val="21"/>
        </w:rPr>
        <w:t>Lejeune</w:t>
      </w:r>
      <w:proofErr w:type="spellEnd"/>
      <w:r w:rsidRPr="009572CD">
        <w:rPr>
          <w:sz w:val="21"/>
          <w:szCs w:val="21"/>
        </w:rPr>
        <w:t>, D., . . . Ghate, S. R. (2021). Real-World Treatment Patterns and Overall Survival of Patients with Metastatic Castration-Resistant Prostate Cancer in the US Prior to PARP Inhibitors. Advances in Therapy, 38(8), 4520-4540. doi:10.1007/s12325-021-01823-6</w:t>
      </w:r>
    </w:p>
    <w:p w14:paraId="2EB12D7B" w14:textId="633A4336" w:rsidR="0030566C" w:rsidRPr="009572CD" w:rsidRDefault="00E64D99" w:rsidP="009572CD">
      <w:pPr>
        <w:rPr>
          <w:sz w:val="21"/>
          <w:szCs w:val="21"/>
        </w:rPr>
      </w:pPr>
      <w:proofErr w:type="spellStart"/>
      <w:r w:rsidRPr="009572CD">
        <w:rPr>
          <w:sz w:val="21"/>
          <w:szCs w:val="21"/>
        </w:rPr>
        <w:t>Westgeest</w:t>
      </w:r>
      <w:proofErr w:type="spellEnd"/>
      <w:r w:rsidRPr="009572CD">
        <w:rPr>
          <w:sz w:val="21"/>
          <w:szCs w:val="21"/>
        </w:rPr>
        <w:t xml:space="preserve">, H. M., </w:t>
      </w:r>
      <w:proofErr w:type="spellStart"/>
      <w:r w:rsidRPr="009572CD">
        <w:rPr>
          <w:sz w:val="21"/>
          <w:szCs w:val="21"/>
        </w:rPr>
        <w:t>Kuppen</w:t>
      </w:r>
      <w:proofErr w:type="spellEnd"/>
      <w:r w:rsidRPr="009572CD">
        <w:rPr>
          <w:sz w:val="21"/>
          <w:szCs w:val="21"/>
        </w:rPr>
        <w:t xml:space="preserve">, M. C. P., van den </w:t>
      </w:r>
      <w:proofErr w:type="spellStart"/>
      <w:r w:rsidRPr="009572CD">
        <w:rPr>
          <w:sz w:val="21"/>
          <w:szCs w:val="21"/>
        </w:rPr>
        <w:t>Eertwegh</w:t>
      </w:r>
      <w:proofErr w:type="spellEnd"/>
      <w:r w:rsidRPr="009572CD">
        <w:rPr>
          <w:sz w:val="21"/>
          <w:szCs w:val="21"/>
        </w:rPr>
        <w:t xml:space="preserve">, A. J. M., de Wit, R., Bergman, A. M., van </w:t>
      </w:r>
      <w:proofErr w:type="spellStart"/>
      <w:r w:rsidRPr="009572CD">
        <w:rPr>
          <w:sz w:val="21"/>
          <w:szCs w:val="21"/>
        </w:rPr>
        <w:t>Moorselaar</w:t>
      </w:r>
      <w:proofErr w:type="spellEnd"/>
      <w:r w:rsidRPr="009572CD">
        <w:rPr>
          <w:sz w:val="21"/>
          <w:szCs w:val="21"/>
        </w:rPr>
        <w:t xml:space="preserve">, R. J. A., . . . </w:t>
      </w:r>
      <w:proofErr w:type="spellStart"/>
      <w:r w:rsidRPr="009572CD">
        <w:rPr>
          <w:sz w:val="21"/>
          <w:szCs w:val="21"/>
        </w:rPr>
        <w:t>Uyl</w:t>
      </w:r>
      <w:proofErr w:type="spellEnd"/>
      <w:r w:rsidRPr="009572CD">
        <w:rPr>
          <w:sz w:val="21"/>
          <w:szCs w:val="21"/>
        </w:rPr>
        <w:t>-de Groot, C. A. (2021). The effects of new life-prolonging drugs for metastatic castration-resistant prostate cancer (</w:t>
      </w:r>
      <w:proofErr w:type="spellStart"/>
      <w:r w:rsidRPr="009572CD">
        <w:rPr>
          <w:sz w:val="21"/>
          <w:szCs w:val="21"/>
        </w:rPr>
        <w:t>mCRPC</w:t>
      </w:r>
      <w:proofErr w:type="spellEnd"/>
      <w:r w:rsidRPr="009572CD">
        <w:rPr>
          <w:sz w:val="21"/>
          <w:szCs w:val="21"/>
        </w:rPr>
        <w:t>) patients in a real-world population. Prostate Cancer Prostatic Dis, 24(3), 871-879. doi:10.1038/s41391-021-00344-1</w:t>
      </w:r>
    </w:p>
    <w:sectPr w:rsidR="0030566C" w:rsidRPr="009572CD" w:rsidSect="00DD308E">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7551" w14:textId="77777777" w:rsidR="00BE6B22" w:rsidRDefault="00BE6B22" w:rsidP="00BC0C43">
      <w:r>
        <w:separator/>
      </w:r>
    </w:p>
  </w:endnote>
  <w:endnote w:type="continuationSeparator" w:id="0">
    <w:p w14:paraId="26B6FD1B" w14:textId="77777777" w:rsidR="00BE6B22" w:rsidRDefault="00BE6B22" w:rsidP="00BC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ED158E6" w:rsidR="0090168B" w:rsidRDefault="0090168B" w:rsidP="002B3774">
        <w:pPr>
          <w:pStyle w:val="Footer"/>
          <w:jc w:val="right"/>
        </w:pPr>
        <w:r w:rsidRPr="002B3774">
          <w:rPr>
            <w:sz w:val="20"/>
            <w:szCs w:val="20"/>
          </w:rPr>
          <w:t xml:space="preserve">Page </w:t>
        </w:r>
        <w:r w:rsidRPr="002B3774">
          <w:rPr>
            <w:sz w:val="20"/>
            <w:szCs w:val="20"/>
          </w:rPr>
          <w:fldChar w:fldCharType="begin"/>
        </w:r>
        <w:r w:rsidRPr="002B3774">
          <w:rPr>
            <w:sz w:val="20"/>
            <w:szCs w:val="20"/>
          </w:rPr>
          <w:instrText xml:space="preserve"> PAGE  \* Arabic  \* MERGEFORMAT </w:instrText>
        </w:r>
        <w:r w:rsidRPr="002B3774">
          <w:rPr>
            <w:sz w:val="20"/>
            <w:szCs w:val="20"/>
          </w:rPr>
          <w:fldChar w:fldCharType="separate"/>
        </w:r>
        <w:r w:rsidRPr="002B3774">
          <w:rPr>
            <w:noProof/>
            <w:sz w:val="20"/>
            <w:szCs w:val="20"/>
          </w:rPr>
          <w:t>3</w:t>
        </w:r>
        <w:r w:rsidRPr="002B3774">
          <w:rPr>
            <w:sz w:val="20"/>
            <w:szCs w:val="20"/>
          </w:rPr>
          <w:fldChar w:fldCharType="end"/>
        </w:r>
        <w:r w:rsidRPr="002B3774">
          <w:rPr>
            <w:sz w:val="20"/>
            <w:szCs w:val="20"/>
          </w:rPr>
          <w:t xml:space="preserve"> of </w:t>
        </w:r>
        <w:r w:rsidRPr="002B3774">
          <w:rPr>
            <w:sz w:val="20"/>
            <w:szCs w:val="20"/>
          </w:rPr>
          <w:fldChar w:fldCharType="begin"/>
        </w:r>
        <w:r w:rsidRPr="002B3774">
          <w:rPr>
            <w:sz w:val="20"/>
            <w:szCs w:val="20"/>
          </w:rPr>
          <w:instrText xml:space="preserve"> NUMPAGES  \* Arabic  \* MERGEFORMAT </w:instrText>
        </w:r>
        <w:r w:rsidRPr="002B3774">
          <w:rPr>
            <w:sz w:val="20"/>
            <w:szCs w:val="20"/>
          </w:rPr>
          <w:fldChar w:fldCharType="separate"/>
        </w:r>
        <w:r w:rsidRPr="002B3774">
          <w:rPr>
            <w:noProof/>
            <w:sz w:val="20"/>
            <w:szCs w:val="20"/>
          </w:rPr>
          <w:t>3</w:t>
        </w:r>
        <w:r w:rsidRPr="002B3774">
          <w:rPr>
            <w:sz w:val="20"/>
            <w:szCs w:val="20"/>
          </w:rPr>
          <w:fldChar w:fldCharType="end"/>
        </w:r>
      </w:p>
    </w:sdtContent>
  </w:sdt>
  <w:p w14:paraId="355A1DA5" w14:textId="77777777" w:rsidR="0090168B" w:rsidRDefault="0090168B" w:rsidP="00BC0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8B4D47A" w14:textId="3271791B" w:rsidR="00AF600C" w:rsidRDefault="00AF600C" w:rsidP="00AF600C">
        <w:pPr>
          <w:pStyle w:val="Footer"/>
          <w:pBdr>
            <w:top w:val="single" w:sz="4" w:space="1" w:color="D9D9D9" w:themeColor="background1" w:themeShade="D9"/>
          </w:pBdr>
        </w:pPr>
      </w:p>
      <w:p w14:paraId="6C481539" w14:textId="1F7EBEDF" w:rsidR="00F95FD1" w:rsidRPr="003F7CB9" w:rsidRDefault="009572CD" w:rsidP="003F7CB9">
        <w:pPr>
          <w:pStyle w:val="Footer"/>
          <w:pBdr>
            <w:top w:val="single" w:sz="4" w:space="1" w:color="D9D9D9" w:themeColor="background1" w:themeShade="D9"/>
          </w:pBdr>
          <w:rPr>
            <w:b/>
            <w:b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272E" w14:textId="77777777" w:rsidR="00BE6B22" w:rsidRDefault="00BE6B22" w:rsidP="00BC0C43">
      <w:r>
        <w:separator/>
      </w:r>
    </w:p>
  </w:footnote>
  <w:footnote w:type="continuationSeparator" w:id="0">
    <w:p w14:paraId="3B98E09A" w14:textId="77777777" w:rsidR="00BE6B22" w:rsidRDefault="00BE6B22" w:rsidP="00BC0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206580F0" w:rsidR="00452657" w:rsidRPr="002E357C" w:rsidRDefault="00AF600C" w:rsidP="00BC0C43">
    <w:pPr>
      <w:pStyle w:val="Header"/>
    </w:pPr>
    <w:r>
      <w:t>Amendment of</w:t>
    </w:r>
    <w:r w:rsidR="00E014BD" w:rsidRPr="00E014BD">
      <w:t xml:space="preserve"> MBS items 73303 and 73304 (BRCA1/2 mutation testing in patients with metastatic castration resistant prostate cancer) to </w:t>
    </w:r>
    <w:r>
      <w:t>include</w:t>
    </w:r>
    <w:r w:rsidR="00E014BD" w:rsidRPr="00E014BD">
      <w:t xml:space="preserve"> </w:t>
    </w:r>
    <w:proofErr w:type="spellStart"/>
    <w:r w:rsidR="00E014BD" w:rsidRPr="00E014BD">
      <w:t>talazoparib</w:t>
    </w:r>
    <w:proofErr w:type="spellEnd"/>
    <w:r w:rsidR="00E014BD" w:rsidRPr="00E014BD">
      <w:t> </w:t>
    </w:r>
    <w:r w:rsidR="00BF4BAA">
      <w:t xml:space="preserve">– PICO Set </w:t>
    </w:r>
  </w:p>
  <w:p w14:paraId="6451851C" w14:textId="3CB073A8" w:rsidR="00F16239" w:rsidRDefault="00F16239" w:rsidP="00BC0C43">
    <w:pPr>
      <w:pStyle w:val="Header"/>
    </w:pPr>
    <w:r>
      <w:rPr>
        <w:noProof/>
      </w:rPr>
      <mc:AlternateContent>
        <mc:Choice Requires="wps">
          <w:drawing>
            <wp:anchor distT="0" distB="0" distL="114300" distR="114300" simplePos="0" relativeHeight="251659264"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9473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C4786"/>
    <w:multiLevelType w:val="hybridMultilevel"/>
    <w:tmpl w:val="B220F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1DF25C5"/>
    <w:multiLevelType w:val="hybridMultilevel"/>
    <w:tmpl w:val="7F5C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30418F"/>
    <w:multiLevelType w:val="hybridMultilevel"/>
    <w:tmpl w:val="860C1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475B50"/>
    <w:multiLevelType w:val="hybridMultilevel"/>
    <w:tmpl w:val="2D6A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8028714">
    <w:abstractNumId w:val="1"/>
  </w:num>
  <w:num w:numId="2" w16cid:durableId="360664488">
    <w:abstractNumId w:val="3"/>
  </w:num>
  <w:num w:numId="3" w16cid:durableId="1595044757">
    <w:abstractNumId w:val="2"/>
  </w:num>
  <w:num w:numId="4" w16cid:durableId="185395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22F5"/>
    <w:rsid w:val="00025969"/>
    <w:rsid w:val="000321E7"/>
    <w:rsid w:val="00036B9E"/>
    <w:rsid w:val="00051843"/>
    <w:rsid w:val="000627EF"/>
    <w:rsid w:val="0009097A"/>
    <w:rsid w:val="000934AF"/>
    <w:rsid w:val="000C43E5"/>
    <w:rsid w:val="001103E9"/>
    <w:rsid w:val="001311A0"/>
    <w:rsid w:val="00133084"/>
    <w:rsid w:val="0016065A"/>
    <w:rsid w:val="00197295"/>
    <w:rsid w:val="00197915"/>
    <w:rsid w:val="002172B1"/>
    <w:rsid w:val="00280050"/>
    <w:rsid w:val="002A4AE5"/>
    <w:rsid w:val="002B3774"/>
    <w:rsid w:val="002B791D"/>
    <w:rsid w:val="002B7B2B"/>
    <w:rsid w:val="002D289F"/>
    <w:rsid w:val="002D3089"/>
    <w:rsid w:val="002D7216"/>
    <w:rsid w:val="002E357C"/>
    <w:rsid w:val="0030566C"/>
    <w:rsid w:val="003538A1"/>
    <w:rsid w:val="00363A81"/>
    <w:rsid w:val="00364572"/>
    <w:rsid w:val="00380C41"/>
    <w:rsid w:val="00385237"/>
    <w:rsid w:val="003925C1"/>
    <w:rsid w:val="003A16D1"/>
    <w:rsid w:val="003A5B30"/>
    <w:rsid w:val="003B30DC"/>
    <w:rsid w:val="003B5315"/>
    <w:rsid w:val="003B5CCD"/>
    <w:rsid w:val="003C2446"/>
    <w:rsid w:val="003E5331"/>
    <w:rsid w:val="003F39D1"/>
    <w:rsid w:val="004209FC"/>
    <w:rsid w:val="0042180F"/>
    <w:rsid w:val="00452657"/>
    <w:rsid w:val="00452A33"/>
    <w:rsid w:val="00482120"/>
    <w:rsid w:val="004A45BE"/>
    <w:rsid w:val="004C02B7"/>
    <w:rsid w:val="004C7646"/>
    <w:rsid w:val="0052274F"/>
    <w:rsid w:val="00527E78"/>
    <w:rsid w:val="00545A4C"/>
    <w:rsid w:val="0055224E"/>
    <w:rsid w:val="00566CF9"/>
    <w:rsid w:val="00572CA8"/>
    <w:rsid w:val="005837E9"/>
    <w:rsid w:val="005842D9"/>
    <w:rsid w:val="005B5A58"/>
    <w:rsid w:val="005D23BC"/>
    <w:rsid w:val="005E1CFB"/>
    <w:rsid w:val="006025D8"/>
    <w:rsid w:val="00614D65"/>
    <w:rsid w:val="006227EF"/>
    <w:rsid w:val="006429A1"/>
    <w:rsid w:val="006437E6"/>
    <w:rsid w:val="00665487"/>
    <w:rsid w:val="006E38F9"/>
    <w:rsid w:val="00703D66"/>
    <w:rsid w:val="007259DB"/>
    <w:rsid w:val="00765B2C"/>
    <w:rsid w:val="00770FA6"/>
    <w:rsid w:val="007A638E"/>
    <w:rsid w:val="00836A15"/>
    <w:rsid w:val="00844922"/>
    <w:rsid w:val="008712AB"/>
    <w:rsid w:val="00884F92"/>
    <w:rsid w:val="008B20F8"/>
    <w:rsid w:val="008E18C6"/>
    <w:rsid w:val="00900C04"/>
    <w:rsid w:val="0090168B"/>
    <w:rsid w:val="00930344"/>
    <w:rsid w:val="00940409"/>
    <w:rsid w:val="00955904"/>
    <w:rsid w:val="009572CD"/>
    <w:rsid w:val="0097510A"/>
    <w:rsid w:val="00975B6D"/>
    <w:rsid w:val="009868DE"/>
    <w:rsid w:val="009C0554"/>
    <w:rsid w:val="009D5D20"/>
    <w:rsid w:val="009F54D6"/>
    <w:rsid w:val="009F6B50"/>
    <w:rsid w:val="00A05B4D"/>
    <w:rsid w:val="00A21204"/>
    <w:rsid w:val="00A435D2"/>
    <w:rsid w:val="00A46C91"/>
    <w:rsid w:val="00A6304B"/>
    <w:rsid w:val="00A8771A"/>
    <w:rsid w:val="00AF600C"/>
    <w:rsid w:val="00B10A36"/>
    <w:rsid w:val="00B67171"/>
    <w:rsid w:val="00B70617"/>
    <w:rsid w:val="00B72C24"/>
    <w:rsid w:val="00B759D1"/>
    <w:rsid w:val="00B86461"/>
    <w:rsid w:val="00B936AF"/>
    <w:rsid w:val="00BB494A"/>
    <w:rsid w:val="00BC0C43"/>
    <w:rsid w:val="00BC1AA9"/>
    <w:rsid w:val="00BC532E"/>
    <w:rsid w:val="00BD38D4"/>
    <w:rsid w:val="00BE0612"/>
    <w:rsid w:val="00BE6B22"/>
    <w:rsid w:val="00BF4BAA"/>
    <w:rsid w:val="00C349B6"/>
    <w:rsid w:val="00C57631"/>
    <w:rsid w:val="00C95333"/>
    <w:rsid w:val="00C96E92"/>
    <w:rsid w:val="00CB5480"/>
    <w:rsid w:val="00D30BCA"/>
    <w:rsid w:val="00D32DD1"/>
    <w:rsid w:val="00D42274"/>
    <w:rsid w:val="00D52CEF"/>
    <w:rsid w:val="00DB1744"/>
    <w:rsid w:val="00DB2D53"/>
    <w:rsid w:val="00DD0A06"/>
    <w:rsid w:val="00E00CD3"/>
    <w:rsid w:val="00E014BD"/>
    <w:rsid w:val="00E64D99"/>
    <w:rsid w:val="00EA7B42"/>
    <w:rsid w:val="00EF12E1"/>
    <w:rsid w:val="00F14D6C"/>
    <w:rsid w:val="00F16239"/>
    <w:rsid w:val="00F47AD7"/>
    <w:rsid w:val="00F5738E"/>
    <w:rsid w:val="00FA6D97"/>
    <w:rsid w:val="00FE257E"/>
    <w:rsid w:val="00FE4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AA"/>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BC0C43"/>
    <w:pPr>
      <w:spacing w:before="240"/>
      <w:outlineLvl w:val="0"/>
    </w:pPr>
    <w:rPr>
      <w:b/>
      <w:bCs/>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paragraph" w:styleId="Heading3">
    <w:name w:val="heading 3"/>
    <w:basedOn w:val="Normal"/>
    <w:next w:val="Normal"/>
    <w:link w:val="Heading3Char"/>
    <w:uiPriority w:val="9"/>
    <w:semiHidden/>
    <w:unhideWhenUsed/>
    <w:qFormat/>
    <w:rsid w:val="006E38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aliases w:val="Summary box,MSD Table Grid,Table Grid No Line,MP Table Grid,Dossier table,Summary Table,Section 3- footnotes,Table Gridbeth"/>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BC0C43"/>
    <w:rPr>
      <w:rFonts w:ascii="Segoe UI" w:hAnsi="Segoe UI" w:cs="Segoe UI"/>
      <w:b/>
      <w:bCs/>
      <w:sz w:val="32"/>
      <w:szCs w:val="32"/>
    </w:rPr>
  </w:style>
  <w:style w:type="character" w:styleId="Hyperlink">
    <w:name w:val="Hyperlink"/>
    <w:basedOn w:val="DefaultParagraphFont"/>
    <w:uiPriority w:val="99"/>
    <w:unhideWhenUsed/>
    <w:rsid w:val="00B72C24"/>
    <w:rPr>
      <w:color w:val="0563C1" w:themeColor="hyperlink"/>
      <w:u w:val="single"/>
    </w:rPr>
  </w:style>
  <w:style w:type="paragraph" w:customStyle="1" w:styleId="TableHEADER">
    <w:name w:val="Table HEADER"/>
    <w:basedOn w:val="Normal"/>
    <w:qFormat/>
    <w:rsid w:val="00B72C24"/>
    <w:pPr>
      <w:spacing w:before="120"/>
      <w:ind w:right="82"/>
    </w:pPr>
    <w:rPr>
      <w:rFonts w:ascii="Calibri" w:hAnsi="Calibri" w:cs="Tahoma"/>
      <w:b/>
      <w:sz w:val="20"/>
      <w:szCs w:val="20"/>
      <w:lang w:eastAsia="en-AU"/>
    </w:rPr>
  </w:style>
  <w:style w:type="character" w:styleId="UnresolvedMention">
    <w:name w:val="Unresolved Mention"/>
    <w:basedOn w:val="DefaultParagraphFont"/>
    <w:uiPriority w:val="99"/>
    <w:semiHidden/>
    <w:unhideWhenUsed/>
    <w:rsid w:val="00B72C24"/>
    <w:rPr>
      <w:color w:val="605E5C"/>
      <w:shd w:val="clear" w:color="auto" w:fill="E1DFDD"/>
    </w:rPr>
  </w:style>
  <w:style w:type="paragraph" w:styleId="ListParagraph">
    <w:name w:val="List Paragraph"/>
    <w:basedOn w:val="Normal"/>
    <w:uiPriority w:val="34"/>
    <w:qFormat/>
    <w:rsid w:val="003538A1"/>
    <w:pPr>
      <w:ind w:left="720"/>
      <w:contextualSpacing/>
    </w:pPr>
  </w:style>
  <w:style w:type="paragraph" w:styleId="Caption">
    <w:name w:val="caption"/>
    <w:aliases w:val="Caption SYNEVi,Caption PRIMA,Bayer Caption,IB Caption,Medical Caption,Bayer,Bayer Caption1,IB Caption1,Medical Caption1,Bayer Caption2,IB Caption2,Medical Caption2,Bayer Caption3,IB Caption3,Medical Caption3,Bayer Caption4,IB Caption4,Bayer1"/>
    <w:basedOn w:val="Normal"/>
    <w:next w:val="Normal"/>
    <w:link w:val="CaptionChar"/>
    <w:qFormat/>
    <w:rsid w:val="006E38F9"/>
    <w:pPr>
      <w:keepNext/>
      <w:tabs>
        <w:tab w:val="left" w:pos="1701"/>
      </w:tabs>
      <w:spacing w:before="120" w:after="60" w:line="276" w:lineRule="auto"/>
      <w:ind w:left="1699" w:hanging="1699"/>
      <w:jc w:val="both"/>
      <w:outlineLvl w:val="2"/>
    </w:pPr>
    <w:rPr>
      <w:rFonts w:ascii="Calibri" w:eastAsia="Times New Roman" w:hAnsi="Calibri" w:cs="Times New Roman"/>
      <w:b/>
      <w:bCs/>
      <w:szCs w:val="20"/>
      <w:lang w:eastAsia="en-AU"/>
    </w:rPr>
  </w:style>
  <w:style w:type="character" w:customStyle="1" w:styleId="CaptionChar">
    <w:name w:val="Caption Char"/>
    <w:aliases w:val="Caption SYNEVi Char,Caption PRIMA Char,Bayer Caption Char,IB Caption Char,Medical Caption Char,Bayer Char,Bayer Caption1 Char,IB Caption1 Char,Medical Caption1 Char,Bayer Caption2 Char,IB Caption2 Char,Medical Caption2 Char,IB Caption3 Char"/>
    <w:link w:val="Caption"/>
    <w:rsid w:val="006E38F9"/>
    <w:rPr>
      <w:rFonts w:ascii="Calibri" w:eastAsia="Times New Roman" w:hAnsi="Calibri"/>
      <w:b/>
      <w:bCs/>
      <w:sz w:val="22"/>
      <w:szCs w:val="20"/>
      <w:lang w:eastAsia="en-AU"/>
    </w:rPr>
  </w:style>
  <w:style w:type="paragraph" w:customStyle="1" w:styleId="Tabletext">
    <w:name w:val="Table text"/>
    <w:basedOn w:val="ListParagraph"/>
    <w:qFormat/>
    <w:rsid w:val="006E38F9"/>
    <w:pPr>
      <w:keepNext/>
      <w:spacing w:after="0"/>
      <w:ind w:left="0"/>
      <w:jc w:val="both"/>
    </w:pPr>
    <w:rPr>
      <w:rFonts w:asciiTheme="minorHAnsi" w:hAnsiTheme="minorHAnsi" w:cstheme="minorBidi"/>
      <w:szCs w:val="20"/>
      <w14:ligatures w14:val="standardContextual"/>
    </w:rPr>
  </w:style>
  <w:style w:type="paragraph" w:customStyle="1" w:styleId="Tableheading">
    <w:name w:val="Table heading"/>
    <w:basedOn w:val="Normal"/>
    <w:link w:val="TableheadingChar"/>
    <w:qFormat/>
    <w:rsid w:val="006E38F9"/>
    <w:pPr>
      <w:keepNext/>
      <w:keepLines/>
      <w:spacing w:after="0"/>
      <w:jc w:val="both"/>
    </w:pPr>
    <w:rPr>
      <w:rFonts w:asciiTheme="minorHAnsi" w:hAnsiTheme="minorHAnsi" w:cstheme="minorBidi"/>
      <w:b/>
      <w:szCs w:val="20"/>
    </w:rPr>
  </w:style>
  <w:style w:type="character" w:customStyle="1" w:styleId="TableheadingChar">
    <w:name w:val="Table heading Char"/>
    <w:basedOn w:val="DefaultParagraphFont"/>
    <w:link w:val="Tableheading"/>
    <w:rsid w:val="006E38F9"/>
    <w:rPr>
      <w:rFonts w:asciiTheme="minorHAnsi" w:hAnsiTheme="minorHAnsi" w:cstheme="minorBidi"/>
      <w:b/>
      <w:sz w:val="22"/>
      <w:szCs w:val="20"/>
    </w:rPr>
  </w:style>
  <w:style w:type="character" w:customStyle="1" w:styleId="Heading3Char">
    <w:name w:val="Heading 3 Char"/>
    <w:basedOn w:val="DefaultParagraphFont"/>
    <w:link w:val="Heading3"/>
    <w:uiPriority w:val="9"/>
    <w:semiHidden/>
    <w:rsid w:val="006E38F9"/>
    <w:rPr>
      <w:rFonts w:asciiTheme="majorHAnsi" w:eastAsiaTheme="majorEastAsia" w:hAnsiTheme="majorHAnsi" w:cstheme="majorBidi"/>
      <w:color w:val="1F3763" w:themeColor="accent1" w:themeShade="7F"/>
    </w:rPr>
  </w:style>
  <w:style w:type="character" w:customStyle="1" w:styleId="MainBodyTextChar">
    <w:name w:val="Main Body Text Char"/>
    <w:link w:val="MainBodyText"/>
    <w:rsid w:val="001311A0"/>
    <w:rPr>
      <w:rFonts w:ascii="Calibri" w:hAnsi="Calibri"/>
    </w:rPr>
  </w:style>
  <w:style w:type="paragraph" w:customStyle="1" w:styleId="MainBodyText">
    <w:name w:val="Main Body Text"/>
    <w:basedOn w:val="Normal"/>
    <w:link w:val="MainBodyTextChar"/>
    <w:rsid w:val="001311A0"/>
    <w:pPr>
      <w:spacing w:line="276" w:lineRule="auto"/>
      <w:jc w:val="both"/>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ubmed.ncbi.nlm.nih.gov/37285865/" TargetMode="External"/><Relationship Id="rId26" Type="http://schemas.openxmlformats.org/officeDocument/2006/relationships/hyperlink" Target="https://www.cochranelibrary.com/central/doi/10.1002/central/CN-01750310/full"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cbi.nlm.nih.gov/pmc/articles/PMC6045965/" TargetMode="External"/><Relationship Id="rId34" Type="http://schemas.openxmlformats.org/officeDocument/2006/relationships/hyperlink" Target="https://www.sciencedirect.com/science/article/pii/S0923753419459851?via%3Dihub"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pubmed.ncbi.nlm.nih.gov/29367197/" TargetMode="External"/><Relationship Id="rId33" Type="http://schemas.openxmlformats.org/officeDocument/2006/relationships/hyperlink" Target="https://www.ncbi.nlm.nih.gov/pmc/articles/PMC6073096/" TargetMode="External"/><Relationship Id="rId38" Type="http://schemas.openxmlformats.org/officeDocument/2006/relationships/hyperlink" Target="https://classic.clinicaltrials.gov/ct2/show/NCT04821622"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sciencedirect.com/science/article/pii/S0302283819304531" TargetMode="External"/><Relationship Id="rId29" Type="http://schemas.openxmlformats.org/officeDocument/2006/relationships/hyperlink" Target="https://ascopubs.org/doi/10.1200/JCO.2022.40.16_suppl.501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qap.com.au/home-page" TargetMode="External"/><Relationship Id="rId24" Type="http://schemas.openxmlformats.org/officeDocument/2006/relationships/hyperlink" Target="https://www.cochranelibrary.com/central/doi/10.1002/central/CN-01267739/full" TargetMode="External"/><Relationship Id="rId32" Type="http://schemas.openxmlformats.org/officeDocument/2006/relationships/hyperlink" Target="https://www.ncbi.nlm.nih.gov/pmc/articles/PMC6723995/" TargetMode="External"/><Relationship Id="rId37" Type="http://schemas.openxmlformats.org/officeDocument/2006/relationships/hyperlink" Target="https://pubmed.ncbi.nlm.nih.gov/30278883/"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nejm.org/doi/full/10.1056/NEJMoa1603144" TargetMode="External"/><Relationship Id="rId28" Type="http://schemas.openxmlformats.org/officeDocument/2006/relationships/hyperlink" Target="https://www.cochranelibrary.com/central/doi/10.1002/central/CN-01733597/full" TargetMode="External"/><Relationship Id="rId36" Type="http://schemas.openxmlformats.org/officeDocument/2006/relationships/hyperlink" Target="https://pubmed.ncbi.nlm.nih.gov/30919167/" TargetMode="External"/><Relationship Id="rId10" Type="http://schemas.openxmlformats.org/officeDocument/2006/relationships/endnotes" Target="endnotes.xml"/><Relationship Id="rId19" Type="http://schemas.openxmlformats.org/officeDocument/2006/relationships/hyperlink" Target="https://pubmed.ncbi.nlm.nih.gov/36996325/" TargetMode="External"/><Relationship Id="rId31" Type="http://schemas.openxmlformats.org/officeDocument/2006/relationships/hyperlink" Target="https://pubmed.ncbi.nlm.nih.gov/327103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ncbi.nlm.nih.gov/pubmed/28259476" TargetMode="External"/><Relationship Id="rId27" Type="http://schemas.openxmlformats.org/officeDocument/2006/relationships/hyperlink" Target="https://www.cochranelibrary.com/central/doi/10.1002/central/CN-01295966/full%20%0d" TargetMode="External"/><Relationship Id="rId30" Type="http://schemas.openxmlformats.org/officeDocument/2006/relationships/hyperlink" Target="https://pubmed.ncbi.nlm.nih.gov/34800653/" TargetMode="External"/><Relationship Id="rId35" Type="http://schemas.openxmlformats.org/officeDocument/2006/relationships/hyperlink" Target="https://www.ncbi.nlm.nih.gov/pubmed/30281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7" ma:contentTypeDescription="Create a new document." ma:contentTypeScope="" ma:versionID="4b4ccd00d60b34dfd504305be79b870d">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fd8df0d0f438dd9c55e0f65836c38d64"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894E7-6978-467B-8840-11305A50B437}">
  <ds:schemaRefs>
    <ds:schemaRef ds:uri="http://schemas.openxmlformats.org/officeDocument/2006/bibliography"/>
  </ds:schemaRefs>
</ds:datastoreItem>
</file>

<file path=customXml/itemProps2.xml><?xml version="1.0" encoding="utf-8"?>
<ds:datastoreItem xmlns:ds="http://schemas.openxmlformats.org/officeDocument/2006/customXml" ds:itemID="{161B394B-66BB-4793-B7A7-99F1010DB3C2}">
  <ds:schemaRefs>
    <ds:schemaRef ds:uri="http://schemas.microsoft.com/sharepoint/v3/contenttype/forms"/>
  </ds:schemaRefs>
</ds:datastoreItem>
</file>

<file path=customXml/itemProps3.xml><?xml version="1.0" encoding="utf-8"?>
<ds:datastoreItem xmlns:ds="http://schemas.openxmlformats.org/officeDocument/2006/customXml" ds:itemID="{71BADFAB-F707-482F-A1FE-3BBBC719B03B}">
  <ds:schemaRefs>
    <ds:schemaRef ds:uri="http://schemas.microsoft.com/office/2006/metadata/properties"/>
    <ds:schemaRef ds:uri="http://schemas.microsoft.com/office/infopath/2007/PartnerControls"/>
    <ds:schemaRef ds:uri="5e6c165d-1334-4e3d-ac4c-cda196070297"/>
    <ds:schemaRef ds:uri="7ea72d31-b391-468a-afa4-2af449538c2c"/>
  </ds:schemaRefs>
</ds:datastoreItem>
</file>

<file path=customXml/itemProps4.xml><?xml version="1.0" encoding="utf-8"?>
<ds:datastoreItem xmlns:ds="http://schemas.openxmlformats.org/officeDocument/2006/customXml" ds:itemID="{A9C08BB8-5F5B-4F20-A68D-D74FD1453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9338</Words>
  <Characters>53229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2</cp:revision>
  <dcterms:created xsi:type="dcterms:W3CDTF">2023-11-09T05:00:00Z</dcterms:created>
  <dcterms:modified xsi:type="dcterms:W3CDTF">2023-11-09T05:00:00Z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y fmtid="{D5CDD505-2E9C-101B-9397-08002B2CF9AE}" pid="3" name="MSIP_Label_4791b42f-c435-42ca-9531-75a3f42aae3d_Enabled">
    <vt:lpwstr>true</vt:lpwstr>
  </property>
  <property fmtid="{D5CDD505-2E9C-101B-9397-08002B2CF9AE}" pid="4" name="MSIP_Label_4791b42f-c435-42ca-9531-75a3f42aae3d_SetDate">
    <vt:lpwstr>2023-11-06T04:38:29Z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d230f045-a374-433b-99dc-722db843f0ad</vt:lpwstr>
  </property>
  <property fmtid="{D5CDD505-2E9C-101B-9397-08002B2CF9AE}" pid="9" name="MSIP_Label_4791b42f-c435-42ca-9531-75a3f42aae3d_ContentBits">
    <vt:lpwstr>0</vt:lpwstr>
  </property>
</Properties>
</file>