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2F69" w14:textId="77777777" w:rsidR="001D4C4D" w:rsidRDefault="001D4C4D" w:rsidP="00D200D1">
      <w:pPr>
        <w:pStyle w:val="Heading1"/>
        <w:sectPr w:rsidR="001D4C4D" w:rsidSect="000F4DD6">
          <w:headerReference w:type="default" r:id="rId11"/>
          <w:footerReference w:type="default" r:id="rId12"/>
          <w:footerReference w:type="first" r:id="rId13"/>
          <w:pgSz w:w="11906" w:h="16838"/>
          <w:pgMar w:top="1134" w:right="991" w:bottom="1135" w:left="1440" w:header="426" w:footer="252" w:gutter="0"/>
          <w:cols w:space="708"/>
          <w:titlePg/>
          <w:docGrid w:linePitch="360"/>
        </w:sectPr>
      </w:pPr>
    </w:p>
    <w:p w14:paraId="32DD9FBE" w14:textId="1D8DEE88" w:rsidR="001D4C4D" w:rsidRPr="00E95F5C" w:rsidRDefault="001D4C4D" w:rsidP="00EF0E8E">
      <w:pPr>
        <w:pStyle w:val="Heading1"/>
        <w:spacing w:before="2080"/>
        <w:jc w:val="center"/>
        <w:rPr>
          <w:rFonts w:ascii="Arial" w:hAnsi="Arial" w:cs="Arial"/>
          <w:sz w:val="52"/>
          <w:szCs w:val="52"/>
        </w:rPr>
      </w:pPr>
      <w:r w:rsidRPr="00E95F5C">
        <w:rPr>
          <w:rFonts w:ascii="Arial" w:hAnsi="Arial" w:cs="Arial"/>
          <w:sz w:val="52"/>
          <w:szCs w:val="52"/>
        </w:rPr>
        <w:t>MSAC Application 1751</w:t>
      </w:r>
    </w:p>
    <w:p w14:paraId="63D3194F" w14:textId="536BB7AE" w:rsidR="00E95F5C" w:rsidRPr="00EF0E8E" w:rsidRDefault="001D4C4D" w:rsidP="00EF0E8E">
      <w:pPr>
        <w:pStyle w:val="Heading1"/>
        <w:spacing w:before="600" w:after="600"/>
        <w:jc w:val="center"/>
        <w:rPr>
          <w:rFonts w:ascii="Arial" w:hAnsi="Arial" w:cs="Arial"/>
          <w:color w:val="0070C0"/>
          <w:sz w:val="52"/>
          <w:szCs w:val="52"/>
        </w:rPr>
      </w:pPr>
      <w:r w:rsidRPr="00E95F5C">
        <w:rPr>
          <w:rFonts w:ascii="Arial" w:hAnsi="Arial" w:cs="Arial"/>
          <w:color w:val="0070C0"/>
          <w:sz w:val="52"/>
          <w:szCs w:val="52"/>
        </w:rPr>
        <w:t xml:space="preserve">Valoctocogene </w:t>
      </w:r>
      <w:proofErr w:type="spellStart"/>
      <w:r w:rsidRPr="00E95F5C">
        <w:rPr>
          <w:rFonts w:ascii="Arial" w:hAnsi="Arial" w:cs="Arial"/>
          <w:color w:val="0070C0"/>
          <w:sz w:val="52"/>
          <w:szCs w:val="52"/>
        </w:rPr>
        <w:t>roxaparvovec</w:t>
      </w:r>
      <w:proofErr w:type="spellEnd"/>
      <w:r w:rsidRPr="00E95F5C">
        <w:rPr>
          <w:rFonts w:ascii="Arial" w:hAnsi="Arial" w:cs="Arial"/>
          <w:color w:val="0070C0"/>
          <w:sz w:val="52"/>
          <w:szCs w:val="52"/>
        </w:rPr>
        <w:t xml:space="preserve"> for </w:t>
      </w:r>
      <w:r w:rsidR="00E95F5C" w:rsidRPr="00E95F5C">
        <w:rPr>
          <w:rFonts w:ascii="Arial" w:hAnsi="Arial" w:cs="Arial"/>
          <w:color w:val="0070C0"/>
          <w:sz w:val="52"/>
          <w:szCs w:val="52"/>
        </w:rPr>
        <w:t>H</w:t>
      </w:r>
      <w:r w:rsidRPr="00E95F5C">
        <w:rPr>
          <w:rFonts w:ascii="Arial" w:hAnsi="Arial" w:cs="Arial"/>
          <w:color w:val="0070C0"/>
          <w:sz w:val="52"/>
          <w:szCs w:val="52"/>
        </w:rPr>
        <w:t>aemophilia A</w:t>
      </w:r>
    </w:p>
    <w:p w14:paraId="0C537E35" w14:textId="60376EB4" w:rsidR="00E95F5C" w:rsidRPr="00E95F5C" w:rsidRDefault="00E95F5C" w:rsidP="00E95F5C">
      <w:pPr>
        <w:jc w:val="center"/>
        <w:rPr>
          <w:rFonts w:ascii="Arial" w:hAnsi="Arial" w:cs="Arial"/>
          <w:b/>
          <w:sz w:val="52"/>
          <w:szCs w:val="52"/>
        </w:rPr>
        <w:sectPr w:rsidR="00E95F5C" w:rsidRPr="00E95F5C" w:rsidSect="001D4C4D">
          <w:type w:val="continuous"/>
          <w:pgSz w:w="11906" w:h="16838"/>
          <w:pgMar w:top="1134" w:right="991" w:bottom="1135" w:left="1440" w:header="426" w:footer="252" w:gutter="0"/>
          <w:cols w:space="708"/>
          <w:docGrid w:linePitch="360"/>
        </w:sectPr>
      </w:pPr>
      <w:r w:rsidRPr="00E95F5C">
        <w:rPr>
          <w:rFonts w:ascii="Arial" w:hAnsi="Arial" w:cs="Arial"/>
          <w:b/>
          <w:sz w:val="52"/>
          <w:szCs w:val="52"/>
        </w:rPr>
        <w:t>PICO Set 1</w:t>
      </w:r>
    </w:p>
    <w:p w14:paraId="3A11EFC1" w14:textId="5BFCEB71" w:rsidR="00C742AE" w:rsidRDefault="00C742AE" w:rsidP="00D200D1">
      <w:pPr>
        <w:spacing w:after="0"/>
      </w:pPr>
      <w:r>
        <w:rPr>
          <w:rFonts w:eastAsia="Segoe UI"/>
          <w:b/>
          <w:color w:val="000000"/>
          <w:sz w:val="30"/>
        </w:rPr>
        <w:lastRenderedPageBreak/>
        <w:t xml:space="preserve">PICO set 1: Valoctocogene </w:t>
      </w:r>
      <w:proofErr w:type="spellStart"/>
      <w:r>
        <w:rPr>
          <w:rFonts w:eastAsia="Segoe UI"/>
          <w:b/>
          <w:color w:val="000000"/>
          <w:sz w:val="30"/>
        </w:rPr>
        <w:t>roxaparvovec</w:t>
      </w:r>
      <w:proofErr w:type="spellEnd"/>
      <w:r>
        <w:rPr>
          <w:rFonts w:eastAsia="Segoe UI"/>
          <w:b/>
          <w:color w:val="000000"/>
          <w:sz w:val="30"/>
        </w:rPr>
        <w:t xml:space="preserve"> for haemophilia A</w:t>
      </w:r>
    </w:p>
    <w:p w14:paraId="51305D88" w14:textId="77777777" w:rsidR="00755CF2" w:rsidRPr="006A0DAC" w:rsidRDefault="00755CF2" w:rsidP="00D200D1">
      <w:pPr>
        <w:pStyle w:val="Heading1"/>
      </w:pPr>
      <w:r w:rsidRPr="006A0DAC">
        <w:t>Population</w:t>
      </w:r>
    </w:p>
    <w:p w14:paraId="47811541" w14:textId="77777777" w:rsidR="00755CF2" w:rsidRPr="006A0DAC" w:rsidRDefault="00755CF2" w:rsidP="00755CF2">
      <w:pPr>
        <w:pStyle w:val="Heading2"/>
      </w:pPr>
      <w:r w:rsidRPr="006A0DAC">
        <w:t>Describe the population in which the proposed health technology is intended to be used:</w:t>
      </w:r>
    </w:p>
    <w:p w14:paraId="3E193934" w14:textId="229D5073" w:rsidR="00755CF2" w:rsidRPr="00E55AC1" w:rsidRDefault="00755CF2" w:rsidP="00755CF2">
      <w:r w:rsidRPr="6B660F63">
        <w:t xml:space="preserve">Haemophilia A (HA) is a genetic bleeding disorder caused by changes in the coagulation factor VIII (FVIII) (F8) gene resulting in a deficiency of the coagulation factor VIII (FVIII). As an X-linked congenital bleeding disorder, </w:t>
      </w:r>
      <w:proofErr w:type="gramStart"/>
      <w:r w:rsidRPr="6B660F63">
        <w:t>the vast majority of</w:t>
      </w:r>
      <w:proofErr w:type="gramEnd"/>
      <w:r w:rsidRPr="6B660F63">
        <w:t xml:space="preserve"> affected individuals are male with a reported incidence in Australia of approximately 11.5 per 100,000 males (Australian Haemophilia Centre Directors’ Organisation [AHCDO] 2016). The characteristic phenotype in haemophilia is the bleeding tendency with severity of bleeding directly correlated to the level of clotting factor</w:t>
      </w:r>
      <w:r w:rsidR="00FA311F">
        <w:t xml:space="preserve"> (Table 1)</w:t>
      </w:r>
      <w:r w:rsidRPr="6B660F63">
        <w:t>. In the most severe cases, bleeding episodes most commonly occur internally into the joints or muscles leading to painful, progressive, and irreversible joint damage, however some bleeds can be life threatening, such as intracranial or gastrointestinal bleeds and require immediate treatment (Srivastava 20</w:t>
      </w:r>
      <w:r>
        <w:t>20</w:t>
      </w:r>
      <w:r w:rsidRPr="6B660F63">
        <w:t>). Bleeding may occur spontaneously without trauma or injury. Untreated, bleeding may result in permanent damage to muscles and joints, chronic pain, and death (AHCDO, 2016).</w:t>
      </w:r>
    </w:p>
    <w:p w14:paraId="68B44A84" w14:textId="77777777" w:rsidR="00755CF2" w:rsidRDefault="00755CF2" w:rsidP="00755CF2">
      <w:r w:rsidRPr="6B660F63">
        <w:t xml:space="preserve">One of the most common clinical manifestations and debilitating complications of bleeding in haemophilia A is joint damage, also known as haemophilic arthropathy. Joint damage in haemophilia A occurs </w:t>
      </w:r>
      <w:proofErr w:type="gramStart"/>
      <w:r w:rsidRPr="6B660F63">
        <w:t>as a result of</w:t>
      </w:r>
      <w:proofErr w:type="gramEnd"/>
      <w:r w:rsidRPr="6B660F63">
        <w:t xml:space="preserve"> recurrent bleeding into the joint space. The blood causes inflammation, leading to damage to the cartilage and other joint structures. Over time, this can lead to chronic pain, stiffness, and decreased range of motion. In severe cases, joint damage can result in disability and the need for joint replacement surgery (</w:t>
      </w:r>
      <w:proofErr w:type="spellStart"/>
      <w:r w:rsidRPr="6B660F63">
        <w:t>Knobe</w:t>
      </w:r>
      <w:proofErr w:type="spellEnd"/>
      <w:r w:rsidRPr="6B660F63">
        <w:t xml:space="preserve"> &amp; </w:t>
      </w:r>
      <w:proofErr w:type="spellStart"/>
      <w:r w:rsidRPr="6B660F63">
        <w:t>Bernstorp</w:t>
      </w:r>
      <w:proofErr w:type="spellEnd"/>
      <w:r w:rsidRPr="6B660F63">
        <w:t xml:space="preserve"> 2011). Prophylactic treatment with FVIII therapy does decrease frequency of bleeding and therefore may slow the progression of joint disease; however, it does not reverse established joint damage (AHCDO, 2016).</w:t>
      </w:r>
    </w:p>
    <w:p w14:paraId="679BA6DB" w14:textId="77777777" w:rsidR="00755CF2" w:rsidRPr="00E55AC1" w:rsidRDefault="00755CF2" w:rsidP="00755CF2">
      <w:pPr>
        <w:rPr>
          <w:u w:val="single"/>
        </w:rPr>
      </w:pPr>
      <w:r w:rsidRPr="00E55AC1">
        <w:rPr>
          <w:u w:val="single"/>
        </w:rPr>
        <w:t>Diagnosis</w:t>
      </w:r>
    </w:p>
    <w:p w14:paraId="595D17E4" w14:textId="77777777" w:rsidR="00755CF2" w:rsidRPr="00E55AC1" w:rsidRDefault="00755CF2" w:rsidP="00755CF2">
      <w:r w:rsidRPr="00E55AC1">
        <w:t>Accurate diagnosis of patients with haemophilia is imperative to ensure appropriate management. Diagnosis of haemophilia typically involves the following:</w:t>
      </w:r>
    </w:p>
    <w:p w14:paraId="636A7B17" w14:textId="77777777" w:rsidR="00755CF2" w:rsidRPr="00E55AC1" w:rsidRDefault="00755CF2" w:rsidP="00755CF2">
      <w:pPr>
        <w:pStyle w:val="ListParagraph"/>
        <w:numPr>
          <w:ilvl w:val="0"/>
          <w:numId w:val="2"/>
        </w:numPr>
        <w:spacing w:line="259" w:lineRule="auto"/>
      </w:pPr>
      <w:r w:rsidRPr="00E55AC1">
        <w:t xml:space="preserve">Clinical history / physical signs of unusual bleeding </w:t>
      </w:r>
    </w:p>
    <w:p w14:paraId="07010577" w14:textId="77777777" w:rsidR="00755CF2" w:rsidRPr="00E55AC1" w:rsidRDefault="00755CF2" w:rsidP="00755CF2">
      <w:pPr>
        <w:pStyle w:val="ListParagraph"/>
        <w:numPr>
          <w:ilvl w:val="0"/>
          <w:numId w:val="2"/>
        </w:numPr>
        <w:spacing w:line="259" w:lineRule="auto"/>
      </w:pPr>
      <w:r w:rsidRPr="00E55AC1">
        <w:t>Family history of bleeding problems</w:t>
      </w:r>
    </w:p>
    <w:p w14:paraId="4D3B4D1E" w14:textId="77777777" w:rsidR="00755CF2" w:rsidRPr="00E55AC1" w:rsidRDefault="00755CF2" w:rsidP="00755CF2">
      <w:pPr>
        <w:pStyle w:val="ListParagraph"/>
        <w:numPr>
          <w:ilvl w:val="0"/>
          <w:numId w:val="2"/>
        </w:numPr>
        <w:spacing w:line="259" w:lineRule="auto"/>
      </w:pPr>
      <w:r w:rsidRPr="00E55AC1">
        <w:t>Blood test for clotting factor VIII</w:t>
      </w:r>
    </w:p>
    <w:p w14:paraId="770A5C26" w14:textId="77777777" w:rsidR="00755CF2" w:rsidRPr="00E55AC1" w:rsidRDefault="00755CF2" w:rsidP="00755CF2">
      <w:pPr>
        <w:pStyle w:val="ListParagraph"/>
        <w:numPr>
          <w:ilvl w:val="0"/>
          <w:numId w:val="2"/>
        </w:numPr>
        <w:spacing w:line="259" w:lineRule="auto"/>
      </w:pPr>
      <w:r w:rsidRPr="00E55AC1">
        <w:t xml:space="preserve">Genetic testing that identifies a </w:t>
      </w:r>
      <w:r>
        <w:t>variant</w:t>
      </w:r>
      <w:r w:rsidRPr="00E55AC1">
        <w:t xml:space="preserve"> in the F8 gene that causes haemophilia. </w:t>
      </w:r>
    </w:p>
    <w:p w14:paraId="637E1F5B" w14:textId="77777777" w:rsidR="00755CF2" w:rsidRPr="00E55AC1" w:rsidRDefault="00755CF2" w:rsidP="00755CF2">
      <w:r w:rsidRPr="00E55AC1">
        <w:t>Patients presenting with a clinical history of easy bruising in early childhood, spontaneous bleeding, excessive bleeding following surgery / trauma, family history of bleeding may be suspected of having haemophilia. A definitive diagnosis of haemophilia A is made based on laboratory assay results that demonstrate a deficiency of FVIII (AHCDO 2016). These tests are typically undertaken at the Haemophilia Treatment Centre (HTC).</w:t>
      </w:r>
    </w:p>
    <w:p w14:paraId="7885C224" w14:textId="77777777" w:rsidR="00755CF2" w:rsidRPr="00E55AC1" w:rsidRDefault="00755CF2" w:rsidP="00755CF2">
      <w:r w:rsidRPr="00E55AC1">
        <w:t>A</w:t>
      </w:r>
      <w:r>
        <w:t>ccording to</w:t>
      </w:r>
      <w:r w:rsidRPr="00E55AC1">
        <w:t xml:space="preserve"> the Haemophilia Foundation Australia (HFA), genetic testing takes place via specialist clinical genetics service, with the patient usually referred through </w:t>
      </w:r>
      <w:r>
        <w:t>an</w:t>
      </w:r>
      <w:r w:rsidRPr="00E55AC1">
        <w:t xml:space="preserve"> HTC. Diagnosis is usually confirmed by specialists at a</w:t>
      </w:r>
      <w:r>
        <w:t>n</w:t>
      </w:r>
      <w:r w:rsidRPr="00E55AC1">
        <w:t xml:space="preserve"> HTC. There are currently 18 HTCs in Australia distributed across states and territories.</w:t>
      </w:r>
    </w:p>
    <w:p w14:paraId="451CB754" w14:textId="77777777" w:rsidR="00D200D1" w:rsidRDefault="00D200D1">
      <w:pPr>
        <w:spacing w:line="259" w:lineRule="auto"/>
        <w:rPr>
          <w:u w:val="single"/>
        </w:rPr>
      </w:pPr>
      <w:r>
        <w:rPr>
          <w:u w:val="single"/>
        </w:rPr>
        <w:br w:type="page"/>
      </w:r>
    </w:p>
    <w:p w14:paraId="3E75E859" w14:textId="341FDAE1" w:rsidR="00755CF2" w:rsidRPr="00170D4B" w:rsidRDefault="00755CF2" w:rsidP="00D200D1">
      <w:pPr>
        <w:spacing w:after="60"/>
        <w:rPr>
          <w:u w:val="single"/>
        </w:rPr>
      </w:pPr>
      <w:r w:rsidRPr="00170D4B">
        <w:rPr>
          <w:u w:val="single"/>
        </w:rPr>
        <w:lastRenderedPageBreak/>
        <w:t>Severity</w:t>
      </w:r>
    </w:p>
    <w:p w14:paraId="0439112E" w14:textId="0164FFBC" w:rsidR="00755CF2" w:rsidRPr="00D200D1" w:rsidRDefault="00755CF2" w:rsidP="00D200D1">
      <w:r w:rsidRPr="00E55AC1">
        <w:t>The severity of haemophilia A is determined by the levels of residual FVIII (</w:t>
      </w:r>
      <w:r w:rsidRPr="00E55AC1">
        <w:fldChar w:fldCharType="begin"/>
      </w:r>
      <w:r w:rsidRPr="00E55AC1">
        <w:instrText xml:space="preserve"> REF _Ref117072135 \h  \* MERGEFORMAT </w:instrText>
      </w:r>
      <w:r w:rsidRPr="00E55AC1">
        <w:fldChar w:fldCharType="separate"/>
      </w:r>
      <w:r w:rsidR="00D016AE">
        <w:t>Table</w:t>
      </w:r>
      <w:r w:rsidRPr="00E55AC1">
        <w:fldChar w:fldCharType="end"/>
      </w:r>
      <w:r w:rsidRPr="00E55AC1">
        <w:t xml:space="preserve">). </w:t>
      </w:r>
      <w:r>
        <w:t>A</w:t>
      </w:r>
      <w:r w:rsidRPr="00E55AC1">
        <w:t xml:space="preserve"> normal FVIII concentration </w:t>
      </w:r>
      <w:proofErr w:type="gramStart"/>
      <w:r w:rsidRPr="00E55AC1">
        <w:t>is considered to be</w:t>
      </w:r>
      <w:proofErr w:type="gramEnd"/>
      <w:r w:rsidRPr="00E55AC1">
        <w:t xml:space="preserve"> within the range of 50-150 IU/dl (0.5-1.5 IU/ml), </w:t>
      </w:r>
      <w:r>
        <w:t xml:space="preserve">while </w:t>
      </w:r>
      <w:r w:rsidRPr="00E55AC1">
        <w:t>patients with severe haemophilia A have FVIII levels of &lt;1 IU/dl (or &lt;1% of normal activity). These patients not only experience bleeding in relation to trauma or surgery, but they also suffer from recurrent, spontaneous</w:t>
      </w:r>
      <w:r>
        <w:t>,</w:t>
      </w:r>
      <w:r w:rsidRPr="00E55AC1">
        <w:t xml:space="preserve"> and sub-clinical bleeding episodes which occur in the absence of any identifiable haemostatic challenge. Untreated, patients with severe haemophilia A can suffer from 30-50 bleeds per year and may also experience significant complications, including frequent joint bleeds, leading to arthropathy, pain and reduced health-related quality of life (Manco-Johnson, 2013). </w:t>
      </w:r>
    </w:p>
    <w:p w14:paraId="1C54C08B" w14:textId="31481BD0" w:rsidR="00755CF2" w:rsidRPr="001600EF" w:rsidRDefault="00755CF2" w:rsidP="00755CF2">
      <w:pPr>
        <w:pStyle w:val="Caption"/>
      </w:pPr>
      <w:bookmarkStart w:id="0" w:name="_Ref117072135"/>
      <w:bookmarkStart w:id="1" w:name="_Toc111194408"/>
      <w:r>
        <w:t>Table</w:t>
      </w:r>
      <w:bookmarkEnd w:id="0"/>
      <w:r w:rsidR="00FA311F">
        <w:t xml:space="preserve"> 1</w:t>
      </w:r>
      <w:r>
        <w:tab/>
      </w:r>
      <w:r w:rsidRPr="001600EF">
        <w:t>Relationship of bleeding severity to clotting factor level</w:t>
      </w:r>
      <w:bookmarkEnd w:id="1"/>
    </w:p>
    <w:tbl>
      <w:tblPr>
        <w:tblStyle w:val="TableGrid4"/>
        <w:tblW w:w="8595" w:type="dxa"/>
        <w:tblInd w:w="-5" w:type="dxa"/>
        <w:tblLook w:val="04A0" w:firstRow="1" w:lastRow="0" w:firstColumn="1" w:lastColumn="0" w:noHBand="0" w:noVBand="1"/>
      </w:tblPr>
      <w:tblGrid>
        <w:gridCol w:w="947"/>
        <w:gridCol w:w="1921"/>
        <w:gridCol w:w="1767"/>
        <w:gridCol w:w="3960"/>
      </w:tblGrid>
      <w:tr w:rsidR="00755CF2" w:rsidRPr="00691F0C" w14:paraId="7FEE51E0" w14:textId="77777777" w:rsidTr="00874D92">
        <w:tc>
          <w:tcPr>
            <w:tcW w:w="947" w:type="dxa"/>
            <w:tcBorders>
              <w:bottom w:val="nil"/>
            </w:tcBorders>
            <w:vAlign w:val="center"/>
          </w:tcPr>
          <w:p w14:paraId="7A6B5C20" w14:textId="77777777" w:rsidR="00755CF2" w:rsidRPr="00691F0C" w:rsidRDefault="00755CF2" w:rsidP="00874D92">
            <w:pPr>
              <w:pStyle w:val="TableText"/>
              <w:rPr>
                <w:b/>
                <w:bCs/>
              </w:rPr>
            </w:pPr>
          </w:p>
        </w:tc>
        <w:tc>
          <w:tcPr>
            <w:tcW w:w="3688" w:type="dxa"/>
            <w:gridSpan w:val="2"/>
            <w:vAlign w:val="center"/>
          </w:tcPr>
          <w:p w14:paraId="03BA2A58" w14:textId="77777777" w:rsidR="00755CF2" w:rsidRPr="00691F0C" w:rsidRDefault="00755CF2" w:rsidP="00874D92">
            <w:pPr>
              <w:pStyle w:val="TableText"/>
              <w:rPr>
                <w:b/>
                <w:bCs/>
              </w:rPr>
            </w:pPr>
            <w:r w:rsidRPr="00691F0C">
              <w:rPr>
                <w:b/>
                <w:bCs/>
              </w:rPr>
              <w:t>FVIII level</w:t>
            </w:r>
          </w:p>
        </w:tc>
        <w:tc>
          <w:tcPr>
            <w:tcW w:w="3960" w:type="dxa"/>
            <w:vAlign w:val="center"/>
          </w:tcPr>
          <w:p w14:paraId="17F7290B" w14:textId="77777777" w:rsidR="00755CF2" w:rsidRPr="00691F0C" w:rsidRDefault="00755CF2" w:rsidP="00874D92">
            <w:pPr>
              <w:pStyle w:val="TableText"/>
              <w:rPr>
                <w:b/>
                <w:bCs/>
              </w:rPr>
            </w:pPr>
          </w:p>
        </w:tc>
      </w:tr>
      <w:tr w:rsidR="00755CF2" w:rsidRPr="001600EF" w14:paraId="231311E3" w14:textId="77777777" w:rsidTr="00874D92">
        <w:tc>
          <w:tcPr>
            <w:tcW w:w="947" w:type="dxa"/>
            <w:tcBorders>
              <w:top w:val="nil"/>
            </w:tcBorders>
            <w:vAlign w:val="center"/>
          </w:tcPr>
          <w:p w14:paraId="74C7F821" w14:textId="77777777" w:rsidR="00755CF2" w:rsidRPr="00691F0C" w:rsidRDefault="00755CF2" w:rsidP="00874D92">
            <w:pPr>
              <w:pStyle w:val="TableText"/>
              <w:rPr>
                <w:b/>
                <w:bCs/>
              </w:rPr>
            </w:pPr>
            <w:r w:rsidRPr="00691F0C">
              <w:rPr>
                <w:b/>
                <w:bCs/>
              </w:rPr>
              <w:t>Severity</w:t>
            </w:r>
          </w:p>
        </w:tc>
        <w:tc>
          <w:tcPr>
            <w:tcW w:w="1921" w:type="dxa"/>
            <w:vAlign w:val="center"/>
          </w:tcPr>
          <w:p w14:paraId="368710A3" w14:textId="77777777" w:rsidR="00755CF2" w:rsidRPr="001600EF" w:rsidRDefault="00755CF2" w:rsidP="00874D92">
            <w:pPr>
              <w:pStyle w:val="TableText"/>
            </w:pPr>
            <w:r w:rsidRPr="001600EF">
              <w:t>Concentration</w:t>
            </w:r>
          </w:p>
        </w:tc>
        <w:tc>
          <w:tcPr>
            <w:tcW w:w="1767" w:type="dxa"/>
            <w:vAlign w:val="center"/>
          </w:tcPr>
          <w:p w14:paraId="7696006C" w14:textId="77777777" w:rsidR="00755CF2" w:rsidRPr="001600EF" w:rsidRDefault="00755CF2" w:rsidP="00874D92">
            <w:pPr>
              <w:pStyle w:val="TableText"/>
            </w:pPr>
            <w:r w:rsidRPr="001600EF">
              <w:t>% of normal activity</w:t>
            </w:r>
          </w:p>
        </w:tc>
        <w:tc>
          <w:tcPr>
            <w:tcW w:w="3960" w:type="dxa"/>
            <w:vAlign w:val="center"/>
          </w:tcPr>
          <w:p w14:paraId="739B2CD0" w14:textId="77777777" w:rsidR="00755CF2" w:rsidRPr="001600EF" w:rsidRDefault="00755CF2" w:rsidP="00874D92">
            <w:pPr>
              <w:pStyle w:val="TableText"/>
            </w:pPr>
            <w:r w:rsidRPr="001600EF">
              <w:t>Bleeding episodes</w:t>
            </w:r>
          </w:p>
        </w:tc>
      </w:tr>
      <w:tr w:rsidR="00755CF2" w:rsidRPr="001600EF" w14:paraId="66904030" w14:textId="77777777" w:rsidTr="00874D92">
        <w:tc>
          <w:tcPr>
            <w:tcW w:w="947" w:type="dxa"/>
            <w:vAlign w:val="center"/>
          </w:tcPr>
          <w:p w14:paraId="2DA201B7" w14:textId="77777777" w:rsidR="00755CF2" w:rsidRPr="00691F0C" w:rsidRDefault="00755CF2" w:rsidP="00874D92">
            <w:pPr>
              <w:pStyle w:val="TableText"/>
              <w:rPr>
                <w:b/>
                <w:bCs/>
              </w:rPr>
            </w:pPr>
            <w:r w:rsidRPr="00691F0C">
              <w:rPr>
                <w:b/>
                <w:bCs/>
              </w:rPr>
              <w:t xml:space="preserve">Severe </w:t>
            </w:r>
          </w:p>
        </w:tc>
        <w:tc>
          <w:tcPr>
            <w:tcW w:w="1921" w:type="dxa"/>
            <w:vAlign w:val="center"/>
          </w:tcPr>
          <w:p w14:paraId="3B289190" w14:textId="77777777" w:rsidR="00755CF2" w:rsidRPr="001600EF" w:rsidRDefault="00755CF2" w:rsidP="00874D92">
            <w:pPr>
              <w:pStyle w:val="TableText"/>
            </w:pPr>
            <w:r w:rsidRPr="001600EF">
              <w:t>&lt; 1 IU/dl</w:t>
            </w:r>
          </w:p>
          <w:p w14:paraId="1E65111D" w14:textId="77777777" w:rsidR="00755CF2" w:rsidRPr="001600EF" w:rsidRDefault="00755CF2" w:rsidP="00874D92">
            <w:pPr>
              <w:pStyle w:val="TableText"/>
            </w:pPr>
            <w:r w:rsidRPr="001600EF">
              <w:t>(&lt; 0.01 IU/ml)</w:t>
            </w:r>
          </w:p>
        </w:tc>
        <w:tc>
          <w:tcPr>
            <w:tcW w:w="1767" w:type="dxa"/>
            <w:vAlign w:val="center"/>
          </w:tcPr>
          <w:p w14:paraId="264E4A2C" w14:textId="422831A9" w:rsidR="00755CF2" w:rsidRPr="001600EF" w:rsidRDefault="00755CF2" w:rsidP="00874D92">
            <w:pPr>
              <w:pStyle w:val="TableText"/>
            </w:pPr>
            <w:r w:rsidRPr="001600EF">
              <w:t>&lt;1% of normal</w:t>
            </w:r>
          </w:p>
        </w:tc>
        <w:tc>
          <w:tcPr>
            <w:tcW w:w="3960" w:type="dxa"/>
            <w:vAlign w:val="center"/>
          </w:tcPr>
          <w:p w14:paraId="24803C26" w14:textId="77777777" w:rsidR="00755CF2" w:rsidRPr="001600EF" w:rsidRDefault="00755CF2" w:rsidP="00874D92">
            <w:pPr>
              <w:pStyle w:val="TableText"/>
            </w:pPr>
            <w:r w:rsidRPr="001600EF">
              <w:t xml:space="preserve">Spontaneous bleeding into joints or muscles, predominantly in the absence of identifiable </w:t>
            </w:r>
            <w:proofErr w:type="spellStart"/>
            <w:r w:rsidRPr="001600EF">
              <w:t>haemostatic</w:t>
            </w:r>
            <w:proofErr w:type="spellEnd"/>
            <w:r w:rsidRPr="001600EF">
              <w:t xml:space="preserve"> challenge</w:t>
            </w:r>
          </w:p>
        </w:tc>
      </w:tr>
      <w:tr w:rsidR="00755CF2" w:rsidRPr="001600EF" w14:paraId="7F7BB703" w14:textId="77777777" w:rsidTr="00874D92">
        <w:tc>
          <w:tcPr>
            <w:tcW w:w="947" w:type="dxa"/>
            <w:vAlign w:val="center"/>
          </w:tcPr>
          <w:p w14:paraId="46FB6F18" w14:textId="77777777" w:rsidR="00755CF2" w:rsidRPr="00691F0C" w:rsidRDefault="00755CF2" w:rsidP="00874D92">
            <w:pPr>
              <w:pStyle w:val="TableText"/>
              <w:rPr>
                <w:b/>
                <w:bCs/>
              </w:rPr>
            </w:pPr>
            <w:r w:rsidRPr="00691F0C">
              <w:rPr>
                <w:b/>
                <w:bCs/>
              </w:rPr>
              <w:t xml:space="preserve">Moderate </w:t>
            </w:r>
          </w:p>
        </w:tc>
        <w:tc>
          <w:tcPr>
            <w:tcW w:w="1921" w:type="dxa"/>
            <w:vAlign w:val="center"/>
          </w:tcPr>
          <w:p w14:paraId="36E1B6A6" w14:textId="77777777" w:rsidR="00755CF2" w:rsidRPr="001600EF" w:rsidRDefault="00755CF2" w:rsidP="00874D92">
            <w:pPr>
              <w:pStyle w:val="TableText"/>
            </w:pPr>
            <w:r w:rsidRPr="001600EF">
              <w:t>1-5 IU/dl</w:t>
            </w:r>
          </w:p>
          <w:p w14:paraId="0C28CA5C" w14:textId="77777777" w:rsidR="00755CF2" w:rsidRPr="001600EF" w:rsidRDefault="00755CF2" w:rsidP="00874D92">
            <w:pPr>
              <w:pStyle w:val="TableText"/>
            </w:pPr>
            <w:r w:rsidRPr="001600EF">
              <w:t>(0.01-0.05 IU/ml)</w:t>
            </w:r>
          </w:p>
        </w:tc>
        <w:tc>
          <w:tcPr>
            <w:tcW w:w="1767" w:type="dxa"/>
            <w:vAlign w:val="center"/>
          </w:tcPr>
          <w:p w14:paraId="13E7ECEA" w14:textId="77777777" w:rsidR="00755CF2" w:rsidRPr="001600EF" w:rsidRDefault="00755CF2" w:rsidP="00874D92">
            <w:pPr>
              <w:pStyle w:val="TableText"/>
            </w:pPr>
            <w:r w:rsidRPr="001600EF">
              <w:t>1-5% of normal</w:t>
            </w:r>
          </w:p>
        </w:tc>
        <w:tc>
          <w:tcPr>
            <w:tcW w:w="3960" w:type="dxa"/>
            <w:vAlign w:val="center"/>
          </w:tcPr>
          <w:p w14:paraId="4378770B" w14:textId="77777777" w:rsidR="00755CF2" w:rsidRPr="001600EF" w:rsidRDefault="00755CF2" w:rsidP="00874D92">
            <w:pPr>
              <w:pStyle w:val="TableText"/>
            </w:pPr>
            <w:r w:rsidRPr="001600EF">
              <w:t>Occasional spontaneous bleeding; prolonged bleeding with minor trauma or surgery</w:t>
            </w:r>
          </w:p>
        </w:tc>
      </w:tr>
      <w:tr w:rsidR="00755CF2" w:rsidRPr="001600EF" w14:paraId="4162B6A3" w14:textId="77777777" w:rsidTr="00874D92">
        <w:tc>
          <w:tcPr>
            <w:tcW w:w="947" w:type="dxa"/>
            <w:vAlign w:val="center"/>
          </w:tcPr>
          <w:p w14:paraId="4828DC02" w14:textId="77777777" w:rsidR="00755CF2" w:rsidRPr="00691F0C" w:rsidRDefault="00755CF2" w:rsidP="00874D92">
            <w:pPr>
              <w:pStyle w:val="TableText"/>
              <w:rPr>
                <w:b/>
                <w:bCs/>
              </w:rPr>
            </w:pPr>
            <w:r w:rsidRPr="00691F0C">
              <w:rPr>
                <w:b/>
                <w:bCs/>
              </w:rPr>
              <w:t xml:space="preserve">Mild </w:t>
            </w:r>
          </w:p>
        </w:tc>
        <w:tc>
          <w:tcPr>
            <w:tcW w:w="1921" w:type="dxa"/>
            <w:vAlign w:val="center"/>
          </w:tcPr>
          <w:p w14:paraId="628D248C" w14:textId="77777777" w:rsidR="00755CF2" w:rsidRPr="001600EF" w:rsidRDefault="00755CF2" w:rsidP="00874D92">
            <w:pPr>
              <w:pStyle w:val="TableText"/>
            </w:pPr>
            <w:r w:rsidRPr="001600EF">
              <w:t>5-40 IU/dl</w:t>
            </w:r>
          </w:p>
          <w:p w14:paraId="5BBFF74F" w14:textId="77777777" w:rsidR="00755CF2" w:rsidRPr="001600EF" w:rsidRDefault="00755CF2" w:rsidP="00874D92">
            <w:pPr>
              <w:pStyle w:val="TableText"/>
            </w:pPr>
            <w:r w:rsidRPr="001600EF">
              <w:t>(0.05-0.40 IU/ml)</w:t>
            </w:r>
          </w:p>
        </w:tc>
        <w:tc>
          <w:tcPr>
            <w:tcW w:w="1767" w:type="dxa"/>
            <w:vAlign w:val="center"/>
          </w:tcPr>
          <w:p w14:paraId="6E7F737A" w14:textId="77777777" w:rsidR="00755CF2" w:rsidRPr="001600EF" w:rsidRDefault="00755CF2" w:rsidP="00874D92">
            <w:pPr>
              <w:pStyle w:val="TableText"/>
            </w:pPr>
            <w:r w:rsidRPr="001600EF">
              <w:t>5-&lt; to &lt;40% of normal</w:t>
            </w:r>
          </w:p>
        </w:tc>
        <w:tc>
          <w:tcPr>
            <w:tcW w:w="3960" w:type="dxa"/>
            <w:shd w:val="clear" w:color="auto" w:fill="auto"/>
            <w:vAlign w:val="center"/>
          </w:tcPr>
          <w:p w14:paraId="2A7E1119" w14:textId="77777777" w:rsidR="00755CF2" w:rsidRPr="001600EF" w:rsidRDefault="00755CF2" w:rsidP="00874D92">
            <w:pPr>
              <w:pStyle w:val="TableText"/>
            </w:pPr>
            <w:r w:rsidRPr="001600EF">
              <w:t>Severe bleeding with major trauma or surgery. Spontaneous bleeding is rare</w:t>
            </w:r>
          </w:p>
        </w:tc>
      </w:tr>
    </w:tbl>
    <w:p w14:paraId="03055ACB" w14:textId="77777777" w:rsidR="00755CF2" w:rsidRPr="001600EF" w:rsidRDefault="00755CF2" w:rsidP="00755CF2">
      <w:pPr>
        <w:pStyle w:val="NoteHeading"/>
      </w:pPr>
      <w:r w:rsidRPr="001600EF">
        <w:t>Source: AHCDO, 2016, Table 1-1</w:t>
      </w:r>
    </w:p>
    <w:p w14:paraId="7F78CD79" w14:textId="77777777" w:rsidR="00755CF2" w:rsidRPr="00020E6F" w:rsidRDefault="00755CF2" w:rsidP="00755CF2">
      <w:pPr>
        <w:spacing w:after="0"/>
        <w:rPr>
          <w:rFonts w:asciiTheme="minorHAnsi" w:hAnsiTheme="minorHAnsi" w:cs="Calibri"/>
          <w:color w:val="000000"/>
        </w:rPr>
      </w:pPr>
    </w:p>
    <w:p w14:paraId="586F8FD9" w14:textId="77777777" w:rsidR="00755CF2" w:rsidRPr="0059008B" w:rsidRDefault="00755CF2" w:rsidP="00D200D1">
      <w:pPr>
        <w:spacing w:after="60"/>
        <w:rPr>
          <w:u w:val="single"/>
        </w:rPr>
      </w:pPr>
      <w:r w:rsidRPr="00A26885">
        <w:rPr>
          <w:u w:val="single"/>
        </w:rPr>
        <w:t>Treatment</w:t>
      </w:r>
    </w:p>
    <w:p w14:paraId="4AEE502C" w14:textId="58EA6B92" w:rsidR="00755CF2" w:rsidRDefault="00755CF2" w:rsidP="00755CF2">
      <w:r>
        <w:t xml:space="preserve">For patients with severe haemophilia A, the world haemophilia federation (WHF) strongly recommend prophylaxis to </w:t>
      </w:r>
      <w:proofErr w:type="gramStart"/>
      <w:r>
        <w:t>prevent bleeds at all times</w:t>
      </w:r>
      <w:proofErr w:type="gramEnd"/>
      <w:r>
        <w:t xml:space="preserve"> and is standard of care for all patients with severe haemophilia (</w:t>
      </w:r>
      <w:r w:rsidRPr="00EA27EC">
        <w:t>Srivastava</w:t>
      </w:r>
      <w:r>
        <w:t xml:space="preserve"> 2020). This recommendation is consistent with the guidelines for the management of haemophilia in Australia (AHCDO 2016). T</w:t>
      </w:r>
      <w:r w:rsidRPr="00E55AC1">
        <w:t>he FVIII utilisation data from 2019-2020 provided in</w:t>
      </w:r>
      <w:r w:rsidR="00DE246A">
        <w:t xml:space="preserve"> Figure 1 </w:t>
      </w:r>
      <w:r>
        <w:t>demonstrates</w:t>
      </w:r>
      <w:r w:rsidRPr="00E55AC1">
        <w:t xml:space="preserve"> that </w:t>
      </w:r>
      <w:proofErr w:type="gramStart"/>
      <w:r w:rsidRPr="00E55AC1">
        <w:t>the majority of</w:t>
      </w:r>
      <w:proofErr w:type="gramEnd"/>
      <w:r w:rsidRPr="00E55AC1">
        <w:t xml:space="preserve"> </w:t>
      </w:r>
      <w:r>
        <w:t>p</w:t>
      </w:r>
      <w:r w:rsidRPr="00E55AC1">
        <w:t>rophyla</w:t>
      </w:r>
      <w:r>
        <w:t>ctic treatment with FVIII was</w:t>
      </w:r>
      <w:r w:rsidRPr="00E55AC1">
        <w:t xml:space="preserve"> for patients with severe haemophilia A, with the remaining utilisation predominantly in moderate patients (8%) and minimal utilisation in those with mild severity (1%). </w:t>
      </w:r>
    </w:p>
    <w:p w14:paraId="4B12631B" w14:textId="79B1DB94" w:rsidR="00755CF2" w:rsidRPr="00E55AC1" w:rsidRDefault="00755CF2" w:rsidP="00755CF2">
      <w:r w:rsidRPr="7C8927C6">
        <w:t xml:space="preserve">Since the inclusion of </w:t>
      </w:r>
      <w:proofErr w:type="spellStart"/>
      <w:r w:rsidRPr="7C8927C6">
        <w:t>emicizumab</w:t>
      </w:r>
      <w:proofErr w:type="spellEnd"/>
      <w:r w:rsidRPr="7C8927C6">
        <w:t xml:space="preserve"> on the National Product Price List (NPPL)</w:t>
      </w:r>
      <w:r>
        <w:t xml:space="preserve"> in 2020-21,</w:t>
      </w:r>
      <w:r w:rsidRPr="7C8927C6">
        <w:t xml:space="preserve"> the demand for FVIII products decreased by 45.6% (National Blood Authority [NBA] annual report 2021-2022). </w:t>
      </w:r>
    </w:p>
    <w:p w14:paraId="1B70EFE8" w14:textId="0C96348E" w:rsidR="00755CF2" w:rsidRDefault="00755CF2" w:rsidP="00755CF2">
      <w:pPr>
        <w:pStyle w:val="Caption"/>
      </w:pPr>
      <w:bookmarkStart w:id="2" w:name="_Ref128405704"/>
      <w:r>
        <w:t>Figure</w:t>
      </w:r>
      <w:bookmarkEnd w:id="2"/>
      <w:r w:rsidR="00DE246A">
        <w:t xml:space="preserve"> 1</w:t>
      </w:r>
      <w:r>
        <w:tab/>
      </w:r>
      <w:r w:rsidRPr="00020E6F">
        <w:t>Volume (IU) of product (including EHL products) issued for haemophilia A patients, by severity and treatment regimen in 2019-20</w:t>
      </w:r>
    </w:p>
    <w:p w14:paraId="56B05CBD" w14:textId="2F5CC097" w:rsidR="00755CF2" w:rsidRPr="00020E6F" w:rsidRDefault="00755CF2" w:rsidP="00755CF2">
      <w:pPr>
        <w:spacing w:after="0"/>
        <w:rPr>
          <w:rFonts w:asciiTheme="minorHAnsi" w:hAnsiTheme="minorHAnsi" w:cs="Calibri"/>
          <w:color w:val="000000"/>
        </w:rPr>
      </w:pPr>
      <w:r>
        <w:rPr>
          <w:noProof/>
        </w:rPr>
        <w:drawing>
          <wp:inline distT="0" distB="0" distL="0" distR="0" wp14:anchorId="77591DD0" wp14:editId="30D9AE79">
            <wp:extent cx="5731510" cy="1500302"/>
            <wp:effectExtent l="0" t="0" r="2540" b="508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C939D58F-5C32-4E87-91DA-59121226AE67}"/>
                        </a:ext>
                      </a:extLst>
                    </a:blip>
                    <a:stretch>
                      <a:fillRect/>
                    </a:stretch>
                  </pic:blipFill>
                  <pic:spPr>
                    <a:xfrm rot="10800000" flipH="1" flipV="1">
                      <a:off x="0" y="0"/>
                      <a:ext cx="5731510" cy="1500302"/>
                    </a:xfrm>
                    <a:prstGeom prst="rect">
                      <a:avLst/>
                    </a:prstGeom>
                  </pic:spPr>
                </pic:pic>
              </a:graphicData>
            </a:graphic>
          </wp:inline>
        </w:drawing>
      </w:r>
    </w:p>
    <w:p w14:paraId="46E2A71C" w14:textId="77777777" w:rsidR="00755CF2" w:rsidRPr="00020E6F" w:rsidRDefault="00755CF2" w:rsidP="00755CF2">
      <w:pPr>
        <w:pStyle w:val="Tablenotes"/>
      </w:pPr>
      <w:r w:rsidRPr="00020E6F">
        <w:t xml:space="preserve">Source: </w:t>
      </w:r>
      <w:r w:rsidRPr="00260D5B">
        <w:t>Australian Bleeding Disorders Registry</w:t>
      </w:r>
      <w:r>
        <w:t xml:space="preserve"> (</w:t>
      </w:r>
      <w:r w:rsidRPr="00020E6F">
        <w:t>ABDR</w:t>
      </w:r>
      <w:r>
        <w:t>)</w:t>
      </w:r>
      <w:r w:rsidRPr="00020E6F">
        <w:t xml:space="preserve"> report 2019-20, Table 18. Abbreviations: EHL; extended half-life</w:t>
      </w:r>
    </w:p>
    <w:p w14:paraId="0031BEF5" w14:textId="77777777" w:rsidR="00755CF2" w:rsidRPr="00020E6F" w:rsidRDefault="00755CF2" w:rsidP="00755CF2">
      <w:pPr>
        <w:pStyle w:val="Tablenotes"/>
      </w:pPr>
      <w:r w:rsidRPr="00020E6F">
        <w:t xml:space="preserve">† FVIII Products included are </w:t>
      </w:r>
      <w:proofErr w:type="spellStart"/>
      <w:r w:rsidRPr="00020E6F">
        <w:t>Advate</w:t>
      </w:r>
      <w:proofErr w:type="spellEnd"/>
      <w:r w:rsidRPr="00020E6F">
        <w:t xml:space="preserve">, </w:t>
      </w:r>
      <w:proofErr w:type="spellStart"/>
      <w:r w:rsidRPr="00020E6F">
        <w:t>Xyntha</w:t>
      </w:r>
      <w:proofErr w:type="spellEnd"/>
      <w:r w:rsidRPr="00020E6F">
        <w:t xml:space="preserve">, </w:t>
      </w:r>
      <w:proofErr w:type="spellStart"/>
      <w:r w:rsidRPr="00020E6F">
        <w:t>Adynovate</w:t>
      </w:r>
      <w:proofErr w:type="spellEnd"/>
      <w:r w:rsidRPr="00020E6F">
        <w:t xml:space="preserve">, Eloctate and </w:t>
      </w:r>
      <w:proofErr w:type="spellStart"/>
      <w:r w:rsidRPr="00020E6F">
        <w:t>Biostate</w:t>
      </w:r>
      <w:proofErr w:type="spellEnd"/>
    </w:p>
    <w:p w14:paraId="0F77720E" w14:textId="77777777" w:rsidR="00755CF2" w:rsidRPr="00020E6F" w:rsidRDefault="00755CF2" w:rsidP="00755CF2">
      <w:pPr>
        <w:pStyle w:val="Tablenotes"/>
      </w:pPr>
      <w:r w:rsidRPr="00020E6F">
        <w:t>* This represents a blank/not completed/empty field for the treatment regimen in the ABDR</w:t>
      </w:r>
    </w:p>
    <w:p w14:paraId="745F4DA3" w14:textId="77777777" w:rsidR="00755CF2" w:rsidRPr="00020E6F" w:rsidRDefault="00755CF2" w:rsidP="00D200D1">
      <w:pPr>
        <w:pStyle w:val="Tablenotes"/>
        <w:ind w:left="142" w:hanging="142"/>
      </w:pPr>
      <w:r w:rsidRPr="00020E6F">
        <w:t xml:space="preserve">** The total in this table combines the values for patients with mild, </w:t>
      </w:r>
      <w:proofErr w:type="gramStart"/>
      <w:r w:rsidRPr="00020E6F">
        <w:t>moderate</w:t>
      </w:r>
      <w:proofErr w:type="gramEnd"/>
      <w:r w:rsidRPr="00020E6F">
        <w:t xml:space="preserve"> and severe conditions. The severity of a patient’s condition is not always known at initial presentation. This table includes product issues to patients with unknown severities.</w:t>
      </w:r>
    </w:p>
    <w:p w14:paraId="7B5D5587" w14:textId="77777777" w:rsidR="00466E4E" w:rsidRDefault="00466E4E">
      <w:pPr>
        <w:spacing w:line="259" w:lineRule="auto"/>
        <w:rPr>
          <w:u w:val="single"/>
        </w:rPr>
      </w:pPr>
      <w:r>
        <w:rPr>
          <w:u w:val="single"/>
        </w:rPr>
        <w:br w:type="page"/>
      </w:r>
    </w:p>
    <w:p w14:paraId="342D498F" w14:textId="759F4D17" w:rsidR="00755CF2" w:rsidRPr="00170D4B" w:rsidRDefault="00755CF2" w:rsidP="00D200D1">
      <w:pPr>
        <w:spacing w:after="60"/>
        <w:rPr>
          <w:u w:val="single"/>
        </w:rPr>
      </w:pPr>
      <w:r w:rsidRPr="6B660F63">
        <w:rPr>
          <w:u w:val="single"/>
        </w:rPr>
        <w:lastRenderedPageBreak/>
        <w:t xml:space="preserve">Assessment of inhibitory antibodies to FVIII </w:t>
      </w:r>
    </w:p>
    <w:p w14:paraId="486BB33D" w14:textId="77777777" w:rsidR="00755CF2" w:rsidRPr="00E55AC1" w:rsidRDefault="00755CF2" w:rsidP="00755CF2">
      <w:r w:rsidRPr="00E55AC1">
        <w:t xml:space="preserve">The development of inhibitory antibodies to </w:t>
      </w:r>
      <w:r>
        <w:t xml:space="preserve">non-endogenous </w:t>
      </w:r>
      <w:r w:rsidRPr="00E55AC1">
        <w:t>FVIII is a severe complication and one of the main challenges for treating physicians in the management of patients with severe haemophilia A. In patients with inhibitory antibodies to FVIII, the body’s immune system recognises the therapeutically administered factor as a foreign protein, which in turn stimulates the production of antibodies. These inhibitors, immunoglobulin G (IgG) antibodies</w:t>
      </w:r>
      <w:r>
        <w:t>,</w:t>
      </w:r>
      <w:r w:rsidRPr="00E55AC1">
        <w:t xml:space="preserve"> neutralise the clotting factors. Haemostasis may still be achieved in patients that have low titre inhibitor although increased doses of FVIII concentrates may be necessary. In contrast, if the inhibitor titre is high, FVIII replacement is completely </w:t>
      </w:r>
      <w:proofErr w:type="gramStart"/>
      <w:r w:rsidRPr="00E55AC1">
        <w:t>ineffective</w:t>
      </w:r>
      <w:proofErr w:type="gramEnd"/>
      <w:r w:rsidRPr="00E55AC1">
        <w:t xml:space="preserve"> and bleeding continues (AHCDO 2016). </w:t>
      </w:r>
    </w:p>
    <w:p w14:paraId="66C7FF27" w14:textId="77777777" w:rsidR="00755CF2" w:rsidRDefault="00755CF2" w:rsidP="00755CF2">
      <w:r w:rsidRPr="00E55AC1">
        <w:t>Patients with severe haemophilia are associated with a relatively high risk of developing the inhibitor, higher than those with moderate disease. A systematic review by Wight and Paisley (2003) report</w:t>
      </w:r>
      <w:r>
        <w:t>s</w:t>
      </w:r>
      <w:r w:rsidRPr="00E55AC1">
        <w:t xml:space="preserve"> a prevalence rate of 13% among those with severe cases. Presence of inhibitors makes treatment with replacement factor concentrates difficult, as such patients on FVIII therapy should be screened for the development of inhibitors. The confirmation of inhibitors, and quantification of the titre is performed via laboratory test, using the </w:t>
      </w:r>
      <w:proofErr w:type="spellStart"/>
      <w:r w:rsidRPr="00E55AC1">
        <w:t>Nujmegen</w:t>
      </w:r>
      <w:proofErr w:type="spellEnd"/>
      <w:r w:rsidRPr="00E55AC1">
        <w:t xml:space="preserve">-modified Bethesda assay (AHCDO 2016). </w:t>
      </w:r>
    </w:p>
    <w:p w14:paraId="21946CC3" w14:textId="77777777" w:rsidR="00755CF2" w:rsidRPr="00FD55AF" w:rsidRDefault="00755CF2" w:rsidP="00D200D1">
      <w:pPr>
        <w:spacing w:after="60"/>
        <w:rPr>
          <w:u w:val="single"/>
        </w:rPr>
      </w:pPr>
      <w:r w:rsidRPr="00FD55AF">
        <w:rPr>
          <w:u w:val="single"/>
        </w:rPr>
        <w:t>Consideration of antibodies against adeno-associated virus (AAV) in the context of gene therapy</w:t>
      </w:r>
    </w:p>
    <w:p w14:paraId="39BCE4C9" w14:textId="2B557C9B" w:rsidR="00755CF2" w:rsidRPr="00D200D1" w:rsidRDefault="00755CF2" w:rsidP="00D200D1">
      <w:r w:rsidRPr="00BE5FD0">
        <w:t xml:space="preserve">Pre-existing immunity against adeno-associated virus (AAV) </w:t>
      </w:r>
      <w:r>
        <w:t>may reduce the efficacy of</w:t>
      </w:r>
      <w:r w:rsidRPr="00BE5FD0">
        <w:t xml:space="preserve"> AAV gene therapy </w:t>
      </w:r>
      <w:r>
        <w:t xml:space="preserve">due to the potential for </w:t>
      </w:r>
      <w:r w:rsidRPr="00BE5FD0">
        <w:t xml:space="preserve">neutralising antibodies to </w:t>
      </w:r>
      <w:r>
        <w:t>act on</w:t>
      </w:r>
      <w:r w:rsidRPr="00BE5FD0">
        <w:t xml:space="preserve"> the vector before the delivery of the functional gene to the target cell. </w:t>
      </w:r>
      <w:r>
        <w:t>The</w:t>
      </w:r>
      <w:r w:rsidRPr="00BE5FD0">
        <w:t xml:space="preserve"> mean global prevalence </w:t>
      </w:r>
      <w:r>
        <w:t xml:space="preserve">of AAV5 immunity </w:t>
      </w:r>
      <w:r w:rsidRPr="00BE5FD0">
        <w:t xml:space="preserve">in adults </w:t>
      </w:r>
      <w:r>
        <w:t xml:space="preserve">has been </w:t>
      </w:r>
      <w:r w:rsidRPr="00643E15">
        <w:t>reported at 35.7% with considerable geographic variability (</w:t>
      </w:r>
      <w:proofErr w:type="spellStart"/>
      <w:r w:rsidRPr="00643E15">
        <w:t>Klamroth</w:t>
      </w:r>
      <w:proofErr w:type="spellEnd"/>
      <w:r w:rsidRPr="00643E15">
        <w:t xml:space="preserve"> 2022). Although AAV5 immunity </w:t>
      </w:r>
      <w:proofErr w:type="gramStart"/>
      <w:r w:rsidRPr="00643E15">
        <w:t>is considered to be</w:t>
      </w:r>
      <w:proofErr w:type="gramEnd"/>
      <w:r w:rsidRPr="00643E15">
        <w:t xml:space="preserve"> a serotype with very low neutralising antibody prevalence, a wide range of estimates between 4% to 50% have been reported (</w:t>
      </w:r>
      <w:proofErr w:type="spellStart"/>
      <w:r w:rsidRPr="00643E15">
        <w:t>Mingozzi</w:t>
      </w:r>
      <w:proofErr w:type="spellEnd"/>
      <w:r w:rsidRPr="00643E15">
        <w:t xml:space="preserve"> 2013; Li 2012; Boutin 2010; </w:t>
      </w:r>
      <w:proofErr w:type="spellStart"/>
      <w:r w:rsidRPr="00643E15">
        <w:t>Erles</w:t>
      </w:r>
      <w:proofErr w:type="spellEnd"/>
      <w:r w:rsidRPr="00643E15">
        <w:t xml:space="preserve"> 1999; Halbert 2006). As discussed in more detail below, valoctocogene </w:t>
      </w:r>
      <w:proofErr w:type="spellStart"/>
      <w:r w:rsidRPr="00643E15">
        <w:t>roxaparvovec</w:t>
      </w:r>
      <w:proofErr w:type="spellEnd"/>
      <w:r w:rsidRPr="00643E15">
        <w:t xml:space="preserve"> will be limited to those without AAV5 detected antibodies. For more details regarding the process involving the AAV5 antibody test (</w:t>
      </w:r>
      <w:proofErr w:type="spellStart"/>
      <w:r w:rsidRPr="00643E15">
        <w:t>eg</w:t>
      </w:r>
      <w:proofErr w:type="spellEnd"/>
      <w:r w:rsidRPr="00643E15">
        <w:t xml:space="preserve">, AAV5 </w:t>
      </w:r>
      <w:proofErr w:type="spellStart"/>
      <w:r w:rsidRPr="00643E15">
        <w:t>DetectCDx</w:t>
      </w:r>
      <w:proofErr w:type="spellEnd"/>
      <w:r w:rsidRPr="00643E15">
        <w:t>™), refer to the AAV5 PICO set.</w:t>
      </w:r>
      <w:r>
        <w:t xml:space="preserve"> </w:t>
      </w:r>
    </w:p>
    <w:p w14:paraId="1EA1C4EB" w14:textId="77777777" w:rsidR="00755CF2" w:rsidRPr="00170D4B" w:rsidRDefault="00755CF2" w:rsidP="00D200D1">
      <w:pPr>
        <w:spacing w:after="60"/>
        <w:rPr>
          <w:u w:val="single"/>
        </w:rPr>
      </w:pPr>
      <w:r w:rsidRPr="00170D4B">
        <w:rPr>
          <w:u w:val="single"/>
        </w:rPr>
        <w:t>Clinical need for</w:t>
      </w:r>
      <w:r>
        <w:rPr>
          <w:u w:val="single"/>
        </w:rPr>
        <w:t xml:space="preserve"> a</w:t>
      </w:r>
      <w:r w:rsidRPr="00170D4B">
        <w:rPr>
          <w:u w:val="single"/>
        </w:rPr>
        <w:t xml:space="preserve"> gene therapy</w:t>
      </w:r>
      <w:r>
        <w:rPr>
          <w:u w:val="single"/>
        </w:rPr>
        <w:t xml:space="preserve"> in the management of haemophilia A</w:t>
      </w:r>
    </w:p>
    <w:p w14:paraId="3F0C334D" w14:textId="77777777" w:rsidR="00755CF2" w:rsidRDefault="00755CF2" w:rsidP="00755CF2">
      <w:pPr>
        <w:keepNext/>
        <w:keepLines/>
        <w:widowControl w:val="0"/>
        <w:spacing w:after="0"/>
      </w:pPr>
      <w:r w:rsidRPr="6AA02213">
        <w:t xml:space="preserve">Haemophilia A is well-suited for a gene therapy approach as the clinical manifestations are directly attributable to the deficiency of a single gene product (FVIII) and the severity is inversely correlated with FVIII activity. As discussed in more detail in sections to follow, the current management of patients with severe haemophilia A consists of prophylactic treatment with FVIII therapy or </w:t>
      </w:r>
      <w:proofErr w:type="spellStart"/>
      <w:r w:rsidRPr="6AA02213">
        <w:t>emicizumab</w:t>
      </w:r>
      <w:proofErr w:type="spellEnd"/>
      <w:r w:rsidRPr="6AA02213">
        <w:t xml:space="preserve">. These options are associated with a high treatment burden, with FVIII infusions 2–4 times per week and subcutaneous injections with </w:t>
      </w:r>
      <w:proofErr w:type="spellStart"/>
      <w:r w:rsidRPr="6AA02213">
        <w:t>emicizumab</w:t>
      </w:r>
      <w:proofErr w:type="spellEnd"/>
      <w:r w:rsidRPr="6AA02213">
        <w:t xml:space="preserve"> once per week to once every 4 weeks. Relative to these treatments, the once-off single infusion of valoctocogene </w:t>
      </w:r>
      <w:proofErr w:type="spellStart"/>
      <w:r w:rsidRPr="6AA02213">
        <w:t>roxaparvovec</w:t>
      </w:r>
      <w:proofErr w:type="spellEnd"/>
      <w:r w:rsidRPr="6AA02213">
        <w:t xml:space="preserve"> </w:t>
      </w:r>
      <w:r>
        <w:t>has been demonstrated</w:t>
      </w:r>
      <w:r w:rsidRPr="6AA02213">
        <w:t xml:space="preserve"> to improve </w:t>
      </w:r>
      <w:r>
        <w:t>health related</w:t>
      </w:r>
      <w:r w:rsidRPr="6AA02213">
        <w:t xml:space="preserve"> quality of life </w:t>
      </w:r>
      <w:r>
        <w:t xml:space="preserve">and provides an opportunity to live a significant </w:t>
      </w:r>
      <w:proofErr w:type="gramStart"/>
      <w:r>
        <w:t>period of time</w:t>
      </w:r>
      <w:proofErr w:type="gramEnd"/>
      <w:r>
        <w:t xml:space="preserve"> </w:t>
      </w:r>
      <w:r w:rsidRPr="6AA02213">
        <w:t xml:space="preserve">without thinking about or planning their life around their next treatment. Relative to these treatments, valoctocogene </w:t>
      </w:r>
      <w:proofErr w:type="spellStart"/>
      <w:r w:rsidRPr="6AA02213">
        <w:t>roxaparvovec</w:t>
      </w:r>
      <w:proofErr w:type="spellEnd"/>
      <w:r w:rsidRPr="6AA02213">
        <w:t xml:space="preserve"> is also expected to reduce bleeds which in turn would be expected to further improve a person’s quality of life. The ability to achieve haemostatic efficacy while freeing patients from the burden of repeated treatment administrations and associated adherence issues is an important and transformative characteristic of valoctocogene </w:t>
      </w:r>
      <w:proofErr w:type="spellStart"/>
      <w:r w:rsidRPr="6AA02213">
        <w:t>roxaparvovec</w:t>
      </w:r>
      <w:proofErr w:type="spellEnd"/>
      <w:r w:rsidRPr="6AA02213">
        <w:t xml:space="preserve">. Thus, reimbursing valoctocogene </w:t>
      </w:r>
      <w:proofErr w:type="spellStart"/>
      <w:r w:rsidRPr="6AA02213">
        <w:t>roxaparvovec</w:t>
      </w:r>
      <w:proofErr w:type="spellEnd"/>
      <w:r w:rsidRPr="6AA02213">
        <w:t xml:space="preserve"> for the proposed patient population will address the unmet clinical need of a treatment option that is associated with reduced treatment burden, superior </w:t>
      </w:r>
      <w:proofErr w:type="gramStart"/>
      <w:r w:rsidRPr="6AA02213">
        <w:t>efficacy</w:t>
      </w:r>
      <w:proofErr w:type="gramEnd"/>
      <w:r w:rsidRPr="6AA02213">
        <w:t xml:space="preserve"> and quality of life relative to current options. </w:t>
      </w:r>
    </w:p>
    <w:p w14:paraId="5218F932" w14:textId="77777777" w:rsidR="00755CF2" w:rsidRPr="00020E6F" w:rsidRDefault="00755CF2" w:rsidP="00755CF2">
      <w:pPr>
        <w:spacing w:after="0"/>
        <w:rPr>
          <w:rFonts w:asciiTheme="minorHAnsi" w:hAnsiTheme="minorHAnsi" w:cs="Calibri"/>
          <w:color w:val="000000"/>
        </w:rPr>
      </w:pPr>
    </w:p>
    <w:p w14:paraId="5C66FE30" w14:textId="77777777" w:rsidR="00E95F5C" w:rsidRDefault="00E95F5C">
      <w:pPr>
        <w:spacing w:line="259" w:lineRule="auto"/>
        <w:rPr>
          <w:rFonts w:eastAsiaTheme="minorHAnsi"/>
          <w:b/>
          <w:bCs/>
          <w:color w:val="000000"/>
        </w:rPr>
      </w:pPr>
      <w:r>
        <w:br w:type="page"/>
      </w:r>
    </w:p>
    <w:p w14:paraId="26BFE532" w14:textId="2E06F80E" w:rsidR="00755CF2" w:rsidRPr="00D200D1" w:rsidRDefault="00755CF2" w:rsidP="00D200D1">
      <w:pPr>
        <w:pStyle w:val="Heading2"/>
      </w:pPr>
      <w:r w:rsidRPr="00AE1F91">
        <w:lastRenderedPageBreak/>
        <w:t xml:space="preserve">Specify any characteristics of patients with the medical condition, or suspected of, who are proposed to be eligible for the proposed health technology, describing how a patient would be investigated, </w:t>
      </w:r>
      <w:proofErr w:type="gramStart"/>
      <w:r w:rsidRPr="00AE1F91">
        <w:t>managed</w:t>
      </w:r>
      <w:proofErr w:type="gramEnd"/>
      <w:r w:rsidRPr="00AE1F91">
        <w:t xml:space="preserve"> and referred within the Australian health care system in the lead up to being considered eligible for the technology:</w:t>
      </w:r>
    </w:p>
    <w:p w14:paraId="2AC87898" w14:textId="77777777" w:rsidR="00755CF2" w:rsidRDefault="00755CF2" w:rsidP="00755CF2">
      <w:r w:rsidRPr="6B660F63">
        <w:t xml:space="preserve">Adults with severe haemophilia A without a history of FVIII inhibitors and pre-existing antibodies to AAV5, without active hepatitis or severe liver disease. </w:t>
      </w:r>
    </w:p>
    <w:p w14:paraId="60F0459A" w14:textId="5A4DE030" w:rsidR="00755CF2" w:rsidRPr="00D200D1" w:rsidRDefault="00755CF2" w:rsidP="00D200D1">
      <w:r w:rsidRPr="6AA02213">
        <w:t xml:space="preserve">As discussed above, these patients are diagnosed, </w:t>
      </w:r>
      <w:proofErr w:type="gramStart"/>
      <w:r w:rsidRPr="6AA02213">
        <w:t>assessed</w:t>
      </w:r>
      <w:proofErr w:type="gramEnd"/>
      <w:r w:rsidRPr="6AA02213">
        <w:t xml:space="preserve"> and managed at the HTC. AAV5 antibody testing </w:t>
      </w:r>
      <w:r>
        <w:t>must</w:t>
      </w:r>
      <w:r w:rsidRPr="6AA02213">
        <w:t xml:space="preserve"> be ordered by healthcare professionals at the </w:t>
      </w:r>
      <w:r w:rsidRPr="00D200D1">
        <w:t>HTC and performed by an overseas laboratory (ARUP) (for details refer to the AAV5 PICO set).</w:t>
      </w:r>
      <w:r w:rsidRPr="6AA02213">
        <w:t xml:space="preserve"> </w:t>
      </w:r>
    </w:p>
    <w:p w14:paraId="4A3351B4" w14:textId="6645CEB1" w:rsidR="00755CF2" w:rsidRPr="00D200D1" w:rsidRDefault="00755CF2" w:rsidP="00D200D1">
      <w:pPr>
        <w:pStyle w:val="Heading2"/>
        <w:rPr>
          <w:rFonts w:asciiTheme="minorHAnsi" w:hAnsiTheme="minorHAnsi" w:cs="Calibri"/>
        </w:rPr>
      </w:pPr>
      <w:r w:rsidRPr="00AE1F91">
        <w:t>Provide a rationale for the specifics of the eligible population:</w:t>
      </w:r>
    </w:p>
    <w:p w14:paraId="2DD24A6C" w14:textId="77777777" w:rsidR="00755CF2" w:rsidRPr="00020E6F" w:rsidRDefault="00755CF2" w:rsidP="00755CF2">
      <w:r>
        <w:t>The proposed p</w:t>
      </w:r>
      <w:r w:rsidRPr="00020E6F">
        <w:t xml:space="preserve">opulation is consistent with the eligibility for enrolment in the clinical trial program for </w:t>
      </w:r>
      <w:r>
        <w:t xml:space="preserve">valoctocogene </w:t>
      </w:r>
      <w:proofErr w:type="spellStart"/>
      <w:r>
        <w:t>roxaparvovec</w:t>
      </w:r>
      <w:proofErr w:type="spellEnd"/>
      <w:r w:rsidRPr="00020E6F">
        <w:t xml:space="preserve">, where patients </w:t>
      </w:r>
      <w:r>
        <w:t>are</w:t>
      </w:r>
      <w:r w:rsidRPr="00020E6F">
        <w:t xml:space="preserve"> required to have </w:t>
      </w:r>
      <w:r>
        <w:t xml:space="preserve">haemophilia A with </w:t>
      </w:r>
      <w:r w:rsidRPr="00020E6F">
        <w:t>residual FVIII levels of ≤1 IU/dL</w:t>
      </w:r>
      <w:r w:rsidRPr="00053511">
        <w:t xml:space="preserve"> </w:t>
      </w:r>
      <w:r w:rsidRPr="00020E6F">
        <w:t>classifying them as severe according to Australian Haemophilia management guidelines (AHCDO, 2016).</w:t>
      </w:r>
      <w:r>
        <w:t xml:space="preserve"> </w:t>
      </w:r>
    </w:p>
    <w:p w14:paraId="777DD784" w14:textId="77777777" w:rsidR="00755CF2" w:rsidRDefault="00755CF2" w:rsidP="00755CF2">
      <w:r w:rsidRPr="6B660F63">
        <w:t xml:space="preserve">Consistent with the current clinical evidence, eligibility to valoctocogene </w:t>
      </w:r>
      <w:proofErr w:type="spellStart"/>
      <w:r w:rsidRPr="6B660F63">
        <w:t>roxaparvovec</w:t>
      </w:r>
      <w:proofErr w:type="spellEnd"/>
      <w:r w:rsidRPr="6B660F63">
        <w:t xml:space="preserve"> is proposed for adult patients without pre-exiting antibodies to AAV5 (</w:t>
      </w:r>
      <w:proofErr w:type="spellStart"/>
      <w:r w:rsidRPr="6B660F63">
        <w:t>Ozelo</w:t>
      </w:r>
      <w:proofErr w:type="spellEnd"/>
      <w:r w:rsidRPr="6B660F63">
        <w:t xml:space="preserve"> 2022). Furthermore, patients with a history of FVIII inhibitors </w:t>
      </w:r>
      <w:r>
        <w:t>were excluded from the clinical trial (</w:t>
      </w:r>
      <w:proofErr w:type="spellStart"/>
      <w:r>
        <w:t>Ozelo</w:t>
      </w:r>
      <w:proofErr w:type="spellEnd"/>
      <w:r>
        <w:t xml:space="preserve"> 2022)</w:t>
      </w:r>
      <w:r w:rsidRPr="6B660F63">
        <w:t>.</w:t>
      </w:r>
    </w:p>
    <w:p w14:paraId="31C1CB54" w14:textId="77777777" w:rsidR="00755CF2" w:rsidRPr="00CB764D" w:rsidRDefault="00755CF2" w:rsidP="00755CF2">
      <w:r w:rsidRPr="6B660F63">
        <w:t xml:space="preserve">Additionally, consistent with the clinical evidence, and suggested eligibility criteria in the </w:t>
      </w:r>
      <w:r w:rsidRPr="6B660F63">
        <w:rPr>
          <w:noProof/>
        </w:rPr>
        <w:t xml:space="preserve">AHCDO </w:t>
      </w:r>
      <w:r w:rsidRPr="6B660F63">
        <w:t>roadmap for implementation of gene therapy for haemophilia in Australia (</w:t>
      </w:r>
      <w:r w:rsidRPr="6B660F63">
        <w:rPr>
          <w:noProof/>
        </w:rPr>
        <w:t>AHCDO 2022</w:t>
      </w:r>
      <w:r w:rsidRPr="6B660F63">
        <w:t xml:space="preserve">), access to valoctocogene </w:t>
      </w:r>
      <w:proofErr w:type="spellStart"/>
      <w:r w:rsidRPr="6B660F63">
        <w:t>roxaparvovec</w:t>
      </w:r>
      <w:proofErr w:type="spellEnd"/>
      <w:r w:rsidRPr="6B660F63">
        <w:t xml:space="preserve"> is proposed to be limited to patients without active hepatitis or severe liver disease, because the introduced F8 gene is under the control of a liver-specific promoter.</w:t>
      </w:r>
      <w:r>
        <w:t xml:space="preserve"> </w:t>
      </w:r>
    </w:p>
    <w:p w14:paraId="5327C5EB" w14:textId="789E67C0" w:rsidR="00755CF2" w:rsidRPr="00AE1F91" w:rsidRDefault="00755CF2" w:rsidP="00D200D1">
      <w:pPr>
        <w:spacing w:after="0"/>
        <w:rPr>
          <w:noProof/>
        </w:rPr>
      </w:pPr>
      <w:r w:rsidRPr="00CB764D">
        <w:rPr>
          <w:noProof/>
        </w:rPr>
        <w:t>AHC</w:t>
      </w:r>
      <w:r>
        <w:rPr>
          <w:noProof/>
        </w:rPr>
        <w:t>D</w:t>
      </w:r>
      <w:r w:rsidRPr="00CB764D">
        <w:rPr>
          <w:noProof/>
        </w:rPr>
        <w:t xml:space="preserve">O is a national, not for profit organisation that brings together medical directors of HTCs and other clinicians involved in the care of persons with bleeding disorders in Australia. The </w:t>
      </w:r>
      <w:r>
        <w:rPr>
          <w:noProof/>
        </w:rPr>
        <w:t>AHCDO</w:t>
      </w:r>
      <w:r w:rsidRPr="00CB764D">
        <w:rPr>
          <w:noProof/>
        </w:rPr>
        <w:t xml:space="preserve"> roadmap is further discussed in the 'Intervention’ section.</w:t>
      </w:r>
      <w:r>
        <w:rPr>
          <w:noProof/>
        </w:rPr>
        <w:t xml:space="preserve"> </w:t>
      </w:r>
    </w:p>
    <w:p w14:paraId="37E0B4CB" w14:textId="77777777" w:rsidR="00755CF2" w:rsidRPr="00D200D1" w:rsidRDefault="00755CF2" w:rsidP="00D200D1">
      <w:pPr>
        <w:pStyle w:val="Heading1"/>
      </w:pPr>
      <w:r w:rsidRPr="00D200D1">
        <w:t>Intervention</w:t>
      </w:r>
    </w:p>
    <w:p w14:paraId="75765C27" w14:textId="1F17420E" w:rsidR="00755CF2" w:rsidRPr="00D200D1" w:rsidRDefault="00755CF2" w:rsidP="00D200D1">
      <w:pPr>
        <w:pStyle w:val="Heading2"/>
      </w:pPr>
      <w:r w:rsidRPr="00AE1F91">
        <w:t>Name of the proposed health technology:</w:t>
      </w:r>
    </w:p>
    <w:p w14:paraId="58BA48F1" w14:textId="77777777" w:rsidR="00755CF2" w:rsidRPr="00E55AC1" w:rsidRDefault="00755CF2" w:rsidP="00755CF2">
      <w:pPr>
        <w:spacing w:after="0"/>
        <w:rPr>
          <w:noProof/>
        </w:rPr>
      </w:pPr>
      <w:r w:rsidRPr="6B660F63">
        <w:rPr>
          <w:noProof/>
        </w:rPr>
        <w:t>The proposed intervention is infusion of ROCTAVIAN</w:t>
      </w:r>
      <w:r>
        <w:rPr>
          <w:noProof/>
        </w:rPr>
        <w:t>™</w:t>
      </w:r>
      <w:r w:rsidRPr="6B660F63">
        <w:rPr>
          <w:noProof/>
        </w:rPr>
        <w:t xml:space="preserve"> (valoctocogene roxaparvovec), a gene therapy that uses an AAV5 vector to deliver a healthy copy of the F8 gene to the liver.</w:t>
      </w:r>
    </w:p>
    <w:p w14:paraId="7D8D1A4B" w14:textId="77777777" w:rsidR="00755CF2" w:rsidRPr="00AE1F91" w:rsidRDefault="00755CF2" w:rsidP="00755CF2">
      <w:pPr>
        <w:spacing w:after="0"/>
        <w:rPr>
          <w:b/>
          <w:color w:val="000000"/>
        </w:rPr>
      </w:pPr>
    </w:p>
    <w:p w14:paraId="2EB6E5FA" w14:textId="020D3840" w:rsidR="00755CF2" w:rsidRPr="00D200D1" w:rsidRDefault="00755CF2" w:rsidP="00D200D1">
      <w:pPr>
        <w:pStyle w:val="Heading2"/>
      </w:pPr>
      <w:r w:rsidRPr="00AE1F91">
        <w:t>Describe the key components and clinical steps involved in delivering the proposed health technology:</w:t>
      </w:r>
    </w:p>
    <w:p w14:paraId="007FCA08" w14:textId="5033A56C" w:rsidR="00755CF2" w:rsidRPr="00E55AC1" w:rsidRDefault="00755CF2" w:rsidP="00D200D1">
      <w:pPr>
        <w:rPr>
          <w:noProof/>
        </w:rPr>
      </w:pPr>
      <w:r w:rsidRPr="00E55AC1">
        <w:rPr>
          <w:noProof/>
        </w:rPr>
        <w:t>The recommended dose of Roctavian is 6 × 10</w:t>
      </w:r>
      <w:r w:rsidRPr="000C095B">
        <w:rPr>
          <w:noProof/>
          <w:vertAlign w:val="superscript"/>
        </w:rPr>
        <w:t>13</w:t>
      </w:r>
      <w:r w:rsidRPr="00E55AC1">
        <w:rPr>
          <w:noProof/>
        </w:rPr>
        <w:t xml:space="preserve"> vector genomes per kilogram (vg/kg) administered as a single</w:t>
      </w:r>
      <w:r>
        <w:rPr>
          <w:noProof/>
        </w:rPr>
        <w:t>, one-time</w:t>
      </w:r>
      <w:r w:rsidRPr="00E55AC1">
        <w:rPr>
          <w:noProof/>
        </w:rPr>
        <w:t xml:space="preserve"> intravenous infusion. </w:t>
      </w:r>
    </w:p>
    <w:p w14:paraId="72CEFD3F" w14:textId="1CB8B61E" w:rsidR="00755CF2" w:rsidRPr="00E55AC1" w:rsidRDefault="00755CF2" w:rsidP="00A94F35">
      <w:pPr>
        <w:spacing w:after="120"/>
        <w:rPr>
          <w:noProof/>
        </w:rPr>
      </w:pPr>
      <w:r w:rsidRPr="00E55AC1">
        <w:rPr>
          <w:noProof/>
        </w:rPr>
        <w:t>As per the administration protocol in the pivotal study (27</w:t>
      </w:r>
      <w:r w:rsidR="00B91C7E">
        <w:rPr>
          <w:noProof/>
        </w:rPr>
        <w:t>0</w:t>
      </w:r>
      <w:r w:rsidRPr="00E55AC1">
        <w:rPr>
          <w:noProof/>
        </w:rPr>
        <w:t>-301), the clinical steps involved in delivering the proposed medical service are as follows:</w:t>
      </w:r>
    </w:p>
    <w:p w14:paraId="09D63F1E" w14:textId="77777777" w:rsidR="00755CF2" w:rsidRPr="000C095B" w:rsidRDefault="00755CF2" w:rsidP="00A94F35">
      <w:pPr>
        <w:pStyle w:val="ListParagraph"/>
        <w:numPr>
          <w:ilvl w:val="0"/>
          <w:numId w:val="16"/>
        </w:numPr>
        <w:spacing w:after="0"/>
        <w:ind w:left="709" w:hanging="283"/>
        <w:rPr>
          <w:noProof/>
        </w:rPr>
      </w:pPr>
      <w:r w:rsidRPr="000C095B">
        <w:rPr>
          <w:noProof/>
        </w:rPr>
        <w:t>The patient is examined on the day of infusion to ensure freedom from active, acute illness</w:t>
      </w:r>
    </w:p>
    <w:p w14:paraId="7B4024A8" w14:textId="77777777" w:rsidR="00755CF2" w:rsidRPr="00E55AC1" w:rsidRDefault="00755CF2" w:rsidP="00A94F35">
      <w:pPr>
        <w:pStyle w:val="ListParagraph"/>
        <w:numPr>
          <w:ilvl w:val="0"/>
          <w:numId w:val="16"/>
        </w:numPr>
        <w:spacing w:after="0"/>
        <w:ind w:left="709" w:hanging="283"/>
        <w:rPr>
          <w:noProof/>
        </w:rPr>
      </w:pPr>
      <w:r w:rsidRPr="00E55AC1">
        <w:rPr>
          <w:noProof/>
        </w:rPr>
        <w:t>An intravenous (IV) catheter or butterfly needle is inserted into a suitable peripheral vein (for example the median cubital vein) and flushed with saline</w:t>
      </w:r>
    </w:p>
    <w:p w14:paraId="66CB3B2A" w14:textId="77777777" w:rsidR="00755CF2" w:rsidRPr="00E55AC1" w:rsidRDefault="00755CF2" w:rsidP="00A94F35">
      <w:pPr>
        <w:pStyle w:val="ListParagraph"/>
        <w:numPr>
          <w:ilvl w:val="0"/>
          <w:numId w:val="16"/>
        </w:numPr>
        <w:spacing w:after="0"/>
        <w:ind w:left="709" w:hanging="283"/>
        <w:rPr>
          <w:noProof/>
        </w:rPr>
      </w:pPr>
      <w:r w:rsidRPr="00E55AC1">
        <w:rPr>
          <w:noProof/>
        </w:rPr>
        <w:t>Roctavian is prepared and infused at a dose of 6×10</w:t>
      </w:r>
      <w:r w:rsidRPr="00D200D1">
        <w:rPr>
          <w:noProof/>
          <w:vertAlign w:val="superscript"/>
        </w:rPr>
        <w:t>13</w:t>
      </w:r>
      <w:r w:rsidRPr="00E55AC1">
        <w:rPr>
          <w:noProof/>
        </w:rPr>
        <w:t xml:space="preserve"> vector genomes (vg) per kilogram of body weight as a pure solution over a dose-dependent time, through the catheter or </w:t>
      </w:r>
      <w:r w:rsidRPr="00E55AC1">
        <w:rPr>
          <w:noProof/>
        </w:rPr>
        <w:lastRenderedPageBreak/>
        <w:t>butterfly needle using an appropriate infusion pump. The infusion rate starts at 1 mL/min, and is increased every 30 minutes by 1 mL/min up to a maximum of 4 ml/min</w:t>
      </w:r>
    </w:p>
    <w:p w14:paraId="1DA99719" w14:textId="77777777" w:rsidR="00755CF2" w:rsidRDefault="00755CF2" w:rsidP="00A94F35">
      <w:pPr>
        <w:pStyle w:val="ListParagraph"/>
        <w:numPr>
          <w:ilvl w:val="0"/>
          <w:numId w:val="16"/>
        </w:numPr>
        <w:spacing w:after="0"/>
        <w:ind w:left="709" w:hanging="283"/>
        <w:rPr>
          <w:noProof/>
        </w:rPr>
      </w:pPr>
      <w:r w:rsidRPr="00E55AC1">
        <w:rPr>
          <w:noProof/>
        </w:rPr>
        <w:t>The patient’s vital signs (pulse, blood pressure, respiration rate and temperature) are monitored every 15 minutes during the infusion</w:t>
      </w:r>
    </w:p>
    <w:p w14:paraId="0E164F96" w14:textId="77777777" w:rsidR="00755CF2" w:rsidRPr="00E55AC1" w:rsidRDefault="00755CF2" w:rsidP="00755CF2">
      <w:pPr>
        <w:pStyle w:val="ListParagraph"/>
        <w:spacing w:after="0"/>
        <w:ind w:left="1080"/>
        <w:rPr>
          <w:noProof/>
        </w:rPr>
      </w:pPr>
    </w:p>
    <w:p w14:paraId="08F7D522" w14:textId="77777777" w:rsidR="00755CF2" w:rsidRPr="00E55AC1" w:rsidRDefault="00755CF2" w:rsidP="00755CF2">
      <w:pPr>
        <w:spacing w:after="0"/>
        <w:rPr>
          <w:noProof/>
        </w:rPr>
      </w:pPr>
      <w:r w:rsidRPr="005477BA">
        <w:rPr>
          <w:noProof/>
        </w:rPr>
        <w:t>According to the draft product information (PI) for Roctavian, the infusion time depends on infusion volume, rate and patient response. Infusion time may take 2 to</w:t>
      </w:r>
      <w:r w:rsidRPr="00CF0A9E">
        <w:rPr>
          <w:noProof/>
        </w:rPr>
        <w:t xml:space="preserve"> 5 hours or longer for a patient weighing 100 kg</w:t>
      </w:r>
      <w:r>
        <w:rPr>
          <w:noProof/>
        </w:rPr>
        <w:t>.</w:t>
      </w:r>
      <w:r w:rsidRPr="00E55AC1">
        <w:rPr>
          <w:noProof/>
        </w:rPr>
        <w:t xml:space="preserve"> </w:t>
      </w:r>
    </w:p>
    <w:p w14:paraId="26B83033" w14:textId="77777777" w:rsidR="00755CF2" w:rsidRPr="00AE1F91" w:rsidRDefault="00755CF2" w:rsidP="00755CF2">
      <w:pPr>
        <w:spacing w:after="0"/>
        <w:rPr>
          <w:rFonts w:asciiTheme="minorHAnsi" w:hAnsiTheme="minorHAnsi" w:cs="Calibri"/>
          <w:color w:val="000000"/>
        </w:rPr>
      </w:pPr>
    </w:p>
    <w:p w14:paraId="2E14E069" w14:textId="60D4D73F" w:rsidR="00755CF2" w:rsidRPr="00AE1F91" w:rsidRDefault="00755CF2" w:rsidP="00D200D1">
      <w:pPr>
        <w:pStyle w:val="Heading2"/>
        <w:keepNext/>
        <w:keepLines/>
        <w:widowControl w:val="0"/>
      </w:pPr>
      <w:r>
        <w:t>Identify how the proposed technology achieves the intended patient outcomes:</w:t>
      </w:r>
    </w:p>
    <w:p w14:paraId="71F1D4DD" w14:textId="77777777" w:rsidR="00755CF2" w:rsidRDefault="00755CF2" w:rsidP="00755CF2">
      <w:pPr>
        <w:keepNext/>
        <w:keepLines/>
        <w:widowControl w:val="0"/>
        <w:spacing w:after="0"/>
        <w:rPr>
          <w:noProof/>
        </w:rPr>
      </w:pPr>
      <w:r w:rsidRPr="000C095B">
        <w:rPr>
          <w:noProof/>
        </w:rPr>
        <w:t xml:space="preserve">Valoctocogene roxaparvovec is an adeno-associated virus serotype 5 (AAV5) based gene therapy causing the expression of the B-domain deleted SQ form of a recombinant human factor VIII (hFVIII-SQ) under the control of a liver-specific promoter. The expressed hFVIII-SQ </w:t>
      </w:r>
      <w:r>
        <w:rPr>
          <w:noProof/>
        </w:rPr>
        <w:t>substitutes for</w:t>
      </w:r>
      <w:r w:rsidRPr="000C095B">
        <w:rPr>
          <w:noProof/>
        </w:rPr>
        <w:t xml:space="preserve"> the missing coagulation factor VIII needed for effective haemostasis. Following valoctocogene roxaparvovec infusion, vector DNA is </w:t>
      </w:r>
      <w:r>
        <w:rPr>
          <w:noProof/>
        </w:rPr>
        <w:t>transformed</w:t>
      </w:r>
      <w:r w:rsidRPr="000C095B">
        <w:rPr>
          <w:noProof/>
        </w:rPr>
        <w:t xml:space="preserve"> in vivo to form full-length, episomal transgenes </w:t>
      </w:r>
      <w:r w:rsidRPr="007B1724">
        <w:rPr>
          <w:noProof/>
        </w:rPr>
        <w:t>that persist as the stable DNA forms that support long</w:t>
      </w:r>
      <w:r>
        <w:rPr>
          <w:noProof/>
        </w:rPr>
        <w:t xml:space="preserve"> </w:t>
      </w:r>
      <w:r w:rsidRPr="007B1724">
        <w:rPr>
          <w:noProof/>
        </w:rPr>
        <w:t>term production of hFVIII-SQ.</w:t>
      </w:r>
    </w:p>
    <w:p w14:paraId="65802662" w14:textId="77777777" w:rsidR="00755CF2" w:rsidRDefault="00755CF2" w:rsidP="00755CF2">
      <w:pPr>
        <w:keepNext/>
        <w:keepLines/>
        <w:widowControl w:val="0"/>
        <w:spacing w:after="0"/>
        <w:rPr>
          <w:noProof/>
        </w:rPr>
      </w:pPr>
    </w:p>
    <w:p w14:paraId="004D6070" w14:textId="77777777" w:rsidR="00755CF2" w:rsidRDefault="00755CF2" w:rsidP="00755CF2">
      <w:pPr>
        <w:keepNext/>
        <w:keepLines/>
        <w:widowControl w:val="0"/>
        <w:spacing w:after="0"/>
        <w:rPr>
          <w:noProof/>
        </w:rPr>
      </w:pPr>
      <w:r w:rsidRPr="007B1724">
        <w:rPr>
          <w:noProof/>
        </w:rPr>
        <w:t>As the new F8 gene is under the control of a liver-specific promoter, only liver cells are able to activate transcription to make FVIII protein which is then secreted into the bloodstream (Ozelo 2022).</w:t>
      </w:r>
      <w:r w:rsidRPr="00E55AC1">
        <w:rPr>
          <w:noProof/>
        </w:rPr>
        <w:t xml:space="preserve"> </w:t>
      </w:r>
      <w:r>
        <w:rPr>
          <w:noProof/>
        </w:rPr>
        <w:t>Treatment with v</w:t>
      </w:r>
      <w:r w:rsidRPr="009879CC">
        <w:rPr>
          <w:noProof/>
        </w:rPr>
        <w:t xml:space="preserve">aloctocogene roxaparvovec </w:t>
      </w:r>
      <w:r>
        <w:rPr>
          <w:noProof/>
        </w:rPr>
        <w:t>provides</w:t>
      </w:r>
      <w:r w:rsidRPr="009879CC">
        <w:rPr>
          <w:noProof/>
        </w:rPr>
        <w:t xml:space="preserve"> </w:t>
      </w:r>
      <w:r w:rsidRPr="00A00DCB">
        <w:rPr>
          <w:noProof/>
        </w:rPr>
        <w:t xml:space="preserve">endogenous </w:t>
      </w:r>
      <w:r>
        <w:rPr>
          <w:noProof/>
        </w:rPr>
        <w:t>F</w:t>
      </w:r>
      <w:r w:rsidRPr="00A00DCB">
        <w:rPr>
          <w:noProof/>
        </w:rPr>
        <w:t xml:space="preserve">VIII production </w:t>
      </w:r>
      <w:r>
        <w:rPr>
          <w:noProof/>
        </w:rPr>
        <w:t xml:space="preserve">with </w:t>
      </w:r>
      <w:r w:rsidRPr="009879CC">
        <w:rPr>
          <w:noProof/>
        </w:rPr>
        <w:t>constant FVIII expression</w:t>
      </w:r>
      <w:r>
        <w:rPr>
          <w:noProof/>
        </w:rPr>
        <w:t xml:space="preserve">. </w:t>
      </w:r>
    </w:p>
    <w:p w14:paraId="33794C34" w14:textId="77777777" w:rsidR="00755CF2" w:rsidRDefault="00755CF2" w:rsidP="00755CF2">
      <w:pPr>
        <w:keepNext/>
        <w:keepLines/>
        <w:widowControl w:val="0"/>
        <w:spacing w:after="0"/>
        <w:rPr>
          <w:noProof/>
        </w:rPr>
      </w:pPr>
    </w:p>
    <w:p w14:paraId="4F6D447A" w14:textId="60527C0D" w:rsidR="00755CF2" w:rsidRPr="00D200D1" w:rsidRDefault="00755CF2" w:rsidP="00D200D1">
      <w:pPr>
        <w:pStyle w:val="Heading2"/>
      </w:pPr>
      <w:r w:rsidRPr="00D200D1">
        <w:rPr>
          <w:rStyle w:val="Heading2Char"/>
          <w:b/>
          <w:bCs/>
        </w:rPr>
        <w:t xml:space="preserve">Does the proposed health technology include a registered trademark component with characteristics that distinguishes it from other similar health components? </w:t>
      </w:r>
    </w:p>
    <w:p w14:paraId="59D40466" w14:textId="2D95E23C" w:rsidR="00755CF2" w:rsidRPr="00AE1F91" w:rsidRDefault="00755CF2" w:rsidP="00D200D1">
      <w:r w:rsidRPr="009E4E77">
        <w:t>Yes</w:t>
      </w:r>
    </w:p>
    <w:p w14:paraId="2F179BC0" w14:textId="601F5893" w:rsidR="00755CF2" w:rsidRPr="00AE1F91" w:rsidRDefault="00755CF2" w:rsidP="00D200D1">
      <w:r w:rsidRPr="00E55AC1">
        <w:t xml:space="preserve">ROCTAVIAN™ (valoctocogene </w:t>
      </w:r>
      <w:proofErr w:type="spellStart"/>
      <w:r w:rsidRPr="00E55AC1">
        <w:t>roxaparvovec</w:t>
      </w:r>
      <w:proofErr w:type="spellEnd"/>
      <w:r w:rsidRPr="00E55AC1">
        <w:t>)</w:t>
      </w:r>
    </w:p>
    <w:p w14:paraId="2DFD0045" w14:textId="1C006854" w:rsidR="00755CF2" w:rsidRPr="00D200D1" w:rsidRDefault="00755CF2" w:rsidP="00D200D1">
      <w:pPr>
        <w:pStyle w:val="Heading2"/>
      </w:pPr>
      <w:r w:rsidRPr="00AE1F91">
        <w:t>Explain whether it is essential to have this trademark component or whether there would be other components that would be suitable:</w:t>
      </w:r>
    </w:p>
    <w:p w14:paraId="5E00158E" w14:textId="77777777" w:rsidR="00755CF2" w:rsidRPr="00AE1F91" w:rsidRDefault="00755CF2" w:rsidP="00755CF2">
      <w:pPr>
        <w:spacing w:after="0"/>
        <w:rPr>
          <w:rFonts w:asciiTheme="minorHAnsi" w:hAnsiTheme="minorHAnsi" w:cs="Calibri"/>
          <w:color w:val="000000"/>
        </w:rPr>
      </w:pPr>
      <w:proofErr w:type="spellStart"/>
      <w:r>
        <w:t>Roctavian</w:t>
      </w:r>
      <w:proofErr w:type="spellEnd"/>
      <w:r>
        <w:t xml:space="preserve"> is the brand name of the gene therapy, and like all other products on the NPPL, the proposed listing will be </w:t>
      </w:r>
      <w:proofErr w:type="gramStart"/>
      <w:r>
        <w:t>brand-specific</w:t>
      </w:r>
      <w:proofErr w:type="gramEnd"/>
      <w:r>
        <w:t xml:space="preserve">. </w:t>
      </w:r>
    </w:p>
    <w:p w14:paraId="4447D528" w14:textId="77777777" w:rsidR="00755CF2" w:rsidRPr="00AE1F91" w:rsidRDefault="00755CF2" w:rsidP="00755CF2">
      <w:pPr>
        <w:spacing w:after="0"/>
        <w:rPr>
          <w:rFonts w:asciiTheme="minorHAnsi" w:hAnsiTheme="minorHAnsi" w:cs="Calibri"/>
          <w:color w:val="000000"/>
        </w:rPr>
      </w:pPr>
    </w:p>
    <w:p w14:paraId="12C940F1" w14:textId="15838CDC" w:rsidR="00755CF2" w:rsidRPr="00D200D1" w:rsidRDefault="00755CF2" w:rsidP="00D200D1">
      <w:pPr>
        <w:pStyle w:val="Heading2"/>
      </w:pPr>
      <w:r w:rsidRPr="00D200D1">
        <w:rPr>
          <w:rStyle w:val="Heading2Char"/>
          <w:b/>
          <w:bCs/>
        </w:rPr>
        <w:t xml:space="preserve">Are there any proposed limitations on the provision of the proposed health technology delivered to the patient (For example: accessibility, dosage, quantity, </w:t>
      </w:r>
      <w:proofErr w:type="gramStart"/>
      <w:r w:rsidRPr="00D200D1">
        <w:rPr>
          <w:rStyle w:val="Heading2Char"/>
          <w:b/>
          <w:bCs/>
        </w:rPr>
        <w:t>duration</w:t>
      </w:r>
      <w:proofErr w:type="gramEnd"/>
      <w:r w:rsidRPr="00D200D1">
        <w:rPr>
          <w:rStyle w:val="Heading2Char"/>
          <w:b/>
          <w:bCs/>
        </w:rPr>
        <w:t xml:space="preserve"> or frequency):</w:t>
      </w:r>
    </w:p>
    <w:p w14:paraId="735636EF" w14:textId="3BBC8311" w:rsidR="00755CF2" w:rsidRDefault="00755CF2" w:rsidP="00D200D1">
      <w:pPr>
        <w:spacing w:after="0"/>
        <w:rPr>
          <w:bCs/>
          <w:color w:val="000000"/>
        </w:rPr>
      </w:pPr>
      <w:r w:rsidRPr="009E4E77">
        <w:rPr>
          <w:bCs/>
          <w:color w:val="000000"/>
        </w:rPr>
        <w:t>Yes</w:t>
      </w:r>
    </w:p>
    <w:p w14:paraId="49FD04CF" w14:textId="77777777" w:rsidR="00D200D1" w:rsidRPr="00D200D1" w:rsidRDefault="00D200D1" w:rsidP="00D200D1">
      <w:pPr>
        <w:spacing w:after="0"/>
        <w:rPr>
          <w:bCs/>
          <w:color w:val="000000"/>
        </w:rPr>
      </w:pPr>
    </w:p>
    <w:p w14:paraId="4D865686" w14:textId="77777777" w:rsidR="00755CF2" w:rsidRPr="00AE1F91" w:rsidRDefault="00755CF2" w:rsidP="00755CF2">
      <w:pPr>
        <w:pStyle w:val="Heading2"/>
      </w:pPr>
      <w:r w:rsidRPr="00AE1F91">
        <w:t>Provide details and explain:</w:t>
      </w:r>
    </w:p>
    <w:p w14:paraId="11A1A220" w14:textId="683FE811" w:rsidR="00755CF2" w:rsidRPr="000C095B" w:rsidRDefault="00755CF2" w:rsidP="00D200D1">
      <w:pPr>
        <w:rPr>
          <w:noProof/>
        </w:rPr>
      </w:pPr>
      <w:r>
        <w:rPr>
          <w:noProof/>
        </w:rPr>
        <w:t>As proposed in the AHCDO roadmap for implementation of haemophila gene therapy in Australia</w:t>
      </w:r>
      <w:r w:rsidRPr="000C095B">
        <w:rPr>
          <w:noProof/>
        </w:rPr>
        <w:t xml:space="preserve">, </w:t>
      </w:r>
      <w:r>
        <w:rPr>
          <w:noProof/>
        </w:rPr>
        <w:t>i</w:t>
      </w:r>
      <w:r w:rsidRPr="000C095B">
        <w:rPr>
          <w:noProof/>
        </w:rPr>
        <w:t xml:space="preserve">t is anticipated that </w:t>
      </w:r>
      <w:r w:rsidRPr="00E55AC1">
        <w:rPr>
          <w:bCs/>
          <w:color w:val="000000"/>
        </w:rPr>
        <w:t xml:space="preserve">valoctocogene </w:t>
      </w:r>
      <w:proofErr w:type="spellStart"/>
      <w:r w:rsidRPr="00E55AC1">
        <w:rPr>
          <w:bCs/>
          <w:color w:val="000000"/>
        </w:rPr>
        <w:t>roxaparvovec</w:t>
      </w:r>
      <w:proofErr w:type="spellEnd"/>
      <w:r w:rsidRPr="000C095B">
        <w:rPr>
          <w:noProof/>
        </w:rPr>
        <w:t xml:space="preserve"> will</w:t>
      </w:r>
      <w:r>
        <w:rPr>
          <w:noProof/>
        </w:rPr>
        <w:t xml:space="preserve"> be administered once only</w:t>
      </w:r>
      <w:r w:rsidRPr="000C095B">
        <w:rPr>
          <w:noProof/>
        </w:rPr>
        <w:t xml:space="preserve"> </w:t>
      </w:r>
      <w:r>
        <w:rPr>
          <w:noProof/>
        </w:rPr>
        <w:t>as a single intravenous administration</w:t>
      </w:r>
      <w:r w:rsidRPr="000C095B">
        <w:rPr>
          <w:noProof/>
        </w:rPr>
        <w:t xml:space="preserve"> </w:t>
      </w:r>
      <w:r>
        <w:rPr>
          <w:noProof/>
        </w:rPr>
        <w:t>by</w:t>
      </w:r>
      <w:r w:rsidRPr="000C095B">
        <w:rPr>
          <w:noProof/>
        </w:rPr>
        <w:t xml:space="preserve"> a </w:t>
      </w:r>
      <w:r>
        <w:rPr>
          <w:noProof/>
        </w:rPr>
        <w:t xml:space="preserve">haematologist </w:t>
      </w:r>
      <w:r w:rsidRPr="000C095B">
        <w:rPr>
          <w:noProof/>
        </w:rPr>
        <w:t>at a hub HTC</w:t>
      </w:r>
      <w:r>
        <w:rPr>
          <w:noProof/>
        </w:rPr>
        <w:t xml:space="preserve"> </w:t>
      </w:r>
      <w:r w:rsidRPr="000C095B">
        <w:rPr>
          <w:noProof/>
        </w:rPr>
        <w:t>trained in the delivery of the gene therapy</w:t>
      </w:r>
      <w:r>
        <w:rPr>
          <w:noProof/>
        </w:rPr>
        <w:t xml:space="preserve"> (AHCDO 2022)</w:t>
      </w:r>
      <w:r w:rsidRPr="000C095B">
        <w:rPr>
          <w:noProof/>
        </w:rPr>
        <w:t xml:space="preserve">. </w:t>
      </w:r>
      <w:r>
        <w:rPr>
          <w:noProof/>
        </w:rPr>
        <w:t xml:space="preserve">[More details of hub HTCs are provided below]. </w:t>
      </w:r>
      <w:r w:rsidRPr="000C095B">
        <w:rPr>
          <w:noProof/>
        </w:rPr>
        <w:t>The dosage is 6×10</w:t>
      </w:r>
      <w:r w:rsidRPr="009E4E77">
        <w:rPr>
          <w:noProof/>
          <w:vertAlign w:val="superscript"/>
        </w:rPr>
        <w:t>13</w:t>
      </w:r>
      <w:r w:rsidRPr="000C095B">
        <w:rPr>
          <w:noProof/>
        </w:rPr>
        <w:t xml:space="preserve"> vg per kilogram of body weight. </w:t>
      </w:r>
    </w:p>
    <w:p w14:paraId="00D56C70" w14:textId="3E111F9D" w:rsidR="00755CF2" w:rsidRDefault="00755CF2" w:rsidP="00755CF2">
      <w:pPr>
        <w:spacing w:after="0"/>
        <w:rPr>
          <w:noProof/>
        </w:rPr>
      </w:pPr>
      <w:r w:rsidRPr="000C095B">
        <w:rPr>
          <w:noProof/>
        </w:rPr>
        <w:t xml:space="preserve">The </w:t>
      </w:r>
      <w:r>
        <w:rPr>
          <w:noProof/>
        </w:rPr>
        <w:t>AHCDO</w:t>
      </w:r>
      <w:r w:rsidRPr="000C095B">
        <w:rPr>
          <w:noProof/>
        </w:rPr>
        <w:t xml:space="preserve"> roadmap proposes a hub and spoke model of care for the administration of gene therapy in Australia.</w:t>
      </w:r>
      <w:r>
        <w:rPr>
          <w:noProof/>
        </w:rPr>
        <w:t xml:space="preserve"> </w:t>
      </w:r>
      <w:r w:rsidRPr="000C095B">
        <w:rPr>
          <w:noProof/>
        </w:rPr>
        <w:t>Whil</w:t>
      </w:r>
      <w:r>
        <w:rPr>
          <w:noProof/>
        </w:rPr>
        <w:t>e</w:t>
      </w:r>
      <w:r w:rsidRPr="000C095B">
        <w:rPr>
          <w:noProof/>
        </w:rPr>
        <w:t xml:space="preserve"> it is the spoke centre’s responsibility to identify and screen patients for selection, the decision of which patients to treat is shared by the hub and spoke</w:t>
      </w:r>
      <w:r>
        <w:rPr>
          <w:noProof/>
        </w:rPr>
        <w:t xml:space="preserve"> centres</w:t>
      </w:r>
      <w:r w:rsidRPr="000C095B">
        <w:rPr>
          <w:noProof/>
        </w:rPr>
        <w:t xml:space="preserve">, and the hub </w:t>
      </w:r>
      <w:r>
        <w:rPr>
          <w:noProof/>
        </w:rPr>
        <w:t>is</w:t>
      </w:r>
      <w:r w:rsidRPr="000C095B">
        <w:rPr>
          <w:noProof/>
        </w:rPr>
        <w:t xml:space="preserve"> responsible for the administration of gene therapy</w:t>
      </w:r>
      <w:r w:rsidR="00A87E6D">
        <w:rPr>
          <w:noProof/>
        </w:rPr>
        <w:t xml:space="preserve"> (</w:t>
      </w:r>
      <w:r w:rsidR="00DE246A">
        <w:rPr>
          <w:noProof/>
        </w:rPr>
        <w:t>Table 2</w:t>
      </w:r>
      <w:r w:rsidR="00A87E6D">
        <w:rPr>
          <w:noProof/>
        </w:rPr>
        <w:t>)</w:t>
      </w:r>
      <w:r w:rsidRPr="000C095B">
        <w:rPr>
          <w:noProof/>
        </w:rPr>
        <w:t xml:space="preserve">. </w:t>
      </w:r>
    </w:p>
    <w:p w14:paraId="034B28ED" w14:textId="05C96903" w:rsidR="00755CF2" w:rsidRDefault="00755CF2" w:rsidP="00D200D1">
      <w:pPr>
        <w:rPr>
          <w:noProof/>
        </w:rPr>
      </w:pPr>
      <w:r w:rsidRPr="000C095B">
        <w:rPr>
          <w:noProof/>
        </w:rPr>
        <w:lastRenderedPageBreak/>
        <w:t xml:space="preserve">The map provided in </w:t>
      </w:r>
      <w:r w:rsidR="00DE246A">
        <w:rPr>
          <w:noProof/>
        </w:rPr>
        <w:t xml:space="preserve">Figure 2 </w:t>
      </w:r>
      <w:r w:rsidRPr="000C095B">
        <w:rPr>
          <w:noProof/>
        </w:rPr>
        <w:t>shows AHCDO’s proposed distribution of hub and spoke centres for haemophilia gene therapy across Australia. One expert hub</w:t>
      </w:r>
      <w:r>
        <w:rPr>
          <w:noProof/>
        </w:rPr>
        <w:t xml:space="preserve"> centre</w:t>
      </w:r>
      <w:r w:rsidRPr="000C095B">
        <w:rPr>
          <w:noProof/>
        </w:rPr>
        <w:t xml:space="preserve"> </w:t>
      </w:r>
      <w:r>
        <w:rPr>
          <w:noProof/>
        </w:rPr>
        <w:t>in five key</w:t>
      </w:r>
      <w:r w:rsidRPr="000C095B">
        <w:rPr>
          <w:noProof/>
        </w:rPr>
        <w:t xml:space="preserve"> state</w:t>
      </w:r>
      <w:r>
        <w:rPr>
          <w:noProof/>
        </w:rPr>
        <w:t>s</w:t>
      </w:r>
      <w:r w:rsidRPr="000C095B">
        <w:rPr>
          <w:noProof/>
        </w:rPr>
        <w:t xml:space="preserve"> (red boxes)</w:t>
      </w:r>
      <w:r>
        <w:rPr>
          <w:noProof/>
        </w:rPr>
        <w:t xml:space="preserve"> has been identified</w:t>
      </w:r>
      <w:r w:rsidRPr="000C095B">
        <w:rPr>
          <w:noProof/>
        </w:rPr>
        <w:t xml:space="preserve"> for </w:t>
      </w:r>
      <w:r>
        <w:rPr>
          <w:noProof/>
        </w:rPr>
        <w:t>gene therapy</w:t>
      </w:r>
      <w:r w:rsidRPr="000C095B">
        <w:rPr>
          <w:noProof/>
        </w:rPr>
        <w:t xml:space="preserve"> treatment of adult patientswith </w:t>
      </w:r>
      <w:r>
        <w:rPr>
          <w:noProof/>
        </w:rPr>
        <w:t xml:space="preserve">the </w:t>
      </w:r>
      <w:r w:rsidRPr="000C095B">
        <w:rPr>
          <w:noProof/>
        </w:rPr>
        <w:t xml:space="preserve">remaining </w:t>
      </w:r>
      <w:r>
        <w:rPr>
          <w:noProof/>
        </w:rPr>
        <w:t>seven HTCs</w:t>
      </w:r>
      <w:r w:rsidRPr="000C095B">
        <w:rPr>
          <w:noProof/>
        </w:rPr>
        <w:t xml:space="preserve"> representing spoke centres. It should be noted that A</w:t>
      </w:r>
      <w:r>
        <w:rPr>
          <w:noProof/>
        </w:rPr>
        <w:t>HCDO</w:t>
      </w:r>
      <w:r w:rsidRPr="000C095B">
        <w:rPr>
          <w:noProof/>
        </w:rPr>
        <w:t xml:space="preserve"> did not consider paediatric treatment centres because gene therapy for patients younger than 18 years of age is not </w:t>
      </w:r>
      <w:r>
        <w:rPr>
          <w:noProof/>
        </w:rPr>
        <w:t>anticipated</w:t>
      </w:r>
      <w:r w:rsidRPr="000C095B">
        <w:rPr>
          <w:noProof/>
        </w:rPr>
        <w:t xml:space="preserve"> in the foreseeable future. </w:t>
      </w:r>
    </w:p>
    <w:p w14:paraId="756DCC45" w14:textId="3F61F3CC" w:rsidR="00755CF2" w:rsidRDefault="00755CF2" w:rsidP="00D200D1">
      <w:pPr>
        <w:rPr>
          <w:noProof/>
        </w:rPr>
      </w:pPr>
      <w:r w:rsidRPr="000C095B">
        <w:rPr>
          <w:noProof/>
        </w:rPr>
        <w:t xml:space="preserve">Given the administration of </w:t>
      </w:r>
      <w:r>
        <w:rPr>
          <w:noProof/>
        </w:rPr>
        <w:t xml:space="preserve">valoctocogene roxaparvovec </w:t>
      </w:r>
      <w:r w:rsidRPr="000C095B">
        <w:rPr>
          <w:noProof/>
        </w:rPr>
        <w:t xml:space="preserve">will only occur once per patient, AHCDO consider that the five hub centres, with support of the spoke centres, will be able to meet the demand, and be </w:t>
      </w:r>
      <w:r>
        <w:rPr>
          <w:noProof/>
        </w:rPr>
        <w:t>cap</w:t>
      </w:r>
      <w:r w:rsidRPr="000C095B">
        <w:rPr>
          <w:noProof/>
        </w:rPr>
        <w:t xml:space="preserve">able </w:t>
      </w:r>
      <w:r>
        <w:rPr>
          <w:noProof/>
        </w:rPr>
        <w:t>of</w:t>
      </w:r>
      <w:r w:rsidRPr="000C095B">
        <w:rPr>
          <w:noProof/>
        </w:rPr>
        <w:t xml:space="preserve"> deliver</w:t>
      </w:r>
      <w:r>
        <w:rPr>
          <w:noProof/>
        </w:rPr>
        <w:t>ing</w:t>
      </w:r>
      <w:r w:rsidRPr="000C095B">
        <w:rPr>
          <w:noProof/>
        </w:rPr>
        <w:t xml:space="preserve"> the service to all eligible patients. </w:t>
      </w:r>
    </w:p>
    <w:p w14:paraId="2BD2B905" w14:textId="7495299B" w:rsidR="005D17B2" w:rsidRPr="000C095B" w:rsidRDefault="005D17B2" w:rsidP="005D17B2">
      <w:pPr>
        <w:pStyle w:val="Caption"/>
      </w:pPr>
      <w:bookmarkStart w:id="3" w:name="_Ref122347763"/>
      <w:r w:rsidRPr="000C095B">
        <w:t>Figure</w:t>
      </w:r>
      <w:bookmarkEnd w:id="3"/>
      <w:r w:rsidR="00A87E6D">
        <w:t xml:space="preserve"> </w:t>
      </w:r>
      <w:r w:rsidR="00DE246A">
        <w:t>2</w:t>
      </w:r>
      <w:r w:rsidRPr="000C095B">
        <w:tab/>
        <w:t>AHDCO’s assessment of current HTCs as potential gene therapy sites</w:t>
      </w:r>
    </w:p>
    <w:p w14:paraId="10427629" w14:textId="77777777" w:rsidR="00755CF2" w:rsidRPr="000C095B" w:rsidRDefault="00755CF2" w:rsidP="00755CF2">
      <w:pPr>
        <w:spacing w:before="120" w:after="120"/>
        <w:rPr>
          <w:rFonts w:ascii="Calibri" w:eastAsia="Calibri" w:hAnsi="Calibri"/>
          <w:sz w:val="20"/>
        </w:rPr>
      </w:pPr>
      <w:r w:rsidRPr="000C095B">
        <w:rPr>
          <w:rFonts w:ascii="Calibri" w:eastAsia="Calibri" w:hAnsi="Calibri"/>
          <w:noProof/>
          <w:sz w:val="20"/>
        </w:rPr>
        <w:drawing>
          <wp:inline distT="0" distB="0" distL="0" distR="0" wp14:anchorId="2A071FD1" wp14:editId="65A323E8">
            <wp:extent cx="5264904" cy="310959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5"/>
                    <a:stretch>
                      <a:fillRect/>
                    </a:stretch>
                  </pic:blipFill>
                  <pic:spPr>
                    <a:xfrm>
                      <a:off x="0" y="0"/>
                      <a:ext cx="5272417" cy="3114032"/>
                    </a:xfrm>
                    <a:prstGeom prst="rect">
                      <a:avLst/>
                    </a:prstGeom>
                  </pic:spPr>
                </pic:pic>
              </a:graphicData>
            </a:graphic>
          </wp:inline>
        </w:drawing>
      </w:r>
    </w:p>
    <w:p w14:paraId="31AF5294" w14:textId="2ADE2B63" w:rsidR="005D17B2" w:rsidRDefault="00DE246A" w:rsidP="005D17B2">
      <w:pPr>
        <w:pStyle w:val="Caption"/>
        <w:spacing w:before="240"/>
      </w:pPr>
      <w:r>
        <w:t>Table 2</w:t>
      </w:r>
      <w:r w:rsidR="005D17B2" w:rsidRPr="000C095B">
        <w:tab/>
        <w:t>Key steps in the proposed model of care</w:t>
      </w:r>
    </w:p>
    <w:tbl>
      <w:tblPr>
        <w:tblStyle w:val="TableGrid"/>
        <w:tblW w:w="9209" w:type="dxa"/>
        <w:tblLook w:val="04A0" w:firstRow="1" w:lastRow="0" w:firstColumn="1" w:lastColumn="0" w:noHBand="0" w:noVBand="1"/>
      </w:tblPr>
      <w:tblGrid>
        <w:gridCol w:w="1270"/>
        <w:gridCol w:w="5525"/>
        <w:gridCol w:w="783"/>
        <w:gridCol w:w="782"/>
        <w:gridCol w:w="849"/>
      </w:tblGrid>
      <w:tr w:rsidR="005C703C" w14:paraId="490EC2CA" w14:textId="77777777" w:rsidTr="006A23ED">
        <w:tc>
          <w:tcPr>
            <w:tcW w:w="1270" w:type="dxa"/>
            <w:vAlign w:val="center"/>
          </w:tcPr>
          <w:p w14:paraId="44033082" w14:textId="769C3937" w:rsidR="005D17B2" w:rsidRDefault="005D17B2" w:rsidP="005D17B2">
            <w:pPr>
              <w:rPr>
                <w:lang w:eastAsia="en-AU"/>
              </w:rPr>
            </w:pPr>
            <w:r w:rsidRPr="000C095B">
              <w:rPr>
                <w:rFonts w:ascii="Arial Narrow" w:eastAsia="TimesNewRoman" w:hAnsi="Arial Narrow"/>
                <w:b/>
                <w:bCs/>
                <w:color w:val="000000"/>
                <w:sz w:val="20"/>
                <w:szCs w:val="20"/>
                <w:lang w:val="en-US" w:eastAsia="en-AU"/>
              </w:rPr>
              <w:t>Stage</w:t>
            </w:r>
          </w:p>
        </w:tc>
        <w:tc>
          <w:tcPr>
            <w:tcW w:w="5525" w:type="dxa"/>
            <w:vAlign w:val="center"/>
          </w:tcPr>
          <w:p w14:paraId="4968B781" w14:textId="624BDB6E" w:rsidR="005D17B2" w:rsidRDefault="005D17B2" w:rsidP="005D17B2">
            <w:pPr>
              <w:rPr>
                <w:lang w:eastAsia="en-AU"/>
              </w:rPr>
            </w:pPr>
            <w:r w:rsidRPr="000C095B">
              <w:rPr>
                <w:rFonts w:ascii="Arial Narrow" w:eastAsia="TimesNewRoman" w:hAnsi="Arial Narrow"/>
                <w:b/>
                <w:bCs/>
                <w:color w:val="000000"/>
                <w:sz w:val="20"/>
                <w:szCs w:val="20"/>
                <w:lang w:val="en-US" w:eastAsia="en-AU"/>
              </w:rPr>
              <w:t>Description</w:t>
            </w:r>
          </w:p>
        </w:tc>
        <w:tc>
          <w:tcPr>
            <w:tcW w:w="783" w:type="dxa"/>
            <w:vAlign w:val="center"/>
          </w:tcPr>
          <w:p w14:paraId="5154A641" w14:textId="132DECE5" w:rsidR="005D17B2" w:rsidRDefault="005D17B2" w:rsidP="005D17B2">
            <w:pPr>
              <w:rPr>
                <w:lang w:eastAsia="en-AU"/>
              </w:rPr>
            </w:pPr>
            <w:r w:rsidRPr="000C095B">
              <w:rPr>
                <w:rFonts w:ascii="Arial Narrow" w:eastAsia="TimesNewRoman" w:hAnsi="Arial Narrow"/>
                <w:b/>
                <w:bCs/>
                <w:color w:val="000000"/>
                <w:sz w:val="20"/>
                <w:szCs w:val="20"/>
                <w:lang w:val="en-US" w:eastAsia="en-AU"/>
              </w:rPr>
              <w:t>Hub activity</w:t>
            </w:r>
          </w:p>
        </w:tc>
        <w:tc>
          <w:tcPr>
            <w:tcW w:w="782" w:type="dxa"/>
            <w:vAlign w:val="center"/>
          </w:tcPr>
          <w:p w14:paraId="377AF603" w14:textId="63E5D02D" w:rsidR="005D17B2" w:rsidRDefault="005D17B2" w:rsidP="005D17B2">
            <w:pPr>
              <w:rPr>
                <w:lang w:eastAsia="en-AU"/>
              </w:rPr>
            </w:pPr>
            <w:r w:rsidRPr="000C095B">
              <w:rPr>
                <w:rFonts w:ascii="Arial Narrow" w:eastAsia="TimesNewRoman" w:hAnsi="Arial Narrow"/>
                <w:b/>
                <w:bCs/>
                <w:color w:val="000000"/>
                <w:sz w:val="20"/>
                <w:szCs w:val="20"/>
                <w:lang w:val="en-US" w:eastAsia="en-AU"/>
              </w:rPr>
              <w:t>Spoke activity</w:t>
            </w:r>
          </w:p>
        </w:tc>
        <w:tc>
          <w:tcPr>
            <w:tcW w:w="849" w:type="dxa"/>
            <w:vAlign w:val="center"/>
          </w:tcPr>
          <w:p w14:paraId="033CA83C" w14:textId="02703707" w:rsidR="005D17B2" w:rsidRDefault="005D17B2" w:rsidP="005D17B2">
            <w:pPr>
              <w:rPr>
                <w:lang w:eastAsia="en-AU"/>
              </w:rPr>
            </w:pPr>
            <w:r w:rsidRPr="000C095B">
              <w:rPr>
                <w:rFonts w:ascii="Arial Narrow" w:eastAsia="TimesNewRoman" w:hAnsi="Arial Narrow"/>
                <w:b/>
                <w:bCs/>
                <w:color w:val="000000"/>
                <w:sz w:val="20"/>
                <w:szCs w:val="20"/>
                <w:lang w:val="en-US" w:eastAsia="en-AU"/>
              </w:rPr>
              <w:t>Shared activity</w:t>
            </w:r>
          </w:p>
        </w:tc>
      </w:tr>
      <w:tr w:rsidR="005C703C" w14:paraId="505799FB" w14:textId="77777777" w:rsidTr="006A23ED">
        <w:tc>
          <w:tcPr>
            <w:tcW w:w="1270" w:type="dxa"/>
            <w:vAlign w:val="center"/>
          </w:tcPr>
          <w:p w14:paraId="565393AE" w14:textId="25FBB181" w:rsidR="005D17B2" w:rsidRDefault="005D17B2" w:rsidP="005D17B2">
            <w:pPr>
              <w:rPr>
                <w:lang w:eastAsia="en-AU"/>
              </w:rPr>
            </w:pPr>
            <w:r w:rsidRPr="000C095B">
              <w:rPr>
                <w:rFonts w:ascii="Arial Narrow" w:eastAsia="TimesNewRoman" w:hAnsi="Arial Narrow"/>
                <w:color w:val="000000"/>
                <w:sz w:val="20"/>
                <w:szCs w:val="20"/>
                <w:lang w:val="en-US" w:eastAsia="en-AU"/>
              </w:rPr>
              <w:t>Identification</w:t>
            </w:r>
          </w:p>
        </w:tc>
        <w:tc>
          <w:tcPr>
            <w:tcW w:w="5525" w:type="dxa"/>
            <w:vAlign w:val="center"/>
          </w:tcPr>
          <w:p w14:paraId="5F5551F3" w14:textId="43D570EA" w:rsidR="005D17B2" w:rsidRDefault="005D17B2" w:rsidP="005D17B2">
            <w:pPr>
              <w:rPr>
                <w:lang w:eastAsia="en-AU"/>
              </w:rPr>
            </w:pPr>
            <w:r w:rsidRPr="000C095B">
              <w:rPr>
                <w:rFonts w:ascii="Arial Narrow" w:eastAsia="TimesNewRoman" w:hAnsi="Arial Narrow"/>
                <w:color w:val="000000"/>
                <w:sz w:val="20"/>
                <w:szCs w:val="20"/>
                <w:lang w:val="en-US" w:eastAsia="en-AU"/>
              </w:rPr>
              <w:t xml:space="preserve">Identification of </w:t>
            </w:r>
            <w:proofErr w:type="spellStart"/>
            <w:r w:rsidRPr="000C095B">
              <w:rPr>
                <w:rFonts w:ascii="Arial Narrow" w:eastAsia="TimesNewRoman" w:hAnsi="Arial Narrow"/>
                <w:color w:val="000000"/>
                <w:sz w:val="20"/>
                <w:szCs w:val="20"/>
                <w:lang w:val="en-US" w:eastAsia="en-AU"/>
              </w:rPr>
              <w:t>haemophilia</w:t>
            </w:r>
            <w:proofErr w:type="spellEnd"/>
            <w:r w:rsidRPr="000C095B">
              <w:rPr>
                <w:rFonts w:ascii="Arial Narrow" w:eastAsia="TimesNewRoman" w:hAnsi="Arial Narrow"/>
                <w:color w:val="000000"/>
                <w:sz w:val="20"/>
                <w:szCs w:val="20"/>
                <w:lang w:val="en-US" w:eastAsia="en-AU"/>
              </w:rPr>
              <w:t xml:space="preserve"> patients that are eligible to undergo gene therapy. This stage includes patient education and initial discussions about risks, benefits, side effects, and the end-to-end treatment process</w:t>
            </w:r>
          </w:p>
        </w:tc>
        <w:tc>
          <w:tcPr>
            <w:tcW w:w="783" w:type="dxa"/>
            <w:vAlign w:val="center"/>
          </w:tcPr>
          <w:p w14:paraId="6735CC03" w14:textId="77777777" w:rsidR="005D17B2" w:rsidRDefault="005D17B2" w:rsidP="005C703C">
            <w:pPr>
              <w:jc w:val="center"/>
              <w:rPr>
                <w:lang w:eastAsia="en-AU"/>
              </w:rPr>
            </w:pPr>
          </w:p>
        </w:tc>
        <w:tc>
          <w:tcPr>
            <w:tcW w:w="782" w:type="dxa"/>
            <w:vAlign w:val="center"/>
          </w:tcPr>
          <w:p w14:paraId="15E08F25" w14:textId="6E59A3B0" w:rsidR="005D17B2" w:rsidRDefault="005D17B2" w:rsidP="005C703C">
            <w:pPr>
              <w:jc w:val="center"/>
              <w:rPr>
                <w:lang w:eastAsia="en-AU"/>
              </w:rPr>
            </w:pPr>
            <w:r w:rsidRPr="000C095B">
              <w:rPr>
                <w:rFonts w:ascii="Wingdings" w:eastAsia="Wingdings" w:hAnsi="Wingdings" w:cs="Wingdings"/>
                <w:color w:val="000000"/>
                <w:sz w:val="20"/>
                <w:szCs w:val="20"/>
                <w:lang w:val="en-US" w:eastAsia="en-AU"/>
              </w:rPr>
              <w:t>ü</w:t>
            </w:r>
          </w:p>
        </w:tc>
        <w:tc>
          <w:tcPr>
            <w:tcW w:w="849" w:type="dxa"/>
            <w:vAlign w:val="center"/>
          </w:tcPr>
          <w:p w14:paraId="62E0422D" w14:textId="77777777" w:rsidR="005D17B2" w:rsidRDefault="005D17B2" w:rsidP="005C703C">
            <w:pPr>
              <w:jc w:val="center"/>
              <w:rPr>
                <w:lang w:eastAsia="en-AU"/>
              </w:rPr>
            </w:pPr>
          </w:p>
        </w:tc>
      </w:tr>
      <w:tr w:rsidR="005C703C" w14:paraId="5E855EFF" w14:textId="77777777" w:rsidTr="006A23ED">
        <w:tc>
          <w:tcPr>
            <w:tcW w:w="1270" w:type="dxa"/>
            <w:vAlign w:val="center"/>
          </w:tcPr>
          <w:p w14:paraId="4BBAFFA9" w14:textId="7FE9793D" w:rsidR="005D17B2" w:rsidRDefault="005D17B2" w:rsidP="005D17B2">
            <w:pPr>
              <w:rPr>
                <w:lang w:eastAsia="en-AU"/>
              </w:rPr>
            </w:pPr>
            <w:r w:rsidRPr="000C095B">
              <w:rPr>
                <w:rFonts w:ascii="Arial Narrow" w:eastAsia="TimesNewRoman" w:hAnsi="Arial Narrow"/>
                <w:color w:val="000000"/>
                <w:sz w:val="20"/>
                <w:szCs w:val="20"/>
                <w:lang w:val="en-US" w:eastAsia="en-AU"/>
              </w:rPr>
              <w:t>Screening</w:t>
            </w:r>
          </w:p>
        </w:tc>
        <w:tc>
          <w:tcPr>
            <w:tcW w:w="5525" w:type="dxa"/>
            <w:vAlign w:val="center"/>
          </w:tcPr>
          <w:p w14:paraId="5FEEC930" w14:textId="3ADD255A" w:rsidR="005D17B2" w:rsidRDefault="005D17B2" w:rsidP="005D17B2">
            <w:pPr>
              <w:rPr>
                <w:lang w:eastAsia="en-AU"/>
              </w:rPr>
            </w:pPr>
            <w:r w:rsidRPr="000C095B">
              <w:rPr>
                <w:rFonts w:ascii="Arial Narrow" w:eastAsia="TimesNewRoman" w:hAnsi="Arial Narrow"/>
                <w:color w:val="000000"/>
                <w:sz w:val="20"/>
                <w:szCs w:val="20"/>
                <w:lang w:val="en-US" w:eastAsia="en-AU"/>
              </w:rPr>
              <w:t>Assessment of relevant clinical factors against eligibility criteria to inform the decision to proceed with gene therapy</w:t>
            </w:r>
          </w:p>
        </w:tc>
        <w:tc>
          <w:tcPr>
            <w:tcW w:w="783" w:type="dxa"/>
            <w:vAlign w:val="center"/>
          </w:tcPr>
          <w:p w14:paraId="66A92BA0" w14:textId="77777777" w:rsidR="005D17B2" w:rsidRDefault="005D17B2" w:rsidP="005C703C">
            <w:pPr>
              <w:jc w:val="center"/>
              <w:rPr>
                <w:lang w:eastAsia="en-AU"/>
              </w:rPr>
            </w:pPr>
          </w:p>
        </w:tc>
        <w:tc>
          <w:tcPr>
            <w:tcW w:w="782" w:type="dxa"/>
            <w:vAlign w:val="center"/>
          </w:tcPr>
          <w:p w14:paraId="02FB7644" w14:textId="50EEC1D7" w:rsidR="005D17B2" w:rsidRDefault="005D17B2" w:rsidP="005C703C">
            <w:pPr>
              <w:jc w:val="center"/>
              <w:rPr>
                <w:lang w:eastAsia="en-AU"/>
              </w:rPr>
            </w:pPr>
            <w:r w:rsidRPr="000C095B">
              <w:rPr>
                <w:rFonts w:ascii="Wingdings" w:eastAsia="Wingdings" w:hAnsi="Wingdings" w:cs="Wingdings"/>
                <w:color w:val="000000"/>
                <w:sz w:val="20"/>
                <w:szCs w:val="20"/>
                <w:lang w:val="en-US" w:eastAsia="en-AU"/>
              </w:rPr>
              <w:t>ü</w:t>
            </w:r>
          </w:p>
        </w:tc>
        <w:tc>
          <w:tcPr>
            <w:tcW w:w="849" w:type="dxa"/>
            <w:vAlign w:val="center"/>
          </w:tcPr>
          <w:p w14:paraId="03F4B9B7" w14:textId="77777777" w:rsidR="005D17B2" w:rsidRDefault="005D17B2" w:rsidP="005C703C">
            <w:pPr>
              <w:jc w:val="center"/>
              <w:rPr>
                <w:lang w:eastAsia="en-AU"/>
              </w:rPr>
            </w:pPr>
          </w:p>
        </w:tc>
      </w:tr>
      <w:tr w:rsidR="005C703C" w14:paraId="0F1E1C19" w14:textId="77777777" w:rsidTr="006A23ED">
        <w:tc>
          <w:tcPr>
            <w:tcW w:w="1270" w:type="dxa"/>
            <w:vAlign w:val="center"/>
          </w:tcPr>
          <w:p w14:paraId="3D9A5257" w14:textId="728F2E44" w:rsidR="005D17B2" w:rsidRDefault="005D17B2" w:rsidP="005D17B2">
            <w:pPr>
              <w:rPr>
                <w:lang w:eastAsia="en-AU"/>
              </w:rPr>
            </w:pPr>
            <w:r w:rsidRPr="000C095B">
              <w:rPr>
                <w:rFonts w:ascii="Arial Narrow" w:eastAsia="TimesNewRoman" w:hAnsi="Arial Narrow"/>
                <w:color w:val="000000"/>
                <w:sz w:val="20"/>
                <w:szCs w:val="20"/>
                <w:lang w:val="en-US" w:eastAsia="en-AU"/>
              </w:rPr>
              <w:t>Decision</w:t>
            </w:r>
          </w:p>
        </w:tc>
        <w:tc>
          <w:tcPr>
            <w:tcW w:w="5525" w:type="dxa"/>
            <w:vAlign w:val="center"/>
          </w:tcPr>
          <w:p w14:paraId="6455ABDE" w14:textId="79EEECBF" w:rsidR="005D17B2" w:rsidRDefault="005D17B2" w:rsidP="005D17B2">
            <w:pPr>
              <w:rPr>
                <w:lang w:eastAsia="en-AU"/>
              </w:rPr>
            </w:pPr>
            <w:r w:rsidRPr="000C095B">
              <w:rPr>
                <w:rFonts w:ascii="Arial Narrow" w:eastAsia="TimesNewRoman" w:hAnsi="Arial Narrow"/>
                <w:color w:val="000000"/>
                <w:sz w:val="20"/>
                <w:szCs w:val="20"/>
                <w:lang w:val="en-US" w:eastAsia="en-AU"/>
              </w:rPr>
              <w:t>Patients provide enhanced consent to undergo gene therapy. Clinician approval to treat with gene therapy is facilitated via a Clinician Advisory Group with hub and spoke representatives</w:t>
            </w:r>
          </w:p>
        </w:tc>
        <w:tc>
          <w:tcPr>
            <w:tcW w:w="783" w:type="dxa"/>
            <w:vAlign w:val="center"/>
          </w:tcPr>
          <w:p w14:paraId="45AF62CD" w14:textId="77777777" w:rsidR="005D17B2" w:rsidRDefault="005D17B2" w:rsidP="005C703C">
            <w:pPr>
              <w:jc w:val="center"/>
              <w:rPr>
                <w:lang w:eastAsia="en-AU"/>
              </w:rPr>
            </w:pPr>
          </w:p>
        </w:tc>
        <w:tc>
          <w:tcPr>
            <w:tcW w:w="782" w:type="dxa"/>
            <w:vAlign w:val="center"/>
          </w:tcPr>
          <w:p w14:paraId="746E35AD" w14:textId="77777777" w:rsidR="005D17B2" w:rsidRDefault="005D17B2" w:rsidP="005C703C">
            <w:pPr>
              <w:jc w:val="center"/>
              <w:rPr>
                <w:lang w:eastAsia="en-AU"/>
              </w:rPr>
            </w:pPr>
          </w:p>
        </w:tc>
        <w:tc>
          <w:tcPr>
            <w:tcW w:w="849" w:type="dxa"/>
            <w:vAlign w:val="center"/>
          </w:tcPr>
          <w:p w14:paraId="430E1A92" w14:textId="5DFD59F0" w:rsidR="005D17B2" w:rsidRDefault="005D17B2" w:rsidP="005C703C">
            <w:pPr>
              <w:jc w:val="center"/>
              <w:rPr>
                <w:lang w:eastAsia="en-AU"/>
              </w:rPr>
            </w:pPr>
            <w:r w:rsidRPr="000C095B">
              <w:rPr>
                <w:rFonts w:ascii="Wingdings" w:eastAsia="Wingdings" w:hAnsi="Wingdings" w:cs="Wingdings"/>
                <w:color w:val="000000"/>
                <w:sz w:val="20"/>
                <w:szCs w:val="20"/>
                <w:lang w:val="en-US" w:eastAsia="en-AU"/>
              </w:rPr>
              <w:t>ü</w:t>
            </w:r>
          </w:p>
        </w:tc>
      </w:tr>
      <w:tr w:rsidR="005C703C" w14:paraId="14F917C6" w14:textId="77777777" w:rsidTr="006A23ED">
        <w:tc>
          <w:tcPr>
            <w:tcW w:w="1270" w:type="dxa"/>
            <w:vAlign w:val="center"/>
          </w:tcPr>
          <w:p w14:paraId="1128A262" w14:textId="5B704472" w:rsidR="005D17B2" w:rsidRDefault="005D17B2" w:rsidP="005D17B2">
            <w:pPr>
              <w:rPr>
                <w:lang w:eastAsia="en-AU"/>
              </w:rPr>
            </w:pPr>
            <w:r w:rsidRPr="000C095B">
              <w:rPr>
                <w:rFonts w:ascii="Arial Narrow" w:eastAsia="TimesNewRoman" w:hAnsi="Arial Narrow"/>
                <w:color w:val="000000"/>
                <w:sz w:val="20"/>
                <w:szCs w:val="20"/>
                <w:lang w:val="en-US" w:eastAsia="en-AU"/>
              </w:rPr>
              <w:t>Supply</w:t>
            </w:r>
          </w:p>
        </w:tc>
        <w:tc>
          <w:tcPr>
            <w:tcW w:w="5525" w:type="dxa"/>
            <w:vAlign w:val="center"/>
          </w:tcPr>
          <w:p w14:paraId="5EEA3F06" w14:textId="7CFEB7B5" w:rsidR="005D17B2" w:rsidRDefault="005D17B2" w:rsidP="005D17B2">
            <w:pPr>
              <w:rPr>
                <w:lang w:eastAsia="en-AU"/>
              </w:rPr>
            </w:pPr>
            <w:r w:rsidRPr="000C095B">
              <w:rPr>
                <w:rFonts w:ascii="Arial Narrow" w:eastAsia="TimesNewRoman" w:hAnsi="Arial Narrow"/>
                <w:color w:val="000000"/>
                <w:sz w:val="20"/>
                <w:szCs w:val="20"/>
                <w:lang w:val="en-US" w:eastAsia="en-AU"/>
              </w:rPr>
              <w:t>Prescription, ordering, storage, and compounding (if applicable) of gene therapy products</w:t>
            </w:r>
          </w:p>
        </w:tc>
        <w:tc>
          <w:tcPr>
            <w:tcW w:w="783" w:type="dxa"/>
            <w:vAlign w:val="center"/>
          </w:tcPr>
          <w:p w14:paraId="5B80B693" w14:textId="52DA82FA" w:rsidR="005D17B2" w:rsidRDefault="005D17B2" w:rsidP="005C703C">
            <w:pPr>
              <w:jc w:val="center"/>
              <w:rPr>
                <w:lang w:eastAsia="en-AU"/>
              </w:rPr>
            </w:pPr>
            <w:r w:rsidRPr="000C095B">
              <w:rPr>
                <w:rFonts w:ascii="Wingdings" w:eastAsia="Wingdings" w:hAnsi="Wingdings" w:cs="Wingdings"/>
                <w:color w:val="000000"/>
                <w:sz w:val="20"/>
                <w:szCs w:val="20"/>
                <w:lang w:val="en-US" w:eastAsia="en-AU"/>
              </w:rPr>
              <w:t>ü</w:t>
            </w:r>
          </w:p>
        </w:tc>
        <w:tc>
          <w:tcPr>
            <w:tcW w:w="782" w:type="dxa"/>
            <w:vAlign w:val="center"/>
          </w:tcPr>
          <w:p w14:paraId="73E906BB" w14:textId="77777777" w:rsidR="005D17B2" w:rsidRDefault="005D17B2" w:rsidP="005C703C">
            <w:pPr>
              <w:jc w:val="center"/>
              <w:rPr>
                <w:lang w:eastAsia="en-AU"/>
              </w:rPr>
            </w:pPr>
          </w:p>
        </w:tc>
        <w:tc>
          <w:tcPr>
            <w:tcW w:w="849" w:type="dxa"/>
            <w:vAlign w:val="center"/>
          </w:tcPr>
          <w:p w14:paraId="4DB43243" w14:textId="77777777" w:rsidR="005D17B2" w:rsidRDefault="005D17B2" w:rsidP="005C703C">
            <w:pPr>
              <w:jc w:val="center"/>
              <w:rPr>
                <w:lang w:eastAsia="en-AU"/>
              </w:rPr>
            </w:pPr>
          </w:p>
        </w:tc>
      </w:tr>
      <w:tr w:rsidR="005C703C" w14:paraId="23F0DEA9" w14:textId="77777777" w:rsidTr="006A23ED">
        <w:tc>
          <w:tcPr>
            <w:tcW w:w="1270" w:type="dxa"/>
            <w:vAlign w:val="center"/>
          </w:tcPr>
          <w:p w14:paraId="3311BBD5" w14:textId="23DFA423" w:rsidR="005D17B2" w:rsidRDefault="005D17B2" w:rsidP="005D17B2">
            <w:pPr>
              <w:rPr>
                <w:lang w:eastAsia="en-AU"/>
              </w:rPr>
            </w:pPr>
            <w:r w:rsidRPr="000C095B">
              <w:rPr>
                <w:rFonts w:ascii="Arial Narrow" w:eastAsia="TimesNewRoman" w:hAnsi="Arial Narrow"/>
                <w:color w:val="000000"/>
                <w:sz w:val="20"/>
                <w:szCs w:val="20"/>
                <w:lang w:val="en-US" w:eastAsia="en-AU"/>
              </w:rPr>
              <w:t>Administration</w:t>
            </w:r>
          </w:p>
        </w:tc>
        <w:tc>
          <w:tcPr>
            <w:tcW w:w="5525" w:type="dxa"/>
            <w:vAlign w:val="center"/>
          </w:tcPr>
          <w:p w14:paraId="4A5F96FF" w14:textId="55A89B18" w:rsidR="005D17B2" w:rsidRDefault="005D17B2" w:rsidP="005D17B2">
            <w:pPr>
              <w:rPr>
                <w:lang w:eastAsia="en-AU"/>
              </w:rPr>
            </w:pPr>
            <w:r w:rsidRPr="000C095B">
              <w:rPr>
                <w:rFonts w:ascii="Arial Narrow" w:eastAsia="TimesNewRoman" w:hAnsi="Arial Narrow"/>
                <w:color w:val="000000"/>
                <w:sz w:val="20"/>
                <w:szCs w:val="20"/>
                <w:lang w:val="en-US" w:eastAsia="en-AU"/>
              </w:rPr>
              <w:t xml:space="preserve">Administration of gene therapy to eligible </w:t>
            </w:r>
            <w:proofErr w:type="spellStart"/>
            <w:r w:rsidRPr="000C095B">
              <w:rPr>
                <w:rFonts w:ascii="Arial Narrow" w:eastAsia="TimesNewRoman" w:hAnsi="Arial Narrow"/>
                <w:color w:val="000000"/>
                <w:sz w:val="20"/>
                <w:szCs w:val="20"/>
                <w:lang w:val="en-US" w:eastAsia="en-AU"/>
              </w:rPr>
              <w:t>haemophilia</w:t>
            </w:r>
            <w:proofErr w:type="spellEnd"/>
            <w:r w:rsidRPr="000C095B">
              <w:rPr>
                <w:rFonts w:ascii="Arial Narrow" w:eastAsia="TimesNewRoman" w:hAnsi="Arial Narrow"/>
                <w:color w:val="000000"/>
                <w:sz w:val="20"/>
                <w:szCs w:val="20"/>
                <w:lang w:val="en-US" w:eastAsia="en-AU"/>
              </w:rPr>
              <w:t xml:space="preserve"> patients as a day procedure (with option of overnight stay if clinically indicated or if travel home exceeds 3 hours), including pre-infusion preparations and post-infusion monitoring</w:t>
            </w:r>
          </w:p>
        </w:tc>
        <w:tc>
          <w:tcPr>
            <w:tcW w:w="783" w:type="dxa"/>
            <w:vAlign w:val="center"/>
          </w:tcPr>
          <w:p w14:paraId="50308C74" w14:textId="4052D364" w:rsidR="005D17B2" w:rsidRDefault="005D17B2" w:rsidP="005C703C">
            <w:pPr>
              <w:jc w:val="center"/>
              <w:rPr>
                <w:lang w:eastAsia="en-AU"/>
              </w:rPr>
            </w:pPr>
            <w:r w:rsidRPr="000C095B">
              <w:rPr>
                <w:rFonts w:ascii="Wingdings" w:eastAsia="Wingdings" w:hAnsi="Wingdings" w:cs="Wingdings"/>
                <w:color w:val="000000"/>
                <w:sz w:val="20"/>
                <w:szCs w:val="20"/>
                <w:lang w:val="en-US" w:eastAsia="en-AU"/>
              </w:rPr>
              <w:t>ü</w:t>
            </w:r>
          </w:p>
        </w:tc>
        <w:tc>
          <w:tcPr>
            <w:tcW w:w="782" w:type="dxa"/>
            <w:vAlign w:val="center"/>
          </w:tcPr>
          <w:p w14:paraId="7189137B" w14:textId="77777777" w:rsidR="005D17B2" w:rsidRDefault="005D17B2" w:rsidP="005C703C">
            <w:pPr>
              <w:jc w:val="center"/>
              <w:rPr>
                <w:lang w:eastAsia="en-AU"/>
              </w:rPr>
            </w:pPr>
          </w:p>
        </w:tc>
        <w:tc>
          <w:tcPr>
            <w:tcW w:w="849" w:type="dxa"/>
            <w:vAlign w:val="center"/>
          </w:tcPr>
          <w:p w14:paraId="32BD519E" w14:textId="77777777" w:rsidR="005D17B2" w:rsidRDefault="005D17B2" w:rsidP="005C703C">
            <w:pPr>
              <w:jc w:val="center"/>
              <w:rPr>
                <w:lang w:eastAsia="en-AU"/>
              </w:rPr>
            </w:pPr>
          </w:p>
        </w:tc>
      </w:tr>
      <w:tr w:rsidR="005C703C" w14:paraId="4502636F" w14:textId="77777777" w:rsidTr="006A23ED">
        <w:tc>
          <w:tcPr>
            <w:tcW w:w="1270" w:type="dxa"/>
            <w:vAlign w:val="center"/>
          </w:tcPr>
          <w:p w14:paraId="2670713E" w14:textId="44847DD7" w:rsidR="005D17B2" w:rsidRDefault="005D17B2" w:rsidP="005D17B2">
            <w:pPr>
              <w:rPr>
                <w:lang w:eastAsia="en-AU"/>
              </w:rPr>
            </w:pPr>
            <w:r w:rsidRPr="000C095B">
              <w:rPr>
                <w:rFonts w:ascii="Arial Narrow" w:eastAsia="TimesNewRoman" w:hAnsi="Arial Narrow"/>
                <w:color w:val="000000"/>
                <w:sz w:val="20"/>
                <w:szCs w:val="20"/>
                <w:lang w:val="en-US" w:eastAsia="en-AU"/>
              </w:rPr>
              <w:t>Monitoring</w:t>
            </w:r>
          </w:p>
        </w:tc>
        <w:tc>
          <w:tcPr>
            <w:tcW w:w="5525" w:type="dxa"/>
            <w:vAlign w:val="center"/>
          </w:tcPr>
          <w:p w14:paraId="42B52380" w14:textId="29DC8B21" w:rsidR="005D17B2" w:rsidRDefault="005D17B2" w:rsidP="005D17B2">
            <w:pPr>
              <w:rPr>
                <w:lang w:eastAsia="en-AU"/>
              </w:rPr>
            </w:pPr>
            <w:r w:rsidRPr="000C095B">
              <w:rPr>
                <w:rFonts w:ascii="Arial Narrow" w:eastAsia="TimesNewRoman" w:hAnsi="Arial Narrow"/>
                <w:color w:val="000000"/>
                <w:sz w:val="20"/>
                <w:szCs w:val="20"/>
                <w:lang w:val="en-US" w:eastAsia="en-AU"/>
              </w:rPr>
              <w:t>Twelve months of testing (initially on a weekly basis) and monitoring for patients who have received gene therapy, with check-ups at regular intervals thereafter. This stage also includes management of adverse events should they occur</w:t>
            </w:r>
          </w:p>
        </w:tc>
        <w:tc>
          <w:tcPr>
            <w:tcW w:w="783" w:type="dxa"/>
            <w:vAlign w:val="center"/>
          </w:tcPr>
          <w:p w14:paraId="3A1FC662" w14:textId="77777777" w:rsidR="005D17B2" w:rsidRDefault="005D17B2" w:rsidP="005C703C">
            <w:pPr>
              <w:jc w:val="center"/>
              <w:rPr>
                <w:lang w:eastAsia="en-AU"/>
              </w:rPr>
            </w:pPr>
          </w:p>
        </w:tc>
        <w:tc>
          <w:tcPr>
            <w:tcW w:w="782" w:type="dxa"/>
            <w:vAlign w:val="center"/>
          </w:tcPr>
          <w:p w14:paraId="700A721E" w14:textId="0CD24BA8" w:rsidR="005D17B2" w:rsidRDefault="005D17B2" w:rsidP="005C703C">
            <w:pPr>
              <w:jc w:val="center"/>
              <w:rPr>
                <w:lang w:eastAsia="en-AU"/>
              </w:rPr>
            </w:pPr>
            <w:r w:rsidRPr="000C095B">
              <w:rPr>
                <w:rFonts w:ascii="Wingdings" w:eastAsia="Wingdings" w:hAnsi="Wingdings" w:cs="Wingdings"/>
                <w:color w:val="000000"/>
                <w:sz w:val="20"/>
                <w:szCs w:val="20"/>
                <w:lang w:val="en-US" w:eastAsia="en-AU"/>
              </w:rPr>
              <w:t>ü</w:t>
            </w:r>
          </w:p>
        </w:tc>
        <w:tc>
          <w:tcPr>
            <w:tcW w:w="849" w:type="dxa"/>
            <w:vAlign w:val="center"/>
          </w:tcPr>
          <w:p w14:paraId="5BC8E4E7" w14:textId="7AAD1743" w:rsidR="005D17B2" w:rsidRDefault="005D17B2" w:rsidP="005C703C">
            <w:pPr>
              <w:jc w:val="center"/>
              <w:rPr>
                <w:lang w:eastAsia="en-AU"/>
              </w:rPr>
            </w:pPr>
            <w:r w:rsidRPr="000C095B">
              <w:rPr>
                <w:rFonts w:ascii="Wingdings" w:eastAsia="Wingdings" w:hAnsi="Wingdings" w:cs="Wingdings"/>
                <w:color w:val="000000"/>
                <w:sz w:val="20"/>
                <w:szCs w:val="20"/>
                <w:lang w:val="en-US" w:eastAsia="en-AU"/>
              </w:rPr>
              <w:t>ü</w:t>
            </w:r>
            <w:r w:rsidRPr="000C095B">
              <w:rPr>
                <w:rFonts w:ascii="Arial Narrow" w:eastAsia="TimesNewRoman" w:hAnsi="Arial Narrow"/>
                <w:color w:val="000000"/>
                <w:sz w:val="20"/>
                <w:szCs w:val="20"/>
                <w:lang w:val="en-US" w:eastAsia="en-AU"/>
              </w:rPr>
              <w:t>*</w:t>
            </w:r>
          </w:p>
        </w:tc>
      </w:tr>
    </w:tbl>
    <w:p w14:paraId="12A4538E" w14:textId="77777777" w:rsidR="00755CF2" w:rsidRPr="000C095B" w:rsidRDefault="00755CF2" w:rsidP="00755CF2">
      <w:pPr>
        <w:pStyle w:val="NoteHeading"/>
      </w:pPr>
      <w:r w:rsidRPr="000C095B">
        <w:t>* Routine patient monitoring will be primarily managed by spoke centres. Should any adverse events arise, a shared care approach between the hub and spoke site will be needed.</w:t>
      </w:r>
    </w:p>
    <w:p w14:paraId="452633BF" w14:textId="77777777" w:rsidR="00755CF2" w:rsidRPr="000C095B" w:rsidRDefault="00755CF2" w:rsidP="00755CF2">
      <w:pPr>
        <w:pStyle w:val="NoteHeading"/>
      </w:pPr>
      <w:r w:rsidRPr="000C095B">
        <w:t>Source: AHCDO roadmap to gene therapy (2022)</w:t>
      </w:r>
    </w:p>
    <w:p w14:paraId="57D2EBBC" w14:textId="40591730" w:rsidR="00755CF2" w:rsidRPr="006449AA" w:rsidRDefault="00755CF2" w:rsidP="006449AA">
      <w:pPr>
        <w:pStyle w:val="Heading2"/>
      </w:pPr>
      <w:r w:rsidRPr="00AE1F91">
        <w:lastRenderedPageBreak/>
        <w:t>If applicable, advise which health professionals will be needed to provide the proposed health technology:</w:t>
      </w:r>
    </w:p>
    <w:p w14:paraId="51AA8042" w14:textId="77777777" w:rsidR="00755CF2" w:rsidRDefault="00755CF2" w:rsidP="00755CF2">
      <w:pPr>
        <w:spacing w:after="0"/>
      </w:pPr>
      <w:r w:rsidRPr="00E22B76">
        <w:t xml:space="preserve">Haematologists at hub HTCs will be solely responsible for administering </w:t>
      </w:r>
      <w:r>
        <w:t xml:space="preserve">valoctocogene </w:t>
      </w:r>
      <w:proofErr w:type="spellStart"/>
      <w:r>
        <w:t>roxaparvovec</w:t>
      </w:r>
      <w:proofErr w:type="spellEnd"/>
      <w:r w:rsidRPr="00E22B76">
        <w:t>.</w:t>
      </w:r>
      <w:r>
        <w:t xml:space="preserve"> </w:t>
      </w:r>
    </w:p>
    <w:p w14:paraId="15075293" w14:textId="77777777" w:rsidR="00755CF2" w:rsidRPr="00AE1F91" w:rsidRDefault="00755CF2" w:rsidP="00755CF2">
      <w:pPr>
        <w:spacing w:after="0"/>
        <w:rPr>
          <w:rFonts w:asciiTheme="minorHAnsi" w:hAnsiTheme="minorHAnsi" w:cs="Calibri"/>
          <w:color w:val="000000"/>
        </w:rPr>
      </w:pPr>
    </w:p>
    <w:p w14:paraId="3746F6B0" w14:textId="34DB6095" w:rsidR="00755CF2" w:rsidRPr="006449AA" w:rsidRDefault="00755CF2" w:rsidP="006449AA">
      <w:pPr>
        <w:pStyle w:val="Heading2"/>
      </w:pPr>
      <w:r w:rsidRPr="00AE1F91">
        <w:t>If applicable, advise whether delivery of the proposed health technology can be delegated to another health professional:</w:t>
      </w:r>
    </w:p>
    <w:p w14:paraId="1BC5E68B" w14:textId="45ABD5EE" w:rsidR="00755CF2" w:rsidRPr="006449AA" w:rsidRDefault="00755CF2" w:rsidP="006449AA">
      <w:pPr>
        <w:rPr>
          <w:rFonts w:asciiTheme="minorHAnsi" w:hAnsiTheme="minorHAnsi" w:cs="Calibri"/>
          <w:color w:val="000000"/>
        </w:rPr>
      </w:pPr>
      <w:r>
        <w:t>Not applicable.</w:t>
      </w:r>
    </w:p>
    <w:p w14:paraId="72CACC70" w14:textId="5F150D4B" w:rsidR="00755CF2" w:rsidRPr="006449AA" w:rsidRDefault="00755CF2" w:rsidP="006449AA">
      <w:pPr>
        <w:pStyle w:val="Heading2"/>
      </w:pPr>
      <w:r w:rsidRPr="00AE1F91">
        <w:t>If applicable, advise if there are any limitations on which health professionals might provide a referral for the proposed health technology:</w:t>
      </w:r>
    </w:p>
    <w:p w14:paraId="6CEEA2F0" w14:textId="49DF966B" w:rsidR="00755CF2" w:rsidRPr="00AE1F91" w:rsidRDefault="00755CF2" w:rsidP="006449AA">
      <w:r w:rsidRPr="00930220">
        <w:t xml:space="preserve">As discussed above, haematologists at hub HTCs will be solely responsible for administering </w:t>
      </w:r>
      <w:r>
        <w:t xml:space="preserve">valoctocogene </w:t>
      </w:r>
      <w:proofErr w:type="spellStart"/>
      <w:r>
        <w:t>roxaparvovec</w:t>
      </w:r>
      <w:proofErr w:type="spellEnd"/>
      <w:r w:rsidRPr="00930220">
        <w:t xml:space="preserve"> with support provided by haematologists at spoke HTCs in the broader management of these patients.</w:t>
      </w:r>
    </w:p>
    <w:p w14:paraId="19EDBB4A" w14:textId="1BE9E2B6" w:rsidR="00755CF2" w:rsidRPr="006449AA" w:rsidRDefault="00755CF2" w:rsidP="006449AA">
      <w:pPr>
        <w:pStyle w:val="Heading2"/>
      </w:pPr>
      <w:r w:rsidRPr="006449AA">
        <w:rPr>
          <w:rStyle w:val="Heading2Char"/>
          <w:b/>
          <w:bCs/>
        </w:rPr>
        <w:t>Is there specific training or qualifications required to provide or deliver the proposed service, and/or any accreditation requirements to support delivery of the health technology?</w:t>
      </w:r>
      <w:r w:rsidRPr="006449AA">
        <w:t xml:space="preserve"> </w:t>
      </w:r>
    </w:p>
    <w:p w14:paraId="5F9CC2A4" w14:textId="516F0610" w:rsidR="00755CF2" w:rsidRPr="00AE1F91" w:rsidRDefault="00755CF2" w:rsidP="00755CF2">
      <w:r w:rsidRPr="009E4E77">
        <w:t>Yes</w:t>
      </w:r>
    </w:p>
    <w:p w14:paraId="15E34F7D" w14:textId="3A1BA3FD" w:rsidR="00755CF2" w:rsidRPr="006449AA" w:rsidRDefault="00755CF2" w:rsidP="006449AA">
      <w:pPr>
        <w:pStyle w:val="Heading2"/>
      </w:pPr>
      <w:r w:rsidRPr="00AE1F91">
        <w:t>Provide details and explain:</w:t>
      </w:r>
    </w:p>
    <w:p w14:paraId="3F816FF8" w14:textId="63B14E2A" w:rsidR="006449AA" w:rsidRPr="006449AA" w:rsidRDefault="00755CF2" w:rsidP="006449AA">
      <w:pPr>
        <w:spacing w:after="0"/>
        <w:rPr>
          <w:rFonts w:asciiTheme="minorHAnsi" w:hAnsiTheme="minorHAnsi" w:cs="Calibri"/>
          <w:color w:val="000000"/>
        </w:rPr>
      </w:pPr>
      <w:r>
        <w:t xml:space="preserve">Valoctocogene </w:t>
      </w:r>
      <w:proofErr w:type="spellStart"/>
      <w:r>
        <w:t>roxaparvovec</w:t>
      </w:r>
      <w:proofErr w:type="spellEnd"/>
      <w:r w:rsidRPr="00930220">
        <w:t xml:space="preserve"> infusion will be provided at </w:t>
      </w:r>
      <w:r>
        <w:t>five</w:t>
      </w:r>
      <w:r w:rsidRPr="00930220">
        <w:t xml:space="preserve"> hub HTCs </w:t>
      </w:r>
      <w:r>
        <w:t>by</w:t>
      </w:r>
      <w:r w:rsidRPr="00930220">
        <w:t xml:space="preserve"> highly specialised experts. </w:t>
      </w:r>
      <w:r>
        <w:t xml:space="preserve">As discussed above, </w:t>
      </w:r>
      <w:r w:rsidRPr="00930220">
        <w:t xml:space="preserve">AHCDO has provided a </w:t>
      </w:r>
      <w:r>
        <w:t>r</w:t>
      </w:r>
      <w:r w:rsidRPr="00930220">
        <w:t>oadmap for the implementation of gene therapy for haemophilia in Australia (AHCDO 2022)</w:t>
      </w:r>
      <w:r>
        <w:t>. The roadmap also</w:t>
      </w:r>
      <w:r w:rsidRPr="00930220">
        <w:t xml:space="preserve"> </w:t>
      </w:r>
      <w:r>
        <w:t>recommends</w:t>
      </w:r>
      <w:r w:rsidRPr="00930220">
        <w:t xml:space="preserve"> training and accreditation of clinicians and other healthcare professionals </w:t>
      </w:r>
      <w:r>
        <w:t xml:space="preserve">at hub centres </w:t>
      </w:r>
      <w:r w:rsidRPr="00930220">
        <w:t xml:space="preserve">for the </w:t>
      </w:r>
      <w:r>
        <w:t>implementation</w:t>
      </w:r>
      <w:r w:rsidRPr="00930220">
        <w:t xml:space="preserve"> of gene therapy in Australia</w:t>
      </w:r>
      <w:r>
        <w:t xml:space="preserve"> and</w:t>
      </w:r>
      <w:r w:rsidRPr="00930220">
        <w:t xml:space="preserve"> </w:t>
      </w:r>
      <w:r>
        <w:t>i</w:t>
      </w:r>
      <w:r w:rsidRPr="00930220">
        <w:t xml:space="preserve">t is expected </w:t>
      </w:r>
      <w:r>
        <w:t xml:space="preserve">that </w:t>
      </w:r>
      <w:r w:rsidRPr="00930220">
        <w:t>AHCDO will establish</w:t>
      </w:r>
      <w:r>
        <w:t xml:space="preserve"> the</w:t>
      </w:r>
      <w:r w:rsidRPr="00930220">
        <w:t xml:space="preserve"> training and accreditation requirement</w:t>
      </w:r>
      <w:r>
        <w:t>s prior to the introduction</w:t>
      </w:r>
      <w:r w:rsidRPr="00930220">
        <w:t xml:space="preserve"> </w:t>
      </w:r>
      <w:r>
        <w:t>of</w:t>
      </w:r>
      <w:r w:rsidRPr="00930220">
        <w:t xml:space="preserve"> </w:t>
      </w:r>
      <w:r>
        <w:t xml:space="preserve">valoctocogene </w:t>
      </w:r>
      <w:proofErr w:type="spellStart"/>
      <w:r>
        <w:t>roxaparvovec</w:t>
      </w:r>
      <w:proofErr w:type="spellEnd"/>
      <w:r w:rsidRPr="00930220">
        <w:t>.</w:t>
      </w:r>
    </w:p>
    <w:p w14:paraId="39FF05F5" w14:textId="4F4575F6" w:rsidR="00755CF2" w:rsidRPr="00AE1F91" w:rsidRDefault="00755CF2" w:rsidP="00E95F5C">
      <w:pPr>
        <w:spacing w:before="120" w:after="0"/>
        <w:rPr>
          <w:b/>
          <w:color w:val="000000"/>
        </w:rPr>
      </w:pPr>
      <w:r w:rsidRPr="006449AA">
        <w:rPr>
          <w:rStyle w:val="Heading2Char"/>
          <w:rFonts w:eastAsiaTheme="minorEastAsia"/>
        </w:rPr>
        <w:t>Indicate the proposed setting(s) in which the proposed health technology will be delivered:</w:t>
      </w:r>
    </w:p>
    <w:p w14:paraId="07945243" w14:textId="77777777" w:rsidR="00755CF2" w:rsidRPr="006449AA" w:rsidRDefault="00755CF2" w:rsidP="00755CF2">
      <w:pPr>
        <w:spacing w:after="0"/>
        <w:rPr>
          <w:bCs/>
          <w:sz w:val="21"/>
          <w:szCs w:val="21"/>
        </w:rPr>
      </w:pPr>
      <w:r w:rsidRPr="006449AA">
        <w:rPr>
          <w:bCs/>
          <w:sz w:val="21"/>
          <w:szCs w:val="21"/>
        </w:rPr>
        <w:fldChar w:fldCharType="begin">
          <w:ffData>
            <w:name w:val="Check1"/>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Consulting rooms </w:t>
      </w:r>
    </w:p>
    <w:p w14:paraId="6024880A" w14:textId="77777777" w:rsidR="00755CF2" w:rsidRPr="006449AA" w:rsidRDefault="00755CF2" w:rsidP="00755CF2">
      <w:pPr>
        <w:spacing w:after="0"/>
        <w:rPr>
          <w:bCs/>
          <w:sz w:val="21"/>
          <w:szCs w:val="21"/>
        </w:rPr>
      </w:pPr>
      <w:r w:rsidRPr="006449AA">
        <w:rPr>
          <w:bCs/>
          <w:sz w:val="21"/>
          <w:szCs w:val="21"/>
        </w:rPr>
        <w:fldChar w:fldCharType="begin">
          <w:ffData>
            <w:name w:val="Check2"/>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Day surgery centre</w:t>
      </w:r>
    </w:p>
    <w:p w14:paraId="7483CE35" w14:textId="77777777" w:rsidR="00755CF2" w:rsidRPr="006449AA" w:rsidRDefault="00755CF2" w:rsidP="00755CF2">
      <w:pPr>
        <w:spacing w:after="0"/>
        <w:rPr>
          <w:bCs/>
          <w:sz w:val="21"/>
          <w:szCs w:val="21"/>
        </w:rPr>
      </w:pPr>
      <w:r w:rsidRPr="006449AA">
        <w:rPr>
          <w:bCs/>
          <w:sz w:val="21"/>
          <w:szCs w:val="21"/>
        </w:rPr>
        <w:fldChar w:fldCharType="begin">
          <w:ffData>
            <w:name w:val="Check1"/>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Emergency Department </w:t>
      </w:r>
    </w:p>
    <w:p w14:paraId="7F8ABAA4" w14:textId="77777777" w:rsidR="00755CF2" w:rsidRPr="006449AA" w:rsidRDefault="00755CF2" w:rsidP="00755CF2">
      <w:pPr>
        <w:spacing w:after="0"/>
        <w:rPr>
          <w:bCs/>
          <w:sz w:val="21"/>
          <w:szCs w:val="21"/>
        </w:rPr>
      </w:pPr>
      <w:r w:rsidRPr="006449AA">
        <w:rPr>
          <w:bCs/>
          <w:sz w:val="21"/>
          <w:szCs w:val="21"/>
        </w:rPr>
        <w:fldChar w:fldCharType="begin">
          <w:ffData>
            <w:name w:val="Check2"/>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Inpatient private hospital</w:t>
      </w:r>
    </w:p>
    <w:p w14:paraId="08271B4B" w14:textId="77777777" w:rsidR="00755CF2" w:rsidRPr="006449AA" w:rsidRDefault="00755CF2" w:rsidP="00755CF2">
      <w:pPr>
        <w:spacing w:after="0"/>
        <w:rPr>
          <w:bCs/>
          <w:sz w:val="21"/>
          <w:szCs w:val="21"/>
        </w:rPr>
      </w:pPr>
      <w:r w:rsidRPr="006449AA">
        <w:rPr>
          <w:bCs/>
          <w:sz w:val="21"/>
          <w:szCs w:val="21"/>
        </w:rPr>
        <w:fldChar w:fldCharType="begin">
          <w:ffData>
            <w:name w:val="Check1"/>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Inpatient public hospital </w:t>
      </w:r>
    </w:p>
    <w:p w14:paraId="5F4ECD82" w14:textId="77777777" w:rsidR="00755CF2" w:rsidRPr="006449AA" w:rsidRDefault="00755CF2" w:rsidP="00755CF2">
      <w:pPr>
        <w:spacing w:after="0"/>
        <w:rPr>
          <w:bCs/>
          <w:sz w:val="21"/>
          <w:szCs w:val="21"/>
        </w:rPr>
      </w:pPr>
      <w:r w:rsidRPr="006449AA">
        <w:rPr>
          <w:bCs/>
          <w:sz w:val="21"/>
          <w:szCs w:val="21"/>
        </w:rPr>
        <w:fldChar w:fldCharType="begin">
          <w:ffData>
            <w:name w:val="Check2"/>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Laboratory</w:t>
      </w:r>
    </w:p>
    <w:p w14:paraId="6D2ED615" w14:textId="77777777" w:rsidR="00755CF2" w:rsidRPr="006449AA" w:rsidRDefault="00755CF2" w:rsidP="00755CF2">
      <w:pPr>
        <w:spacing w:after="0"/>
        <w:rPr>
          <w:bCs/>
          <w:sz w:val="21"/>
          <w:szCs w:val="21"/>
        </w:rPr>
      </w:pPr>
      <w:r w:rsidRPr="006449AA">
        <w:rPr>
          <w:bCs/>
          <w:sz w:val="21"/>
          <w:szCs w:val="21"/>
        </w:rPr>
        <w:fldChar w:fldCharType="begin">
          <w:ffData>
            <w:name w:val=""/>
            <w:enabled/>
            <w:calcOnExit w:val="0"/>
            <w:checkBox>
              <w:sizeAuto/>
              <w:default w:val="1"/>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Outpatient clinic </w:t>
      </w:r>
    </w:p>
    <w:p w14:paraId="38D7C603" w14:textId="77777777" w:rsidR="00755CF2" w:rsidRPr="006449AA" w:rsidRDefault="00755CF2" w:rsidP="00755CF2">
      <w:pPr>
        <w:spacing w:after="0"/>
        <w:rPr>
          <w:bCs/>
          <w:sz w:val="21"/>
          <w:szCs w:val="21"/>
        </w:rPr>
      </w:pPr>
      <w:r w:rsidRPr="006449AA">
        <w:rPr>
          <w:bCs/>
          <w:sz w:val="21"/>
          <w:szCs w:val="21"/>
        </w:rPr>
        <w:fldChar w:fldCharType="begin">
          <w:ffData>
            <w:name w:val="Check2"/>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Patient’s home</w:t>
      </w:r>
    </w:p>
    <w:p w14:paraId="48D42799" w14:textId="77777777" w:rsidR="00755CF2" w:rsidRPr="006449AA" w:rsidRDefault="00755CF2" w:rsidP="00755CF2">
      <w:pPr>
        <w:spacing w:after="0"/>
        <w:rPr>
          <w:bCs/>
          <w:sz w:val="21"/>
          <w:szCs w:val="21"/>
        </w:rPr>
      </w:pPr>
      <w:r w:rsidRPr="006449AA">
        <w:rPr>
          <w:bCs/>
          <w:sz w:val="21"/>
          <w:szCs w:val="21"/>
        </w:rPr>
        <w:fldChar w:fldCharType="begin">
          <w:ffData>
            <w:name w:val="Check1"/>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Point of care testing </w:t>
      </w:r>
    </w:p>
    <w:p w14:paraId="0DFFEF81" w14:textId="77777777" w:rsidR="00755CF2" w:rsidRPr="006449AA" w:rsidRDefault="00755CF2" w:rsidP="00755CF2">
      <w:pPr>
        <w:spacing w:after="0"/>
        <w:rPr>
          <w:bCs/>
          <w:sz w:val="21"/>
          <w:szCs w:val="21"/>
        </w:rPr>
      </w:pPr>
      <w:r w:rsidRPr="006449AA">
        <w:rPr>
          <w:bCs/>
          <w:sz w:val="21"/>
          <w:szCs w:val="21"/>
        </w:rPr>
        <w:fldChar w:fldCharType="begin">
          <w:ffData>
            <w:name w:val="Check2"/>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Residential aged care facility</w:t>
      </w:r>
    </w:p>
    <w:p w14:paraId="779D7DEF" w14:textId="36CB5129" w:rsidR="00755CF2" w:rsidRPr="00E95F5C" w:rsidRDefault="00755CF2" w:rsidP="00E95F5C">
      <w:pPr>
        <w:spacing w:after="0"/>
        <w:rPr>
          <w:bCs/>
          <w:sz w:val="21"/>
          <w:szCs w:val="21"/>
        </w:rPr>
      </w:pPr>
      <w:r w:rsidRPr="006449AA">
        <w:rPr>
          <w:bCs/>
          <w:sz w:val="21"/>
          <w:szCs w:val="21"/>
        </w:rPr>
        <w:fldChar w:fldCharType="begin">
          <w:ffData>
            <w:name w:val="Check1"/>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Other (please specify) </w:t>
      </w:r>
    </w:p>
    <w:p w14:paraId="29D1DD8E" w14:textId="30F54FDD" w:rsidR="00755CF2" w:rsidRPr="00E95F5C" w:rsidRDefault="00755CF2" w:rsidP="00E95F5C">
      <w:pPr>
        <w:spacing w:before="120"/>
        <w:rPr>
          <w:rFonts w:asciiTheme="minorHAnsi" w:hAnsiTheme="minorHAnsi" w:cs="Calibri"/>
          <w:color w:val="000000"/>
        </w:rPr>
      </w:pPr>
      <w:r w:rsidRPr="00930220">
        <w:t xml:space="preserve">The proposed service will be provided in the outpatient setting at hub HTCs, in public setting. </w:t>
      </w:r>
    </w:p>
    <w:p w14:paraId="732D6195" w14:textId="1109A16A" w:rsidR="00755CF2" w:rsidRPr="006449AA" w:rsidRDefault="00755CF2" w:rsidP="006449AA">
      <w:pPr>
        <w:pStyle w:val="Heading2"/>
      </w:pPr>
      <w:r w:rsidRPr="006449AA">
        <w:rPr>
          <w:rStyle w:val="Heading2Char"/>
          <w:b/>
          <w:bCs/>
        </w:rPr>
        <w:t>Is the proposed health technology intended to be entirely rendered inside Australia?</w:t>
      </w:r>
    </w:p>
    <w:p w14:paraId="3975326C" w14:textId="601C2CC7" w:rsidR="006449AA" w:rsidRPr="006449AA" w:rsidRDefault="00755CF2" w:rsidP="006449AA">
      <w:r w:rsidRPr="009E4E77">
        <w:t>Yes</w:t>
      </w:r>
    </w:p>
    <w:p w14:paraId="5FDF7FCD" w14:textId="77777777" w:rsidR="00755CF2" w:rsidRPr="00AE1F91" w:rsidRDefault="00755CF2" w:rsidP="00755CF2">
      <w:pPr>
        <w:pStyle w:val="Heading2"/>
      </w:pPr>
      <w:r w:rsidRPr="00AE1F91">
        <w:t>Please provide additional details on the proposed health technology to be rendered outside of Australia:</w:t>
      </w:r>
    </w:p>
    <w:p w14:paraId="1C36C74C" w14:textId="77777777" w:rsidR="00755CF2" w:rsidRPr="00AE1F91" w:rsidRDefault="00755CF2" w:rsidP="00755CF2">
      <w:pPr>
        <w:spacing w:after="0"/>
        <w:rPr>
          <w:rFonts w:asciiTheme="minorHAnsi" w:hAnsiTheme="minorHAnsi" w:cs="Calibri"/>
          <w:color w:val="000000"/>
        </w:rPr>
      </w:pPr>
      <w:r w:rsidRPr="0727FC1E">
        <w:t>Not applicable</w:t>
      </w:r>
    </w:p>
    <w:p w14:paraId="17B89234" w14:textId="77777777" w:rsidR="00E95F5C" w:rsidRDefault="00E95F5C">
      <w:pPr>
        <w:spacing w:line="259" w:lineRule="auto"/>
        <w:rPr>
          <w:b/>
          <w:color w:val="000000"/>
          <w:sz w:val="32"/>
        </w:rPr>
      </w:pPr>
      <w:r>
        <w:br w:type="page"/>
      </w:r>
    </w:p>
    <w:p w14:paraId="696076E6" w14:textId="2917F902" w:rsidR="00755CF2" w:rsidRPr="00AE1F91" w:rsidRDefault="00755CF2" w:rsidP="00D200D1">
      <w:pPr>
        <w:pStyle w:val="Heading1"/>
      </w:pPr>
      <w:r w:rsidRPr="00AE1F91">
        <w:lastRenderedPageBreak/>
        <w:t>Comparator</w:t>
      </w:r>
    </w:p>
    <w:p w14:paraId="34BE4D71" w14:textId="77777777" w:rsidR="00755CF2" w:rsidRPr="00AE1F91" w:rsidRDefault="00755CF2" w:rsidP="00755CF2">
      <w:pPr>
        <w:pStyle w:val="Heading2"/>
        <w:keepNext/>
        <w:keepLines/>
        <w:widowControl w:val="0"/>
      </w:pPr>
      <w:r w:rsidRPr="00AE1F91">
        <w:t>Nominate the appropriate comparator(s) for the proposed medical service (</w:t>
      </w:r>
      <w:proofErr w:type="gramStart"/>
      <w:r w:rsidRPr="00AE1F91">
        <w:t>i.e.</w:t>
      </w:r>
      <w:proofErr w:type="gramEnd"/>
      <w:r w:rsidRPr="00AE1F91">
        <w:t xml:space="preserve"> how is the proposed population currently managed in the absence of the proposed medical service being available in the </w:t>
      </w:r>
      <w:r w:rsidRPr="00AE1F91">
        <w:rPr>
          <w:u w:val="single"/>
        </w:rPr>
        <w:t>Australian health care system)</w:t>
      </w:r>
      <w:r w:rsidRPr="00AE1F91">
        <w:t>. This includes identifying health care resources that are needed to be delivered at the same time as the comparator service:</w:t>
      </w:r>
    </w:p>
    <w:p w14:paraId="39CC3255" w14:textId="77777777" w:rsidR="00755CF2" w:rsidRPr="00AE1F91" w:rsidRDefault="00755CF2" w:rsidP="00755CF2">
      <w:pPr>
        <w:keepNext/>
        <w:keepLines/>
        <w:widowControl w:val="0"/>
        <w:spacing w:after="0"/>
        <w:rPr>
          <w:b/>
          <w:color w:val="000000"/>
        </w:rPr>
      </w:pPr>
    </w:p>
    <w:p w14:paraId="2DBBFE20" w14:textId="070C32E9" w:rsidR="00755CF2" w:rsidRPr="006449AA" w:rsidRDefault="00755CF2" w:rsidP="006449AA">
      <w:pPr>
        <w:pStyle w:val="Heading2"/>
      </w:pPr>
      <w:r w:rsidRPr="00AE1F91">
        <w:t>Please provide a name for your comparator:</w:t>
      </w:r>
    </w:p>
    <w:p w14:paraId="513819DB" w14:textId="0D1E46FB" w:rsidR="00755CF2" w:rsidRPr="006449AA" w:rsidRDefault="00755CF2" w:rsidP="006449AA">
      <w:r w:rsidRPr="00930220">
        <w:t xml:space="preserve">The nominated comparators to </w:t>
      </w:r>
      <w:r>
        <w:t>treatment</w:t>
      </w:r>
      <w:r w:rsidRPr="00930220">
        <w:t xml:space="preserve"> with </w:t>
      </w:r>
      <w:r>
        <w:t xml:space="preserve">valoctocogene </w:t>
      </w:r>
      <w:proofErr w:type="spellStart"/>
      <w:r>
        <w:t>roxaparvovec</w:t>
      </w:r>
      <w:proofErr w:type="spellEnd"/>
      <w:r w:rsidRPr="00930220">
        <w:t xml:space="preserve"> </w:t>
      </w:r>
      <w:r>
        <w:t>are</w:t>
      </w:r>
      <w:r w:rsidRPr="00930220">
        <w:t xml:space="preserve"> </w:t>
      </w:r>
      <w:r w:rsidRPr="00A81869">
        <w:rPr>
          <w:i/>
          <w:iCs/>
        </w:rPr>
        <w:t xml:space="preserve">prophylactic FVIII replacement therapy </w:t>
      </w:r>
      <w:r>
        <w:rPr>
          <w:i/>
          <w:iCs/>
        </w:rPr>
        <w:t>and</w:t>
      </w:r>
      <w:r w:rsidRPr="00A81869">
        <w:rPr>
          <w:i/>
          <w:iCs/>
        </w:rPr>
        <w:t xml:space="preserve"> </w:t>
      </w:r>
      <w:proofErr w:type="spellStart"/>
      <w:r w:rsidRPr="00A81869">
        <w:rPr>
          <w:i/>
          <w:iCs/>
        </w:rPr>
        <w:t>emicizumab</w:t>
      </w:r>
      <w:proofErr w:type="spellEnd"/>
      <w:r w:rsidRPr="00A81869">
        <w:rPr>
          <w:i/>
          <w:iCs/>
        </w:rPr>
        <w:t>.</w:t>
      </w:r>
      <w:r w:rsidRPr="00A81869">
        <w:rPr>
          <w:rFonts w:asciiTheme="minorHAnsi" w:hAnsiTheme="minorHAnsi" w:cs="Calibri"/>
          <w:i/>
          <w:iCs/>
          <w:color w:val="000000"/>
        </w:rPr>
        <w:t xml:space="preserve"> </w:t>
      </w:r>
    </w:p>
    <w:p w14:paraId="1881BBA2" w14:textId="7A09BDDA" w:rsidR="00755CF2" w:rsidRPr="006449AA" w:rsidRDefault="00755CF2" w:rsidP="006449AA">
      <w:pPr>
        <w:pStyle w:val="Heading2"/>
      </w:pPr>
      <w:r w:rsidRPr="00AE1F91">
        <w:t>Please provide an identifying number for your comparator (if applicable):</w:t>
      </w:r>
    </w:p>
    <w:p w14:paraId="017EF248" w14:textId="5D95C062" w:rsidR="00755CF2" w:rsidRPr="006449AA" w:rsidRDefault="00755CF2" w:rsidP="006449AA">
      <w:pPr>
        <w:rPr>
          <w:rFonts w:asciiTheme="minorHAnsi" w:hAnsiTheme="minorHAnsi" w:cs="Calibri"/>
          <w:color w:val="000000"/>
        </w:rPr>
      </w:pPr>
      <w:r>
        <w:t>Not applicable.</w:t>
      </w:r>
    </w:p>
    <w:p w14:paraId="64EA5F7D" w14:textId="55024817" w:rsidR="00755CF2" w:rsidRPr="006449AA" w:rsidRDefault="00755CF2" w:rsidP="006449AA">
      <w:pPr>
        <w:pStyle w:val="Heading2"/>
      </w:pPr>
      <w:r w:rsidRPr="00AE1F91">
        <w:t>Please provide a rationale for why this is a comparator:</w:t>
      </w:r>
    </w:p>
    <w:p w14:paraId="4F756BA4" w14:textId="5394880D" w:rsidR="00755CF2" w:rsidRDefault="00755CF2" w:rsidP="006449AA">
      <w:bookmarkStart w:id="4" w:name="_Hlk128748376"/>
      <w:r w:rsidRPr="6B660F63">
        <w:t xml:space="preserve">Both </w:t>
      </w:r>
      <w:r>
        <w:t>comparators</w:t>
      </w:r>
      <w:r w:rsidRPr="6B660F63">
        <w:t xml:space="preserve"> are currently listed on the NPPL and reimbursed via the NBA for patients with severe haemophilia A.</w:t>
      </w:r>
    </w:p>
    <w:p w14:paraId="6C86C863" w14:textId="04343192" w:rsidR="00755CF2" w:rsidRDefault="00755CF2" w:rsidP="006449AA">
      <w:r w:rsidRPr="00C55F38">
        <w:t>Current Australian guidelines for the management of haemophilia (AHCDO 2016) recommend treatment based on the severity of disease. For patients with severe haemophilia A, the recommended standard of care for patients is prophylactic FVIII replacement therapy, with the aim of maintaining trough FVIII levels &gt;1% to minimise the number of spontaneous bleeding episodes (Srivastava 20</w:t>
      </w:r>
      <w:r>
        <w:t>20</w:t>
      </w:r>
      <w:r w:rsidRPr="00C55F38">
        <w:t xml:space="preserve">, Collins 2009). Patients on </w:t>
      </w:r>
      <w:r>
        <w:t>p</w:t>
      </w:r>
      <w:r w:rsidRPr="00E55AC1">
        <w:t>rophyla</w:t>
      </w:r>
      <w:r>
        <w:t>ctic treatment with FVIII therapy</w:t>
      </w:r>
      <w:r w:rsidRPr="00E55AC1">
        <w:t xml:space="preserve"> </w:t>
      </w:r>
      <w:r w:rsidRPr="00C55F38">
        <w:t xml:space="preserve">typically require intravenous infusions 2-3 times per week to maintain target trough levels. </w:t>
      </w:r>
    </w:p>
    <w:p w14:paraId="09C276FA" w14:textId="615E4F28" w:rsidR="00755CF2" w:rsidRPr="00C55F38" w:rsidRDefault="00755CF2" w:rsidP="006449AA">
      <w:proofErr w:type="spellStart"/>
      <w:r w:rsidRPr="00760246">
        <w:t>Emicizumab</w:t>
      </w:r>
      <w:proofErr w:type="spellEnd"/>
      <w:r w:rsidRPr="00760246">
        <w:t xml:space="preserve"> </w:t>
      </w:r>
      <w:r w:rsidRPr="00C55F38">
        <w:t>is funded</w:t>
      </w:r>
      <w:r>
        <w:t xml:space="preserve"> via the NBA</w:t>
      </w:r>
      <w:r w:rsidRPr="00C55F38">
        <w:t xml:space="preserve"> </w:t>
      </w:r>
      <w:r>
        <w:t xml:space="preserve">NPPL </w:t>
      </w:r>
      <w:r w:rsidRPr="00C55F38">
        <w:rPr>
          <w:i/>
          <w:iCs/>
        </w:rPr>
        <w:t xml:space="preserve">“to prevent or reduce the frequency of bleeding episodes </w:t>
      </w:r>
      <w:proofErr w:type="gramStart"/>
      <w:r w:rsidRPr="00C55F38">
        <w:rPr>
          <w:i/>
          <w:iCs/>
        </w:rPr>
        <w:t>in:</w:t>
      </w:r>
      <w:proofErr w:type="gramEnd"/>
      <w:r>
        <w:rPr>
          <w:i/>
          <w:iCs/>
        </w:rPr>
        <w:t xml:space="preserve"> </w:t>
      </w:r>
      <w:r w:rsidRPr="00C55F38">
        <w:rPr>
          <w:i/>
          <w:iCs/>
        </w:rPr>
        <w:t>patients with haemophilia A with inhibitors, and</w:t>
      </w:r>
      <w:r>
        <w:rPr>
          <w:i/>
          <w:iCs/>
        </w:rPr>
        <w:t xml:space="preserve"> </w:t>
      </w:r>
      <w:r w:rsidRPr="00C55F38">
        <w:rPr>
          <w:i/>
          <w:iCs/>
        </w:rPr>
        <w:t>patients with severe (FVIII &lt;1%) or moderate (FVIII 1-4%) haemophilia A without inhibitors”</w:t>
      </w:r>
      <w:r w:rsidRPr="00F54843">
        <w:rPr>
          <w:vertAlign w:val="superscript"/>
        </w:rPr>
        <w:footnoteReference w:id="2"/>
      </w:r>
      <w:r w:rsidRPr="00C55F38">
        <w:t xml:space="preserve">. </w:t>
      </w:r>
    </w:p>
    <w:p w14:paraId="355F8601" w14:textId="15A1B36B" w:rsidR="00755CF2" w:rsidRPr="00C55F38" w:rsidRDefault="00755CF2" w:rsidP="006449AA">
      <w:r w:rsidRPr="00C55F38">
        <w:t>On demand</w:t>
      </w:r>
      <w:r>
        <w:t xml:space="preserve"> FVIII</w:t>
      </w:r>
      <w:r w:rsidRPr="00C55F38">
        <w:t xml:space="preserve"> treatment is not recommended for severe patients due to the high risk of bleeds. This is reflected in the utilisation of FVIII products by severity as reported in the Australian blood disorders registry report (2019-2020) in which 88.4% of FVIII product was used for prophylactic treatment in patients with severe disease (</w:t>
      </w:r>
      <w:r w:rsidR="00A87E6D">
        <w:t>Figure 1)</w:t>
      </w:r>
      <w:r w:rsidRPr="00C55F38">
        <w:t xml:space="preserve">. While 7.4% of FVIII products were used ‘on demand’, this utilisation likely reflects treatment of breakthrough bleeds and/or use during surgical procedures </w:t>
      </w:r>
      <w:r>
        <w:t>consistent</w:t>
      </w:r>
      <w:r w:rsidRPr="00C55F38">
        <w:t xml:space="preserve"> with current guidelines. The A</w:t>
      </w:r>
      <w:r>
        <w:t>HCDO</w:t>
      </w:r>
      <w:r w:rsidRPr="00C55F38">
        <w:t xml:space="preserve"> Clinical statement for </w:t>
      </w:r>
      <w:proofErr w:type="spellStart"/>
      <w:r w:rsidRPr="00760246">
        <w:t>emicizumab</w:t>
      </w:r>
      <w:proofErr w:type="spellEnd"/>
      <w:r>
        <w:t xml:space="preserve"> </w:t>
      </w:r>
      <w:r w:rsidRPr="00C55F38">
        <w:t xml:space="preserve">also recognises that a subpopulation of severe patients relies on treatment on demand over </w:t>
      </w:r>
      <w:r>
        <w:t>p</w:t>
      </w:r>
      <w:r w:rsidRPr="00E55AC1">
        <w:t>rophyla</w:t>
      </w:r>
      <w:r>
        <w:t>ctic FVIII therapy</w:t>
      </w:r>
      <w:r w:rsidRPr="00E55AC1">
        <w:t xml:space="preserve"> </w:t>
      </w:r>
      <w:r w:rsidRPr="00C55F38">
        <w:t xml:space="preserve">due to poor venous access and that the availability of </w:t>
      </w:r>
      <w:proofErr w:type="spellStart"/>
      <w:r w:rsidRPr="00760246">
        <w:t>emicizumab</w:t>
      </w:r>
      <w:proofErr w:type="spellEnd"/>
      <w:r>
        <w:t xml:space="preserve"> </w:t>
      </w:r>
      <w:r w:rsidRPr="00C55F38">
        <w:t>through the NBA NP</w:t>
      </w:r>
      <w:r>
        <w:t>P</w:t>
      </w:r>
      <w:r w:rsidRPr="00C55F38">
        <w:t xml:space="preserve">L, provides the opportunity to move from on demand to prophylactic therapy. </w:t>
      </w:r>
    </w:p>
    <w:p w14:paraId="42BC2995" w14:textId="612B3117" w:rsidR="00755CF2" w:rsidRPr="00C55F38" w:rsidRDefault="00755CF2" w:rsidP="006449AA">
      <w:r w:rsidRPr="00C55F38">
        <w:t xml:space="preserve">Consequently, it is </w:t>
      </w:r>
      <w:r w:rsidRPr="7E1A65BB">
        <w:t>proposed</w:t>
      </w:r>
      <w:r w:rsidRPr="00C55F38">
        <w:t xml:space="preserve"> that prophylactic treatment with FVIII replacement therapy </w:t>
      </w:r>
      <w:r>
        <w:t xml:space="preserve">or </w:t>
      </w:r>
      <w:proofErr w:type="spellStart"/>
      <w:r>
        <w:t>emicizumab</w:t>
      </w:r>
      <w:proofErr w:type="spellEnd"/>
      <w:r>
        <w:t xml:space="preserve"> are</w:t>
      </w:r>
      <w:r w:rsidRPr="00C55F38">
        <w:t xml:space="preserve"> the appropriate comparator</w:t>
      </w:r>
      <w:r>
        <w:t>s</w:t>
      </w:r>
      <w:r w:rsidRPr="00C55F38">
        <w:t xml:space="preserve"> for </w:t>
      </w:r>
      <w:r>
        <w:t xml:space="preserve">valoctocogene </w:t>
      </w:r>
      <w:proofErr w:type="spellStart"/>
      <w:r>
        <w:t>roxaparvovec</w:t>
      </w:r>
      <w:proofErr w:type="spellEnd"/>
      <w:r>
        <w:t xml:space="preserve">. </w:t>
      </w:r>
    </w:p>
    <w:p w14:paraId="4794172A" w14:textId="77777777" w:rsidR="00755CF2" w:rsidRPr="006449AA" w:rsidRDefault="00755CF2" w:rsidP="006449AA">
      <w:pPr>
        <w:pStyle w:val="Heading3"/>
        <w:spacing w:after="60"/>
        <w:rPr>
          <w:rFonts w:ascii="Segoe UI" w:hAnsi="Segoe UI" w:cs="Segoe UI"/>
        </w:rPr>
      </w:pPr>
      <w:r w:rsidRPr="006449AA">
        <w:rPr>
          <w:rFonts w:ascii="Segoe UI" w:hAnsi="Segoe UI" w:cs="Segoe UI"/>
        </w:rPr>
        <w:t>Prophylactic treatment with FVIII therapy</w:t>
      </w:r>
    </w:p>
    <w:p w14:paraId="17497E87" w14:textId="4D9719AD" w:rsidR="00755CF2" w:rsidRDefault="00755CF2" w:rsidP="00755CF2">
      <w:pPr>
        <w:spacing w:after="0"/>
      </w:pPr>
      <w:r w:rsidRPr="00FD4F96">
        <w:t>As shown in</w:t>
      </w:r>
      <w:r w:rsidR="00F136F5">
        <w:t xml:space="preserve"> Table 3,</w:t>
      </w:r>
      <w:r w:rsidRPr="00FD4F96">
        <w:t xml:space="preserve"> there are currently five FVIII products listed on the </w:t>
      </w:r>
      <w:r>
        <w:t>NPPL</w:t>
      </w:r>
      <w:r w:rsidRPr="00C55F38">
        <w:t xml:space="preserve"> (effective 1 July </w:t>
      </w:r>
      <w:r w:rsidRPr="002612C9">
        <w:t>2023), of</w:t>
      </w:r>
      <w:r w:rsidRPr="00C55F38">
        <w:t xml:space="preserve"> which four are recombinant</w:t>
      </w:r>
      <w:r>
        <w:t xml:space="preserve"> imported</w:t>
      </w:r>
      <w:r w:rsidRPr="00C55F38">
        <w:t xml:space="preserve"> products </w:t>
      </w:r>
      <w:r>
        <w:t>(</w:t>
      </w:r>
      <w:proofErr w:type="spellStart"/>
      <w:r w:rsidRPr="001F1C1F">
        <w:t>Advate</w:t>
      </w:r>
      <w:proofErr w:type="spellEnd"/>
      <w:r>
        <w:t xml:space="preserve">, </w:t>
      </w:r>
      <w:proofErr w:type="spellStart"/>
      <w:r w:rsidRPr="001F1C1F">
        <w:t>Adynovate</w:t>
      </w:r>
      <w:proofErr w:type="spellEnd"/>
      <w:r>
        <w:t xml:space="preserve">, </w:t>
      </w:r>
      <w:r w:rsidRPr="001F1C1F">
        <w:t>Eloctate</w:t>
      </w:r>
      <w:r>
        <w:t xml:space="preserve">, </w:t>
      </w:r>
      <w:proofErr w:type="spellStart"/>
      <w:r w:rsidRPr="001F1C1F">
        <w:t>Xyntha</w:t>
      </w:r>
      <w:proofErr w:type="spellEnd"/>
      <w:r>
        <w:t xml:space="preserve">) </w:t>
      </w:r>
      <w:r w:rsidRPr="00C55F38">
        <w:t>and one is plasma-derived, domestic product (</w:t>
      </w:r>
      <w:proofErr w:type="spellStart"/>
      <w:r w:rsidRPr="00C55F38">
        <w:t>Biostate</w:t>
      </w:r>
      <w:proofErr w:type="spellEnd"/>
      <w:r w:rsidRPr="00C55F38">
        <w:t xml:space="preserve">). According </w:t>
      </w:r>
      <w:r>
        <w:t xml:space="preserve">to </w:t>
      </w:r>
      <w:r w:rsidRPr="00C55F38">
        <w:t xml:space="preserve">the ACDCO (2016) guidelines, recombinant FVIII is </w:t>
      </w:r>
      <w:r>
        <w:t xml:space="preserve">the </w:t>
      </w:r>
      <w:r w:rsidRPr="00C55F38">
        <w:t xml:space="preserve">treatment of choice for haemophilia A in Australia. </w:t>
      </w:r>
    </w:p>
    <w:p w14:paraId="7987B377" w14:textId="77777777" w:rsidR="00755CF2" w:rsidRPr="00C55F38" w:rsidRDefault="00755CF2" w:rsidP="00755CF2">
      <w:pPr>
        <w:spacing w:after="0"/>
      </w:pPr>
    </w:p>
    <w:p w14:paraId="3208AFD5" w14:textId="51072E79" w:rsidR="00755CF2" w:rsidRPr="00C55F38" w:rsidRDefault="00755CF2" w:rsidP="006449AA">
      <w:r w:rsidRPr="00C55F38">
        <w:lastRenderedPageBreak/>
        <w:t xml:space="preserve">Two of the </w:t>
      </w:r>
      <w:r w:rsidRPr="38E02A9A">
        <w:t>products</w:t>
      </w:r>
      <w:r w:rsidRPr="00C55F38">
        <w:t xml:space="preserve"> are extended half-life (EHL) </w:t>
      </w:r>
      <w:r>
        <w:t>(</w:t>
      </w:r>
      <w:r w:rsidRPr="7E1A65BB">
        <w:t>Eloctate</w:t>
      </w:r>
      <w:r w:rsidRPr="00C55F38">
        <w:t xml:space="preserve"> and </w:t>
      </w:r>
      <w:proofErr w:type="spellStart"/>
      <w:r w:rsidRPr="7E1A65BB">
        <w:t>Adynovate</w:t>
      </w:r>
      <w:proofErr w:type="spellEnd"/>
      <w:r>
        <w:t>)</w:t>
      </w:r>
      <w:r w:rsidRPr="00C55F38">
        <w:t xml:space="preserve"> – and </w:t>
      </w:r>
      <w:r>
        <w:t xml:space="preserve">the </w:t>
      </w:r>
      <w:r w:rsidRPr="00C55F38">
        <w:t>remaining products are standard half-life (SHL</w:t>
      </w:r>
      <w:r w:rsidRPr="7E1A65BB">
        <w:t>) (</w:t>
      </w:r>
      <w:proofErr w:type="spellStart"/>
      <w:r w:rsidRPr="7E1A65BB">
        <w:t>Advate</w:t>
      </w:r>
      <w:proofErr w:type="spellEnd"/>
      <w:r w:rsidRPr="7E1A65BB">
        <w:t xml:space="preserve"> and </w:t>
      </w:r>
      <w:proofErr w:type="spellStart"/>
      <w:r w:rsidRPr="7E1A65BB">
        <w:t>Xyntha</w:t>
      </w:r>
      <w:proofErr w:type="spellEnd"/>
      <w:r w:rsidRPr="7E1A65BB">
        <w:t>).</w:t>
      </w:r>
      <w:r w:rsidRPr="00C55F38">
        <w:t xml:space="preserve"> </w:t>
      </w:r>
      <w:r>
        <w:t>According to</w:t>
      </w:r>
      <w:r w:rsidRPr="00C55F38">
        <w:t xml:space="preserve"> the Public Summary Document (PSD) from Application 1511 (July 2018) seeking inclusion of EHL product on the NPPL, “</w:t>
      </w:r>
      <w:r w:rsidRPr="00FD4F96">
        <w:rPr>
          <w:i/>
          <w:iCs/>
        </w:rPr>
        <w:t>MSAC concluded from the evidence available that there was little clinically</w:t>
      </w:r>
      <w:r>
        <w:rPr>
          <w:i/>
          <w:iCs/>
        </w:rPr>
        <w:t xml:space="preserve"> </w:t>
      </w:r>
      <w:r w:rsidRPr="00FD4F96">
        <w:rPr>
          <w:i/>
          <w:iCs/>
        </w:rPr>
        <w:t xml:space="preserve">important improvement in patient outcomes between the two types of products, but accepted that EHL products would reduce dosing frequency” </w:t>
      </w:r>
      <w:r w:rsidRPr="00C55F38">
        <w:t xml:space="preserve">with EHL products recommended for listing on a cost-minimisation basis. In their deliberation, </w:t>
      </w:r>
      <w:r w:rsidRPr="00FD4F96">
        <w:rPr>
          <w:i/>
          <w:iCs/>
        </w:rPr>
        <w:t>“MSAC acknowledged that even one less dose per week would be valuable to patients”</w:t>
      </w:r>
      <w:r w:rsidRPr="00C55F38">
        <w:t xml:space="preserve"> (</w:t>
      </w:r>
      <w:r>
        <w:t xml:space="preserve">MSAC </w:t>
      </w:r>
      <w:r w:rsidRPr="00C55F38">
        <w:t>Application 1511</w:t>
      </w:r>
      <w:r>
        <w:t>, Public Summary Document,</w:t>
      </w:r>
      <w:r w:rsidRPr="00C55F38">
        <w:t xml:space="preserve"> July 2018). </w:t>
      </w:r>
    </w:p>
    <w:p w14:paraId="60146B1D" w14:textId="1B8EC01C" w:rsidR="00755CF2" w:rsidRPr="00C55F38" w:rsidRDefault="00755CF2" w:rsidP="006449AA">
      <w:proofErr w:type="spellStart"/>
      <w:r w:rsidRPr="00C55F38">
        <w:t>Biostate</w:t>
      </w:r>
      <w:proofErr w:type="spellEnd"/>
      <w:r w:rsidRPr="00C55F38">
        <w:t xml:space="preserve"> is the only plasma-derived FVIII available on the NPPL – it is</w:t>
      </w:r>
      <w:r>
        <w:t xml:space="preserve"> mainly</w:t>
      </w:r>
      <w:r w:rsidRPr="00C55F38">
        <w:t xml:space="preserve"> indicated for use as </w:t>
      </w:r>
      <w:r>
        <w:t>p</w:t>
      </w:r>
      <w:r w:rsidRPr="00E55AC1">
        <w:t>rophyla</w:t>
      </w:r>
      <w:r>
        <w:t>ctic treatment with FVIII therapy</w:t>
      </w:r>
      <w:r w:rsidRPr="00C55F38">
        <w:t xml:space="preserve"> in patients with von Willebrand disease in addition to </w:t>
      </w:r>
      <w:r>
        <w:t>h</w:t>
      </w:r>
      <w:r w:rsidRPr="38E02A9A">
        <w:t>aemophilia A.</w:t>
      </w:r>
      <w:r w:rsidRPr="00C55F38">
        <w:t xml:space="preserve"> The total usage of the SHL products and </w:t>
      </w:r>
      <w:proofErr w:type="spellStart"/>
      <w:r w:rsidRPr="00C55F38">
        <w:t>Biostate</w:t>
      </w:r>
      <w:proofErr w:type="spellEnd"/>
      <w:r w:rsidRPr="00C55F38">
        <w:t xml:space="preserve"> for </w:t>
      </w:r>
      <w:r>
        <w:t>p</w:t>
      </w:r>
      <w:r w:rsidRPr="00E55AC1">
        <w:t>rophyla</w:t>
      </w:r>
      <w:r>
        <w:t>ctic treatment with FVIII therapy</w:t>
      </w:r>
      <w:r w:rsidRPr="00E55AC1">
        <w:t xml:space="preserve"> </w:t>
      </w:r>
      <w:r w:rsidRPr="00C55F38">
        <w:t xml:space="preserve">in haemophilia A in the 2019-2020 period shows that </w:t>
      </w:r>
      <w:proofErr w:type="spellStart"/>
      <w:r w:rsidRPr="7E1A65BB">
        <w:t>Biostate</w:t>
      </w:r>
      <w:proofErr w:type="spellEnd"/>
      <w:r w:rsidRPr="00C55F38">
        <w:t xml:space="preserve"> only represents 2% of the SHL market. To this end, </w:t>
      </w:r>
      <w:proofErr w:type="spellStart"/>
      <w:r w:rsidRPr="00C55F38">
        <w:t>Biostate</w:t>
      </w:r>
      <w:proofErr w:type="spellEnd"/>
      <w:r w:rsidRPr="00C55F38">
        <w:t xml:space="preserve"> is not a relevant prophylactic FVIII product for comparison with </w:t>
      </w:r>
      <w:r>
        <w:t xml:space="preserve">valoctocogene </w:t>
      </w:r>
      <w:proofErr w:type="spellStart"/>
      <w:r>
        <w:t>roxaparvovec</w:t>
      </w:r>
      <w:proofErr w:type="spellEnd"/>
      <w:r w:rsidRPr="00C55F38">
        <w:t xml:space="preserve"> in haemophilia A. </w:t>
      </w:r>
    </w:p>
    <w:p w14:paraId="56B63712" w14:textId="3313E3AF" w:rsidR="00755CF2" w:rsidRPr="00C55F38" w:rsidRDefault="00755CF2" w:rsidP="006449AA">
      <w:r w:rsidRPr="00C55F38">
        <w:t xml:space="preserve">Due to </w:t>
      </w:r>
      <w:r>
        <w:t>confidential</w:t>
      </w:r>
      <w:r>
        <w:rPr>
          <w:rStyle w:val="CommentReference"/>
        </w:rPr>
        <w:t xml:space="preserve"> </w:t>
      </w:r>
      <w:r>
        <w:t xml:space="preserve">pricing, </w:t>
      </w:r>
      <w:r w:rsidRPr="00C55F38">
        <w:t xml:space="preserve">prices are not known for recombinant FVIII products </w:t>
      </w:r>
      <w:r w:rsidR="00F136F5">
        <w:t>(see Table 3</w:t>
      </w:r>
      <w:r w:rsidRPr="00C55F38">
        <w:t xml:space="preserve">), </w:t>
      </w:r>
      <w:proofErr w:type="gramStart"/>
      <w:r w:rsidRPr="00C55F38">
        <w:t>with the exception of</w:t>
      </w:r>
      <w:proofErr w:type="gramEnd"/>
      <w:r w:rsidRPr="00C55F38">
        <w:t xml:space="preserve"> </w:t>
      </w:r>
      <w:proofErr w:type="spellStart"/>
      <w:r w:rsidRPr="00C55F38">
        <w:t>Biostate</w:t>
      </w:r>
      <w:proofErr w:type="spellEnd"/>
      <w:r w:rsidRPr="00C55F38">
        <w:t>, which is not an appropriate comparator product in haemophilia A</w:t>
      </w:r>
      <w:r>
        <w:t xml:space="preserve"> as discussed above</w:t>
      </w:r>
      <w:r w:rsidRPr="00C55F38">
        <w:t xml:space="preserve">. </w:t>
      </w:r>
    </w:p>
    <w:p w14:paraId="64DBF2E6" w14:textId="3BDEC32A" w:rsidR="00755CF2" w:rsidRPr="00C55F38" w:rsidRDefault="00755CF2" w:rsidP="006449AA">
      <w:r w:rsidRPr="00C55F38">
        <w:t xml:space="preserve">Vials of factor concentrates are available in dosages ranging from 250 to 3000 units each. In the absence of an inhibitor, each unit of FVIII per kilogram of body weight infused intravenously will raise the plasma FVIII level by about 2 IU/dL, with the </w:t>
      </w:r>
      <w:r w:rsidRPr="38E02A9A">
        <w:t>patients’</w:t>
      </w:r>
      <w:r w:rsidRPr="00C55F38">
        <w:t xml:space="preserve"> dose calculated by multiplying the</w:t>
      </w:r>
      <w:r>
        <w:t>ir</w:t>
      </w:r>
      <w:r w:rsidRPr="00C55F38">
        <w:t xml:space="preserve"> weight in kilograms by the factor level in IU/dL desired, multiplied by 0.5 (AHCDO 2016).</w:t>
      </w:r>
    </w:p>
    <w:p w14:paraId="22CFB64E" w14:textId="6BF1EB4F" w:rsidR="00755CF2" w:rsidRPr="00C55F38" w:rsidRDefault="00755CF2" w:rsidP="006449AA">
      <w:r w:rsidRPr="6B660F63">
        <w:t xml:space="preserve">For example: </w:t>
      </w:r>
      <w:r>
        <w:t xml:space="preserve">70 </w:t>
      </w:r>
      <w:r w:rsidRPr="6B660F63">
        <w:t>kg × 40 (IU/dL level desired) × 0.5 = 1</w:t>
      </w:r>
      <w:r>
        <w:t>4</w:t>
      </w:r>
      <w:r w:rsidRPr="6B660F63">
        <w:t>00 units of FVIII</w:t>
      </w:r>
    </w:p>
    <w:p w14:paraId="0AF9F10E" w14:textId="3ADD39B9" w:rsidR="00755CF2" w:rsidRPr="00C55F38" w:rsidRDefault="00755CF2" w:rsidP="006449AA">
      <w:r w:rsidRPr="00C55F38">
        <w:t xml:space="preserve">FVIII should be infused by slow intravenous injection at a rate not exceeding 3 ml/minute in adults, </w:t>
      </w:r>
      <w:r>
        <w:t>according to</w:t>
      </w:r>
      <w:r w:rsidRPr="00C55F38">
        <w:t xml:space="preserve"> the Product Information</w:t>
      </w:r>
      <w:r>
        <w:t xml:space="preserve"> (PI)</w:t>
      </w:r>
      <w:r w:rsidRPr="00C55F38">
        <w:t xml:space="preserve">. Subsequent doses of FVIII are based on the half-life of FVIII </w:t>
      </w:r>
      <w:r>
        <w:t xml:space="preserve">levels </w:t>
      </w:r>
      <w:r w:rsidRPr="00C55F38">
        <w:t xml:space="preserve">and on the recovery observed in the patient. </w:t>
      </w:r>
    </w:p>
    <w:p w14:paraId="31A1676D" w14:textId="77777777" w:rsidR="00755CF2" w:rsidRPr="00C55F38" w:rsidRDefault="00755CF2" w:rsidP="006449AA">
      <w:pPr>
        <w:rPr>
          <w:rFonts w:eastAsia="Segoe UI"/>
          <w:sz w:val="18"/>
          <w:szCs w:val="18"/>
        </w:rPr>
      </w:pPr>
      <w:r w:rsidRPr="6B660F63">
        <w:t xml:space="preserve">A summary of dosing recommendations for prophylactic treatment with FVIII therapy, as per the Australian approved PI for relevant recombinant FVIII products is provided below, showing that SHL products are administered more frequently (3-4 times per week) compared with EHL (twice per week): </w:t>
      </w:r>
    </w:p>
    <w:p w14:paraId="18098310" w14:textId="77777777" w:rsidR="00755CF2" w:rsidRPr="00C55F38" w:rsidRDefault="00755CF2" w:rsidP="00755CF2">
      <w:pPr>
        <w:pStyle w:val="ListParagraph"/>
        <w:numPr>
          <w:ilvl w:val="0"/>
          <w:numId w:val="7"/>
        </w:numPr>
        <w:spacing w:after="0"/>
      </w:pPr>
      <w:proofErr w:type="spellStart"/>
      <w:r w:rsidRPr="00C55F38">
        <w:rPr>
          <w:b/>
          <w:bCs/>
        </w:rPr>
        <w:t>Advate</w:t>
      </w:r>
      <w:proofErr w:type="spellEnd"/>
      <w:r w:rsidRPr="00C55F38">
        <w:rPr>
          <w:b/>
          <w:bCs/>
        </w:rPr>
        <w:t>:</w:t>
      </w:r>
      <w:r w:rsidRPr="00C55F38">
        <w:t xml:space="preserve"> For prevention of bleeding episodes, doses between 20 to 40 IU of factor VIII per kg body weight every other day (3 to 4 times weekly) may be utilised. In some cases, especially in younger patients, shorter dose intervals or higher doses may be necessary.</w:t>
      </w:r>
    </w:p>
    <w:p w14:paraId="3FF5B4B6" w14:textId="77777777" w:rsidR="00755CF2" w:rsidRPr="00C55F38" w:rsidRDefault="00755CF2" w:rsidP="00755CF2">
      <w:pPr>
        <w:pStyle w:val="ListParagraph"/>
        <w:numPr>
          <w:ilvl w:val="0"/>
          <w:numId w:val="7"/>
        </w:numPr>
        <w:spacing w:after="0"/>
      </w:pPr>
      <w:proofErr w:type="spellStart"/>
      <w:r w:rsidRPr="00C55F38">
        <w:rPr>
          <w:b/>
          <w:bCs/>
        </w:rPr>
        <w:t>Adynovate</w:t>
      </w:r>
      <w:proofErr w:type="spellEnd"/>
      <w:r w:rsidRPr="00C55F38">
        <w:rPr>
          <w:b/>
          <w:bCs/>
        </w:rPr>
        <w:t>:</w:t>
      </w:r>
      <w:r w:rsidRPr="00C55F38">
        <w:t xml:space="preserve"> For long term </w:t>
      </w:r>
      <w:r>
        <w:t>p</w:t>
      </w:r>
      <w:r w:rsidRPr="00E55AC1">
        <w:t>rophyla</w:t>
      </w:r>
      <w:r>
        <w:t>ctic treatment with FVIII therapy</w:t>
      </w:r>
      <w:r w:rsidRPr="00C55F38">
        <w:t xml:space="preserve">, the recommended dose is 40 to 50 IU per kg bodyweight of </w:t>
      </w:r>
      <w:proofErr w:type="spellStart"/>
      <w:r w:rsidRPr="00C55F38">
        <w:t>adynovate</w:t>
      </w:r>
      <w:proofErr w:type="spellEnd"/>
      <w:r w:rsidRPr="00C55F38">
        <w:t xml:space="preserve"> twice weekly in 3 to 4</w:t>
      </w:r>
      <w:r w:rsidRPr="38E02A9A">
        <w:t>-</w:t>
      </w:r>
      <w:r w:rsidRPr="00C55F38">
        <w:t xml:space="preserve">day intervals. Dose and/or frequency should be adjusted to provide the necessary coverage to prevent bleeding. In some cases, doses up to 60 IU per kg may be used. </w:t>
      </w:r>
    </w:p>
    <w:p w14:paraId="502270EC" w14:textId="77777777" w:rsidR="00755CF2" w:rsidRPr="00C55F38" w:rsidRDefault="00755CF2" w:rsidP="00755CF2">
      <w:pPr>
        <w:pStyle w:val="ListParagraph"/>
        <w:numPr>
          <w:ilvl w:val="0"/>
          <w:numId w:val="7"/>
        </w:numPr>
        <w:spacing w:after="0"/>
      </w:pPr>
      <w:r w:rsidRPr="00C55F38">
        <w:rPr>
          <w:b/>
          <w:bCs/>
        </w:rPr>
        <w:t>Eloctate:</w:t>
      </w:r>
      <w:r w:rsidRPr="00C55F38">
        <w:t xml:space="preserve"> For individualised </w:t>
      </w:r>
      <w:r>
        <w:t>p</w:t>
      </w:r>
      <w:r w:rsidRPr="00E55AC1">
        <w:t>rophyla</w:t>
      </w:r>
      <w:r>
        <w:t>ctic treatment with FVIII therapy</w:t>
      </w:r>
      <w:r w:rsidRPr="00C55F38">
        <w:t xml:space="preserve">, the recommended regimen is 50 IU/kg every 3-5 days. The dose may be adjusted based on patient response in the range of 25-65 IU/kg. For weekly </w:t>
      </w:r>
      <w:r>
        <w:t>p</w:t>
      </w:r>
      <w:r w:rsidRPr="00E55AC1">
        <w:t>rophyla</w:t>
      </w:r>
      <w:r>
        <w:t>ctic treatment with FVIII therapy</w:t>
      </w:r>
      <w:r w:rsidRPr="00C55F38">
        <w:t>, the recommended dose is 65 IU/kg can be used.</w:t>
      </w:r>
    </w:p>
    <w:p w14:paraId="54530086" w14:textId="77777777" w:rsidR="00755CF2" w:rsidRDefault="00755CF2" w:rsidP="00755CF2">
      <w:pPr>
        <w:pStyle w:val="ListParagraph"/>
        <w:numPr>
          <w:ilvl w:val="0"/>
          <w:numId w:val="7"/>
        </w:numPr>
        <w:spacing w:after="0"/>
      </w:pPr>
      <w:proofErr w:type="spellStart"/>
      <w:r w:rsidRPr="00C55F38">
        <w:rPr>
          <w:b/>
          <w:bCs/>
        </w:rPr>
        <w:t>Xyntha</w:t>
      </w:r>
      <w:proofErr w:type="spellEnd"/>
      <w:r w:rsidRPr="00C55F38">
        <w:rPr>
          <w:b/>
          <w:bCs/>
        </w:rPr>
        <w:t>:</w:t>
      </w:r>
      <w:r w:rsidRPr="00C55F38">
        <w:t xml:space="preserve"> For routine </w:t>
      </w:r>
      <w:r>
        <w:t>p</w:t>
      </w:r>
      <w:r w:rsidRPr="00E55AC1">
        <w:t>rophyla</w:t>
      </w:r>
      <w:r>
        <w:t>ctic treatment with FVIII therapy</w:t>
      </w:r>
      <w:r w:rsidRPr="00C55F38">
        <w:t xml:space="preserve"> to prevent or reduce the frequency of spontaneous musculoskeletal haemorrhage in patients with haemophilia A, doses of 10 to 50 IU of factor VIII per kg body weight should be given at least twice a week. </w:t>
      </w:r>
      <w:proofErr w:type="spellStart"/>
      <w:r w:rsidRPr="00C55F38">
        <w:t>X</w:t>
      </w:r>
      <w:r>
        <w:t>yntha</w:t>
      </w:r>
      <w:proofErr w:type="spellEnd"/>
      <w:r w:rsidRPr="00C55F38">
        <w:t xml:space="preserve"> has been administered prophylactically in a pivotal clinical trial in adolescent and adult previously treated patients at a dose of 30 ± 5 IU/kg given 3 times weekly. </w:t>
      </w:r>
    </w:p>
    <w:p w14:paraId="5728A3E2" w14:textId="3BA0A48A" w:rsidR="00755CF2" w:rsidRDefault="00755CF2" w:rsidP="00755CF2">
      <w:pPr>
        <w:pStyle w:val="Caption"/>
      </w:pPr>
      <w:bookmarkStart w:id="5" w:name="_Ref122360616"/>
      <w:r>
        <w:lastRenderedPageBreak/>
        <w:t xml:space="preserve">Table </w:t>
      </w:r>
      <w:bookmarkEnd w:id="5"/>
      <w:r w:rsidR="00A87E6D">
        <w:t>3</w:t>
      </w:r>
      <w:r>
        <w:tab/>
        <w:t>FVIII products listed on the NPPL, on 1 July 2023</w:t>
      </w:r>
    </w:p>
    <w:tbl>
      <w:tblPr>
        <w:tblStyle w:val="TableGrid"/>
        <w:tblW w:w="0" w:type="auto"/>
        <w:tblInd w:w="-113" w:type="dxa"/>
        <w:tblLook w:val="04A0" w:firstRow="1" w:lastRow="0" w:firstColumn="1" w:lastColumn="0" w:noHBand="0" w:noVBand="1"/>
      </w:tblPr>
      <w:tblGrid>
        <w:gridCol w:w="1818"/>
        <w:gridCol w:w="1748"/>
        <w:gridCol w:w="2006"/>
        <w:gridCol w:w="1542"/>
        <w:gridCol w:w="1542"/>
      </w:tblGrid>
      <w:tr w:rsidR="00755CF2" w:rsidRPr="008F378C" w14:paraId="57CAC471" w14:textId="77777777" w:rsidTr="00874D92">
        <w:tc>
          <w:tcPr>
            <w:tcW w:w="1818" w:type="dxa"/>
          </w:tcPr>
          <w:p w14:paraId="4D23ECFE" w14:textId="77777777" w:rsidR="00755CF2" w:rsidRPr="008F378C" w:rsidRDefault="00755CF2" w:rsidP="00874D92">
            <w:pPr>
              <w:pStyle w:val="TableText"/>
              <w:rPr>
                <w:b/>
                <w:bCs/>
              </w:rPr>
            </w:pPr>
            <w:r w:rsidRPr="008F378C">
              <w:rPr>
                <w:b/>
                <w:bCs/>
              </w:rPr>
              <w:t>Product Type</w:t>
            </w:r>
          </w:p>
        </w:tc>
        <w:tc>
          <w:tcPr>
            <w:tcW w:w="1748" w:type="dxa"/>
          </w:tcPr>
          <w:p w14:paraId="7647A895" w14:textId="77777777" w:rsidR="00755CF2" w:rsidRPr="008F378C" w:rsidRDefault="00755CF2" w:rsidP="00874D92">
            <w:pPr>
              <w:pStyle w:val="TableText"/>
              <w:rPr>
                <w:b/>
                <w:bCs/>
              </w:rPr>
            </w:pPr>
            <w:r w:rsidRPr="008F378C">
              <w:rPr>
                <w:b/>
                <w:bCs/>
              </w:rPr>
              <w:t>Name</w:t>
            </w:r>
          </w:p>
        </w:tc>
        <w:tc>
          <w:tcPr>
            <w:tcW w:w="2006" w:type="dxa"/>
          </w:tcPr>
          <w:p w14:paraId="361B53F1" w14:textId="77777777" w:rsidR="00755CF2" w:rsidRPr="008F378C" w:rsidRDefault="00755CF2" w:rsidP="00874D92">
            <w:pPr>
              <w:pStyle w:val="TableText"/>
              <w:rPr>
                <w:b/>
                <w:bCs/>
              </w:rPr>
            </w:pPr>
            <w:r w:rsidRPr="008F378C">
              <w:rPr>
                <w:b/>
                <w:bCs/>
              </w:rPr>
              <w:t>Presentation</w:t>
            </w:r>
          </w:p>
        </w:tc>
        <w:tc>
          <w:tcPr>
            <w:tcW w:w="1542" w:type="dxa"/>
          </w:tcPr>
          <w:p w14:paraId="5170091C" w14:textId="77777777" w:rsidR="00755CF2" w:rsidRPr="008F378C" w:rsidRDefault="00755CF2" w:rsidP="00874D92">
            <w:pPr>
              <w:pStyle w:val="TableText"/>
              <w:rPr>
                <w:b/>
                <w:bCs/>
              </w:rPr>
            </w:pPr>
            <w:r w:rsidRPr="008F378C">
              <w:rPr>
                <w:b/>
                <w:bCs/>
              </w:rPr>
              <w:t>Supplier</w:t>
            </w:r>
          </w:p>
        </w:tc>
        <w:tc>
          <w:tcPr>
            <w:tcW w:w="1542" w:type="dxa"/>
          </w:tcPr>
          <w:p w14:paraId="521A58BA" w14:textId="77777777" w:rsidR="00755CF2" w:rsidRPr="008F378C" w:rsidRDefault="00755CF2" w:rsidP="00874D92">
            <w:pPr>
              <w:pStyle w:val="TableText"/>
              <w:rPr>
                <w:b/>
                <w:bCs/>
              </w:rPr>
            </w:pPr>
            <w:r w:rsidRPr="008F378C">
              <w:rPr>
                <w:b/>
                <w:bCs/>
              </w:rPr>
              <w:t>Price</w:t>
            </w:r>
          </w:p>
        </w:tc>
      </w:tr>
      <w:tr w:rsidR="00755CF2" w14:paraId="195DB47D" w14:textId="77777777" w:rsidTr="00874D92">
        <w:trPr>
          <w:trHeight w:val="94"/>
        </w:trPr>
        <w:tc>
          <w:tcPr>
            <w:tcW w:w="1818" w:type="dxa"/>
            <w:vMerge w:val="restart"/>
          </w:tcPr>
          <w:p w14:paraId="18DEF9F8" w14:textId="77777777" w:rsidR="00755CF2" w:rsidRDefault="00755CF2" w:rsidP="00874D92">
            <w:pPr>
              <w:pStyle w:val="TableText"/>
            </w:pPr>
            <w:r w:rsidRPr="007C20BE">
              <w:t>Factor VIII (recombinant - imported)</w:t>
            </w:r>
          </w:p>
          <w:p w14:paraId="3D286D8B" w14:textId="77777777" w:rsidR="00755CF2" w:rsidRDefault="00755CF2" w:rsidP="00874D92">
            <w:pPr>
              <w:pStyle w:val="TableText"/>
            </w:pPr>
            <w:r>
              <w:t>Standard half-life</w:t>
            </w:r>
          </w:p>
        </w:tc>
        <w:tc>
          <w:tcPr>
            <w:tcW w:w="1748" w:type="dxa"/>
            <w:vMerge w:val="restart"/>
          </w:tcPr>
          <w:p w14:paraId="52FF4E27" w14:textId="77777777" w:rsidR="00755CF2" w:rsidRDefault="00755CF2" w:rsidP="00874D92">
            <w:pPr>
              <w:pStyle w:val="TableText"/>
            </w:pPr>
            <w:proofErr w:type="spellStart"/>
            <w:r w:rsidRPr="007C20BE">
              <w:t>Advate</w:t>
            </w:r>
            <w:proofErr w:type="spellEnd"/>
          </w:p>
        </w:tc>
        <w:tc>
          <w:tcPr>
            <w:tcW w:w="2006" w:type="dxa"/>
          </w:tcPr>
          <w:p w14:paraId="27661426" w14:textId="77777777" w:rsidR="00755CF2" w:rsidRDefault="00755CF2" w:rsidP="00874D92">
            <w:pPr>
              <w:pStyle w:val="TableText"/>
            </w:pPr>
            <w:r>
              <w:t>250 IU</w:t>
            </w:r>
          </w:p>
        </w:tc>
        <w:tc>
          <w:tcPr>
            <w:tcW w:w="1542" w:type="dxa"/>
            <w:vMerge w:val="restart"/>
          </w:tcPr>
          <w:p w14:paraId="121FB173" w14:textId="77777777" w:rsidR="00755CF2" w:rsidRDefault="00755CF2" w:rsidP="00874D92">
            <w:pPr>
              <w:pStyle w:val="TableText"/>
            </w:pPr>
            <w:r>
              <w:t>Takeda Pharmaceuticals Australia</w:t>
            </w:r>
          </w:p>
        </w:tc>
        <w:tc>
          <w:tcPr>
            <w:tcW w:w="1542" w:type="dxa"/>
            <w:vMerge w:val="restart"/>
          </w:tcPr>
          <w:p w14:paraId="64E752BB" w14:textId="77777777" w:rsidR="00755CF2" w:rsidRDefault="00755CF2" w:rsidP="00874D92">
            <w:pPr>
              <w:pStyle w:val="TableText"/>
            </w:pPr>
            <w:r>
              <w:t>#</w:t>
            </w:r>
          </w:p>
        </w:tc>
      </w:tr>
      <w:tr w:rsidR="00755CF2" w14:paraId="7C5ED2AA" w14:textId="77777777" w:rsidTr="00874D92">
        <w:trPr>
          <w:trHeight w:val="94"/>
        </w:trPr>
        <w:tc>
          <w:tcPr>
            <w:tcW w:w="1818" w:type="dxa"/>
            <w:vMerge/>
          </w:tcPr>
          <w:p w14:paraId="3AE1F01C" w14:textId="77777777" w:rsidR="00755CF2" w:rsidRPr="007C20BE" w:rsidRDefault="00755CF2" w:rsidP="00874D92">
            <w:pPr>
              <w:pStyle w:val="TableText"/>
            </w:pPr>
          </w:p>
        </w:tc>
        <w:tc>
          <w:tcPr>
            <w:tcW w:w="1748" w:type="dxa"/>
            <w:vMerge/>
          </w:tcPr>
          <w:p w14:paraId="08C52DB4" w14:textId="77777777" w:rsidR="00755CF2" w:rsidRPr="007C20BE" w:rsidRDefault="00755CF2" w:rsidP="00874D92">
            <w:pPr>
              <w:pStyle w:val="TableText"/>
            </w:pPr>
          </w:p>
        </w:tc>
        <w:tc>
          <w:tcPr>
            <w:tcW w:w="2006" w:type="dxa"/>
          </w:tcPr>
          <w:p w14:paraId="0F770977" w14:textId="77777777" w:rsidR="00755CF2" w:rsidRDefault="00755CF2" w:rsidP="00874D92">
            <w:pPr>
              <w:pStyle w:val="TableText"/>
            </w:pPr>
            <w:r>
              <w:t>500 IU</w:t>
            </w:r>
          </w:p>
        </w:tc>
        <w:tc>
          <w:tcPr>
            <w:tcW w:w="1542" w:type="dxa"/>
            <w:vMerge/>
          </w:tcPr>
          <w:p w14:paraId="64B2E11C" w14:textId="77777777" w:rsidR="00755CF2" w:rsidRDefault="00755CF2" w:rsidP="00874D92">
            <w:pPr>
              <w:pStyle w:val="TableText"/>
            </w:pPr>
          </w:p>
        </w:tc>
        <w:tc>
          <w:tcPr>
            <w:tcW w:w="1542" w:type="dxa"/>
            <w:vMerge/>
          </w:tcPr>
          <w:p w14:paraId="3D72E8EE" w14:textId="77777777" w:rsidR="00755CF2" w:rsidRDefault="00755CF2" w:rsidP="00874D92">
            <w:pPr>
              <w:pStyle w:val="TableText"/>
            </w:pPr>
          </w:p>
        </w:tc>
      </w:tr>
      <w:tr w:rsidR="00755CF2" w14:paraId="3B9C1022" w14:textId="77777777" w:rsidTr="00874D92">
        <w:trPr>
          <w:trHeight w:val="94"/>
        </w:trPr>
        <w:tc>
          <w:tcPr>
            <w:tcW w:w="1818" w:type="dxa"/>
            <w:vMerge/>
          </w:tcPr>
          <w:p w14:paraId="5CC4CCA6" w14:textId="77777777" w:rsidR="00755CF2" w:rsidRPr="007C20BE" w:rsidRDefault="00755CF2" w:rsidP="00874D92">
            <w:pPr>
              <w:pStyle w:val="TableText"/>
            </w:pPr>
          </w:p>
        </w:tc>
        <w:tc>
          <w:tcPr>
            <w:tcW w:w="1748" w:type="dxa"/>
            <w:vMerge/>
          </w:tcPr>
          <w:p w14:paraId="04EBF71E" w14:textId="77777777" w:rsidR="00755CF2" w:rsidRPr="007C20BE" w:rsidRDefault="00755CF2" w:rsidP="00874D92">
            <w:pPr>
              <w:pStyle w:val="TableText"/>
            </w:pPr>
          </w:p>
        </w:tc>
        <w:tc>
          <w:tcPr>
            <w:tcW w:w="2006" w:type="dxa"/>
          </w:tcPr>
          <w:p w14:paraId="6B73E235" w14:textId="77777777" w:rsidR="00755CF2" w:rsidRDefault="00755CF2" w:rsidP="00874D92">
            <w:pPr>
              <w:pStyle w:val="TableText"/>
            </w:pPr>
            <w:r>
              <w:t>1000 IU</w:t>
            </w:r>
          </w:p>
        </w:tc>
        <w:tc>
          <w:tcPr>
            <w:tcW w:w="1542" w:type="dxa"/>
            <w:vMerge/>
          </w:tcPr>
          <w:p w14:paraId="57BA00D1" w14:textId="77777777" w:rsidR="00755CF2" w:rsidRDefault="00755CF2" w:rsidP="00874D92">
            <w:pPr>
              <w:pStyle w:val="TableText"/>
            </w:pPr>
          </w:p>
        </w:tc>
        <w:tc>
          <w:tcPr>
            <w:tcW w:w="1542" w:type="dxa"/>
            <w:vMerge/>
          </w:tcPr>
          <w:p w14:paraId="15BE2B9E" w14:textId="77777777" w:rsidR="00755CF2" w:rsidRDefault="00755CF2" w:rsidP="00874D92">
            <w:pPr>
              <w:pStyle w:val="TableText"/>
            </w:pPr>
          </w:p>
        </w:tc>
      </w:tr>
      <w:tr w:rsidR="00755CF2" w14:paraId="0884870C" w14:textId="77777777" w:rsidTr="00874D92">
        <w:trPr>
          <w:trHeight w:val="94"/>
        </w:trPr>
        <w:tc>
          <w:tcPr>
            <w:tcW w:w="1818" w:type="dxa"/>
            <w:vMerge/>
          </w:tcPr>
          <w:p w14:paraId="6D23C9FB" w14:textId="77777777" w:rsidR="00755CF2" w:rsidRPr="007C20BE" w:rsidRDefault="00755CF2" w:rsidP="00874D92">
            <w:pPr>
              <w:pStyle w:val="TableText"/>
            </w:pPr>
          </w:p>
        </w:tc>
        <w:tc>
          <w:tcPr>
            <w:tcW w:w="1748" w:type="dxa"/>
            <w:vMerge/>
          </w:tcPr>
          <w:p w14:paraId="11089607" w14:textId="77777777" w:rsidR="00755CF2" w:rsidRPr="007C20BE" w:rsidRDefault="00755CF2" w:rsidP="00874D92">
            <w:pPr>
              <w:pStyle w:val="TableText"/>
            </w:pPr>
          </w:p>
        </w:tc>
        <w:tc>
          <w:tcPr>
            <w:tcW w:w="2006" w:type="dxa"/>
          </w:tcPr>
          <w:p w14:paraId="11703721" w14:textId="77777777" w:rsidR="00755CF2" w:rsidRDefault="00755CF2" w:rsidP="00874D92">
            <w:pPr>
              <w:pStyle w:val="TableText"/>
            </w:pPr>
            <w:r>
              <w:t>1500 IU</w:t>
            </w:r>
          </w:p>
        </w:tc>
        <w:tc>
          <w:tcPr>
            <w:tcW w:w="1542" w:type="dxa"/>
            <w:vMerge/>
          </w:tcPr>
          <w:p w14:paraId="18FFA364" w14:textId="77777777" w:rsidR="00755CF2" w:rsidRDefault="00755CF2" w:rsidP="00874D92">
            <w:pPr>
              <w:pStyle w:val="TableText"/>
            </w:pPr>
          </w:p>
        </w:tc>
        <w:tc>
          <w:tcPr>
            <w:tcW w:w="1542" w:type="dxa"/>
            <w:vMerge/>
          </w:tcPr>
          <w:p w14:paraId="222BE1DC" w14:textId="77777777" w:rsidR="00755CF2" w:rsidRDefault="00755CF2" w:rsidP="00874D92">
            <w:pPr>
              <w:pStyle w:val="TableText"/>
            </w:pPr>
          </w:p>
        </w:tc>
      </w:tr>
      <w:tr w:rsidR="00755CF2" w14:paraId="3EB91961" w14:textId="77777777" w:rsidTr="00874D92">
        <w:trPr>
          <w:trHeight w:val="94"/>
        </w:trPr>
        <w:tc>
          <w:tcPr>
            <w:tcW w:w="1818" w:type="dxa"/>
            <w:vMerge/>
          </w:tcPr>
          <w:p w14:paraId="5F3D8DD5" w14:textId="77777777" w:rsidR="00755CF2" w:rsidRPr="007C20BE" w:rsidRDefault="00755CF2" w:rsidP="00874D92">
            <w:pPr>
              <w:pStyle w:val="TableText"/>
            </w:pPr>
          </w:p>
        </w:tc>
        <w:tc>
          <w:tcPr>
            <w:tcW w:w="1748" w:type="dxa"/>
            <w:vMerge/>
          </w:tcPr>
          <w:p w14:paraId="5777003D" w14:textId="77777777" w:rsidR="00755CF2" w:rsidRPr="007C20BE" w:rsidRDefault="00755CF2" w:rsidP="00874D92">
            <w:pPr>
              <w:pStyle w:val="TableText"/>
            </w:pPr>
          </w:p>
        </w:tc>
        <w:tc>
          <w:tcPr>
            <w:tcW w:w="2006" w:type="dxa"/>
          </w:tcPr>
          <w:p w14:paraId="0B511887" w14:textId="77777777" w:rsidR="00755CF2" w:rsidRDefault="00755CF2" w:rsidP="00874D92">
            <w:pPr>
              <w:pStyle w:val="TableText"/>
            </w:pPr>
            <w:r>
              <w:t>2000 IU</w:t>
            </w:r>
          </w:p>
        </w:tc>
        <w:tc>
          <w:tcPr>
            <w:tcW w:w="1542" w:type="dxa"/>
            <w:vMerge/>
          </w:tcPr>
          <w:p w14:paraId="4126A9E4" w14:textId="77777777" w:rsidR="00755CF2" w:rsidRDefault="00755CF2" w:rsidP="00874D92">
            <w:pPr>
              <w:pStyle w:val="TableText"/>
            </w:pPr>
          </w:p>
        </w:tc>
        <w:tc>
          <w:tcPr>
            <w:tcW w:w="1542" w:type="dxa"/>
            <w:vMerge/>
          </w:tcPr>
          <w:p w14:paraId="0350682C" w14:textId="77777777" w:rsidR="00755CF2" w:rsidRDefault="00755CF2" w:rsidP="00874D92">
            <w:pPr>
              <w:pStyle w:val="TableText"/>
            </w:pPr>
          </w:p>
        </w:tc>
      </w:tr>
      <w:tr w:rsidR="00755CF2" w14:paraId="3E4D6141" w14:textId="77777777" w:rsidTr="00874D92">
        <w:trPr>
          <w:trHeight w:val="94"/>
        </w:trPr>
        <w:tc>
          <w:tcPr>
            <w:tcW w:w="1818" w:type="dxa"/>
            <w:vMerge/>
          </w:tcPr>
          <w:p w14:paraId="5E0F7D53" w14:textId="77777777" w:rsidR="00755CF2" w:rsidRPr="007C20BE" w:rsidRDefault="00755CF2" w:rsidP="00874D92">
            <w:pPr>
              <w:pStyle w:val="TableText"/>
            </w:pPr>
          </w:p>
        </w:tc>
        <w:tc>
          <w:tcPr>
            <w:tcW w:w="1748" w:type="dxa"/>
            <w:vMerge/>
          </w:tcPr>
          <w:p w14:paraId="1347B6E4" w14:textId="77777777" w:rsidR="00755CF2" w:rsidRPr="007C20BE" w:rsidRDefault="00755CF2" w:rsidP="00874D92">
            <w:pPr>
              <w:pStyle w:val="TableText"/>
            </w:pPr>
          </w:p>
        </w:tc>
        <w:tc>
          <w:tcPr>
            <w:tcW w:w="2006" w:type="dxa"/>
          </w:tcPr>
          <w:p w14:paraId="41400538" w14:textId="77777777" w:rsidR="00755CF2" w:rsidRDefault="00755CF2" w:rsidP="00874D92">
            <w:pPr>
              <w:pStyle w:val="TableText"/>
            </w:pPr>
            <w:r>
              <w:t>3000 IU</w:t>
            </w:r>
          </w:p>
        </w:tc>
        <w:tc>
          <w:tcPr>
            <w:tcW w:w="1542" w:type="dxa"/>
            <w:vMerge/>
          </w:tcPr>
          <w:p w14:paraId="50151E9E" w14:textId="77777777" w:rsidR="00755CF2" w:rsidRDefault="00755CF2" w:rsidP="00874D92">
            <w:pPr>
              <w:pStyle w:val="TableText"/>
            </w:pPr>
          </w:p>
        </w:tc>
        <w:tc>
          <w:tcPr>
            <w:tcW w:w="1542" w:type="dxa"/>
            <w:vMerge/>
          </w:tcPr>
          <w:p w14:paraId="5544751B" w14:textId="77777777" w:rsidR="00755CF2" w:rsidRDefault="00755CF2" w:rsidP="00874D92">
            <w:pPr>
              <w:pStyle w:val="TableText"/>
            </w:pPr>
          </w:p>
        </w:tc>
      </w:tr>
      <w:tr w:rsidR="00755CF2" w14:paraId="13D77A66" w14:textId="77777777" w:rsidTr="00874D92">
        <w:trPr>
          <w:trHeight w:val="116"/>
        </w:trPr>
        <w:tc>
          <w:tcPr>
            <w:tcW w:w="1818" w:type="dxa"/>
            <w:vMerge w:val="restart"/>
          </w:tcPr>
          <w:p w14:paraId="3998C94A" w14:textId="77777777" w:rsidR="00755CF2" w:rsidRPr="00F12CAD" w:rsidRDefault="00755CF2" w:rsidP="00874D92">
            <w:pPr>
              <w:pStyle w:val="TableText"/>
            </w:pPr>
            <w:r w:rsidRPr="00F12CAD">
              <w:t>Factor VIII (recombinant - imported)</w:t>
            </w:r>
          </w:p>
          <w:p w14:paraId="356EEB15" w14:textId="77777777" w:rsidR="00755CF2" w:rsidRPr="00F12CAD" w:rsidRDefault="00755CF2" w:rsidP="00874D92">
            <w:pPr>
              <w:pStyle w:val="TableText"/>
            </w:pPr>
            <w:r w:rsidRPr="00F12CAD">
              <w:t>Extended half</w:t>
            </w:r>
            <w:r>
              <w:t>-</w:t>
            </w:r>
            <w:r w:rsidRPr="00F12CAD">
              <w:t>life</w:t>
            </w:r>
          </w:p>
        </w:tc>
        <w:tc>
          <w:tcPr>
            <w:tcW w:w="1748" w:type="dxa"/>
            <w:vMerge w:val="restart"/>
          </w:tcPr>
          <w:p w14:paraId="7B3D5E3D" w14:textId="77777777" w:rsidR="00755CF2" w:rsidRPr="00F12CAD" w:rsidRDefault="00755CF2" w:rsidP="00874D92">
            <w:pPr>
              <w:pStyle w:val="TableText"/>
            </w:pPr>
            <w:proofErr w:type="spellStart"/>
            <w:r w:rsidRPr="00F12CAD">
              <w:t>Adynovate</w:t>
            </w:r>
            <w:proofErr w:type="spellEnd"/>
          </w:p>
        </w:tc>
        <w:tc>
          <w:tcPr>
            <w:tcW w:w="2006" w:type="dxa"/>
          </w:tcPr>
          <w:p w14:paraId="7C5553A6" w14:textId="77777777" w:rsidR="00755CF2" w:rsidRPr="00F12CAD" w:rsidRDefault="00755CF2" w:rsidP="00874D92">
            <w:pPr>
              <w:pStyle w:val="TableText"/>
            </w:pPr>
            <w:r w:rsidRPr="00F12CAD">
              <w:t>500 IU</w:t>
            </w:r>
          </w:p>
        </w:tc>
        <w:tc>
          <w:tcPr>
            <w:tcW w:w="1542" w:type="dxa"/>
            <w:vMerge w:val="restart"/>
          </w:tcPr>
          <w:p w14:paraId="7077137E" w14:textId="77777777" w:rsidR="00755CF2" w:rsidRPr="00F12CAD" w:rsidRDefault="00755CF2" w:rsidP="00874D92">
            <w:pPr>
              <w:pStyle w:val="TableText"/>
            </w:pPr>
            <w:r w:rsidRPr="00F12CAD">
              <w:t>Takeda Pharmaceuticals Australia</w:t>
            </w:r>
          </w:p>
        </w:tc>
        <w:tc>
          <w:tcPr>
            <w:tcW w:w="1542" w:type="dxa"/>
            <w:vMerge w:val="restart"/>
          </w:tcPr>
          <w:p w14:paraId="2333C349" w14:textId="77777777" w:rsidR="00755CF2" w:rsidRPr="00F12CAD" w:rsidRDefault="00755CF2" w:rsidP="00874D92">
            <w:pPr>
              <w:pStyle w:val="TableText"/>
            </w:pPr>
            <w:r w:rsidRPr="00F12CAD">
              <w:t>#</w:t>
            </w:r>
          </w:p>
        </w:tc>
      </w:tr>
      <w:tr w:rsidR="00755CF2" w14:paraId="71A239E9" w14:textId="77777777" w:rsidTr="00874D92">
        <w:trPr>
          <w:trHeight w:val="112"/>
        </w:trPr>
        <w:tc>
          <w:tcPr>
            <w:tcW w:w="1818" w:type="dxa"/>
            <w:vMerge/>
          </w:tcPr>
          <w:p w14:paraId="4C7F5B58" w14:textId="77777777" w:rsidR="00755CF2" w:rsidRPr="00F12CAD" w:rsidRDefault="00755CF2" w:rsidP="00874D92">
            <w:pPr>
              <w:pStyle w:val="TableText"/>
            </w:pPr>
          </w:p>
        </w:tc>
        <w:tc>
          <w:tcPr>
            <w:tcW w:w="1748" w:type="dxa"/>
            <w:vMerge/>
          </w:tcPr>
          <w:p w14:paraId="4CE012F7" w14:textId="77777777" w:rsidR="00755CF2" w:rsidRPr="00F12CAD" w:rsidRDefault="00755CF2" w:rsidP="00874D92">
            <w:pPr>
              <w:pStyle w:val="TableText"/>
            </w:pPr>
          </w:p>
        </w:tc>
        <w:tc>
          <w:tcPr>
            <w:tcW w:w="2006" w:type="dxa"/>
          </w:tcPr>
          <w:p w14:paraId="4B4458F5" w14:textId="77777777" w:rsidR="00755CF2" w:rsidRPr="00F12CAD" w:rsidRDefault="00755CF2" w:rsidP="00874D92">
            <w:pPr>
              <w:pStyle w:val="TableText"/>
            </w:pPr>
            <w:r w:rsidRPr="00F12CAD">
              <w:t>1000 IU</w:t>
            </w:r>
          </w:p>
        </w:tc>
        <w:tc>
          <w:tcPr>
            <w:tcW w:w="1542" w:type="dxa"/>
            <w:vMerge/>
          </w:tcPr>
          <w:p w14:paraId="181596EF" w14:textId="77777777" w:rsidR="00755CF2" w:rsidRPr="00F12CAD" w:rsidRDefault="00755CF2" w:rsidP="00874D92">
            <w:pPr>
              <w:pStyle w:val="TableText"/>
            </w:pPr>
          </w:p>
        </w:tc>
        <w:tc>
          <w:tcPr>
            <w:tcW w:w="1542" w:type="dxa"/>
            <w:vMerge/>
          </w:tcPr>
          <w:p w14:paraId="0F4BFFD5" w14:textId="77777777" w:rsidR="00755CF2" w:rsidRPr="00F12CAD" w:rsidRDefault="00755CF2" w:rsidP="00874D92">
            <w:pPr>
              <w:pStyle w:val="TableText"/>
            </w:pPr>
          </w:p>
        </w:tc>
      </w:tr>
      <w:tr w:rsidR="00755CF2" w14:paraId="61AEE634" w14:textId="77777777" w:rsidTr="00874D92">
        <w:trPr>
          <w:trHeight w:val="112"/>
        </w:trPr>
        <w:tc>
          <w:tcPr>
            <w:tcW w:w="1818" w:type="dxa"/>
            <w:vMerge/>
          </w:tcPr>
          <w:p w14:paraId="77948DF0" w14:textId="77777777" w:rsidR="00755CF2" w:rsidRPr="00F12CAD" w:rsidRDefault="00755CF2" w:rsidP="00874D92">
            <w:pPr>
              <w:pStyle w:val="TableText"/>
            </w:pPr>
          </w:p>
        </w:tc>
        <w:tc>
          <w:tcPr>
            <w:tcW w:w="1748" w:type="dxa"/>
            <w:vMerge/>
          </w:tcPr>
          <w:p w14:paraId="1916186A" w14:textId="77777777" w:rsidR="00755CF2" w:rsidRPr="00F12CAD" w:rsidRDefault="00755CF2" w:rsidP="00874D92">
            <w:pPr>
              <w:pStyle w:val="TableText"/>
            </w:pPr>
          </w:p>
        </w:tc>
        <w:tc>
          <w:tcPr>
            <w:tcW w:w="2006" w:type="dxa"/>
          </w:tcPr>
          <w:p w14:paraId="7FB36775" w14:textId="77777777" w:rsidR="00755CF2" w:rsidRPr="00F12CAD" w:rsidRDefault="00755CF2" w:rsidP="00874D92">
            <w:pPr>
              <w:pStyle w:val="TableText"/>
            </w:pPr>
            <w:r w:rsidRPr="00F12CAD">
              <w:t>1500 IU</w:t>
            </w:r>
          </w:p>
        </w:tc>
        <w:tc>
          <w:tcPr>
            <w:tcW w:w="1542" w:type="dxa"/>
            <w:vMerge/>
          </w:tcPr>
          <w:p w14:paraId="2094E240" w14:textId="77777777" w:rsidR="00755CF2" w:rsidRPr="00F12CAD" w:rsidRDefault="00755CF2" w:rsidP="00874D92">
            <w:pPr>
              <w:pStyle w:val="TableText"/>
            </w:pPr>
          </w:p>
        </w:tc>
        <w:tc>
          <w:tcPr>
            <w:tcW w:w="1542" w:type="dxa"/>
            <w:vMerge/>
          </w:tcPr>
          <w:p w14:paraId="0AB876B6" w14:textId="77777777" w:rsidR="00755CF2" w:rsidRPr="00F12CAD" w:rsidRDefault="00755CF2" w:rsidP="00874D92">
            <w:pPr>
              <w:pStyle w:val="TableText"/>
            </w:pPr>
          </w:p>
        </w:tc>
      </w:tr>
      <w:tr w:rsidR="00755CF2" w14:paraId="161E5E1A" w14:textId="77777777" w:rsidTr="00874D92">
        <w:trPr>
          <w:trHeight w:val="112"/>
        </w:trPr>
        <w:tc>
          <w:tcPr>
            <w:tcW w:w="1818" w:type="dxa"/>
            <w:vMerge/>
          </w:tcPr>
          <w:p w14:paraId="0DC23AAD" w14:textId="77777777" w:rsidR="00755CF2" w:rsidRPr="00F12CAD" w:rsidRDefault="00755CF2" w:rsidP="00874D92">
            <w:pPr>
              <w:pStyle w:val="TableText"/>
            </w:pPr>
          </w:p>
        </w:tc>
        <w:tc>
          <w:tcPr>
            <w:tcW w:w="1748" w:type="dxa"/>
            <w:vMerge/>
          </w:tcPr>
          <w:p w14:paraId="6F51B3E5" w14:textId="77777777" w:rsidR="00755CF2" w:rsidRPr="00F12CAD" w:rsidRDefault="00755CF2" w:rsidP="00874D92">
            <w:pPr>
              <w:pStyle w:val="TableText"/>
            </w:pPr>
          </w:p>
        </w:tc>
        <w:tc>
          <w:tcPr>
            <w:tcW w:w="2006" w:type="dxa"/>
          </w:tcPr>
          <w:p w14:paraId="2C6F491C" w14:textId="77777777" w:rsidR="00755CF2" w:rsidRPr="00F12CAD" w:rsidRDefault="00755CF2" w:rsidP="00874D92">
            <w:pPr>
              <w:pStyle w:val="TableText"/>
            </w:pPr>
            <w:r w:rsidRPr="00F12CAD">
              <w:t>2000 IU</w:t>
            </w:r>
          </w:p>
        </w:tc>
        <w:tc>
          <w:tcPr>
            <w:tcW w:w="1542" w:type="dxa"/>
            <w:vMerge/>
          </w:tcPr>
          <w:p w14:paraId="445486D2" w14:textId="77777777" w:rsidR="00755CF2" w:rsidRPr="00F12CAD" w:rsidRDefault="00755CF2" w:rsidP="00874D92">
            <w:pPr>
              <w:pStyle w:val="TableText"/>
            </w:pPr>
          </w:p>
        </w:tc>
        <w:tc>
          <w:tcPr>
            <w:tcW w:w="1542" w:type="dxa"/>
            <w:vMerge/>
          </w:tcPr>
          <w:p w14:paraId="79C50359" w14:textId="77777777" w:rsidR="00755CF2" w:rsidRPr="00F12CAD" w:rsidRDefault="00755CF2" w:rsidP="00874D92">
            <w:pPr>
              <w:pStyle w:val="TableText"/>
            </w:pPr>
          </w:p>
        </w:tc>
      </w:tr>
      <w:tr w:rsidR="00755CF2" w14:paraId="5FABADB6" w14:textId="77777777" w:rsidTr="00874D92">
        <w:trPr>
          <w:trHeight w:val="112"/>
        </w:trPr>
        <w:tc>
          <w:tcPr>
            <w:tcW w:w="1818" w:type="dxa"/>
            <w:vMerge/>
          </w:tcPr>
          <w:p w14:paraId="260CCD29" w14:textId="77777777" w:rsidR="00755CF2" w:rsidRPr="00F12CAD" w:rsidRDefault="00755CF2" w:rsidP="00874D92">
            <w:pPr>
              <w:pStyle w:val="TableText"/>
            </w:pPr>
          </w:p>
        </w:tc>
        <w:tc>
          <w:tcPr>
            <w:tcW w:w="1748" w:type="dxa"/>
            <w:vMerge/>
          </w:tcPr>
          <w:p w14:paraId="54275CD5" w14:textId="77777777" w:rsidR="00755CF2" w:rsidRPr="00F12CAD" w:rsidRDefault="00755CF2" w:rsidP="00874D92">
            <w:pPr>
              <w:pStyle w:val="TableText"/>
            </w:pPr>
          </w:p>
        </w:tc>
        <w:tc>
          <w:tcPr>
            <w:tcW w:w="2006" w:type="dxa"/>
          </w:tcPr>
          <w:p w14:paraId="05214767" w14:textId="77777777" w:rsidR="00755CF2" w:rsidRPr="00F12CAD" w:rsidRDefault="00755CF2" w:rsidP="00874D92">
            <w:pPr>
              <w:pStyle w:val="TableText"/>
            </w:pPr>
            <w:r w:rsidRPr="00F12CAD">
              <w:t>3000 IU</w:t>
            </w:r>
          </w:p>
        </w:tc>
        <w:tc>
          <w:tcPr>
            <w:tcW w:w="1542" w:type="dxa"/>
            <w:vMerge/>
          </w:tcPr>
          <w:p w14:paraId="68BCDCBC" w14:textId="77777777" w:rsidR="00755CF2" w:rsidRPr="00F12CAD" w:rsidRDefault="00755CF2" w:rsidP="00874D92">
            <w:pPr>
              <w:pStyle w:val="TableText"/>
            </w:pPr>
          </w:p>
        </w:tc>
        <w:tc>
          <w:tcPr>
            <w:tcW w:w="1542" w:type="dxa"/>
            <w:vMerge/>
          </w:tcPr>
          <w:p w14:paraId="306CF97B" w14:textId="77777777" w:rsidR="00755CF2" w:rsidRPr="00F12CAD" w:rsidRDefault="00755CF2" w:rsidP="00874D92">
            <w:pPr>
              <w:pStyle w:val="TableText"/>
            </w:pPr>
          </w:p>
        </w:tc>
      </w:tr>
      <w:tr w:rsidR="00755CF2" w14:paraId="0D978CA0" w14:textId="77777777" w:rsidTr="00874D92">
        <w:trPr>
          <w:trHeight w:val="116"/>
        </w:trPr>
        <w:tc>
          <w:tcPr>
            <w:tcW w:w="1818" w:type="dxa"/>
            <w:vMerge w:val="restart"/>
          </w:tcPr>
          <w:p w14:paraId="58340AA3" w14:textId="77777777" w:rsidR="00755CF2" w:rsidRDefault="00755CF2" w:rsidP="00874D92">
            <w:pPr>
              <w:pStyle w:val="TableText"/>
            </w:pPr>
            <w:r w:rsidRPr="00F12CAD">
              <w:t xml:space="preserve">Factor VIII (recombinant - imported) </w:t>
            </w:r>
          </w:p>
          <w:p w14:paraId="5F890227" w14:textId="77777777" w:rsidR="00755CF2" w:rsidRPr="00F12CAD" w:rsidRDefault="00755CF2" w:rsidP="00874D92">
            <w:pPr>
              <w:pStyle w:val="TableText"/>
            </w:pPr>
            <w:r w:rsidRPr="00F12CAD">
              <w:t>Extended half</w:t>
            </w:r>
            <w:r>
              <w:t>-</w:t>
            </w:r>
            <w:r w:rsidRPr="00F12CAD">
              <w:t>life</w:t>
            </w:r>
          </w:p>
        </w:tc>
        <w:tc>
          <w:tcPr>
            <w:tcW w:w="1748" w:type="dxa"/>
            <w:vMerge w:val="restart"/>
          </w:tcPr>
          <w:p w14:paraId="2624846F" w14:textId="77777777" w:rsidR="00755CF2" w:rsidRPr="00F12CAD" w:rsidRDefault="00755CF2" w:rsidP="00874D92">
            <w:pPr>
              <w:pStyle w:val="TableText"/>
            </w:pPr>
            <w:r w:rsidRPr="00F12CAD">
              <w:t>Eloctate</w:t>
            </w:r>
          </w:p>
        </w:tc>
        <w:tc>
          <w:tcPr>
            <w:tcW w:w="2006" w:type="dxa"/>
          </w:tcPr>
          <w:p w14:paraId="61F9703D" w14:textId="77777777" w:rsidR="00755CF2" w:rsidRPr="00F12CAD" w:rsidRDefault="00755CF2" w:rsidP="00874D92">
            <w:pPr>
              <w:pStyle w:val="TableText"/>
            </w:pPr>
            <w:r w:rsidRPr="00F12CAD">
              <w:t>250 IU</w:t>
            </w:r>
          </w:p>
        </w:tc>
        <w:tc>
          <w:tcPr>
            <w:tcW w:w="1542" w:type="dxa"/>
            <w:vMerge w:val="restart"/>
          </w:tcPr>
          <w:p w14:paraId="3953ACCD" w14:textId="77777777" w:rsidR="00755CF2" w:rsidRPr="00F12CAD" w:rsidRDefault="00755CF2" w:rsidP="00874D92">
            <w:pPr>
              <w:pStyle w:val="TableText"/>
            </w:pPr>
            <w:r w:rsidRPr="00F12CAD">
              <w:t>Sanofi-Aventis</w:t>
            </w:r>
          </w:p>
        </w:tc>
        <w:tc>
          <w:tcPr>
            <w:tcW w:w="1542" w:type="dxa"/>
            <w:vMerge w:val="restart"/>
          </w:tcPr>
          <w:p w14:paraId="5A1909BD" w14:textId="77777777" w:rsidR="00755CF2" w:rsidRPr="00F12CAD" w:rsidRDefault="00755CF2" w:rsidP="00874D92">
            <w:pPr>
              <w:pStyle w:val="TableText"/>
            </w:pPr>
            <w:r w:rsidRPr="00F12CAD">
              <w:t>#</w:t>
            </w:r>
          </w:p>
        </w:tc>
      </w:tr>
      <w:tr w:rsidR="00755CF2" w14:paraId="6B39A997" w14:textId="77777777" w:rsidTr="00874D92">
        <w:trPr>
          <w:trHeight w:val="112"/>
        </w:trPr>
        <w:tc>
          <w:tcPr>
            <w:tcW w:w="1818" w:type="dxa"/>
            <w:vMerge/>
          </w:tcPr>
          <w:p w14:paraId="09FA9E5C" w14:textId="77777777" w:rsidR="00755CF2" w:rsidRPr="007C20BE" w:rsidRDefault="00755CF2" w:rsidP="00874D92">
            <w:pPr>
              <w:pStyle w:val="TableText"/>
            </w:pPr>
          </w:p>
        </w:tc>
        <w:tc>
          <w:tcPr>
            <w:tcW w:w="1748" w:type="dxa"/>
            <w:vMerge/>
          </w:tcPr>
          <w:p w14:paraId="6E99E6CB" w14:textId="77777777" w:rsidR="00755CF2" w:rsidRPr="007C20BE" w:rsidRDefault="00755CF2" w:rsidP="00874D92">
            <w:pPr>
              <w:pStyle w:val="TableText"/>
            </w:pPr>
          </w:p>
        </w:tc>
        <w:tc>
          <w:tcPr>
            <w:tcW w:w="2006" w:type="dxa"/>
          </w:tcPr>
          <w:p w14:paraId="2137DC81" w14:textId="77777777" w:rsidR="00755CF2" w:rsidRDefault="00755CF2" w:rsidP="00874D92">
            <w:pPr>
              <w:pStyle w:val="TableText"/>
            </w:pPr>
            <w:r>
              <w:t>500 IU</w:t>
            </w:r>
          </w:p>
        </w:tc>
        <w:tc>
          <w:tcPr>
            <w:tcW w:w="1542" w:type="dxa"/>
            <w:vMerge/>
          </w:tcPr>
          <w:p w14:paraId="771303EC" w14:textId="77777777" w:rsidR="00755CF2" w:rsidRDefault="00755CF2" w:rsidP="00874D92">
            <w:pPr>
              <w:pStyle w:val="TableText"/>
            </w:pPr>
          </w:p>
        </w:tc>
        <w:tc>
          <w:tcPr>
            <w:tcW w:w="1542" w:type="dxa"/>
            <w:vMerge/>
          </w:tcPr>
          <w:p w14:paraId="2F8A6461" w14:textId="77777777" w:rsidR="00755CF2" w:rsidRDefault="00755CF2" w:rsidP="00874D92">
            <w:pPr>
              <w:pStyle w:val="TableText"/>
            </w:pPr>
          </w:p>
        </w:tc>
      </w:tr>
      <w:tr w:rsidR="00755CF2" w14:paraId="1944BC23" w14:textId="77777777" w:rsidTr="00874D92">
        <w:trPr>
          <w:trHeight w:val="112"/>
        </w:trPr>
        <w:tc>
          <w:tcPr>
            <w:tcW w:w="1818" w:type="dxa"/>
            <w:vMerge/>
          </w:tcPr>
          <w:p w14:paraId="1E2BE338" w14:textId="77777777" w:rsidR="00755CF2" w:rsidRPr="007C20BE" w:rsidRDefault="00755CF2" w:rsidP="00874D92">
            <w:pPr>
              <w:pStyle w:val="TableText"/>
            </w:pPr>
          </w:p>
        </w:tc>
        <w:tc>
          <w:tcPr>
            <w:tcW w:w="1748" w:type="dxa"/>
            <w:vMerge/>
          </w:tcPr>
          <w:p w14:paraId="14B89B69" w14:textId="77777777" w:rsidR="00755CF2" w:rsidRPr="007C20BE" w:rsidRDefault="00755CF2" w:rsidP="00874D92">
            <w:pPr>
              <w:pStyle w:val="TableText"/>
            </w:pPr>
          </w:p>
        </w:tc>
        <w:tc>
          <w:tcPr>
            <w:tcW w:w="2006" w:type="dxa"/>
          </w:tcPr>
          <w:p w14:paraId="092ECA3D" w14:textId="77777777" w:rsidR="00755CF2" w:rsidRDefault="00755CF2" w:rsidP="00874D92">
            <w:pPr>
              <w:pStyle w:val="TableText"/>
            </w:pPr>
            <w:r>
              <w:t>1000 IU</w:t>
            </w:r>
          </w:p>
        </w:tc>
        <w:tc>
          <w:tcPr>
            <w:tcW w:w="1542" w:type="dxa"/>
            <w:vMerge/>
          </w:tcPr>
          <w:p w14:paraId="63113763" w14:textId="77777777" w:rsidR="00755CF2" w:rsidRDefault="00755CF2" w:rsidP="00874D92">
            <w:pPr>
              <w:pStyle w:val="TableText"/>
            </w:pPr>
          </w:p>
        </w:tc>
        <w:tc>
          <w:tcPr>
            <w:tcW w:w="1542" w:type="dxa"/>
            <w:vMerge/>
          </w:tcPr>
          <w:p w14:paraId="2686B7C5" w14:textId="77777777" w:rsidR="00755CF2" w:rsidRDefault="00755CF2" w:rsidP="00874D92">
            <w:pPr>
              <w:pStyle w:val="TableText"/>
            </w:pPr>
          </w:p>
        </w:tc>
      </w:tr>
      <w:tr w:rsidR="00755CF2" w14:paraId="21DC5819" w14:textId="77777777" w:rsidTr="00874D92">
        <w:trPr>
          <w:trHeight w:val="112"/>
        </w:trPr>
        <w:tc>
          <w:tcPr>
            <w:tcW w:w="1818" w:type="dxa"/>
            <w:vMerge/>
          </w:tcPr>
          <w:p w14:paraId="7CF24DB3" w14:textId="77777777" w:rsidR="00755CF2" w:rsidRPr="007C20BE" w:rsidRDefault="00755CF2" w:rsidP="00874D92">
            <w:pPr>
              <w:pStyle w:val="TableText"/>
            </w:pPr>
          </w:p>
        </w:tc>
        <w:tc>
          <w:tcPr>
            <w:tcW w:w="1748" w:type="dxa"/>
            <w:vMerge/>
          </w:tcPr>
          <w:p w14:paraId="769BB4B3" w14:textId="77777777" w:rsidR="00755CF2" w:rsidRPr="007C20BE" w:rsidRDefault="00755CF2" w:rsidP="00874D92">
            <w:pPr>
              <w:pStyle w:val="TableText"/>
            </w:pPr>
          </w:p>
        </w:tc>
        <w:tc>
          <w:tcPr>
            <w:tcW w:w="2006" w:type="dxa"/>
          </w:tcPr>
          <w:p w14:paraId="4E702DCA" w14:textId="77777777" w:rsidR="00755CF2" w:rsidRDefault="00755CF2" w:rsidP="00874D92">
            <w:pPr>
              <w:pStyle w:val="TableText"/>
            </w:pPr>
            <w:r>
              <w:t>2000 IU</w:t>
            </w:r>
          </w:p>
        </w:tc>
        <w:tc>
          <w:tcPr>
            <w:tcW w:w="1542" w:type="dxa"/>
            <w:vMerge/>
          </w:tcPr>
          <w:p w14:paraId="4099747A" w14:textId="77777777" w:rsidR="00755CF2" w:rsidRDefault="00755CF2" w:rsidP="00874D92">
            <w:pPr>
              <w:pStyle w:val="TableText"/>
            </w:pPr>
          </w:p>
        </w:tc>
        <w:tc>
          <w:tcPr>
            <w:tcW w:w="1542" w:type="dxa"/>
            <w:vMerge/>
          </w:tcPr>
          <w:p w14:paraId="5A163AD8" w14:textId="77777777" w:rsidR="00755CF2" w:rsidRDefault="00755CF2" w:rsidP="00874D92">
            <w:pPr>
              <w:pStyle w:val="TableText"/>
            </w:pPr>
          </w:p>
        </w:tc>
      </w:tr>
      <w:tr w:rsidR="00755CF2" w14:paraId="7CAE763F" w14:textId="77777777" w:rsidTr="00874D92">
        <w:trPr>
          <w:trHeight w:val="112"/>
        </w:trPr>
        <w:tc>
          <w:tcPr>
            <w:tcW w:w="1818" w:type="dxa"/>
            <w:vMerge/>
          </w:tcPr>
          <w:p w14:paraId="1D2C7294" w14:textId="77777777" w:rsidR="00755CF2" w:rsidRPr="007C20BE" w:rsidRDefault="00755CF2" w:rsidP="00874D92">
            <w:pPr>
              <w:pStyle w:val="TableText"/>
            </w:pPr>
          </w:p>
        </w:tc>
        <w:tc>
          <w:tcPr>
            <w:tcW w:w="1748" w:type="dxa"/>
            <w:vMerge/>
          </w:tcPr>
          <w:p w14:paraId="4D3453C8" w14:textId="77777777" w:rsidR="00755CF2" w:rsidRPr="007C20BE" w:rsidRDefault="00755CF2" w:rsidP="00874D92">
            <w:pPr>
              <w:pStyle w:val="TableText"/>
            </w:pPr>
          </w:p>
        </w:tc>
        <w:tc>
          <w:tcPr>
            <w:tcW w:w="2006" w:type="dxa"/>
          </w:tcPr>
          <w:p w14:paraId="6B7F0C73" w14:textId="77777777" w:rsidR="00755CF2" w:rsidRDefault="00755CF2" w:rsidP="00874D92">
            <w:pPr>
              <w:pStyle w:val="TableText"/>
            </w:pPr>
            <w:r>
              <w:t>3000 IU</w:t>
            </w:r>
          </w:p>
        </w:tc>
        <w:tc>
          <w:tcPr>
            <w:tcW w:w="1542" w:type="dxa"/>
            <w:vMerge/>
          </w:tcPr>
          <w:p w14:paraId="040D8E18" w14:textId="77777777" w:rsidR="00755CF2" w:rsidRDefault="00755CF2" w:rsidP="00874D92">
            <w:pPr>
              <w:pStyle w:val="TableText"/>
            </w:pPr>
          </w:p>
        </w:tc>
        <w:tc>
          <w:tcPr>
            <w:tcW w:w="1542" w:type="dxa"/>
            <w:vMerge/>
          </w:tcPr>
          <w:p w14:paraId="1710DB01" w14:textId="77777777" w:rsidR="00755CF2" w:rsidRDefault="00755CF2" w:rsidP="00874D92">
            <w:pPr>
              <w:pStyle w:val="TableText"/>
            </w:pPr>
          </w:p>
        </w:tc>
      </w:tr>
      <w:tr w:rsidR="00755CF2" w14:paraId="7FF8899A" w14:textId="77777777" w:rsidTr="00874D92">
        <w:trPr>
          <w:trHeight w:val="192"/>
        </w:trPr>
        <w:tc>
          <w:tcPr>
            <w:tcW w:w="1818" w:type="dxa"/>
            <w:vMerge w:val="restart"/>
          </w:tcPr>
          <w:p w14:paraId="4BFB5AA1" w14:textId="77777777" w:rsidR="00755CF2" w:rsidRDefault="00755CF2" w:rsidP="00874D92">
            <w:pPr>
              <w:pStyle w:val="TableText"/>
            </w:pPr>
            <w:r w:rsidRPr="007C20BE">
              <w:t>Factor VIII</w:t>
            </w:r>
            <w:r>
              <w:t xml:space="preserve"> </w:t>
            </w:r>
          </w:p>
          <w:p w14:paraId="04D0A331" w14:textId="77777777" w:rsidR="00755CF2" w:rsidRDefault="00755CF2" w:rsidP="00874D92">
            <w:pPr>
              <w:pStyle w:val="TableText"/>
            </w:pPr>
            <w:r w:rsidRPr="007C20BE">
              <w:t>(</w:t>
            </w:r>
            <w:proofErr w:type="gramStart"/>
            <w:r w:rsidRPr="007C20BE">
              <w:t>plasma</w:t>
            </w:r>
            <w:proofErr w:type="gramEnd"/>
            <w:r>
              <w:t>-</w:t>
            </w:r>
            <w:r w:rsidRPr="007C20BE">
              <w:t>derived - domestic)</w:t>
            </w:r>
            <w:r>
              <w:t xml:space="preserve"> </w:t>
            </w:r>
          </w:p>
          <w:p w14:paraId="531133F7" w14:textId="77777777" w:rsidR="00755CF2" w:rsidRPr="007C20BE" w:rsidRDefault="00755CF2" w:rsidP="00874D92">
            <w:pPr>
              <w:pStyle w:val="TableText"/>
            </w:pPr>
            <w:r>
              <w:t>Standard half-life</w:t>
            </w:r>
          </w:p>
        </w:tc>
        <w:tc>
          <w:tcPr>
            <w:tcW w:w="1748" w:type="dxa"/>
            <w:vMerge w:val="restart"/>
          </w:tcPr>
          <w:p w14:paraId="5603682A" w14:textId="77777777" w:rsidR="00755CF2" w:rsidRPr="007C20BE" w:rsidRDefault="00755CF2" w:rsidP="00874D92">
            <w:pPr>
              <w:pStyle w:val="TableText"/>
            </w:pPr>
            <w:proofErr w:type="spellStart"/>
            <w:r w:rsidRPr="007C20BE">
              <w:t>Biostate</w:t>
            </w:r>
            <w:proofErr w:type="spellEnd"/>
          </w:p>
        </w:tc>
        <w:tc>
          <w:tcPr>
            <w:tcW w:w="2006" w:type="dxa"/>
          </w:tcPr>
          <w:p w14:paraId="5BC00080" w14:textId="77777777" w:rsidR="00755CF2" w:rsidRDefault="00755CF2" w:rsidP="00874D92">
            <w:pPr>
              <w:pStyle w:val="TableText"/>
            </w:pPr>
            <w:r w:rsidRPr="006D20BF">
              <w:t>250 IU</w:t>
            </w:r>
          </w:p>
        </w:tc>
        <w:tc>
          <w:tcPr>
            <w:tcW w:w="1542" w:type="dxa"/>
            <w:vMerge w:val="restart"/>
          </w:tcPr>
          <w:p w14:paraId="6FE02842" w14:textId="77777777" w:rsidR="00755CF2" w:rsidRDefault="00755CF2" w:rsidP="00874D92">
            <w:pPr>
              <w:pStyle w:val="TableText"/>
            </w:pPr>
            <w:r>
              <w:t>CSL Behring</w:t>
            </w:r>
          </w:p>
        </w:tc>
        <w:tc>
          <w:tcPr>
            <w:tcW w:w="1542" w:type="dxa"/>
          </w:tcPr>
          <w:p w14:paraId="05754C30" w14:textId="77777777" w:rsidR="00755CF2" w:rsidRPr="00FD2F3D" w:rsidRDefault="00755CF2" w:rsidP="00874D92">
            <w:pPr>
              <w:pStyle w:val="TableText"/>
            </w:pPr>
            <w:r w:rsidRPr="00FD2F3D">
              <w:t>$256.76*</w:t>
            </w:r>
          </w:p>
        </w:tc>
      </w:tr>
      <w:tr w:rsidR="00755CF2" w14:paraId="49A339FF" w14:textId="77777777" w:rsidTr="00874D92">
        <w:trPr>
          <w:trHeight w:val="192"/>
        </w:trPr>
        <w:tc>
          <w:tcPr>
            <w:tcW w:w="1818" w:type="dxa"/>
            <w:vMerge/>
          </w:tcPr>
          <w:p w14:paraId="7CC3D3AD" w14:textId="77777777" w:rsidR="00755CF2" w:rsidRPr="007C20BE" w:rsidRDefault="00755CF2" w:rsidP="00874D92">
            <w:pPr>
              <w:pStyle w:val="TableText"/>
            </w:pPr>
          </w:p>
        </w:tc>
        <w:tc>
          <w:tcPr>
            <w:tcW w:w="1748" w:type="dxa"/>
            <w:vMerge/>
          </w:tcPr>
          <w:p w14:paraId="7F9C8210" w14:textId="77777777" w:rsidR="00755CF2" w:rsidRPr="007C20BE" w:rsidRDefault="00755CF2" w:rsidP="00874D92">
            <w:pPr>
              <w:pStyle w:val="TableText"/>
            </w:pPr>
          </w:p>
        </w:tc>
        <w:tc>
          <w:tcPr>
            <w:tcW w:w="2006" w:type="dxa"/>
          </w:tcPr>
          <w:p w14:paraId="3236A782" w14:textId="77777777" w:rsidR="00755CF2" w:rsidRDefault="00755CF2" w:rsidP="00874D92">
            <w:pPr>
              <w:pStyle w:val="TableText"/>
            </w:pPr>
            <w:r w:rsidRPr="006D20BF">
              <w:t>500 IU</w:t>
            </w:r>
          </w:p>
        </w:tc>
        <w:tc>
          <w:tcPr>
            <w:tcW w:w="1542" w:type="dxa"/>
            <w:vMerge/>
          </w:tcPr>
          <w:p w14:paraId="75C4FE44" w14:textId="77777777" w:rsidR="00755CF2" w:rsidRDefault="00755CF2" w:rsidP="00874D92">
            <w:pPr>
              <w:pStyle w:val="TableText"/>
            </w:pPr>
          </w:p>
        </w:tc>
        <w:tc>
          <w:tcPr>
            <w:tcW w:w="1542" w:type="dxa"/>
          </w:tcPr>
          <w:p w14:paraId="215B60F4" w14:textId="77777777" w:rsidR="00755CF2" w:rsidRPr="00FD2F3D" w:rsidRDefault="00755CF2" w:rsidP="00874D92">
            <w:pPr>
              <w:pStyle w:val="TableText"/>
            </w:pPr>
            <w:r w:rsidRPr="00FD2F3D">
              <w:t>$513.54*</w:t>
            </w:r>
          </w:p>
        </w:tc>
      </w:tr>
      <w:tr w:rsidR="00755CF2" w14:paraId="795B1C46" w14:textId="77777777" w:rsidTr="00874D92">
        <w:trPr>
          <w:trHeight w:val="192"/>
        </w:trPr>
        <w:tc>
          <w:tcPr>
            <w:tcW w:w="1818" w:type="dxa"/>
            <w:vMerge/>
          </w:tcPr>
          <w:p w14:paraId="15F4BECF" w14:textId="77777777" w:rsidR="00755CF2" w:rsidRPr="007C20BE" w:rsidRDefault="00755CF2" w:rsidP="00874D92">
            <w:pPr>
              <w:pStyle w:val="TableText"/>
            </w:pPr>
          </w:p>
        </w:tc>
        <w:tc>
          <w:tcPr>
            <w:tcW w:w="1748" w:type="dxa"/>
            <w:vMerge/>
          </w:tcPr>
          <w:p w14:paraId="6948D680" w14:textId="77777777" w:rsidR="00755CF2" w:rsidRPr="007C20BE" w:rsidRDefault="00755CF2" w:rsidP="00874D92">
            <w:pPr>
              <w:pStyle w:val="TableText"/>
            </w:pPr>
          </w:p>
        </w:tc>
        <w:tc>
          <w:tcPr>
            <w:tcW w:w="2006" w:type="dxa"/>
          </w:tcPr>
          <w:p w14:paraId="2A59DB65" w14:textId="77777777" w:rsidR="00755CF2" w:rsidRDefault="00755CF2" w:rsidP="00874D92">
            <w:pPr>
              <w:pStyle w:val="TableText"/>
            </w:pPr>
            <w:r w:rsidRPr="006D20BF">
              <w:t>1000 IU</w:t>
            </w:r>
          </w:p>
        </w:tc>
        <w:tc>
          <w:tcPr>
            <w:tcW w:w="1542" w:type="dxa"/>
            <w:vMerge/>
          </w:tcPr>
          <w:p w14:paraId="544284F0" w14:textId="77777777" w:rsidR="00755CF2" w:rsidRDefault="00755CF2" w:rsidP="00874D92">
            <w:pPr>
              <w:pStyle w:val="TableText"/>
            </w:pPr>
          </w:p>
        </w:tc>
        <w:tc>
          <w:tcPr>
            <w:tcW w:w="1542" w:type="dxa"/>
          </w:tcPr>
          <w:p w14:paraId="16F2BD76" w14:textId="77777777" w:rsidR="00755CF2" w:rsidRPr="00FD2F3D" w:rsidRDefault="00755CF2" w:rsidP="00874D92">
            <w:pPr>
              <w:pStyle w:val="TableText"/>
            </w:pPr>
            <w:r w:rsidRPr="00FD2F3D">
              <w:t>$1,027.07*</w:t>
            </w:r>
          </w:p>
        </w:tc>
      </w:tr>
      <w:tr w:rsidR="00755CF2" w14:paraId="6EBEEC3E" w14:textId="77777777" w:rsidTr="00874D92">
        <w:trPr>
          <w:trHeight w:val="98"/>
        </w:trPr>
        <w:tc>
          <w:tcPr>
            <w:tcW w:w="1818" w:type="dxa"/>
            <w:vMerge w:val="restart"/>
          </w:tcPr>
          <w:p w14:paraId="3758A36A" w14:textId="77777777" w:rsidR="00755CF2" w:rsidRDefault="00755CF2" w:rsidP="00874D92">
            <w:pPr>
              <w:pStyle w:val="TableText"/>
            </w:pPr>
            <w:r>
              <w:t xml:space="preserve">FVIII (recombinant - imported) </w:t>
            </w:r>
          </w:p>
          <w:p w14:paraId="5E81E842" w14:textId="77777777" w:rsidR="00755CF2" w:rsidRPr="007C20BE" w:rsidRDefault="00755CF2" w:rsidP="00874D92">
            <w:pPr>
              <w:pStyle w:val="TableText"/>
            </w:pPr>
            <w:r>
              <w:t>Standard half-life</w:t>
            </w:r>
          </w:p>
        </w:tc>
        <w:tc>
          <w:tcPr>
            <w:tcW w:w="1748" w:type="dxa"/>
            <w:vMerge w:val="restart"/>
          </w:tcPr>
          <w:p w14:paraId="38B80225" w14:textId="77777777" w:rsidR="00755CF2" w:rsidRPr="007C20BE" w:rsidRDefault="00755CF2" w:rsidP="00874D92">
            <w:pPr>
              <w:pStyle w:val="TableText"/>
            </w:pPr>
            <w:proofErr w:type="spellStart"/>
            <w:r w:rsidRPr="00F12CAD">
              <w:t>Xyntha</w:t>
            </w:r>
            <w:proofErr w:type="spellEnd"/>
          </w:p>
        </w:tc>
        <w:tc>
          <w:tcPr>
            <w:tcW w:w="2006" w:type="dxa"/>
          </w:tcPr>
          <w:p w14:paraId="06371AF0" w14:textId="77777777" w:rsidR="00755CF2" w:rsidRPr="00F12CAD" w:rsidRDefault="00755CF2" w:rsidP="00874D92">
            <w:pPr>
              <w:pStyle w:val="TableText"/>
            </w:pPr>
            <w:r w:rsidRPr="00F12CAD">
              <w:t>250 IU</w:t>
            </w:r>
          </w:p>
        </w:tc>
        <w:tc>
          <w:tcPr>
            <w:tcW w:w="1542" w:type="dxa"/>
            <w:vMerge w:val="restart"/>
          </w:tcPr>
          <w:p w14:paraId="0B112655" w14:textId="77777777" w:rsidR="00755CF2" w:rsidRDefault="00755CF2" w:rsidP="00874D92">
            <w:pPr>
              <w:pStyle w:val="TableText"/>
            </w:pPr>
            <w:r w:rsidRPr="00F12CAD">
              <w:t>Pfizer Australia Pty Ltd</w:t>
            </w:r>
          </w:p>
        </w:tc>
        <w:tc>
          <w:tcPr>
            <w:tcW w:w="1542" w:type="dxa"/>
            <w:vMerge w:val="restart"/>
          </w:tcPr>
          <w:p w14:paraId="2BF846C0" w14:textId="77777777" w:rsidR="00755CF2" w:rsidRPr="008F378C" w:rsidRDefault="00755CF2" w:rsidP="00874D92">
            <w:pPr>
              <w:pStyle w:val="TableText"/>
            </w:pPr>
            <w:r w:rsidRPr="00F12CAD">
              <w:t>#</w:t>
            </w:r>
          </w:p>
        </w:tc>
      </w:tr>
      <w:tr w:rsidR="00755CF2" w14:paraId="2E87DEC7" w14:textId="77777777" w:rsidTr="00874D92">
        <w:trPr>
          <w:trHeight w:val="98"/>
        </w:trPr>
        <w:tc>
          <w:tcPr>
            <w:tcW w:w="1818" w:type="dxa"/>
            <w:vMerge/>
          </w:tcPr>
          <w:p w14:paraId="2D7A0514" w14:textId="77777777" w:rsidR="00755CF2" w:rsidRDefault="00755CF2" w:rsidP="00874D92">
            <w:pPr>
              <w:pStyle w:val="TableText"/>
            </w:pPr>
          </w:p>
        </w:tc>
        <w:tc>
          <w:tcPr>
            <w:tcW w:w="1748" w:type="dxa"/>
            <w:vMerge/>
          </w:tcPr>
          <w:p w14:paraId="3D21A22A" w14:textId="77777777" w:rsidR="00755CF2" w:rsidRPr="00F12CAD" w:rsidRDefault="00755CF2" w:rsidP="00874D92">
            <w:pPr>
              <w:pStyle w:val="TableText"/>
            </w:pPr>
          </w:p>
        </w:tc>
        <w:tc>
          <w:tcPr>
            <w:tcW w:w="2006" w:type="dxa"/>
          </w:tcPr>
          <w:p w14:paraId="4E56ED30" w14:textId="77777777" w:rsidR="00755CF2" w:rsidRPr="006D20BF" w:rsidRDefault="00755CF2" w:rsidP="00874D92">
            <w:pPr>
              <w:pStyle w:val="TableText"/>
            </w:pPr>
            <w:r>
              <w:t>500 IU</w:t>
            </w:r>
          </w:p>
        </w:tc>
        <w:tc>
          <w:tcPr>
            <w:tcW w:w="1542" w:type="dxa"/>
            <w:vMerge/>
          </w:tcPr>
          <w:p w14:paraId="77D632A9" w14:textId="77777777" w:rsidR="00755CF2" w:rsidRDefault="00755CF2" w:rsidP="00874D92">
            <w:pPr>
              <w:pStyle w:val="TableText"/>
            </w:pPr>
          </w:p>
        </w:tc>
        <w:tc>
          <w:tcPr>
            <w:tcW w:w="1542" w:type="dxa"/>
            <w:vMerge/>
          </w:tcPr>
          <w:p w14:paraId="6F6270A2" w14:textId="77777777" w:rsidR="00755CF2" w:rsidRPr="008F378C" w:rsidRDefault="00755CF2" w:rsidP="00874D92">
            <w:pPr>
              <w:pStyle w:val="TableText"/>
            </w:pPr>
          </w:p>
        </w:tc>
      </w:tr>
      <w:tr w:rsidR="00755CF2" w14:paraId="343EB07B" w14:textId="77777777" w:rsidTr="00874D92">
        <w:trPr>
          <w:trHeight w:val="98"/>
        </w:trPr>
        <w:tc>
          <w:tcPr>
            <w:tcW w:w="1818" w:type="dxa"/>
            <w:vMerge/>
          </w:tcPr>
          <w:p w14:paraId="2D7A4FBC" w14:textId="77777777" w:rsidR="00755CF2" w:rsidRDefault="00755CF2" w:rsidP="00874D92">
            <w:pPr>
              <w:pStyle w:val="TableText"/>
            </w:pPr>
          </w:p>
        </w:tc>
        <w:tc>
          <w:tcPr>
            <w:tcW w:w="1748" w:type="dxa"/>
            <w:vMerge/>
          </w:tcPr>
          <w:p w14:paraId="4851B829" w14:textId="77777777" w:rsidR="00755CF2" w:rsidRPr="00F12CAD" w:rsidRDefault="00755CF2" w:rsidP="00874D92">
            <w:pPr>
              <w:pStyle w:val="TableText"/>
            </w:pPr>
          </w:p>
        </w:tc>
        <w:tc>
          <w:tcPr>
            <w:tcW w:w="2006" w:type="dxa"/>
          </w:tcPr>
          <w:p w14:paraId="0212E712" w14:textId="77777777" w:rsidR="00755CF2" w:rsidRPr="006D20BF" w:rsidRDefault="00755CF2" w:rsidP="00874D92">
            <w:pPr>
              <w:pStyle w:val="TableText"/>
            </w:pPr>
            <w:r>
              <w:t>1000 IU</w:t>
            </w:r>
          </w:p>
        </w:tc>
        <w:tc>
          <w:tcPr>
            <w:tcW w:w="1542" w:type="dxa"/>
            <w:vMerge/>
          </w:tcPr>
          <w:p w14:paraId="2A375FC7" w14:textId="77777777" w:rsidR="00755CF2" w:rsidRDefault="00755CF2" w:rsidP="00874D92">
            <w:pPr>
              <w:pStyle w:val="TableText"/>
            </w:pPr>
          </w:p>
        </w:tc>
        <w:tc>
          <w:tcPr>
            <w:tcW w:w="1542" w:type="dxa"/>
            <w:vMerge/>
          </w:tcPr>
          <w:p w14:paraId="29621EA7" w14:textId="77777777" w:rsidR="00755CF2" w:rsidRPr="008F378C" w:rsidRDefault="00755CF2" w:rsidP="00874D92">
            <w:pPr>
              <w:pStyle w:val="TableText"/>
            </w:pPr>
          </w:p>
        </w:tc>
      </w:tr>
      <w:tr w:rsidR="00755CF2" w14:paraId="26F35D88" w14:textId="77777777" w:rsidTr="00874D92">
        <w:trPr>
          <w:trHeight w:val="98"/>
        </w:trPr>
        <w:tc>
          <w:tcPr>
            <w:tcW w:w="1818" w:type="dxa"/>
            <w:vMerge/>
          </w:tcPr>
          <w:p w14:paraId="640520EB" w14:textId="77777777" w:rsidR="00755CF2" w:rsidRDefault="00755CF2" w:rsidP="00874D92">
            <w:pPr>
              <w:pStyle w:val="TableText"/>
            </w:pPr>
          </w:p>
        </w:tc>
        <w:tc>
          <w:tcPr>
            <w:tcW w:w="1748" w:type="dxa"/>
            <w:vMerge/>
          </w:tcPr>
          <w:p w14:paraId="33CCC717" w14:textId="77777777" w:rsidR="00755CF2" w:rsidRPr="00F12CAD" w:rsidRDefault="00755CF2" w:rsidP="00874D92">
            <w:pPr>
              <w:pStyle w:val="TableText"/>
            </w:pPr>
          </w:p>
        </w:tc>
        <w:tc>
          <w:tcPr>
            <w:tcW w:w="2006" w:type="dxa"/>
          </w:tcPr>
          <w:p w14:paraId="51FE9086" w14:textId="77777777" w:rsidR="00755CF2" w:rsidRPr="006D20BF" w:rsidRDefault="00755CF2" w:rsidP="00874D92">
            <w:pPr>
              <w:pStyle w:val="TableText"/>
            </w:pPr>
            <w:r>
              <w:t>2000 IU</w:t>
            </w:r>
          </w:p>
        </w:tc>
        <w:tc>
          <w:tcPr>
            <w:tcW w:w="1542" w:type="dxa"/>
            <w:vMerge/>
          </w:tcPr>
          <w:p w14:paraId="2DFB5659" w14:textId="77777777" w:rsidR="00755CF2" w:rsidRDefault="00755CF2" w:rsidP="00874D92">
            <w:pPr>
              <w:pStyle w:val="TableText"/>
            </w:pPr>
          </w:p>
        </w:tc>
        <w:tc>
          <w:tcPr>
            <w:tcW w:w="1542" w:type="dxa"/>
            <w:vMerge/>
          </w:tcPr>
          <w:p w14:paraId="1E2C5CDD" w14:textId="77777777" w:rsidR="00755CF2" w:rsidRPr="008F378C" w:rsidRDefault="00755CF2" w:rsidP="00874D92">
            <w:pPr>
              <w:pStyle w:val="TableText"/>
            </w:pPr>
          </w:p>
        </w:tc>
      </w:tr>
      <w:tr w:rsidR="00755CF2" w14:paraId="706FC1C7" w14:textId="77777777" w:rsidTr="00874D92">
        <w:trPr>
          <w:trHeight w:val="98"/>
        </w:trPr>
        <w:tc>
          <w:tcPr>
            <w:tcW w:w="1818" w:type="dxa"/>
            <w:vMerge/>
          </w:tcPr>
          <w:p w14:paraId="6157FCAD" w14:textId="77777777" w:rsidR="00755CF2" w:rsidRDefault="00755CF2" w:rsidP="00874D92">
            <w:pPr>
              <w:pStyle w:val="TableText"/>
            </w:pPr>
          </w:p>
        </w:tc>
        <w:tc>
          <w:tcPr>
            <w:tcW w:w="1748" w:type="dxa"/>
            <w:vMerge/>
          </w:tcPr>
          <w:p w14:paraId="078563A0" w14:textId="77777777" w:rsidR="00755CF2" w:rsidRPr="00F12CAD" w:rsidRDefault="00755CF2" w:rsidP="00874D92">
            <w:pPr>
              <w:pStyle w:val="TableText"/>
            </w:pPr>
          </w:p>
        </w:tc>
        <w:tc>
          <w:tcPr>
            <w:tcW w:w="2006" w:type="dxa"/>
          </w:tcPr>
          <w:p w14:paraId="234B9E62" w14:textId="77777777" w:rsidR="00755CF2" w:rsidRPr="006D20BF" w:rsidRDefault="00755CF2" w:rsidP="00874D92">
            <w:pPr>
              <w:pStyle w:val="TableText"/>
            </w:pPr>
            <w:r>
              <w:t>3000 IU</w:t>
            </w:r>
          </w:p>
        </w:tc>
        <w:tc>
          <w:tcPr>
            <w:tcW w:w="1542" w:type="dxa"/>
            <w:vMerge/>
          </w:tcPr>
          <w:p w14:paraId="2707E45A" w14:textId="77777777" w:rsidR="00755CF2" w:rsidRDefault="00755CF2" w:rsidP="00874D92">
            <w:pPr>
              <w:pStyle w:val="TableText"/>
            </w:pPr>
          </w:p>
        </w:tc>
        <w:tc>
          <w:tcPr>
            <w:tcW w:w="1542" w:type="dxa"/>
            <w:vMerge/>
          </w:tcPr>
          <w:p w14:paraId="74D026DC" w14:textId="77777777" w:rsidR="00755CF2" w:rsidRPr="008F378C" w:rsidRDefault="00755CF2" w:rsidP="00874D92">
            <w:pPr>
              <w:pStyle w:val="TableText"/>
            </w:pPr>
          </w:p>
        </w:tc>
      </w:tr>
    </w:tbl>
    <w:p w14:paraId="0A69D2E0" w14:textId="77777777" w:rsidR="00755CF2" w:rsidRPr="00FD4F96" w:rsidRDefault="00755CF2" w:rsidP="00755CF2">
      <w:pPr>
        <w:pStyle w:val="Tablenotes"/>
      </w:pPr>
      <w:r w:rsidRPr="00FD4F96">
        <w:t># Price not disclosed</w:t>
      </w:r>
    </w:p>
    <w:p w14:paraId="18CB9E4A" w14:textId="77777777" w:rsidR="00755CF2" w:rsidRPr="00FD4F96" w:rsidRDefault="00755CF2" w:rsidP="00755CF2">
      <w:pPr>
        <w:pStyle w:val="Tablenotes"/>
      </w:pPr>
      <w:r w:rsidRPr="00FD4F96">
        <w:t>*The price does not include the starting plasma provided to CSL Behring by the Australian Red Cross Lifeblood.</w:t>
      </w:r>
    </w:p>
    <w:p w14:paraId="5684383A" w14:textId="77777777" w:rsidR="00755CF2" w:rsidRDefault="00755CF2" w:rsidP="00755CF2">
      <w:pPr>
        <w:pStyle w:val="Tablenotes"/>
      </w:pPr>
      <w:r>
        <w:t xml:space="preserve">Source: </w:t>
      </w:r>
      <w:hyperlink r:id="rId16" w:history="1">
        <w:r w:rsidRPr="00E23D73">
          <w:rPr>
            <w:rStyle w:val="Hyperlink"/>
          </w:rPr>
          <w:t>https://www.blood.gov.au/national-product-price-list</w:t>
        </w:r>
      </w:hyperlink>
      <w:r>
        <w:t xml:space="preserve"> (accessed 10 October 2023)</w:t>
      </w:r>
    </w:p>
    <w:p w14:paraId="296DDD84" w14:textId="77777777" w:rsidR="00755CF2" w:rsidRDefault="00755CF2" w:rsidP="00755CF2">
      <w:pPr>
        <w:rPr>
          <w:szCs w:val="20"/>
        </w:rPr>
      </w:pPr>
    </w:p>
    <w:p w14:paraId="76D7DFA0" w14:textId="77777777" w:rsidR="00755CF2" w:rsidRPr="006449AA" w:rsidRDefault="00755CF2" w:rsidP="006449AA">
      <w:pPr>
        <w:pStyle w:val="Heading3"/>
        <w:spacing w:before="0" w:after="60"/>
        <w:rPr>
          <w:rFonts w:ascii="Segoe UI" w:hAnsi="Segoe UI" w:cs="Segoe UI"/>
        </w:rPr>
      </w:pPr>
      <w:r w:rsidRPr="006449AA">
        <w:rPr>
          <w:rFonts w:ascii="Segoe UI" w:hAnsi="Segoe UI" w:cs="Segoe UI"/>
        </w:rPr>
        <w:t xml:space="preserve">Prophylactic treatment with </w:t>
      </w:r>
      <w:proofErr w:type="spellStart"/>
      <w:r w:rsidRPr="006449AA">
        <w:rPr>
          <w:rFonts w:ascii="Segoe UI" w:hAnsi="Segoe UI" w:cs="Segoe UI"/>
        </w:rPr>
        <w:t>emicizumab</w:t>
      </w:r>
      <w:proofErr w:type="spellEnd"/>
    </w:p>
    <w:p w14:paraId="52AAF2B0" w14:textId="77777777" w:rsidR="00755CF2" w:rsidRPr="00FD4F96" w:rsidRDefault="00755CF2" w:rsidP="006449AA">
      <w:proofErr w:type="spellStart"/>
      <w:r w:rsidRPr="7C8927C6">
        <w:t>Emicizumab</w:t>
      </w:r>
      <w:proofErr w:type="spellEnd"/>
      <w:r w:rsidRPr="7C8927C6">
        <w:t xml:space="preserve"> is a</w:t>
      </w:r>
      <w:r>
        <w:t>n</w:t>
      </w:r>
      <w:r w:rsidRPr="7C8927C6">
        <w:t xml:space="preserve"> alternative prophylactic treatment for haemophilia A </w:t>
      </w:r>
      <w:r>
        <w:t>with</w:t>
      </w:r>
      <w:r w:rsidRPr="7C8927C6">
        <w:t xml:space="preserve"> a different mechanism of action </w:t>
      </w:r>
      <w:r>
        <w:t>from</w:t>
      </w:r>
      <w:r w:rsidRPr="7C8927C6">
        <w:t xml:space="preserve"> FVIII replacement therapy</w:t>
      </w:r>
      <w:r>
        <w:t xml:space="preserve"> that </w:t>
      </w:r>
      <w:r w:rsidRPr="7C8927C6">
        <w:t>was listed on the NBA NPPL in November 2020</w:t>
      </w:r>
      <w:r>
        <w:t xml:space="preserve"> (refer to AHCDO clinical statement regarding </w:t>
      </w:r>
      <w:proofErr w:type="spellStart"/>
      <w:r>
        <w:t>emicizumab</w:t>
      </w:r>
      <w:proofErr w:type="spellEnd"/>
      <w:r>
        <w:rPr>
          <w:rStyle w:val="FootnoteReference"/>
        </w:rPr>
        <w:footnoteReference w:id="3"/>
      </w:r>
      <w:r>
        <w:t>)</w:t>
      </w:r>
      <w:r w:rsidRPr="7C8927C6">
        <w:t xml:space="preserve">. </w:t>
      </w:r>
      <w:proofErr w:type="spellStart"/>
      <w:r w:rsidRPr="7C8927C6">
        <w:t>Emicizumab</w:t>
      </w:r>
      <w:proofErr w:type="spellEnd"/>
      <w:r w:rsidRPr="7C8927C6">
        <w:t xml:space="preserve"> is administered as a subcutaneous (SC) injection, with a loading dose of 3 mg/kg once weekly for 4 weeks, followed by a maintenance dose from Week 5, either:</w:t>
      </w:r>
    </w:p>
    <w:p w14:paraId="032D23A1" w14:textId="77777777" w:rsidR="00755CF2" w:rsidRPr="00FD4F96" w:rsidRDefault="00755CF2" w:rsidP="006449AA">
      <w:pPr>
        <w:pStyle w:val="ListParagraph"/>
        <w:numPr>
          <w:ilvl w:val="0"/>
          <w:numId w:val="18"/>
        </w:numPr>
      </w:pPr>
      <w:r w:rsidRPr="00FD4F96">
        <w:t>1.5 mg/kg once weekly, or</w:t>
      </w:r>
    </w:p>
    <w:p w14:paraId="75BC9B38" w14:textId="77777777" w:rsidR="00755CF2" w:rsidRPr="00FD4F96" w:rsidRDefault="00755CF2" w:rsidP="006449AA">
      <w:pPr>
        <w:pStyle w:val="ListParagraph"/>
        <w:numPr>
          <w:ilvl w:val="0"/>
          <w:numId w:val="18"/>
        </w:numPr>
      </w:pPr>
      <w:r w:rsidRPr="00FD4F96">
        <w:t>3 mg/kg every two weeks, or</w:t>
      </w:r>
    </w:p>
    <w:p w14:paraId="5F9BBB57" w14:textId="77777777" w:rsidR="00755CF2" w:rsidRPr="00FD4F96" w:rsidRDefault="00755CF2" w:rsidP="006449AA">
      <w:pPr>
        <w:pStyle w:val="ListParagraph"/>
        <w:numPr>
          <w:ilvl w:val="0"/>
          <w:numId w:val="18"/>
        </w:numPr>
      </w:pPr>
      <w:r w:rsidRPr="00FD4F96">
        <w:t>6 mg/kg every four weeks</w:t>
      </w:r>
    </w:p>
    <w:p w14:paraId="746EDD15" w14:textId="77777777" w:rsidR="00755CF2" w:rsidRDefault="00755CF2" w:rsidP="006449AA">
      <w:r w:rsidRPr="00FD4F96">
        <w:t xml:space="preserve">The maintenance dose should be selected based on </w:t>
      </w:r>
      <w:r>
        <w:t xml:space="preserve">the </w:t>
      </w:r>
      <w:r w:rsidRPr="00FD4F96">
        <w:t>physician and patient/caregiver dosing regimen preference to support adherence</w:t>
      </w:r>
      <w:r>
        <w:t xml:space="preserve"> (</w:t>
      </w:r>
      <w:proofErr w:type="spellStart"/>
      <w:r>
        <w:t>Emicizumab</w:t>
      </w:r>
      <w:proofErr w:type="spellEnd"/>
      <w:r>
        <w:t xml:space="preserve"> Product Information)</w:t>
      </w:r>
      <w:r w:rsidRPr="00FD4F96">
        <w:t xml:space="preserve">. Although patients treated with </w:t>
      </w:r>
      <w:proofErr w:type="spellStart"/>
      <w:r>
        <w:t>emicizumab</w:t>
      </w:r>
      <w:proofErr w:type="spellEnd"/>
      <w:r w:rsidRPr="00FD4F96">
        <w:t xml:space="preserve"> no longer require prophylactic treatment with FVIII replacement therapy, it is still associated with a significant burden of treatment requiring 1</w:t>
      </w:r>
      <w:r>
        <w:t>–</w:t>
      </w:r>
      <w:r w:rsidRPr="00FD4F96">
        <w:t xml:space="preserve">4 subcutaneous injections per month. Furthermore, on demand FVIII replacement therapy may still be required to treat spontaneous bleeds (Oldenburg, 2017, Mahlangu, 2018). </w:t>
      </w:r>
    </w:p>
    <w:p w14:paraId="5C245EB8" w14:textId="77777777" w:rsidR="00755CF2" w:rsidRPr="00FD4F96" w:rsidRDefault="00755CF2" w:rsidP="00755CF2">
      <w:pPr>
        <w:spacing w:after="0"/>
      </w:pPr>
    </w:p>
    <w:p w14:paraId="510AE49E" w14:textId="5860117E" w:rsidR="00755CF2" w:rsidRPr="006449AA" w:rsidRDefault="00755CF2" w:rsidP="006449AA">
      <w:r>
        <w:t xml:space="preserve">According to the most recent NBA </w:t>
      </w:r>
      <w:r w:rsidRPr="00CB324F">
        <w:t>annual report (2021-22), the</w:t>
      </w:r>
      <w:r>
        <w:t xml:space="preserve"> demand for FVIII has decreased by 45.6% since 2019-20 before </w:t>
      </w:r>
      <w:proofErr w:type="spellStart"/>
      <w:r>
        <w:t>emicizumab</w:t>
      </w:r>
      <w:proofErr w:type="spellEnd"/>
      <w:r>
        <w:t xml:space="preserve"> was introduced. </w:t>
      </w:r>
      <w:r w:rsidRPr="00FD4F96">
        <w:t xml:space="preserve">Based on the proposed population described </w:t>
      </w:r>
      <w:r>
        <w:t>above</w:t>
      </w:r>
      <w:r w:rsidRPr="00FD4F96">
        <w:t xml:space="preserve">, and current utilisation, </w:t>
      </w:r>
      <w:proofErr w:type="spellStart"/>
      <w:r w:rsidRPr="00760246">
        <w:t>emicizumab</w:t>
      </w:r>
      <w:proofErr w:type="spellEnd"/>
      <w:r>
        <w:t xml:space="preserve"> </w:t>
      </w:r>
      <w:r w:rsidRPr="00FD4F96">
        <w:t xml:space="preserve">is therefore considered a secondary comparator to </w:t>
      </w:r>
      <w:r>
        <w:t xml:space="preserve">valoctocogene </w:t>
      </w:r>
      <w:proofErr w:type="spellStart"/>
      <w:r>
        <w:t>roxaparvovec</w:t>
      </w:r>
      <w:proofErr w:type="spellEnd"/>
      <w:r w:rsidRPr="00FD4F96">
        <w:t xml:space="preserve">. </w:t>
      </w:r>
      <w:bookmarkEnd w:id="4"/>
    </w:p>
    <w:p w14:paraId="2EBB5D00" w14:textId="520B57A4" w:rsidR="00755CF2" w:rsidRPr="00466E4E" w:rsidRDefault="00755CF2" w:rsidP="00466E4E">
      <w:pPr>
        <w:pStyle w:val="Heading2"/>
      </w:pPr>
      <w:r w:rsidRPr="00AE1F91">
        <w:t xml:space="preserve">Pattern of substitution – Will the proposed health technology wholly replace the proposed comparator, partially replace the proposed comparator, displace the proposed </w:t>
      </w:r>
      <w:proofErr w:type="gramStart"/>
      <w:r w:rsidRPr="00AE1F91">
        <w:t>comparator</w:t>
      </w:r>
      <w:proofErr w:type="gramEnd"/>
      <w:r w:rsidRPr="00AE1F91">
        <w:t xml:space="preserve"> or be used in combination with the proposed comparator?</w:t>
      </w:r>
    </w:p>
    <w:p w14:paraId="64EB9F17" w14:textId="77777777" w:rsidR="00755CF2" w:rsidRPr="006449AA" w:rsidRDefault="00755CF2" w:rsidP="00755CF2">
      <w:pPr>
        <w:spacing w:after="0"/>
        <w:rPr>
          <w:bCs/>
          <w:sz w:val="21"/>
          <w:szCs w:val="21"/>
        </w:rPr>
      </w:pPr>
      <w:r w:rsidRPr="006449AA">
        <w:rPr>
          <w:bCs/>
          <w:sz w:val="21"/>
          <w:szCs w:val="21"/>
        </w:rPr>
        <w:fldChar w:fldCharType="begin">
          <w:ffData>
            <w:name w:val="Check1"/>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None – used with the comparator </w:t>
      </w:r>
    </w:p>
    <w:p w14:paraId="3E432A3E" w14:textId="77777777" w:rsidR="00755CF2" w:rsidRPr="006449AA" w:rsidRDefault="00755CF2" w:rsidP="00755CF2">
      <w:pPr>
        <w:spacing w:after="0"/>
        <w:rPr>
          <w:bCs/>
          <w:sz w:val="21"/>
          <w:szCs w:val="21"/>
        </w:rPr>
      </w:pPr>
      <w:r w:rsidRPr="006449AA">
        <w:rPr>
          <w:bCs/>
          <w:sz w:val="21"/>
          <w:szCs w:val="21"/>
        </w:rPr>
        <w:fldChar w:fldCharType="begin">
          <w:ffData>
            <w:name w:val=""/>
            <w:enabled/>
            <w:calcOnExit w:val="0"/>
            <w:checkBox>
              <w:sizeAuto/>
              <w:default w:val="0"/>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Displaced – comparator will likely be used following the proposed technology in some patients</w:t>
      </w:r>
    </w:p>
    <w:p w14:paraId="31B87427" w14:textId="667D4774" w:rsidR="00755CF2" w:rsidRPr="006449AA" w:rsidRDefault="00755CF2" w:rsidP="00755CF2">
      <w:pPr>
        <w:spacing w:after="0"/>
        <w:rPr>
          <w:sz w:val="21"/>
          <w:szCs w:val="21"/>
        </w:rPr>
      </w:pPr>
      <w:r w:rsidRPr="006449AA">
        <w:rPr>
          <w:sz w:val="21"/>
          <w:szCs w:val="21"/>
        </w:rPr>
        <w:fldChar w:fldCharType="begin">
          <w:ffData>
            <w:name w:val=""/>
            <w:enabled/>
            <w:calcOnExit w:val="0"/>
            <w:checkBox>
              <w:sizeAuto/>
              <w:default w:val="0"/>
            </w:checkBox>
          </w:ffData>
        </w:fldChar>
      </w:r>
      <w:r w:rsidRPr="006449AA">
        <w:rPr>
          <w:sz w:val="21"/>
          <w:szCs w:val="21"/>
        </w:rPr>
        <w:instrText xml:space="preserve"> FORMCHECKBOX </w:instrText>
      </w:r>
      <w:r w:rsidR="00A94F35">
        <w:rPr>
          <w:sz w:val="21"/>
          <w:szCs w:val="21"/>
        </w:rPr>
      </w:r>
      <w:r w:rsidR="00A94F35">
        <w:rPr>
          <w:sz w:val="21"/>
          <w:szCs w:val="21"/>
        </w:rPr>
        <w:fldChar w:fldCharType="separate"/>
      </w:r>
      <w:r w:rsidRPr="006449AA">
        <w:rPr>
          <w:sz w:val="21"/>
          <w:szCs w:val="21"/>
        </w:rPr>
        <w:fldChar w:fldCharType="end"/>
      </w:r>
      <w:r w:rsidRPr="006449AA">
        <w:rPr>
          <w:sz w:val="21"/>
          <w:szCs w:val="21"/>
        </w:rPr>
        <w:t xml:space="preserve"> Partial – in some cases, the proposed technology will replace the use of the comparator, but not all </w:t>
      </w:r>
    </w:p>
    <w:p w14:paraId="0C4CB7AA" w14:textId="77777777" w:rsidR="00755CF2" w:rsidRPr="006449AA" w:rsidRDefault="00755CF2" w:rsidP="00755CF2">
      <w:pPr>
        <w:spacing w:after="0"/>
        <w:rPr>
          <w:b/>
          <w:sz w:val="21"/>
          <w:szCs w:val="21"/>
        </w:rPr>
      </w:pPr>
      <w:r w:rsidRPr="006449AA">
        <w:rPr>
          <w:bCs/>
          <w:sz w:val="21"/>
          <w:szCs w:val="21"/>
        </w:rPr>
        <w:fldChar w:fldCharType="begin">
          <w:ffData>
            <w:name w:val="Check2"/>
            <w:enabled/>
            <w:calcOnExit w:val="0"/>
            <w:checkBox>
              <w:sizeAuto/>
              <w:default w:val="1"/>
            </w:checkBox>
          </w:ffData>
        </w:fldChar>
      </w:r>
      <w:r w:rsidRPr="006449AA">
        <w:rPr>
          <w:bCs/>
          <w:sz w:val="21"/>
          <w:szCs w:val="21"/>
        </w:rPr>
        <w:instrText xml:space="preserve"> FORMCHECKBOX </w:instrText>
      </w:r>
      <w:r w:rsidR="00A94F35">
        <w:rPr>
          <w:bCs/>
          <w:sz w:val="21"/>
          <w:szCs w:val="21"/>
        </w:rPr>
      </w:r>
      <w:r w:rsidR="00A94F35">
        <w:rPr>
          <w:bCs/>
          <w:sz w:val="21"/>
          <w:szCs w:val="21"/>
        </w:rPr>
        <w:fldChar w:fldCharType="separate"/>
      </w:r>
      <w:r w:rsidRPr="006449AA">
        <w:rPr>
          <w:bCs/>
          <w:sz w:val="21"/>
          <w:szCs w:val="21"/>
        </w:rPr>
        <w:fldChar w:fldCharType="end"/>
      </w:r>
      <w:r w:rsidRPr="006449AA">
        <w:rPr>
          <w:bCs/>
          <w:sz w:val="21"/>
          <w:szCs w:val="21"/>
        </w:rPr>
        <w:t xml:space="preserve"> Full – subjects who receive the proposed intervention will not receive the comparator</w:t>
      </w:r>
    </w:p>
    <w:p w14:paraId="762EB0C6" w14:textId="77777777" w:rsidR="00755CF2" w:rsidRPr="00AE3706" w:rsidRDefault="00755CF2" w:rsidP="00755CF2">
      <w:pPr>
        <w:spacing w:after="0"/>
        <w:ind w:left="284"/>
        <w:rPr>
          <w:b/>
          <w:color w:val="000000"/>
        </w:rPr>
      </w:pPr>
    </w:p>
    <w:p w14:paraId="5ECA1784" w14:textId="6F2B10DE" w:rsidR="00755CF2" w:rsidRPr="006449AA" w:rsidRDefault="00755CF2" w:rsidP="006449AA">
      <w:pPr>
        <w:pStyle w:val="Heading2"/>
      </w:pPr>
      <w:r w:rsidRPr="00AE3706">
        <w:t>Please outline and explain the extent to which the current comparator is expected to be substituted:</w:t>
      </w:r>
    </w:p>
    <w:p w14:paraId="1B3E939F" w14:textId="5B57F0AA" w:rsidR="00755CF2" w:rsidRPr="006449AA" w:rsidRDefault="00755CF2" w:rsidP="00755CF2">
      <w:pPr>
        <w:spacing w:after="0"/>
      </w:pPr>
      <w:r w:rsidRPr="6AA02213">
        <w:t xml:space="preserve">While the effect of valoctocogene </w:t>
      </w:r>
      <w:proofErr w:type="spellStart"/>
      <w:r w:rsidRPr="6AA02213">
        <w:t>roxaparvovec</w:t>
      </w:r>
      <w:proofErr w:type="spellEnd"/>
      <w:r w:rsidRPr="6AA02213">
        <w:t xml:space="preserve"> is maintained, subjects will not receive the comparator interventions (</w:t>
      </w:r>
      <w:proofErr w:type="spellStart"/>
      <w:r w:rsidRPr="6AA02213">
        <w:t>ie</w:t>
      </w:r>
      <w:proofErr w:type="spellEnd"/>
      <w:r w:rsidRPr="6AA02213">
        <w:t xml:space="preserve">, prophylactic treatment with FVIII therapy and </w:t>
      </w:r>
      <w:proofErr w:type="spellStart"/>
      <w:r w:rsidRPr="6AA02213">
        <w:t>emicizumab</w:t>
      </w:r>
      <w:proofErr w:type="spellEnd"/>
      <w:r w:rsidRPr="6AA02213">
        <w:t xml:space="preserve">). The durability of the effect of valoctocogene </w:t>
      </w:r>
      <w:proofErr w:type="spellStart"/>
      <w:r w:rsidRPr="6AA02213">
        <w:t>roxaparvovec</w:t>
      </w:r>
      <w:proofErr w:type="spellEnd"/>
      <w:r w:rsidRPr="6AA02213">
        <w:t xml:space="preserve"> will be assessed in the ADAR. </w:t>
      </w:r>
    </w:p>
    <w:p w14:paraId="4D53E853" w14:textId="57B89102" w:rsidR="00755CF2" w:rsidRPr="006449AA" w:rsidRDefault="00755CF2" w:rsidP="006449AA">
      <w:pPr>
        <w:pStyle w:val="Heading1"/>
      </w:pPr>
      <w:r w:rsidRPr="00AE1F91">
        <w:t>Outcomes</w:t>
      </w:r>
    </w:p>
    <w:p w14:paraId="716E09DD" w14:textId="5E9FDF1A" w:rsidR="00755CF2" w:rsidRPr="006449AA" w:rsidRDefault="00755CF2" w:rsidP="006449AA">
      <w:pPr>
        <w:pStyle w:val="Heading2"/>
      </w:pPr>
      <w:r w:rsidRPr="00AE1F91">
        <w:t>List the key health outcomes (major and minor – prioritising major key health outcomes first) that will need to be measured in assessing the clinical claim for the proposed medical service/technology (versus the comparator):</w:t>
      </w:r>
    </w:p>
    <w:p w14:paraId="5292EFDE" w14:textId="636CE6F4" w:rsidR="00755CF2" w:rsidRDefault="00755CF2" w:rsidP="00E95F5C">
      <w:pPr>
        <w:spacing w:after="120"/>
      </w:pPr>
      <w:r>
        <w:t xml:space="preserve">The key outcomes for the assessment of valoctocogene </w:t>
      </w:r>
      <w:proofErr w:type="spellStart"/>
      <w:r>
        <w:t>roxaparvovec</w:t>
      </w:r>
      <w:proofErr w:type="spellEnd"/>
      <w:r>
        <w:t xml:space="preserve"> in the proposed population </w:t>
      </w:r>
      <w:r w:rsidRPr="00E95F5C">
        <w:t>include:</w:t>
      </w:r>
    </w:p>
    <w:tbl>
      <w:tblPr>
        <w:tblStyle w:val="TableGrid"/>
        <w:tblW w:w="0" w:type="auto"/>
        <w:tblLook w:val="04A0" w:firstRow="1" w:lastRow="0" w:firstColumn="1" w:lastColumn="0" w:noHBand="0" w:noVBand="1"/>
      </w:tblPr>
      <w:tblGrid>
        <w:gridCol w:w="2122"/>
        <w:gridCol w:w="3402"/>
        <w:gridCol w:w="3941"/>
      </w:tblGrid>
      <w:tr w:rsidR="00755CF2" w:rsidRPr="00066FC0" w14:paraId="73135CDE" w14:textId="77777777" w:rsidTr="006449AA">
        <w:tc>
          <w:tcPr>
            <w:tcW w:w="2122" w:type="dxa"/>
          </w:tcPr>
          <w:p w14:paraId="6A0903D8" w14:textId="77777777" w:rsidR="00755CF2" w:rsidRPr="00066FC0" w:rsidRDefault="00755CF2" w:rsidP="00874D92">
            <w:pPr>
              <w:pStyle w:val="TableText"/>
              <w:rPr>
                <w:b/>
                <w:bCs/>
              </w:rPr>
            </w:pPr>
            <w:r w:rsidRPr="00066FC0">
              <w:rPr>
                <w:b/>
                <w:bCs/>
              </w:rPr>
              <w:t xml:space="preserve">Type </w:t>
            </w:r>
          </w:p>
        </w:tc>
        <w:tc>
          <w:tcPr>
            <w:tcW w:w="3402" w:type="dxa"/>
          </w:tcPr>
          <w:p w14:paraId="76E55A65" w14:textId="77777777" w:rsidR="00755CF2" w:rsidRPr="00066FC0" w:rsidRDefault="00755CF2" w:rsidP="00874D92">
            <w:pPr>
              <w:pStyle w:val="TableText"/>
              <w:rPr>
                <w:b/>
                <w:bCs/>
              </w:rPr>
            </w:pPr>
            <w:r w:rsidRPr="00066FC0">
              <w:rPr>
                <w:b/>
                <w:bCs/>
              </w:rPr>
              <w:t>Outcome</w:t>
            </w:r>
          </w:p>
        </w:tc>
        <w:tc>
          <w:tcPr>
            <w:tcW w:w="3941" w:type="dxa"/>
          </w:tcPr>
          <w:p w14:paraId="57C9C83B" w14:textId="77777777" w:rsidR="00755CF2" w:rsidRPr="00066FC0" w:rsidRDefault="00755CF2" w:rsidP="00874D92">
            <w:pPr>
              <w:pStyle w:val="TableText"/>
              <w:rPr>
                <w:b/>
                <w:bCs/>
              </w:rPr>
            </w:pPr>
            <w:r w:rsidRPr="00066FC0">
              <w:rPr>
                <w:b/>
                <w:bCs/>
              </w:rPr>
              <w:t>Outcome description</w:t>
            </w:r>
          </w:p>
        </w:tc>
      </w:tr>
      <w:tr w:rsidR="00755CF2" w14:paraId="52809057" w14:textId="77777777" w:rsidTr="006449AA">
        <w:tc>
          <w:tcPr>
            <w:tcW w:w="2122" w:type="dxa"/>
          </w:tcPr>
          <w:p w14:paraId="48DE9DE5" w14:textId="77777777" w:rsidR="00755CF2" w:rsidRDefault="00755CF2" w:rsidP="00874D92">
            <w:pPr>
              <w:pStyle w:val="TableText"/>
            </w:pPr>
            <w:r>
              <w:t>Health benefits</w:t>
            </w:r>
          </w:p>
        </w:tc>
        <w:tc>
          <w:tcPr>
            <w:tcW w:w="3402" w:type="dxa"/>
          </w:tcPr>
          <w:p w14:paraId="1F5C2DBD" w14:textId="77777777" w:rsidR="00755CF2" w:rsidRDefault="00755CF2" w:rsidP="00874D92">
            <w:pPr>
              <w:pStyle w:val="TableText"/>
            </w:pPr>
            <w:proofErr w:type="spellStart"/>
            <w:r>
              <w:t>Annualised</w:t>
            </w:r>
            <w:proofErr w:type="spellEnd"/>
            <w:r>
              <w:t xml:space="preserve"> bleeding rate (</w:t>
            </w:r>
            <w:r w:rsidRPr="00FA2768">
              <w:t>ABR</w:t>
            </w:r>
            <w:r>
              <w:t>)</w:t>
            </w:r>
            <w:r w:rsidRPr="00FA2768">
              <w:t xml:space="preserve">, including all bleeds, treated bleeds, treated </w:t>
            </w:r>
            <w:r>
              <w:t xml:space="preserve">target </w:t>
            </w:r>
            <w:r w:rsidRPr="00FA2768">
              <w:t>joint bleeds</w:t>
            </w:r>
            <w:r>
              <w:t xml:space="preserve">, </w:t>
            </w:r>
            <w:r w:rsidRPr="00FA2768">
              <w:t xml:space="preserve">treated spontaneous </w:t>
            </w:r>
            <w:proofErr w:type="gramStart"/>
            <w:r w:rsidRPr="00FA2768">
              <w:t>bleeds</w:t>
            </w:r>
            <w:proofErr w:type="gramEnd"/>
            <w:r>
              <w:t xml:space="preserve"> and treated traumatic bleeds</w:t>
            </w:r>
          </w:p>
        </w:tc>
        <w:tc>
          <w:tcPr>
            <w:tcW w:w="3941" w:type="dxa"/>
          </w:tcPr>
          <w:p w14:paraId="2E537371" w14:textId="77777777" w:rsidR="00755CF2" w:rsidRDefault="00755CF2" w:rsidP="00874D92">
            <w:pPr>
              <w:pStyle w:val="TableText"/>
            </w:pPr>
            <w:r>
              <w:t xml:space="preserve">Valoctocogene </w:t>
            </w:r>
            <w:proofErr w:type="spellStart"/>
            <w:r>
              <w:t>roxaparvovec</w:t>
            </w:r>
            <w:proofErr w:type="spellEnd"/>
            <w:r>
              <w:t xml:space="preserve"> leads to a reduction in </w:t>
            </w:r>
            <w:proofErr w:type="spellStart"/>
            <w:r>
              <w:t>annualised</w:t>
            </w:r>
            <w:proofErr w:type="spellEnd"/>
            <w:r>
              <w:t xml:space="preserve"> bleeding relative to baseline (</w:t>
            </w:r>
            <w:proofErr w:type="spellStart"/>
            <w:r>
              <w:t>ie</w:t>
            </w:r>
            <w:proofErr w:type="spellEnd"/>
            <w:r>
              <w:t>, FVIII)</w:t>
            </w:r>
          </w:p>
        </w:tc>
      </w:tr>
      <w:tr w:rsidR="00755CF2" w14:paraId="2B739034" w14:textId="77777777" w:rsidTr="006449AA">
        <w:tc>
          <w:tcPr>
            <w:tcW w:w="2122" w:type="dxa"/>
          </w:tcPr>
          <w:p w14:paraId="292E2EBA" w14:textId="77777777" w:rsidR="00755CF2" w:rsidRDefault="00755CF2" w:rsidP="00874D92">
            <w:pPr>
              <w:pStyle w:val="TableText"/>
            </w:pPr>
            <w:r>
              <w:t>Health benefits</w:t>
            </w:r>
          </w:p>
        </w:tc>
        <w:tc>
          <w:tcPr>
            <w:tcW w:w="3402" w:type="dxa"/>
          </w:tcPr>
          <w:p w14:paraId="6BC3563B" w14:textId="77777777" w:rsidR="00755CF2" w:rsidRDefault="00755CF2" w:rsidP="00874D92">
            <w:pPr>
              <w:pStyle w:val="TableText"/>
            </w:pPr>
            <w:r w:rsidRPr="00FA2768">
              <w:t>Proportion of patients with zero bleed</w:t>
            </w:r>
            <w:r>
              <w:t>ing events (treated bleeds, all bleeds)</w:t>
            </w:r>
          </w:p>
        </w:tc>
        <w:tc>
          <w:tcPr>
            <w:tcW w:w="3941" w:type="dxa"/>
          </w:tcPr>
          <w:p w14:paraId="3FD00C45" w14:textId="77777777" w:rsidR="00755CF2" w:rsidRDefault="00755CF2" w:rsidP="00874D92">
            <w:pPr>
              <w:pStyle w:val="TableText"/>
            </w:pPr>
            <w:r>
              <w:t xml:space="preserve">Valoctocogene </w:t>
            </w:r>
            <w:proofErr w:type="spellStart"/>
            <w:r>
              <w:t>roxaparvovec</w:t>
            </w:r>
            <w:proofErr w:type="spellEnd"/>
            <w:r>
              <w:t xml:space="preserve"> leads to increased proportions of patients with zero bleeds relative to baseline (</w:t>
            </w:r>
            <w:proofErr w:type="spellStart"/>
            <w:r>
              <w:t>ie</w:t>
            </w:r>
            <w:proofErr w:type="spellEnd"/>
            <w:r>
              <w:t>, FVIII)</w:t>
            </w:r>
          </w:p>
        </w:tc>
      </w:tr>
      <w:tr w:rsidR="00755CF2" w14:paraId="121347AC" w14:textId="77777777" w:rsidTr="006449AA">
        <w:tc>
          <w:tcPr>
            <w:tcW w:w="2122" w:type="dxa"/>
          </w:tcPr>
          <w:p w14:paraId="0B6FEC44" w14:textId="77777777" w:rsidR="00755CF2" w:rsidRDefault="00755CF2" w:rsidP="00874D92">
            <w:pPr>
              <w:pStyle w:val="TableText"/>
            </w:pPr>
            <w:r>
              <w:t>Health benefits</w:t>
            </w:r>
          </w:p>
        </w:tc>
        <w:tc>
          <w:tcPr>
            <w:tcW w:w="3402" w:type="dxa"/>
          </w:tcPr>
          <w:p w14:paraId="5FC7AA38" w14:textId="77777777" w:rsidR="00755CF2" w:rsidRDefault="00755CF2" w:rsidP="00874D92">
            <w:pPr>
              <w:pStyle w:val="TableText"/>
            </w:pPr>
            <w:r>
              <w:t>Change in f</w:t>
            </w:r>
            <w:r w:rsidRPr="00FA2768">
              <w:t>actor VIII activity</w:t>
            </w:r>
            <w:r>
              <w:t xml:space="preserve"> (and severity category) over </w:t>
            </w:r>
            <w:proofErr w:type="gramStart"/>
            <w:r>
              <w:t>time</w:t>
            </w:r>
            <w:proofErr w:type="gramEnd"/>
            <w:r>
              <w:t xml:space="preserve"> </w:t>
            </w:r>
          </w:p>
          <w:p w14:paraId="09DA050F" w14:textId="77777777" w:rsidR="00755CF2" w:rsidRDefault="00755CF2" w:rsidP="00874D92">
            <w:pPr>
              <w:pStyle w:val="TableText"/>
            </w:pPr>
          </w:p>
        </w:tc>
        <w:tc>
          <w:tcPr>
            <w:tcW w:w="3941" w:type="dxa"/>
          </w:tcPr>
          <w:p w14:paraId="0C00B458" w14:textId="77777777" w:rsidR="00755CF2" w:rsidRDefault="00755CF2" w:rsidP="00874D92">
            <w:pPr>
              <w:pStyle w:val="TableText"/>
            </w:pPr>
            <w:r>
              <w:t xml:space="preserve">Valoctocogene </w:t>
            </w:r>
            <w:proofErr w:type="spellStart"/>
            <w:r>
              <w:t>roxaparvovec</w:t>
            </w:r>
            <w:proofErr w:type="spellEnd"/>
            <w:r>
              <w:t xml:space="preserve"> results in sustained expression of FVIII activity that provides </w:t>
            </w:r>
            <w:proofErr w:type="spellStart"/>
            <w:r>
              <w:t>haemostatic</w:t>
            </w:r>
            <w:proofErr w:type="spellEnd"/>
            <w:r>
              <w:t xml:space="preserve"> control relative to baseline (</w:t>
            </w:r>
            <w:proofErr w:type="spellStart"/>
            <w:r>
              <w:t>ie</w:t>
            </w:r>
            <w:proofErr w:type="spellEnd"/>
            <w:r>
              <w:t>, FVIII)</w:t>
            </w:r>
          </w:p>
        </w:tc>
      </w:tr>
      <w:tr w:rsidR="00755CF2" w14:paraId="1C5B9A44" w14:textId="77777777" w:rsidTr="006449AA">
        <w:tc>
          <w:tcPr>
            <w:tcW w:w="2122" w:type="dxa"/>
          </w:tcPr>
          <w:p w14:paraId="08B151B4" w14:textId="77777777" w:rsidR="00755CF2" w:rsidRDefault="00755CF2" w:rsidP="00874D92">
            <w:pPr>
              <w:pStyle w:val="TableText"/>
            </w:pPr>
            <w:r>
              <w:t>Health benefits</w:t>
            </w:r>
          </w:p>
        </w:tc>
        <w:tc>
          <w:tcPr>
            <w:tcW w:w="3402" w:type="dxa"/>
          </w:tcPr>
          <w:p w14:paraId="15980D0E" w14:textId="77777777" w:rsidR="00755CF2" w:rsidRPr="00FA2768" w:rsidRDefault="00755CF2" w:rsidP="00874D92">
            <w:pPr>
              <w:pStyle w:val="TableText"/>
            </w:pPr>
            <w:r w:rsidRPr="00FA2768">
              <w:t>Quality of life</w:t>
            </w:r>
          </w:p>
          <w:p w14:paraId="0539A170" w14:textId="77777777" w:rsidR="00755CF2" w:rsidRDefault="00755CF2" w:rsidP="00874D92">
            <w:pPr>
              <w:pStyle w:val="TableText"/>
            </w:pPr>
          </w:p>
        </w:tc>
        <w:tc>
          <w:tcPr>
            <w:tcW w:w="3941" w:type="dxa"/>
          </w:tcPr>
          <w:p w14:paraId="0EF306E1" w14:textId="77777777" w:rsidR="00755CF2" w:rsidRDefault="00755CF2" w:rsidP="00874D92">
            <w:pPr>
              <w:pStyle w:val="TableText"/>
            </w:pPr>
            <w:r>
              <w:t xml:space="preserve">Valoctocogene </w:t>
            </w:r>
            <w:proofErr w:type="spellStart"/>
            <w:r>
              <w:t>roxaparvovec</w:t>
            </w:r>
            <w:proofErr w:type="spellEnd"/>
            <w:r>
              <w:t xml:space="preserve"> leads to improved quality of life relative to baseline (</w:t>
            </w:r>
            <w:proofErr w:type="spellStart"/>
            <w:r>
              <w:t>ie</w:t>
            </w:r>
            <w:proofErr w:type="spellEnd"/>
            <w:r>
              <w:t xml:space="preserve">, FVIII) </w:t>
            </w:r>
          </w:p>
        </w:tc>
      </w:tr>
      <w:tr w:rsidR="00755CF2" w14:paraId="746015DF" w14:textId="77777777" w:rsidTr="006449AA">
        <w:tc>
          <w:tcPr>
            <w:tcW w:w="2122" w:type="dxa"/>
          </w:tcPr>
          <w:p w14:paraId="0139E2D9" w14:textId="77777777" w:rsidR="00755CF2" w:rsidRDefault="00755CF2" w:rsidP="00874D92">
            <w:pPr>
              <w:pStyle w:val="TableText"/>
            </w:pPr>
            <w:r>
              <w:t>Health harms</w:t>
            </w:r>
          </w:p>
        </w:tc>
        <w:tc>
          <w:tcPr>
            <w:tcW w:w="3402" w:type="dxa"/>
          </w:tcPr>
          <w:p w14:paraId="24C03E87" w14:textId="77777777" w:rsidR="00755CF2" w:rsidRPr="00FA2768" w:rsidRDefault="00755CF2" w:rsidP="00874D92">
            <w:pPr>
              <w:pStyle w:val="TableText"/>
            </w:pPr>
            <w:r w:rsidRPr="00FA2768">
              <w:t xml:space="preserve">Adverse events </w:t>
            </w:r>
            <w:r>
              <w:t xml:space="preserve">including procedural </w:t>
            </w:r>
            <w:proofErr w:type="gramStart"/>
            <w:r>
              <w:t>complications</w:t>
            </w:r>
            <w:proofErr w:type="gramEnd"/>
          </w:p>
          <w:p w14:paraId="7E2B9483" w14:textId="77777777" w:rsidR="00755CF2" w:rsidRDefault="00755CF2" w:rsidP="00874D92">
            <w:pPr>
              <w:pStyle w:val="TableText"/>
            </w:pPr>
          </w:p>
        </w:tc>
        <w:tc>
          <w:tcPr>
            <w:tcW w:w="3941" w:type="dxa"/>
          </w:tcPr>
          <w:p w14:paraId="68ED5844" w14:textId="77777777" w:rsidR="00755CF2" w:rsidRDefault="00755CF2" w:rsidP="00874D92">
            <w:pPr>
              <w:pStyle w:val="TableText"/>
            </w:pPr>
            <w:r w:rsidRPr="00957037">
              <w:t>Adverse events which may cause harm to health have been observed</w:t>
            </w:r>
            <w:r>
              <w:t xml:space="preserve"> with valoctocogene </w:t>
            </w:r>
            <w:proofErr w:type="spellStart"/>
            <w:r>
              <w:t>roxaparvovec</w:t>
            </w:r>
            <w:proofErr w:type="spellEnd"/>
            <w:r>
              <w:t xml:space="preserve"> </w:t>
            </w:r>
          </w:p>
        </w:tc>
      </w:tr>
      <w:tr w:rsidR="00755CF2" w14:paraId="10B55C62" w14:textId="77777777" w:rsidTr="006449AA">
        <w:tc>
          <w:tcPr>
            <w:tcW w:w="2122" w:type="dxa"/>
          </w:tcPr>
          <w:p w14:paraId="2533FECE" w14:textId="77777777" w:rsidR="00755CF2" w:rsidRDefault="00755CF2" w:rsidP="00874D92">
            <w:pPr>
              <w:pStyle w:val="TableText"/>
            </w:pPr>
            <w:r>
              <w:t xml:space="preserve">Resource </w:t>
            </w:r>
            <w:proofErr w:type="spellStart"/>
            <w:r>
              <w:t>utilisation</w:t>
            </w:r>
            <w:proofErr w:type="spellEnd"/>
          </w:p>
        </w:tc>
        <w:tc>
          <w:tcPr>
            <w:tcW w:w="3402" w:type="dxa"/>
          </w:tcPr>
          <w:p w14:paraId="56C2E2CD" w14:textId="77777777" w:rsidR="00755CF2" w:rsidRDefault="00755CF2" w:rsidP="00874D92">
            <w:pPr>
              <w:pStyle w:val="TableText"/>
            </w:pPr>
            <w:r>
              <w:t>Change in exogenous FVIII replacement therapy / FVIII infusion rate</w:t>
            </w:r>
          </w:p>
        </w:tc>
        <w:tc>
          <w:tcPr>
            <w:tcW w:w="3941" w:type="dxa"/>
          </w:tcPr>
          <w:p w14:paraId="0D83B4A2" w14:textId="77777777" w:rsidR="00755CF2" w:rsidRDefault="00755CF2" w:rsidP="00874D92">
            <w:pPr>
              <w:pStyle w:val="TableText"/>
            </w:pPr>
            <w:r>
              <w:t xml:space="preserve">Valoctocogene </w:t>
            </w:r>
            <w:proofErr w:type="spellStart"/>
            <w:r>
              <w:t>roxaparvovec</w:t>
            </w:r>
            <w:proofErr w:type="spellEnd"/>
            <w:r>
              <w:t xml:space="preserve"> treatment leads to a reduction in use of FVIII relative to baseline (</w:t>
            </w:r>
            <w:proofErr w:type="spellStart"/>
            <w:r>
              <w:t>ie</w:t>
            </w:r>
            <w:proofErr w:type="spellEnd"/>
            <w:r>
              <w:t>, FVIII)</w:t>
            </w:r>
          </w:p>
        </w:tc>
      </w:tr>
    </w:tbl>
    <w:p w14:paraId="2C64DFAC" w14:textId="77777777" w:rsidR="00755CF2" w:rsidRPr="00E00418" w:rsidRDefault="00755CF2" w:rsidP="00E95F5C">
      <w:pPr>
        <w:spacing w:before="120" w:after="0"/>
      </w:pPr>
      <w:r w:rsidRPr="00E00418">
        <w:t xml:space="preserve">Additionally, </w:t>
      </w:r>
      <w:r>
        <w:t>a</w:t>
      </w:r>
      <w:r w:rsidRPr="00E00418">
        <w:t xml:space="preserve"> </w:t>
      </w:r>
      <w:r w:rsidRPr="00E00418">
        <w:rPr>
          <w:i/>
          <w:iCs/>
        </w:rPr>
        <w:t>post hoc</w:t>
      </w:r>
      <w:r w:rsidRPr="00E00418">
        <w:t xml:space="preserve"> analyses</w:t>
      </w:r>
      <w:r>
        <w:t xml:space="preserve"> exploring</w:t>
      </w:r>
      <w:r w:rsidRPr="00E00418">
        <w:t xml:space="preserve"> </w:t>
      </w:r>
      <w:r w:rsidRPr="00A97AF3">
        <w:t xml:space="preserve">potential associations between FVIII activity levels during Week 49-52 and </w:t>
      </w:r>
      <w:proofErr w:type="gramStart"/>
      <w:r w:rsidRPr="00A97AF3">
        <w:t>baseline</w:t>
      </w:r>
      <w:proofErr w:type="gramEnd"/>
      <w:r w:rsidRPr="00A97AF3">
        <w:t xml:space="preserve"> or demographic characteristics or post-infusion characteristics</w:t>
      </w:r>
      <w:r>
        <w:t xml:space="preserve"> </w:t>
      </w:r>
      <w:r w:rsidRPr="00E00418">
        <w:t xml:space="preserve">will be presented in the ADAR. </w:t>
      </w:r>
    </w:p>
    <w:p w14:paraId="34E58DF8" w14:textId="77777777" w:rsidR="00755CF2" w:rsidRPr="00AE1F91" w:rsidRDefault="00755CF2" w:rsidP="00755CF2">
      <w:pPr>
        <w:spacing w:after="0"/>
        <w:rPr>
          <w:b/>
          <w:color w:val="000000"/>
        </w:rPr>
      </w:pPr>
    </w:p>
    <w:p w14:paraId="1D3F2D35" w14:textId="7384C223" w:rsidR="00755CF2" w:rsidRPr="006449AA" w:rsidRDefault="00755CF2" w:rsidP="006449AA">
      <w:pPr>
        <w:pStyle w:val="Heading2"/>
      </w:pPr>
      <w:r w:rsidRPr="00AE1F91">
        <w:lastRenderedPageBreak/>
        <w:t xml:space="preserve">Outcome description – please include information about whether a change in patient management, or prognosis, occurs </w:t>
      </w:r>
      <w:proofErr w:type="gramStart"/>
      <w:r w:rsidRPr="00AE1F91">
        <w:t>as a result of</w:t>
      </w:r>
      <w:proofErr w:type="gramEnd"/>
      <w:r w:rsidRPr="00AE1F91">
        <w:t xml:space="preserve"> the test information:</w:t>
      </w:r>
    </w:p>
    <w:p w14:paraId="1BB5FA6F" w14:textId="77777777" w:rsidR="00755CF2" w:rsidRDefault="00755CF2" w:rsidP="00755CF2">
      <w:pPr>
        <w:spacing w:after="0"/>
      </w:pPr>
      <w:r>
        <w:t xml:space="preserve">Not applicable as valoctocogene </w:t>
      </w:r>
      <w:proofErr w:type="spellStart"/>
      <w:r>
        <w:t>roxaparvovec</w:t>
      </w:r>
      <w:proofErr w:type="spellEnd"/>
      <w:r>
        <w:t xml:space="preserve"> is not a test. </w:t>
      </w:r>
    </w:p>
    <w:p w14:paraId="2F55464C" w14:textId="77777777" w:rsidR="00755CF2" w:rsidRPr="00AE1F91" w:rsidRDefault="00755CF2" w:rsidP="00755CF2">
      <w:pPr>
        <w:spacing w:after="0"/>
        <w:rPr>
          <w:rFonts w:asciiTheme="minorHAnsi" w:hAnsiTheme="minorHAnsi" w:cs="Calibri"/>
          <w:color w:val="000000"/>
        </w:rPr>
      </w:pPr>
      <w:r>
        <w:t xml:space="preserve">For outcome description of major and minor health outcomes for valoctocogene </w:t>
      </w:r>
      <w:proofErr w:type="spellStart"/>
      <w:r>
        <w:t>roxaparvovec</w:t>
      </w:r>
      <w:proofErr w:type="spellEnd"/>
      <w:r>
        <w:t xml:space="preserve">, see table above. </w:t>
      </w:r>
    </w:p>
    <w:p w14:paraId="62F87F54" w14:textId="77777777" w:rsidR="00755CF2" w:rsidRPr="00AE1F91" w:rsidRDefault="00755CF2" w:rsidP="00D200D1">
      <w:pPr>
        <w:pStyle w:val="Heading1"/>
      </w:pPr>
      <w:r w:rsidRPr="00AE1F91">
        <w:t>Claims</w:t>
      </w:r>
    </w:p>
    <w:p w14:paraId="7239AD21" w14:textId="1861593B" w:rsidR="00755CF2" w:rsidRPr="00466E4E" w:rsidRDefault="00755CF2" w:rsidP="00466E4E">
      <w:pPr>
        <w:pStyle w:val="Heading2"/>
      </w:pPr>
      <w:r w:rsidRPr="00466E4E">
        <w:rPr>
          <w:rStyle w:val="Heading2Char"/>
          <w:b/>
          <w:bCs/>
        </w:rPr>
        <w:t xml:space="preserve">In terms of health outcomes (comparative benefits and harms), is the proposed technology claimed to be superior, non-inferior or inferior to the comparator(s)? </w:t>
      </w:r>
    </w:p>
    <w:p w14:paraId="29B3AF3E" w14:textId="77777777" w:rsidR="00755CF2" w:rsidRPr="00AE1F91" w:rsidRDefault="00755CF2" w:rsidP="00755CF2">
      <w:pPr>
        <w:spacing w:after="0"/>
      </w:pPr>
      <w:r w:rsidRPr="7C8927C6">
        <w:fldChar w:fldCharType="begin">
          <w:ffData>
            <w:name w:val=""/>
            <w:enabled/>
            <w:calcOnExit w:val="0"/>
            <w:checkBox>
              <w:sizeAuto/>
              <w:default w:val="1"/>
            </w:checkBox>
          </w:ffData>
        </w:fldChar>
      </w:r>
      <w:r w:rsidRPr="7C8927C6">
        <w:instrText xml:space="preserve"> FORMCHECKBOX </w:instrText>
      </w:r>
      <w:r w:rsidR="00A94F35">
        <w:fldChar w:fldCharType="separate"/>
      </w:r>
      <w:r w:rsidRPr="7C8927C6">
        <w:fldChar w:fldCharType="end"/>
      </w:r>
      <w:r w:rsidRPr="7C8927C6">
        <w:t xml:space="preserve"> Superior </w:t>
      </w:r>
    </w:p>
    <w:p w14:paraId="6D56B8DC" w14:textId="77777777" w:rsidR="00755CF2" w:rsidRPr="00AE1F91" w:rsidRDefault="00755CF2" w:rsidP="00755CF2">
      <w:pPr>
        <w:spacing w:after="0"/>
        <w:rPr>
          <w:bCs/>
        </w:rPr>
      </w:pPr>
      <w:r w:rsidRPr="00AE1F91">
        <w:rPr>
          <w:bCs/>
        </w:rPr>
        <w:fldChar w:fldCharType="begin">
          <w:ffData>
            <w:name w:val="Check2"/>
            <w:enabled/>
            <w:calcOnExit w:val="0"/>
            <w:checkBox>
              <w:sizeAuto/>
              <w:default w:val="0"/>
            </w:checkBox>
          </w:ffData>
        </w:fldChar>
      </w:r>
      <w:r w:rsidRPr="00AE1F91">
        <w:rPr>
          <w:bCs/>
        </w:rPr>
        <w:instrText xml:space="preserve"> FORMCHECKBOX </w:instrText>
      </w:r>
      <w:r w:rsidR="00A94F35">
        <w:rPr>
          <w:bCs/>
        </w:rPr>
      </w:r>
      <w:r w:rsidR="00A94F35">
        <w:rPr>
          <w:bCs/>
        </w:rPr>
        <w:fldChar w:fldCharType="separate"/>
      </w:r>
      <w:r w:rsidRPr="00AE1F91">
        <w:rPr>
          <w:bCs/>
        </w:rPr>
        <w:fldChar w:fldCharType="end"/>
      </w:r>
      <w:r w:rsidRPr="00AE1F91">
        <w:rPr>
          <w:bCs/>
        </w:rPr>
        <w:t xml:space="preserve"> Non-inferior</w:t>
      </w:r>
    </w:p>
    <w:p w14:paraId="32FEB9DF" w14:textId="77777777" w:rsidR="00755CF2" w:rsidRPr="00AE1F91" w:rsidRDefault="00755CF2" w:rsidP="00755CF2">
      <w:pPr>
        <w:spacing w:after="0"/>
        <w:rPr>
          <w:bCs/>
        </w:rPr>
      </w:pPr>
      <w:r w:rsidRPr="00AE1F91">
        <w:rPr>
          <w:bCs/>
        </w:rPr>
        <w:fldChar w:fldCharType="begin">
          <w:ffData>
            <w:name w:val="Check1"/>
            <w:enabled/>
            <w:calcOnExit w:val="0"/>
            <w:checkBox>
              <w:sizeAuto/>
              <w:default w:val="0"/>
            </w:checkBox>
          </w:ffData>
        </w:fldChar>
      </w:r>
      <w:r w:rsidRPr="00AE1F91">
        <w:rPr>
          <w:bCs/>
        </w:rPr>
        <w:instrText xml:space="preserve"> FORMCHECKBOX </w:instrText>
      </w:r>
      <w:r w:rsidR="00A94F35">
        <w:rPr>
          <w:bCs/>
        </w:rPr>
      </w:r>
      <w:r w:rsidR="00A94F35">
        <w:rPr>
          <w:bCs/>
        </w:rPr>
        <w:fldChar w:fldCharType="separate"/>
      </w:r>
      <w:r w:rsidRPr="00AE1F91">
        <w:rPr>
          <w:bCs/>
        </w:rPr>
        <w:fldChar w:fldCharType="end"/>
      </w:r>
      <w:r w:rsidRPr="00AE1F91">
        <w:rPr>
          <w:bCs/>
        </w:rPr>
        <w:t xml:space="preserve"> Inferior </w:t>
      </w:r>
    </w:p>
    <w:p w14:paraId="712D73DB" w14:textId="77777777" w:rsidR="00755CF2" w:rsidRPr="00AE1F91" w:rsidRDefault="00755CF2" w:rsidP="00755CF2">
      <w:pPr>
        <w:spacing w:after="0"/>
        <w:rPr>
          <w:b/>
          <w:color w:val="000000"/>
        </w:rPr>
      </w:pPr>
    </w:p>
    <w:p w14:paraId="7B2413EE" w14:textId="69A8E2D4" w:rsidR="00755CF2" w:rsidRPr="006449AA" w:rsidRDefault="00755CF2" w:rsidP="006449AA">
      <w:pPr>
        <w:pStyle w:val="Heading2"/>
      </w:pPr>
      <w:r w:rsidRPr="00AE1F91">
        <w:t>Please state what the overall claim is, and provide a rationale:</w:t>
      </w:r>
    </w:p>
    <w:p w14:paraId="3507E5E2" w14:textId="339F1CC0" w:rsidR="00755CF2" w:rsidRDefault="00755CF2" w:rsidP="00E95F5C">
      <w:r>
        <w:t xml:space="preserve">Valoctocogene </w:t>
      </w:r>
      <w:proofErr w:type="spellStart"/>
      <w:r>
        <w:t>roxaparvovec</w:t>
      </w:r>
      <w:proofErr w:type="spellEnd"/>
      <w:r w:rsidRPr="00094A1A">
        <w:t xml:space="preserve"> is expected to be associated with superior effectiveness (reduction in bleeds and improved quality of life) and non-inferior safety versus </w:t>
      </w:r>
      <w:r>
        <w:t>p</w:t>
      </w:r>
      <w:r w:rsidRPr="00E55AC1">
        <w:t>rophyla</w:t>
      </w:r>
      <w:r>
        <w:t>ctic treatment with FVIII therapy</w:t>
      </w:r>
      <w:r w:rsidRPr="00C55F38">
        <w:t xml:space="preserve"> </w:t>
      </w:r>
      <w:r w:rsidRPr="00094A1A">
        <w:t xml:space="preserve">and </w:t>
      </w:r>
      <w:proofErr w:type="spellStart"/>
      <w:r w:rsidRPr="00760246">
        <w:t>emicizumab</w:t>
      </w:r>
      <w:proofErr w:type="spellEnd"/>
      <w:r>
        <w:t xml:space="preserve"> </w:t>
      </w:r>
      <w:r w:rsidRPr="00094A1A">
        <w:t>in patients with severe haemophilia A.</w:t>
      </w:r>
    </w:p>
    <w:p w14:paraId="0B0ADD7B" w14:textId="6B72F70E" w:rsidR="00755CF2" w:rsidRPr="00094A1A" w:rsidRDefault="00755CF2" w:rsidP="00755CF2">
      <w:pPr>
        <w:spacing w:after="0"/>
        <w:rPr>
          <w:i/>
          <w:iCs/>
        </w:rPr>
      </w:pPr>
      <w:r w:rsidRPr="00094A1A">
        <w:rPr>
          <w:i/>
          <w:iCs/>
        </w:rPr>
        <w:t>Rationale</w:t>
      </w:r>
      <w:r w:rsidR="00E95F5C">
        <w:rPr>
          <w:i/>
          <w:iCs/>
        </w:rPr>
        <w:t>:</w:t>
      </w:r>
    </w:p>
    <w:p w14:paraId="281915D4" w14:textId="6A54BA5C" w:rsidR="00755CF2" w:rsidRPr="006449AA" w:rsidRDefault="00755CF2" w:rsidP="006449AA">
      <w:r w:rsidRPr="6B660F63">
        <w:t xml:space="preserve">Relative to prophylactic treatment with FVIII therapy and </w:t>
      </w:r>
      <w:proofErr w:type="spellStart"/>
      <w:r w:rsidRPr="6B660F63">
        <w:t>emicizumab</w:t>
      </w:r>
      <w:proofErr w:type="spellEnd"/>
      <w:r w:rsidRPr="6B660F63">
        <w:t xml:space="preserve">, valoctocogene </w:t>
      </w:r>
      <w:proofErr w:type="spellStart"/>
      <w:r w:rsidRPr="6B660F63">
        <w:t>roxaparvovec</w:t>
      </w:r>
      <w:proofErr w:type="spellEnd"/>
      <w:r w:rsidRPr="6B660F63">
        <w:t xml:space="preserve"> </w:t>
      </w:r>
      <w:r>
        <w:t>will</w:t>
      </w:r>
      <w:r w:rsidRPr="6B660F63">
        <w:t xml:space="preserve"> reduce mean ABR due to constant FVIII expression and lack of trough related bleeding (</w:t>
      </w:r>
      <w:proofErr w:type="spellStart"/>
      <w:r w:rsidRPr="6B660F63">
        <w:t>Ozelo</w:t>
      </w:r>
      <w:proofErr w:type="spellEnd"/>
      <w:r w:rsidRPr="6B660F63">
        <w:t xml:space="preserve"> 2022, Mahlangu 2018). </w:t>
      </w:r>
      <w:r>
        <w:t xml:space="preserve">A matching adjusted indirect comparison (MAIC) demonstrated ABR for all bleeds was statistically significantly lower with valoctocogene </w:t>
      </w:r>
      <w:proofErr w:type="spellStart"/>
      <w:r>
        <w:t>roxaparvovec</w:t>
      </w:r>
      <w:proofErr w:type="spellEnd"/>
      <w:r>
        <w:t xml:space="preserve"> than </w:t>
      </w:r>
      <w:proofErr w:type="spellStart"/>
      <w:r>
        <w:t>emicizumab</w:t>
      </w:r>
      <w:proofErr w:type="spellEnd"/>
      <w:r>
        <w:t xml:space="preserve">, and significantly higher proportions of patients had no treated joint bleeds and no treated bleeds than with </w:t>
      </w:r>
      <w:proofErr w:type="spellStart"/>
      <w:r>
        <w:t>emicizumab</w:t>
      </w:r>
      <w:proofErr w:type="spellEnd"/>
      <w:r>
        <w:t xml:space="preserve">. </w:t>
      </w:r>
      <w:r w:rsidRPr="6B660F63">
        <w:t xml:space="preserve">Furthermore, valoctocogene </w:t>
      </w:r>
      <w:proofErr w:type="spellStart"/>
      <w:r w:rsidRPr="6B660F63">
        <w:t>roxaparvovec</w:t>
      </w:r>
      <w:proofErr w:type="spellEnd"/>
      <w:r w:rsidRPr="6B660F63">
        <w:t xml:space="preserve"> is expected to improve the quality of life of patients with severe haemophilia A compared with treatment with prophylactic treatment with FVIII therapy and </w:t>
      </w:r>
      <w:proofErr w:type="spellStart"/>
      <w:r w:rsidRPr="6B660F63">
        <w:t>emicizumab</w:t>
      </w:r>
      <w:proofErr w:type="spellEnd"/>
      <w:r w:rsidRPr="6B660F63">
        <w:t xml:space="preserve">, given the treatment burden associated with these therapies (FVIII infusions 2–4 times per week; </w:t>
      </w:r>
      <w:proofErr w:type="spellStart"/>
      <w:r w:rsidRPr="6B660F63">
        <w:t>emicizumab</w:t>
      </w:r>
      <w:proofErr w:type="spellEnd"/>
      <w:r w:rsidRPr="6B660F63">
        <w:t xml:space="preserve"> subcutaneous injections 1-4 times per month) versus a once-off treatment with </w:t>
      </w:r>
      <w:r>
        <w:t xml:space="preserve">valoctocogene </w:t>
      </w:r>
      <w:proofErr w:type="spellStart"/>
      <w:r>
        <w:t>roxaparvovec</w:t>
      </w:r>
      <w:proofErr w:type="spellEnd"/>
      <w:r w:rsidRPr="6B660F63">
        <w:t xml:space="preserve"> (</w:t>
      </w:r>
      <w:proofErr w:type="spellStart"/>
      <w:r w:rsidRPr="6B660F63">
        <w:t>Krumb</w:t>
      </w:r>
      <w:proofErr w:type="spellEnd"/>
      <w:r w:rsidRPr="6B660F63">
        <w:t xml:space="preserve"> 2021).</w:t>
      </w:r>
    </w:p>
    <w:p w14:paraId="4074BAFF" w14:textId="0F12DA47" w:rsidR="00755CF2" w:rsidRPr="006449AA" w:rsidRDefault="00755CF2" w:rsidP="006449AA">
      <w:pPr>
        <w:pStyle w:val="Heading2"/>
      </w:pPr>
      <w:r w:rsidRPr="00AE1F91">
        <w:t>Why would the requestor seek to use the proposed investigative technology rather than the comparator(s)?</w:t>
      </w:r>
    </w:p>
    <w:p w14:paraId="1EF5C027" w14:textId="4F12DB0F" w:rsidR="00755CF2" w:rsidRPr="006449AA" w:rsidRDefault="00755CF2" w:rsidP="006449AA">
      <w:pPr>
        <w:rPr>
          <w:rFonts w:asciiTheme="minorHAnsi" w:hAnsiTheme="minorHAnsi" w:cs="Calibri"/>
          <w:color w:val="000000"/>
        </w:rPr>
      </w:pPr>
      <w:r>
        <w:t>Not applicable.</w:t>
      </w:r>
    </w:p>
    <w:p w14:paraId="2FB644ED" w14:textId="614C818D" w:rsidR="00755CF2" w:rsidRPr="006449AA" w:rsidRDefault="00755CF2" w:rsidP="006449AA">
      <w:pPr>
        <w:pStyle w:val="Heading2"/>
      </w:pPr>
      <w:r>
        <w:t>Identify how the proposed technology achieves the intended patient outcomes:</w:t>
      </w:r>
    </w:p>
    <w:p w14:paraId="7E7EF59C" w14:textId="77777777" w:rsidR="00755CF2" w:rsidRDefault="00755CF2" w:rsidP="006449AA">
      <w:r w:rsidRPr="7C8927C6">
        <w:t xml:space="preserve">Haemophilia A is caused by mutations in the F8 gene which provides instructions for producing the FVIII clotting factor. Because of these mutations, in patients with haemophilia A, either the FVIII protein does not function correctly, or an insufficient amount is produced, which in turn results in delayed blood clotting. The characteristic phenotype in haemophilia is the bleeding tendency with severity of bleeding directly correlated to the level of clotting factor. Following infusion with valoctocogene </w:t>
      </w:r>
      <w:proofErr w:type="spellStart"/>
      <w:r w:rsidRPr="7C8927C6">
        <w:t>roxaparvovec</w:t>
      </w:r>
      <w:proofErr w:type="spellEnd"/>
      <w:r w:rsidRPr="7C8927C6">
        <w:t xml:space="preserve">, a recombinant F8 gene is delivered preferentially to hepatocytes via the tissue tropism of the AAV5 vector. By delivering a </w:t>
      </w:r>
      <w:r>
        <w:t>functional</w:t>
      </w:r>
      <w:r w:rsidRPr="7C8927C6">
        <w:t xml:space="preserve"> F8 gene, FVIII production is restored to an effective level, </w:t>
      </w:r>
      <w:r>
        <w:t xml:space="preserve">without peaks and troughs, </w:t>
      </w:r>
      <w:r w:rsidRPr="7C8927C6">
        <w:t xml:space="preserve">thereby decreasing the risk of bleeding, and minimising the need for FVIII to treat bleeds. </w:t>
      </w:r>
      <w:r>
        <w:t xml:space="preserve">As described above, clinical evidence supports the claim of reduction in bleeding outcomes with valoctocogene </w:t>
      </w:r>
      <w:proofErr w:type="spellStart"/>
      <w:r>
        <w:t>roxaparvovec</w:t>
      </w:r>
      <w:proofErr w:type="spellEnd"/>
      <w:r>
        <w:t xml:space="preserve"> relative to </w:t>
      </w:r>
      <w:r w:rsidRPr="001961E5">
        <w:t xml:space="preserve">prophylactic </w:t>
      </w:r>
      <w:r>
        <w:t>treatment</w:t>
      </w:r>
      <w:r w:rsidRPr="001961E5">
        <w:t xml:space="preserve"> of FVIII</w:t>
      </w:r>
      <w:r>
        <w:t xml:space="preserve"> therapy and </w:t>
      </w:r>
      <w:proofErr w:type="spellStart"/>
      <w:r w:rsidRPr="00760246">
        <w:t>emicizumab</w:t>
      </w:r>
      <w:proofErr w:type="spellEnd"/>
      <w:r>
        <w:t>.</w:t>
      </w:r>
    </w:p>
    <w:p w14:paraId="35EF77A4" w14:textId="3292D991" w:rsidR="00755CF2" w:rsidRDefault="00755CF2" w:rsidP="006449AA">
      <w:r w:rsidRPr="6AA02213">
        <w:t xml:space="preserve">Reducing bleeds relative to prophylactic use of FVIII and </w:t>
      </w:r>
      <w:proofErr w:type="spellStart"/>
      <w:r w:rsidRPr="6AA02213">
        <w:t>emicizumab</w:t>
      </w:r>
      <w:proofErr w:type="spellEnd"/>
      <w:r w:rsidRPr="6AA02213">
        <w:t xml:space="preserve"> </w:t>
      </w:r>
      <w:r>
        <w:t>could</w:t>
      </w:r>
      <w:r w:rsidRPr="6AA02213">
        <w:t xml:space="preserve"> in turn be expected to improve a person’s quality of life: the patients </w:t>
      </w:r>
      <w:r>
        <w:t>may</w:t>
      </w:r>
      <w:r w:rsidRPr="6AA02213">
        <w:t xml:space="preserve"> be less anxious about having a bleeding </w:t>
      </w:r>
      <w:r w:rsidRPr="6AA02213">
        <w:lastRenderedPageBreak/>
        <w:t xml:space="preserve">event requiring medical attention or progressing to irreparable joint damage and disability. The patients will also have improved quality of life with valoctocogene </w:t>
      </w:r>
      <w:proofErr w:type="spellStart"/>
      <w:r w:rsidRPr="6AA02213">
        <w:t>roxaparvovec</w:t>
      </w:r>
      <w:proofErr w:type="spellEnd"/>
      <w:r w:rsidRPr="6AA02213">
        <w:t xml:space="preserve"> as a direct consequence of reduction in joint damage. </w:t>
      </w:r>
    </w:p>
    <w:p w14:paraId="72CB8227" w14:textId="46B15775" w:rsidR="00755CF2" w:rsidRPr="006449AA" w:rsidRDefault="00755CF2" w:rsidP="006449AA">
      <w:r>
        <w:t xml:space="preserve">Furthermore, patients receiving a single infusion of valoctocogene </w:t>
      </w:r>
      <w:proofErr w:type="spellStart"/>
      <w:r>
        <w:t>roxaparvovec</w:t>
      </w:r>
      <w:proofErr w:type="spellEnd"/>
      <w:r>
        <w:t xml:space="preserve"> gene therapy would be expected to have a better quality of life compared with p</w:t>
      </w:r>
      <w:r w:rsidRPr="00E55AC1">
        <w:t>rophyla</w:t>
      </w:r>
      <w:r>
        <w:t>ctic treatment with FVIII therapy</w:t>
      </w:r>
      <w:r w:rsidRPr="00C55F38">
        <w:t xml:space="preserve"> </w:t>
      </w:r>
      <w:r>
        <w:t xml:space="preserve">and </w:t>
      </w:r>
      <w:proofErr w:type="spellStart"/>
      <w:r w:rsidRPr="00760246">
        <w:t>emicizumab</w:t>
      </w:r>
      <w:proofErr w:type="spellEnd"/>
      <w:r>
        <w:t xml:space="preserve"> due to reduced treatment burden (FVIII requires intravenous infusions 2–3 times weekly [104–156 infusions/ year];</w:t>
      </w:r>
      <w:r w:rsidRPr="00F54843">
        <w:t xml:space="preserve"> </w:t>
      </w:r>
      <w:proofErr w:type="spellStart"/>
      <w:r w:rsidRPr="00760246">
        <w:t>emicizumab</w:t>
      </w:r>
      <w:proofErr w:type="spellEnd"/>
      <w:r>
        <w:t xml:space="preserve"> requires 1-4 subcutaneous injections per month [12–48 injections/year]).</w:t>
      </w:r>
    </w:p>
    <w:p w14:paraId="03C0612A" w14:textId="1DD088C9" w:rsidR="00755CF2" w:rsidRPr="006449AA" w:rsidRDefault="00755CF2" w:rsidP="006449AA">
      <w:pPr>
        <w:rPr>
          <w:bCs/>
          <w:color w:val="000000"/>
        </w:rPr>
      </w:pPr>
      <w:r w:rsidRPr="006A0DAC">
        <w:rPr>
          <w:rStyle w:val="Heading2Char"/>
          <w:rFonts w:eastAsiaTheme="minorHAnsi"/>
        </w:rPr>
        <w:t>For some people, compared with the comparator(s), does the test information result in:</w:t>
      </w:r>
      <w:r w:rsidRPr="00AE1F91">
        <w:rPr>
          <w:b/>
          <w:color w:val="000000"/>
        </w:rPr>
        <w:t xml:space="preserve"> </w:t>
      </w:r>
    </w:p>
    <w:p w14:paraId="1B94AB29" w14:textId="54F5136A" w:rsidR="00755CF2" w:rsidRPr="006449AA" w:rsidRDefault="00755CF2" w:rsidP="006449AA">
      <w:pPr>
        <w:pStyle w:val="ListParagraph"/>
        <w:numPr>
          <w:ilvl w:val="0"/>
          <w:numId w:val="19"/>
        </w:numPr>
        <w:spacing w:after="0"/>
        <w:rPr>
          <w:bCs/>
          <w:color w:val="000000"/>
        </w:rPr>
      </w:pPr>
      <w:r w:rsidRPr="006449AA">
        <w:rPr>
          <w:b/>
          <w:color w:val="000000"/>
        </w:rPr>
        <w:t>A change in clinical management?</w:t>
      </w:r>
      <w:r w:rsidRPr="006449AA">
        <w:rPr>
          <w:bCs/>
          <w:color w:val="000000"/>
        </w:rPr>
        <w:tab/>
      </w:r>
      <w:r w:rsidRPr="006449AA">
        <w:rPr>
          <w:bCs/>
          <w:color w:val="000000"/>
        </w:rPr>
        <w:tab/>
      </w:r>
    </w:p>
    <w:p w14:paraId="3EC5A91C" w14:textId="2251C761" w:rsidR="00755CF2" w:rsidRPr="006449AA" w:rsidRDefault="00755CF2" w:rsidP="006449AA">
      <w:pPr>
        <w:pStyle w:val="ListParagraph"/>
        <w:numPr>
          <w:ilvl w:val="0"/>
          <w:numId w:val="19"/>
        </w:numPr>
        <w:spacing w:after="0"/>
        <w:rPr>
          <w:bCs/>
          <w:color w:val="000000"/>
        </w:rPr>
      </w:pPr>
      <w:r w:rsidRPr="006449AA">
        <w:rPr>
          <w:b/>
          <w:color w:val="000000"/>
        </w:rPr>
        <w:t>A change in health outcome?</w:t>
      </w:r>
      <w:r w:rsidRPr="006449AA">
        <w:rPr>
          <w:bCs/>
          <w:color w:val="000000"/>
        </w:rPr>
        <w:tab/>
      </w:r>
      <w:r w:rsidRPr="006449AA">
        <w:rPr>
          <w:bCs/>
          <w:color w:val="000000"/>
        </w:rPr>
        <w:tab/>
      </w:r>
    </w:p>
    <w:p w14:paraId="785D7670" w14:textId="658D680F" w:rsidR="006449AA" w:rsidRPr="00E95F5C" w:rsidRDefault="00755CF2" w:rsidP="006449AA">
      <w:pPr>
        <w:pStyle w:val="ListParagraph"/>
        <w:numPr>
          <w:ilvl w:val="0"/>
          <w:numId w:val="19"/>
        </w:numPr>
        <w:spacing w:after="0"/>
        <w:rPr>
          <w:bCs/>
          <w:color w:val="000000"/>
        </w:rPr>
      </w:pPr>
      <w:r w:rsidRPr="006449AA">
        <w:rPr>
          <w:b/>
          <w:color w:val="000000"/>
        </w:rPr>
        <w:t>Other benefits?</w:t>
      </w:r>
      <w:r w:rsidRPr="006449AA">
        <w:rPr>
          <w:bCs/>
          <w:color w:val="000000"/>
        </w:rPr>
        <w:tab/>
      </w:r>
      <w:r w:rsidRPr="006449AA">
        <w:rPr>
          <w:bCs/>
          <w:color w:val="000000"/>
        </w:rPr>
        <w:tab/>
      </w:r>
      <w:r w:rsidRPr="006449AA">
        <w:rPr>
          <w:bCs/>
          <w:color w:val="000000"/>
        </w:rPr>
        <w:tab/>
      </w:r>
      <w:r w:rsidRPr="006449AA">
        <w:rPr>
          <w:bCs/>
          <w:color w:val="000000"/>
        </w:rPr>
        <w:tab/>
      </w:r>
    </w:p>
    <w:p w14:paraId="2CA90D08" w14:textId="7CDDEC4D" w:rsidR="006449AA" w:rsidRPr="00E95F5C" w:rsidRDefault="006449AA" w:rsidP="00E95F5C">
      <w:pPr>
        <w:spacing w:before="120"/>
      </w:pPr>
      <w:r>
        <w:t xml:space="preserve">Not applicable. </w:t>
      </w:r>
    </w:p>
    <w:p w14:paraId="6ACB8CC0" w14:textId="365A9294" w:rsidR="00755CF2" w:rsidRPr="006449AA" w:rsidRDefault="00755CF2" w:rsidP="006449AA">
      <w:pPr>
        <w:pStyle w:val="Heading2"/>
      </w:pPr>
      <w:r w:rsidRPr="00AE1F91">
        <w:t>Please provide a rationale, and information on other benefits if relevant:</w:t>
      </w:r>
    </w:p>
    <w:p w14:paraId="3CB84E34" w14:textId="4CB38B64" w:rsidR="00755CF2" w:rsidRPr="00E95F5C" w:rsidRDefault="00755CF2" w:rsidP="00E95F5C">
      <w:r>
        <w:t xml:space="preserve">Not applicable. </w:t>
      </w:r>
    </w:p>
    <w:p w14:paraId="059CFCE8" w14:textId="238630B5" w:rsidR="00755CF2" w:rsidRPr="00466E4E" w:rsidRDefault="00755CF2" w:rsidP="00466E4E">
      <w:pPr>
        <w:pStyle w:val="Heading2"/>
      </w:pPr>
      <w:r w:rsidRPr="00466E4E">
        <w:rPr>
          <w:rStyle w:val="Heading2Char"/>
          <w:b/>
          <w:bCs/>
        </w:rPr>
        <w:t xml:space="preserve">In terms of the immediate costs of the proposed technology (and immediate cost consequences, such as procedural costs, testing costs etc.), is the proposed technology claimed to be more costly, the same cost or less costly than the comparator? </w:t>
      </w:r>
    </w:p>
    <w:p w14:paraId="729F05DA" w14:textId="77777777" w:rsidR="00755CF2" w:rsidRPr="00AE1F91" w:rsidRDefault="00755CF2" w:rsidP="00755CF2">
      <w:pPr>
        <w:spacing w:after="0"/>
        <w:rPr>
          <w:bCs/>
        </w:rPr>
      </w:pPr>
      <w:r w:rsidRPr="00CC2FD5">
        <w:rPr>
          <w:bCs/>
        </w:rPr>
        <w:fldChar w:fldCharType="begin">
          <w:ffData>
            <w:name w:val=""/>
            <w:enabled/>
            <w:calcOnExit w:val="0"/>
            <w:checkBox>
              <w:sizeAuto/>
              <w:default w:val="1"/>
            </w:checkBox>
          </w:ffData>
        </w:fldChar>
      </w:r>
      <w:r w:rsidRPr="00CC2FD5">
        <w:rPr>
          <w:bCs/>
        </w:rPr>
        <w:instrText xml:space="preserve"> FORMCHECKBOX </w:instrText>
      </w:r>
      <w:r w:rsidR="00A94F35">
        <w:rPr>
          <w:bCs/>
        </w:rPr>
      </w:r>
      <w:r w:rsidR="00A94F35">
        <w:rPr>
          <w:bCs/>
        </w:rPr>
        <w:fldChar w:fldCharType="separate"/>
      </w:r>
      <w:r w:rsidRPr="00CC2FD5">
        <w:rPr>
          <w:bCs/>
        </w:rPr>
        <w:fldChar w:fldCharType="end"/>
      </w:r>
      <w:r w:rsidRPr="00CC2FD5">
        <w:rPr>
          <w:bCs/>
        </w:rPr>
        <w:t xml:space="preserve"> More costly</w:t>
      </w:r>
      <w:r w:rsidRPr="00AE1F91">
        <w:rPr>
          <w:bCs/>
        </w:rPr>
        <w:t xml:space="preserve"> </w:t>
      </w:r>
    </w:p>
    <w:p w14:paraId="59B07787" w14:textId="77777777" w:rsidR="00755CF2" w:rsidRPr="00AE1F91" w:rsidRDefault="00755CF2" w:rsidP="00755CF2">
      <w:pPr>
        <w:spacing w:after="0"/>
        <w:rPr>
          <w:bCs/>
        </w:rPr>
      </w:pPr>
      <w:r w:rsidRPr="00AE1F91">
        <w:rPr>
          <w:bCs/>
        </w:rPr>
        <w:fldChar w:fldCharType="begin">
          <w:ffData>
            <w:name w:val="Check2"/>
            <w:enabled/>
            <w:calcOnExit w:val="0"/>
            <w:checkBox>
              <w:sizeAuto/>
              <w:default w:val="0"/>
            </w:checkBox>
          </w:ffData>
        </w:fldChar>
      </w:r>
      <w:r w:rsidRPr="00AE1F91">
        <w:rPr>
          <w:bCs/>
        </w:rPr>
        <w:instrText xml:space="preserve"> FORMCHECKBOX </w:instrText>
      </w:r>
      <w:r w:rsidR="00A94F35">
        <w:rPr>
          <w:bCs/>
        </w:rPr>
      </w:r>
      <w:r w:rsidR="00A94F35">
        <w:rPr>
          <w:bCs/>
        </w:rPr>
        <w:fldChar w:fldCharType="separate"/>
      </w:r>
      <w:r w:rsidRPr="00AE1F91">
        <w:rPr>
          <w:bCs/>
        </w:rPr>
        <w:fldChar w:fldCharType="end"/>
      </w:r>
      <w:r w:rsidRPr="00AE1F91">
        <w:rPr>
          <w:bCs/>
        </w:rPr>
        <w:t xml:space="preserve"> Same cost</w:t>
      </w:r>
    </w:p>
    <w:p w14:paraId="61E64F48" w14:textId="77777777" w:rsidR="00755CF2" w:rsidRPr="00AE1F91" w:rsidRDefault="00755CF2" w:rsidP="00755CF2">
      <w:pPr>
        <w:spacing w:after="0"/>
        <w:rPr>
          <w:bCs/>
        </w:rPr>
      </w:pPr>
      <w:r w:rsidRPr="00AE1F91">
        <w:rPr>
          <w:bCs/>
        </w:rPr>
        <w:fldChar w:fldCharType="begin">
          <w:ffData>
            <w:name w:val="Check1"/>
            <w:enabled/>
            <w:calcOnExit w:val="0"/>
            <w:checkBox>
              <w:sizeAuto/>
              <w:default w:val="0"/>
            </w:checkBox>
          </w:ffData>
        </w:fldChar>
      </w:r>
      <w:r w:rsidRPr="00AE1F91">
        <w:rPr>
          <w:bCs/>
        </w:rPr>
        <w:instrText xml:space="preserve"> FORMCHECKBOX </w:instrText>
      </w:r>
      <w:r w:rsidR="00A94F35">
        <w:rPr>
          <w:bCs/>
        </w:rPr>
      </w:r>
      <w:r w:rsidR="00A94F35">
        <w:rPr>
          <w:bCs/>
        </w:rPr>
        <w:fldChar w:fldCharType="separate"/>
      </w:r>
      <w:r w:rsidRPr="00AE1F91">
        <w:rPr>
          <w:bCs/>
        </w:rPr>
        <w:fldChar w:fldCharType="end"/>
      </w:r>
      <w:r w:rsidRPr="00AE1F91">
        <w:rPr>
          <w:bCs/>
        </w:rPr>
        <w:t xml:space="preserve"> Less costly </w:t>
      </w:r>
    </w:p>
    <w:p w14:paraId="5B7C63CF" w14:textId="77777777" w:rsidR="00755CF2" w:rsidRPr="00AE1F91" w:rsidRDefault="00755CF2" w:rsidP="00755CF2">
      <w:pPr>
        <w:spacing w:after="0"/>
        <w:rPr>
          <w:b/>
          <w:color w:val="000000"/>
        </w:rPr>
      </w:pPr>
    </w:p>
    <w:p w14:paraId="02F8D965" w14:textId="6E074793" w:rsidR="00755CF2" w:rsidRPr="006449AA" w:rsidRDefault="00755CF2" w:rsidP="006449AA">
      <w:pPr>
        <w:pStyle w:val="Heading2"/>
      </w:pPr>
      <w:r w:rsidRPr="00AE1F91">
        <w:t>Provide a brief rationale for the claim:</w:t>
      </w:r>
    </w:p>
    <w:p w14:paraId="1FB8B942" w14:textId="77777777" w:rsidR="00755CF2" w:rsidRPr="00AE1F91" w:rsidRDefault="00755CF2" w:rsidP="00755CF2">
      <w:pPr>
        <w:spacing w:after="0"/>
      </w:pPr>
      <w:r w:rsidRPr="6B660F63">
        <w:t xml:space="preserve">Valoctocogene </w:t>
      </w:r>
      <w:proofErr w:type="spellStart"/>
      <w:r w:rsidRPr="6B660F63">
        <w:t>roxaparvovec</w:t>
      </w:r>
      <w:proofErr w:type="spellEnd"/>
      <w:r w:rsidRPr="00DD120A">
        <w:t xml:space="preserve"> </w:t>
      </w:r>
      <w:r>
        <w:t xml:space="preserve">is a single administration treatment that </w:t>
      </w:r>
      <w:r w:rsidRPr="6B660F63">
        <w:t xml:space="preserve">is associated with a higher upfront cost however, </w:t>
      </w:r>
      <w:r>
        <w:t>considering it displaces chronic treatment with the comparators</w:t>
      </w:r>
      <w:r w:rsidRPr="6B660F63">
        <w:t xml:space="preserve"> over time, significant cost savings will be anticipated given the reduced FVIII utilisation and need to manage of bleeding events. A cost-effectiveness model will be provided in the ADAR along with the justification for the unit price of valoctocogene </w:t>
      </w:r>
      <w:proofErr w:type="spellStart"/>
      <w:r w:rsidRPr="6B660F63">
        <w:t>roxaparvovec</w:t>
      </w:r>
      <w:proofErr w:type="spellEnd"/>
      <w:r w:rsidRPr="6B660F63">
        <w:t xml:space="preserve">. </w:t>
      </w:r>
    </w:p>
    <w:p w14:paraId="0CA7C9FC" w14:textId="77777777" w:rsidR="00755CF2" w:rsidRDefault="00755CF2" w:rsidP="00755CF2">
      <w:pPr>
        <w:rPr>
          <w:b/>
          <w:color w:val="000000"/>
          <w:sz w:val="32"/>
        </w:rPr>
      </w:pPr>
    </w:p>
    <w:p w14:paraId="1BFC8B16" w14:textId="77777777" w:rsidR="00755CF2" w:rsidRDefault="00755CF2" w:rsidP="00755CF2">
      <w:pPr>
        <w:rPr>
          <w:b/>
          <w:color w:val="000000"/>
          <w:sz w:val="32"/>
        </w:rPr>
        <w:sectPr w:rsidR="00755CF2" w:rsidSect="000F4DD6">
          <w:headerReference w:type="default" r:id="rId17"/>
          <w:footerReference w:type="default" r:id="rId18"/>
          <w:pgSz w:w="11906" w:h="16838"/>
          <w:pgMar w:top="1440" w:right="991" w:bottom="993" w:left="1440" w:header="426" w:footer="252" w:gutter="0"/>
          <w:pgNumType w:start="1"/>
          <w:cols w:space="708"/>
          <w:docGrid w:linePitch="360"/>
        </w:sectPr>
      </w:pPr>
    </w:p>
    <w:p w14:paraId="427089DB" w14:textId="77777777" w:rsidR="00755CF2" w:rsidRDefault="00755CF2" w:rsidP="00D200D1">
      <w:pPr>
        <w:pStyle w:val="Heading1"/>
      </w:pPr>
      <w:r w:rsidRPr="00AE1F91">
        <w:lastRenderedPageBreak/>
        <w:t>Summary of Evidence</w:t>
      </w:r>
    </w:p>
    <w:p w14:paraId="72657F9B" w14:textId="77777777" w:rsidR="00755CF2" w:rsidRPr="00B839D0" w:rsidRDefault="00755CF2" w:rsidP="00755CF2">
      <w:pPr>
        <w:pStyle w:val="Heading2"/>
      </w:pPr>
      <w:r w:rsidRPr="00B839D0">
        <w:t xml:space="preserve">Provide one or more recent (published) high quality clinical studies that support use of the proposed health service/technology. </w:t>
      </w:r>
    </w:p>
    <w:p w14:paraId="3ADD5079" w14:textId="77777777" w:rsidR="00755CF2" w:rsidRPr="00D97C25" w:rsidRDefault="00755CF2" w:rsidP="00755CF2"/>
    <w:tbl>
      <w:tblPr>
        <w:tblStyle w:val="TableGrid"/>
        <w:tblW w:w="5170" w:type="pct"/>
        <w:tblLayout w:type="fixed"/>
        <w:tblLook w:val="04A0" w:firstRow="1" w:lastRow="0" w:firstColumn="1" w:lastColumn="0" w:noHBand="0" w:noVBand="1"/>
      </w:tblPr>
      <w:tblGrid>
        <w:gridCol w:w="353"/>
        <w:gridCol w:w="1627"/>
        <w:gridCol w:w="2550"/>
        <w:gridCol w:w="5813"/>
        <w:gridCol w:w="3304"/>
        <w:gridCol w:w="1091"/>
      </w:tblGrid>
      <w:tr w:rsidR="006449AA" w:rsidRPr="001B3C30" w14:paraId="30E45D8F" w14:textId="77777777" w:rsidTr="00466E4E">
        <w:trPr>
          <w:cantSplit/>
          <w:tblHeader/>
        </w:trPr>
        <w:tc>
          <w:tcPr>
            <w:tcW w:w="120" w:type="pct"/>
          </w:tcPr>
          <w:p w14:paraId="576512D7" w14:textId="77777777" w:rsidR="00755CF2" w:rsidRPr="001B3C30" w:rsidRDefault="00755CF2" w:rsidP="00874D92">
            <w:pPr>
              <w:pStyle w:val="TableText"/>
              <w:keepNext w:val="0"/>
              <w:keepLines w:val="0"/>
              <w:widowControl w:val="0"/>
              <w:rPr>
                <w:b/>
                <w:bCs/>
              </w:rPr>
            </w:pPr>
          </w:p>
        </w:tc>
        <w:tc>
          <w:tcPr>
            <w:tcW w:w="552" w:type="pct"/>
          </w:tcPr>
          <w:p w14:paraId="5B9096A0" w14:textId="77777777" w:rsidR="00755CF2" w:rsidRPr="001B3C30" w:rsidRDefault="00755CF2" w:rsidP="00874D92">
            <w:pPr>
              <w:pStyle w:val="TableText"/>
              <w:keepNext w:val="0"/>
              <w:keepLines w:val="0"/>
              <w:widowControl w:val="0"/>
              <w:rPr>
                <w:b/>
                <w:bCs/>
              </w:rPr>
            </w:pPr>
            <w:r w:rsidRPr="001B3C30">
              <w:rPr>
                <w:b/>
                <w:bCs/>
              </w:rPr>
              <w:t>Type of study design</w:t>
            </w:r>
          </w:p>
        </w:tc>
        <w:tc>
          <w:tcPr>
            <w:tcW w:w="865" w:type="pct"/>
          </w:tcPr>
          <w:p w14:paraId="54EF4DC4" w14:textId="5A0B802F" w:rsidR="00755CF2" w:rsidRPr="001B3C30" w:rsidRDefault="00755CF2" w:rsidP="00874D92">
            <w:pPr>
              <w:pStyle w:val="TableText"/>
              <w:keepNext w:val="0"/>
              <w:keepLines w:val="0"/>
              <w:widowControl w:val="0"/>
              <w:rPr>
                <w:b/>
                <w:bCs/>
              </w:rPr>
            </w:pPr>
            <w:r w:rsidRPr="001B3C30">
              <w:rPr>
                <w:b/>
                <w:bCs/>
              </w:rPr>
              <w:t xml:space="preserve">Title of journal article or research project </w:t>
            </w:r>
          </w:p>
        </w:tc>
        <w:tc>
          <w:tcPr>
            <w:tcW w:w="1972" w:type="pct"/>
          </w:tcPr>
          <w:p w14:paraId="7B8749A4" w14:textId="38A982CB" w:rsidR="00755CF2" w:rsidRPr="001B3C30" w:rsidRDefault="00755CF2" w:rsidP="00874D92">
            <w:pPr>
              <w:pStyle w:val="TableText"/>
              <w:keepNext w:val="0"/>
              <w:keepLines w:val="0"/>
              <w:widowControl w:val="0"/>
              <w:rPr>
                <w:b/>
                <w:bCs/>
              </w:rPr>
            </w:pPr>
            <w:r w:rsidRPr="6B660F63">
              <w:rPr>
                <w:b/>
                <w:bCs/>
              </w:rPr>
              <w:t xml:space="preserve">Short description of research </w:t>
            </w:r>
          </w:p>
        </w:tc>
        <w:tc>
          <w:tcPr>
            <w:tcW w:w="1121" w:type="pct"/>
          </w:tcPr>
          <w:p w14:paraId="102118EF" w14:textId="45C0D756" w:rsidR="00755CF2" w:rsidRPr="001B3C30" w:rsidRDefault="00755CF2" w:rsidP="00874D92">
            <w:pPr>
              <w:pStyle w:val="TableText"/>
              <w:keepNext w:val="0"/>
              <w:keepLines w:val="0"/>
              <w:widowControl w:val="0"/>
              <w:rPr>
                <w:b/>
                <w:bCs/>
              </w:rPr>
            </w:pPr>
            <w:r w:rsidRPr="001B3C30">
              <w:rPr>
                <w:b/>
                <w:bCs/>
              </w:rPr>
              <w:t>Website link to journal article or research</w:t>
            </w:r>
          </w:p>
        </w:tc>
        <w:tc>
          <w:tcPr>
            <w:tcW w:w="370" w:type="pct"/>
          </w:tcPr>
          <w:p w14:paraId="60C64225" w14:textId="77777777" w:rsidR="00755CF2" w:rsidRPr="001B3C30" w:rsidRDefault="00755CF2" w:rsidP="00874D92">
            <w:pPr>
              <w:pStyle w:val="TableText"/>
              <w:keepNext w:val="0"/>
              <w:keepLines w:val="0"/>
              <w:widowControl w:val="0"/>
              <w:rPr>
                <w:b/>
                <w:bCs/>
              </w:rPr>
            </w:pPr>
            <w:r w:rsidRPr="001B3C30">
              <w:rPr>
                <w:b/>
                <w:bCs/>
              </w:rPr>
              <w:t>Date of publication</w:t>
            </w:r>
          </w:p>
        </w:tc>
      </w:tr>
      <w:tr w:rsidR="006449AA" w14:paraId="55C26275" w14:textId="77777777" w:rsidTr="00466E4E">
        <w:trPr>
          <w:cantSplit/>
        </w:trPr>
        <w:tc>
          <w:tcPr>
            <w:tcW w:w="120" w:type="pct"/>
          </w:tcPr>
          <w:p w14:paraId="43E601CD" w14:textId="77777777" w:rsidR="00755CF2" w:rsidRPr="00965B6B" w:rsidRDefault="00755CF2" w:rsidP="00874D92">
            <w:pPr>
              <w:pStyle w:val="TableText"/>
              <w:keepNext w:val="0"/>
              <w:keepLines w:val="0"/>
              <w:widowControl w:val="0"/>
            </w:pPr>
            <w:r>
              <w:t>1</w:t>
            </w:r>
            <w:r w:rsidRPr="001133C8">
              <w:t>.</w:t>
            </w:r>
          </w:p>
        </w:tc>
        <w:tc>
          <w:tcPr>
            <w:tcW w:w="552" w:type="pct"/>
            <w:tcBorders>
              <w:bottom w:val="single" w:sz="4" w:space="0" w:color="auto"/>
            </w:tcBorders>
          </w:tcPr>
          <w:p w14:paraId="69E000EB" w14:textId="77777777" w:rsidR="00755CF2" w:rsidRPr="003E4D80" w:rsidRDefault="00755CF2" w:rsidP="00874D92">
            <w:pPr>
              <w:pStyle w:val="TableText"/>
              <w:keepNext w:val="0"/>
              <w:keepLines w:val="0"/>
              <w:widowControl w:val="0"/>
              <w:rPr>
                <w:b/>
                <w:u w:val="single"/>
              </w:rPr>
            </w:pPr>
            <w:r w:rsidRPr="003E4D80">
              <w:rPr>
                <w:b/>
                <w:u w:val="single"/>
              </w:rPr>
              <w:t>Study 270-201</w:t>
            </w:r>
          </w:p>
          <w:p w14:paraId="51902358" w14:textId="77777777" w:rsidR="00755CF2" w:rsidRPr="003E4D80" w:rsidRDefault="00755CF2" w:rsidP="00874D92">
            <w:pPr>
              <w:pStyle w:val="TableText"/>
              <w:keepNext w:val="0"/>
              <w:keepLines w:val="0"/>
              <w:widowControl w:val="0"/>
              <w:rPr>
                <w:bCs/>
              </w:rPr>
            </w:pPr>
            <w:r w:rsidRPr="003E4D80">
              <w:rPr>
                <w:bCs/>
              </w:rPr>
              <w:t>NCT02576795</w:t>
            </w:r>
          </w:p>
          <w:p w14:paraId="21A8B6FF" w14:textId="77777777" w:rsidR="00755CF2" w:rsidRPr="003E4D80" w:rsidRDefault="00755CF2" w:rsidP="00874D92">
            <w:pPr>
              <w:pStyle w:val="TableText"/>
              <w:keepNext w:val="0"/>
              <w:keepLines w:val="0"/>
              <w:widowControl w:val="0"/>
              <w:rPr>
                <w:bCs/>
              </w:rPr>
            </w:pPr>
            <w:r w:rsidRPr="003E4D80">
              <w:rPr>
                <w:bCs/>
              </w:rPr>
              <w:t>Phase 1 / 2, OL, dose escalation study</w:t>
            </w:r>
          </w:p>
          <w:p w14:paraId="608107D0" w14:textId="77777777" w:rsidR="00755CF2" w:rsidRDefault="00755CF2" w:rsidP="00874D92">
            <w:pPr>
              <w:pStyle w:val="TableText"/>
              <w:keepNext w:val="0"/>
              <w:keepLines w:val="0"/>
              <w:widowControl w:val="0"/>
              <w:rPr>
                <w:bCs/>
              </w:rPr>
            </w:pPr>
            <w:r w:rsidRPr="003E4D80">
              <w:rPr>
                <w:bCs/>
              </w:rPr>
              <w:t xml:space="preserve">Follow up to 5 years </w:t>
            </w:r>
            <w:proofErr w:type="gramStart"/>
            <w:r w:rsidRPr="003E4D80">
              <w:rPr>
                <w:bCs/>
              </w:rPr>
              <w:t>available</w:t>
            </w:r>
            <w:proofErr w:type="gramEnd"/>
          </w:p>
          <w:p w14:paraId="511592B9" w14:textId="77777777" w:rsidR="00755CF2" w:rsidRPr="003E4D80" w:rsidRDefault="00755CF2" w:rsidP="00874D92">
            <w:pPr>
              <w:pStyle w:val="TableText"/>
              <w:keepNext w:val="0"/>
              <w:keepLines w:val="0"/>
              <w:widowControl w:val="0"/>
              <w:rPr>
                <w:bCs/>
              </w:rPr>
            </w:pPr>
            <w:r>
              <w:rPr>
                <w:bCs/>
              </w:rPr>
              <w:t>Ongoing</w:t>
            </w:r>
          </w:p>
        </w:tc>
        <w:tc>
          <w:tcPr>
            <w:tcW w:w="865" w:type="pct"/>
          </w:tcPr>
          <w:p w14:paraId="43AAAD15" w14:textId="77777777" w:rsidR="00755CF2" w:rsidRPr="003E4D80" w:rsidRDefault="00755CF2" w:rsidP="00874D92">
            <w:pPr>
              <w:pStyle w:val="TableText"/>
              <w:keepNext w:val="0"/>
              <w:keepLines w:val="0"/>
              <w:widowControl w:val="0"/>
              <w:rPr>
                <w:bCs/>
              </w:rPr>
            </w:pPr>
            <w:r w:rsidRPr="003D0890">
              <w:rPr>
                <w:bCs/>
                <w:u w:val="single"/>
              </w:rPr>
              <w:t>Pasi (2021).</w:t>
            </w:r>
            <w:r w:rsidRPr="003E4D80">
              <w:rPr>
                <w:bCs/>
              </w:rPr>
              <w:t xml:space="preserve"> Persistence of </w:t>
            </w:r>
            <w:proofErr w:type="spellStart"/>
            <w:r w:rsidRPr="003E4D80">
              <w:rPr>
                <w:bCs/>
              </w:rPr>
              <w:t>haemostatic</w:t>
            </w:r>
            <w:proofErr w:type="spellEnd"/>
            <w:r w:rsidRPr="003E4D80">
              <w:rPr>
                <w:bCs/>
              </w:rPr>
              <w:t xml:space="preserve"> response following gene therapy with valoctocogene </w:t>
            </w:r>
            <w:proofErr w:type="spellStart"/>
            <w:r w:rsidRPr="003E4D80">
              <w:rPr>
                <w:bCs/>
              </w:rPr>
              <w:t>roxaparvovec</w:t>
            </w:r>
            <w:proofErr w:type="spellEnd"/>
            <w:r w:rsidRPr="003E4D80">
              <w:rPr>
                <w:bCs/>
              </w:rPr>
              <w:t xml:space="preserve"> in severe </w:t>
            </w:r>
            <w:proofErr w:type="spellStart"/>
            <w:r w:rsidRPr="003E4D80">
              <w:rPr>
                <w:bCs/>
              </w:rPr>
              <w:t>haemophilia</w:t>
            </w:r>
            <w:proofErr w:type="spellEnd"/>
            <w:r w:rsidRPr="003E4D80">
              <w:rPr>
                <w:bCs/>
              </w:rPr>
              <w:t xml:space="preserve"> A. </w:t>
            </w:r>
          </w:p>
        </w:tc>
        <w:tc>
          <w:tcPr>
            <w:tcW w:w="1972" w:type="pct"/>
          </w:tcPr>
          <w:p w14:paraId="05BECB5C" w14:textId="77777777" w:rsidR="00755CF2" w:rsidRDefault="00755CF2" w:rsidP="00874D92">
            <w:pPr>
              <w:pStyle w:val="TableText"/>
              <w:keepNext w:val="0"/>
              <w:keepLines w:val="0"/>
              <w:widowControl w:val="0"/>
            </w:pPr>
            <w:r>
              <w:rPr>
                <w:bCs/>
              </w:rPr>
              <w:t xml:space="preserve">Participants, male adults with severe HA </w:t>
            </w:r>
            <w:r w:rsidRPr="00F94E8C">
              <w:rPr>
                <w:bCs/>
              </w:rPr>
              <w:t xml:space="preserve">(FVIII≤1 IU/dL) </w:t>
            </w:r>
            <w:r>
              <w:rPr>
                <w:bCs/>
              </w:rPr>
              <w:t>without pre-existing antibodies to AAV5, and without FVIII inhibitors, were enrolled in one of four cohorts, and received one single IV infusion, at a dose based on body weight (N=15).</w:t>
            </w:r>
            <w:r w:rsidRPr="003E4D80">
              <w:rPr>
                <w:bCs/>
              </w:rPr>
              <w:t xml:space="preserve"> The primary endpoints were safety and determining the dose of </w:t>
            </w:r>
            <w:r>
              <w:rPr>
                <w:bCs/>
              </w:rPr>
              <w:t xml:space="preserve">valoctocogene </w:t>
            </w:r>
            <w:proofErr w:type="spellStart"/>
            <w:r>
              <w:rPr>
                <w:bCs/>
              </w:rPr>
              <w:t>roxaparvovec</w:t>
            </w:r>
            <w:proofErr w:type="spellEnd"/>
            <w:r w:rsidRPr="003E4D80">
              <w:rPr>
                <w:bCs/>
              </w:rPr>
              <w:t xml:space="preserve"> required to achieve FVIII activity levels ≥5% at Week 16 post-infusion</w:t>
            </w:r>
            <w:r>
              <w:rPr>
                <w:bCs/>
              </w:rPr>
              <w:t>.</w:t>
            </w:r>
            <w:r w:rsidRPr="003E4D80">
              <w:rPr>
                <w:bCs/>
              </w:rPr>
              <w:t xml:space="preserve"> The results demonstrated the optimal dose of </w:t>
            </w:r>
            <w:r>
              <w:rPr>
                <w:bCs/>
              </w:rPr>
              <w:t xml:space="preserve">valoctocogene </w:t>
            </w:r>
            <w:proofErr w:type="spellStart"/>
            <w:r>
              <w:rPr>
                <w:bCs/>
              </w:rPr>
              <w:t>roxaparvovec</w:t>
            </w:r>
            <w:proofErr w:type="spellEnd"/>
            <w:r w:rsidRPr="003E4D80">
              <w:rPr>
                <w:bCs/>
              </w:rPr>
              <w:t xml:space="preserve"> to be 6x10</w:t>
            </w:r>
            <w:r w:rsidRPr="00B564A2">
              <w:rPr>
                <w:bCs/>
                <w:vertAlign w:val="superscript"/>
              </w:rPr>
              <w:t>13</w:t>
            </w:r>
            <w:r w:rsidRPr="003E4D80">
              <w:rPr>
                <w:bCs/>
              </w:rPr>
              <w:t xml:space="preserve"> vg/kg. This dose was subsequently used in the phase III trial, Study 301. </w:t>
            </w:r>
            <w:r w:rsidRPr="00F94E8C">
              <w:rPr>
                <w:bCs/>
              </w:rPr>
              <w:t>The</w:t>
            </w:r>
            <w:r>
              <w:rPr>
                <w:bCs/>
              </w:rPr>
              <w:t xml:space="preserve"> study </w:t>
            </w:r>
            <w:r w:rsidRPr="00F94E8C">
              <w:rPr>
                <w:bCs/>
              </w:rPr>
              <w:t>demonstrate</w:t>
            </w:r>
            <w:r>
              <w:rPr>
                <w:bCs/>
              </w:rPr>
              <w:t>d</w:t>
            </w:r>
            <w:r w:rsidRPr="00F94E8C">
              <w:rPr>
                <w:bCs/>
              </w:rPr>
              <w:t xml:space="preserve"> transgene expression and </w:t>
            </w:r>
            <w:proofErr w:type="spellStart"/>
            <w:r w:rsidRPr="00F94E8C">
              <w:rPr>
                <w:bCs/>
              </w:rPr>
              <w:t>haemostatic</w:t>
            </w:r>
            <w:proofErr w:type="spellEnd"/>
            <w:r>
              <w:rPr>
                <w:bCs/>
              </w:rPr>
              <w:t xml:space="preserve"> </w:t>
            </w:r>
            <w:r w:rsidRPr="00F94E8C">
              <w:rPr>
                <w:bCs/>
              </w:rPr>
              <w:t xml:space="preserve">response for up to 5 years in individuals with </w:t>
            </w:r>
            <w:r>
              <w:rPr>
                <w:bCs/>
              </w:rPr>
              <w:t>HA and an acceptable safety profile</w:t>
            </w:r>
            <w:r w:rsidRPr="00F94E8C">
              <w:rPr>
                <w:bCs/>
              </w:rPr>
              <w:t>.</w:t>
            </w:r>
          </w:p>
        </w:tc>
        <w:tc>
          <w:tcPr>
            <w:tcW w:w="1121" w:type="pct"/>
          </w:tcPr>
          <w:p w14:paraId="511FD4DC" w14:textId="399AF7DF" w:rsidR="00755CF2" w:rsidRDefault="00A94F35" w:rsidP="00874D92">
            <w:pPr>
              <w:pStyle w:val="TableText"/>
              <w:keepNext w:val="0"/>
              <w:keepLines w:val="0"/>
              <w:widowControl w:val="0"/>
              <w:rPr>
                <w:bCs/>
              </w:rPr>
            </w:pPr>
            <w:hyperlink r:id="rId19" w:history="1">
              <w:r w:rsidR="006449AA" w:rsidRPr="004F3117">
                <w:rPr>
                  <w:rStyle w:val="Hyperlink"/>
                  <w:bCs/>
                </w:rPr>
                <w:t>https://pubmed.ncbi.nlm.nih.gov/34378280/</w:t>
              </w:r>
            </w:hyperlink>
          </w:p>
          <w:p w14:paraId="038C3BE7" w14:textId="1211D4DD" w:rsidR="006449AA" w:rsidRPr="003E4D80" w:rsidRDefault="006449AA" w:rsidP="00874D92">
            <w:pPr>
              <w:pStyle w:val="TableText"/>
              <w:keepNext w:val="0"/>
              <w:keepLines w:val="0"/>
              <w:widowControl w:val="0"/>
              <w:rPr>
                <w:bCs/>
              </w:rPr>
            </w:pPr>
          </w:p>
        </w:tc>
        <w:tc>
          <w:tcPr>
            <w:tcW w:w="370" w:type="pct"/>
          </w:tcPr>
          <w:p w14:paraId="35E2B83A" w14:textId="77777777" w:rsidR="00755CF2" w:rsidRPr="003E4D80" w:rsidRDefault="00755CF2" w:rsidP="00874D92">
            <w:pPr>
              <w:pStyle w:val="TableText"/>
              <w:keepNext w:val="0"/>
              <w:keepLines w:val="0"/>
              <w:widowControl w:val="0"/>
              <w:rPr>
                <w:bCs/>
              </w:rPr>
            </w:pPr>
            <w:r w:rsidRPr="003E4D80">
              <w:rPr>
                <w:bCs/>
              </w:rPr>
              <w:t>2021</w:t>
            </w:r>
          </w:p>
        </w:tc>
      </w:tr>
      <w:tr w:rsidR="006449AA" w14:paraId="740D3006" w14:textId="77777777" w:rsidTr="00466E4E">
        <w:trPr>
          <w:cantSplit/>
        </w:trPr>
        <w:tc>
          <w:tcPr>
            <w:tcW w:w="120" w:type="pct"/>
          </w:tcPr>
          <w:p w14:paraId="1D481718" w14:textId="77777777" w:rsidR="00755CF2" w:rsidRPr="00965B6B" w:rsidRDefault="00755CF2" w:rsidP="00874D92">
            <w:pPr>
              <w:pStyle w:val="TableText"/>
              <w:keepNext w:val="0"/>
              <w:keepLines w:val="0"/>
              <w:widowControl w:val="0"/>
            </w:pPr>
            <w:r>
              <w:t>2.</w:t>
            </w:r>
          </w:p>
        </w:tc>
        <w:tc>
          <w:tcPr>
            <w:tcW w:w="552" w:type="pct"/>
            <w:tcBorders>
              <w:bottom w:val="nil"/>
            </w:tcBorders>
          </w:tcPr>
          <w:p w14:paraId="71AABF78" w14:textId="77777777" w:rsidR="00755CF2" w:rsidRDefault="00755CF2" w:rsidP="00874D92">
            <w:pPr>
              <w:pStyle w:val="TableText"/>
              <w:keepNext w:val="0"/>
              <w:keepLines w:val="0"/>
              <w:widowControl w:val="0"/>
              <w:rPr>
                <w:b/>
                <w:bCs/>
              </w:rPr>
            </w:pPr>
            <w:r w:rsidRPr="00A978C8">
              <w:rPr>
                <w:b/>
                <w:bCs/>
              </w:rPr>
              <w:t>Study 270-301</w:t>
            </w:r>
            <w:r>
              <w:rPr>
                <w:b/>
                <w:bCs/>
              </w:rPr>
              <w:t xml:space="preserve"> (</w:t>
            </w:r>
            <w:r w:rsidRPr="00F94E8C">
              <w:rPr>
                <w:b/>
                <w:bCs/>
              </w:rPr>
              <w:t>GENEr8-1</w:t>
            </w:r>
            <w:r>
              <w:rPr>
                <w:b/>
                <w:bCs/>
              </w:rPr>
              <w:t>)</w:t>
            </w:r>
          </w:p>
          <w:p w14:paraId="3E8050EF" w14:textId="77777777" w:rsidR="00755CF2" w:rsidRDefault="00755CF2" w:rsidP="00874D92">
            <w:pPr>
              <w:pStyle w:val="TableText"/>
              <w:keepNext w:val="0"/>
              <w:keepLines w:val="0"/>
              <w:widowControl w:val="0"/>
            </w:pPr>
            <w:r w:rsidRPr="003D0890">
              <w:t>NCT03370913</w:t>
            </w:r>
          </w:p>
          <w:p w14:paraId="5BADC1DB" w14:textId="77777777" w:rsidR="00755CF2" w:rsidRDefault="00755CF2" w:rsidP="00874D92">
            <w:pPr>
              <w:pStyle w:val="TableText"/>
              <w:keepNext w:val="0"/>
              <w:keepLines w:val="0"/>
              <w:widowControl w:val="0"/>
            </w:pPr>
            <w:r w:rsidRPr="00A978C8">
              <w:t>Phase 3, OL, SA</w:t>
            </w:r>
          </w:p>
          <w:p w14:paraId="33F2D104" w14:textId="77777777" w:rsidR="00755CF2" w:rsidRPr="003D0890" w:rsidRDefault="00755CF2" w:rsidP="00874D92">
            <w:pPr>
              <w:pStyle w:val="TableText"/>
              <w:keepNext w:val="0"/>
              <w:keepLines w:val="0"/>
              <w:widowControl w:val="0"/>
              <w:rPr>
                <w:bCs/>
              </w:rPr>
            </w:pPr>
            <w:r>
              <w:rPr>
                <w:bCs/>
              </w:rPr>
              <w:t>104</w:t>
            </w:r>
            <w:r w:rsidRPr="003D0890">
              <w:rPr>
                <w:bCs/>
              </w:rPr>
              <w:t xml:space="preserve"> weeks follow up </w:t>
            </w:r>
            <w:proofErr w:type="gramStart"/>
            <w:r w:rsidRPr="003D0890">
              <w:rPr>
                <w:bCs/>
              </w:rPr>
              <w:t>available</w:t>
            </w:r>
            <w:proofErr w:type="gramEnd"/>
          </w:p>
          <w:p w14:paraId="054953DC" w14:textId="77777777" w:rsidR="00755CF2" w:rsidRDefault="00755CF2" w:rsidP="00874D92">
            <w:pPr>
              <w:pStyle w:val="TableText"/>
              <w:keepNext w:val="0"/>
              <w:keepLines w:val="0"/>
              <w:widowControl w:val="0"/>
              <w:rPr>
                <w:b/>
              </w:rPr>
            </w:pPr>
            <w:r w:rsidRPr="003D0890">
              <w:rPr>
                <w:bCs/>
              </w:rPr>
              <w:t>Ongoing</w:t>
            </w:r>
          </w:p>
        </w:tc>
        <w:tc>
          <w:tcPr>
            <w:tcW w:w="865" w:type="pct"/>
          </w:tcPr>
          <w:p w14:paraId="6922C462" w14:textId="77777777" w:rsidR="00755CF2" w:rsidRPr="00921458" w:rsidRDefault="00755CF2" w:rsidP="00874D92">
            <w:pPr>
              <w:pStyle w:val="TableText"/>
              <w:keepNext w:val="0"/>
              <w:keepLines w:val="0"/>
              <w:widowControl w:val="0"/>
              <w:rPr>
                <w:bCs/>
              </w:rPr>
            </w:pPr>
            <w:proofErr w:type="spellStart"/>
            <w:r w:rsidRPr="003D0890">
              <w:rPr>
                <w:bCs/>
                <w:u w:val="single"/>
              </w:rPr>
              <w:t>Ozelo</w:t>
            </w:r>
            <w:proofErr w:type="spellEnd"/>
            <w:r w:rsidRPr="003D0890">
              <w:rPr>
                <w:bCs/>
                <w:u w:val="single"/>
              </w:rPr>
              <w:t xml:space="preserve"> 2022</w:t>
            </w:r>
            <w:r>
              <w:rPr>
                <w:bCs/>
                <w:u w:val="single"/>
              </w:rPr>
              <w:t xml:space="preserve"> </w:t>
            </w:r>
            <w:r w:rsidRPr="003D0890">
              <w:rPr>
                <w:bCs/>
              </w:rPr>
              <w:t xml:space="preserve">Valoctocogene </w:t>
            </w:r>
            <w:proofErr w:type="spellStart"/>
            <w:r w:rsidRPr="003D0890">
              <w:rPr>
                <w:bCs/>
              </w:rPr>
              <w:t>roxaparvovec</w:t>
            </w:r>
            <w:proofErr w:type="spellEnd"/>
            <w:r w:rsidRPr="003D0890">
              <w:rPr>
                <w:bCs/>
              </w:rPr>
              <w:t xml:space="preserve"> gene therapy for </w:t>
            </w:r>
            <w:proofErr w:type="spellStart"/>
            <w:r w:rsidRPr="003D0890">
              <w:rPr>
                <w:bCs/>
              </w:rPr>
              <w:t>haemophilia</w:t>
            </w:r>
            <w:proofErr w:type="spellEnd"/>
            <w:r w:rsidRPr="003D0890">
              <w:rPr>
                <w:bCs/>
              </w:rPr>
              <w:t xml:space="preserve"> A</w:t>
            </w:r>
          </w:p>
        </w:tc>
        <w:tc>
          <w:tcPr>
            <w:tcW w:w="1972" w:type="pct"/>
          </w:tcPr>
          <w:p w14:paraId="75D4DCE8" w14:textId="77777777" w:rsidR="00755CF2" w:rsidRDefault="00755CF2" w:rsidP="00874D92">
            <w:pPr>
              <w:pStyle w:val="TableText"/>
              <w:keepNext w:val="0"/>
              <w:keepLines w:val="0"/>
              <w:widowControl w:val="0"/>
              <w:rPr>
                <w:b/>
              </w:rPr>
            </w:pPr>
            <w:r>
              <w:t xml:space="preserve">Valoctocogene </w:t>
            </w:r>
            <w:proofErr w:type="spellStart"/>
            <w:r>
              <w:t>roxaparvovec</w:t>
            </w:r>
            <w:proofErr w:type="spellEnd"/>
            <w:r w:rsidRPr="00F94E8C">
              <w:t xml:space="preserve"> </w:t>
            </w:r>
            <w:r>
              <w:t>wa</w:t>
            </w:r>
            <w:r w:rsidRPr="00F94E8C">
              <w:t>s administered at a dose of 6x10</w:t>
            </w:r>
            <w:r w:rsidRPr="00B564A2">
              <w:rPr>
                <w:vertAlign w:val="superscript"/>
              </w:rPr>
              <w:t>13</w:t>
            </w:r>
            <w:r w:rsidRPr="00F94E8C">
              <w:t xml:space="preserve"> vg/kg</w:t>
            </w:r>
            <w:r>
              <w:t xml:space="preserve"> (n=134) to male adults with severe HA (</w:t>
            </w:r>
            <w:r w:rsidRPr="00F94E8C">
              <w:rPr>
                <w:bCs/>
              </w:rPr>
              <w:t>FVIII≤1 IU/dL</w:t>
            </w:r>
            <w:r>
              <w:rPr>
                <w:bCs/>
              </w:rPr>
              <w:t xml:space="preserve">) who have been on prophylactic FVIII for </w:t>
            </w:r>
            <w:r>
              <w:rPr>
                <w:rFonts w:cstheme="minorHAnsi"/>
                <w:bCs/>
              </w:rPr>
              <w:t>≥</w:t>
            </w:r>
            <w:r>
              <w:rPr>
                <w:bCs/>
              </w:rPr>
              <w:t xml:space="preserve"> 1 year; without a history of FVIII inhibitors and without AAV5 antibodies. The</w:t>
            </w:r>
            <w:r w:rsidRPr="003D0890">
              <w:rPr>
                <w:bCs/>
              </w:rPr>
              <w:t xml:space="preserve"> reduction from baseline in bleeding episodes demonstrate</w:t>
            </w:r>
            <w:r>
              <w:rPr>
                <w:bCs/>
              </w:rPr>
              <w:t>d</w:t>
            </w:r>
            <w:r w:rsidRPr="003D0890">
              <w:rPr>
                <w:bCs/>
              </w:rPr>
              <w:t xml:space="preserve"> a marked clinical benefit of </w:t>
            </w:r>
            <w:r>
              <w:rPr>
                <w:bCs/>
              </w:rPr>
              <w:t xml:space="preserve">valoctocogene </w:t>
            </w:r>
            <w:proofErr w:type="spellStart"/>
            <w:r>
              <w:rPr>
                <w:bCs/>
              </w:rPr>
              <w:t>roxaparvovec</w:t>
            </w:r>
            <w:proofErr w:type="spellEnd"/>
            <w:r>
              <w:rPr>
                <w:bCs/>
              </w:rPr>
              <w:t>. The</w:t>
            </w:r>
            <w:r w:rsidRPr="003D0890">
              <w:rPr>
                <w:bCs/>
              </w:rPr>
              <w:t xml:space="preserve"> majority (88%) of ITT subjects responded to treatment through 52 weeks post treatment. </w:t>
            </w:r>
            <w:r>
              <w:rPr>
                <w:bCs/>
              </w:rPr>
              <w:t xml:space="preserve">Valoctocogene </w:t>
            </w:r>
            <w:proofErr w:type="spellStart"/>
            <w:r>
              <w:rPr>
                <w:bCs/>
              </w:rPr>
              <w:t>roxaparvovec</w:t>
            </w:r>
            <w:proofErr w:type="spellEnd"/>
            <w:r w:rsidRPr="003D0890">
              <w:rPr>
                <w:bCs/>
              </w:rPr>
              <w:t xml:space="preserve"> was able to significantly reduce ABR by 85% with a total reduction of 4.48 (10.36) (median –1.77) bleeding episodes/year (p-value &lt;0.0001).</w:t>
            </w:r>
            <w:r>
              <w:rPr>
                <w:bCs/>
              </w:rPr>
              <w:t xml:space="preserve"> A</w:t>
            </w:r>
            <w:r w:rsidRPr="003D0890">
              <w:rPr>
                <w:bCs/>
              </w:rPr>
              <w:t>nalys</w:t>
            </w:r>
            <w:r>
              <w:rPr>
                <w:bCs/>
              </w:rPr>
              <w:t>e</w:t>
            </w:r>
            <w:r w:rsidRPr="003D0890">
              <w:rPr>
                <w:bCs/>
              </w:rPr>
              <w:t>s of FVIII activity levels over 52 weeks indicated successful endogenous FVIII production.</w:t>
            </w:r>
            <w:r>
              <w:rPr>
                <w:bCs/>
              </w:rPr>
              <w:t xml:space="preserve"> T</w:t>
            </w:r>
            <w:r w:rsidRPr="003D0890">
              <w:rPr>
                <w:bCs/>
              </w:rPr>
              <w:t xml:space="preserve">reatment with </w:t>
            </w:r>
            <w:r>
              <w:rPr>
                <w:bCs/>
              </w:rPr>
              <w:t xml:space="preserve">valoctocogene </w:t>
            </w:r>
            <w:proofErr w:type="spellStart"/>
            <w:r>
              <w:rPr>
                <w:bCs/>
              </w:rPr>
              <w:t>roxaparvovec</w:t>
            </w:r>
            <w:proofErr w:type="spellEnd"/>
            <w:r w:rsidRPr="003D0890">
              <w:rPr>
                <w:bCs/>
              </w:rPr>
              <w:t xml:space="preserve"> resulted in significant and clinically meaningful improvements in QoL as assessed by the </w:t>
            </w:r>
            <w:proofErr w:type="spellStart"/>
            <w:r w:rsidRPr="003D0890">
              <w:rPr>
                <w:bCs/>
              </w:rPr>
              <w:t>Haemo</w:t>
            </w:r>
            <w:proofErr w:type="spellEnd"/>
            <w:r w:rsidRPr="003D0890">
              <w:rPr>
                <w:bCs/>
              </w:rPr>
              <w:t>-QoL-A and the EQ-5D-5L at 52 weeks relative to baseline.</w:t>
            </w:r>
            <w:r>
              <w:rPr>
                <w:bCs/>
              </w:rPr>
              <w:t xml:space="preserve"> S</w:t>
            </w:r>
            <w:r w:rsidRPr="003D0890">
              <w:rPr>
                <w:bCs/>
              </w:rPr>
              <w:t>ingle infusions of 6</w:t>
            </w:r>
            <w:r>
              <w:rPr>
                <w:bCs/>
              </w:rPr>
              <w:t xml:space="preserve"> </w:t>
            </w:r>
            <w:r w:rsidRPr="003D0890">
              <w:rPr>
                <w:bCs/>
              </w:rPr>
              <w:t>x10</w:t>
            </w:r>
            <w:r w:rsidRPr="00CD7EF8">
              <w:rPr>
                <w:bCs/>
                <w:vertAlign w:val="superscript"/>
              </w:rPr>
              <w:t>13</w:t>
            </w:r>
            <w:r w:rsidRPr="003D0890">
              <w:rPr>
                <w:bCs/>
              </w:rPr>
              <w:t xml:space="preserve"> vg/kg have been generally well tolerated with an acceptable safety profile.</w:t>
            </w:r>
          </w:p>
        </w:tc>
        <w:tc>
          <w:tcPr>
            <w:tcW w:w="1121" w:type="pct"/>
          </w:tcPr>
          <w:p w14:paraId="022BB369" w14:textId="77777777" w:rsidR="00755CF2" w:rsidRDefault="00A94F35" w:rsidP="00874D92">
            <w:pPr>
              <w:pStyle w:val="TableText"/>
              <w:keepNext w:val="0"/>
              <w:keepLines w:val="0"/>
              <w:widowControl w:val="0"/>
              <w:rPr>
                <w:bCs/>
              </w:rPr>
            </w:pPr>
            <w:hyperlink r:id="rId20" w:history="1">
              <w:r w:rsidR="00755CF2" w:rsidRPr="00076D06">
                <w:rPr>
                  <w:rStyle w:val="Hyperlink"/>
                  <w:bCs/>
                </w:rPr>
                <w:t>https://pubmed.ncbi.nlm.nih.gov/35294811/</w:t>
              </w:r>
            </w:hyperlink>
          </w:p>
          <w:p w14:paraId="618E71D3" w14:textId="77777777" w:rsidR="00755CF2" w:rsidRPr="004B6676" w:rsidRDefault="00755CF2" w:rsidP="00874D92">
            <w:pPr>
              <w:pStyle w:val="TableText"/>
              <w:keepNext w:val="0"/>
              <w:keepLines w:val="0"/>
              <w:widowControl w:val="0"/>
              <w:rPr>
                <w:bCs/>
              </w:rPr>
            </w:pPr>
          </w:p>
        </w:tc>
        <w:tc>
          <w:tcPr>
            <w:tcW w:w="370" w:type="pct"/>
          </w:tcPr>
          <w:p w14:paraId="30B18BB7" w14:textId="77777777" w:rsidR="00755CF2" w:rsidRDefault="00755CF2" w:rsidP="00874D92">
            <w:pPr>
              <w:pStyle w:val="TableText"/>
              <w:keepNext w:val="0"/>
              <w:keepLines w:val="0"/>
              <w:widowControl w:val="0"/>
            </w:pPr>
            <w:r>
              <w:t>2022</w:t>
            </w:r>
          </w:p>
          <w:p w14:paraId="2649B0B7" w14:textId="77777777" w:rsidR="00755CF2" w:rsidRPr="00E82F54" w:rsidRDefault="00755CF2" w:rsidP="00874D92">
            <w:pPr>
              <w:pStyle w:val="TableText"/>
              <w:keepNext w:val="0"/>
              <w:keepLines w:val="0"/>
              <w:widowControl w:val="0"/>
              <w:rPr>
                <w:b/>
              </w:rPr>
            </w:pPr>
          </w:p>
        </w:tc>
      </w:tr>
      <w:tr w:rsidR="006449AA" w14:paraId="5F1DA3EC" w14:textId="77777777" w:rsidTr="00466E4E">
        <w:trPr>
          <w:cantSplit/>
        </w:trPr>
        <w:tc>
          <w:tcPr>
            <w:tcW w:w="120" w:type="pct"/>
          </w:tcPr>
          <w:p w14:paraId="38F84453" w14:textId="77777777" w:rsidR="00755CF2" w:rsidRDefault="00755CF2" w:rsidP="00874D92">
            <w:pPr>
              <w:pStyle w:val="TableText"/>
              <w:keepNext w:val="0"/>
              <w:keepLines w:val="0"/>
              <w:widowControl w:val="0"/>
            </w:pPr>
          </w:p>
        </w:tc>
        <w:tc>
          <w:tcPr>
            <w:tcW w:w="552" w:type="pct"/>
            <w:tcBorders>
              <w:top w:val="nil"/>
            </w:tcBorders>
          </w:tcPr>
          <w:p w14:paraId="2761FE98" w14:textId="77777777" w:rsidR="00755CF2" w:rsidRPr="00A978C8" w:rsidRDefault="00755CF2" w:rsidP="00874D92">
            <w:pPr>
              <w:pStyle w:val="TableText"/>
              <w:keepNext w:val="0"/>
              <w:keepLines w:val="0"/>
              <w:widowControl w:val="0"/>
              <w:rPr>
                <w:b/>
                <w:bCs/>
              </w:rPr>
            </w:pPr>
          </w:p>
        </w:tc>
        <w:tc>
          <w:tcPr>
            <w:tcW w:w="865" w:type="pct"/>
          </w:tcPr>
          <w:p w14:paraId="7570C9E8" w14:textId="77777777" w:rsidR="00755CF2" w:rsidRPr="003D0890" w:rsidRDefault="00755CF2" w:rsidP="00874D92">
            <w:pPr>
              <w:pStyle w:val="TableText"/>
              <w:keepNext w:val="0"/>
              <w:keepLines w:val="0"/>
              <w:widowControl w:val="0"/>
              <w:rPr>
                <w:bCs/>
                <w:u w:val="single"/>
              </w:rPr>
            </w:pPr>
            <w:r w:rsidRPr="007B6248">
              <w:rPr>
                <w:bCs/>
                <w:u w:val="single"/>
              </w:rPr>
              <w:t>Mahlangu</w:t>
            </w:r>
            <w:r>
              <w:rPr>
                <w:bCs/>
                <w:u w:val="single"/>
              </w:rPr>
              <w:t xml:space="preserve"> 2023</w:t>
            </w:r>
          </w:p>
        </w:tc>
        <w:tc>
          <w:tcPr>
            <w:tcW w:w="1972" w:type="pct"/>
          </w:tcPr>
          <w:p w14:paraId="02FECE6F" w14:textId="77777777" w:rsidR="00755CF2" w:rsidRDefault="00755CF2" w:rsidP="00874D92">
            <w:pPr>
              <w:pStyle w:val="TableText"/>
              <w:keepNext w:val="0"/>
              <w:keepLines w:val="0"/>
              <w:widowControl w:val="0"/>
            </w:pPr>
            <w:r>
              <w:t xml:space="preserve">The two </w:t>
            </w:r>
            <w:proofErr w:type="gramStart"/>
            <w:r>
              <w:t>year</w:t>
            </w:r>
            <w:proofErr w:type="gramEnd"/>
            <w:r>
              <w:t xml:space="preserve"> follow up of the GENEr8-1 study showed durability of effect, with t</w:t>
            </w:r>
            <w:r w:rsidRPr="007B6248">
              <w:t xml:space="preserve">he mean </w:t>
            </w:r>
            <w:proofErr w:type="spellStart"/>
            <w:r w:rsidRPr="007B6248">
              <w:t>annuali</w:t>
            </w:r>
            <w:r>
              <w:t>s</w:t>
            </w:r>
            <w:r w:rsidRPr="007B6248">
              <w:t>ed</w:t>
            </w:r>
            <w:proofErr w:type="spellEnd"/>
            <w:r w:rsidRPr="007B6248">
              <w:t xml:space="preserve"> treated bleeding rate decreased by 84.5% from baseline (P&lt;0.001) among the participants</w:t>
            </w:r>
            <w:r>
              <w:t xml:space="preserve">. </w:t>
            </w:r>
            <w:r w:rsidRPr="007B6248">
              <w:t>At 2 years post</w:t>
            </w:r>
            <w:r>
              <w:t>-i</w:t>
            </w:r>
            <w:r w:rsidRPr="007B6248">
              <w:t xml:space="preserve">nfusion, no new safety signals had </w:t>
            </w:r>
            <w:proofErr w:type="gramStart"/>
            <w:r w:rsidRPr="007B6248">
              <w:t>occurred</w:t>
            </w:r>
            <w:proofErr w:type="gramEnd"/>
            <w:r w:rsidRPr="007B6248">
              <w:t xml:space="preserve"> and no new serious adverse events related to treatment had </w:t>
            </w:r>
            <w:r>
              <w:t>emerged</w:t>
            </w:r>
            <w:r w:rsidRPr="007B6248">
              <w:t>.</w:t>
            </w:r>
          </w:p>
        </w:tc>
        <w:tc>
          <w:tcPr>
            <w:tcW w:w="1121" w:type="pct"/>
          </w:tcPr>
          <w:p w14:paraId="04422343" w14:textId="77777777" w:rsidR="00755CF2" w:rsidRDefault="00A94F35" w:rsidP="00874D92">
            <w:pPr>
              <w:pStyle w:val="TableText"/>
              <w:keepNext w:val="0"/>
              <w:keepLines w:val="0"/>
              <w:widowControl w:val="0"/>
              <w:rPr>
                <w:bCs/>
              </w:rPr>
            </w:pPr>
            <w:hyperlink r:id="rId21" w:history="1">
              <w:r w:rsidR="00755CF2" w:rsidRPr="00A71F2B">
                <w:rPr>
                  <w:rStyle w:val="Hyperlink"/>
                  <w:bCs/>
                </w:rPr>
                <w:t>https://www.nejm.org/doi/10.1056/NEJMoa2211075</w:t>
              </w:r>
            </w:hyperlink>
          </w:p>
          <w:p w14:paraId="784F77E3" w14:textId="77777777" w:rsidR="00755CF2" w:rsidRDefault="00755CF2" w:rsidP="00874D92">
            <w:pPr>
              <w:pStyle w:val="TableText"/>
              <w:keepNext w:val="0"/>
              <w:keepLines w:val="0"/>
              <w:widowControl w:val="0"/>
              <w:rPr>
                <w:bCs/>
              </w:rPr>
            </w:pPr>
          </w:p>
        </w:tc>
        <w:tc>
          <w:tcPr>
            <w:tcW w:w="370" w:type="pct"/>
          </w:tcPr>
          <w:p w14:paraId="1BB7394B" w14:textId="77777777" w:rsidR="00755CF2" w:rsidRDefault="00755CF2" w:rsidP="00874D92">
            <w:pPr>
              <w:pStyle w:val="TableText"/>
              <w:keepNext w:val="0"/>
              <w:keepLines w:val="0"/>
              <w:widowControl w:val="0"/>
            </w:pPr>
            <w:r>
              <w:t>2023</w:t>
            </w:r>
          </w:p>
        </w:tc>
      </w:tr>
      <w:tr w:rsidR="006449AA" w14:paraId="203D86C8" w14:textId="77777777" w:rsidTr="00466E4E">
        <w:trPr>
          <w:cantSplit/>
        </w:trPr>
        <w:tc>
          <w:tcPr>
            <w:tcW w:w="120" w:type="pct"/>
          </w:tcPr>
          <w:p w14:paraId="0F267EFC" w14:textId="77777777" w:rsidR="00755CF2" w:rsidRPr="00965B6B" w:rsidRDefault="00755CF2" w:rsidP="00874D92">
            <w:pPr>
              <w:pStyle w:val="TableText"/>
              <w:keepNext w:val="0"/>
              <w:keepLines w:val="0"/>
              <w:widowControl w:val="0"/>
            </w:pPr>
            <w:r>
              <w:lastRenderedPageBreak/>
              <w:t>3</w:t>
            </w:r>
            <w:r w:rsidRPr="001133C8">
              <w:t>.</w:t>
            </w:r>
          </w:p>
        </w:tc>
        <w:tc>
          <w:tcPr>
            <w:tcW w:w="552" w:type="pct"/>
          </w:tcPr>
          <w:p w14:paraId="52E252C0" w14:textId="77777777" w:rsidR="00755CF2" w:rsidRPr="00454131" w:rsidRDefault="00755CF2" w:rsidP="00874D92">
            <w:pPr>
              <w:pStyle w:val="TableText"/>
              <w:keepNext w:val="0"/>
              <w:keepLines w:val="0"/>
              <w:widowControl w:val="0"/>
              <w:rPr>
                <w:b/>
                <w:bCs/>
              </w:rPr>
            </w:pPr>
            <w:r w:rsidRPr="00454131">
              <w:rPr>
                <w:b/>
                <w:bCs/>
              </w:rPr>
              <w:t>Study 270-902</w:t>
            </w:r>
          </w:p>
          <w:p w14:paraId="4F8D7B59" w14:textId="77777777" w:rsidR="00755CF2" w:rsidRDefault="00755CF2" w:rsidP="00874D92">
            <w:pPr>
              <w:pStyle w:val="TableText"/>
              <w:keepNext w:val="0"/>
              <w:keepLines w:val="0"/>
              <w:widowControl w:val="0"/>
            </w:pPr>
            <w:r>
              <w:t>Natural history study, non-interventional</w:t>
            </w:r>
          </w:p>
          <w:p w14:paraId="01C1D8E2" w14:textId="77777777" w:rsidR="00755CF2" w:rsidRPr="00443EBF" w:rsidRDefault="00755CF2" w:rsidP="00874D92">
            <w:pPr>
              <w:pStyle w:val="TableText"/>
              <w:keepNext w:val="0"/>
              <w:keepLines w:val="0"/>
              <w:widowControl w:val="0"/>
            </w:pPr>
            <w:r>
              <w:t>6 months follow up</w:t>
            </w:r>
          </w:p>
        </w:tc>
        <w:tc>
          <w:tcPr>
            <w:tcW w:w="865" w:type="pct"/>
          </w:tcPr>
          <w:p w14:paraId="04A9F786" w14:textId="77777777" w:rsidR="00755CF2" w:rsidRPr="00443EBF" w:rsidRDefault="00755CF2" w:rsidP="00874D92">
            <w:pPr>
              <w:pStyle w:val="TableText"/>
              <w:keepNext w:val="0"/>
              <w:keepLines w:val="0"/>
              <w:widowControl w:val="0"/>
              <w:rPr>
                <w:u w:val="single"/>
              </w:rPr>
            </w:pPr>
            <w:proofErr w:type="spellStart"/>
            <w:r w:rsidRPr="00443EBF">
              <w:rPr>
                <w:u w:val="single"/>
              </w:rPr>
              <w:t>Kenet</w:t>
            </w:r>
            <w:proofErr w:type="spellEnd"/>
            <w:r w:rsidRPr="00443EBF">
              <w:rPr>
                <w:u w:val="single"/>
              </w:rPr>
              <w:t xml:space="preserve"> 2021</w:t>
            </w:r>
          </w:p>
          <w:p w14:paraId="0789839C" w14:textId="77777777" w:rsidR="00755CF2" w:rsidRPr="00443EBF" w:rsidRDefault="00755CF2" w:rsidP="00874D92">
            <w:pPr>
              <w:pStyle w:val="TableText"/>
              <w:keepNext w:val="0"/>
              <w:keepLines w:val="0"/>
              <w:widowControl w:val="0"/>
            </w:pPr>
            <w:r>
              <w:t xml:space="preserve">Real-World Rates of Bleeding, Factor VIII Use, and Quality of Life in Individuals with Severe </w:t>
            </w:r>
            <w:proofErr w:type="spellStart"/>
            <w:r>
              <w:t>Haemophilia</w:t>
            </w:r>
            <w:proofErr w:type="spellEnd"/>
            <w:r>
              <w:t xml:space="preserve"> </w:t>
            </w:r>
            <w:proofErr w:type="gramStart"/>
            <w:r>
              <w:t>A</w:t>
            </w:r>
            <w:proofErr w:type="gramEnd"/>
            <w:r>
              <w:t xml:space="preserve"> Receiving Prophylaxis in a Prospective, Noninterventional Study</w:t>
            </w:r>
          </w:p>
        </w:tc>
        <w:tc>
          <w:tcPr>
            <w:tcW w:w="1972" w:type="pct"/>
          </w:tcPr>
          <w:p w14:paraId="418ABD6C" w14:textId="77777777" w:rsidR="00755CF2" w:rsidRPr="00443EBF" w:rsidRDefault="00755CF2" w:rsidP="00874D92">
            <w:pPr>
              <w:pStyle w:val="TableText"/>
              <w:keepNext w:val="0"/>
              <w:keepLines w:val="0"/>
              <w:widowControl w:val="0"/>
            </w:pPr>
            <w:r>
              <w:t xml:space="preserve">The study reports real-world data from a global cohort on regular </w:t>
            </w:r>
            <w:r w:rsidRPr="00760246">
              <w:t xml:space="preserve">prophylactic therapy </w:t>
            </w:r>
            <w:r>
              <w:t>F</w:t>
            </w:r>
            <w:r w:rsidRPr="00760246">
              <w:t xml:space="preserve">VIII therapy </w:t>
            </w:r>
            <w:r>
              <w:t xml:space="preserve">in individuals with severe HA (N=293). In the AAV5 negative cohort (n=193) the median ABR bleeds per year for treated bleeds was 2.39. For the AAV5 negative cohort (n=196), mean (SD) </w:t>
            </w:r>
            <w:proofErr w:type="spellStart"/>
            <w:r>
              <w:t>annualised</w:t>
            </w:r>
            <w:proofErr w:type="spellEnd"/>
            <w:r>
              <w:t xml:space="preserve"> FVIII </w:t>
            </w:r>
            <w:proofErr w:type="spellStart"/>
            <w:r>
              <w:t>utilisation</w:t>
            </w:r>
            <w:proofErr w:type="spellEnd"/>
            <w:r>
              <w:t xml:space="preserve"> during the baseline period was 3908.10 (1797.87) IU/kg/year (median 3582.71), compared with 3942.87 (1738.53) IU/kg/year (median 3746.28) during the on-study period [data from AAV5 negative cohort on file, CSR]. This real-world study illustrates the limitations of FVIII prophylaxis in individuals with severe HA. Patients with AAV5 negative status from this study could </w:t>
            </w:r>
            <w:proofErr w:type="spellStart"/>
            <w:r>
              <w:t>enrol</w:t>
            </w:r>
            <w:proofErr w:type="spellEnd"/>
            <w:r>
              <w:t xml:space="preserve"> in Study 301.</w:t>
            </w:r>
          </w:p>
        </w:tc>
        <w:tc>
          <w:tcPr>
            <w:tcW w:w="1121" w:type="pct"/>
          </w:tcPr>
          <w:p w14:paraId="0291A6F1" w14:textId="77777777" w:rsidR="00755CF2" w:rsidRPr="00443EBF" w:rsidRDefault="00755CF2" w:rsidP="00874D92">
            <w:pPr>
              <w:pStyle w:val="TableText"/>
              <w:keepNext w:val="0"/>
              <w:keepLines w:val="0"/>
              <w:widowControl w:val="0"/>
            </w:pPr>
            <w:r w:rsidRPr="00B564A2">
              <w:t>https://pubmed.ncbi.nlm.nih.gov/34945255/</w:t>
            </w:r>
          </w:p>
        </w:tc>
        <w:tc>
          <w:tcPr>
            <w:tcW w:w="370" w:type="pct"/>
          </w:tcPr>
          <w:p w14:paraId="28BE1BCE" w14:textId="77777777" w:rsidR="00755CF2" w:rsidRPr="00443EBF" w:rsidRDefault="00755CF2" w:rsidP="00874D92">
            <w:pPr>
              <w:pStyle w:val="TableText"/>
              <w:keepNext w:val="0"/>
              <w:keepLines w:val="0"/>
              <w:widowControl w:val="0"/>
            </w:pPr>
            <w:r>
              <w:t>2021</w:t>
            </w:r>
          </w:p>
        </w:tc>
      </w:tr>
      <w:tr w:rsidR="006449AA" w14:paraId="618F31AB" w14:textId="77777777" w:rsidTr="00466E4E">
        <w:trPr>
          <w:cantSplit/>
        </w:trPr>
        <w:tc>
          <w:tcPr>
            <w:tcW w:w="120" w:type="pct"/>
          </w:tcPr>
          <w:p w14:paraId="73686212" w14:textId="77777777" w:rsidR="00755CF2" w:rsidRDefault="00755CF2" w:rsidP="00874D92">
            <w:pPr>
              <w:pStyle w:val="TableText"/>
              <w:keepNext w:val="0"/>
              <w:keepLines w:val="0"/>
              <w:widowControl w:val="0"/>
            </w:pPr>
            <w:r>
              <w:t>5</w:t>
            </w:r>
          </w:p>
        </w:tc>
        <w:tc>
          <w:tcPr>
            <w:tcW w:w="552" w:type="pct"/>
          </w:tcPr>
          <w:p w14:paraId="06874E52" w14:textId="77777777" w:rsidR="00755CF2" w:rsidRDefault="00755CF2" w:rsidP="00874D92">
            <w:pPr>
              <w:pStyle w:val="TableText"/>
              <w:keepNext w:val="0"/>
              <w:keepLines w:val="0"/>
              <w:widowControl w:val="0"/>
              <w:rPr>
                <w:b/>
              </w:rPr>
            </w:pPr>
            <w:r>
              <w:rPr>
                <w:b/>
              </w:rPr>
              <w:t>270-814</w:t>
            </w:r>
          </w:p>
          <w:p w14:paraId="0FD443FC" w14:textId="77777777" w:rsidR="00755CF2" w:rsidRPr="004D1385" w:rsidRDefault="00755CF2" w:rsidP="00874D92">
            <w:pPr>
              <w:pStyle w:val="TableText"/>
              <w:keepNext w:val="0"/>
              <w:keepLines w:val="0"/>
              <w:widowControl w:val="0"/>
              <w:rPr>
                <w:bCs/>
              </w:rPr>
            </w:pPr>
            <w:r w:rsidRPr="004D1385">
              <w:rPr>
                <w:bCs/>
              </w:rPr>
              <w:t>Retrospective, comparative, MAIC</w:t>
            </w:r>
          </w:p>
        </w:tc>
        <w:tc>
          <w:tcPr>
            <w:tcW w:w="865" w:type="pct"/>
          </w:tcPr>
          <w:p w14:paraId="5D40C3C2" w14:textId="77777777" w:rsidR="00755CF2" w:rsidRDefault="00755CF2" w:rsidP="00874D92">
            <w:pPr>
              <w:pStyle w:val="TableText"/>
              <w:keepNext w:val="0"/>
              <w:keepLines w:val="0"/>
              <w:widowControl w:val="0"/>
              <w:rPr>
                <w:bCs/>
              </w:rPr>
            </w:pPr>
            <w:proofErr w:type="spellStart"/>
            <w:r>
              <w:rPr>
                <w:bCs/>
              </w:rPr>
              <w:t>Astermark</w:t>
            </w:r>
            <w:proofErr w:type="spellEnd"/>
            <w:r>
              <w:rPr>
                <w:bCs/>
              </w:rPr>
              <w:t xml:space="preserve"> 2023</w:t>
            </w:r>
          </w:p>
          <w:p w14:paraId="18A2BF92" w14:textId="77777777" w:rsidR="00755CF2" w:rsidRPr="00A106EB" w:rsidRDefault="00755CF2" w:rsidP="00874D92">
            <w:pPr>
              <w:pStyle w:val="TableText"/>
              <w:keepNext w:val="0"/>
              <w:keepLines w:val="0"/>
              <w:widowControl w:val="0"/>
              <w:rPr>
                <w:bCs/>
              </w:rPr>
            </w:pPr>
            <w:r w:rsidRPr="00C71074">
              <w:rPr>
                <w:bCs/>
              </w:rPr>
              <w:t xml:space="preserve">Matching-adjusted indirect comparison of bleeding outcomes in severe </w:t>
            </w:r>
            <w:proofErr w:type="spellStart"/>
            <w:r w:rsidRPr="00C71074">
              <w:rPr>
                <w:bCs/>
              </w:rPr>
              <w:t>haemophilia</w:t>
            </w:r>
            <w:proofErr w:type="spellEnd"/>
            <w:r w:rsidRPr="00C71074">
              <w:rPr>
                <w:bCs/>
              </w:rPr>
              <w:t xml:space="preserve"> A: Comparing valoctocogene </w:t>
            </w:r>
            <w:proofErr w:type="spellStart"/>
            <w:r w:rsidRPr="00C71074">
              <w:rPr>
                <w:bCs/>
              </w:rPr>
              <w:t>roxaparvovec</w:t>
            </w:r>
            <w:proofErr w:type="spellEnd"/>
            <w:r w:rsidRPr="00C71074">
              <w:rPr>
                <w:bCs/>
              </w:rPr>
              <w:t xml:space="preserve"> gene therapy, </w:t>
            </w:r>
            <w:proofErr w:type="spellStart"/>
            <w:r w:rsidRPr="00C71074">
              <w:rPr>
                <w:bCs/>
              </w:rPr>
              <w:t>emicizumab</w:t>
            </w:r>
            <w:proofErr w:type="spellEnd"/>
            <w:r w:rsidRPr="00C71074">
              <w:rPr>
                <w:bCs/>
              </w:rPr>
              <w:t xml:space="preserve"> prophylaxis, and FVIII replacement prophylaxis</w:t>
            </w:r>
          </w:p>
        </w:tc>
        <w:tc>
          <w:tcPr>
            <w:tcW w:w="1972" w:type="pct"/>
          </w:tcPr>
          <w:p w14:paraId="369C1291" w14:textId="77777777" w:rsidR="00755CF2" w:rsidRDefault="00755CF2" w:rsidP="00874D92">
            <w:pPr>
              <w:pStyle w:val="TableText"/>
              <w:keepNext w:val="0"/>
              <w:keepLines w:val="0"/>
              <w:widowControl w:val="0"/>
            </w:pPr>
            <w:r w:rsidRPr="004D1385">
              <w:t xml:space="preserve">This study is a retrospective </w:t>
            </w:r>
            <w:r>
              <w:t>unanchored, indirect comparison</w:t>
            </w:r>
            <w:r w:rsidRPr="004D1385">
              <w:t xml:space="preserve"> of </w:t>
            </w:r>
            <w:r>
              <w:t xml:space="preserve">valoctocogene </w:t>
            </w:r>
            <w:proofErr w:type="spellStart"/>
            <w:r>
              <w:t>roxaparvovec</w:t>
            </w:r>
            <w:proofErr w:type="spellEnd"/>
            <w:r w:rsidRPr="004D1385">
              <w:t xml:space="preserve"> and </w:t>
            </w:r>
            <w:proofErr w:type="spellStart"/>
            <w:r w:rsidRPr="004D1385">
              <w:t>emicizumab</w:t>
            </w:r>
            <w:proofErr w:type="spellEnd"/>
            <w:r w:rsidRPr="004D1385">
              <w:t xml:space="preserve"> prophylaxis, that </w:t>
            </w:r>
            <w:proofErr w:type="spellStart"/>
            <w:r w:rsidRPr="004D1385">
              <w:t>utili</w:t>
            </w:r>
            <w:r>
              <w:t>s</w:t>
            </w:r>
            <w:r w:rsidRPr="004D1385">
              <w:t>e</w:t>
            </w:r>
            <w:r>
              <w:t>d</w:t>
            </w:r>
            <w:proofErr w:type="spellEnd"/>
            <w:r w:rsidRPr="004D1385">
              <w:t xml:space="preserve"> </w:t>
            </w:r>
            <w:r>
              <w:t>IPD</w:t>
            </w:r>
            <w:r w:rsidRPr="004D1385">
              <w:t xml:space="preserve"> from the ongoing phase III clinical trial 270-301 along with aggregate publicly available data from HAVEN 3 </w:t>
            </w:r>
            <w:r>
              <w:t xml:space="preserve">for </w:t>
            </w:r>
            <w:proofErr w:type="spellStart"/>
            <w:r>
              <w:t>emicizumab</w:t>
            </w:r>
            <w:proofErr w:type="spellEnd"/>
            <w:r>
              <w:t xml:space="preserve"> </w:t>
            </w:r>
            <w:r w:rsidRPr="004D1385">
              <w:t>(Mahlangu</w:t>
            </w:r>
            <w:r>
              <w:t xml:space="preserve"> </w:t>
            </w:r>
            <w:r w:rsidRPr="004D1385">
              <w:t>2018)</w:t>
            </w:r>
            <w:r>
              <w:t>.</w:t>
            </w:r>
            <w:r w:rsidRPr="004D1385">
              <w:t xml:space="preserve"> MAIC methods </w:t>
            </w:r>
            <w:r>
              <w:t xml:space="preserve">were used </w:t>
            </w:r>
            <w:r w:rsidRPr="004D1385">
              <w:t>to adjust for between-trial imbalances between the study cohorts based on the distribution of reported subject characteristics (i.e., covariates).</w:t>
            </w:r>
            <w:r>
              <w:t xml:space="preserve"> A</w:t>
            </w:r>
            <w:r w:rsidRPr="00315E74">
              <w:t xml:space="preserve">fter MAIC weighting, ABR for all bleeds was statistically significantly lower with </w:t>
            </w:r>
            <w:r>
              <w:t xml:space="preserve">valoctocogene </w:t>
            </w:r>
            <w:proofErr w:type="spellStart"/>
            <w:r>
              <w:t>roxaparvovec</w:t>
            </w:r>
            <w:proofErr w:type="spellEnd"/>
            <w:r w:rsidRPr="00315E74">
              <w:t xml:space="preserve"> than </w:t>
            </w:r>
            <w:proofErr w:type="spellStart"/>
            <w:r w:rsidRPr="00315E74">
              <w:t>emicizumab</w:t>
            </w:r>
            <w:proofErr w:type="spellEnd"/>
            <w:r w:rsidRPr="00315E74">
              <w:t xml:space="preserve"> (</w:t>
            </w:r>
            <w:r>
              <w:t xml:space="preserve">RR 0.55 </w:t>
            </w:r>
            <w:r w:rsidRPr="00315E74">
              <w:t>[95% CI</w:t>
            </w:r>
            <w:r>
              <w:t>: 0</w:t>
            </w:r>
            <w:r w:rsidRPr="00315E74">
              <w:t>.33–</w:t>
            </w:r>
            <w:r>
              <w:t>0</w:t>
            </w:r>
            <w:r w:rsidRPr="00315E74">
              <w:t>.93])</w:t>
            </w:r>
            <w:r>
              <w:t xml:space="preserve">, and statistically </w:t>
            </w:r>
            <w:r w:rsidRPr="00315E74">
              <w:t xml:space="preserve">significantly higher proportions of participants had no treated joint bleeds and no treated bleeds </w:t>
            </w:r>
            <w:r>
              <w:t xml:space="preserve">with valoctocogene </w:t>
            </w:r>
            <w:proofErr w:type="spellStart"/>
            <w:r>
              <w:t>roxaparvovec</w:t>
            </w:r>
            <w:proofErr w:type="spellEnd"/>
            <w:r>
              <w:t xml:space="preserve"> relative to</w:t>
            </w:r>
            <w:r w:rsidRPr="00315E74">
              <w:t xml:space="preserve"> </w:t>
            </w:r>
            <w:proofErr w:type="spellStart"/>
            <w:r w:rsidRPr="00315E74">
              <w:t>emicizumab</w:t>
            </w:r>
            <w:proofErr w:type="spellEnd"/>
            <w:r w:rsidRPr="00315E74">
              <w:t xml:space="preserve">. </w:t>
            </w:r>
          </w:p>
        </w:tc>
        <w:tc>
          <w:tcPr>
            <w:tcW w:w="1121" w:type="pct"/>
          </w:tcPr>
          <w:p w14:paraId="1C8105F1" w14:textId="77777777" w:rsidR="00755CF2" w:rsidRDefault="00A94F35" w:rsidP="00874D92">
            <w:pPr>
              <w:pStyle w:val="pf0"/>
              <w:rPr>
                <w:rFonts w:ascii="Arial" w:hAnsi="Arial" w:cs="Arial"/>
                <w:sz w:val="20"/>
                <w:szCs w:val="20"/>
              </w:rPr>
            </w:pPr>
            <w:hyperlink r:id="rId22" w:history="1">
              <w:r w:rsidR="00755CF2">
                <w:rPr>
                  <w:rStyle w:val="cf01"/>
                  <w:color w:val="0000FF"/>
                  <w:u w:val="single"/>
                </w:rPr>
                <w:t>https://onlinelibrary.wiley.com/doi/full/10.1111/hae.14818</w:t>
              </w:r>
            </w:hyperlink>
          </w:p>
          <w:p w14:paraId="1CCDAA0C" w14:textId="77777777" w:rsidR="00755CF2" w:rsidRDefault="00755CF2" w:rsidP="00874D92">
            <w:pPr>
              <w:pStyle w:val="TableText"/>
              <w:keepNext w:val="0"/>
              <w:keepLines w:val="0"/>
              <w:widowControl w:val="0"/>
            </w:pPr>
          </w:p>
        </w:tc>
        <w:tc>
          <w:tcPr>
            <w:tcW w:w="370" w:type="pct"/>
          </w:tcPr>
          <w:p w14:paraId="19014A61" w14:textId="77777777" w:rsidR="00755CF2" w:rsidRPr="004D1385" w:rsidRDefault="00755CF2" w:rsidP="00874D92">
            <w:pPr>
              <w:pStyle w:val="TableText"/>
              <w:keepNext w:val="0"/>
              <w:keepLines w:val="0"/>
              <w:widowControl w:val="0"/>
              <w:rPr>
                <w:bCs/>
              </w:rPr>
            </w:pPr>
            <w:r>
              <w:rPr>
                <w:bCs/>
              </w:rPr>
              <w:t>2023</w:t>
            </w:r>
          </w:p>
        </w:tc>
      </w:tr>
    </w:tbl>
    <w:p w14:paraId="4D71636F" w14:textId="77777777" w:rsidR="00755CF2" w:rsidRDefault="00755CF2" w:rsidP="00755CF2">
      <w:pPr>
        <w:pStyle w:val="Tablenotes"/>
      </w:pPr>
      <w:r>
        <w:t xml:space="preserve">AAV5, </w:t>
      </w:r>
      <w:r w:rsidRPr="00B564A2">
        <w:t>Adeno-Associated Virus Type 5</w:t>
      </w:r>
      <w:r>
        <w:t xml:space="preserve">; ABR, </w:t>
      </w:r>
      <w:r w:rsidRPr="00B564A2">
        <w:t>Annualised bleeding rate</w:t>
      </w:r>
      <w:r>
        <w:t xml:space="preserve">; FVIII, </w:t>
      </w:r>
      <w:r w:rsidRPr="00B564A2">
        <w:t>exogenous factor VIII</w:t>
      </w:r>
      <w:r>
        <w:t xml:space="preserve">; HA, </w:t>
      </w:r>
      <w:r w:rsidRPr="00F94E8C">
        <w:rPr>
          <w:bCs/>
        </w:rPr>
        <w:t>haemophilia A</w:t>
      </w:r>
      <w:r>
        <w:t xml:space="preserve">; OL, open label; SA, single arm; SD, standard </w:t>
      </w:r>
      <w:proofErr w:type="gramStart"/>
      <w:r>
        <w:t>deviation;</w:t>
      </w:r>
      <w:proofErr w:type="gramEnd"/>
      <w:r>
        <w:t xml:space="preserve"> </w:t>
      </w:r>
    </w:p>
    <w:p w14:paraId="12006BE6" w14:textId="77777777" w:rsidR="00755CF2" w:rsidRDefault="00755CF2" w:rsidP="00755CF2">
      <w:pPr>
        <w:pStyle w:val="Tablenotes"/>
      </w:pPr>
    </w:p>
    <w:p w14:paraId="3538107A" w14:textId="77777777" w:rsidR="00755CF2" w:rsidRDefault="00755CF2" w:rsidP="00755CF2">
      <w:pPr>
        <w:pStyle w:val="Heading2"/>
        <w:keepNext/>
        <w:keepLines/>
        <w:widowControl w:val="0"/>
      </w:pPr>
      <w:r w:rsidRPr="00643755">
        <w:lastRenderedPageBreak/>
        <w:t xml:space="preserve">Identify </w:t>
      </w:r>
      <w:r w:rsidRPr="00643755">
        <w:rPr>
          <w:u w:val="single"/>
        </w:rPr>
        <w:t>yet-to-be-published</w:t>
      </w:r>
      <w:r w:rsidRPr="00643755">
        <w:t xml:space="preserve"> research that may have results available </w:t>
      </w:r>
      <w:proofErr w:type="gramStart"/>
      <w:r w:rsidRPr="00643755">
        <w:t>in the near future</w:t>
      </w:r>
      <w:proofErr w:type="gramEnd"/>
      <w:r w:rsidRPr="00643755">
        <w:t xml:space="preserve"> (that could be relevant to your application). Do not attach full text a</w:t>
      </w:r>
      <w:r>
        <w:t>rticles; this is just a summary</w:t>
      </w:r>
      <w:r w:rsidRPr="00643755">
        <w:rPr>
          <w:i/>
        </w:rPr>
        <w:t>.</w:t>
      </w:r>
    </w:p>
    <w:tbl>
      <w:tblPr>
        <w:tblStyle w:val="TableGrid"/>
        <w:tblW w:w="5170" w:type="pct"/>
        <w:tblLook w:val="04A0" w:firstRow="1" w:lastRow="0" w:firstColumn="1" w:lastColumn="0" w:noHBand="0" w:noVBand="1"/>
      </w:tblPr>
      <w:tblGrid>
        <w:gridCol w:w="431"/>
        <w:gridCol w:w="1551"/>
        <w:gridCol w:w="2554"/>
        <w:gridCol w:w="5807"/>
        <w:gridCol w:w="2694"/>
        <w:gridCol w:w="1701"/>
      </w:tblGrid>
      <w:tr w:rsidR="00755CF2" w:rsidRPr="001B3C30" w14:paraId="05E58F87" w14:textId="77777777" w:rsidTr="00466E4E">
        <w:trPr>
          <w:cantSplit/>
          <w:tblHeader/>
        </w:trPr>
        <w:tc>
          <w:tcPr>
            <w:tcW w:w="146" w:type="pct"/>
          </w:tcPr>
          <w:p w14:paraId="42DCDB75" w14:textId="77777777" w:rsidR="00755CF2" w:rsidRPr="001B3C30" w:rsidRDefault="00755CF2" w:rsidP="00874D92">
            <w:pPr>
              <w:pStyle w:val="TableText"/>
              <w:widowControl w:val="0"/>
              <w:rPr>
                <w:b/>
                <w:bCs/>
              </w:rPr>
            </w:pPr>
          </w:p>
        </w:tc>
        <w:tc>
          <w:tcPr>
            <w:tcW w:w="526" w:type="pct"/>
          </w:tcPr>
          <w:p w14:paraId="2DDBE7C1" w14:textId="77777777" w:rsidR="00755CF2" w:rsidRPr="001B3C30" w:rsidRDefault="00755CF2" w:rsidP="00874D92">
            <w:pPr>
              <w:pStyle w:val="TableText"/>
              <w:widowControl w:val="0"/>
              <w:rPr>
                <w:b/>
                <w:bCs/>
              </w:rPr>
            </w:pPr>
            <w:r w:rsidRPr="001B3C30">
              <w:rPr>
                <w:b/>
                <w:bCs/>
              </w:rPr>
              <w:t>Type of study design</w:t>
            </w:r>
          </w:p>
        </w:tc>
        <w:tc>
          <w:tcPr>
            <w:tcW w:w="866" w:type="pct"/>
          </w:tcPr>
          <w:p w14:paraId="68569F31" w14:textId="77777777" w:rsidR="00755CF2" w:rsidRPr="001B3C30" w:rsidRDefault="00755CF2" w:rsidP="00874D92">
            <w:pPr>
              <w:pStyle w:val="TableText"/>
              <w:widowControl w:val="0"/>
              <w:rPr>
                <w:b/>
                <w:bCs/>
              </w:rPr>
            </w:pPr>
            <w:r w:rsidRPr="001B3C30">
              <w:rPr>
                <w:b/>
                <w:bCs/>
              </w:rPr>
              <w:t>Title of research (including any trial identifier if relevant)</w:t>
            </w:r>
          </w:p>
        </w:tc>
        <w:tc>
          <w:tcPr>
            <w:tcW w:w="1970" w:type="pct"/>
          </w:tcPr>
          <w:p w14:paraId="5E2610F6" w14:textId="77777777" w:rsidR="00755CF2" w:rsidRPr="001B3C30" w:rsidRDefault="00755CF2" w:rsidP="00874D92">
            <w:pPr>
              <w:pStyle w:val="TableText"/>
              <w:widowControl w:val="0"/>
              <w:rPr>
                <w:b/>
                <w:bCs/>
              </w:rPr>
            </w:pPr>
            <w:r w:rsidRPr="001B3C30">
              <w:rPr>
                <w:b/>
                <w:bCs/>
              </w:rPr>
              <w:t>Short description of research (max 50 words)</w:t>
            </w:r>
          </w:p>
        </w:tc>
        <w:tc>
          <w:tcPr>
            <w:tcW w:w="914" w:type="pct"/>
          </w:tcPr>
          <w:p w14:paraId="7565985D" w14:textId="77777777" w:rsidR="00755CF2" w:rsidRPr="001B3C30" w:rsidRDefault="00755CF2" w:rsidP="00874D92">
            <w:pPr>
              <w:pStyle w:val="TableText"/>
              <w:widowControl w:val="0"/>
              <w:rPr>
                <w:b/>
                <w:bCs/>
              </w:rPr>
            </w:pPr>
            <w:r w:rsidRPr="001B3C30">
              <w:rPr>
                <w:b/>
                <w:bCs/>
              </w:rPr>
              <w:t>Website link to research (if available)</w:t>
            </w:r>
          </w:p>
        </w:tc>
        <w:tc>
          <w:tcPr>
            <w:tcW w:w="577" w:type="pct"/>
          </w:tcPr>
          <w:p w14:paraId="5593104F" w14:textId="77777777" w:rsidR="00755CF2" w:rsidRPr="001B3C30" w:rsidRDefault="00755CF2" w:rsidP="00874D92">
            <w:pPr>
              <w:pStyle w:val="TableText"/>
              <w:widowControl w:val="0"/>
              <w:rPr>
                <w:b/>
                <w:bCs/>
              </w:rPr>
            </w:pPr>
            <w:r w:rsidRPr="001B3C30">
              <w:rPr>
                <w:b/>
                <w:bCs/>
              </w:rPr>
              <w:t>Date</w:t>
            </w:r>
          </w:p>
        </w:tc>
      </w:tr>
      <w:tr w:rsidR="00755CF2" w14:paraId="7EA5C723" w14:textId="77777777" w:rsidTr="00466E4E">
        <w:trPr>
          <w:cantSplit/>
        </w:trPr>
        <w:tc>
          <w:tcPr>
            <w:tcW w:w="146" w:type="pct"/>
          </w:tcPr>
          <w:p w14:paraId="52BFE5F0" w14:textId="77777777" w:rsidR="00755CF2" w:rsidRPr="00FB34B5" w:rsidRDefault="00755CF2" w:rsidP="00874D92">
            <w:pPr>
              <w:pStyle w:val="TableText"/>
              <w:widowControl w:val="0"/>
            </w:pPr>
            <w:r w:rsidRPr="00FB34B5">
              <w:t>1.</w:t>
            </w:r>
          </w:p>
        </w:tc>
        <w:tc>
          <w:tcPr>
            <w:tcW w:w="526" w:type="pct"/>
          </w:tcPr>
          <w:p w14:paraId="26E5155C" w14:textId="77777777" w:rsidR="00755CF2" w:rsidRDefault="00755CF2" w:rsidP="00874D92">
            <w:pPr>
              <w:pStyle w:val="TableText"/>
              <w:widowControl w:val="0"/>
              <w:rPr>
                <w:b/>
                <w:bCs/>
              </w:rPr>
            </w:pPr>
            <w:r>
              <w:rPr>
                <w:b/>
                <w:bCs/>
              </w:rPr>
              <w:t>270-303</w:t>
            </w:r>
          </w:p>
          <w:p w14:paraId="3D7136D9" w14:textId="77777777" w:rsidR="00755CF2" w:rsidRDefault="00755CF2" w:rsidP="00874D92">
            <w:pPr>
              <w:pStyle w:val="TableText"/>
              <w:widowControl w:val="0"/>
            </w:pPr>
            <w:r w:rsidRPr="00DB1DE0">
              <w:t>GENEr8-3</w:t>
            </w:r>
            <w:r>
              <w:t xml:space="preserve"> / </w:t>
            </w:r>
            <w:r w:rsidRPr="00FB34B5">
              <w:t>NCT04323098</w:t>
            </w:r>
          </w:p>
          <w:p w14:paraId="3B520729" w14:textId="77777777" w:rsidR="00755CF2" w:rsidRPr="00FB34B5" w:rsidRDefault="00755CF2" w:rsidP="00874D92">
            <w:pPr>
              <w:pStyle w:val="TableText"/>
              <w:widowControl w:val="0"/>
            </w:pPr>
            <w:r>
              <w:t>Phase 3b, SA, OL</w:t>
            </w:r>
          </w:p>
        </w:tc>
        <w:tc>
          <w:tcPr>
            <w:tcW w:w="866" w:type="pct"/>
          </w:tcPr>
          <w:p w14:paraId="54E9920D" w14:textId="77777777" w:rsidR="00755CF2" w:rsidRPr="00B564A2" w:rsidRDefault="00755CF2" w:rsidP="00874D92">
            <w:pPr>
              <w:pStyle w:val="TableText"/>
              <w:widowControl w:val="0"/>
              <w:rPr>
                <w:bCs/>
              </w:rPr>
            </w:pPr>
            <w:r w:rsidRPr="00B564A2">
              <w:rPr>
                <w:bCs/>
              </w:rPr>
              <w:t xml:space="preserve">Study to evaluate the efficacy and safety of valoctocogene </w:t>
            </w:r>
            <w:proofErr w:type="spellStart"/>
            <w:r w:rsidRPr="00B564A2">
              <w:rPr>
                <w:bCs/>
              </w:rPr>
              <w:t>roxaparvovec</w:t>
            </w:r>
            <w:proofErr w:type="spellEnd"/>
            <w:r w:rsidRPr="00B564A2">
              <w:rPr>
                <w:bCs/>
              </w:rPr>
              <w:t xml:space="preserve">, with prophylactic steroids in </w:t>
            </w:r>
            <w:proofErr w:type="spellStart"/>
            <w:r w:rsidRPr="00B564A2">
              <w:rPr>
                <w:bCs/>
              </w:rPr>
              <w:t>Haemophilia</w:t>
            </w:r>
            <w:proofErr w:type="spellEnd"/>
            <w:r w:rsidRPr="00B564A2">
              <w:rPr>
                <w:bCs/>
              </w:rPr>
              <w:t xml:space="preserve"> A (GENEr8-3)</w:t>
            </w:r>
          </w:p>
        </w:tc>
        <w:tc>
          <w:tcPr>
            <w:tcW w:w="1970" w:type="pct"/>
          </w:tcPr>
          <w:p w14:paraId="1F94D49E" w14:textId="77777777" w:rsidR="00755CF2" w:rsidRPr="00FB34B5" w:rsidRDefault="00755CF2" w:rsidP="00874D92">
            <w:pPr>
              <w:pStyle w:val="TableText"/>
              <w:widowControl w:val="0"/>
              <w:rPr>
                <w:bCs/>
              </w:rPr>
            </w:pPr>
            <w:r w:rsidRPr="00FB34B5">
              <w:rPr>
                <w:bCs/>
              </w:rPr>
              <w:t xml:space="preserve">This study aims to evaluate the efficacy and safety of </w:t>
            </w:r>
            <w:r>
              <w:rPr>
                <w:bCs/>
              </w:rPr>
              <w:t xml:space="preserve">valoctocogene </w:t>
            </w:r>
            <w:proofErr w:type="spellStart"/>
            <w:r>
              <w:rPr>
                <w:bCs/>
              </w:rPr>
              <w:t>roxaparvovec</w:t>
            </w:r>
            <w:proofErr w:type="spellEnd"/>
            <w:r w:rsidRPr="00FB34B5">
              <w:rPr>
                <w:bCs/>
              </w:rPr>
              <w:t xml:space="preserve">, with prophylactic steroids in </w:t>
            </w:r>
            <w:r>
              <w:rPr>
                <w:bCs/>
              </w:rPr>
              <w:t>H</w:t>
            </w:r>
            <w:r w:rsidRPr="00FB34B5">
              <w:rPr>
                <w:bCs/>
              </w:rPr>
              <w:t>A</w:t>
            </w:r>
            <w:r>
              <w:rPr>
                <w:bCs/>
              </w:rPr>
              <w:t xml:space="preserve"> in an expected sample of 22 patients. </w:t>
            </w:r>
          </w:p>
        </w:tc>
        <w:tc>
          <w:tcPr>
            <w:tcW w:w="914" w:type="pct"/>
          </w:tcPr>
          <w:p w14:paraId="2BAD6759" w14:textId="77777777" w:rsidR="00755CF2" w:rsidRPr="00E82F54" w:rsidRDefault="00755CF2" w:rsidP="00874D92">
            <w:pPr>
              <w:pStyle w:val="TableText"/>
              <w:widowControl w:val="0"/>
              <w:rPr>
                <w:b/>
              </w:rPr>
            </w:pPr>
            <w:r>
              <w:t>NA</w:t>
            </w:r>
          </w:p>
        </w:tc>
        <w:tc>
          <w:tcPr>
            <w:tcW w:w="577" w:type="pct"/>
          </w:tcPr>
          <w:p w14:paraId="366292C8" w14:textId="77777777" w:rsidR="00755CF2" w:rsidRPr="00E82F54" w:rsidRDefault="00755CF2" w:rsidP="00874D92">
            <w:pPr>
              <w:pStyle w:val="TableText"/>
              <w:widowControl w:val="0"/>
              <w:rPr>
                <w:b/>
              </w:rPr>
            </w:pPr>
            <w:r>
              <w:t xml:space="preserve">Estimated completion date: </w:t>
            </w:r>
            <w:r w:rsidRPr="00A106EB">
              <w:t>January 2027</w:t>
            </w:r>
          </w:p>
        </w:tc>
      </w:tr>
      <w:tr w:rsidR="00755CF2" w14:paraId="6D5EDA02" w14:textId="77777777" w:rsidTr="00466E4E">
        <w:trPr>
          <w:cantSplit/>
        </w:trPr>
        <w:tc>
          <w:tcPr>
            <w:tcW w:w="146" w:type="pct"/>
          </w:tcPr>
          <w:p w14:paraId="38D58AAB" w14:textId="77777777" w:rsidR="00755CF2" w:rsidRPr="00965B6B" w:rsidRDefault="00755CF2" w:rsidP="00874D92">
            <w:pPr>
              <w:pStyle w:val="TableText"/>
              <w:widowControl w:val="0"/>
            </w:pPr>
            <w:r>
              <w:t>2.</w:t>
            </w:r>
          </w:p>
        </w:tc>
        <w:tc>
          <w:tcPr>
            <w:tcW w:w="526" w:type="pct"/>
          </w:tcPr>
          <w:p w14:paraId="73358CD2" w14:textId="77777777" w:rsidR="00755CF2" w:rsidRDefault="00755CF2" w:rsidP="00874D92">
            <w:pPr>
              <w:pStyle w:val="TableText"/>
              <w:widowControl w:val="0"/>
              <w:rPr>
                <w:b/>
              </w:rPr>
            </w:pPr>
            <w:r>
              <w:rPr>
                <w:b/>
              </w:rPr>
              <w:t>270-205</w:t>
            </w:r>
          </w:p>
          <w:p w14:paraId="68685829" w14:textId="77777777" w:rsidR="00755CF2" w:rsidRPr="00454131" w:rsidRDefault="00755CF2" w:rsidP="00874D92">
            <w:pPr>
              <w:pStyle w:val="TableText"/>
              <w:widowControl w:val="0"/>
              <w:rPr>
                <w:bCs/>
              </w:rPr>
            </w:pPr>
            <w:r w:rsidRPr="00454131">
              <w:rPr>
                <w:bCs/>
              </w:rPr>
              <w:t>NCT04684940</w:t>
            </w:r>
          </w:p>
          <w:p w14:paraId="060B111D" w14:textId="77777777" w:rsidR="00755CF2" w:rsidRPr="00FB34B5" w:rsidRDefault="00755CF2" w:rsidP="00874D92">
            <w:pPr>
              <w:pStyle w:val="TableText"/>
              <w:widowControl w:val="0"/>
              <w:rPr>
                <w:bCs/>
              </w:rPr>
            </w:pPr>
            <w:r w:rsidRPr="00FB34B5">
              <w:rPr>
                <w:bCs/>
              </w:rPr>
              <w:t>Phase 1 / 2, SA, OL</w:t>
            </w:r>
          </w:p>
        </w:tc>
        <w:tc>
          <w:tcPr>
            <w:tcW w:w="866" w:type="pct"/>
          </w:tcPr>
          <w:p w14:paraId="719C2E71" w14:textId="77777777" w:rsidR="00755CF2" w:rsidRPr="00FB34B5" w:rsidRDefault="00755CF2" w:rsidP="00874D92">
            <w:pPr>
              <w:pStyle w:val="TableText"/>
              <w:widowControl w:val="0"/>
              <w:rPr>
                <w:bCs/>
              </w:rPr>
            </w:pPr>
            <w:r w:rsidRPr="00FB34B5">
              <w:rPr>
                <w:bCs/>
              </w:rPr>
              <w:t xml:space="preserve">Safety, tolerability, and efficacy study of valoctocogene </w:t>
            </w:r>
            <w:proofErr w:type="spellStart"/>
            <w:r w:rsidRPr="00FB34B5">
              <w:rPr>
                <w:bCs/>
              </w:rPr>
              <w:t>roxaparvovec</w:t>
            </w:r>
            <w:proofErr w:type="spellEnd"/>
            <w:r w:rsidRPr="00FB34B5">
              <w:rPr>
                <w:bCs/>
              </w:rPr>
              <w:t xml:space="preserve"> in </w:t>
            </w:r>
            <w:proofErr w:type="spellStart"/>
            <w:r w:rsidRPr="00FB34B5">
              <w:rPr>
                <w:bCs/>
              </w:rPr>
              <w:t>haemophilia</w:t>
            </w:r>
            <w:proofErr w:type="spellEnd"/>
            <w:r w:rsidRPr="00FB34B5">
              <w:rPr>
                <w:bCs/>
              </w:rPr>
              <w:t xml:space="preserve"> </w:t>
            </w:r>
            <w:r>
              <w:rPr>
                <w:bCs/>
              </w:rPr>
              <w:t>A</w:t>
            </w:r>
            <w:r w:rsidRPr="00FB34B5">
              <w:rPr>
                <w:bCs/>
              </w:rPr>
              <w:t xml:space="preserve"> with active or prior inhibitors</w:t>
            </w:r>
          </w:p>
        </w:tc>
        <w:tc>
          <w:tcPr>
            <w:tcW w:w="1970" w:type="pct"/>
          </w:tcPr>
          <w:p w14:paraId="0FAEAC00" w14:textId="77777777" w:rsidR="00755CF2" w:rsidRDefault="00755CF2" w:rsidP="00874D92">
            <w:pPr>
              <w:pStyle w:val="TableText"/>
              <w:widowControl w:val="0"/>
              <w:rPr>
                <w:b/>
              </w:rPr>
            </w:pPr>
            <w:r w:rsidRPr="00FB34B5">
              <w:rPr>
                <w:bCs/>
              </w:rPr>
              <w:t xml:space="preserve">This Phase I/II clinical study </w:t>
            </w:r>
            <w:r>
              <w:rPr>
                <w:bCs/>
              </w:rPr>
              <w:t>aims to</w:t>
            </w:r>
            <w:r w:rsidRPr="00FB34B5">
              <w:rPr>
                <w:bCs/>
              </w:rPr>
              <w:t xml:space="preserve"> evaluate the safety and efficacy of </w:t>
            </w:r>
            <w:r>
              <w:rPr>
                <w:bCs/>
              </w:rPr>
              <w:t xml:space="preserve">valoctocogene </w:t>
            </w:r>
            <w:proofErr w:type="spellStart"/>
            <w:r>
              <w:rPr>
                <w:bCs/>
              </w:rPr>
              <w:t>roxaparvovec</w:t>
            </w:r>
            <w:proofErr w:type="spellEnd"/>
            <w:r w:rsidRPr="00FB34B5">
              <w:rPr>
                <w:bCs/>
              </w:rPr>
              <w:t xml:space="preserve"> in patients with severe </w:t>
            </w:r>
            <w:r>
              <w:rPr>
                <w:bCs/>
              </w:rPr>
              <w:t>H</w:t>
            </w:r>
            <w:r w:rsidRPr="00FB34B5">
              <w:rPr>
                <w:bCs/>
              </w:rPr>
              <w:t>A and inhibitors to FVIII. Part A of the study will involve subjects who have active inhibitors to FVIII, and Part B involve subjects with a prior history of inhibitors.</w:t>
            </w:r>
            <w:r>
              <w:rPr>
                <w:bCs/>
              </w:rPr>
              <w:t xml:space="preserve"> Expected sample of 20 patients.</w:t>
            </w:r>
          </w:p>
        </w:tc>
        <w:tc>
          <w:tcPr>
            <w:tcW w:w="914" w:type="pct"/>
          </w:tcPr>
          <w:p w14:paraId="3B0934B9" w14:textId="77777777" w:rsidR="00755CF2" w:rsidRPr="00E82F54" w:rsidRDefault="00755CF2" w:rsidP="00874D92">
            <w:pPr>
              <w:pStyle w:val="TableText"/>
              <w:widowControl w:val="0"/>
              <w:rPr>
                <w:b/>
              </w:rPr>
            </w:pPr>
            <w:r>
              <w:t>NA</w:t>
            </w:r>
          </w:p>
        </w:tc>
        <w:tc>
          <w:tcPr>
            <w:tcW w:w="577" w:type="pct"/>
          </w:tcPr>
          <w:p w14:paraId="6B3863F0" w14:textId="77777777" w:rsidR="00755CF2" w:rsidRPr="00E82F54" w:rsidRDefault="00755CF2" w:rsidP="00874D92">
            <w:pPr>
              <w:pStyle w:val="TableText"/>
              <w:widowControl w:val="0"/>
              <w:rPr>
                <w:b/>
              </w:rPr>
            </w:pPr>
            <w:r>
              <w:t xml:space="preserve">Estimated completion date: </w:t>
            </w:r>
            <w:r w:rsidRPr="00A106EB">
              <w:t>February 2029</w:t>
            </w:r>
          </w:p>
        </w:tc>
      </w:tr>
      <w:tr w:rsidR="00755CF2" w14:paraId="4DAE7E5C" w14:textId="77777777" w:rsidTr="00466E4E">
        <w:trPr>
          <w:cantSplit/>
        </w:trPr>
        <w:tc>
          <w:tcPr>
            <w:tcW w:w="146" w:type="pct"/>
          </w:tcPr>
          <w:p w14:paraId="6ADE6740" w14:textId="77777777" w:rsidR="00755CF2" w:rsidRDefault="00755CF2" w:rsidP="00874D92">
            <w:pPr>
              <w:pStyle w:val="TableText"/>
              <w:keepNext w:val="0"/>
              <w:keepLines w:val="0"/>
              <w:widowControl w:val="0"/>
            </w:pPr>
            <w:r>
              <w:t>3.</w:t>
            </w:r>
          </w:p>
        </w:tc>
        <w:tc>
          <w:tcPr>
            <w:tcW w:w="526" w:type="pct"/>
          </w:tcPr>
          <w:p w14:paraId="712BEB12" w14:textId="77777777" w:rsidR="00755CF2" w:rsidRDefault="00755CF2" w:rsidP="00874D92">
            <w:pPr>
              <w:pStyle w:val="TableText"/>
              <w:keepNext w:val="0"/>
              <w:keepLines w:val="0"/>
              <w:widowControl w:val="0"/>
              <w:rPr>
                <w:b/>
              </w:rPr>
            </w:pPr>
            <w:r>
              <w:rPr>
                <w:b/>
              </w:rPr>
              <w:t>270-203</w:t>
            </w:r>
          </w:p>
          <w:p w14:paraId="3CE6163D" w14:textId="77777777" w:rsidR="00755CF2" w:rsidRPr="00FB34B5" w:rsidRDefault="00755CF2" w:rsidP="00874D92">
            <w:pPr>
              <w:pStyle w:val="TableText"/>
              <w:keepNext w:val="0"/>
              <w:keepLines w:val="0"/>
              <w:widowControl w:val="0"/>
              <w:rPr>
                <w:bCs/>
              </w:rPr>
            </w:pPr>
            <w:r w:rsidRPr="00FB34B5">
              <w:rPr>
                <w:bCs/>
              </w:rPr>
              <w:t>NCT03520712</w:t>
            </w:r>
          </w:p>
          <w:p w14:paraId="61EFF002" w14:textId="77777777" w:rsidR="00755CF2" w:rsidRDefault="00755CF2" w:rsidP="00874D92">
            <w:pPr>
              <w:pStyle w:val="TableText"/>
              <w:keepNext w:val="0"/>
              <w:keepLines w:val="0"/>
              <w:widowControl w:val="0"/>
              <w:rPr>
                <w:b/>
              </w:rPr>
            </w:pPr>
            <w:r w:rsidRPr="00FB34B5">
              <w:rPr>
                <w:bCs/>
              </w:rPr>
              <w:t>Phase 1 / 2, SA, OL</w:t>
            </w:r>
          </w:p>
        </w:tc>
        <w:tc>
          <w:tcPr>
            <w:tcW w:w="866" w:type="pct"/>
          </w:tcPr>
          <w:p w14:paraId="4CD7725D" w14:textId="77777777" w:rsidR="00755CF2" w:rsidRPr="00FB34B5" w:rsidRDefault="00755CF2" w:rsidP="00874D92">
            <w:pPr>
              <w:pStyle w:val="TableText"/>
              <w:keepNext w:val="0"/>
              <w:keepLines w:val="0"/>
              <w:widowControl w:val="0"/>
              <w:rPr>
                <w:bCs/>
              </w:rPr>
            </w:pPr>
            <w:r w:rsidRPr="00FB34B5">
              <w:rPr>
                <w:bCs/>
              </w:rPr>
              <w:t xml:space="preserve">Gene Therapy Study in Severe </w:t>
            </w:r>
            <w:r>
              <w:rPr>
                <w:bCs/>
              </w:rPr>
              <w:t xml:space="preserve"> </w:t>
            </w:r>
            <w:r w:rsidRPr="00FB34B5">
              <w:rPr>
                <w:bCs/>
              </w:rPr>
              <w:t xml:space="preserve"> </w:t>
            </w:r>
            <w:proofErr w:type="gramStart"/>
            <w:r w:rsidRPr="00FB34B5">
              <w:rPr>
                <w:bCs/>
              </w:rPr>
              <w:t>A</w:t>
            </w:r>
            <w:proofErr w:type="gramEnd"/>
            <w:r w:rsidRPr="00FB34B5">
              <w:rPr>
                <w:bCs/>
              </w:rPr>
              <w:t xml:space="preserve"> Patients with Antibodies Against AAV5 (270-203)</w:t>
            </w:r>
          </w:p>
        </w:tc>
        <w:tc>
          <w:tcPr>
            <w:tcW w:w="1970" w:type="pct"/>
          </w:tcPr>
          <w:p w14:paraId="004B3A5F" w14:textId="77777777" w:rsidR="00755CF2" w:rsidRDefault="00755CF2" w:rsidP="00874D92">
            <w:pPr>
              <w:pStyle w:val="TableText"/>
              <w:keepNext w:val="0"/>
              <w:keepLines w:val="0"/>
              <w:widowControl w:val="0"/>
              <w:rPr>
                <w:b/>
              </w:rPr>
            </w:pPr>
            <w:r>
              <w:t xml:space="preserve">This study aims to </w:t>
            </w:r>
            <w:r w:rsidRPr="00FB34B5">
              <w:t xml:space="preserve">determine the safety of </w:t>
            </w:r>
            <w:r>
              <w:t xml:space="preserve">valoctocogene </w:t>
            </w:r>
            <w:proofErr w:type="spellStart"/>
            <w:r>
              <w:t>roxaparvovec</w:t>
            </w:r>
            <w:proofErr w:type="spellEnd"/>
            <w:r>
              <w:t xml:space="preserve"> </w:t>
            </w:r>
            <w:r w:rsidRPr="00FB34B5">
              <w:t xml:space="preserve">in severe </w:t>
            </w:r>
            <w:r>
              <w:t>H</w:t>
            </w:r>
            <w:r w:rsidRPr="00FB34B5">
              <w:t>A patients with pre-existing antibodies against AAV5.</w:t>
            </w:r>
          </w:p>
        </w:tc>
        <w:tc>
          <w:tcPr>
            <w:tcW w:w="914" w:type="pct"/>
          </w:tcPr>
          <w:p w14:paraId="610B0728" w14:textId="77777777" w:rsidR="00755CF2" w:rsidRPr="00E82F54" w:rsidRDefault="00755CF2" w:rsidP="00874D92">
            <w:pPr>
              <w:pStyle w:val="TableText"/>
              <w:keepNext w:val="0"/>
              <w:keepLines w:val="0"/>
              <w:widowControl w:val="0"/>
              <w:rPr>
                <w:b/>
              </w:rPr>
            </w:pPr>
            <w:r>
              <w:t>NA</w:t>
            </w:r>
          </w:p>
        </w:tc>
        <w:tc>
          <w:tcPr>
            <w:tcW w:w="577" w:type="pct"/>
          </w:tcPr>
          <w:p w14:paraId="7F1E6FA8" w14:textId="77777777" w:rsidR="00755CF2" w:rsidRPr="00E82F54" w:rsidRDefault="00755CF2" w:rsidP="00874D92">
            <w:pPr>
              <w:pStyle w:val="TableText"/>
              <w:keepNext w:val="0"/>
              <w:keepLines w:val="0"/>
              <w:widowControl w:val="0"/>
              <w:rPr>
                <w:b/>
              </w:rPr>
            </w:pPr>
            <w:r>
              <w:t xml:space="preserve">Estimated completion </w:t>
            </w:r>
            <w:r w:rsidRPr="00A106EB">
              <w:t>date: November 2027</w:t>
            </w:r>
          </w:p>
        </w:tc>
      </w:tr>
      <w:tr w:rsidR="00755CF2" w14:paraId="744D65AE" w14:textId="77777777" w:rsidTr="00466E4E">
        <w:trPr>
          <w:cantSplit/>
        </w:trPr>
        <w:tc>
          <w:tcPr>
            <w:tcW w:w="146" w:type="pct"/>
          </w:tcPr>
          <w:p w14:paraId="3A3272DA" w14:textId="77777777" w:rsidR="00755CF2" w:rsidRDefault="00755CF2" w:rsidP="00874D92">
            <w:pPr>
              <w:pStyle w:val="TableText"/>
              <w:keepNext w:val="0"/>
              <w:keepLines w:val="0"/>
              <w:widowControl w:val="0"/>
            </w:pPr>
            <w:r>
              <w:t>4</w:t>
            </w:r>
          </w:p>
        </w:tc>
        <w:tc>
          <w:tcPr>
            <w:tcW w:w="526" w:type="pct"/>
          </w:tcPr>
          <w:p w14:paraId="3C6CF075" w14:textId="77777777" w:rsidR="00755CF2" w:rsidRDefault="00755CF2" w:rsidP="00874D92">
            <w:pPr>
              <w:pStyle w:val="TableText"/>
              <w:keepNext w:val="0"/>
              <w:keepLines w:val="0"/>
              <w:widowControl w:val="0"/>
              <w:rPr>
                <w:b/>
              </w:rPr>
            </w:pPr>
            <w:r>
              <w:rPr>
                <w:b/>
              </w:rPr>
              <w:t>270-804</w:t>
            </w:r>
          </w:p>
          <w:p w14:paraId="3A519B7C" w14:textId="77777777" w:rsidR="00755CF2" w:rsidRPr="004D1385" w:rsidRDefault="00755CF2" w:rsidP="00874D92">
            <w:pPr>
              <w:pStyle w:val="TableText"/>
              <w:keepNext w:val="0"/>
              <w:keepLines w:val="0"/>
              <w:widowControl w:val="0"/>
              <w:rPr>
                <w:bCs/>
              </w:rPr>
            </w:pPr>
            <w:r w:rsidRPr="004D1385">
              <w:rPr>
                <w:bCs/>
              </w:rPr>
              <w:t>Retrospective, comparative, PSMA</w:t>
            </w:r>
          </w:p>
        </w:tc>
        <w:tc>
          <w:tcPr>
            <w:tcW w:w="866" w:type="pct"/>
          </w:tcPr>
          <w:p w14:paraId="67C6BBDC" w14:textId="77777777" w:rsidR="00755CF2" w:rsidRDefault="00755CF2" w:rsidP="00874D92">
            <w:pPr>
              <w:pStyle w:val="TableText"/>
              <w:keepNext w:val="0"/>
              <w:keepLines w:val="0"/>
              <w:widowControl w:val="0"/>
              <w:rPr>
                <w:bCs/>
              </w:rPr>
            </w:pPr>
            <w:r w:rsidRPr="00A106EB">
              <w:rPr>
                <w:bCs/>
              </w:rPr>
              <w:t xml:space="preserve">Protocol Title: </w:t>
            </w:r>
          </w:p>
          <w:p w14:paraId="4E21E2A1" w14:textId="77777777" w:rsidR="00755CF2" w:rsidRPr="00FB34B5" w:rsidRDefault="00755CF2" w:rsidP="00874D92">
            <w:pPr>
              <w:pStyle w:val="TableText"/>
              <w:keepNext w:val="0"/>
              <w:keepLines w:val="0"/>
              <w:widowControl w:val="0"/>
              <w:rPr>
                <w:bCs/>
              </w:rPr>
            </w:pPr>
            <w:r w:rsidRPr="00A106EB">
              <w:rPr>
                <w:bCs/>
              </w:rPr>
              <w:t xml:space="preserve">Comparative effectiveness of valoctocogene </w:t>
            </w:r>
            <w:proofErr w:type="spellStart"/>
            <w:r w:rsidRPr="00A106EB">
              <w:rPr>
                <w:bCs/>
              </w:rPr>
              <w:t>roxaparvovec</w:t>
            </w:r>
            <w:proofErr w:type="spellEnd"/>
            <w:r w:rsidRPr="00A106EB">
              <w:rPr>
                <w:bCs/>
              </w:rPr>
              <w:t xml:space="preserve"> and prophylactic Factor VIII replacement using data from 270-301 and 270-902: application of propensity score methodologies</w:t>
            </w:r>
          </w:p>
        </w:tc>
        <w:tc>
          <w:tcPr>
            <w:tcW w:w="1970" w:type="pct"/>
          </w:tcPr>
          <w:p w14:paraId="0500100F" w14:textId="77777777" w:rsidR="00755CF2" w:rsidRDefault="00755CF2" w:rsidP="00874D92">
            <w:pPr>
              <w:pStyle w:val="TableText"/>
              <w:keepNext w:val="0"/>
              <w:keepLines w:val="0"/>
              <w:widowControl w:val="0"/>
            </w:pPr>
            <w:r>
              <w:t xml:space="preserve">IPD from 270-301 and 270-902 will be </w:t>
            </w:r>
            <w:proofErr w:type="spellStart"/>
            <w:r>
              <w:t>utilised</w:t>
            </w:r>
            <w:proofErr w:type="spellEnd"/>
            <w:r>
              <w:t xml:space="preserve"> to construct a PSMA, comparing valoctocogene </w:t>
            </w:r>
            <w:proofErr w:type="spellStart"/>
            <w:r>
              <w:t>roxaparvovec</w:t>
            </w:r>
            <w:proofErr w:type="spellEnd"/>
            <w:r>
              <w:t xml:space="preserve"> with FVIII. Cohorts will be compared for ABR and proportion patients with zero bleeds, with a follow up of 12 months. </w:t>
            </w:r>
          </w:p>
        </w:tc>
        <w:tc>
          <w:tcPr>
            <w:tcW w:w="914" w:type="pct"/>
          </w:tcPr>
          <w:p w14:paraId="6E74D38E" w14:textId="77777777" w:rsidR="00755CF2" w:rsidRDefault="00755CF2" w:rsidP="00874D92">
            <w:pPr>
              <w:pStyle w:val="TableText"/>
              <w:keepNext w:val="0"/>
              <w:keepLines w:val="0"/>
              <w:widowControl w:val="0"/>
            </w:pPr>
            <w:r>
              <w:t>NA</w:t>
            </w:r>
          </w:p>
        </w:tc>
        <w:tc>
          <w:tcPr>
            <w:tcW w:w="577" w:type="pct"/>
          </w:tcPr>
          <w:p w14:paraId="12E4F310" w14:textId="77777777" w:rsidR="00755CF2" w:rsidRPr="004D1385" w:rsidRDefault="00755CF2" w:rsidP="00874D92">
            <w:pPr>
              <w:pStyle w:val="TableText"/>
              <w:keepNext w:val="0"/>
              <w:keepLines w:val="0"/>
              <w:widowControl w:val="0"/>
              <w:rPr>
                <w:bCs/>
              </w:rPr>
            </w:pPr>
            <w:r w:rsidRPr="004D1385">
              <w:rPr>
                <w:bCs/>
              </w:rPr>
              <w:t xml:space="preserve">Estimated completion date: </w:t>
            </w:r>
            <w:r>
              <w:rPr>
                <w:bCs/>
              </w:rPr>
              <w:t>2023</w:t>
            </w:r>
          </w:p>
        </w:tc>
      </w:tr>
    </w:tbl>
    <w:p w14:paraId="5842BF3E" w14:textId="77777777" w:rsidR="00755CF2" w:rsidRDefault="00755CF2" w:rsidP="00755CF2">
      <w:pPr>
        <w:pStyle w:val="Tablenotes"/>
        <w:widowControl w:val="0"/>
      </w:pPr>
      <w:r>
        <w:t xml:space="preserve">AAV5, </w:t>
      </w:r>
      <w:r w:rsidRPr="00B564A2">
        <w:t>Adeno-Associated Virus Type 5</w:t>
      </w:r>
      <w:r>
        <w:t xml:space="preserve">; ABR, </w:t>
      </w:r>
      <w:r w:rsidRPr="004D1385">
        <w:t>annuali</w:t>
      </w:r>
      <w:r>
        <w:t>s</w:t>
      </w:r>
      <w:r w:rsidRPr="004D1385">
        <w:t>ed bleeding rate</w:t>
      </w:r>
      <w:r>
        <w:t xml:space="preserve">; FVIII, </w:t>
      </w:r>
      <w:r w:rsidRPr="00B564A2">
        <w:t>exogenous factor VIII</w:t>
      </w:r>
      <w:r>
        <w:t>; HA, haemophilia A; IPD, individual patient data; OL, open label; MAIC, matched adjusted indirect comparison; PSMA, propensity score matched analysis; SA, single arm.</w:t>
      </w:r>
    </w:p>
    <w:p w14:paraId="13AF9142" w14:textId="77777777" w:rsidR="00755CF2" w:rsidRDefault="00755CF2" w:rsidP="00755CF2">
      <w:pPr>
        <w:rPr>
          <w:b/>
          <w:color w:val="000000"/>
          <w:sz w:val="32"/>
        </w:rPr>
        <w:sectPr w:rsidR="00755CF2" w:rsidSect="001B3C30">
          <w:pgSz w:w="16838" w:h="11906" w:orient="landscape"/>
          <w:pgMar w:top="1440" w:right="1440" w:bottom="991" w:left="1135" w:header="426" w:footer="252" w:gutter="0"/>
          <w:cols w:space="708"/>
          <w:docGrid w:linePitch="360"/>
        </w:sectPr>
      </w:pPr>
    </w:p>
    <w:p w14:paraId="51643B63" w14:textId="77777777" w:rsidR="00755CF2" w:rsidRPr="00AE1F91" w:rsidRDefault="00755CF2" w:rsidP="00D200D1">
      <w:pPr>
        <w:pStyle w:val="Heading1"/>
      </w:pPr>
      <w:r w:rsidRPr="00AE1F91">
        <w:lastRenderedPageBreak/>
        <w:t>Algorithms</w:t>
      </w:r>
    </w:p>
    <w:p w14:paraId="0D471777" w14:textId="77777777" w:rsidR="00755CF2" w:rsidRPr="00AE1F91" w:rsidRDefault="00755CF2" w:rsidP="00755CF2">
      <w:pPr>
        <w:rPr>
          <w:b/>
          <w:color w:val="000000"/>
          <w:u w:val="single"/>
        </w:rPr>
      </w:pPr>
      <w:r w:rsidRPr="00AE1F91">
        <w:rPr>
          <w:b/>
          <w:color w:val="000000"/>
          <w:u w:val="single"/>
        </w:rPr>
        <w:t>Preparation for using the health technology</w:t>
      </w:r>
    </w:p>
    <w:p w14:paraId="0F274956" w14:textId="228F1814" w:rsidR="00755CF2" w:rsidRPr="006449AA" w:rsidRDefault="00755CF2" w:rsidP="006449AA">
      <w:pPr>
        <w:pStyle w:val="Heading2"/>
      </w:pPr>
      <w:r w:rsidRPr="00AE1F91">
        <w:t xml:space="preserve">Define and summarise the clinical management algorithm, including any required tests or healthcare resources, before patients would be eligible for the </w:t>
      </w:r>
      <w:r w:rsidRPr="00AE1F91">
        <w:rPr>
          <w:u w:val="single"/>
        </w:rPr>
        <w:t>proposed health technology</w:t>
      </w:r>
      <w:r w:rsidRPr="00AE1F91">
        <w:t>:</w:t>
      </w:r>
    </w:p>
    <w:p w14:paraId="1BF9C497" w14:textId="1BE86ADE" w:rsidR="00755CF2" w:rsidRPr="006449AA" w:rsidRDefault="00755CF2" w:rsidP="006449AA">
      <w:r w:rsidRPr="004A187E">
        <w:t xml:space="preserve">The clinical management algorithm of patients with severe haemophilia A, including required tests to determine eligibility for valoctocogene </w:t>
      </w:r>
      <w:proofErr w:type="spellStart"/>
      <w:r w:rsidRPr="004A187E">
        <w:t>roxaparvovec</w:t>
      </w:r>
      <w:proofErr w:type="spellEnd"/>
      <w:r w:rsidRPr="004A187E">
        <w:t xml:space="preserve"> is provided in </w:t>
      </w:r>
      <w:bookmarkStart w:id="6" w:name="_Hlk145498759"/>
      <w:r w:rsidR="00DE246A">
        <w:t>Figure 4</w:t>
      </w:r>
    </w:p>
    <w:p w14:paraId="4F32EB2B" w14:textId="39F23AE7" w:rsidR="00755CF2" w:rsidRPr="004A187E" w:rsidRDefault="00755CF2" w:rsidP="006449AA">
      <w:r w:rsidRPr="004A187E">
        <w:t xml:space="preserve">The following will occur prior to treatment with valoctocogene </w:t>
      </w:r>
      <w:proofErr w:type="spellStart"/>
      <w:r w:rsidRPr="004A187E">
        <w:t>roxaparvovec</w:t>
      </w:r>
      <w:proofErr w:type="spellEnd"/>
      <w:r w:rsidRPr="004A187E">
        <w:t xml:space="preserve">: </w:t>
      </w:r>
    </w:p>
    <w:p w14:paraId="6F74BEFD" w14:textId="77777777" w:rsidR="00755CF2" w:rsidRPr="004A187E" w:rsidRDefault="00755CF2" w:rsidP="000F4DD6">
      <w:pPr>
        <w:pStyle w:val="ListParagraph"/>
        <w:numPr>
          <w:ilvl w:val="0"/>
          <w:numId w:val="21"/>
        </w:numPr>
        <w:spacing w:after="0"/>
      </w:pPr>
      <w:bookmarkStart w:id="7" w:name="_Hlk145498823"/>
      <w:r w:rsidRPr="004A187E">
        <w:t xml:space="preserve">Diagnosis of haemophilia A established based on clinical history, family history of bleeding and confirmed by a blood test for coagulant FVIII and genetic testing via the HTC. </w:t>
      </w:r>
    </w:p>
    <w:p w14:paraId="6CCFDF1A" w14:textId="77777777" w:rsidR="00755CF2" w:rsidRPr="00260BC8" w:rsidRDefault="00755CF2" w:rsidP="000F4DD6">
      <w:pPr>
        <w:pStyle w:val="ListParagraph"/>
        <w:numPr>
          <w:ilvl w:val="0"/>
          <w:numId w:val="21"/>
        </w:numPr>
        <w:spacing w:after="0"/>
      </w:pPr>
      <w:r w:rsidRPr="00260BC8">
        <w:t xml:space="preserve">The severity of haemophilia A </w:t>
      </w:r>
      <w:r>
        <w:t xml:space="preserve">is assessed. </w:t>
      </w:r>
    </w:p>
    <w:p w14:paraId="7DAED78F" w14:textId="77777777" w:rsidR="00755CF2" w:rsidRPr="004A187E" w:rsidRDefault="00755CF2" w:rsidP="000F4DD6">
      <w:pPr>
        <w:pStyle w:val="ListParagraph"/>
        <w:numPr>
          <w:ilvl w:val="0"/>
          <w:numId w:val="21"/>
        </w:numPr>
        <w:spacing w:after="0"/>
      </w:pPr>
      <w:r>
        <w:t xml:space="preserve">Patient assessed for history of </w:t>
      </w:r>
      <w:r w:rsidRPr="004A187E">
        <w:t xml:space="preserve">inhibitors to FVIII </w:t>
      </w:r>
      <w:bookmarkEnd w:id="6"/>
      <w:bookmarkEnd w:id="7"/>
    </w:p>
    <w:p w14:paraId="3790978A" w14:textId="77777777" w:rsidR="00755CF2" w:rsidRPr="004A187E" w:rsidRDefault="00755CF2" w:rsidP="000F4DD6">
      <w:pPr>
        <w:pStyle w:val="ListParagraph"/>
        <w:numPr>
          <w:ilvl w:val="0"/>
          <w:numId w:val="21"/>
        </w:numPr>
        <w:spacing w:after="0"/>
      </w:pPr>
      <w:r w:rsidRPr="004A187E">
        <w:t xml:space="preserve">Patient assessed for active hepatitis or severe liver status. </w:t>
      </w:r>
    </w:p>
    <w:p w14:paraId="777D525F" w14:textId="7FE178A6" w:rsidR="00755CF2" w:rsidRDefault="00755CF2" w:rsidP="00466E4E">
      <w:pPr>
        <w:pStyle w:val="ListParagraph"/>
        <w:numPr>
          <w:ilvl w:val="0"/>
          <w:numId w:val="21"/>
        </w:numPr>
        <w:spacing w:after="120"/>
        <w:ind w:left="1077" w:hanging="357"/>
        <w:contextualSpacing w:val="0"/>
      </w:pPr>
      <w:r w:rsidRPr="004A187E">
        <w:t xml:space="preserve">Patients assessed for AAV5 antibody status via the AAV5 </w:t>
      </w:r>
      <w:proofErr w:type="spellStart"/>
      <w:r w:rsidRPr="004A187E">
        <w:t>DetectCDx</w:t>
      </w:r>
      <w:r w:rsidRPr="000F4DD6">
        <w:rPr>
          <w:vertAlign w:val="superscript"/>
        </w:rPr>
        <w:t>TM</w:t>
      </w:r>
      <w:proofErr w:type="spellEnd"/>
      <w:r w:rsidRPr="004A187E">
        <w:t xml:space="preserve"> test (see AAV5 PICO set). </w:t>
      </w:r>
    </w:p>
    <w:p w14:paraId="00D0CFAB" w14:textId="451F245D" w:rsidR="00755CF2" w:rsidRPr="004A187E" w:rsidRDefault="00755CF2" w:rsidP="00E95F5C">
      <w:r>
        <w:t>According to local experts</w:t>
      </w:r>
      <w:r>
        <w:rPr>
          <w:rStyle w:val="FootnoteReference"/>
        </w:rPr>
        <w:footnoteReference w:id="4"/>
      </w:r>
      <w:r>
        <w:t xml:space="preserve">, a process of shared decision making for gene therapy with valoctocogene </w:t>
      </w:r>
      <w:proofErr w:type="spellStart"/>
      <w:r>
        <w:t>roxaparvovec</w:t>
      </w:r>
      <w:proofErr w:type="spellEnd"/>
      <w:r>
        <w:t xml:space="preserve"> will take place, from early discussion to infusion, as part of an existing comprehensive care model.  </w:t>
      </w:r>
    </w:p>
    <w:p w14:paraId="63DFE782" w14:textId="56C2D8AE" w:rsidR="00755CF2" w:rsidRPr="006449AA" w:rsidRDefault="00755CF2" w:rsidP="00E95F5C">
      <w:r w:rsidRPr="004A187E">
        <w:t xml:space="preserve">Following these assessments, patients diagnosed with severe haemophilia A, who do not have a history of inhibitors, who do not have active hepatitis or severe liver disease, and are otherwise considered suitable candidates for treatment with valoctocogene </w:t>
      </w:r>
      <w:proofErr w:type="spellStart"/>
      <w:r w:rsidRPr="004A187E">
        <w:t>roxaparvovec</w:t>
      </w:r>
      <w:proofErr w:type="spellEnd"/>
      <w:r w:rsidRPr="004A187E">
        <w:t xml:space="preserve"> by their treating physicians, will undergo AAV5 antibody testing to confirm eligibility.</w:t>
      </w:r>
    </w:p>
    <w:p w14:paraId="544D97A4" w14:textId="0BFF5D56" w:rsidR="00755CF2" w:rsidRPr="006449AA" w:rsidRDefault="00755CF2" w:rsidP="00E95F5C">
      <w:bookmarkStart w:id="8" w:name="_Hlk145498719"/>
      <w:r w:rsidRPr="004A187E">
        <w:t xml:space="preserve">Patients without detectable AAV5 antibodies will be eligible for treatment with valoctocogene </w:t>
      </w:r>
      <w:proofErr w:type="spellStart"/>
      <w:r w:rsidRPr="004A187E">
        <w:t>roxaparvovec</w:t>
      </w:r>
      <w:proofErr w:type="spellEnd"/>
      <w:r w:rsidRPr="004A187E">
        <w:t xml:space="preserve">. It is expected that </w:t>
      </w:r>
      <w:proofErr w:type="gramStart"/>
      <w:r w:rsidRPr="004A187E">
        <w:t>the majority of</w:t>
      </w:r>
      <w:proofErr w:type="gramEnd"/>
      <w:r w:rsidRPr="004A187E">
        <w:t xml:space="preserve"> tested patients without detectable AAV5 antibodies will receive valoctocogene </w:t>
      </w:r>
      <w:proofErr w:type="spellStart"/>
      <w:r w:rsidRPr="004A187E">
        <w:t>roxaparvovec</w:t>
      </w:r>
      <w:proofErr w:type="spellEnd"/>
      <w:r w:rsidRPr="004A187E">
        <w:t xml:space="preserve">. </w:t>
      </w:r>
      <w:r w:rsidRPr="004A187E">
        <w:rPr>
          <w:color w:val="000000" w:themeColor="text1"/>
        </w:rPr>
        <w:t xml:space="preserve">Patients with AAV5 antibodies will continue prophylactic treatment with FVIII replacement therapy or </w:t>
      </w:r>
      <w:proofErr w:type="spellStart"/>
      <w:r w:rsidRPr="004A187E">
        <w:rPr>
          <w:color w:val="000000" w:themeColor="text1"/>
        </w:rPr>
        <w:t>emicizumab</w:t>
      </w:r>
      <w:proofErr w:type="spellEnd"/>
      <w:r w:rsidRPr="004A187E">
        <w:rPr>
          <w:color w:val="000000" w:themeColor="text1"/>
        </w:rPr>
        <w:t xml:space="preserve">. </w:t>
      </w:r>
    </w:p>
    <w:bookmarkEnd w:id="8"/>
    <w:p w14:paraId="2752CDAB" w14:textId="2B1F17F9" w:rsidR="00755CF2" w:rsidRPr="006449AA" w:rsidRDefault="00755CF2" w:rsidP="00E95F5C">
      <w:pPr>
        <w:rPr>
          <w:color w:val="000000"/>
        </w:rPr>
      </w:pPr>
      <w:r w:rsidRPr="004A187E">
        <w:rPr>
          <w:color w:val="000000"/>
        </w:rPr>
        <w:t xml:space="preserve">It is expected that all patients with severe haemophilia A at the time of eligibility for valoctocogene </w:t>
      </w:r>
      <w:proofErr w:type="spellStart"/>
      <w:r w:rsidRPr="004A187E">
        <w:rPr>
          <w:color w:val="000000"/>
        </w:rPr>
        <w:t>roxaparvovec</w:t>
      </w:r>
      <w:proofErr w:type="spellEnd"/>
      <w:r w:rsidRPr="004A187E">
        <w:rPr>
          <w:color w:val="000000"/>
        </w:rPr>
        <w:t xml:space="preserve"> would have received prior prophylactic treatment.</w:t>
      </w:r>
    </w:p>
    <w:p w14:paraId="2EA8D54A" w14:textId="3EB2AF19" w:rsidR="00755CF2" w:rsidRPr="00E95F5C" w:rsidRDefault="00755CF2" w:rsidP="00E95F5C">
      <w:pPr>
        <w:pStyle w:val="Heading2"/>
      </w:pPr>
      <w:r w:rsidRPr="00E95F5C">
        <w:rPr>
          <w:rStyle w:val="Heading2Char"/>
          <w:b/>
          <w:bCs/>
        </w:rPr>
        <w:t xml:space="preserve">Is there any expectation that the clinical management algorithm before the health technology is used will change due to the introduction of the proposed health technology? </w:t>
      </w:r>
    </w:p>
    <w:p w14:paraId="32792152" w14:textId="5BA17ADD" w:rsidR="00755CF2" w:rsidRPr="00E95F5C" w:rsidRDefault="00755CF2" w:rsidP="00E95F5C">
      <w:pPr>
        <w:rPr>
          <w:bCs/>
          <w:color w:val="000000"/>
        </w:rPr>
      </w:pPr>
      <w:r w:rsidRPr="004A187E">
        <w:rPr>
          <w:bCs/>
          <w:color w:val="000000"/>
        </w:rPr>
        <w:t>Yes</w:t>
      </w:r>
    </w:p>
    <w:p w14:paraId="5AF67D69" w14:textId="102BE72B" w:rsidR="00755CF2" w:rsidRDefault="00755CF2" w:rsidP="00E95F5C">
      <w:r w:rsidRPr="005F0F8B">
        <w:t xml:space="preserve">The main difference in the algorithm </w:t>
      </w:r>
      <w:r>
        <w:t xml:space="preserve">with the introduction of the proposed health technology is the need for testing of AAV5 antibody status. This is not a requirement for access to FVIII and </w:t>
      </w:r>
      <w:proofErr w:type="spellStart"/>
      <w:r>
        <w:t>emicizumab</w:t>
      </w:r>
      <w:proofErr w:type="spellEnd"/>
      <w:r>
        <w:t xml:space="preserve"> as per the current management algorithm of patients with severe haemophilia A without inhibitors</w:t>
      </w:r>
      <w:r w:rsidR="00DE246A">
        <w:t xml:space="preserve"> (Figure 3</w:t>
      </w:r>
      <w:r>
        <w:t xml:space="preserve">). </w:t>
      </w:r>
    </w:p>
    <w:p w14:paraId="3D360BDF" w14:textId="50A6C6FA" w:rsidR="00755CF2" w:rsidRPr="000467E0" w:rsidRDefault="006449AA" w:rsidP="00E95F5C">
      <w:bookmarkStart w:id="9" w:name="_Hlk150860690"/>
      <w:r w:rsidRPr="006449AA">
        <w:rPr>
          <w:highlight w:val="black"/>
        </w:rPr>
        <w:t>REDACTED</w:t>
      </w:r>
      <w:bookmarkEnd w:id="9"/>
      <w:r>
        <w:t xml:space="preserve"> </w:t>
      </w:r>
      <w:r w:rsidR="00755CF2" w:rsidRPr="50B52153">
        <w:rPr>
          <w:i/>
          <w:iCs/>
        </w:rPr>
        <w:t xml:space="preserve">Note. The AAV5 test is not available in Australia as it was assessed as unviable to set up testing of AAV5 in Australia given the small patient numbers and highly specialised nature of the test </w:t>
      </w:r>
      <w:r w:rsidR="00755CF2" w:rsidRPr="50B52153">
        <w:t>(refer to the AAV5 PICO set)</w:t>
      </w:r>
      <w:r w:rsidR="00755CF2" w:rsidRPr="50B52153">
        <w:rPr>
          <w:i/>
          <w:iCs/>
        </w:rPr>
        <w:t>.</w:t>
      </w:r>
      <w:r w:rsidR="00755CF2" w:rsidRPr="50B52153">
        <w:t xml:space="preserve"> </w:t>
      </w:r>
    </w:p>
    <w:p w14:paraId="5D7244F9" w14:textId="77777777" w:rsidR="00755CF2" w:rsidRPr="000467E0" w:rsidRDefault="00755CF2" w:rsidP="00755CF2">
      <w:pPr>
        <w:spacing w:after="0"/>
      </w:pPr>
    </w:p>
    <w:p w14:paraId="03CCF1EE" w14:textId="77777777" w:rsidR="00755CF2" w:rsidRDefault="00755CF2" w:rsidP="00755CF2">
      <w:pPr>
        <w:spacing w:after="0"/>
      </w:pPr>
      <w:bookmarkStart w:id="10" w:name="_Hlk145486445"/>
      <w:r w:rsidRPr="000467E0">
        <w:lastRenderedPageBreak/>
        <w:t xml:space="preserve">Additionally, active hepatitis or severe liver disease need to be ruled out prior to patients being eligible for valoctocogene </w:t>
      </w:r>
      <w:proofErr w:type="spellStart"/>
      <w:r w:rsidRPr="000467E0">
        <w:t>roxaparvovec</w:t>
      </w:r>
      <w:proofErr w:type="spellEnd"/>
      <w:r w:rsidRPr="000467E0">
        <w:t>; this is not a necessary requirement for the current management of patients with haemophilia A.</w:t>
      </w:r>
    </w:p>
    <w:bookmarkEnd w:id="10"/>
    <w:p w14:paraId="6869F965" w14:textId="77777777" w:rsidR="00755CF2" w:rsidRPr="00957037" w:rsidRDefault="00755CF2" w:rsidP="00755CF2">
      <w:pPr>
        <w:spacing w:after="0"/>
      </w:pPr>
    </w:p>
    <w:p w14:paraId="1F970836" w14:textId="292C43C2" w:rsidR="00755CF2" w:rsidRPr="006449AA" w:rsidRDefault="00755CF2" w:rsidP="006449AA">
      <w:pPr>
        <w:pStyle w:val="Heading2"/>
      </w:pPr>
      <w:r>
        <w:t xml:space="preserve">Describe and explain any differences in the clinical management algorithm prior to the use of the </w:t>
      </w:r>
      <w:r w:rsidRPr="6B660F63">
        <w:rPr>
          <w:u w:val="single"/>
        </w:rPr>
        <w:t>proposed health technology</w:t>
      </w:r>
      <w:r>
        <w:t xml:space="preserve"> vs. the </w:t>
      </w:r>
      <w:r w:rsidRPr="6B660F63">
        <w:rPr>
          <w:u w:val="single"/>
        </w:rPr>
        <w:t>comparator health technology</w:t>
      </w:r>
      <w:r>
        <w:t>:</w:t>
      </w:r>
    </w:p>
    <w:p w14:paraId="0022C96D" w14:textId="77777777" w:rsidR="00755CF2" w:rsidRDefault="00755CF2" w:rsidP="00755CF2">
      <w:pPr>
        <w:spacing w:after="0"/>
      </w:pPr>
      <w:r>
        <w:t xml:space="preserve">As detailed above, the main difference in terms of the clinical management algorithm prior to the use of the proposed health technology vs the comparator health technology is the requirement to test AAV5 antibody status to assess eligibility for valoctocogene </w:t>
      </w:r>
      <w:proofErr w:type="spellStart"/>
      <w:r>
        <w:t>roxaparvovec</w:t>
      </w:r>
      <w:proofErr w:type="spellEnd"/>
      <w:r>
        <w:t xml:space="preserve"> and the assessment of hepatitis and liver function.</w:t>
      </w:r>
    </w:p>
    <w:p w14:paraId="042B2624" w14:textId="77777777" w:rsidR="00755CF2" w:rsidRDefault="00755CF2" w:rsidP="00755CF2">
      <w:pPr>
        <w:spacing w:after="0"/>
      </w:pPr>
    </w:p>
    <w:p w14:paraId="0662E5E2" w14:textId="77777777" w:rsidR="00755CF2" w:rsidRPr="00AE1F91" w:rsidRDefault="00755CF2" w:rsidP="00755CF2">
      <w:pPr>
        <w:spacing w:after="0"/>
        <w:rPr>
          <w:b/>
          <w:color w:val="000000"/>
        </w:rPr>
      </w:pPr>
      <w:r w:rsidRPr="00AE1F91">
        <w:rPr>
          <w:b/>
          <w:color w:val="000000"/>
          <w:u w:val="single"/>
        </w:rPr>
        <w:t>Use of the health technology</w:t>
      </w:r>
    </w:p>
    <w:p w14:paraId="1B19C86D" w14:textId="77777777" w:rsidR="00755CF2" w:rsidRPr="00AE1F91" w:rsidRDefault="00755CF2" w:rsidP="00755CF2">
      <w:pPr>
        <w:spacing w:after="0"/>
        <w:rPr>
          <w:b/>
          <w:color w:val="000000"/>
        </w:rPr>
      </w:pPr>
    </w:p>
    <w:p w14:paraId="4B95DA8C" w14:textId="22302246" w:rsidR="00755CF2" w:rsidRPr="006449AA" w:rsidRDefault="00755CF2" w:rsidP="006449AA">
      <w:pPr>
        <w:pStyle w:val="Heading2"/>
      </w:pPr>
      <w:r w:rsidRPr="00AE1F91">
        <w:t xml:space="preserve">Explain what other healthcare resources are used in conjunction with delivering the </w:t>
      </w:r>
      <w:r w:rsidRPr="00AE1F91">
        <w:rPr>
          <w:u w:val="single"/>
        </w:rPr>
        <w:t>proposed health technology</w:t>
      </w:r>
      <w:r w:rsidRPr="00AE1F91">
        <w:t>:</w:t>
      </w:r>
    </w:p>
    <w:p w14:paraId="42DA2AB9" w14:textId="46C4A112" w:rsidR="00755CF2" w:rsidRPr="00E95F5C" w:rsidRDefault="00755CF2" w:rsidP="00E95F5C">
      <w:r>
        <w:t>No other healthcare resources are used.</w:t>
      </w:r>
      <w:r w:rsidRPr="00304420">
        <w:t xml:space="preserve"> </w:t>
      </w:r>
      <w:r w:rsidRPr="00F4679E">
        <w:t xml:space="preserve">The infusion will take place at the HTC, with no additional </w:t>
      </w:r>
      <w:r>
        <w:t>costs incurred in administering the treatment (</w:t>
      </w:r>
      <w:proofErr w:type="spellStart"/>
      <w:proofErr w:type="gramStart"/>
      <w:r>
        <w:t>ie</w:t>
      </w:r>
      <w:proofErr w:type="spellEnd"/>
      <w:proofErr w:type="gramEnd"/>
      <w:r>
        <w:t xml:space="preserve"> covered within the operation of the HTC)</w:t>
      </w:r>
      <w:r w:rsidRPr="00F4679E">
        <w:t xml:space="preserve">. </w:t>
      </w:r>
    </w:p>
    <w:p w14:paraId="62DF7F8C" w14:textId="2B9FA522" w:rsidR="00755CF2" w:rsidRPr="006449AA" w:rsidRDefault="00755CF2" w:rsidP="006449AA">
      <w:pPr>
        <w:pStyle w:val="Heading2"/>
      </w:pPr>
      <w:r w:rsidRPr="00AE1F91">
        <w:t xml:space="preserve">Explain what other healthcare resources are used in conjunction with the </w:t>
      </w:r>
      <w:r w:rsidRPr="00AE1F91">
        <w:rPr>
          <w:u w:val="single"/>
        </w:rPr>
        <w:t>comparator health technology</w:t>
      </w:r>
      <w:r w:rsidRPr="00AE1F91">
        <w:t>:</w:t>
      </w:r>
    </w:p>
    <w:p w14:paraId="618E8406" w14:textId="006405DC" w:rsidR="00755CF2" w:rsidRPr="00AE1F91" w:rsidRDefault="00755CF2" w:rsidP="00E95F5C">
      <w:pPr>
        <w:rPr>
          <w:rFonts w:asciiTheme="minorHAnsi" w:hAnsiTheme="minorHAnsi" w:cs="Calibri"/>
          <w:color w:val="000000"/>
        </w:rPr>
      </w:pPr>
      <w:r>
        <w:t xml:space="preserve">No other healthcare resources are used. Initiation of prophylactic treatment with FVIII therapy and </w:t>
      </w:r>
      <w:proofErr w:type="spellStart"/>
      <w:r>
        <w:t>emicizumab</w:t>
      </w:r>
      <w:proofErr w:type="spellEnd"/>
      <w:r>
        <w:t xml:space="preserve"> take place at the HTC (</w:t>
      </w:r>
      <w:proofErr w:type="spellStart"/>
      <w:proofErr w:type="gramStart"/>
      <w:r>
        <w:t>ie</w:t>
      </w:r>
      <w:proofErr w:type="spellEnd"/>
      <w:proofErr w:type="gramEnd"/>
      <w:r>
        <w:t xml:space="preserve"> covered within the operation of the HTC).</w:t>
      </w:r>
    </w:p>
    <w:p w14:paraId="45E5F57D" w14:textId="268ECAB1" w:rsidR="00755CF2" w:rsidRPr="006449AA" w:rsidRDefault="00755CF2" w:rsidP="006449AA">
      <w:pPr>
        <w:pStyle w:val="Heading2"/>
      </w:pPr>
      <w:r w:rsidRPr="00AE1F91">
        <w:t xml:space="preserve">Describe and explain any differences in the healthcare resources used in conjunction with the </w:t>
      </w:r>
      <w:r w:rsidRPr="00AE1F91">
        <w:rPr>
          <w:u w:val="single"/>
        </w:rPr>
        <w:t>proposed health technology</w:t>
      </w:r>
      <w:r w:rsidRPr="00AE1F91">
        <w:t xml:space="preserve"> vs. the </w:t>
      </w:r>
      <w:r w:rsidRPr="00AE1F91">
        <w:rPr>
          <w:u w:val="single"/>
        </w:rPr>
        <w:t>comparator health technology</w:t>
      </w:r>
      <w:r w:rsidRPr="00AE1F91">
        <w:t>:</w:t>
      </w:r>
    </w:p>
    <w:p w14:paraId="180AA7B3" w14:textId="184185FE" w:rsidR="00755CF2" w:rsidRPr="00E95F5C" w:rsidRDefault="00755CF2" w:rsidP="00755CF2">
      <w:pPr>
        <w:rPr>
          <w:rFonts w:asciiTheme="minorHAnsi" w:hAnsiTheme="minorHAnsi" w:cs="Calibri"/>
          <w:color w:val="000000"/>
        </w:rPr>
      </w:pPr>
      <w:r>
        <w:t xml:space="preserve">Not applicable. </w:t>
      </w:r>
    </w:p>
    <w:p w14:paraId="6BD049C7" w14:textId="77777777" w:rsidR="00755CF2" w:rsidRPr="00AE1F91" w:rsidRDefault="00755CF2" w:rsidP="00755CF2">
      <w:pPr>
        <w:spacing w:after="0"/>
        <w:rPr>
          <w:b/>
          <w:color w:val="000000"/>
        </w:rPr>
      </w:pPr>
      <w:r w:rsidRPr="00AE1F91">
        <w:rPr>
          <w:b/>
          <w:color w:val="000000"/>
          <w:u w:val="single"/>
        </w:rPr>
        <w:t>Clinical management after the use of health technology</w:t>
      </w:r>
    </w:p>
    <w:p w14:paraId="30AB49A3" w14:textId="77777777" w:rsidR="00755CF2" w:rsidRPr="00AE1F91" w:rsidRDefault="00755CF2" w:rsidP="00755CF2">
      <w:pPr>
        <w:spacing w:after="0"/>
        <w:rPr>
          <w:b/>
          <w:color w:val="000000"/>
        </w:rPr>
      </w:pPr>
    </w:p>
    <w:p w14:paraId="3634ACE2" w14:textId="77777777" w:rsidR="00755CF2" w:rsidRDefault="00755CF2" w:rsidP="00755CF2">
      <w:pPr>
        <w:pStyle w:val="Heading2"/>
      </w:pPr>
      <w:r w:rsidRPr="00AE1F91">
        <w:t xml:space="preserve">Define and summarise the clinical management algorithm, including any required tests or healthcare resources, </w:t>
      </w:r>
      <w:r w:rsidRPr="00AE1F91">
        <w:rPr>
          <w:i/>
          <w:iCs/>
        </w:rPr>
        <w:t>after</w:t>
      </w:r>
      <w:r w:rsidRPr="00AE1F91">
        <w:t xml:space="preserve"> the use of the </w:t>
      </w:r>
      <w:r w:rsidRPr="00AE1F91">
        <w:rPr>
          <w:u w:val="single"/>
        </w:rPr>
        <w:t>proposed health technology</w:t>
      </w:r>
      <w:r w:rsidRPr="00AE1F91">
        <w:t>:</w:t>
      </w:r>
    </w:p>
    <w:p w14:paraId="1DD93C8F" w14:textId="77777777" w:rsidR="00755CF2" w:rsidRPr="002A5EEC" w:rsidRDefault="00755CF2" w:rsidP="00E95F5C">
      <w:r w:rsidRPr="002A5EEC">
        <w:t>and</w:t>
      </w:r>
    </w:p>
    <w:p w14:paraId="31F5075A" w14:textId="77777777" w:rsidR="00755CF2" w:rsidRPr="00AE1F91" w:rsidRDefault="00755CF2" w:rsidP="00755CF2">
      <w:pPr>
        <w:pStyle w:val="Heading2"/>
      </w:pPr>
      <w:r w:rsidRPr="00AE1F91">
        <w:t xml:space="preserve">Define and summarise the clinical management algorithm, including any required tests or healthcare resources, </w:t>
      </w:r>
      <w:r w:rsidRPr="00AE1F91">
        <w:rPr>
          <w:i/>
          <w:iCs/>
        </w:rPr>
        <w:t>after</w:t>
      </w:r>
      <w:r w:rsidRPr="00AE1F91">
        <w:t xml:space="preserve"> the use of the </w:t>
      </w:r>
      <w:r w:rsidRPr="00AE1F91">
        <w:rPr>
          <w:u w:val="single"/>
        </w:rPr>
        <w:t>comparator health technology</w:t>
      </w:r>
      <w:r w:rsidRPr="00AE1F91">
        <w:t>:</w:t>
      </w:r>
    </w:p>
    <w:p w14:paraId="2027D386" w14:textId="77777777" w:rsidR="00755CF2" w:rsidRPr="002A5EEC" w:rsidRDefault="00755CF2" w:rsidP="00E95F5C">
      <w:r w:rsidRPr="002A5EEC">
        <w:t>and</w:t>
      </w:r>
    </w:p>
    <w:p w14:paraId="6B6E6CE2" w14:textId="1FEE162C" w:rsidR="00755CF2" w:rsidRPr="00E95F5C" w:rsidRDefault="00755CF2" w:rsidP="00755CF2">
      <w:pPr>
        <w:spacing w:after="0"/>
        <w:rPr>
          <w:b/>
          <w:color w:val="000000"/>
        </w:rPr>
      </w:pPr>
      <w:r w:rsidRPr="00F4679E">
        <w:rPr>
          <w:b/>
          <w:color w:val="000000"/>
        </w:rPr>
        <w:t xml:space="preserve">Describe and explain any differences in the healthcare resources used </w:t>
      </w:r>
      <w:r w:rsidRPr="00F4679E">
        <w:rPr>
          <w:b/>
          <w:i/>
          <w:iCs/>
          <w:color w:val="000000"/>
        </w:rPr>
        <w:t>after</w:t>
      </w:r>
      <w:r w:rsidRPr="00F4679E">
        <w:rPr>
          <w:b/>
          <w:color w:val="000000"/>
        </w:rPr>
        <w:t xml:space="preserve"> the </w:t>
      </w:r>
      <w:r w:rsidRPr="00F4679E">
        <w:rPr>
          <w:b/>
          <w:color w:val="000000"/>
          <w:u w:val="single"/>
        </w:rPr>
        <w:t>proposed health technology</w:t>
      </w:r>
      <w:r w:rsidRPr="00F4679E">
        <w:rPr>
          <w:b/>
          <w:color w:val="000000"/>
        </w:rPr>
        <w:t xml:space="preserve"> vs. the </w:t>
      </w:r>
      <w:r w:rsidRPr="00F4679E">
        <w:rPr>
          <w:b/>
          <w:color w:val="000000"/>
          <w:u w:val="single"/>
        </w:rPr>
        <w:t>comparator health technology</w:t>
      </w:r>
      <w:r w:rsidRPr="00F4679E">
        <w:rPr>
          <w:b/>
          <w:color w:val="000000"/>
        </w:rPr>
        <w:t>:</w:t>
      </w:r>
    </w:p>
    <w:p w14:paraId="62C43C9E" w14:textId="24BE162D" w:rsidR="00755CF2" w:rsidRDefault="00755CF2" w:rsidP="00E95F5C">
      <w:r w:rsidRPr="00587BB1">
        <w:t xml:space="preserve">Overall, monitoring after the use of the proposed intervention, valoctocogene </w:t>
      </w:r>
      <w:proofErr w:type="spellStart"/>
      <w:r w:rsidRPr="00587BB1">
        <w:t>roxaparvovec</w:t>
      </w:r>
      <w:proofErr w:type="spellEnd"/>
      <w:r w:rsidRPr="00587BB1">
        <w:t>, and the comparators</w:t>
      </w:r>
      <w:r>
        <w:t xml:space="preserve">, prophylactic treatment with FVIII therapy and </w:t>
      </w:r>
      <w:proofErr w:type="spellStart"/>
      <w:r>
        <w:t>emicizumab</w:t>
      </w:r>
      <w:proofErr w:type="spellEnd"/>
      <w:r>
        <w:t xml:space="preserve">, will differ for the first 12 months, and will </w:t>
      </w:r>
      <w:r w:rsidRPr="00587BB1">
        <w:t xml:space="preserve">be similar </w:t>
      </w:r>
      <w:r>
        <w:t>thereafter</w:t>
      </w:r>
      <w:r w:rsidRPr="00587BB1">
        <w:t>.</w:t>
      </w:r>
    </w:p>
    <w:p w14:paraId="573EBEF7" w14:textId="77777777" w:rsidR="00E95F5C" w:rsidRDefault="00E95F5C">
      <w:pPr>
        <w:spacing w:line="259" w:lineRule="auto"/>
      </w:pPr>
      <w:r>
        <w:br w:type="page"/>
      </w:r>
    </w:p>
    <w:p w14:paraId="1D565D35" w14:textId="3E22C725" w:rsidR="00755CF2" w:rsidRDefault="00755CF2" w:rsidP="00E95F5C">
      <w:r>
        <w:lastRenderedPageBreak/>
        <w:t>According to local expert advice and in line with the Summary of Product Characteristics (SmPC) awarded by the European Medicines Agency, the monitoring requirements for the proposed intervention and its comparators for the first 12 months are as follows:</w:t>
      </w:r>
    </w:p>
    <w:p w14:paraId="15426BA2" w14:textId="77777777" w:rsidR="00755CF2" w:rsidRDefault="00755CF2" w:rsidP="00755CF2">
      <w:pPr>
        <w:pStyle w:val="ListParagraph"/>
        <w:numPr>
          <w:ilvl w:val="0"/>
          <w:numId w:val="12"/>
        </w:numPr>
        <w:spacing w:after="0"/>
      </w:pPr>
      <w:r w:rsidRPr="6AA02213">
        <w:t xml:space="preserve">Valoctocogene </w:t>
      </w:r>
      <w:proofErr w:type="spellStart"/>
      <w:r w:rsidRPr="6AA02213">
        <w:t>roxaparvovec</w:t>
      </w:r>
      <w:proofErr w:type="spellEnd"/>
      <w:r w:rsidRPr="6AA02213">
        <w:t xml:space="preserve">: weekly liver function tests (LFTs) for 6 months; then LFTs every 2–4 weeks until 12 months; FVIII levels are assessed as needed. </w:t>
      </w:r>
    </w:p>
    <w:p w14:paraId="3027F43A" w14:textId="77777777" w:rsidR="00755CF2" w:rsidRDefault="00755CF2" w:rsidP="00755CF2">
      <w:pPr>
        <w:pStyle w:val="ListParagraph"/>
        <w:numPr>
          <w:ilvl w:val="0"/>
          <w:numId w:val="12"/>
        </w:numPr>
        <w:spacing w:after="0"/>
      </w:pPr>
      <w:proofErr w:type="spellStart"/>
      <w:r w:rsidRPr="6AA02213">
        <w:t>Emicizumab</w:t>
      </w:r>
      <w:proofErr w:type="spellEnd"/>
      <w:r w:rsidRPr="6AA02213">
        <w:t xml:space="preserve">: Patients are assessed at week 1, week 5, at 3 months, at 6 months and then yearly after that. </w:t>
      </w:r>
    </w:p>
    <w:p w14:paraId="07D12EC3" w14:textId="77777777" w:rsidR="00755CF2" w:rsidRPr="00944009" w:rsidRDefault="00755CF2" w:rsidP="00755CF2">
      <w:pPr>
        <w:pStyle w:val="ListParagraph"/>
        <w:numPr>
          <w:ilvl w:val="0"/>
          <w:numId w:val="12"/>
        </w:numPr>
        <w:spacing w:after="0"/>
      </w:pPr>
      <w:r>
        <w:t xml:space="preserve">Prophylactic FVIII replacement therapy: </w:t>
      </w:r>
      <w:proofErr w:type="gramStart"/>
      <w:r>
        <w:t>similar to</w:t>
      </w:r>
      <w:proofErr w:type="gramEnd"/>
      <w:r>
        <w:t xml:space="preserve"> </w:t>
      </w:r>
      <w:proofErr w:type="spellStart"/>
      <w:r>
        <w:t>emicizumab</w:t>
      </w:r>
      <w:proofErr w:type="spellEnd"/>
      <w:r>
        <w:t xml:space="preserve">. </w:t>
      </w:r>
    </w:p>
    <w:p w14:paraId="7EFBB292" w14:textId="77777777" w:rsidR="00755CF2" w:rsidRPr="00944009" w:rsidRDefault="00755CF2" w:rsidP="00755CF2">
      <w:pPr>
        <w:spacing w:after="0"/>
      </w:pPr>
    </w:p>
    <w:p w14:paraId="18FE9309" w14:textId="77777777" w:rsidR="00755CF2" w:rsidRPr="00AE1F91" w:rsidRDefault="00755CF2" w:rsidP="00755CF2">
      <w:pPr>
        <w:keepNext/>
        <w:keepLines/>
        <w:widowControl w:val="0"/>
        <w:rPr>
          <w:b/>
          <w:color w:val="000000"/>
          <w:u w:val="single"/>
        </w:rPr>
      </w:pPr>
      <w:r w:rsidRPr="7946C5FD">
        <w:rPr>
          <w:b/>
          <w:color w:val="000000" w:themeColor="text1"/>
          <w:u w:val="single"/>
        </w:rPr>
        <w:t>Algorithms</w:t>
      </w:r>
    </w:p>
    <w:p w14:paraId="795B8DD1" w14:textId="77777777" w:rsidR="00755CF2" w:rsidRDefault="00755CF2" w:rsidP="00755CF2">
      <w:pPr>
        <w:pStyle w:val="Heading2"/>
        <w:keepNext/>
        <w:keepLines/>
        <w:widowControl w:val="0"/>
      </w:pPr>
      <w:r w:rsidRPr="00AE1F91">
        <w:t>Insert diagrams demonstrating the clinical management algorithm with and without the proposed health technology:</w:t>
      </w:r>
    </w:p>
    <w:p w14:paraId="485C8B0E" w14:textId="77777777" w:rsidR="00755CF2" w:rsidRDefault="00755CF2" w:rsidP="00755CF2">
      <w:pPr>
        <w:keepNext/>
        <w:keepLines/>
        <w:widowControl w:val="0"/>
        <w:rPr>
          <w:b/>
          <w:color w:val="000000"/>
        </w:rPr>
      </w:pPr>
    </w:p>
    <w:p w14:paraId="214F62F1" w14:textId="77777777" w:rsidR="00755CF2" w:rsidRPr="002A5EEC" w:rsidRDefault="00755CF2" w:rsidP="00755CF2">
      <w:pPr>
        <w:keepNext/>
        <w:keepLines/>
        <w:widowControl w:val="0"/>
        <w:spacing w:after="0"/>
      </w:pPr>
    </w:p>
    <w:p w14:paraId="7D937CA2" w14:textId="77777777" w:rsidR="00755CF2" w:rsidRDefault="00755CF2" w:rsidP="00755CF2">
      <w:pPr>
        <w:keepNext/>
        <w:keepLines/>
        <w:widowControl w:val="0"/>
      </w:pPr>
      <w:r>
        <w:rPr>
          <w:noProof/>
        </w:rPr>
        <w:drawing>
          <wp:inline distT="0" distB="0" distL="0" distR="0" wp14:anchorId="666EFC49" wp14:editId="6D48E02F">
            <wp:extent cx="5340350" cy="2798445"/>
            <wp:effectExtent l="0" t="0" r="0" b="1905"/>
            <wp:docPr id="250635695" name="Picture 25063569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35695" name="Picture 250635695" descr="Pict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0350" cy="2798445"/>
                    </a:xfrm>
                    <a:prstGeom prst="rect">
                      <a:avLst/>
                    </a:prstGeom>
                    <a:noFill/>
                  </pic:spPr>
                </pic:pic>
              </a:graphicData>
            </a:graphic>
          </wp:inline>
        </w:drawing>
      </w:r>
    </w:p>
    <w:p w14:paraId="1E213ED3" w14:textId="0C005CBB" w:rsidR="00755CF2" w:rsidRDefault="00A87E6D" w:rsidP="00755CF2">
      <w:pPr>
        <w:pStyle w:val="Caption"/>
      </w:pPr>
      <w:r>
        <w:t>Figure</w:t>
      </w:r>
      <w:r w:rsidR="00DE246A">
        <w:t xml:space="preserve"> 3</w:t>
      </w:r>
      <w:r w:rsidR="00755CF2">
        <w:tab/>
        <w:t>Current clinical management algorithm for patients with severe haemophilia A without inhibitors</w:t>
      </w:r>
    </w:p>
    <w:p w14:paraId="7C73F4BF" w14:textId="77777777" w:rsidR="00755CF2" w:rsidRDefault="00755CF2" w:rsidP="00755CF2">
      <w:pPr>
        <w:pStyle w:val="NoteHeading"/>
      </w:pPr>
      <w:r>
        <w:t xml:space="preserve">Source: Simplified and adapted from </w:t>
      </w:r>
      <w:proofErr w:type="spellStart"/>
      <w:r w:rsidRPr="00471130">
        <w:t>emicizumab</w:t>
      </w:r>
      <w:proofErr w:type="spellEnd"/>
      <w:r w:rsidRPr="00043C15">
        <w:rPr>
          <w:rFonts w:ascii="Segoe UI" w:eastAsia="Times New Roman" w:hAnsi="Segoe UI"/>
          <w:color w:val="000000"/>
          <w:sz w:val="22"/>
          <w:szCs w:val="22"/>
        </w:rPr>
        <w:t xml:space="preserve"> </w:t>
      </w:r>
      <w:r>
        <w:t>MSAC Application 1579 Public Summary Document (PSD)</w:t>
      </w:r>
    </w:p>
    <w:p w14:paraId="07814A43" w14:textId="77777777" w:rsidR="00755CF2" w:rsidRDefault="00755CF2" w:rsidP="00755CF2">
      <w:r w:rsidRPr="00C630DC">
        <w:rPr>
          <w:noProof/>
        </w:rPr>
        <w:lastRenderedPageBreak/>
        <w:drawing>
          <wp:inline distT="0" distB="0" distL="0" distR="0" wp14:anchorId="5DF6018E" wp14:editId="41A68F36">
            <wp:extent cx="4809524" cy="5438095"/>
            <wp:effectExtent l="0" t="0" r="0" b="0"/>
            <wp:docPr id="1126957643" name="Picture 1126957643" descr="A flowchart of a pat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57643" name="Picture 1" descr="A flowchart of a patient&#10;&#10;Description automatically generated"/>
                    <pic:cNvPicPr/>
                  </pic:nvPicPr>
                  <pic:blipFill>
                    <a:blip r:embed="rId24"/>
                    <a:stretch>
                      <a:fillRect/>
                    </a:stretch>
                  </pic:blipFill>
                  <pic:spPr>
                    <a:xfrm>
                      <a:off x="0" y="0"/>
                      <a:ext cx="4809524" cy="5438095"/>
                    </a:xfrm>
                    <a:prstGeom prst="rect">
                      <a:avLst/>
                    </a:prstGeom>
                  </pic:spPr>
                </pic:pic>
              </a:graphicData>
            </a:graphic>
          </wp:inline>
        </w:drawing>
      </w:r>
    </w:p>
    <w:p w14:paraId="060A9E05" w14:textId="72279284" w:rsidR="00755CF2" w:rsidRDefault="00DE246A" w:rsidP="00755CF2">
      <w:pPr>
        <w:pStyle w:val="Caption"/>
      </w:pPr>
      <w:r>
        <w:t>Figure 4</w:t>
      </w:r>
      <w:r w:rsidR="00755CF2">
        <w:tab/>
        <w:t xml:space="preserve">Proposed clinical algorithm with the introduction of valoctocogene </w:t>
      </w:r>
      <w:proofErr w:type="spellStart"/>
      <w:r w:rsidR="00755CF2">
        <w:t>roxaparvovec</w:t>
      </w:r>
      <w:proofErr w:type="spellEnd"/>
      <w:r w:rsidR="00755CF2">
        <w:t xml:space="preserve"> in the management of patients with severe haemophilia A </w:t>
      </w:r>
    </w:p>
    <w:p w14:paraId="605CE9B3" w14:textId="77777777" w:rsidR="00755CF2" w:rsidRDefault="00755CF2" w:rsidP="00755CF2">
      <w:pPr>
        <w:pStyle w:val="NoteHeading"/>
        <w:rPr>
          <w:lang w:eastAsia="en-AU"/>
        </w:rPr>
      </w:pPr>
      <w:r>
        <w:rPr>
          <w:lang w:eastAsia="en-AU"/>
        </w:rPr>
        <w:t xml:space="preserve">HA, haemophilia A; AAV5, </w:t>
      </w:r>
      <w:r w:rsidRPr="003A227C">
        <w:rPr>
          <w:lang w:eastAsia="en-AU"/>
        </w:rPr>
        <w:t>adeno-associated virus serotype 5</w:t>
      </w:r>
    </w:p>
    <w:p w14:paraId="677E6798" w14:textId="77777777" w:rsidR="00755CF2" w:rsidRDefault="00755CF2" w:rsidP="00755CF2">
      <w:pPr>
        <w:rPr>
          <w:lang w:eastAsia="en-AU"/>
        </w:rPr>
      </w:pPr>
    </w:p>
    <w:p w14:paraId="331A9DE3" w14:textId="77777777" w:rsidR="003447C4" w:rsidRPr="003447C4" w:rsidRDefault="003447C4" w:rsidP="003447C4"/>
    <w:p w14:paraId="20A18880" w14:textId="77777777" w:rsidR="003447C4" w:rsidRPr="003447C4" w:rsidRDefault="003447C4" w:rsidP="003447C4"/>
    <w:p w14:paraId="69D40C77" w14:textId="77777777" w:rsidR="003447C4" w:rsidRPr="003447C4" w:rsidRDefault="003447C4" w:rsidP="003447C4"/>
    <w:sectPr w:rsidR="003447C4" w:rsidRPr="003447C4" w:rsidSect="000F4DD6">
      <w:footerReference w:type="default" r:id="rId25"/>
      <w:pgSz w:w="11906" w:h="16838"/>
      <w:pgMar w:top="1134"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2E30" w14:textId="77777777" w:rsidR="00CA54C1" w:rsidRDefault="00CA54C1" w:rsidP="00973FD9">
      <w:r>
        <w:separator/>
      </w:r>
    </w:p>
  </w:endnote>
  <w:endnote w:type="continuationSeparator" w:id="0">
    <w:p w14:paraId="0B87C538" w14:textId="77777777" w:rsidR="00CA54C1" w:rsidRDefault="00CA54C1" w:rsidP="00973FD9">
      <w:r>
        <w:continuationSeparator/>
      </w:r>
    </w:p>
  </w:endnote>
  <w:endnote w:type="continuationNotice" w:id="1">
    <w:p w14:paraId="5B8BEC74" w14:textId="77777777" w:rsidR="00CA54C1" w:rsidRDefault="00CA54C1" w:rsidP="00973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2ED158E6" w:rsidR="0090168B" w:rsidRDefault="0090168B" w:rsidP="00EC4B26">
        <w:pPr>
          <w:pStyle w:val="Footer"/>
          <w:jc w:val="right"/>
        </w:pPr>
        <w:r w:rsidRPr="0090168B">
          <w:t xml:space="preserve">Page </w:t>
        </w:r>
        <w:r w:rsidRPr="0090168B">
          <w:fldChar w:fldCharType="begin"/>
        </w:r>
        <w:r w:rsidRPr="0090168B">
          <w:instrText xml:space="preserve"> PAGE  \* Arabic  \* MERGEFORMAT </w:instrText>
        </w:r>
        <w:r w:rsidRPr="0090168B">
          <w:fldChar w:fldCharType="separate"/>
        </w:r>
        <w:r w:rsidR="002B1175">
          <w:rPr>
            <w:noProof/>
          </w:rPr>
          <w:t>8</w:t>
        </w:r>
        <w:r w:rsidRPr="0090168B">
          <w:fldChar w:fldCharType="end"/>
        </w:r>
        <w:r w:rsidRPr="0090168B">
          <w:t xml:space="preserve"> of </w:t>
        </w:r>
        <w:fldSimple w:instr=" NUMPAGES  \* Arabic  \* MERGEFORMAT ">
          <w:r w:rsidR="002B1175">
            <w:rPr>
              <w:noProof/>
            </w:rPr>
            <w:t>10</w:t>
          </w:r>
        </w:fldSimple>
      </w:p>
    </w:sdtContent>
  </w:sdt>
  <w:p w14:paraId="355A1DA5" w14:textId="77777777" w:rsidR="0090168B" w:rsidRDefault="0090168B" w:rsidP="00973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436C" w14:textId="2C9D1141" w:rsidR="000F4DD6" w:rsidRDefault="000F4DD6" w:rsidP="000F4DD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25646"/>
      <w:docPartObj>
        <w:docPartGallery w:val="Page Numbers (Bottom of Page)"/>
        <w:docPartUnique/>
      </w:docPartObj>
    </w:sdtPr>
    <w:sdtEndPr>
      <w:rPr>
        <w:noProof/>
      </w:rPr>
    </w:sdtEndPr>
    <w:sdtContent>
      <w:p w14:paraId="75CB4087" w14:textId="6C44A2DB" w:rsidR="000F4DD6" w:rsidRDefault="000F4D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2D920" w14:textId="77777777" w:rsidR="00755CF2" w:rsidRDefault="00755C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18249"/>
      <w:docPartObj>
        <w:docPartGallery w:val="Page Numbers (Bottom of Page)"/>
        <w:docPartUnique/>
      </w:docPartObj>
    </w:sdtPr>
    <w:sdtEndPr>
      <w:rPr>
        <w:noProof/>
      </w:rPr>
    </w:sdtEndPr>
    <w:sdtContent>
      <w:p w14:paraId="67314B7F" w14:textId="3BAA8D77" w:rsidR="000F4DD6" w:rsidRDefault="000F4D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5ABEC" w14:textId="77777777" w:rsidR="000F4DD6" w:rsidRDefault="000F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5757" w14:textId="77777777" w:rsidR="00CA54C1" w:rsidRDefault="00CA54C1" w:rsidP="00973FD9">
      <w:r>
        <w:separator/>
      </w:r>
    </w:p>
  </w:footnote>
  <w:footnote w:type="continuationSeparator" w:id="0">
    <w:p w14:paraId="3D3C9645" w14:textId="77777777" w:rsidR="00CA54C1" w:rsidRDefault="00CA54C1" w:rsidP="00973FD9">
      <w:r>
        <w:continuationSeparator/>
      </w:r>
    </w:p>
  </w:footnote>
  <w:footnote w:type="continuationNotice" w:id="1">
    <w:p w14:paraId="1AD5856F" w14:textId="77777777" w:rsidR="00CA54C1" w:rsidRDefault="00CA54C1" w:rsidP="00973FD9"/>
  </w:footnote>
  <w:footnote w:id="2">
    <w:p w14:paraId="3ED3F0F7" w14:textId="77777777" w:rsidR="00755CF2" w:rsidRPr="008D1C03" w:rsidRDefault="00755CF2" w:rsidP="00755CF2">
      <w:pPr>
        <w:pStyle w:val="FootnoteText"/>
        <w:rPr>
          <w:lang w:val="en-US"/>
        </w:rPr>
      </w:pPr>
      <w:r>
        <w:rPr>
          <w:rStyle w:val="FootnoteReference"/>
        </w:rPr>
        <w:footnoteRef/>
      </w:r>
      <w:r>
        <w:t xml:space="preserve"> </w:t>
      </w:r>
      <w:hyperlink r:id="rId1" w:history="1">
        <w:r w:rsidRPr="00AA58E7">
          <w:rPr>
            <w:rStyle w:val="Hyperlink"/>
          </w:rPr>
          <w:t>https://www.ahcdo.org.au/documents/item/475</w:t>
        </w:r>
      </w:hyperlink>
      <w:r>
        <w:t xml:space="preserve"> (accessed 16 February 2023)</w:t>
      </w:r>
    </w:p>
  </w:footnote>
  <w:footnote w:id="3">
    <w:p w14:paraId="63D00926" w14:textId="77777777" w:rsidR="00755CF2" w:rsidRPr="00CA5AF0" w:rsidRDefault="00755CF2" w:rsidP="00755CF2">
      <w:pPr>
        <w:pStyle w:val="FootnoteText"/>
        <w:rPr>
          <w:lang w:val="en-US"/>
        </w:rPr>
      </w:pPr>
      <w:r>
        <w:rPr>
          <w:rStyle w:val="FootnoteReference"/>
        </w:rPr>
        <w:footnoteRef/>
      </w:r>
      <w:r>
        <w:t xml:space="preserve"> </w:t>
      </w:r>
      <w:hyperlink r:id="rId2" w:history="1">
        <w:r w:rsidRPr="003F58B2">
          <w:rPr>
            <w:rStyle w:val="Hyperlink"/>
          </w:rPr>
          <w:t>https://www.ahcdo.org.au/documents/item/475</w:t>
        </w:r>
      </w:hyperlink>
      <w:r>
        <w:t xml:space="preserve"> (accessed 11 October 2023)</w:t>
      </w:r>
    </w:p>
  </w:footnote>
  <w:footnote w:id="4">
    <w:p w14:paraId="3EFBD357" w14:textId="77777777" w:rsidR="00755CF2" w:rsidRPr="00DC6717" w:rsidRDefault="00755CF2" w:rsidP="00755CF2">
      <w:pPr>
        <w:pStyle w:val="FootnoteText"/>
        <w:rPr>
          <w:lang w:val="en-US"/>
        </w:rPr>
      </w:pPr>
      <w:r>
        <w:rPr>
          <w:rStyle w:val="FootnoteReference"/>
        </w:rPr>
        <w:footnoteRef/>
      </w:r>
      <w:r>
        <w:t xml:space="preserve"> </w:t>
      </w:r>
      <w:r>
        <w:rPr>
          <w:lang w:val="en-US"/>
        </w:rPr>
        <w:t xml:space="preserve">Five experts were consulted, including four from HTCs (NSW, QLD, VIC, WA) and one from a spoke </w:t>
      </w:r>
      <w:r>
        <w:rPr>
          <w:lang w:val="en-US"/>
        </w:rPr>
        <w:t>centre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8547" w14:textId="7BD874CD" w:rsidR="00973FD9" w:rsidRDefault="00FE3434" w:rsidP="00973FD9">
    <w:r>
      <w:t>MSAC Application 17</w:t>
    </w:r>
    <w:r w:rsidR="00053FB2">
      <w:t>5</w:t>
    </w:r>
    <w:r>
      <w:t xml:space="preserve">1: </w:t>
    </w:r>
    <w:r w:rsidR="00973FD9" w:rsidRPr="00973FD9">
      <w:t xml:space="preserve">Valoctocogene </w:t>
    </w:r>
    <w:proofErr w:type="spellStart"/>
    <w:r w:rsidR="00973FD9" w:rsidRPr="00973FD9">
      <w:t>roxaparvovec</w:t>
    </w:r>
    <w:proofErr w:type="spellEnd"/>
    <w:r w:rsidR="00973FD9" w:rsidRPr="00973FD9">
      <w:t xml:space="preserve"> for haemophilia A – </w:t>
    </w:r>
    <w:r w:rsidR="00973FD9" w:rsidRPr="00D429FE">
      <w:rPr>
        <w:b/>
        <w:bCs/>
      </w:rPr>
      <w:t xml:space="preserve">PICO Set </w:t>
    </w:r>
    <w:r w:rsidR="002B2DE1">
      <w:rPr>
        <w:b/>
        <w:bCs/>
      </w:rPr>
      <w:t>1</w:t>
    </w:r>
  </w:p>
  <w:p w14:paraId="6451851C" w14:textId="381FA303" w:rsidR="00F16239" w:rsidRPr="00973FD9" w:rsidRDefault="00F16239" w:rsidP="00973FD9">
    <w:r>
      <w:rPr>
        <w:rFonts w:eastAsia="Segoe UI"/>
        <w:noProof/>
        <w:lang w:val="en-US"/>
      </w:rPr>
      <mc:AlternateContent>
        <mc:Choice Requires="wps">
          <w:drawing>
            <wp:anchor distT="0" distB="0" distL="114300" distR="114300" simplePos="0" relativeHeight="251658241" behindDoc="0" locked="0" layoutInCell="1" allowOverlap="1" wp14:anchorId="39B179C6" wp14:editId="24D2B7B8">
              <wp:simplePos x="0" y="0"/>
              <wp:positionH relativeFrom="column">
                <wp:posOffset>-142875</wp:posOffset>
              </wp:positionH>
              <wp:positionV relativeFrom="paragraph">
                <wp:posOffset>117475</wp:posOffset>
              </wp:positionV>
              <wp:extent cx="58959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A1B33" id="Straight Connector 2"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7E54" w14:textId="5FE7D5AB" w:rsidR="00755CF2" w:rsidRDefault="00D200D1" w:rsidP="00D200D1">
    <w:r>
      <w:t xml:space="preserve">MSAC Application 1751: </w:t>
    </w:r>
    <w:r w:rsidRPr="00973FD9">
      <w:t xml:space="preserve">Valoctocogene </w:t>
    </w:r>
    <w:proofErr w:type="spellStart"/>
    <w:r w:rsidRPr="00973FD9">
      <w:t>roxaparvovec</w:t>
    </w:r>
    <w:proofErr w:type="spellEnd"/>
    <w:r w:rsidRPr="00973FD9">
      <w:t xml:space="preserve"> for haemophilia A – </w:t>
    </w:r>
    <w:r w:rsidRPr="00D429FE">
      <w:rPr>
        <w:b/>
        <w:bCs/>
      </w:rPr>
      <w:t xml:space="preserve">PICO Set </w:t>
    </w:r>
    <w:r>
      <w:rPr>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9B3"/>
    <w:multiLevelType w:val="hybridMultilevel"/>
    <w:tmpl w:val="9A1CB8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716AD4"/>
    <w:multiLevelType w:val="hybridMultilevel"/>
    <w:tmpl w:val="242C2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4B1037"/>
    <w:multiLevelType w:val="hybridMultilevel"/>
    <w:tmpl w:val="9CE4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E37F4"/>
    <w:multiLevelType w:val="hybridMultilevel"/>
    <w:tmpl w:val="10E45268"/>
    <w:lvl w:ilvl="0" w:tplc="7D92C236">
      <w:numFmt w:val="bullet"/>
      <w:lvlText w:val="•"/>
      <w:lvlJc w:val="left"/>
      <w:pPr>
        <w:ind w:left="1080" w:hanging="72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06D15"/>
    <w:multiLevelType w:val="hybridMultilevel"/>
    <w:tmpl w:val="08342E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45C3972"/>
    <w:multiLevelType w:val="hybridMultilevel"/>
    <w:tmpl w:val="FE2C6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E0411"/>
    <w:multiLevelType w:val="hybridMultilevel"/>
    <w:tmpl w:val="5274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76B36"/>
    <w:multiLevelType w:val="hybridMultilevel"/>
    <w:tmpl w:val="805E0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7366F8A"/>
    <w:multiLevelType w:val="hybridMultilevel"/>
    <w:tmpl w:val="87A8B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C23CF4"/>
    <w:multiLevelType w:val="hybridMultilevel"/>
    <w:tmpl w:val="1C682F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CCD79E9"/>
    <w:multiLevelType w:val="hybridMultilevel"/>
    <w:tmpl w:val="660C5080"/>
    <w:lvl w:ilvl="0" w:tplc="24B0C580">
      <w:start w:val="1"/>
      <w:numFmt w:val="bullet"/>
      <w:lvlText w:val="-"/>
      <w:lvlJc w:val="left"/>
      <w:pPr>
        <w:ind w:left="720" w:hanging="360"/>
      </w:pPr>
      <w:rPr>
        <w:rFonts w:ascii="Arial Narrow" w:eastAsia="TimesNew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034F91"/>
    <w:multiLevelType w:val="hybridMultilevel"/>
    <w:tmpl w:val="451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6B65C0"/>
    <w:multiLevelType w:val="hybridMultilevel"/>
    <w:tmpl w:val="9184E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1E440D"/>
    <w:multiLevelType w:val="hybridMultilevel"/>
    <w:tmpl w:val="3CBC5A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8537497"/>
    <w:multiLevelType w:val="hybridMultilevel"/>
    <w:tmpl w:val="0F907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E30937"/>
    <w:multiLevelType w:val="hybridMultilevel"/>
    <w:tmpl w:val="5B32EE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00811BE"/>
    <w:multiLevelType w:val="hybridMultilevel"/>
    <w:tmpl w:val="C5A4C0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1C41558"/>
    <w:multiLevelType w:val="hybridMultilevel"/>
    <w:tmpl w:val="F8543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FC5670"/>
    <w:multiLevelType w:val="hybridMultilevel"/>
    <w:tmpl w:val="83EA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B87855"/>
    <w:multiLevelType w:val="hybridMultilevel"/>
    <w:tmpl w:val="6B00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280264"/>
    <w:multiLevelType w:val="hybridMultilevel"/>
    <w:tmpl w:val="ABF0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271767">
    <w:abstractNumId w:val="8"/>
  </w:num>
  <w:num w:numId="2" w16cid:durableId="36317077">
    <w:abstractNumId w:val="14"/>
  </w:num>
  <w:num w:numId="3" w16cid:durableId="1720087414">
    <w:abstractNumId w:val="19"/>
  </w:num>
  <w:num w:numId="4" w16cid:durableId="718281163">
    <w:abstractNumId w:val="3"/>
  </w:num>
  <w:num w:numId="5" w16cid:durableId="1271737047">
    <w:abstractNumId w:val="7"/>
  </w:num>
  <w:num w:numId="6" w16cid:durableId="711422293">
    <w:abstractNumId w:val="4"/>
  </w:num>
  <w:num w:numId="7" w16cid:durableId="1587768686">
    <w:abstractNumId w:val="18"/>
  </w:num>
  <w:num w:numId="8" w16cid:durableId="400565406">
    <w:abstractNumId w:val="20"/>
  </w:num>
  <w:num w:numId="9" w16cid:durableId="218786248">
    <w:abstractNumId w:val="0"/>
  </w:num>
  <w:num w:numId="10" w16cid:durableId="1076249519">
    <w:abstractNumId w:val="17"/>
  </w:num>
  <w:num w:numId="11" w16cid:durableId="75827193">
    <w:abstractNumId w:val="5"/>
  </w:num>
  <w:num w:numId="12" w16cid:durableId="1958675240">
    <w:abstractNumId w:val="6"/>
  </w:num>
  <w:num w:numId="13" w16cid:durableId="329793909">
    <w:abstractNumId w:val="12"/>
  </w:num>
  <w:num w:numId="14" w16cid:durableId="1813861344">
    <w:abstractNumId w:val="13"/>
  </w:num>
  <w:num w:numId="15" w16cid:durableId="1982884569">
    <w:abstractNumId w:val="10"/>
  </w:num>
  <w:num w:numId="16" w16cid:durableId="1507209610">
    <w:abstractNumId w:val="9"/>
  </w:num>
  <w:num w:numId="17" w16cid:durableId="2006859733">
    <w:abstractNumId w:val="1"/>
  </w:num>
  <w:num w:numId="18" w16cid:durableId="627199604">
    <w:abstractNumId w:val="2"/>
  </w:num>
  <w:num w:numId="19" w16cid:durableId="617184932">
    <w:abstractNumId w:val="11"/>
  </w:num>
  <w:num w:numId="20" w16cid:durableId="176772320">
    <w:abstractNumId w:val="16"/>
  </w:num>
  <w:num w:numId="21" w16cid:durableId="17772087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26D5"/>
    <w:rsid w:val="000122EA"/>
    <w:rsid w:val="00015986"/>
    <w:rsid w:val="00016A7F"/>
    <w:rsid w:val="00017356"/>
    <w:rsid w:val="00020E6F"/>
    <w:rsid w:val="00025969"/>
    <w:rsid w:val="00030F1C"/>
    <w:rsid w:val="00037953"/>
    <w:rsid w:val="00043C15"/>
    <w:rsid w:val="00045B5E"/>
    <w:rsid w:val="00051843"/>
    <w:rsid w:val="00052F98"/>
    <w:rsid w:val="00053FB2"/>
    <w:rsid w:val="000548B1"/>
    <w:rsid w:val="0005790B"/>
    <w:rsid w:val="000618D1"/>
    <w:rsid w:val="000627EF"/>
    <w:rsid w:val="00064196"/>
    <w:rsid w:val="00066FC0"/>
    <w:rsid w:val="00070D9D"/>
    <w:rsid w:val="0007480C"/>
    <w:rsid w:val="00076C5F"/>
    <w:rsid w:val="00082937"/>
    <w:rsid w:val="00082DDE"/>
    <w:rsid w:val="00087193"/>
    <w:rsid w:val="0009097A"/>
    <w:rsid w:val="00090EE1"/>
    <w:rsid w:val="000934AF"/>
    <w:rsid w:val="00094A1A"/>
    <w:rsid w:val="00094F26"/>
    <w:rsid w:val="000A1746"/>
    <w:rsid w:val="000A6530"/>
    <w:rsid w:val="000A70E3"/>
    <w:rsid w:val="000C095B"/>
    <w:rsid w:val="000C3211"/>
    <w:rsid w:val="000C3CED"/>
    <w:rsid w:val="000C5C42"/>
    <w:rsid w:val="000D1F8F"/>
    <w:rsid w:val="000D492F"/>
    <w:rsid w:val="000D5F89"/>
    <w:rsid w:val="000E54AA"/>
    <w:rsid w:val="000E593E"/>
    <w:rsid w:val="000F18C4"/>
    <w:rsid w:val="000F43A2"/>
    <w:rsid w:val="000F4DD6"/>
    <w:rsid w:val="001065D4"/>
    <w:rsid w:val="00106E42"/>
    <w:rsid w:val="0011210B"/>
    <w:rsid w:val="00112663"/>
    <w:rsid w:val="001321E1"/>
    <w:rsid w:val="00132B6B"/>
    <w:rsid w:val="00133A14"/>
    <w:rsid w:val="00133DAE"/>
    <w:rsid w:val="001406DB"/>
    <w:rsid w:val="00142F06"/>
    <w:rsid w:val="001441BA"/>
    <w:rsid w:val="00152183"/>
    <w:rsid w:val="00152581"/>
    <w:rsid w:val="00153733"/>
    <w:rsid w:val="0016065A"/>
    <w:rsid w:val="00160F42"/>
    <w:rsid w:val="00164B5C"/>
    <w:rsid w:val="00174F2D"/>
    <w:rsid w:val="00181038"/>
    <w:rsid w:val="00181A02"/>
    <w:rsid w:val="00185CC1"/>
    <w:rsid w:val="00186A1B"/>
    <w:rsid w:val="00187DE3"/>
    <w:rsid w:val="0019522C"/>
    <w:rsid w:val="001961E5"/>
    <w:rsid w:val="001971E0"/>
    <w:rsid w:val="001A0F6B"/>
    <w:rsid w:val="001A14F1"/>
    <w:rsid w:val="001A19E8"/>
    <w:rsid w:val="001B2075"/>
    <w:rsid w:val="001B3C30"/>
    <w:rsid w:val="001C01D4"/>
    <w:rsid w:val="001C4B64"/>
    <w:rsid w:val="001C7179"/>
    <w:rsid w:val="001D068B"/>
    <w:rsid w:val="001D2FAD"/>
    <w:rsid w:val="001D4C4D"/>
    <w:rsid w:val="001E0B25"/>
    <w:rsid w:val="001E1A13"/>
    <w:rsid w:val="001E25B3"/>
    <w:rsid w:val="001E2AA3"/>
    <w:rsid w:val="001E7B84"/>
    <w:rsid w:val="001F1489"/>
    <w:rsid w:val="001F1C1F"/>
    <w:rsid w:val="001F47D7"/>
    <w:rsid w:val="00202421"/>
    <w:rsid w:val="00203E13"/>
    <w:rsid w:val="00204F8F"/>
    <w:rsid w:val="00220AE2"/>
    <w:rsid w:val="002316FC"/>
    <w:rsid w:val="0023287A"/>
    <w:rsid w:val="00232A56"/>
    <w:rsid w:val="0024189E"/>
    <w:rsid w:val="00241FC9"/>
    <w:rsid w:val="0024288F"/>
    <w:rsid w:val="00243B9D"/>
    <w:rsid w:val="00246829"/>
    <w:rsid w:val="0025001D"/>
    <w:rsid w:val="002507F0"/>
    <w:rsid w:val="00252F2E"/>
    <w:rsid w:val="00254267"/>
    <w:rsid w:val="00255A40"/>
    <w:rsid w:val="00255CE7"/>
    <w:rsid w:val="00256E75"/>
    <w:rsid w:val="00256EF7"/>
    <w:rsid w:val="00260D5B"/>
    <w:rsid w:val="00263588"/>
    <w:rsid w:val="00272EF3"/>
    <w:rsid w:val="002765DD"/>
    <w:rsid w:val="00280050"/>
    <w:rsid w:val="00280A8C"/>
    <w:rsid w:val="002841EB"/>
    <w:rsid w:val="0028640E"/>
    <w:rsid w:val="00291B7D"/>
    <w:rsid w:val="00291BDE"/>
    <w:rsid w:val="002932F8"/>
    <w:rsid w:val="002A30F0"/>
    <w:rsid w:val="002A5EEC"/>
    <w:rsid w:val="002B1175"/>
    <w:rsid w:val="002B1F5B"/>
    <w:rsid w:val="002B2DE1"/>
    <w:rsid w:val="002B6219"/>
    <w:rsid w:val="002B7B2B"/>
    <w:rsid w:val="002C18F8"/>
    <w:rsid w:val="002C19C2"/>
    <w:rsid w:val="002C2824"/>
    <w:rsid w:val="002C2C39"/>
    <w:rsid w:val="002D2CF1"/>
    <w:rsid w:val="002D5E29"/>
    <w:rsid w:val="002D7216"/>
    <w:rsid w:val="002D7A88"/>
    <w:rsid w:val="002E0C6C"/>
    <w:rsid w:val="002E1438"/>
    <w:rsid w:val="002E357C"/>
    <w:rsid w:val="002E4ABA"/>
    <w:rsid w:val="002E68AB"/>
    <w:rsid w:val="002E70ED"/>
    <w:rsid w:val="002F0C4A"/>
    <w:rsid w:val="002F2AF7"/>
    <w:rsid w:val="002F2F62"/>
    <w:rsid w:val="002F3C59"/>
    <w:rsid w:val="002F4215"/>
    <w:rsid w:val="002F59E2"/>
    <w:rsid w:val="002F78CD"/>
    <w:rsid w:val="0030141F"/>
    <w:rsid w:val="00304420"/>
    <w:rsid w:val="00305908"/>
    <w:rsid w:val="00306DF3"/>
    <w:rsid w:val="0031573C"/>
    <w:rsid w:val="00316254"/>
    <w:rsid w:val="003210DE"/>
    <w:rsid w:val="00336B52"/>
    <w:rsid w:val="00340590"/>
    <w:rsid w:val="00341916"/>
    <w:rsid w:val="003421F2"/>
    <w:rsid w:val="0034308C"/>
    <w:rsid w:val="00343B4D"/>
    <w:rsid w:val="003441BC"/>
    <w:rsid w:val="003447C4"/>
    <w:rsid w:val="003525B1"/>
    <w:rsid w:val="003569E9"/>
    <w:rsid w:val="0035799E"/>
    <w:rsid w:val="00357DEE"/>
    <w:rsid w:val="00360761"/>
    <w:rsid w:val="00363A4A"/>
    <w:rsid w:val="00365C59"/>
    <w:rsid w:val="00366B03"/>
    <w:rsid w:val="00374570"/>
    <w:rsid w:val="00374832"/>
    <w:rsid w:val="00380C41"/>
    <w:rsid w:val="003817BD"/>
    <w:rsid w:val="003820D2"/>
    <w:rsid w:val="00385B00"/>
    <w:rsid w:val="003877B8"/>
    <w:rsid w:val="00391342"/>
    <w:rsid w:val="00391651"/>
    <w:rsid w:val="00396C5F"/>
    <w:rsid w:val="00397DDB"/>
    <w:rsid w:val="003A16D1"/>
    <w:rsid w:val="003A292B"/>
    <w:rsid w:val="003A7888"/>
    <w:rsid w:val="003B0207"/>
    <w:rsid w:val="003B3B9F"/>
    <w:rsid w:val="003B7162"/>
    <w:rsid w:val="003C3870"/>
    <w:rsid w:val="003C7383"/>
    <w:rsid w:val="003C745F"/>
    <w:rsid w:val="003D03D2"/>
    <w:rsid w:val="003D2F68"/>
    <w:rsid w:val="003D5F2D"/>
    <w:rsid w:val="003D6C91"/>
    <w:rsid w:val="003E1771"/>
    <w:rsid w:val="003E35BA"/>
    <w:rsid w:val="003E4464"/>
    <w:rsid w:val="003E4F1C"/>
    <w:rsid w:val="003E6B95"/>
    <w:rsid w:val="003F0968"/>
    <w:rsid w:val="003F39D1"/>
    <w:rsid w:val="003F78C4"/>
    <w:rsid w:val="00403005"/>
    <w:rsid w:val="00406F7A"/>
    <w:rsid w:val="00410135"/>
    <w:rsid w:val="00411CC4"/>
    <w:rsid w:val="004133AF"/>
    <w:rsid w:val="004156DA"/>
    <w:rsid w:val="004203CB"/>
    <w:rsid w:val="004209FC"/>
    <w:rsid w:val="0042180F"/>
    <w:rsid w:val="0042597E"/>
    <w:rsid w:val="0042686C"/>
    <w:rsid w:val="004319CA"/>
    <w:rsid w:val="00434842"/>
    <w:rsid w:val="004418ED"/>
    <w:rsid w:val="00446841"/>
    <w:rsid w:val="00446A22"/>
    <w:rsid w:val="004501F6"/>
    <w:rsid w:val="00452657"/>
    <w:rsid w:val="00452EE6"/>
    <w:rsid w:val="00454131"/>
    <w:rsid w:val="00456AE1"/>
    <w:rsid w:val="00463264"/>
    <w:rsid w:val="0046373D"/>
    <w:rsid w:val="004650E9"/>
    <w:rsid w:val="004656B8"/>
    <w:rsid w:val="00466E4E"/>
    <w:rsid w:val="00471130"/>
    <w:rsid w:val="0047163C"/>
    <w:rsid w:val="004766D9"/>
    <w:rsid w:val="0047799C"/>
    <w:rsid w:val="004850AD"/>
    <w:rsid w:val="004866F5"/>
    <w:rsid w:val="00494164"/>
    <w:rsid w:val="004A2ACE"/>
    <w:rsid w:val="004A45BE"/>
    <w:rsid w:val="004A4B87"/>
    <w:rsid w:val="004A6041"/>
    <w:rsid w:val="004A647A"/>
    <w:rsid w:val="004B1621"/>
    <w:rsid w:val="004B177E"/>
    <w:rsid w:val="004B7488"/>
    <w:rsid w:val="004C02B7"/>
    <w:rsid w:val="004C440D"/>
    <w:rsid w:val="004C45F3"/>
    <w:rsid w:val="004C4C6B"/>
    <w:rsid w:val="004C6152"/>
    <w:rsid w:val="004C64AD"/>
    <w:rsid w:val="004D7F38"/>
    <w:rsid w:val="004D7F5A"/>
    <w:rsid w:val="004E1143"/>
    <w:rsid w:val="004E2DC6"/>
    <w:rsid w:val="004E306A"/>
    <w:rsid w:val="004E64D5"/>
    <w:rsid w:val="004F02B2"/>
    <w:rsid w:val="004F5C0A"/>
    <w:rsid w:val="005126E2"/>
    <w:rsid w:val="005140D5"/>
    <w:rsid w:val="00515EFF"/>
    <w:rsid w:val="0051660F"/>
    <w:rsid w:val="0052274F"/>
    <w:rsid w:val="00526E24"/>
    <w:rsid w:val="00532280"/>
    <w:rsid w:val="00537A32"/>
    <w:rsid w:val="0054195E"/>
    <w:rsid w:val="005436FB"/>
    <w:rsid w:val="00543FB4"/>
    <w:rsid w:val="00545A4C"/>
    <w:rsid w:val="005559FE"/>
    <w:rsid w:val="00555BA3"/>
    <w:rsid w:val="00556FC0"/>
    <w:rsid w:val="00561B39"/>
    <w:rsid w:val="00566CF9"/>
    <w:rsid w:val="00567B61"/>
    <w:rsid w:val="005727D7"/>
    <w:rsid w:val="005738AF"/>
    <w:rsid w:val="005738FB"/>
    <w:rsid w:val="005779C4"/>
    <w:rsid w:val="00577E66"/>
    <w:rsid w:val="0058215B"/>
    <w:rsid w:val="005837E9"/>
    <w:rsid w:val="00583820"/>
    <w:rsid w:val="00583FC1"/>
    <w:rsid w:val="0058604A"/>
    <w:rsid w:val="005877EB"/>
    <w:rsid w:val="00587BB1"/>
    <w:rsid w:val="00592D82"/>
    <w:rsid w:val="00595062"/>
    <w:rsid w:val="00596EF6"/>
    <w:rsid w:val="005A1DF6"/>
    <w:rsid w:val="005A3B68"/>
    <w:rsid w:val="005A7A79"/>
    <w:rsid w:val="005B265F"/>
    <w:rsid w:val="005B5A58"/>
    <w:rsid w:val="005B5EC4"/>
    <w:rsid w:val="005B6F8E"/>
    <w:rsid w:val="005B715B"/>
    <w:rsid w:val="005C703C"/>
    <w:rsid w:val="005D046C"/>
    <w:rsid w:val="005D17B2"/>
    <w:rsid w:val="005D35C0"/>
    <w:rsid w:val="005D379D"/>
    <w:rsid w:val="005D4482"/>
    <w:rsid w:val="005D4B6E"/>
    <w:rsid w:val="005E1A4B"/>
    <w:rsid w:val="005E1CFB"/>
    <w:rsid w:val="005E4720"/>
    <w:rsid w:val="005F0F8B"/>
    <w:rsid w:val="005F1411"/>
    <w:rsid w:val="005F1CF0"/>
    <w:rsid w:val="005F2D5C"/>
    <w:rsid w:val="005F3E91"/>
    <w:rsid w:val="005F548C"/>
    <w:rsid w:val="005F7C6A"/>
    <w:rsid w:val="00600818"/>
    <w:rsid w:val="0060465F"/>
    <w:rsid w:val="00605344"/>
    <w:rsid w:val="006079B9"/>
    <w:rsid w:val="00617CDC"/>
    <w:rsid w:val="006227EF"/>
    <w:rsid w:val="00625F5F"/>
    <w:rsid w:val="0062785F"/>
    <w:rsid w:val="00632399"/>
    <w:rsid w:val="00635A4C"/>
    <w:rsid w:val="00635D67"/>
    <w:rsid w:val="00635EF6"/>
    <w:rsid w:val="006429A1"/>
    <w:rsid w:val="006437E6"/>
    <w:rsid w:val="006449AA"/>
    <w:rsid w:val="00645814"/>
    <w:rsid w:val="00645951"/>
    <w:rsid w:val="00647D8A"/>
    <w:rsid w:val="0065380D"/>
    <w:rsid w:val="006557D4"/>
    <w:rsid w:val="006610E7"/>
    <w:rsid w:val="0066147B"/>
    <w:rsid w:val="0066416A"/>
    <w:rsid w:val="00665487"/>
    <w:rsid w:val="00667712"/>
    <w:rsid w:val="0067392D"/>
    <w:rsid w:val="006815E9"/>
    <w:rsid w:val="006819F4"/>
    <w:rsid w:val="00692206"/>
    <w:rsid w:val="00692F02"/>
    <w:rsid w:val="00695234"/>
    <w:rsid w:val="006A0DAC"/>
    <w:rsid w:val="006A23ED"/>
    <w:rsid w:val="006A2A83"/>
    <w:rsid w:val="006A6E80"/>
    <w:rsid w:val="006A785F"/>
    <w:rsid w:val="006B3121"/>
    <w:rsid w:val="006B4525"/>
    <w:rsid w:val="006D5C0E"/>
    <w:rsid w:val="006D7098"/>
    <w:rsid w:val="006E4546"/>
    <w:rsid w:val="006E47BC"/>
    <w:rsid w:val="006E6756"/>
    <w:rsid w:val="006F0279"/>
    <w:rsid w:val="006F0779"/>
    <w:rsid w:val="006F6B5A"/>
    <w:rsid w:val="006F72B3"/>
    <w:rsid w:val="0070303C"/>
    <w:rsid w:val="00704FE2"/>
    <w:rsid w:val="00707398"/>
    <w:rsid w:val="0071100F"/>
    <w:rsid w:val="00721DED"/>
    <w:rsid w:val="00721EAC"/>
    <w:rsid w:val="0072663A"/>
    <w:rsid w:val="00736F26"/>
    <w:rsid w:val="0074590D"/>
    <w:rsid w:val="007517F4"/>
    <w:rsid w:val="007529A1"/>
    <w:rsid w:val="00755CF2"/>
    <w:rsid w:val="00756A28"/>
    <w:rsid w:val="00757259"/>
    <w:rsid w:val="00760246"/>
    <w:rsid w:val="007669B8"/>
    <w:rsid w:val="00770FA6"/>
    <w:rsid w:val="0077164C"/>
    <w:rsid w:val="007721D2"/>
    <w:rsid w:val="0077428E"/>
    <w:rsid w:val="007807C4"/>
    <w:rsid w:val="00784A15"/>
    <w:rsid w:val="00793E12"/>
    <w:rsid w:val="00794904"/>
    <w:rsid w:val="007964F5"/>
    <w:rsid w:val="007971B2"/>
    <w:rsid w:val="007A127A"/>
    <w:rsid w:val="007A1C52"/>
    <w:rsid w:val="007A25E7"/>
    <w:rsid w:val="007A4F77"/>
    <w:rsid w:val="007B12FE"/>
    <w:rsid w:val="007B1724"/>
    <w:rsid w:val="007B2C42"/>
    <w:rsid w:val="007B35FD"/>
    <w:rsid w:val="007B47A0"/>
    <w:rsid w:val="007B4E73"/>
    <w:rsid w:val="007B6248"/>
    <w:rsid w:val="007C11BD"/>
    <w:rsid w:val="007C2405"/>
    <w:rsid w:val="007C2884"/>
    <w:rsid w:val="007C3120"/>
    <w:rsid w:val="007C3C76"/>
    <w:rsid w:val="007C4A15"/>
    <w:rsid w:val="007C5AAD"/>
    <w:rsid w:val="007D5FBA"/>
    <w:rsid w:val="007E0386"/>
    <w:rsid w:val="007E2473"/>
    <w:rsid w:val="007E586C"/>
    <w:rsid w:val="007E6973"/>
    <w:rsid w:val="007F157E"/>
    <w:rsid w:val="007F3035"/>
    <w:rsid w:val="007F3640"/>
    <w:rsid w:val="007F4BD5"/>
    <w:rsid w:val="007F5260"/>
    <w:rsid w:val="007F7F67"/>
    <w:rsid w:val="00803D13"/>
    <w:rsid w:val="00807B7B"/>
    <w:rsid w:val="008115EE"/>
    <w:rsid w:val="0081351D"/>
    <w:rsid w:val="0081743E"/>
    <w:rsid w:val="008204E4"/>
    <w:rsid w:val="0082554F"/>
    <w:rsid w:val="00825D8B"/>
    <w:rsid w:val="008278C6"/>
    <w:rsid w:val="00827B3C"/>
    <w:rsid w:val="008307D1"/>
    <w:rsid w:val="008319D0"/>
    <w:rsid w:val="00832409"/>
    <w:rsid w:val="00833C2E"/>
    <w:rsid w:val="00834C18"/>
    <w:rsid w:val="008362FC"/>
    <w:rsid w:val="00836A15"/>
    <w:rsid w:val="00840FEF"/>
    <w:rsid w:val="00841249"/>
    <w:rsid w:val="008441C6"/>
    <w:rsid w:val="00844A4B"/>
    <w:rsid w:val="00845D7E"/>
    <w:rsid w:val="00847253"/>
    <w:rsid w:val="008639C1"/>
    <w:rsid w:val="00863F1F"/>
    <w:rsid w:val="008705A0"/>
    <w:rsid w:val="008708CF"/>
    <w:rsid w:val="008757D2"/>
    <w:rsid w:val="00876619"/>
    <w:rsid w:val="00880B54"/>
    <w:rsid w:val="00884F92"/>
    <w:rsid w:val="008852BE"/>
    <w:rsid w:val="00892272"/>
    <w:rsid w:val="00895F38"/>
    <w:rsid w:val="008A1002"/>
    <w:rsid w:val="008A6278"/>
    <w:rsid w:val="008A6CD2"/>
    <w:rsid w:val="008B20F8"/>
    <w:rsid w:val="008B56A4"/>
    <w:rsid w:val="008B5C25"/>
    <w:rsid w:val="008B615A"/>
    <w:rsid w:val="008C0B68"/>
    <w:rsid w:val="008C5E13"/>
    <w:rsid w:val="008C73B1"/>
    <w:rsid w:val="008D0B89"/>
    <w:rsid w:val="008D3D30"/>
    <w:rsid w:val="008D49A5"/>
    <w:rsid w:val="008D66A4"/>
    <w:rsid w:val="008E4476"/>
    <w:rsid w:val="008E6175"/>
    <w:rsid w:val="008E7BF3"/>
    <w:rsid w:val="008F3470"/>
    <w:rsid w:val="008F3A90"/>
    <w:rsid w:val="008F72D5"/>
    <w:rsid w:val="0090168B"/>
    <w:rsid w:val="00903F32"/>
    <w:rsid w:val="00916696"/>
    <w:rsid w:val="00917852"/>
    <w:rsid w:val="00924DA1"/>
    <w:rsid w:val="00926182"/>
    <w:rsid w:val="00930220"/>
    <w:rsid w:val="00930344"/>
    <w:rsid w:val="00930B34"/>
    <w:rsid w:val="00932CE5"/>
    <w:rsid w:val="00933B1A"/>
    <w:rsid w:val="009372FA"/>
    <w:rsid w:val="0094146E"/>
    <w:rsid w:val="009544EA"/>
    <w:rsid w:val="00955904"/>
    <w:rsid w:val="00957037"/>
    <w:rsid w:val="009575D1"/>
    <w:rsid w:val="0096252F"/>
    <w:rsid w:val="00973FD9"/>
    <w:rsid w:val="00975374"/>
    <w:rsid w:val="00975B6D"/>
    <w:rsid w:val="009868DE"/>
    <w:rsid w:val="0098774C"/>
    <w:rsid w:val="0099026D"/>
    <w:rsid w:val="00992FAE"/>
    <w:rsid w:val="00994396"/>
    <w:rsid w:val="009951E0"/>
    <w:rsid w:val="009A084F"/>
    <w:rsid w:val="009A2A05"/>
    <w:rsid w:val="009A3A23"/>
    <w:rsid w:val="009A4AFC"/>
    <w:rsid w:val="009B159D"/>
    <w:rsid w:val="009B5588"/>
    <w:rsid w:val="009B7404"/>
    <w:rsid w:val="009C0554"/>
    <w:rsid w:val="009C5CAB"/>
    <w:rsid w:val="009D24E4"/>
    <w:rsid w:val="009D5D20"/>
    <w:rsid w:val="009D5F0D"/>
    <w:rsid w:val="009D646C"/>
    <w:rsid w:val="009D704F"/>
    <w:rsid w:val="009E3626"/>
    <w:rsid w:val="009E4E77"/>
    <w:rsid w:val="009E7012"/>
    <w:rsid w:val="009E7ACD"/>
    <w:rsid w:val="009F38E0"/>
    <w:rsid w:val="009F7EC5"/>
    <w:rsid w:val="00A04652"/>
    <w:rsid w:val="00A06EF1"/>
    <w:rsid w:val="00A1411E"/>
    <w:rsid w:val="00A157D8"/>
    <w:rsid w:val="00A159F6"/>
    <w:rsid w:val="00A33898"/>
    <w:rsid w:val="00A41540"/>
    <w:rsid w:val="00A4243D"/>
    <w:rsid w:val="00A42B81"/>
    <w:rsid w:val="00A435D2"/>
    <w:rsid w:val="00A5447A"/>
    <w:rsid w:val="00A54AD6"/>
    <w:rsid w:val="00A564D9"/>
    <w:rsid w:val="00A576F5"/>
    <w:rsid w:val="00A5771F"/>
    <w:rsid w:val="00A6304B"/>
    <w:rsid w:val="00A635B6"/>
    <w:rsid w:val="00A64C98"/>
    <w:rsid w:val="00A67FFD"/>
    <w:rsid w:val="00A74422"/>
    <w:rsid w:val="00A760C7"/>
    <w:rsid w:val="00A81869"/>
    <w:rsid w:val="00A855FE"/>
    <w:rsid w:val="00A87E6D"/>
    <w:rsid w:val="00A9156D"/>
    <w:rsid w:val="00A91F49"/>
    <w:rsid w:val="00A94F35"/>
    <w:rsid w:val="00A96888"/>
    <w:rsid w:val="00AA140D"/>
    <w:rsid w:val="00AA2A17"/>
    <w:rsid w:val="00AA34A8"/>
    <w:rsid w:val="00AA404B"/>
    <w:rsid w:val="00AA5181"/>
    <w:rsid w:val="00AA7258"/>
    <w:rsid w:val="00AB0967"/>
    <w:rsid w:val="00AB44E4"/>
    <w:rsid w:val="00AB7C86"/>
    <w:rsid w:val="00AC0032"/>
    <w:rsid w:val="00AC425C"/>
    <w:rsid w:val="00AD5546"/>
    <w:rsid w:val="00AD7CFB"/>
    <w:rsid w:val="00AE1F91"/>
    <w:rsid w:val="00AE22EC"/>
    <w:rsid w:val="00AE24F0"/>
    <w:rsid w:val="00AE2956"/>
    <w:rsid w:val="00AE61DC"/>
    <w:rsid w:val="00AF42DD"/>
    <w:rsid w:val="00AF5D5B"/>
    <w:rsid w:val="00AF6E68"/>
    <w:rsid w:val="00B01C0E"/>
    <w:rsid w:val="00B05A1D"/>
    <w:rsid w:val="00B06074"/>
    <w:rsid w:val="00B0648C"/>
    <w:rsid w:val="00B06B60"/>
    <w:rsid w:val="00B10A36"/>
    <w:rsid w:val="00B12B02"/>
    <w:rsid w:val="00B12BDA"/>
    <w:rsid w:val="00B15A5C"/>
    <w:rsid w:val="00B17DD6"/>
    <w:rsid w:val="00B21E31"/>
    <w:rsid w:val="00B2284D"/>
    <w:rsid w:val="00B22862"/>
    <w:rsid w:val="00B27183"/>
    <w:rsid w:val="00B312A6"/>
    <w:rsid w:val="00B34E9B"/>
    <w:rsid w:val="00B361DF"/>
    <w:rsid w:val="00B36522"/>
    <w:rsid w:val="00B453E8"/>
    <w:rsid w:val="00B462A2"/>
    <w:rsid w:val="00B47D0E"/>
    <w:rsid w:val="00B51EF0"/>
    <w:rsid w:val="00B549C1"/>
    <w:rsid w:val="00B54A35"/>
    <w:rsid w:val="00B55E17"/>
    <w:rsid w:val="00B5654E"/>
    <w:rsid w:val="00B568FC"/>
    <w:rsid w:val="00B60119"/>
    <w:rsid w:val="00B6337A"/>
    <w:rsid w:val="00B705AF"/>
    <w:rsid w:val="00B714F5"/>
    <w:rsid w:val="00B71A8A"/>
    <w:rsid w:val="00B72D1B"/>
    <w:rsid w:val="00B72D65"/>
    <w:rsid w:val="00B759D1"/>
    <w:rsid w:val="00B75E73"/>
    <w:rsid w:val="00B77682"/>
    <w:rsid w:val="00B8048A"/>
    <w:rsid w:val="00B83BDA"/>
    <w:rsid w:val="00B863E9"/>
    <w:rsid w:val="00B8743A"/>
    <w:rsid w:val="00B901C4"/>
    <w:rsid w:val="00B91C7E"/>
    <w:rsid w:val="00B936AF"/>
    <w:rsid w:val="00B956CB"/>
    <w:rsid w:val="00BA0C73"/>
    <w:rsid w:val="00BB494A"/>
    <w:rsid w:val="00BB6FCA"/>
    <w:rsid w:val="00BC4181"/>
    <w:rsid w:val="00BD31EA"/>
    <w:rsid w:val="00BD4A24"/>
    <w:rsid w:val="00BE0612"/>
    <w:rsid w:val="00BE43D3"/>
    <w:rsid w:val="00BE5615"/>
    <w:rsid w:val="00BE6B22"/>
    <w:rsid w:val="00BE76B6"/>
    <w:rsid w:val="00BE7F70"/>
    <w:rsid w:val="00BF2218"/>
    <w:rsid w:val="00BF3AB5"/>
    <w:rsid w:val="00BF3C47"/>
    <w:rsid w:val="00C0128A"/>
    <w:rsid w:val="00C02612"/>
    <w:rsid w:val="00C026C2"/>
    <w:rsid w:val="00C03671"/>
    <w:rsid w:val="00C0618E"/>
    <w:rsid w:val="00C07EFE"/>
    <w:rsid w:val="00C11EB8"/>
    <w:rsid w:val="00C13A6E"/>
    <w:rsid w:val="00C14FCC"/>
    <w:rsid w:val="00C1582A"/>
    <w:rsid w:val="00C2182C"/>
    <w:rsid w:val="00C26DA4"/>
    <w:rsid w:val="00C30632"/>
    <w:rsid w:val="00C3321D"/>
    <w:rsid w:val="00C375E7"/>
    <w:rsid w:val="00C40306"/>
    <w:rsid w:val="00C4385E"/>
    <w:rsid w:val="00C50FEB"/>
    <w:rsid w:val="00C55288"/>
    <w:rsid w:val="00C55F38"/>
    <w:rsid w:val="00C57631"/>
    <w:rsid w:val="00C60E76"/>
    <w:rsid w:val="00C6149C"/>
    <w:rsid w:val="00C62893"/>
    <w:rsid w:val="00C65FC8"/>
    <w:rsid w:val="00C742AE"/>
    <w:rsid w:val="00C76D8B"/>
    <w:rsid w:val="00C8637C"/>
    <w:rsid w:val="00C9019E"/>
    <w:rsid w:val="00C939F0"/>
    <w:rsid w:val="00C95705"/>
    <w:rsid w:val="00C96E92"/>
    <w:rsid w:val="00C97976"/>
    <w:rsid w:val="00CA1636"/>
    <w:rsid w:val="00CA4E54"/>
    <w:rsid w:val="00CA4F9E"/>
    <w:rsid w:val="00CA54B8"/>
    <w:rsid w:val="00CA54C1"/>
    <w:rsid w:val="00CB324F"/>
    <w:rsid w:val="00CB5480"/>
    <w:rsid w:val="00CB686E"/>
    <w:rsid w:val="00CB764D"/>
    <w:rsid w:val="00CC2FD5"/>
    <w:rsid w:val="00CC55D2"/>
    <w:rsid w:val="00CC6DA3"/>
    <w:rsid w:val="00CC7D2A"/>
    <w:rsid w:val="00CD4253"/>
    <w:rsid w:val="00CD68A7"/>
    <w:rsid w:val="00CD68E7"/>
    <w:rsid w:val="00CE48CC"/>
    <w:rsid w:val="00CF0A9E"/>
    <w:rsid w:val="00CF3C1D"/>
    <w:rsid w:val="00CF53C7"/>
    <w:rsid w:val="00CF6565"/>
    <w:rsid w:val="00CF6F7D"/>
    <w:rsid w:val="00CF7885"/>
    <w:rsid w:val="00D0110F"/>
    <w:rsid w:val="00D016AE"/>
    <w:rsid w:val="00D02FF2"/>
    <w:rsid w:val="00D053CE"/>
    <w:rsid w:val="00D10C72"/>
    <w:rsid w:val="00D14144"/>
    <w:rsid w:val="00D14D68"/>
    <w:rsid w:val="00D15BFA"/>
    <w:rsid w:val="00D200D1"/>
    <w:rsid w:val="00D2516E"/>
    <w:rsid w:val="00D27413"/>
    <w:rsid w:val="00D321F5"/>
    <w:rsid w:val="00D32DD1"/>
    <w:rsid w:val="00D412BC"/>
    <w:rsid w:val="00D4155A"/>
    <w:rsid w:val="00D42274"/>
    <w:rsid w:val="00D429FE"/>
    <w:rsid w:val="00D45B7F"/>
    <w:rsid w:val="00D46DFD"/>
    <w:rsid w:val="00D47452"/>
    <w:rsid w:val="00D51B15"/>
    <w:rsid w:val="00D56831"/>
    <w:rsid w:val="00D57963"/>
    <w:rsid w:val="00D614D5"/>
    <w:rsid w:val="00D7289B"/>
    <w:rsid w:val="00D80F16"/>
    <w:rsid w:val="00D827E4"/>
    <w:rsid w:val="00D90577"/>
    <w:rsid w:val="00D90C3E"/>
    <w:rsid w:val="00D9789D"/>
    <w:rsid w:val="00D97E70"/>
    <w:rsid w:val="00DA0737"/>
    <w:rsid w:val="00DA1DDE"/>
    <w:rsid w:val="00DA42E2"/>
    <w:rsid w:val="00DA455F"/>
    <w:rsid w:val="00DA5BFF"/>
    <w:rsid w:val="00DA76BE"/>
    <w:rsid w:val="00DB2D53"/>
    <w:rsid w:val="00DB358E"/>
    <w:rsid w:val="00DB543F"/>
    <w:rsid w:val="00DB6844"/>
    <w:rsid w:val="00DC034B"/>
    <w:rsid w:val="00DC2A42"/>
    <w:rsid w:val="00DC4A40"/>
    <w:rsid w:val="00DD0A06"/>
    <w:rsid w:val="00DD6375"/>
    <w:rsid w:val="00DE02F3"/>
    <w:rsid w:val="00DE246A"/>
    <w:rsid w:val="00DE3546"/>
    <w:rsid w:val="00DE531A"/>
    <w:rsid w:val="00DF2567"/>
    <w:rsid w:val="00E00CD3"/>
    <w:rsid w:val="00E019C0"/>
    <w:rsid w:val="00E01D45"/>
    <w:rsid w:val="00E04D53"/>
    <w:rsid w:val="00E107AF"/>
    <w:rsid w:val="00E10916"/>
    <w:rsid w:val="00E11683"/>
    <w:rsid w:val="00E14014"/>
    <w:rsid w:val="00E142B9"/>
    <w:rsid w:val="00E149F1"/>
    <w:rsid w:val="00E157F5"/>
    <w:rsid w:val="00E175B8"/>
    <w:rsid w:val="00E22B76"/>
    <w:rsid w:val="00E26E4F"/>
    <w:rsid w:val="00E32168"/>
    <w:rsid w:val="00E40121"/>
    <w:rsid w:val="00E427F7"/>
    <w:rsid w:val="00E47E82"/>
    <w:rsid w:val="00E50C1E"/>
    <w:rsid w:val="00E55AC1"/>
    <w:rsid w:val="00E5723D"/>
    <w:rsid w:val="00E6084B"/>
    <w:rsid w:val="00E676EF"/>
    <w:rsid w:val="00E71906"/>
    <w:rsid w:val="00E729A7"/>
    <w:rsid w:val="00E730F8"/>
    <w:rsid w:val="00E74AD2"/>
    <w:rsid w:val="00E77524"/>
    <w:rsid w:val="00E77FDD"/>
    <w:rsid w:val="00E84B8B"/>
    <w:rsid w:val="00E86B37"/>
    <w:rsid w:val="00E91DF1"/>
    <w:rsid w:val="00E95B77"/>
    <w:rsid w:val="00E95F5C"/>
    <w:rsid w:val="00E972B7"/>
    <w:rsid w:val="00EA004B"/>
    <w:rsid w:val="00EA49DB"/>
    <w:rsid w:val="00EA756F"/>
    <w:rsid w:val="00EA7B42"/>
    <w:rsid w:val="00EB0206"/>
    <w:rsid w:val="00EB3038"/>
    <w:rsid w:val="00EB7378"/>
    <w:rsid w:val="00EC19ED"/>
    <w:rsid w:val="00EC3D9F"/>
    <w:rsid w:val="00EC4B26"/>
    <w:rsid w:val="00ED5754"/>
    <w:rsid w:val="00ED5815"/>
    <w:rsid w:val="00ED690E"/>
    <w:rsid w:val="00ED6BC9"/>
    <w:rsid w:val="00EE4056"/>
    <w:rsid w:val="00EF0E8E"/>
    <w:rsid w:val="00EF5910"/>
    <w:rsid w:val="00F06C97"/>
    <w:rsid w:val="00F07B0D"/>
    <w:rsid w:val="00F07FE0"/>
    <w:rsid w:val="00F10439"/>
    <w:rsid w:val="00F10B1F"/>
    <w:rsid w:val="00F136F5"/>
    <w:rsid w:val="00F14D6C"/>
    <w:rsid w:val="00F16239"/>
    <w:rsid w:val="00F17819"/>
    <w:rsid w:val="00F2056A"/>
    <w:rsid w:val="00F23250"/>
    <w:rsid w:val="00F24D9B"/>
    <w:rsid w:val="00F30EB9"/>
    <w:rsid w:val="00F310E0"/>
    <w:rsid w:val="00F4243C"/>
    <w:rsid w:val="00F432BF"/>
    <w:rsid w:val="00F4480A"/>
    <w:rsid w:val="00F456D8"/>
    <w:rsid w:val="00F4679E"/>
    <w:rsid w:val="00F54250"/>
    <w:rsid w:val="00F54843"/>
    <w:rsid w:val="00F57BC4"/>
    <w:rsid w:val="00F6118E"/>
    <w:rsid w:val="00F65837"/>
    <w:rsid w:val="00F65A38"/>
    <w:rsid w:val="00F66E7C"/>
    <w:rsid w:val="00F67534"/>
    <w:rsid w:val="00F701E4"/>
    <w:rsid w:val="00F72AB2"/>
    <w:rsid w:val="00F72DCE"/>
    <w:rsid w:val="00F7664A"/>
    <w:rsid w:val="00F77DB4"/>
    <w:rsid w:val="00F803A7"/>
    <w:rsid w:val="00F8179E"/>
    <w:rsid w:val="00F826D1"/>
    <w:rsid w:val="00F8565D"/>
    <w:rsid w:val="00F92F9E"/>
    <w:rsid w:val="00F94D1D"/>
    <w:rsid w:val="00FA108B"/>
    <w:rsid w:val="00FA23B0"/>
    <w:rsid w:val="00FA2768"/>
    <w:rsid w:val="00FA311F"/>
    <w:rsid w:val="00FA4CEC"/>
    <w:rsid w:val="00FA6613"/>
    <w:rsid w:val="00FA6D97"/>
    <w:rsid w:val="00FA7576"/>
    <w:rsid w:val="00FB1EEA"/>
    <w:rsid w:val="00FB5824"/>
    <w:rsid w:val="00FC5391"/>
    <w:rsid w:val="00FC71A8"/>
    <w:rsid w:val="00FD00D5"/>
    <w:rsid w:val="00FD1D7F"/>
    <w:rsid w:val="00FD4F96"/>
    <w:rsid w:val="00FE257E"/>
    <w:rsid w:val="00FE3434"/>
    <w:rsid w:val="00FE5A40"/>
    <w:rsid w:val="00FE6056"/>
    <w:rsid w:val="00FE7548"/>
    <w:rsid w:val="00FF0A0D"/>
    <w:rsid w:val="00FF58BA"/>
    <w:rsid w:val="00FF71E7"/>
    <w:rsid w:val="00FF7E58"/>
    <w:rsid w:val="01E42ACC"/>
    <w:rsid w:val="0214B7DD"/>
    <w:rsid w:val="02797F17"/>
    <w:rsid w:val="02A3C527"/>
    <w:rsid w:val="044E6A35"/>
    <w:rsid w:val="04A56831"/>
    <w:rsid w:val="054C7526"/>
    <w:rsid w:val="05DB65E9"/>
    <w:rsid w:val="05EAD104"/>
    <w:rsid w:val="07ADCC7D"/>
    <w:rsid w:val="0845CF9B"/>
    <w:rsid w:val="0A30D9A6"/>
    <w:rsid w:val="0AC98C0B"/>
    <w:rsid w:val="0B19F14C"/>
    <w:rsid w:val="0B2E6E6E"/>
    <w:rsid w:val="0BDD5C39"/>
    <w:rsid w:val="0E8B95F2"/>
    <w:rsid w:val="0F92C586"/>
    <w:rsid w:val="1337D051"/>
    <w:rsid w:val="138DAC3F"/>
    <w:rsid w:val="13A52B2A"/>
    <w:rsid w:val="14AB2326"/>
    <w:rsid w:val="14F27ECE"/>
    <w:rsid w:val="1520E14F"/>
    <w:rsid w:val="156B1506"/>
    <w:rsid w:val="1799D9DA"/>
    <w:rsid w:val="182F0C49"/>
    <w:rsid w:val="1B92BAA7"/>
    <w:rsid w:val="1C8124F0"/>
    <w:rsid w:val="1D1725BB"/>
    <w:rsid w:val="1D80C72F"/>
    <w:rsid w:val="1ECE48F6"/>
    <w:rsid w:val="1F48C490"/>
    <w:rsid w:val="1F625496"/>
    <w:rsid w:val="1F94B454"/>
    <w:rsid w:val="2012AED4"/>
    <w:rsid w:val="2039D7B0"/>
    <w:rsid w:val="21A9C092"/>
    <w:rsid w:val="22BD37DC"/>
    <w:rsid w:val="238C93E2"/>
    <w:rsid w:val="23C7B4A5"/>
    <w:rsid w:val="23E23C63"/>
    <w:rsid w:val="245EBF20"/>
    <w:rsid w:val="246CE366"/>
    <w:rsid w:val="25D0F16C"/>
    <w:rsid w:val="277E04F3"/>
    <w:rsid w:val="2A225627"/>
    <w:rsid w:val="2C9F6784"/>
    <w:rsid w:val="2D76CC64"/>
    <w:rsid w:val="2E09538D"/>
    <w:rsid w:val="2E5980CB"/>
    <w:rsid w:val="2F5CA5DD"/>
    <w:rsid w:val="2F6F10C0"/>
    <w:rsid w:val="2FDA53CF"/>
    <w:rsid w:val="31E52C75"/>
    <w:rsid w:val="33D8E153"/>
    <w:rsid w:val="36BFF500"/>
    <w:rsid w:val="37327AA6"/>
    <w:rsid w:val="38C20F9C"/>
    <w:rsid w:val="38CA7FEE"/>
    <w:rsid w:val="38DAD13B"/>
    <w:rsid w:val="38E02A9A"/>
    <w:rsid w:val="39AD41FE"/>
    <w:rsid w:val="3A53E82A"/>
    <w:rsid w:val="3B62B906"/>
    <w:rsid w:val="3B707FCE"/>
    <w:rsid w:val="3BD19E7C"/>
    <w:rsid w:val="3C070372"/>
    <w:rsid w:val="3F232359"/>
    <w:rsid w:val="3F387DFA"/>
    <w:rsid w:val="3FE55C0E"/>
    <w:rsid w:val="421C7D32"/>
    <w:rsid w:val="42590FDE"/>
    <w:rsid w:val="43E6A050"/>
    <w:rsid w:val="446FE5B4"/>
    <w:rsid w:val="4546DB9B"/>
    <w:rsid w:val="45DD6DF5"/>
    <w:rsid w:val="4A04DD93"/>
    <w:rsid w:val="4B28B885"/>
    <w:rsid w:val="4C938DED"/>
    <w:rsid w:val="4D016B94"/>
    <w:rsid w:val="4D4D47D4"/>
    <w:rsid w:val="4D70B097"/>
    <w:rsid w:val="4DC82AFD"/>
    <w:rsid w:val="4E4A8965"/>
    <w:rsid w:val="4E582850"/>
    <w:rsid w:val="4EC25916"/>
    <w:rsid w:val="504E840A"/>
    <w:rsid w:val="51279978"/>
    <w:rsid w:val="5154CEEB"/>
    <w:rsid w:val="51D27E54"/>
    <w:rsid w:val="524466C5"/>
    <w:rsid w:val="5260E683"/>
    <w:rsid w:val="558E12D5"/>
    <w:rsid w:val="5715E188"/>
    <w:rsid w:val="575CB893"/>
    <w:rsid w:val="59ACED02"/>
    <w:rsid w:val="5ADBD287"/>
    <w:rsid w:val="5E108808"/>
    <w:rsid w:val="5E16CA2E"/>
    <w:rsid w:val="5E3EC226"/>
    <w:rsid w:val="5ECDD705"/>
    <w:rsid w:val="6063D6DA"/>
    <w:rsid w:val="60D071FA"/>
    <w:rsid w:val="60D9C132"/>
    <w:rsid w:val="61799BCD"/>
    <w:rsid w:val="62DEBF3C"/>
    <w:rsid w:val="635616F5"/>
    <w:rsid w:val="63C5E48B"/>
    <w:rsid w:val="6602512C"/>
    <w:rsid w:val="66FD981D"/>
    <w:rsid w:val="67D4145B"/>
    <w:rsid w:val="68D486B8"/>
    <w:rsid w:val="694316FF"/>
    <w:rsid w:val="69EEC768"/>
    <w:rsid w:val="6AA90286"/>
    <w:rsid w:val="6AD1A501"/>
    <w:rsid w:val="6B44FE56"/>
    <w:rsid w:val="6B9BA108"/>
    <w:rsid w:val="6BA7694A"/>
    <w:rsid w:val="6DFAC900"/>
    <w:rsid w:val="6DFBD842"/>
    <w:rsid w:val="6EFCFAAD"/>
    <w:rsid w:val="6FB6E7B2"/>
    <w:rsid w:val="6FE5A3F4"/>
    <w:rsid w:val="703B8EE1"/>
    <w:rsid w:val="711475C6"/>
    <w:rsid w:val="724E9F44"/>
    <w:rsid w:val="7400A763"/>
    <w:rsid w:val="74E10D24"/>
    <w:rsid w:val="76EDF4E2"/>
    <w:rsid w:val="77E3E81A"/>
    <w:rsid w:val="78161F06"/>
    <w:rsid w:val="793AB52A"/>
    <w:rsid w:val="7946C5FD"/>
    <w:rsid w:val="79C262DC"/>
    <w:rsid w:val="7A48090E"/>
    <w:rsid w:val="7A8865D7"/>
    <w:rsid w:val="7B6B0C47"/>
    <w:rsid w:val="7B72C2FF"/>
    <w:rsid w:val="7C5A581D"/>
    <w:rsid w:val="7C5FC7F4"/>
    <w:rsid w:val="7C874315"/>
    <w:rsid w:val="7C9C4424"/>
    <w:rsid w:val="7CB9F2BC"/>
    <w:rsid w:val="7D1ECFA3"/>
    <w:rsid w:val="7DAE7106"/>
    <w:rsid w:val="7DD8D69E"/>
    <w:rsid w:val="7E07B7D5"/>
    <w:rsid w:val="7E1A65BB"/>
    <w:rsid w:val="7E1FDD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58DB7E"/>
  <w15:chartTrackingRefBased/>
  <w15:docId w15:val="{3D247EC6-B4E8-4728-90B8-51A060D3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FD9"/>
    <w:pPr>
      <w:spacing w:line="240" w:lineRule="auto"/>
    </w:pPr>
    <w:rPr>
      <w:rFonts w:ascii="Segoe UI" w:eastAsia="Times New Roman" w:hAnsi="Segoe UI" w:cs="Segoe UI"/>
      <w:sz w:val="22"/>
      <w:szCs w:val="22"/>
    </w:rPr>
  </w:style>
  <w:style w:type="paragraph" w:styleId="Heading1">
    <w:name w:val="heading 1"/>
    <w:basedOn w:val="Normal"/>
    <w:next w:val="Normal"/>
    <w:link w:val="Heading1Char"/>
    <w:uiPriority w:val="9"/>
    <w:qFormat/>
    <w:rsid w:val="00D200D1"/>
    <w:pPr>
      <w:spacing w:before="240"/>
      <w:outlineLvl w:val="0"/>
    </w:pPr>
    <w:rPr>
      <w:b/>
      <w:color w:val="000000"/>
      <w:sz w:val="32"/>
    </w:rPr>
  </w:style>
  <w:style w:type="paragraph" w:styleId="Heading2">
    <w:name w:val="heading 2"/>
    <w:basedOn w:val="Normal"/>
    <w:next w:val="Normal"/>
    <w:link w:val="Heading2Char"/>
    <w:uiPriority w:val="9"/>
    <w:unhideWhenUsed/>
    <w:qFormat/>
    <w:rsid w:val="00973FD9"/>
    <w:pPr>
      <w:spacing w:after="0"/>
      <w:outlineLvl w:val="1"/>
    </w:pPr>
    <w:rPr>
      <w:rFonts w:eastAsiaTheme="minorHAnsi"/>
      <w:b/>
      <w:bCs/>
      <w:color w:val="000000"/>
    </w:rPr>
  </w:style>
  <w:style w:type="paragraph" w:styleId="Heading3">
    <w:name w:val="heading 3"/>
    <w:basedOn w:val="Normal"/>
    <w:next w:val="Normal"/>
    <w:link w:val="Heading3Char"/>
    <w:uiPriority w:val="9"/>
    <w:unhideWhenUsed/>
    <w:qFormat/>
    <w:rsid w:val="00C55F38"/>
    <w:pPr>
      <w:keepNext/>
      <w:keepLines/>
      <w:spacing w:before="40" w:after="0"/>
      <w:outlineLvl w:val="2"/>
    </w:pPr>
    <w:rPr>
      <w:rFonts w:asciiTheme="majorHAnsi" w:eastAsiaTheme="majorEastAsia" w:hAnsiTheme="majorHAns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aliases w:val="Summary box,Table Gridbeth,RTI AMCP Table,new style,ASD Table"/>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pPr>
    <w:rPr>
      <w:lang w:eastAsia="en-AU"/>
    </w:rPr>
  </w:style>
  <w:style w:type="character" w:styleId="PlaceholderText">
    <w:name w:val="Placeholder Text"/>
    <w:basedOn w:val="DefaultParagraphFont"/>
    <w:uiPriority w:val="99"/>
    <w:semiHidden/>
    <w:rsid w:val="00917852"/>
    <w:rPr>
      <w:color w:val="808080"/>
    </w:rPr>
  </w:style>
  <w:style w:type="paragraph" w:styleId="Caption">
    <w:name w:val="caption"/>
    <w:aliases w:val="Caption Dossier,! Q,Caption for Figures and Tables,Caption Char1,Caption Char Char,Char Char Char,Char Char1,Char1,Table caption,Caption 3,c,appendix,Char,Caption PHMR,Caption Char2 Char,Caption Char Char Char2,Caption Char1 Char Char Char1"/>
    <w:basedOn w:val="Normal"/>
    <w:next w:val="Normal"/>
    <w:link w:val="CaptionChar"/>
    <w:uiPriority w:val="35"/>
    <w:qFormat/>
    <w:rsid w:val="000C095B"/>
    <w:pPr>
      <w:keepNext/>
      <w:keepLines/>
      <w:tabs>
        <w:tab w:val="left" w:pos="1418"/>
      </w:tabs>
      <w:spacing w:after="120"/>
      <w:ind w:left="992" w:hanging="992"/>
    </w:pPr>
    <w:rPr>
      <w:rFonts w:ascii="Calibri" w:eastAsia="MS Mincho" w:hAnsi="Calibri" w:cs="Calibri"/>
      <w:b/>
      <w:bCs/>
      <w:sz w:val="20"/>
      <w:szCs w:val="20"/>
      <w:lang w:eastAsia="en-AU"/>
    </w:rPr>
  </w:style>
  <w:style w:type="paragraph" w:styleId="NoteHeading">
    <w:name w:val="Note Heading"/>
    <w:aliases w:val="Table Notes,Notes"/>
    <w:basedOn w:val="Normal"/>
    <w:next w:val="Normal"/>
    <w:link w:val="NoteHeadingChar"/>
    <w:uiPriority w:val="99"/>
    <w:unhideWhenUsed/>
    <w:qFormat/>
    <w:rsid w:val="000C095B"/>
    <w:pPr>
      <w:spacing w:after="0"/>
    </w:pPr>
    <w:rPr>
      <w:rFonts w:ascii="Arial Narrow" w:eastAsia="Calibri" w:hAnsi="Arial Narrow"/>
      <w:snapToGrid w:val="0"/>
      <w:sz w:val="20"/>
      <w:szCs w:val="20"/>
    </w:rPr>
  </w:style>
  <w:style w:type="character" w:customStyle="1" w:styleId="NoteHeadingChar">
    <w:name w:val="Note Heading Char"/>
    <w:aliases w:val="Table Notes Char,Notes Char"/>
    <w:basedOn w:val="DefaultParagraphFont"/>
    <w:link w:val="NoteHeading"/>
    <w:uiPriority w:val="99"/>
    <w:rsid w:val="000C095B"/>
    <w:rPr>
      <w:rFonts w:ascii="Arial Narrow" w:eastAsia="Calibri" w:hAnsi="Arial Narrow"/>
      <w:snapToGrid w:val="0"/>
      <w:sz w:val="20"/>
      <w:szCs w:val="20"/>
    </w:rPr>
  </w:style>
  <w:style w:type="table" w:customStyle="1" w:styleId="TableGrid4">
    <w:name w:val="Table Grid4"/>
    <w:basedOn w:val="TableNormal"/>
    <w:next w:val="TableGrid"/>
    <w:uiPriority w:val="59"/>
    <w:rsid w:val="00020E6F"/>
    <w:pPr>
      <w:spacing w:after="0" w:line="240" w:lineRule="auto"/>
    </w:pPr>
    <w:rPr>
      <w:rFonts w:ascii="Arial" w:eastAsia="Arial" w:hAnsi="Arial"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20E6F"/>
    <w:pPr>
      <w:keepNext/>
      <w:keepLines/>
      <w:spacing w:before="20" w:after="20"/>
    </w:pPr>
    <w:rPr>
      <w:rFonts w:ascii="Arial Narrow" w:eastAsia="TimesNewRoman" w:hAnsi="Arial Narrow"/>
      <w:color w:val="000000"/>
      <w:sz w:val="20"/>
      <w:szCs w:val="20"/>
      <w:lang w:val="en-US" w:eastAsia="en-AU"/>
    </w:rPr>
  </w:style>
  <w:style w:type="character" w:customStyle="1" w:styleId="TableTextChar">
    <w:name w:val="Table Text Char"/>
    <w:link w:val="TableText"/>
    <w:rsid w:val="00020E6F"/>
    <w:rPr>
      <w:rFonts w:ascii="Arial Narrow" w:eastAsia="TimesNewRoman" w:hAnsi="Arial Narrow"/>
      <w:color w:val="000000"/>
      <w:sz w:val="20"/>
      <w:szCs w:val="20"/>
      <w:lang w:val="en-US" w:eastAsia="en-AU"/>
    </w:rPr>
  </w:style>
  <w:style w:type="character" w:customStyle="1" w:styleId="CaptionChar">
    <w:name w:val="Caption Char"/>
    <w:aliases w:val="Caption Dossier Char,! Q Char,Caption for Figures and Tables Char,Caption Char1 Char,Caption Char Char Char,Char Char Char Char,Char Char1 Char,Char1 Char,Table caption Char,Caption 3 Char,c Char,appendix Char,Char Char,Caption PHMR Char"/>
    <w:basedOn w:val="DefaultParagraphFont"/>
    <w:link w:val="Caption"/>
    <w:uiPriority w:val="35"/>
    <w:rsid w:val="000C095B"/>
    <w:rPr>
      <w:rFonts w:ascii="Calibri" w:eastAsia="MS Mincho" w:hAnsi="Calibri" w:cs="Calibri"/>
      <w:b/>
      <w:bCs/>
      <w:sz w:val="20"/>
      <w:szCs w:val="20"/>
      <w:lang w:eastAsia="en-AU"/>
    </w:rPr>
  </w:style>
  <w:style w:type="paragraph" w:customStyle="1" w:styleId="Tablenotes">
    <w:name w:val="Table notes"/>
    <w:basedOn w:val="Normal"/>
    <w:link w:val="TablenotesChar"/>
    <w:qFormat/>
    <w:rsid w:val="00020E6F"/>
    <w:pPr>
      <w:spacing w:after="0"/>
    </w:pPr>
    <w:rPr>
      <w:rFonts w:asciiTheme="minorHAnsi" w:hAnsiTheme="minorHAnsi" w:cs="Calibri"/>
      <w:color w:val="000000"/>
      <w:sz w:val="18"/>
    </w:rPr>
  </w:style>
  <w:style w:type="paragraph" w:styleId="ListParagraph">
    <w:name w:val="List Paragraph"/>
    <w:aliases w:val="Table Legend,Bullet1,Bullet 1,Bullet List,Section 5"/>
    <w:basedOn w:val="Normal"/>
    <w:link w:val="ListParagraphChar"/>
    <w:uiPriority w:val="34"/>
    <w:qFormat/>
    <w:rsid w:val="00020E6F"/>
    <w:pPr>
      <w:ind w:left="720"/>
      <w:contextualSpacing/>
    </w:pPr>
  </w:style>
  <w:style w:type="character" w:customStyle="1" w:styleId="TablenotesChar">
    <w:name w:val="Table notes Char"/>
    <w:basedOn w:val="DefaultParagraphFont"/>
    <w:link w:val="Tablenotes"/>
    <w:rsid w:val="00020E6F"/>
    <w:rPr>
      <w:rFonts w:asciiTheme="minorHAnsi" w:eastAsia="Times New Roman" w:hAnsiTheme="minorHAnsi" w:cs="Calibri"/>
      <w:color w:val="000000"/>
      <w:sz w:val="18"/>
      <w:szCs w:val="22"/>
    </w:rPr>
  </w:style>
  <w:style w:type="table" w:customStyle="1" w:styleId="ASDTable1">
    <w:name w:val="ASD Table1"/>
    <w:basedOn w:val="TableNormal"/>
    <w:next w:val="TableGrid"/>
    <w:uiPriority w:val="39"/>
    <w:rsid w:val="000C095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0C095B"/>
    <w:rPr>
      <w:color w:val="0000FF"/>
      <w:u w:val="single"/>
    </w:rPr>
  </w:style>
  <w:style w:type="paragraph" w:styleId="FootnoteText">
    <w:name w:val="footnote text"/>
    <w:basedOn w:val="Normal"/>
    <w:link w:val="FootnoteTextChar"/>
    <w:uiPriority w:val="99"/>
    <w:unhideWhenUsed/>
    <w:rsid w:val="000C095B"/>
    <w:pPr>
      <w:spacing w:after="0"/>
      <w:ind w:left="360"/>
    </w:pPr>
    <w:rPr>
      <w:rFonts w:ascii="Calibri" w:hAnsi="Calibri"/>
      <w:sz w:val="20"/>
      <w:szCs w:val="20"/>
    </w:rPr>
  </w:style>
  <w:style w:type="character" w:customStyle="1" w:styleId="FootnoteTextChar">
    <w:name w:val="Footnote Text Char"/>
    <w:basedOn w:val="DefaultParagraphFont"/>
    <w:link w:val="FootnoteText"/>
    <w:uiPriority w:val="99"/>
    <w:rsid w:val="000C095B"/>
    <w:rPr>
      <w:rFonts w:ascii="Calibri" w:hAnsi="Calibri"/>
      <w:sz w:val="20"/>
      <w:szCs w:val="20"/>
    </w:rPr>
  </w:style>
  <w:style w:type="character" w:styleId="FootnoteReference">
    <w:name w:val="footnote reference"/>
    <w:basedOn w:val="DefaultParagraphFont"/>
    <w:uiPriority w:val="99"/>
    <w:semiHidden/>
    <w:unhideWhenUsed/>
    <w:rsid w:val="000C095B"/>
    <w:rPr>
      <w:vertAlign w:val="superscript"/>
    </w:rPr>
  </w:style>
  <w:style w:type="character" w:styleId="Hyperlink">
    <w:name w:val="Hyperlink"/>
    <w:basedOn w:val="DefaultParagraphFont"/>
    <w:uiPriority w:val="99"/>
    <w:unhideWhenUsed/>
    <w:rsid w:val="000C095B"/>
    <w:rPr>
      <w:color w:val="0563C1" w:themeColor="hyperlink"/>
      <w:u w:val="single"/>
    </w:rPr>
  </w:style>
  <w:style w:type="character" w:customStyle="1" w:styleId="Heading1Char">
    <w:name w:val="Heading 1 Char"/>
    <w:basedOn w:val="DefaultParagraphFont"/>
    <w:link w:val="Heading1"/>
    <w:uiPriority w:val="9"/>
    <w:rsid w:val="00D200D1"/>
    <w:rPr>
      <w:rFonts w:ascii="Segoe UI" w:eastAsia="Times New Roman" w:hAnsi="Segoe UI" w:cs="Segoe UI"/>
      <w:b/>
      <w:color w:val="000000"/>
      <w:sz w:val="32"/>
      <w:szCs w:val="22"/>
    </w:rPr>
  </w:style>
  <w:style w:type="character" w:customStyle="1" w:styleId="Heading2Char">
    <w:name w:val="Heading 2 Char"/>
    <w:basedOn w:val="DefaultParagraphFont"/>
    <w:link w:val="Heading2"/>
    <w:uiPriority w:val="9"/>
    <w:rsid w:val="00973FD9"/>
    <w:rPr>
      <w:rFonts w:ascii="Segoe UI" w:hAnsi="Segoe UI" w:cs="Segoe UI"/>
      <w:b/>
      <w:bCs/>
      <w:color w:val="000000"/>
      <w:sz w:val="22"/>
      <w:szCs w:val="22"/>
    </w:rPr>
  </w:style>
  <w:style w:type="character" w:styleId="CommentReference">
    <w:name w:val="annotation reference"/>
    <w:aliases w:val="Table Title"/>
    <w:basedOn w:val="DefaultParagraphFont"/>
    <w:uiPriority w:val="99"/>
    <w:unhideWhenUsed/>
    <w:qFormat/>
    <w:rsid w:val="007B1724"/>
    <w:rPr>
      <w:sz w:val="16"/>
      <w:szCs w:val="16"/>
    </w:rPr>
  </w:style>
  <w:style w:type="paragraph" w:styleId="CommentText">
    <w:name w:val="annotation text"/>
    <w:basedOn w:val="Normal"/>
    <w:link w:val="CommentTextChar"/>
    <w:uiPriority w:val="99"/>
    <w:unhideWhenUsed/>
    <w:rsid w:val="007B1724"/>
    <w:rPr>
      <w:sz w:val="20"/>
      <w:szCs w:val="20"/>
    </w:rPr>
  </w:style>
  <w:style w:type="character" w:customStyle="1" w:styleId="CommentTextChar">
    <w:name w:val="Comment Text Char"/>
    <w:basedOn w:val="DefaultParagraphFont"/>
    <w:link w:val="CommentText"/>
    <w:uiPriority w:val="99"/>
    <w:rsid w:val="007B1724"/>
    <w:rPr>
      <w:sz w:val="20"/>
      <w:szCs w:val="20"/>
    </w:rPr>
  </w:style>
  <w:style w:type="paragraph" w:styleId="CommentSubject">
    <w:name w:val="annotation subject"/>
    <w:basedOn w:val="CommentText"/>
    <w:next w:val="CommentText"/>
    <w:link w:val="CommentSubjectChar"/>
    <w:uiPriority w:val="99"/>
    <w:semiHidden/>
    <w:unhideWhenUsed/>
    <w:rsid w:val="007B1724"/>
    <w:rPr>
      <w:b/>
      <w:bCs/>
    </w:rPr>
  </w:style>
  <w:style w:type="character" w:customStyle="1" w:styleId="CommentSubjectChar">
    <w:name w:val="Comment Subject Char"/>
    <w:basedOn w:val="CommentTextChar"/>
    <w:link w:val="CommentSubject"/>
    <w:uiPriority w:val="99"/>
    <w:semiHidden/>
    <w:rsid w:val="007B1724"/>
    <w:rPr>
      <w:b/>
      <w:bCs/>
      <w:sz w:val="20"/>
      <w:szCs w:val="20"/>
    </w:rPr>
  </w:style>
  <w:style w:type="character" w:customStyle="1" w:styleId="Heading3Char">
    <w:name w:val="Heading 3 Char"/>
    <w:basedOn w:val="DefaultParagraphFont"/>
    <w:link w:val="Heading3"/>
    <w:uiPriority w:val="9"/>
    <w:rsid w:val="00C55F38"/>
    <w:rPr>
      <w:rFonts w:asciiTheme="majorHAnsi" w:eastAsiaTheme="majorEastAsia" w:hAnsiTheme="majorHAnsi" w:cstheme="majorBidi"/>
      <w:u w:val="single"/>
    </w:rPr>
  </w:style>
  <w:style w:type="character" w:customStyle="1" w:styleId="ListParagraphChar">
    <w:name w:val="List Paragraph Char"/>
    <w:aliases w:val="Table Legend Char,Bullet1 Char,Bullet 1 Char,Bullet List Char,Section 5 Char"/>
    <w:link w:val="ListParagraph"/>
    <w:uiPriority w:val="34"/>
    <w:rsid w:val="00C55F38"/>
  </w:style>
  <w:style w:type="character" w:styleId="FollowedHyperlink">
    <w:name w:val="FollowedHyperlink"/>
    <w:basedOn w:val="DefaultParagraphFont"/>
    <w:uiPriority w:val="99"/>
    <w:semiHidden/>
    <w:unhideWhenUsed/>
    <w:rsid w:val="00C55F38"/>
    <w:rPr>
      <w:color w:val="954F72" w:themeColor="followedHyperlink"/>
      <w:u w:val="single"/>
    </w:rPr>
  </w:style>
  <w:style w:type="paragraph" w:customStyle="1" w:styleId="TableHEADER">
    <w:name w:val="Table HEADER"/>
    <w:basedOn w:val="Normal"/>
    <w:qFormat/>
    <w:rsid w:val="001B3C30"/>
    <w:pPr>
      <w:spacing w:before="120" w:after="120"/>
      <w:ind w:left="360" w:right="82"/>
    </w:pPr>
    <w:rPr>
      <w:rFonts w:ascii="Calibri" w:hAnsi="Calibri" w:cs="Tahoma"/>
      <w:b/>
      <w:sz w:val="20"/>
      <w:szCs w:val="20"/>
      <w:lang w:eastAsia="en-AU"/>
    </w:rPr>
  </w:style>
  <w:style w:type="character" w:styleId="Mention">
    <w:name w:val="Mention"/>
    <w:basedOn w:val="DefaultParagraphFont"/>
    <w:uiPriority w:val="99"/>
    <w:unhideWhenUsed/>
    <w:rsid w:val="00186A1B"/>
    <w:rPr>
      <w:color w:val="2B579A"/>
      <w:shd w:val="clear" w:color="auto" w:fill="E1DFDD"/>
    </w:rPr>
  </w:style>
  <w:style w:type="character" w:styleId="UnresolvedMention">
    <w:name w:val="Unresolved Mention"/>
    <w:basedOn w:val="DefaultParagraphFont"/>
    <w:uiPriority w:val="99"/>
    <w:unhideWhenUsed/>
    <w:rsid w:val="003E6B95"/>
    <w:rPr>
      <w:color w:val="605E5C"/>
      <w:shd w:val="clear" w:color="auto" w:fill="E1DFDD"/>
    </w:rPr>
  </w:style>
  <w:style w:type="paragraph" w:styleId="Revision">
    <w:name w:val="Revision"/>
    <w:hidden/>
    <w:uiPriority w:val="99"/>
    <w:semiHidden/>
    <w:rsid w:val="005559FE"/>
    <w:pPr>
      <w:spacing w:after="0" w:line="240" w:lineRule="auto"/>
    </w:pPr>
  </w:style>
  <w:style w:type="paragraph" w:customStyle="1" w:styleId="pf0">
    <w:name w:val="pf0"/>
    <w:basedOn w:val="Normal"/>
    <w:rsid w:val="00E972B7"/>
    <w:pPr>
      <w:spacing w:before="100" w:beforeAutospacing="1" w:after="100" w:afterAutospacing="1"/>
    </w:pPr>
    <w:rPr>
      <w:lang w:eastAsia="en-AU"/>
    </w:rPr>
  </w:style>
  <w:style w:type="character" w:customStyle="1" w:styleId="cf01">
    <w:name w:val="cf01"/>
    <w:basedOn w:val="DefaultParagraphFont"/>
    <w:rsid w:val="00E972B7"/>
    <w:rPr>
      <w:rFonts w:ascii="Segoe UI" w:hAnsi="Segoe UI" w:cs="Segoe UI" w:hint="default"/>
      <w:sz w:val="18"/>
      <w:szCs w:val="18"/>
    </w:rPr>
  </w:style>
  <w:style w:type="paragraph" w:customStyle="1" w:styleId="paragraph">
    <w:name w:val="paragraph"/>
    <w:basedOn w:val="Normal"/>
    <w:rsid w:val="00F4679E"/>
    <w:pPr>
      <w:spacing w:before="100" w:beforeAutospacing="1" w:after="100" w:afterAutospacing="1"/>
    </w:pPr>
    <w:rPr>
      <w:lang w:eastAsia="en-AU"/>
    </w:rPr>
  </w:style>
  <w:style w:type="character" w:customStyle="1" w:styleId="eop">
    <w:name w:val="eop"/>
    <w:basedOn w:val="DefaultParagraphFont"/>
    <w:rsid w:val="00F4679E"/>
  </w:style>
  <w:style w:type="character" w:customStyle="1" w:styleId="normaltextrun">
    <w:name w:val="normaltextrun"/>
    <w:basedOn w:val="DefaultParagraphFont"/>
    <w:rsid w:val="00F4679E"/>
  </w:style>
  <w:style w:type="character" w:customStyle="1" w:styleId="superscript">
    <w:name w:val="superscript"/>
    <w:basedOn w:val="DefaultParagraphFont"/>
    <w:rsid w:val="00F4679E"/>
  </w:style>
  <w:style w:type="character" w:customStyle="1" w:styleId="tabchar">
    <w:name w:val="tabchar"/>
    <w:basedOn w:val="DefaultParagraphFont"/>
    <w:rsid w:val="00DB358E"/>
  </w:style>
  <w:style w:type="character" w:customStyle="1" w:styleId="spellingerrorsuperscript">
    <w:name w:val="spellingerrorsuperscript"/>
    <w:basedOn w:val="DefaultParagraphFont"/>
    <w:rsid w:val="00DB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306321009">
      <w:bodyDiv w:val="1"/>
      <w:marLeft w:val="0"/>
      <w:marRight w:val="0"/>
      <w:marTop w:val="0"/>
      <w:marBottom w:val="0"/>
      <w:divBdr>
        <w:top w:val="none" w:sz="0" w:space="0" w:color="auto"/>
        <w:left w:val="none" w:sz="0" w:space="0" w:color="auto"/>
        <w:bottom w:val="none" w:sz="0" w:space="0" w:color="auto"/>
        <w:right w:val="none" w:sz="0" w:space="0" w:color="auto"/>
      </w:divBdr>
    </w:div>
    <w:div w:id="357509539">
      <w:bodyDiv w:val="1"/>
      <w:marLeft w:val="0"/>
      <w:marRight w:val="0"/>
      <w:marTop w:val="0"/>
      <w:marBottom w:val="0"/>
      <w:divBdr>
        <w:top w:val="none" w:sz="0" w:space="0" w:color="auto"/>
        <w:left w:val="none" w:sz="0" w:space="0" w:color="auto"/>
        <w:bottom w:val="none" w:sz="0" w:space="0" w:color="auto"/>
        <w:right w:val="none" w:sz="0" w:space="0" w:color="auto"/>
      </w:divBdr>
      <w:divsChild>
        <w:div w:id="663162168">
          <w:marLeft w:val="0"/>
          <w:marRight w:val="0"/>
          <w:marTop w:val="0"/>
          <w:marBottom w:val="0"/>
          <w:divBdr>
            <w:top w:val="none" w:sz="0" w:space="0" w:color="auto"/>
            <w:left w:val="none" w:sz="0" w:space="0" w:color="auto"/>
            <w:bottom w:val="none" w:sz="0" w:space="0" w:color="auto"/>
            <w:right w:val="none" w:sz="0" w:space="0" w:color="auto"/>
          </w:divBdr>
        </w:div>
        <w:div w:id="842865186">
          <w:marLeft w:val="0"/>
          <w:marRight w:val="0"/>
          <w:marTop w:val="0"/>
          <w:marBottom w:val="0"/>
          <w:divBdr>
            <w:top w:val="none" w:sz="0" w:space="0" w:color="auto"/>
            <w:left w:val="none" w:sz="0" w:space="0" w:color="auto"/>
            <w:bottom w:val="none" w:sz="0" w:space="0" w:color="auto"/>
            <w:right w:val="none" w:sz="0" w:space="0" w:color="auto"/>
          </w:divBdr>
        </w:div>
      </w:divsChild>
    </w:div>
    <w:div w:id="420413872">
      <w:bodyDiv w:val="1"/>
      <w:marLeft w:val="0"/>
      <w:marRight w:val="0"/>
      <w:marTop w:val="0"/>
      <w:marBottom w:val="0"/>
      <w:divBdr>
        <w:top w:val="none" w:sz="0" w:space="0" w:color="auto"/>
        <w:left w:val="none" w:sz="0" w:space="0" w:color="auto"/>
        <w:bottom w:val="none" w:sz="0" w:space="0" w:color="auto"/>
        <w:right w:val="none" w:sz="0" w:space="0" w:color="auto"/>
      </w:divBdr>
    </w:div>
    <w:div w:id="1019504067">
      <w:bodyDiv w:val="1"/>
      <w:marLeft w:val="0"/>
      <w:marRight w:val="0"/>
      <w:marTop w:val="0"/>
      <w:marBottom w:val="0"/>
      <w:divBdr>
        <w:top w:val="none" w:sz="0" w:space="0" w:color="auto"/>
        <w:left w:val="none" w:sz="0" w:space="0" w:color="auto"/>
        <w:bottom w:val="none" w:sz="0" w:space="0" w:color="auto"/>
        <w:right w:val="none" w:sz="0" w:space="0" w:color="auto"/>
      </w:divBdr>
    </w:div>
    <w:div w:id="1262568726">
      <w:bodyDiv w:val="1"/>
      <w:marLeft w:val="0"/>
      <w:marRight w:val="0"/>
      <w:marTop w:val="0"/>
      <w:marBottom w:val="0"/>
      <w:divBdr>
        <w:top w:val="none" w:sz="0" w:space="0" w:color="auto"/>
        <w:left w:val="none" w:sz="0" w:space="0" w:color="auto"/>
        <w:bottom w:val="none" w:sz="0" w:space="0" w:color="auto"/>
        <w:right w:val="none" w:sz="0" w:space="0" w:color="auto"/>
      </w:divBdr>
      <w:divsChild>
        <w:div w:id="23871305">
          <w:marLeft w:val="0"/>
          <w:marRight w:val="0"/>
          <w:marTop w:val="0"/>
          <w:marBottom w:val="0"/>
          <w:divBdr>
            <w:top w:val="none" w:sz="0" w:space="0" w:color="auto"/>
            <w:left w:val="none" w:sz="0" w:space="0" w:color="auto"/>
            <w:bottom w:val="none" w:sz="0" w:space="0" w:color="auto"/>
            <w:right w:val="none" w:sz="0" w:space="0" w:color="auto"/>
          </w:divBdr>
        </w:div>
        <w:div w:id="593320184">
          <w:marLeft w:val="0"/>
          <w:marRight w:val="0"/>
          <w:marTop w:val="0"/>
          <w:marBottom w:val="0"/>
          <w:divBdr>
            <w:top w:val="none" w:sz="0" w:space="0" w:color="auto"/>
            <w:left w:val="none" w:sz="0" w:space="0" w:color="auto"/>
            <w:bottom w:val="none" w:sz="0" w:space="0" w:color="auto"/>
            <w:right w:val="none" w:sz="0" w:space="0" w:color="auto"/>
          </w:divBdr>
        </w:div>
        <w:div w:id="682560475">
          <w:marLeft w:val="0"/>
          <w:marRight w:val="0"/>
          <w:marTop w:val="0"/>
          <w:marBottom w:val="0"/>
          <w:divBdr>
            <w:top w:val="none" w:sz="0" w:space="0" w:color="auto"/>
            <w:left w:val="none" w:sz="0" w:space="0" w:color="auto"/>
            <w:bottom w:val="none" w:sz="0" w:space="0" w:color="auto"/>
            <w:right w:val="none" w:sz="0" w:space="0" w:color="auto"/>
          </w:divBdr>
        </w:div>
        <w:div w:id="825977861">
          <w:marLeft w:val="0"/>
          <w:marRight w:val="0"/>
          <w:marTop w:val="0"/>
          <w:marBottom w:val="0"/>
          <w:divBdr>
            <w:top w:val="none" w:sz="0" w:space="0" w:color="auto"/>
            <w:left w:val="none" w:sz="0" w:space="0" w:color="auto"/>
            <w:bottom w:val="none" w:sz="0" w:space="0" w:color="auto"/>
            <w:right w:val="none" w:sz="0" w:space="0" w:color="auto"/>
          </w:divBdr>
        </w:div>
        <w:div w:id="937906408">
          <w:marLeft w:val="0"/>
          <w:marRight w:val="0"/>
          <w:marTop w:val="0"/>
          <w:marBottom w:val="0"/>
          <w:divBdr>
            <w:top w:val="none" w:sz="0" w:space="0" w:color="auto"/>
            <w:left w:val="none" w:sz="0" w:space="0" w:color="auto"/>
            <w:bottom w:val="none" w:sz="0" w:space="0" w:color="auto"/>
            <w:right w:val="none" w:sz="0" w:space="0" w:color="auto"/>
          </w:divBdr>
        </w:div>
        <w:div w:id="1676416283">
          <w:marLeft w:val="0"/>
          <w:marRight w:val="0"/>
          <w:marTop w:val="0"/>
          <w:marBottom w:val="0"/>
          <w:divBdr>
            <w:top w:val="none" w:sz="0" w:space="0" w:color="auto"/>
            <w:left w:val="none" w:sz="0" w:space="0" w:color="auto"/>
            <w:bottom w:val="none" w:sz="0" w:space="0" w:color="auto"/>
            <w:right w:val="none" w:sz="0" w:space="0" w:color="auto"/>
          </w:divBdr>
        </w:div>
        <w:div w:id="1902447806">
          <w:marLeft w:val="0"/>
          <w:marRight w:val="0"/>
          <w:marTop w:val="0"/>
          <w:marBottom w:val="0"/>
          <w:divBdr>
            <w:top w:val="none" w:sz="0" w:space="0" w:color="auto"/>
            <w:left w:val="none" w:sz="0" w:space="0" w:color="auto"/>
            <w:bottom w:val="none" w:sz="0" w:space="0" w:color="auto"/>
            <w:right w:val="none" w:sz="0" w:space="0" w:color="auto"/>
          </w:divBdr>
        </w:div>
        <w:div w:id="1915167642">
          <w:marLeft w:val="0"/>
          <w:marRight w:val="0"/>
          <w:marTop w:val="0"/>
          <w:marBottom w:val="0"/>
          <w:divBdr>
            <w:top w:val="none" w:sz="0" w:space="0" w:color="auto"/>
            <w:left w:val="none" w:sz="0" w:space="0" w:color="auto"/>
            <w:bottom w:val="none" w:sz="0" w:space="0" w:color="auto"/>
            <w:right w:val="none" w:sz="0" w:space="0" w:color="auto"/>
          </w:divBdr>
          <w:divsChild>
            <w:div w:id="358819112">
              <w:marLeft w:val="-75"/>
              <w:marRight w:val="0"/>
              <w:marTop w:val="30"/>
              <w:marBottom w:val="30"/>
              <w:divBdr>
                <w:top w:val="none" w:sz="0" w:space="0" w:color="auto"/>
                <w:left w:val="none" w:sz="0" w:space="0" w:color="auto"/>
                <w:bottom w:val="none" w:sz="0" w:space="0" w:color="auto"/>
                <w:right w:val="none" w:sz="0" w:space="0" w:color="auto"/>
              </w:divBdr>
              <w:divsChild>
                <w:div w:id="266668526">
                  <w:marLeft w:val="0"/>
                  <w:marRight w:val="0"/>
                  <w:marTop w:val="0"/>
                  <w:marBottom w:val="0"/>
                  <w:divBdr>
                    <w:top w:val="none" w:sz="0" w:space="0" w:color="auto"/>
                    <w:left w:val="none" w:sz="0" w:space="0" w:color="auto"/>
                    <w:bottom w:val="none" w:sz="0" w:space="0" w:color="auto"/>
                    <w:right w:val="none" w:sz="0" w:space="0" w:color="auto"/>
                  </w:divBdr>
                  <w:divsChild>
                    <w:div w:id="1345281204">
                      <w:marLeft w:val="0"/>
                      <w:marRight w:val="0"/>
                      <w:marTop w:val="0"/>
                      <w:marBottom w:val="0"/>
                      <w:divBdr>
                        <w:top w:val="none" w:sz="0" w:space="0" w:color="auto"/>
                        <w:left w:val="none" w:sz="0" w:space="0" w:color="auto"/>
                        <w:bottom w:val="none" w:sz="0" w:space="0" w:color="auto"/>
                        <w:right w:val="none" w:sz="0" w:space="0" w:color="auto"/>
                      </w:divBdr>
                    </w:div>
                  </w:divsChild>
                </w:div>
                <w:div w:id="267660784">
                  <w:marLeft w:val="0"/>
                  <w:marRight w:val="0"/>
                  <w:marTop w:val="0"/>
                  <w:marBottom w:val="0"/>
                  <w:divBdr>
                    <w:top w:val="none" w:sz="0" w:space="0" w:color="auto"/>
                    <w:left w:val="none" w:sz="0" w:space="0" w:color="auto"/>
                    <w:bottom w:val="none" w:sz="0" w:space="0" w:color="auto"/>
                    <w:right w:val="none" w:sz="0" w:space="0" w:color="auto"/>
                  </w:divBdr>
                  <w:divsChild>
                    <w:div w:id="1616866832">
                      <w:marLeft w:val="0"/>
                      <w:marRight w:val="0"/>
                      <w:marTop w:val="0"/>
                      <w:marBottom w:val="0"/>
                      <w:divBdr>
                        <w:top w:val="none" w:sz="0" w:space="0" w:color="auto"/>
                        <w:left w:val="none" w:sz="0" w:space="0" w:color="auto"/>
                        <w:bottom w:val="none" w:sz="0" w:space="0" w:color="auto"/>
                        <w:right w:val="none" w:sz="0" w:space="0" w:color="auto"/>
                      </w:divBdr>
                    </w:div>
                  </w:divsChild>
                </w:div>
                <w:div w:id="278411710">
                  <w:marLeft w:val="0"/>
                  <w:marRight w:val="0"/>
                  <w:marTop w:val="0"/>
                  <w:marBottom w:val="0"/>
                  <w:divBdr>
                    <w:top w:val="none" w:sz="0" w:space="0" w:color="auto"/>
                    <w:left w:val="none" w:sz="0" w:space="0" w:color="auto"/>
                    <w:bottom w:val="none" w:sz="0" w:space="0" w:color="auto"/>
                    <w:right w:val="none" w:sz="0" w:space="0" w:color="auto"/>
                  </w:divBdr>
                  <w:divsChild>
                    <w:div w:id="162404274">
                      <w:marLeft w:val="0"/>
                      <w:marRight w:val="0"/>
                      <w:marTop w:val="0"/>
                      <w:marBottom w:val="0"/>
                      <w:divBdr>
                        <w:top w:val="none" w:sz="0" w:space="0" w:color="auto"/>
                        <w:left w:val="none" w:sz="0" w:space="0" w:color="auto"/>
                        <w:bottom w:val="none" w:sz="0" w:space="0" w:color="auto"/>
                        <w:right w:val="none" w:sz="0" w:space="0" w:color="auto"/>
                      </w:divBdr>
                    </w:div>
                  </w:divsChild>
                </w:div>
                <w:div w:id="648217053">
                  <w:marLeft w:val="0"/>
                  <w:marRight w:val="0"/>
                  <w:marTop w:val="0"/>
                  <w:marBottom w:val="0"/>
                  <w:divBdr>
                    <w:top w:val="none" w:sz="0" w:space="0" w:color="auto"/>
                    <w:left w:val="none" w:sz="0" w:space="0" w:color="auto"/>
                    <w:bottom w:val="none" w:sz="0" w:space="0" w:color="auto"/>
                    <w:right w:val="none" w:sz="0" w:space="0" w:color="auto"/>
                  </w:divBdr>
                  <w:divsChild>
                    <w:div w:id="1892227675">
                      <w:marLeft w:val="0"/>
                      <w:marRight w:val="0"/>
                      <w:marTop w:val="0"/>
                      <w:marBottom w:val="0"/>
                      <w:divBdr>
                        <w:top w:val="none" w:sz="0" w:space="0" w:color="auto"/>
                        <w:left w:val="none" w:sz="0" w:space="0" w:color="auto"/>
                        <w:bottom w:val="none" w:sz="0" w:space="0" w:color="auto"/>
                        <w:right w:val="none" w:sz="0" w:space="0" w:color="auto"/>
                      </w:divBdr>
                    </w:div>
                  </w:divsChild>
                </w:div>
                <w:div w:id="794174613">
                  <w:marLeft w:val="0"/>
                  <w:marRight w:val="0"/>
                  <w:marTop w:val="0"/>
                  <w:marBottom w:val="0"/>
                  <w:divBdr>
                    <w:top w:val="none" w:sz="0" w:space="0" w:color="auto"/>
                    <w:left w:val="none" w:sz="0" w:space="0" w:color="auto"/>
                    <w:bottom w:val="none" w:sz="0" w:space="0" w:color="auto"/>
                    <w:right w:val="none" w:sz="0" w:space="0" w:color="auto"/>
                  </w:divBdr>
                  <w:divsChild>
                    <w:div w:id="1760786291">
                      <w:marLeft w:val="0"/>
                      <w:marRight w:val="0"/>
                      <w:marTop w:val="0"/>
                      <w:marBottom w:val="0"/>
                      <w:divBdr>
                        <w:top w:val="none" w:sz="0" w:space="0" w:color="auto"/>
                        <w:left w:val="none" w:sz="0" w:space="0" w:color="auto"/>
                        <w:bottom w:val="none" w:sz="0" w:space="0" w:color="auto"/>
                        <w:right w:val="none" w:sz="0" w:space="0" w:color="auto"/>
                      </w:divBdr>
                    </w:div>
                  </w:divsChild>
                </w:div>
                <w:div w:id="799036181">
                  <w:marLeft w:val="0"/>
                  <w:marRight w:val="0"/>
                  <w:marTop w:val="0"/>
                  <w:marBottom w:val="0"/>
                  <w:divBdr>
                    <w:top w:val="none" w:sz="0" w:space="0" w:color="auto"/>
                    <w:left w:val="none" w:sz="0" w:space="0" w:color="auto"/>
                    <w:bottom w:val="none" w:sz="0" w:space="0" w:color="auto"/>
                    <w:right w:val="none" w:sz="0" w:space="0" w:color="auto"/>
                  </w:divBdr>
                  <w:divsChild>
                    <w:div w:id="1103768453">
                      <w:marLeft w:val="0"/>
                      <w:marRight w:val="0"/>
                      <w:marTop w:val="0"/>
                      <w:marBottom w:val="0"/>
                      <w:divBdr>
                        <w:top w:val="none" w:sz="0" w:space="0" w:color="auto"/>
                        <w:left w:val="none" w:sz="0" w:space="0" w:color="auto"/>
                        <w:bottom w:val="none" w:sz="0" w:space="0" w:color="auto"/>
                        <w:right w:val="none" w:sz="0" w:space="0" w:color="auto"/>
                      </w:divBdr>
                    </w:div>
                  </w:divsChild>
                </w:div>
                <w:div w:id="959724946">
                  <w:marLeft w:val="0"/>
                  <w:marRight w:val="0"/>
                  <w:marTop w:val="0"/>
                  <w:marBottom w:val="0"/>
                  <w:divBdr>
                    <w:top w:val="none" w:sz="0" w:space="0" w:color="auto"/>
                    <w:left w:val="none" w:sz="0" w:space="0" w:color="auto"/>
                    <w:bottom w:val="none" w:sz="0" w:space="0" w:color="auto"/>
                    <w:right w:val="none" w:sz="0" w:space="0" w:color="auto"/>
                  </w:divBdr>
                  <w:divsChild>
                    <w:div w:id="1690134437">
                      <w:marLeft w:val="0"/>
                      <w:marRight w:val="0"/>
                      <w:marTop w:val="0"/>
                      <w:marBottom w:val="0"/>
                      <w:divBdr>
                        <w:top w:val="none" w:sz="0" w:space="0" w:color="auto"/>
                        <w:left w:val="none" w:sz="0" w:space="0" w:color="auto"/>
                        <w:bottom w:val="none" w:sz="0" w:space="0" w:color="auto"/>
                        <w:right w:val="none" w:sz="0" w:space="0" w:color="auto"/>
                      </w:divBdr>
                    </w:div>
                  </w:divsChild>
                </w:div>
                <w:div w:id="1109735803">
                  <w:marLeft w:val="0"/>
                  <w:marRight w:val="0"/>
                  <w:marTop w:val="0"/>
                  <w:marBottom w:val="0"/>
                  <w:divBdr>
                    <w:top w:val="none" w:sz="0" w:space="0" w:color="auto"/>
                    <w:left w:val="none" w:sz="0" w:space="0" w:color="auto"/>
                    <w:bottom w:val="none" w:sz="0" w:space="0" w:color="auto"/>
                    <w:right w:val="none" w:sz="0" w:space="0" w:color="auto"/>
                  </w:divBdr>
                  <w:divsChild>
                    <w:div w:id="1495562504">
                      <w:marLeft w:val="0"/>
                      <w:marRight w:val="0"/>
                      <w:marTop w:val="0"/>
                      <w:marBottom w:val="0"/>
                      <w:divBdr>
                        <w:top w:val="none" w:sz="0" w:space="0" w:color="auto"/>
                        <w:left w:val="none" w:sz="0" w:space="0" w:color="auto"/>
                        <w:bottom w:val="none" w:sz="0" w:space="0" w:color="auto"/>
                        <w:right w:val="none" w:sz="0" w:space="0" w:color="auto"/>
                      </w:divBdr>
                    </w:div>
                  </w:divsChild>
                </w:div>
                <w:div w:id="1452746246">
                  <w:marLeft w:val="0"/>
                  <w:marRight w:val="0"/>
                  <w:marTop w:val="0"/>
                  <w:marBottom w:val="0"/>
                  <w:divBdr>
                    <w:top w:val="none" w:sz="0" w:space="0" w:color="auto"/>
                    <w:left w:val="none" w:sz="0" w:space="0" w:color="auto"/>
                    <w:bottom w:val="none" w:sz="0" w:space="0" w:color="auto"/>
                    <w:right w:val="none" w:sz="0" w:space="0" w:color="auto"/>
                  </w:divBdr>
                  <w:divsChild>
                    <w:div w:id="1760440559">
                      <w:marLeft w:val="0"/>
                      <w:marRight w:val="0"/>
                      <w:marTop w:val="0"/>
                      <w:marBottom w:val="0"/>
                      <w:divBdr>
                        <w:top w:val="none" w:sz="0" w:space="0" w:color="auto"/>
                        <w:left w:val="none" w:sz="0" w:space="0" w:color="auto"/>
                        <w:bottom w:val="none" w:sz="0" w:space="0" w:color="auto"/>
                        <w:right w:val="none" w:sz="0" w:space="0" w:color="auto"/>
                      </w:divBdr>
                    </w:div>
                    <w:div w:id="2000889221">
                      <w:marLeft w:val="0"/>
                      <w:marRight w:val="0"/>
                      <w:marTop w:val="0"/>
                      <w:marBottom w:val="0"/>
                      <w:divBdr>
                        <w:top w:val="none" w:sz="0" w:space="0" w:color="auto"/>
                        <w:left w:val="none" w:sz="0" w:space="0" w:color="auto"/>
                        <w:bottom w:val="none" w:sz="0" w:space="0" w:color="auto"/>
                        <w:right w:val="none" w:sz="0" w:space="0" w:color="auto"/>
                      </w:divBdr>
                    </w:div>
                  </w:divsChild>
                </w:div>
                <w:div w:id="1495029072">
                  <w:marLeft w:val="0"/>
                  <w:marRight w:val="0"/>
                  <w:marTop w:val="0"/>
                  <w:marBottom w:val="0"/>
                  <w:divBdr>
                    <w:top w:val="none" w:sz="0" w:space="0" w:color="auto"/>
                    <w:left w:val="none" w:sz="0" w:space="0" w:color="auto"/>
                    <w:bottom w:val="none" w:sz="0" w:space="0" w:color="auto"/>
                    <w:right w:val="none" w:sz="0" w:space="0" w:color="auto"/>
                  </w:divBdr>
                  <w:divsChild>
                    <w:div w:id="676805565">
                      <w:marLeft w:val="0"/>
                      <w:marRight w:val="0"/>
                      <w:marTop w:val="0"/>
                      <w:marBottom w:val="0"/>
                      <w:divBdr>
                        <w:top w:val="none" w:sz="0" w:space="0" w:color="auto"/>
                        <w:left w:val="none" w:sz="0" w:space="0" w:color="auto"/>
                        <w:bottom w:val="none" w:sz="0" w:space="0" w:color="auto"/>
                        <w:right w:val="none" w:sz="0" w:space="0" w:color="auto"/>
                      </w:divBdr>
                    </w:div>
                  </w:divsChild>
                </w:div>
                <w:div w:id="1684162554">
                  <w:marLeft w:val="0"/>
                  <w:marRight w:val="0"/>
                  <w:marTop w:val="0"/>
                  <w:marBottom w:val="0"/>
                  <w:divBdr>
                    <w:top w:val="none" w:sz="0" w:space="0" w:color="auto"/>
                    <w:left w:val="none" w:sz="0" w:space="0" w:color="auto"/>
                    <w:bottom w:val="none" w:sz="0" w:space="0" w:color="auto"/>
                    <w:right w:val="none" w:sz="0" w:space="0" w:color="auto"/>
                  </w:divBdr>
                  <w:divsChild>
                    <w:div w:id="1210727968">
                      <w:marLeft w:val="0"/>
                      <w:marRight w:val="0"/>
                      <w:marTop w:val="0"/>
                      <w:marBottom w:val="0"/>
                      <w:divBdr>
                        <w:top w:val="none" w:sz="0" w:space="0" w:color="auto"/>
                        <w:left w:val="none" w:sz="0" w:space="0" w:color="auto"/>
                        <w:bottom w:val="none" w:sz="0" w:space="0" w:color="auto"/>
                        <w:right w:val="none" w:sz="0" w:space="0" w:color="auto"/>
                      </w:divBdr>
                    </w:div>
                  </w:divsChild>
                </w:div>
                <w:div w:id="1732994578">
                  <w:marLeft w:val="0"/>
                  <w:marRight w:val="0"/>
                  <w:marTop w:val="0"/>
                  <w:marBottom w:val="0"/>
                  <w:divBdr>
                    <w:top w:val="none" w:sz="0" w:space="0" w:color="auto"/>
                    <w:left w:val="none" w:sz="0" w:space="0" w:color="auto"/>
                    <w:bottom w:val="none" w:sz="0" w:space="0" w:color="auto"/>
                    <w:right w:val="none" w:sz="0" w:space="0" w:color="auto"/>
                  </w:divBdr>
                  <w:divsChild>
                    <w:div w:id="1602445198">
                      <w:marLeft w:val="0"/>
                      <w:marRight w:val="0"/>
                      <w:marTop w:val="0"/>
                      <w:marBottom w:val="0"/>
                      <w:divBdr>
                        <w:top w:val="none" w:sz="0" w:space="0" w:color="auto"/>
                        <w:left w:val="none" w:sz="0" w:space="0" w:color="auto"/>
                        <w:bottom w:val="none" w:sz="0" w:space="0" w:color="auto"/>
                        <w:right w:val="none" w:sz="0" w:space="0" w:color="auto"/>
                      </w:divBdr>
                    </w:div>
                    <w:div w:id="1767531880">
                      <w:marLeft w:val="0"/>
                      <w:marRight w:val="0"/>
                      <w:marTop w:val="0"/>
                      <w:marBottom w:val="0"/>
                      <w:divBdr>
                        <w:top w:val="none" w:sz="0" w:space="0" w:color="auto"/>
                        <w:left w:val="none" w:sz="0" w:space="0" w:color="auto"/>
                        <w:bottom w:val="none" w:sz="0" w:space="0" w:color="auto"/>
                        <w:right w:val="none" w:sz="0" w:space="0" w:color="auto"/>
                      </w:divBdr>
                    </w:div>
                  </w:divsChild>
                </w:div>
                <w:div w:id="1733691752">
                  <w:marLeft w:val="0"/>
                  <w:marRight w:val="0"/>
                  <w:marTop w:val="0"/>
                  <w:marBottom w:val="0"/>
                  <w:divBdr>
                    <w:top w:val="none" w:sz="0" w:space="0" w:color="auto"/>
                    <w:left w:val="none" w:sz="0" w:space="0" w:color="auto"/>
                    <w:bottom w:val="none" w:sz="0" w:space="0" w:color="auto"/>
                    <w:right w:val="none" w:sz="0" w:space="0" w:color="auto"/>
                  </w:divBdr>
                  <w:divsChild>
                    <w:div w:id="1343623001">
                      <w:marLeft w:val="0"/>
                      <w:marRight w:val="0"/>
                      <w:marTop w:val="0"/>
                      <w:marBottom w:val="0"/>
                      <w:divBdr>
                        <w:top w:val="none" w:sz="0" w:space="0" w:color="auto"/>
                        <w:left w:val="none" w:sz="0" w:space="0" w:color="auto"/>
                        <w:bottom w:val="none" w:sz="0" w:space="0" w:color="auto"/>
                        <w:right w:val="none" w:sz="0" w:space="0" w:color="auto"/>
                      </w:divBdr>
                    </w:div>
                  </w:divsChild>
                </w:div>
                <w:div w:id="1910532737">
                  <w:marLeft w:val="0"/>
                  <w:marRight w:val="0"/>
                  <w:marTop w:val="0"/>
                  <w:marBottom w:val="0"/>
                  <w:divBdr>
                    <w:top w:val="none" w:sz="0" w:space="0" w:color="auto"/>
                    <w:left w:val="none" w:sz="0" w:space="0" w:color="auto"/>
                    <w:bottom w:val="none" w:sz="0" w:space="0" w:color="auto"/>
                    <w:right w:val="none" w:sz="0" w:space="0" w:color="auto"/>
                  </w:divBdr>
                  <w:divsChild>
                    <w:div w:id="1467433631">
                      <w:marLeft w:val="0"/>
                      <w:marRight w:val="0"/>
                      <w:marTop w:val="0"/>
                      <w:marBottom w:val="0"/>
                      <w:divBdr>
                        <w:top w:val="none" w:sz="0" w:space="0" w:color="auto"/>
                        <w:left w:val="none" w:sz="0" w:space="0" w:color="auto"/>
                        <w:bottom w:val="none" w:sz="0" w:space="0" w:color="auto"/>
                        <w:right w:val="none" w:sz="0" w:space="0" w:color="auto"/>
                      </w:divBdr>
                    </w:div>
                  </w:divsChild>
                </w:div>
                <w:div w:id="1960524610">
                  <w:marLeft w:val="0"/>
                  <w:marRight w:val="0"/>
                  <w:marTop w:val="0"/>
                  <w:marBottom w:val="0"/>
                  <w:divBdr>
                    <w:top w:val="none" w:sz="0" w:space="0" w:color="auto"/>
                    <w:left w:val="none" w:sz="0" w:space="0" w:color="auto"/>
                    <w:bottom w:val="none" w:sz="0" w:space="0" w:color="auto"/>
                    <w:right w:val="none" w:sz="0" w:space="0" w:color="auto"/>
                  </w:divBdr>
                  <w:divsChild>
                    <w:div w:id="1151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075">
          <w:marLeft w:val="0"/>
          <w:marRight w:val="0"/>
          <w:marTop w:val="0"/>
          <w:marBottom w:val="0"/>
          <w:divBdr>
            <w:top w:val="none" w:sz="0" w:space="0" w:color="auto"/>
            <w:left w:val="none" w:sz="0" w:space="0" w:color="auto"/>
            <w:bottom w:val="none" w:sz="0" w:space="0" w:color="auto"/>
            <w:right w:val="none" w:sz="0" w:space="0" w:color="auto"/>
          </w:divBdr>
        </w:div>
      </w:divsChild>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 w:id="2109034341">
      <w:bodyDiv w:val="1"/>
      <w:marLeft w:val="0"/>
      <w:marRight w:val="0"/>
      <w:marTop w:val="0"/>
      <w:marBottom w:val="0"/>
      <w:divBdr>
        <w:top w:val="none" w:sz="0" w:space="0" w:color="auto"/>
        <w:left w:val="none" w:sz="0" w:space="0" w:color="auto"/>
        <w:bottom w:val="none" w:sz="0" w:space="0" w:color="auto"/>
        <w:right w:val="none" w:sz="0" w:space="0" w:color="auto"/>
      </w:divBdr>
      <w:divsChild>
        <w:div w:id="1475297077">
          <w:marLeft w:val="0"/>
          <w:marRight w:val="0"/>
          <w:marTop w:val="0"/>
          <w:marBottom w:val="0"/>
          <w:divBdr>
            <w:top w:val="none" w:sz="0" w:space="0" w:color="auto"/>
            <w:left w:val="none" w:sz="0" w:space="0" w:color="auto"/>
            <w:bottom w:val="none" w:sz="0" w:space="0" w:color="auto"/>
            <w:right w:val="none" w:sz="0" w:space="0" w:color="auto"/>
          </w:divBdr>
          <w:divsChild>
            <w:div w:id="1135948626">
              <w:marLeft w:val="0"/>
              <w:marRight w:val="0"/>
              <w:marTop w:val="0"/>
              <w:marBottom w:val="0"/>
              <w:divBdr>
                <w:top w:val="none" w:sz="0" w:space="0" w:color="auto"/>
                <w:left w:val="none" w:sz="0" w:space="0" w:color="auto"/>
                <w:bottom w:val="none" w:sz="0" w:space="0" w:color="auto"/>
                <w:right w:val="none" w:sz="0" w:space="0" w:color="auto"/>
              </w:divBdr>
              <w:divsChild>
                <w:div w:id="1744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ejm.org/doi/10.1056/NEJMoa221107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lood.gov.au/national-product-price-list" TargetMode="External"/><Relationship Id="rId20" Type="http://schemas.openxmlformats.org/officeDocument/2006/relationships/hyperlink" Target="https://pubmed.ncbi.nlm.nih.gov/352948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pubmed.ncbi.nlm.nih.gov/343782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onlinelibrary.wiley.com/doi/full/10.1111/hae.14818"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hcdo.org.au/documents/item/475" TargetMode="External"/><Relationship Id="rId1" Type="http://schemas.openxmlformats.org/officeDocument/2006/relationships/hyperlink" Target="https://www.ahcdo.org.au/documents/item/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Application_x0020_type xmlns="54fb6eec-6680-4f37-8c19-bc565727b83c" xsi:nil="true"/>
    <lcf76f155ced4ddcb4097134ff3c332f xmlns="54fb6eec-6680-4f37-8c19-bc565727b8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D7D79-FDAB-4452-A32D-7AC35A2D871F}">
  <ds:schemaRefs>
    <ds:schemaRef ds:uri="http://schemas.microsoft.com/sharepoint/v3/contenttype/forms"/>
  </ds:schemaRefs>
</ds:datastoreItem>
</file>

<file path=customXml/itemProps2.xml><?xml version="1.0" encoding="utf-8"?>
<ds:datastoreItem xmlns:ds="http://schemas.openxmlformats.org/officeDocument/2006/customXml" ds:itemID="{05FE32DA-4CE4-4CC2-BAED-82AED1FE8C1D}">
  <ds:schemaRefs>
    <ds:schemaRef ds:uri="http://schemas.openxmlformats.org/officeDocument/2006/bibliography"/>
  </ds:schemaRefs>
</ds:datastoreItem>
</file>

<file path=customXml/itemProps3.xml><?xml version="1.0" encoding="utf-8"?>
<ds:datastoreItem xmlns:ds="http://schemas.openxmlformats.org/officeDocument/2006/customXml" ds:itemID="{ABCB965C-DCAD-472A-BBD9-D798415F540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4fb6eec-6680-4f37-8c19-bc565727b83c"/>
    <ds:schemaRef ds:uri="http://schemas.microsoft.com/office/infopath/2007/PartnerControls"/>
    <ds:schemaRef ds:uri="5e6c165d-1334-4e3d-ac4c-cda196070297"/>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69D0AD5-B0DD-43FD-81F6-83AE85189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21</Pages>
  <Words>7767</Words>
  <Characters>44272</Characters>
  <Application>Microsoft Office Word</Application>
  <DocSecurity>0</DocSecurity>
  <PresentationFormat/>
  <Lines>368</Lines>
  <Paragraphs>103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51936</CharactersWithSpaces>
  <SharedDoc>false</SharedDoc>
  <HyperlinkBase/>
  <HLinks>
    <vt:vector size="108" baseType="variant">
      <vt:variant>
        <vt:i4>3014755</vt:i4>
      </vt:variant>
      <vt:variant>
        <vt:i4>135</vt:i4>
      </vt:variant>
      <vt:variant>
        <vt:i4>0</vt:i4>
      </vt:variant>
      <vt:variant>
        <vt:i4>5</vt:i4>
      </vt:variant>
      <vt:variant>
        <vt:lpwstr>https://www.ahcdo.org.au/documents/item/595</vt:lpwstr>
      </vt:variant>
      <vt:variant>
        <vt:lpwstr/>
      </vt:variant>
      <vt:variant>
        <vt:i4>3211313</vt:i4>
      </vt:variant>
      <vt:variant>
        <vt:i4>120</vt:i4>
      </vt:variant>
      <vt:variant>
        <vt:i4>0</vt:i4>
      </vt:variant>
      <vt:variant>
        <vt:i4>5</vt:i4>
      </vt:variant>
      <vt:variant>
        <vt:lpwstr>https://www.nejm.org/doi/10.1056/NEJMoa2211075</vt:lpwstr>
      </vt:variant>
      <vt:variant>
        <vt:lpwstr/>
      </vt:variant>
      <vt:variant>
        <vt:i4>983043</vt:i4>
      </vt:variant>
      <vt:variant>
        <vt:i4>117</vt:i4>
      </vt:variant>
      <vt:variant>
        <vt:i4>0</vt:i4>
      </vt:variant>
      <vt:variant>
        <vt:i4>5</vt:i4>
      </vt:variant>
      <vt:variant>
        <vt:lpwstr>https://pubmed.ncbi.nlm.nih.gov/35294811/</vt:lpwstr>
      </vt:variant>
      <vt:variant>
        <vt:lpwstr/>
      </vt:variant>
      <vt:variant>
        <vt:i4>3145839</vt:i4>
      </vt:variant>
      <vt:variant>
        <vt:i4>75</vt:i4>
      </vt:variant>
      <vt:variant>
        <vt:i4>0</vt:i4>
      </vt:variant>
      <vt:variant>
        <vt:i4>5</vt:i4>
      </vt:variant>
      <vt:variant>
        <vt:lpwstr>http://www.blood.gov.au/data-analysis-reporting</vt:lpwstr>
      </vt:variant>
      <vt:variant>
        <vt:lpwstr/>
      </vt:variant>
      <vt:variant>
        <vt:i4>1114113</vt:i4>
      </vt:variant>
      <vt:variant>
        <vt:i4>69</vt:i4>
      </vt:variant>
      <vt:variant>
        <vt:i4>0</vt:i4>
      </vt:variant>
      <vt:variant>
        <vt:i4>5</vt:i4>
      </vt:variant>
      <vt:variant>
        <vt:lpwstr>https://www.blood.gov.au/national-product-price-list</vt:lpwstr>
      </vt:variant>
      <vt:variant>
        <vt:lpwstr/>
      </vt:variant>
      <vt:variant>
        <vt:i4>2097250</vt:i4>
      </vt:variant>
      <vt:variant>
        <vt:i4>9</vt:i4>
      </vt:variant>
      <vt:variant>
        <vt:i4>0</vt:i4>
      </vt:variant>
      <vt:variant>
        <vt:i4>5</vt:i4>
      </vt:variant>
      <vt:variant>
        <vt:lpwstr>https://www.ahcdo.org.au/documents/item/475</vt:lpwstr>
      </vt:variant>
      <vt:variant>
        <vt:lpwstr/>
      </vt:variant>
      <vt:variant>
        <vt:i4>2097250</vt:i4>
      </vt:variant>
      <vt:variant>
        <vt:i4>0</vt:i4>
      </vt:variant>
      <vt:variant>
        <vt:i4>0</vt:i4>
      </vt:variant>
      <vt:variant>
        <vt:i4>5</vt:i4>
      </vt:variant>
      <vt:variant>
        <vt:lpwstr>https://www.ahcdo.org.au/documents/item/475</vt:lpwstr>
      </vt:variant>
      <vt:variant>
        <vt:lpwstr/>
      </vt:variant>
      <vt:variant>
        <vt:i4>8192064</vt:i4>
      </vt:variant>
      <vt:variant>
        <vt:i4>30</vt:i4>
      </vt:variant>
      <vt:variant>
        <vt:i4>0</vt:i4>
      </vt:variant>
      <vt:variant>
        <vt:i4>5</vt:i4>
      </vt:variant>
      <vt:variant>
        <vt:lpwstr>mailto:le897611@bmrn.com</vt:lpwstr>
      </vt:variant>
      <vt:variant>
        <vt:lpwstr/>
      </vt:variant>
      <vt:variant>
        <vt:i4>8192064</vt:i4>
      </vt:variant>
      <vt:variant>
        <vt:i4>27</vt:i4>
      </vt:variant>
      <vt:variant>
        <vt:i4>0</vt:i4>
      </vt:variant>
      <vt:variant>
        <vt:i4>5</vt:i4>
      </vt:variant>
      <vt:variant>
        <vt:lpwstr>mailto:le897611@bmrn.com</vt:lpwstr>
      </vt:variant>
      <vt:variant>
        <vt:lpwstr/>
      </vt:variant>
      <vt:variant>
        <vt:i4>8192064</vt:i4>
      </vt:variant>
      <vt:variant>
        <vt:i4>24</vt:i4>
      </vt:variant>
      <vt:variant>
        <vt:i4>0</vt:i4>
      </vt:variant>
      <vt:variant>
        <vt:i4>5</vt:i4>
      </vt:variant>
      <vt:variant>
        <vt:lpwstr>mailto:le897611@bmrn.com</vt:lpwstr>
      </vt:variant>
      <vt:variant>
        <vt:lpwstr/>
      </vt:variant>
      <vt:variant>
        <vt:i4>8192064</vt:i4>
      </vt:variant>
      <vt:variant>
        <vt:i4>21</vt:i4>
      </vt:variant>
      <vt:variant>
        <vt:i4>0</vt:i4>
      </vt:variant>
      <vt:variant>
        <vt:i4>5</vt:i4>
      </vt:variant>
      <vt:variant>
        <vt:lpwstr>mailto:le897611@bmrn.com</vt:lpwstr>
      </vt:variant>
      <vt:variant>
        <vt:lpwstr/>
      </vt:variant>
      <vt:variant>
        <vt:i4>6029420</vt:i4>
      </vt:variant>
      <vt:variant>
        <vt:i4>18</vt:i4>
      </vt:variant>
      <vt:variant>
        <vt:i4>0</vt:i4>
      </vt:variant>
      <vt:variant>
        <vt:i4>5</vt:i4>
      </vt:variant>
      <vt:variant>
        <vt:lpwstr>mailto:KEvans@bmrn.com</vt:lpwstr>
      </vt:variant>
      <vt:variant>
        <vt:lpwstr/>
      </vt:variant>
      <vt:variant>
        <vt:i4>6815751</vt:i4>
      </vt:variant>
      <vt:variant>
        <vt:i4>15</vt:i4>
      </vt:variant>
      <vt:variant>
        <vt:i4>0</vt:i4>
      </vt:variant>
      <vt:variant>
        <vt:i4>5</vt:i4>
      </vt:variant>
      <vt:variant>
        <vt:lpwstr>mailto:Sharon.Wong@bmrn.com</vt:lpwstr>
      </vt:variant>
      <vt:variant>
        <vt:lpwstr/>
      </vt:variant>
      <vt:variant>
        <vt:i4>1114227</vt:i4>
      </vt:variant>
      <vt:variant>
        <vt:i4>12</vt:i4>
      </vt:variant>
      <vt:variant>
        <vt:i4>0</vt:i4>
      </vt:variant>
      <vt:variant>
        <vt:i4>5</vt:i4>
      </vt:variant>
      <vt:variant>
        <vt:lpwstr>mailto:stuart.fillman@bmrn.com</vt:lpwstr>
      </vt:variant>
      <vt:variant>
        <vt:lpwstr/>
      </vt:variant>
      <vt:variant>
        <vt:i4>8192064</vt:i4>
      </vt:variant>
      <vt:variant>
        <vt:i4>9</vt:i4>
      </vt:variant>
      <vt:variant>
        <vt:i4>0</vt:i4>
      </vt:variant>
      <vt:variant>
        <vt:i4>5</vt:i4>
      </vt:variant>
      <vt:variant>
        <vt:lpwstr>mailto:le897611@bmrn.com</vt:lpwstr>
      </vt:variant>
      <vt:variant>
        <vt:lpwstr/>
      </vt:variant>
      <vt:variant>
        <vt:i4>7274591</vt:i4>
      </vt:variant>
      <vt:variant>
        <vt:i4>6</vt:i4>
      </vt:variant>
      <vt:variant>
        <vt:i4>0</vt:i4>
      </vt:variant>
      <vt:variant>
        <vt:i4>5</vt:i4>
      </vt:variant>
      <vt:variant>
        <vt:lpwstr>mailto:st898930@bmrn.com</vt:lpwstr>
      </vt:variant>
      <vt:variant>
        <vt:lpwstr/>
      </vt:variant>
      <vt:variant>
        <vt:i4>6815751</vt:i4>
      </vt:variant>
      <vt:variant>
        <vt:i4>3</vt:i4>
      </vt:variant>
      <vt:variant>
        <vt:i4>0</vt:i4>
      </vt:variant>
      <vt:variant>
        <vt:i4>5</vt:i4>
      </vt:variant>
      <vt:variant>
        <vt:lpwstr>mailto:Sharon.Wong@bmrn.com</vt:lpwstr>
      </vt:variant>
      <vt:variant>
        <vt:lpwstr/>
      </vt:variant>
      <vt:variant>
        <vt:i4>1114227</vt:i4>
      </vt:variant>
      <vt:variant>
        <vt:i4>0</vt:i4>
      </vt:variant>
      <vt:variant>
        <vt:i4>0</vt:i4>
      </vt:variant>
      <vt:variant>
        <vt:i4>5</vt:i4>
      </vt:variant>
      <vt:variant>
        <vt:lpwstr>mailto:stuart.fillman@bmrn.com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Mudge</dc:creator>
  <cp:keywords/>
  <dc:description/>
  <cp:lastModifiedBy>Maynard Gold</cp:lastModifiedBy>
  <cp:revision>17</cp:revision>
  <cp:lastPrinted>2024-01-29T00:17:00Z</cp:lastPrinted>
  <dcterms:created xsi:type="dcterms:W3CDTF">2024-01-15T22:40:00Z</dcterms:created>
  <dcterms:modified xsi:type="dcterms:W3CDTF">2024-01-29T01:11:00Z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D23-4150398</vt:lpwstr>
  </property>
  <property fmtid="{D5CDD505-2E9C-101B-9397-08002B2CF9AE}" pid="5" name="TrimRecordURI">
    <vt:lpwstr>247567084</vt:lpwstr>
  </property>
  <property fmtid="{D5CDD505-2E9C-101B-9397-08002B2CF9AE}" pid="6" name="HPPTrimContainerId">
    <vt:lpwstr>E23-362333</vt:lpwstr>
  </property>
  <property fmtid="{D5CDD505-2E9C-101B-9397-08002B2CF9AE}" pid="7" name="HPPArchived">
    <vt:lpwstr>Archived</vt:lpwstr>
  </property>
  <property fmtid="{D5CDD505-2E9C-101B-9397-08002B2CF9AE}" pid="8" name="HPPTrimLink">
    <vt:lpwstr>https://auc-common-prd-app-as-trim.azurewebsites.net/Api/DownloadTrimFile/HPP/D23-4150398</vt:lpwstr>
  </property>
</Properties>
</file>