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554A7" w:rsidRDefault="007A75BF" w:rsidP="001E7563">
      <w:pPr>
        <w:pStyle w:val="Heading1"/>
        <w:numPr>
          <w:ilvl w:val="0"/>
          <w:numId w:val="0"/>
        </w:numPr>
        <w:pBdr>
          <w:bottom w:val="none" w:sz="0" w:space="0" w:color="auto"/>
        </w:pBdr>
        <w:spacing w:before="0" w:after="360"/>
        <w:ind w:left="788"/>
        <w:jc w:val="center"/>
        <w:rPr>
          <w:rFonts w:ascii="Arial" w:eastAsia="Arial" w:hAnsi="Arial" w:cs="Arial"/>
          <w:b/>
          <w:color w:val="000080"/>
          <w:sz w:val="36"/>
          <w:szCs w:val="36"/>
        </w:rPr>
      </w:pPr>
      <w:r>
        <w:rPr>
          <w:rFonts w:ascii="Arial" w:eastAsia="Arial" w:hAnsi="Arial" w:cs="Arial"/>
          <w:b/>
          <w:color w:val="000080"/>
          <w:sz w:val="36"/>
          <w:szCs w:val="36"/>
        </w:rPr>
        <w:t>Medical Services Advisory Committee (MSAC)</w:t>
      </w:r>
      <w:r>
        <w:rPr>
          <w:rFonts w:ascii="Arial" w:eastAsia="Arial" w:hAnsi="Arial" w:cs="Arial"/>
          <w:b/>
          <w:color w:val="000080"/>
          <w:sz w:val="36"/>
          <w:szCs w:val="36"/>
        </w:rPr>
        <w:br/>
        <w:t>Public Summary Document</w:t>
      </w:r>
    </w:p>
    <w:p w14:paraId="00000002" w14:textId="77777777" w:rsidR="00F554A7" w:rsidRDefault="007A75BF">
      <w:pPr>
        <w:pStyle w:val="Subtitle"/>
      </w:pPr>
      <w:r>
        <w:t>Application No. 1737 – Newborn bloodspot screening for sickle cell disease and beta thalassaemia</w:t>
      </w:r>
    </w:p>
    <w:p w14:paraId="00000003" w14:textId="77777777" w:rsidR="00F554A7" w:rsidRDefault="007A75BF">
      <w:pPr>
        <w:tabs>
          <w:tab w:val="left" w:pos="3686"/>
        </w:tabs>
        <w:spacing w:after="240"/>
        <w:rPr>
          <w:rFonts w:ascii="Arial" w:eastAsia="Arial" w:hAnsi="Arial" w:cs="Arial"/>
          <w:b/>
        </w:rPr>
      </w:pPr>
      <w:r>
        <w:rPr>
          <w:rFonts w:ascii="Arial" w:eastAsia="Arial" w:hAnsi="Arial" w:cs="Arial"/>
          <w:b/>
        </w:rPr>
        <w:t>Applicant:</w:t>
      </w:r>
      <w:r>
        <w:rPr>
          <w:rFonts w:ascii="Arial" w:eastAsia="Arial" w:hAnsi="Arial" w:cs="Arial"/>
          <w:b/>
        </w:rPr>
        <w:tab/>
        <w:t>Australian Sickle Cell Advocacy Inc</w:t>
      </w:r>
    </w:p>
    <w:p w14:paraId="00000004" w14:textId="77777777" w:rsidR="00F554A7" w:rsidRDefault="007A75BF">
      <w:pPr>
        <w:spacing w:before="320" w:line="256" w:lineRule="auto"/>
        <w:rPr>
          <w:rFonts w:ascii="Arial" w:eastAsia="Arial" w:hAnsi="Arial" w:cs="Arial"/>
          <w:b/>
        </w:rPr>
      </w:pPr>
      <w:r>
        <w:rPr>
          <w:rFonts w:ascii="Arial" w:eastAsia="Arial" w:hAnsi="Arial" w:cs="Arial"/>
          <w:b/>
        </w:rPr>
        <w:t>Date of MSAC consideration:</w:t>
      </w:r>
      <w:r>
        <w:rPr>
          <w:rFonts w:ascii="Arial" w:eastAsia="Arial" w:hAnsi="Arial" w:cs="Arial"/>
          <w:b/>
        </w:rPr>
        <w:tab/>
        <w:t>27 July 2023</w:t>
      </w:r>
    </w:p>
    <w:p w14:paraId="00000005" w14:textId="460C877D" w:rsidR="00F554A7" w:rsidRDefault="007A75BF">
      <w:pPr>
        <w:spacing w:after="240"/>
        <w:rPr>
          <w:color w:val="0000FF"/>
          <w:u w:val="single"/>
        </w:rPr>
      </w:pPr>
      <w:r>
        <w:t xml:space="preserve">Context for decision: MSAC makes its advice in accordance with its Terms of Reference, </w:t>
      </w:r>
      <w:hyperlink r:id="rId9" w:tooltip="Link to Medical Services Advisory Committee website" w:history="1">
        <w:r w:rsidRPr="001E7563">
          <w:rPr>
            <w:rStyle w:val="Hyperlink"/>
          </w:rPr>
          <w:t>visit the MSAC website</w:t>
        </w:r>
      </w:hyperlink>
    </w:p>
    <w:p w14:paraId="00000006" w14:textId="77777777" w:rsidR="00F554A7" w:rsidRDefault="007A75BF" w:rsidP="001E7563">
      <w:pPr>
        <w:pStyle w:val="Heading2"/>
        <w:numPr>
          <w:ilvl w:val="0"/>
          <w:numId w:val="0"/>
        </w:numPr>
      </w:pPr>
      <w:bookmarkStart w:id="0" w:name="_heading=h.gjdgxs" w:colFirst="0" w:colLast="0"/>
      <w:bookmarkStart w:id="1" w:name="_Toc132821906"/>
      <w:bookmarkEnd w:id="0"/>
      <w:r>
        <w:t>1.</w:t>
      </w:r>
      <w:r>
        <w:tab/>
        <w:t>Purpose of application</w:t>
      </w:r>
      <w:bookmarkEnd w:id="1"/>
    </w:p>
    <w:p w14:paraId="00000007" w14:textId="436ABE1E" w:rsidR="00F554A7" w:rsidRPr="001E7563" w:rsidRDefault="007A75BF" w:rsidP="001E7563">
      <w:pPr>
        <w:pStyle w:val="Instructionaltext"/>
        <w:rPr>
          <w:color w:val="auto"/>
        </w:rPr>
      </w:pPr>
      <w:bookmarkStart w:id="2" w:name="_heading=h.30j0zll" w:colFirst="0" w:colLast="0"/>
      <w:bookmarkStart w:id="3" w:name="_Hlk69734469"/>
      <w:bookmarkEnd w:id="2"/>
      <w:r w:rsidRPr="001E7563">
        <w:rPr>
          <w:color w:val="auto"/>
        </w:rPr>
        <w:t xml:space="preserve">An application requesting the addition of sickle cell disease (SCD) to newborn bloodspot screening (NBS) was received from Australian Sickle Cell Advocacy Inc by the Department of Health and Aged Care. During the initial review stage, the Sickle Cell Disease Expert Working Group recommended that beta(β)-thalassaemia, Haemoglobin E-β-thalassaemia and δβ-thalassaemia also be included in the application. These are all haemoglobinopathies, and this collective term will be used throughout this document (although not all haemoglobinopathies were included). </w:t>
      </w:r>
    </w:p>
    <w:p w14:paraId="00000008" w14:textId="77777777" w:rsidR="00F554A7" w:rsidRDefault="007A75BF" w:rsidP="001E7563">
      <w:pPr>
        <w:pStyle w:val="Heading2"/>
        <w:numPr>
          <w:ilvl w:val="1"/>
          <w:numId w:val="0"/>
        </w:numPr>
      </w:pPr>
      <w:bookmarkStart w:id="4" w:name="_heading=h.1fob9te" w:colFirst="0" w:colLast="0"/>
      <w:bookmarkStart w:id="5" w:name="_Toc132821907"/>
      <w:bookmarkEnd w:id="3"/>
      <w:bookmarkEnd w:id="4"/>
      <w:r>
        <w:t>2.</w:t>
      </w:r>
      <w:r>
        <w:tab/>
        <w:t>MSAC’s advice to the Minister</w:t>
      </w:r>
    </w:p>
    <w:p w14:paraId="7A41098A" w14:textId="3F0ECF64" w:rsidR="002B1CA5" w:rsidRDefault="007A75BF">
      <w:pPr>
        <w:rPr>
          <w:rStyle w:val="eop"/>
          <w:shd w:val="clear" w:color="auto" w:fill="FFFFFF"/>
        </w:rPr>
      </w:pPr>
      <w:r>
        <w:t xml:space="preserve">After considering the strength of the available evidence in relation to comparative safety, clinical effectiveness, cost-effectiveness and total cost, MSAC </w:t>
      </w:r>
      <w:r w:rsidRPr="001E7563">
        <w:rPr>
          <w:rStyle w:val="normaltextrun"/>
          <w:color w:val="000000"/>
          <w:shd w:val="clear" w:color="auto" w:fill="FFFFFF"/>
        </w:rPr>
        <w:t>deferred its advice regarding adding sickle cell disease (SCD) and beta (β)-thalassaemia to</w:t>
      </w:r>
      <w:r w:rsidRPr="001E7563">
        <w:rPr>
          <w:rStyle w:val="normaltextrun"/>
          <w:color w:val="000000" w:themeColor="text1"/>
        </w:rPr>
        <w:t xml:space="preserve"> </w:t>
      </w:r>
      <w:r w:rsidRPr="001E7563">
        <w:rPr>
          <w:rStyle w:val="normaltextrun"/>
          <w:color w:val="000000"/>
          <w:shd w:val="clear" w:color="auto" w:fill="FFFFFF"/>
        </w:rPr>
        <w:t>newborn bloodspot screening (NBS</w:t>
      </w:r>
      <w:r w:rsidR="0A3C26A9" w:rsidRPr="00215328">
        <w:rPr>
          <w:rStyle w:val="normaltextrun"/>
          <w:color w:val="000000"/>
          <w:shd w:val="clear" w:color="auto" w:fill="FFFFFF"/>
        </w:rPr>
        <w:t>)</w:t>
      </w:r>
      <w:r w:rsidR="224C118C" w:rsidRPr="13FEE93D">
        <w:rPr>
          <w:rStyle w:val="normaltextrun"/>
          <w:color w:val="000000" w:themeColor="text1"/>
        </w:rPr>
        <w:t xml:space="preserve"> programs</w:t>
      </w:r>
      <w:r w:rsidR="0A3C26A9" w:rsidRPr="00215328">
        <w:rPr>
          <w:rStyle w:val="normaltextrun"/>
          <w:color w:val="000000"/>
          <w:shd w:val="clear" w:color="auto" w:fill="FFFFFF"/>
        </w:rPr>
        <w:t>.</w:t>
      </w:r>
      <w:r w:rsidRPr="001E7563">
        <w:rPr>
          <w:rStyle w:val="normaltextrun"/>
          <w:color w:val="000000"/>
          <w:shd w:val="clear" w:color="auto" w:fill="FFFFFF"/>
        </w:rPr>
        <w:t xml:space="preserve"> MSAC noted that SCD and β-thalassaemia are rare but severe conditions with high morbidity and mortality, especially SCD. MSAC considered that while adding these haemoglobinopathies to NBS would result in an earlier diagnosis than symptomatic presentation, the strength of existing healthcare in Australia including targeted testing of at-risk babies and pneumococcal vaccination rates, meant the </w:t>
      </w:r>
      <w:r w:rsidR="266D59ED" w:rsidRPr="00215328">
        <w:rPr>
          <w:rStyle w:val="normaltextrun"/>
          <w:color w:val="000000"/>
          <w:shd w:val="clear" w:color="auto" w:fill="FFFFFF"/>
        </w:rPr>
        <w:t xml:space="preserve">incremental </w:t>
      </w:r>
      <w:r w:rsidRPr="00DA2732">
        <w:rPr>
          <w:rStyle w:val="normaltextrun"/>
          <w:color w:val="000000"/>
          <w:shd w:val="clear" w:color="auto" w:fill="FFFFFF"/>
        </w:rPr>
        <w:t xml:space="preserve">health outcome improvement from early diagnosis </w:t>
      </w:r>
      <w:r w:rsidR="76D732C6" w:rsidRPr="00215328">
        <w:rPr>
          <w:rStyle w:val="normaltextrun"/>
          <w:color w:val="000000"/>
          <w:shd w:val="clear" w:color="auto" w:fill="FFFFFF"/>
        </w:rPr>
        <w:t xml:space="preserve">through universal NBS </w:t>
      </w:r>
      <w:r w:rsidRPr="00DA2732">
        <w:rPr>
          <w:rStyle w:val="normaltextrun"/>
          <w:color w:val="000000"/>
          <w:shd w:val="clear" w:color="auto" w:fill="FFFFFF"/>
        </w:rPr>
        <w:t>was uncertain.</w:t>
      </w:r>
      <w:r w:rsidRPr="001E7563">
        <w:rPr>
          <w:rStyle w:val="normaltextrun"/>
          <w:color w:val="000000"/>
          <w:shd w:val="clear" w:color="auto" w:fill="FFFFFF"/>
        </w:rPr>
        <w:t xml:space="preserve"> Additional evidence was required to quantify the change in management that would take place in Australia and resulting incremental health benefit from an earlier diagnosis through universal NBS</w:t>
      </w:r>
      <w:r w:rsidR="645741BB" w:rsidRPr="00215328">
        <w:rPr>
          <w:rStyle w:val="normaltextrun"/>
          <w:color w:val="000000"/>
          <w:shd w:val="clear" w:color="auto" w:fill="FFFFFF"/>
        </w:rPr>
        <w:t xml:space="preserve"> as compared to diagnosis at symptom onset</w:t>
      </w:r>
      <w:r w:rsidR="281B4899" w:rsidRPr="00215328">
        <w:rPr>
          <w:rStyle w:val="normaltextrun"/>
          <w:color w:val="000000"/>
          <w:shd w:val="clear" w:color="auto" w:fill="FFFFFF"/>
        </w:rPr>
        <w:t xml:space="preserve">. </w:t>
      </w:r>
      <w:r w:rsidRPr="001E7563">
        <w:rPr>
          <w:rStyle w:val="normaltextrun"/>
          <w:color w:val="000000"/>
          <w:shd w:val="clear" w:color="auto" w:fill="FFFFFF"/>
        </w:rPr>
        <w:t xml:space="preserve">MSAC considered that estimates of Australian incidence were highly uncertain, and overseas data had low applicability due to incidence differing by ancestry. Combined with uncertain screening costs, the rarity of these conditions, and the uncertain incremental diagnoses achieved through universal screening rather than existing targeted testing, MSAC considered the cost-effectiveness was highly uncertain. MSAC also considered the cost of testing </w:t>
      </w:r>
      <w:r w:rsidR="0097598B">
        <w:rPr>
          <w:rStyle w:val="normaltextrun"/>
          <w:color w:val="000000"/>
          <w:shd w:val="clear" w:color="auto" w:fill="FFFFFF"/>
        </w:rPr>
        <w:t xml:space="preserve">may have </w:t>
      </w:r>
      <w:r w:rsidRPr="001E7563">
        <w:rPr>
          <w:rStyle w:val="normaltextrun"/>
          <w:color w:val="000000"/>
          <w:shd w:val="clear" w:color="auto" w:fill="FFFFFF"/>
        </w:rPr>
        <w:t>been overestimated, and that using less costly methods would improve the cost-effectiveness and the financial impact. </w:t>
      </w:r>
      <w:r w:rsidRPr="001E7563">
        <w:rPr>
          <w:rStyle w:val="eop"/>
          <w:shd w:val="clear" w:color="auto" w:fill="FFFFFF"/>
        </w:rPr>
        <w:t> </w:t>
      </w:r>
      <w:r w:rsidR="002B1CA5">
        <w:rPr>
          <w:rStyle w:val="eop"/>
          <w:shd w:val="clear" w:color="auto" w:fill="FFFFFF"/>
        </w:rPr>
        <w:br w:type="page"/>
      </w:r>
    </w:p>
    <w:tbl>
      <w:tblPr>
        <w:tblStyle w:val="TableGrid"/>
        <w:tblW w:w="0" w:type="auto"/>
        <w:tblLook w:val="04A0" w:firstRow="1" w:lastRow="0" w:firstColumn="1" w:lastColumn="0" w:noHBand="0" w:noVBand="1"/>
      </w:tblPr>
      <w:tblGrid>
        <w:gridCol w:w="9016"/>
      </w:tblGrid>
      <w:tr w:rsidR="00F554A7" w14:paraId="3334FBC8" w14:textId="77777777" w:rsidTr="001E7563">
        <w:trPr>
          <w:tblHeader/>
        </w:trPr>
        <w:tc>
          <w:tcPr>
            <w:tcW w:w="9016" w:type="dxa"/>
          </w:tcPr>
          <w:p w14:paraId="0000000A" w14:textId="77777777" w:rsidR="00F554A7" w:rsidRDefault="007A75BF" w:rsidP="001E7563">
            <w:pPr>
              <w:pStyle w:val="Heading3"/>
              <w:spacing w:before="120"/>
              <w:ind w:left="720" w:hanging="720"/>
            </w:pPr>
            <w:r>
              <w:lastRenderedPageBreak/>
              <w:t>Consumer summary</w:t>
            </w:r>
          </w:p>
        </w:tc>
      </w:tr>
      <w:tr w:rsidR="00F554A7" w14:paraId="3578F06A" w14:textId="77777777" w:rsidTr="001E7563">
        <w:tc>
          <w:tcPr>
            <w:tcW w:w="9016" w:type="dxa"/>
          </w:tcPr>
          <w:p w14:paraId="0000000B" w14:textId="3346F1D3" w:rsidR="00F554A7" w:rsidRPr="001E7563" w:rsidRDefault="007A75BF" w:rsidP="00234BFA">
            <w:r w:rsidRPr="001E7563">
              <w:t>This was an application from Australian Sickle Cell Advocacy Inc requesting to add sickle cell disease and beta- (β-)thalassaemia to newborn bloodspot screening (NBS).</w:t>
            </w:r>
          </w:p>
          <w:p w14:paraId="0000000C" w14:textId="182FF89B" w:rsidR="00F554A7" w:rsidRPr="001E7563" w:rsidRDefault="007A75BF" w:rsidP="00234BFA">
            <w:r w:rsidRPr="001E7563">
              <w:t xml:space="preserve">In Australia, </w:t>
            </w:r>
            <w:r w:rsidR="00BE0D23">
              <w:t>states and territories</w:t>
            </w:r>
            <w:r w:rsidRPr="001E7563">
              <w:t xml:space="preserve"> offer bloodspot screening for all newborn babies. The screening is done by taking a heel prick blood sample from the baby in </w:t>
            </w:r>
            <w:r w:rsidR="5C346E55">
              <w:t xml:space="preserve">the first </w:t>
            </w:r>
            <w:r w:rsidR="004B31AA">
              <w:t xml:space="preserve">48 to </w:t>
            </w:r>
            <w:r w:rsidR="5C346E55">
              <w:t>72 hours of life</w:t>
            </w:r>
            <w:r w:rsidRPr="00876723">
              <w:t xml:space="preserve">, and drying it on a card. The blood sample is then tested for certain rare and serious genetic conditions and metabolic disorders. Detecting these conditions early allows for earlier </w:t>
            </w:r>
            <w:r w:rsidR="004F4B1A">
              <w:t>monitoring and treatment,</w:t>
            </w:r>
            <w:r w:rsidR="406AF79E">
              <w:t xml:space="preserve"> </w:t>
            </w:r>
            <w:r w:rsidRPr="001E7563">
              <w:t xml:space="preserve">and therefore can lead to better health outcomes for the baby. </w:t>
            </w:r>
            <w:r w:rsidR="001C0D95">
              <w:t>If the condition is genetic, diagnosis can</w:t>
            </w:r>
            <w:r w:rsidRPr="00F92A89">
              <w:t xml:space="preserve"> help the parents to make informed reproductive decisions for any future pregnancies</w:t>
            </w:r>
            <w:r w:rsidR="66CA2DD7">
              <w:t>.</w:t>
            </w:r>
          </w:p>
          <w:p w14:paraId="0000000D" w14:textId="56118B3E" w:rsidR="00F554A7" w:rsidRPr="001E7563" w:rsidRDefault="007A75BF" w:rsidP="00234BFA">
            <w:r w:rsidRPr="00F92A89">
              <w:t xml:space="preserve">Sickle cell </w:t>
            </w:r>
            <w:r w:rsidR="00A64C89" w:rsidRPr="00F92A89">
              <w:t>disease</w:t>
            </w:r>
            <w:r w:rsidRPr="00F92A89">
              <w:t xml:space="preserve"> </w:t>
            </w:r>
            <w:r w:rsidRPr="001E7563">
              <w:t xml:space="preserve">and β-thalassaemia are inherited disorders of red blood cells, together called haemoglobinopathies. Red blood cells contain a protein called haemoglobin that carries oxygen throughout the body, and </w:t>
            </w:r>
            <w:r w:rsidR="00A06EC6">
              <w:t>health</w:t>
            </w:r>
            <w:r w:rsidR="00481A6B">
              <w:t>y</w:t>
            </w:r>
            <w:r w:rsidRPr="001E7563">
              <w:t xml:space="preserve"> red blood cells are </w:t>
            </w:r>
            <w:r w:rsidR="008C7547">
              <w:t xml:space="preserve">flexible and </w:t>
            </w:r>
            <w:r w:rsidRPr="001E7563">
              <w:t>shaped like a</w:t>
            </w:r>
            <w:r w:rsidR="00152017">
              <w:t xml:space="preserve"> </w:t>
            </w:r>
            <w:r w:rsidRPr="001E7563">
              <w:t>doughnut with a dent instead of a hole in the middle</w:t>
            </w:r>
            <w:r w:rsidR="71EC156F">
              <w:t>.</w:t>
            </w:r>
            <w:r w:rsidR="00EE5D6C">
              <w:t xml:space="preserve"> </w:t>
            </w:r>
            <w:r w:rsidRPr="00F92A89">
              <w:t xml:space="preserve">Sickle cell </w:t>
            </w:r>
            <w:r w:rsidR="00152017" w:rsidRPr="00F92A89">
              <w:t>disease is</w:t>
            </w:r>
            <w:r w:rsidRPr="001E7563">
              <w:t xml:space="preserve"> a genetic condition where a person has abnormal haemoglobin that causes the red blood cells to become rigid and sickle shaped. This makes it difficult for the red blood cells to move easily through blood vessels, and they can block blood vessels. People with </w:t>
            </w:r>
            <w:r w:rsidRPr="00F92A89">
              <w:t xml:space="preserve">sickle cell </w:t>
            </w:r>
            <w:r w:rsidR="00A64C89" w:rsidRPr="00F92A89">
              <w:t xml:space="preserve">disease </w:t>
            </w:r>
            <w:r w:rsidRPr="001E7563">
              <w:t xml:space="preserve">can experience episodes of </w:t>
            </w:r>
            <w:r w:rsidR="6674A920">
              <w:t xml:space="preserve">severe </w:t>
            </w:r>
            <w:r w:rsidRPr="001E7563">
              <w:t>pain, organ damage and increased infections</w:t>
            </w:r>
            <w:r w:rsidR="00A17E9F">
              <w:t xml:space="preserve">, and </w:t>
            </w:r>
            <w:r w:rsidR="0069505D">
              <w:t>sickle cell disease</w:t>
            </w:r>
            <w:r w:rsidR="00A17E9F">
              <w:t xml:space="preserve"> can be fatal</w:t>
            </w:r>
            <w:r w:rsidR="00D8593C">
              <w:t>.</w:t>
            </w:r>
            <w:r w:rsidRPr="001E7563">
              <w:t xml:space="preserve"> β-thalassaemia is a genetic condition where a person has less haemoglobin or the haemoglobin does not carry oxygen as well</w:t>
            </w:r>
            <w:r w:rsidR="00B648BA">
              <w:t>.</w:t>
            </w:r>
            <w:r w:rsidRPr="001E7563">
              <w:t xml:space="preserve"> People with β-thalassaemia tend to </w:t>
            </w:r>
            <w:r w:rsidR="406AF79E">
              <w:t>h</w:t>
            </w:r>
            <w:r w:rsidR="6AF7B45D">
              <w:t>ave</w:t>
            </w:r>
            <w:r w:rsidRPr="00F92A89">
              <w:t xml:space="preserve"> lifelong anaemia</w:t>
            </w:r>
            <w:r w:rsidR="00A17E9F">
              <w:t xml:space="preserve"> (not enough </w:t>
            </w:r>
            <w:r w:rsidR="00BF5372">
              <w:t>haemoglobin</w:t>
            </w:r>
            <w:r w:rsidR="00A17E9F">
              <w:t>)</w:t>
            </w:r>
            <w:r w:rsidR="00232970">
              <w:t>, so</w:t>
            </w:r>
            <w:r w:rsidR="406AF79E">
              <w:t xml:space="preserve"> </w:t>
            </w:r>
            <w:r w:rsidR="2EC73E87">
              <w:t>often require regular blood transfusions</w:t>
            </w:r>
            <w:r w:rsidR="00C92139">
              <w:t>,</w:t>
            </w:r>
            <w:r w:rsidR="2EC73E87">
              <w:t xml:space="preserve"> </w:t>
            </w:r>
            <w:r w:rsidR="00C92139">
              <w:t>which in turn can</w:t>
            </w:r>
            <w:r w:rsidR="2EC73E87">
              <w:t xml:space="preserve"> lead to </w:t>
            </w:r>
            <w:r w:rsidR="470FBF37">
              <w:t>iron overload</w:t>
            </w:r>
            <w:r w:rsidR="2EC73E87">
              <w:t xml:space="preserve"> </w:t>
            </w:r>
            <w:r w:rsidR="75BE6CB4">
              <w:t>and other health complications</w:t>
            </w:r>
            <w:r w:rsidR="2E933363">
              <w:t>.</w:t>
            </w:r>
            <w:r w:rsidRPr="001E7563">
              <w:t xml:space="preserve"> Testing for </w:t>
            </w:r>
            <w:r w:rsidRPr="00F92A89">
              <w:t>sickle cell disease</w:t>
            </w:r>
            <w:r w:rsidR="00A64C89" w:rsidRPr="001E7563">
              <w:t xml:space="preserve"> </w:t>
            </w:r>
            <w:r w:rsidRPr="001E7563">
              <w:t>and β-thalassaemia both look at haemoglobin, so a test for one can diagnose the other, and both conditions were included in this application.</w:t>
            </w:r>
          </w:p>
          <w:p w14:paraId="0000000E" w14:textId="133E70C3" w:rsidR="00F554A7" w:rsidRPr="00F92A89" w:rsidRDefault="002176A2" w:rsidP="00234BFA">
            <w:r>
              <w:t>T</w:t>
            </w:r>
            <w:r w:rsidR="007A75BF" w:rsidRPr="001E7563">
              <w:t xml:space="preserve">he evidence showed </w:t>
            </w:r>
            <w:r>
              <w:t xml:space="preserve">that </w:t>
            </w:r>
            <w:r w:rsidR="007A75BF" w:rsidRPr="001E7563">
              <w:t xml:space="preserve">adding </w:t>
            </w:r>
            <w:r w:rsidR="007A75BF" w:rsidRPr="00F92A89">
              <w:t>sickle cell disease</w:t>
            </w:r>
            <w:r w:rsidR="007A75BF" w:rsidRPr="001E7563">
              <w:t xml:space="preserve"> and β-thalassaemia</w:t>
            </w:r>
            <w:r w:rsidR="00A64C89" w:rsidRPr="001E7563">
              <w:t xml:space="preserve"> </w:t>
            </w:r>
            <w:r w:rsidR="00A64C89" w:rsidRPr="00F92A89">
              <w:t>to the NBS</w:t>
            </w:r>
            <w:r w:rsidR="00152017" w:rsidRPr="00F92A89">
              <w:t xml:space="preserve"> </w:t>
            </w:r>
            <w:r w:rsidR="007A75BF" w:rsidRPr="001E7563">
              <w:t xml:space="preserve">was safe and would result in an earlier diagnosis than </w:t>
            </w:r>
            <w:r w:rsidR="005E53A6">
              <w:t>no</w:t>
            </w:r>
            <w:r w:rsidR="00A64C89" w:rsidRPr="00F92A89">
              <w:t>t adding them to</w:t>
            </w:r>
            <w:r w:rsidR="007A75BF" w:rsidRPr="001E7563">
              <w:t xml:space="preserve"> NBS. However, </w:t>
            </w:r>
            <w:r w:rsidR="00A64C89" w:rsidRPr="00F92A89">
              <w:t xml:space="preserve">in Australia, </w:t>
            </w:r>
            <w:r w:rsidR="00F46537">
              <w:t>most</w:t>
            </w:r>
            <w:r w:rsidR="00152017">
              <w:t xml:space="preserve"> </w:t>
            </w:r>
            <w:r w:rsidR="007A75BF" w:rsidRPr="00F92A89">
              <w:t xml:space="preserve">babies </w:t>
            </w:r>
            <w:r w:rsidR="000F7860">
              <w:t xml:space="preserve">with a haemoglobinopathy </w:t>
            </w:r>
            <w:r w:rsidR="007A75BF" w:rsidRPr="00F92A89">
              <w:t>are already diagnosed</w:t>
            </w:r>
            <w:r w:rsidR="007A75BF" w:rsidRPr="001E7563">
              <w:t xml:space="preserve"> at a relatively young age</w:t>
            </w:r>
            <w:r w:rsidR="007A75BF" w:rsidRPr="00F92A89">
              <w:t>.</w:t>
            </w:r>
            <w:r w:rsidR="00A64C89" w:rsidRPr="00F92A89">
              <w:t xml:space="preserve"> T</w:t>
            </w:r>
            <w:r w:rsidR="1AECA493">
              <w:t>he</w:t>
            </w:r>
            <w:r w:rsidR="00ED1F27">
              <w:t xml:space="preserve"> evidence presented showed </w:t>
            </w:r>
            <w:r w:rsidR="00CC163E">
              <w:t>not much difference</w:t>
            </w:r>
            <w:r w:rsidR="00AE3698">
              <w:t xml:space="preserve"> in how babies would be treated </w:t>
            </w:r>
            <w:r w:rsidR="00152024">
              <w:t xml:space="preserve">if they were diagnosed earlier </w:t>
            </w:r>
            <w:r w:rsidR="4EA3E847">
              <w:t>through NBS</w:t>
            </w:r>
            <w:r w:rsidR="007943E0">
              <w:t xml:space="preserve"> </w:t>
            </w:r>
            <w:r w:rsidR="00C147A8">
              <w:t xml:space="preserve">compared to </w:t>
            </w:r>
            <w:r w:rsidR="33DAE6AE">
              <w:t>diagnosis once symptoms present</w:t>
            </w:r>
            <w:r w:rsidR="00152017">
              <w:t xml:space="preserve"> </w:t>
            </w:r>
            <w:r w:rsidR="007A75BF" w:rsidRPr="00F92A89">
              <w:t>at the time when they first start to get symptoms.</w:t>
            </w:r>
            <w:r w:rsidR="17B638A9">
              <w:t xml:space="preserve"> </w:t>
            </w:r>
            <w:r w:rsidR="1072872D">
              <w:t xml:space="preserve">Additional evidence </w:t>
            </w:r>
            <w:r w:rsidR="00152024">
              <w:t>would</w:t>
            </w:r>
            <w:r w:rsidR="007A75BF" w:rsidRPr="001E7563">
              <w:t xml:space="preserve"> </w:t>
            </w:r>
            <w:r w:rsidR="00152024">
              <w:t xml:space="preserve">be </w:t>
            </w:r>
            <w:r w:rsidR="680AB2AA">
              <w:t xml:space="preserve">required to determine whether there </w:t>
            </w:r>
            <w:r w:rsidR="007943E0">
              <w:t>would be</w:t>
            </w:r>
            <w:r w:rsidR="680AB2AA">
              <w:t xml:space="preserve"> a</w:t>
            </w:r>
            <w:r w:rsidR="00BC3673">
              <w:t xml:space="preserve"> meaningful</w:t>
            </w:r>
            <w:r w:rsidR="007A75BF" w:rsidRPr="00F92A89">
              <w:t xml:space="preserve"> improvement </w:t>
            </w:r>
            <w:r w:rsidR="604FD07A">
              <w:t>in</w:t>
            </w:r>
            <w:r w:rsidR="007A75BF" w:rsidRPr="001E7563">
              <w:t xml:space="preserve"> health outcomes from </w:t>
            </w:r>
            <w:r w:rsidR="007A75BF" w:rsidRPr="00F92A89">
              <w:t xml:space="preserve">diagnosis through </w:t>
            </w:r>
            <w:r w:rsidR="007A75BF" w:rsidRPr="001E7563">
              <w:t>NBS</w:t>
            </w:r>
            <w:r w:rsidR="00A95022">
              <w:t xml:space="preserve"> </w:t>
            </w:r>
            <w:r w:rsidR="0075730B">
              <w:t xml:space="preserve">for </w:t>
            </w:r>
            <w:r w:rsidR="008F7C9C" w:rsidRPr="001E7563">
              <w:rPr>
                <w:rStyle w:val="normaltextrun"/>
                <w:color w:val="000000"/>
                <w:shd w:val="clear" w:color="auto" w:fill="FFFFFF"/>
              </w:rPr>
              <w:t xml:space="preserve">sickle cell disease </w:t>
            </w:r>
            <w:r w:rsidR="0075730B">
              <w:t xml:space="preserve">and β-thalassaemia </w:t>
            </w:r>
            <w:r w:rsidR="00A95022">
              <w:t>in Australia</w:t>
            </w:r>
            <w:r w:rsidR="24D719EE">
              <w:t>, relative to current practice</w:t>
            </w:r>
            <w:r w:rsidR="17B638A9">
              <w:t>.</w:t>
            </w:r>
            <w:r w:rsidR="00767615">
              <w:t xml:space="preserve"> </w:t>
            </w:r>
            <w:r w:rsidR="007943E0">
              <w:t xml:space="preserve">This was the main reason MSAC deferred its advice on NBS for </w:t>
            </w:r>
            <w:r w:rsidR="008F7C9C" w:rsidRPr="001E7563">
              <w:rPr>
                <w:rStyle w:val="normaltextrun"/>
                <w:color w:val="000000"/>
                <w:shd w:val="clear" w:color="auto" w:fill="FFFFFF"/>
              </w:rPr>
              <w:t xml:space="preserve">sickle cell disease </w:t>
            </w:r>
            <w:r w:rsidR="007943E0">
              <w:t xml:space="preserve">and β-thalassaemia. </w:t>
            </w:r>
            <w:r w:rsidR="007A75BF" w:rsidRPr="001E7563">
              <w:t xml:space="preserve">The evidence </w:t>
            </w:r>
            <w:r w:rsidR="00492E90">
              <w:t>showed</w:t>
            </w:r>
            <w:r w:rsidR="00492E90" w:rsidRPr="001E7563">
              <w:t xml:space="preserve"> </w:t>
            </w:r>
            <w:r w:rsidR="007A75BF" w:rsidRPr="001E7563">
              <w:t xml:space="preserve">small differences in how babies are </w:t>
            </w:r>
            <w:r w:rsidR="7D8CFF66">
              <w:t>managed</w:t>
            </w:r>
            <w:r w:rsidR="007A75BF" w:rsidRPr="001E7563">
              <w:t xml:space="preserve"> (including early antibiotic treatment and additional pneumococcal vaccinations), however these were not major differences</w:t>
            </w:r>
            <w:r w:rsidR="007A75BF" w:rsidRPr="00DA2732">
              <w:t xml:space="preserve">, and the evidence came from countries where </w:t>
            </w:r>
            <w:r w:rsidR="00EE7EF6">
              <w:t>a greater proportion of people have</w:t>
            </w:r>
            <w:r w:rsidR="007A75BF" w:rsidRPr="00DA2732">
              <w:t xml:space="preserve"> </w:t>
            </w:r>
            <w:r w:rsidR="007A75BF" w:rsidRPr="00F92A89">
              <w:t>sickle cell disease</w:t>
            </w:r>
            <w:r w:rsidR="007A75BF" w:rsidRPr="00E13431">
              <w:t xml:space="preserve"> than in Australia </w:t>
            </w:r>
            <w:r w:rsidR="18533D29">
              <w:t>due to ancestry</w:t>
            </w:r>
            <w:r w:rsidR="17B638A9">
              <w:t xml:space="preserve"> </w:t>
            </w:r>
            <w:r w:rsidR="007A75BF" w:rsidRPr="00E13431">
              <w:t>and</w:t>
            </w:r>
            <w:r w:rsidR="353A5782">
              <w:t>/or</w:t>
            </w:r>
            <w:r w:rsidR="000135B1">
              <w:t xml:space="preserve"> </w:t>
            </w:r>
            <w:r w:rsidR="007A75BF" w:rsidRPr="00E13431">
              <w:t>where the standard of healthcare is lower. Since the pneumococcal vaccine is on the National Immunisation Program, most babies in Australia are already vaccinated against pneumococcal disease starting at 2 months of age</w:t>
            </w:r>
            <w:r w:rsidR="159D078C">
              <w:t xml:space="preserve">. Therefore, </w:t>
            </w:r>
            <w:r w:rsidR="007A75BF" w:rsidRPr="00E13431">
              <w:t xml:space="preserve">the benefits of </w:t>
            </w:r>
            <w:r w:rsidR="2A019A4D">
              <w:t xml:space="preserve">a </w:t>
            </w:r>
            <w:r w:rsidR="007A75BF" w:rsidRPr="00E13431">
              <w:t xml:space="preserve">diagnosis </w:t>
            </w:r>
            <w:r w:rsidR="272D62AC">
              <w:t xml:space="preserve">in the first few days of life </w:t>
            </w:r>
            <w:r w:rsidR="00046F7B">
              <w:t xml:space="preserve">rather than when symptoms appear </w:t>
            </w:r>
            <w:r w:rsidR="007A75BF" w:rsidRPr="00F92A89">
              <w:t xml:space="preserve">may not be as great </w:t>
            </w:r>
            <w:r w:rsidR="00406516">
              <w:t>as in</w:t>
            </w:r>
            <w:r w:rsidR="406AF79E">
              <w:t xml:space="preserve"> </w:t>
            </w:r>
            <w:r w:rsidR="007A75BF" w:rsidRPr="00F92A89">
              <w:t xml:space="preserve">other countries. MSAC considered that evidence was missing on what the change in management and resulting health </w:t>
            </w:r>
            <w:r w:rsidR="00A754F5">
              <w:t>improvement</w:t>
            </w:r>
            <w:r w:rsidR="00A754F5" w:rsidRPr="00F92A89">
              <w:t xml:space="preserve"> </w:t>
            </w:r>
            <w:r w:rsidR="007A75BF" w:rsidRPr="00F92A89">
              <w:t xml:space="preserve">would be </w:t>
            </w:r>
            <w:r w:rsidR="00A754F5">
              <w:t xml:space="preserve">if </w:t>
            </w:r>
            <w:r w:rsidR="00A754F5" w:rsidRPr="001E7563">
              <w:rPr>
                <w:rStyle w:val="normaltextrun"/>
                <w:color w:val="000000"/>
                <w:shd w:val="clear" w:color="auto" w:fill="FFFFFF"/>
              </w:rPr>
              <w:t>sickle cell disease</w:t>
            </w:r>
            <w:r w:rsidR="00A754F5" w:rsidRPr="00F92A89">
              <w:t xml:space="preserve"> </w:t>
            </w:r>
            <w:r w:rsidR="00A754F5" w:rsidRPr="001E7563">
              <w:t xml:space="preserve">and β-thalassaemia </w:t>
            </w:r>
            <w:r w:rsidR="00A754F5">
              <w:t xml:space="preserve">were added to </w:t>
            </w:r>
            <w:r w:rsidR="007A75BF" w:rsidRPr="00F92A89">
              <w:t>NBS in Australia.</w:t>
            </w:r>
          </w:p>
          <w:p w14:paraId="0000000F" w14:textId="3EC2A3B0" w:rsidR="00F554A7" w:rsidRPr="001E7563" w:rsidRDefault="007A75BF" w:rsidP="00234BFA">
            <w:r w:rsidRPr="00F92A89">
              <w:t xml:space="preserve">MSAC considered the </w:t>
            </w:r>
            <w:r w:rsidR="00397BAD" w:rsidRPr="00F92A89">
              <w:t>value-f</w:t>
            </w:r>
            <w:r w:rsidR="00EE44EB">
              <w:t>or</w:t>
            </w:r>
            <w:r w:rsidR="00397BAD" w:rsidRPr="00F92A89">
              <w:t xml:space="preserve">-money </w:t>
            </w:r>
            <w:r w:rsidRPr="00F92A89">
              <w:t xml:space="preserve">of adding sickle cell disease and β-thalassaemia to NBS was highly uncertain. </w:t>
            </w:r>
            <w:r w:rsidR="00A754F5">
              <w:t>Th</w:t>
            </w:r>
            <w:r w:rsidR="00DF053C" w:rsidRPr="00F92A89">
              <w:t xml:space="preserve">is was because the assessment </w:t>
            </w:r>
            <w:r w:rsidR="003F6C29" w:rsidRPr="00F92A89">
              <w:t xml:space="preserve">was only able to look at </w:t>
            </w:r>
            <w:r w:rsidRPr="00F92A89">
              <w:t>the cost per early diagnosis</w:t>
            </w:r>
            <w:r w:rsidR="003F6C29" w:rsidRPr="00F92A89">
              <w:t>, because the evidence</w:t>
            </w:r>
            <w:r w:rsidR="00C03C20" w:rsidRPr="00F92A89">
              <w:t xml:space="preserve"> in the literature did not allow </w:t>
            </w:r>
            <w:r w:rsidR="00E95E2F">
              <w:t>the</w:t>
            </w:r>
            <w:r w:rsidR="00EB0865">
              <w:t xml:space="preserve"> health improvement</w:t>
            </w:r>
            <w:r w:rsidR="00C03C20" w:rsidRPr="00F92A89">
              <w:t xml:space="preserve"> </w:t>
            </w:r>
            <w:r w:rsidR="00397BAD" w:rsidRPr="00F92A89">
              <w:t xml:space="preserve">from an earlier diagnosis </w:t>
            </w:r>
            <w:r w:rsidR="00C03C20" w:rsidRPr="00F92A89">
              <w:t>to b</w:t>
            </w:r>
            <w:r w:rsidR="00397BAD" w:rsidRPr="00F92A89">
              <w:t xml:space="preserve">e </w:t>
            </w:r>
            <w:r w:rsidR="001963F8">
              <w:t>measured</w:t>
            </w:r>
            <w:r w:rsidRPr="00F92A89">
              <w:t xml:space="preserve">. The </w:t>
            </w:r>
            <w:r w:rsidR="00283DE8">
              <w:t>number</w:t>
            </w:r>
            <w:r w:rsidR="00283DE8" w:rsidRPr="00F92A89">
              <w:t xml:space="preserve"> </w:t>
            </w:r>
            <w:r w:rsidRPr="00F92A89">
              <w:t xml:space="preserve">of </w:t>
            </w:r>
            <w:r w:rsidR="00283DE8">
              <w:t xml:space="preserve">people with </w:t>
            </w:r>
            <w:r w:rsidRPr="00F92A89">
              <w:t>these conditions in Australia is</w:t>
            </w:r>
            <w:r w:rsidR="00516245">
              <w:t xml:space="preserve"> at present</w:t>
            </w:r>
            <w:r w:rsidRPr="00F92A89">
              <w:t xml:space="preserve"> highly uncertain, and </w:t>
            </w:r>
            <w:r w:rsidR="00516245">
              <w:t xml:space="preserve">the </w:t>
            </w:r>
            <w:r w:rsidRPr="00F92A89">
              <w:t>value</w:t>
            </w:r>
            <w:r w:rsidR="00516245">
              <w:t>-</w:t>
            </w:r>
            <w:r w:rsidRPr="00F92A89">
              <w:t>for</w:t>
            </w:r>
            <w:r w:rsidR="00516245">
              <w:t>-</w:t>
            </w:r>
            <w:r w:rsidRPr="00F92A89">
              <w:t xml:space="preserve">money </w:t>
            </w:r>
            <w:r w:rsidR="00DD4050">
              <w:t xml:space="preserve">particularly </w:t>
            </w:r>
            <w:r w:rsidRPr="00F92A89">
              <w:t>depend</w:t>
            </w:r>
            <w:r w:rsidR="00516245">
              <w:t>ed</w:t>
            </w:r>
            <w:r w:rsidRPr="00F92A89">
              <w:t xml:space="preserve"> on </w:t>
            </w:r>
            <w:r w:rsidR="00290692">
              <w:t>this number</w:t>
            </w:r>
            <w:r w:rsidRPr="00F92A89">
              <w:t xml:space="preserve">, as well as on the cost of the screening test, which MSAC considered </w:t>
            </w:r>
            <w:r w:rsidR="00C01F1A">
              <w:t xml:space="preserve">may have </w:t>
            </w:r>
            <w:r w:rsidRPr="001E7563">
              <w:t xml:space="preserve">been </w:t>
            </w:r>
            <w:r w:rsidRPr="001E7563">
              <w:lastRenderedPageBreak/>
              <w:t>overestimated. A cheaper test would reduce the financial cost to the NBS programs</w:t>
            </w:r>
            <w:r w:rsidR="00516245">
              <w:t xml:space="preserve"> and make this screening better value for money</w:t>
            </w:r>
            <w:r w:rsidRPr="001E7563">
              <w:t>.</w:t>
            </w:r>
          </w:p>
          <w:p w14:paraId="00000010" w14:textId="5967E628" w:rsidR="00F554A7" w:rsidRPr="001E7563" w:rsidRDefault="007A75BF" w:rsidP="00234BFA">
            <w:r w:rsidRPr="001E7563">
              <w:t xml:space="preserve">MSAC deferred its advice on adding </w:t>
            </w:r>
            <w:r w:rsidRPr="00F92A89">
              <w:t>sickle cell disease</w:t>
            </w:r>
            <w:r w:rsidRPr="001E7563">
              <w:t xml:space="preserve"> and β-thalassaemia to NBS, because additional information would </w:t>
            </w:r>
            <w:r w:rsidR="007A1F44">
              <w:t xml:space="preserve">be </w:t>
            </w:r>
            <w:r w:rsidRPr="001E7563">
              <w:t>need</w:t>
            </w:r>
            <w:r w:rsidR="007A1F44">
              <w:t>ed</w:t>
            </w:r>
            <w:r w:rsidRPr="001E7563">
              <w:t xml:space="preserve"> to quantify change</w:t>
            </w:r>
            <w:r w:rsidRPr="00F92A89">
              <w:t>s</w:t>
            </w:r>
            <w:r w:rsidRPr="001E7563">
              <w:t xml:space="preserve"> in management and </w:t>
            </w:r>
            <w:r w:rsidRPr="00F92A89">
              <w:t xml:space="preserve">any </w:t>
            </w:r>
            <w:r w:rsidRPr="001E7563">
              <w:t xml:space="preserve">improved health outcomes </w:t>
            </w:r>
            <w:r w:rsidRPr="00F92A89">
              <w:t>that would result, compared with the current situation in Australia</w:t>
            </w:r>
            <w:r w:rsidRPr="001E7563">
              <w:t>.</w:t>
            </w:r>
          </w:p>
          <w:p w14:paraId="00000011" w14:textId="77777777" w:rsidR="00F554A7" w:rsidRPr="001E7563" w:rsidRDefault="007A75BF" w:rsidP="001E7563">
            <w:pPr>
              <w:pStyle w:val="Heading3"/>
              <w:ind w:left="720" w:hanging="720"/>
            </w:pPr>
            <w:r w:rsidRPr="001E7563">
              <w:t>MSAC’s advice to the Commonwealth Minister for Health and Aged Care</w:t>
            </w:r>
          </w:p>
          <w:p w14:paraId="00000012" w14:textId="71AB72C7" w:rsidR="00F554A7" w:rsidRDefault="007A75BF" w:rsidP="00F92A89">
            <w:r w:rsidRPr="001C5F01">
              <w:t xml:space="preserve">MSAC deferred its advice on adding </w:t>
            </w:r>
            <w:r w:rsidRPr="00F92A89">
              <w:t>sickle cell disease</w:t>
            </w:r>
            <w:r w:rsidRPr="001C5F01">
              <w:t xml:space="preserve"> and β-thalassaemia to NBS. MSAC acknowledged the seriousness of the conditions and that NBS would allow an earlier diagnosis, but considered the evidence had not shown that an earlier diagnosis</w:t>
            </w:r>
            <w:r w:rsidR="45835B7A" w:rsidRPr="001C5F01">
              <w:t>, relative to current practice,</w:t>
            </w:r>
            <w:r w:rsidRPr="001C5F01">
              <w:t xml:space="preserve"> would change healthcare </w:t>
            </w:r>
            <w:r w:rsidR="00617176">
              <w:t xml:space="preserve">of those babies </w:t>
            </w:r>
            <w:r w:rsidRPr="001C5F01">
              <w:t xml:space="preserve">or improve </w:t>
            </w:r>
            <w:r w:rsidR="00617176">
              <w:t xml:space="preserve">their </w:t>
            </w:r>
            <w:r w:rsidRPr="001C5F01">
              <w:t>health in the Australian context. The value for money and overall cost were also uncertain.</w:t>
            </w:r>
          </w:p>
        </w:tc>
      </w:tr>
    </w:tbl>
    <w:p w14:paraId="00000013" w14:textId="77777777" w:rsidR="00F554A7" w:rsidRDefault="007A75BF" w:rsidP="001E7563">
      <w:pPr>
        <w:pStyle w:val="Heading2"/>
        <w:numPr>
          <w:ilvl w:val="1"/>
          <w:numId w:val="0"/>
        </w:numPr>
      </w:pPr>
      <w:r>
        <w:lastRenderedPageBreak/>
        <w:t>3.</w:t>
      </w:r>
      <w:r>
        <w:tab/>
        <w:t>Summary of consideration and rationale for MSAC’s advice</w:t>
      </w:r>
    </w:p>
    <w:p w14:paraId="00000014" w14:textId="4DB2339A" w:rsidR="00F554A7" w:rsidRDefault="007A75BF">
      <w:r w:rsidRPr="001E7563">
        <w:t>MSAC noted that this application from Australian Sickle Cell Advocacy was for adding sickle cell disease (SCD) and beta- (β-)thalassaemia to newborn bloodspot screening (NBS). MSAC noted that applications for adding and removing conditions from NBS were previously considered by the Standing Committee on Screening (SCoS). However</w:t>
      </w:r>
      <w:r w:rsidR="5361ECCC">
        <w:t>,</w:t>
      </w:r>
      <w:r w:rsidRPr="001E7563">
        <w:t xml:space="preserve"> following its dissolution in 2021, applications for addition </w:t>
      </w:r>
      <w:r w:rsidR="006C1582">
        <w:t xml:space="preserve">of conditions </w:t>
      </w:r>
      <w:r w:rsidR="00D45FBD">
        <w:t xml:space="preserve">to </w:t>
      </w:r>
      <w:r w:rsidR="00D45FBD" w:rsidRPr="00F92A89">
        <w:t>NBS</w:t>
      </w:r>
      <w:r w:rsidRPr="001E7563">
        <w:t xml:space="preserve"> are now considered by other committees, including MSAC. This application (1737) and application 1710</w:t>
      </w:r>
      <w:r>
        <w:rPr>
          <w:vertAlign w:val="superscript"/>
        </w:rPr>
        <w:footnoteReference w:id="2"/>
      </w:r>
      <w:r>
        <w:t xml:space="preserve"> are the first NBS applications to be considered by MSAC.</w:t>
      </w:r>
    </w:p>
    <w:p w14:paraId="00000015" w14:textId="4446D022" w:rsidR="00F554A7" w:rsidRDefault="007A75BF">
      <w:r>
        <w:t>MSAC noted that</w:t>
      </w:r>
      <w:r w:rsidR="00AE4924">
        <w:t xml:space="preserve"> </w:t>
      </w:r>
      <w:r w:rsidR="002D1D0D">
        <w:t>the</w:t>
      </w:r>
      <w:r>
        <w:t xml:space="preserve"> Newborn Bloodspot Screening National Policy Framework (NBS NPF)</w:t>
      </w:r>
      <w:r>
        <w:rPr>
          <w:vertAlign w:val="superscript"/>
        </w:rPr>
        <w:footnoteReference w:id="3"/>
      </w:r>
      <w:r>
        <w:t xml:space="preserve"> was developed through the SCoS in 2018, but NBS implementation remains state-based with screening provided by five NBS laboratories across Australia. MSAC </w:t>
      </w:r>
      <w:r w:rsidR="0514FA0B">
        <w:t>considered the NBS NPF</w:t>
      </w:r>
      <w:r w:rsidR="5A6D0F4E">
        <w:t xml:space="preserve"> decision-making</w:t>
      </w:r>
      <w:r w:rsidR="0514FA0B">
        <w:t xml:space="preserve"> criteria as context for its </w:t>
      </w:r>
      <w:r w:rsidR="001D5587">
        <w:t>advice</w:t>
      </w:r>
      <w:r w:rsidR="0514FA0B">
        <w:t>, but</w:t>
      </w:r>
      <w:r w:rsidR="00AE4924">
        <w:t xml:space="preserve"> </w:t>
      </w:r>
      <w:r>
        <w:t xml:space="preserve">noted that </w:t>
      </w:r>
      <w:r w:rsidR="00364380">
        <w:t xml:space="preserve">the full scope of </w:t>
      </w:r>
      <w:r>
        <w:t xml:space="preserve">considerations relevant to </w:t>
      </w:r>
      <w:r w:rsidR="1163B084">
        <w:t xml:space="preserve">the </w:t>
      </w:r>
      <w:r w:rsidR="00AE4924">
        <w:t>NBS</w:t>
      </w:r>
      <w:r w:rsidR="7F8C6C2B">
        <w:t xml:space="preserve"> NPF</w:t>
      </w:r>
      <w:r w:rsidR="00550B4D">
        <w:t xml:space="preserve"> criteria</w:t>
      </w:r>
      <w:r w:rsidR="4BF101C0">
        <w:t>,</w:t>
      </w:r>
      <w:r w:rsidR="0F78C1A4">
        <w:t xml:space="preserve"> such as </w:t>
      </w:r>
      <w:r w:rsidR="004E373F">
        <w:t>a detailed appraisal</w:t>
      </w:r>
      <w:r w:rsidR="007B45AE">
        <w:t xml:space="preserve"> of all relevant</w:t>
      </w:r>
      <w:r w:rsidR="00811899">
        <w:t xml:space="preserve"> </w:t>
      </w:r>
      <w:r w:rsidR="0F78C1A4">
        <w:t>implementation consid</w:t>
      </w:r>
      <w:r w:rsidR="540678EA">
        <w:t>erations</w:t>
      </w:r>
      <w:r w:rsidR="0F78C1A4">
        <w:t>,</w:t>
      </w:r>
      <w:r>
        <w:t xml:space="preserve"> are </w:t>
      </w:r>
      <w:r w:rsidR="007B73EC">
        <w:t xml:space="preserve">outside </w:t>
      </w:r>
      <w:r>
        <w:t>MSAC’s terms of reference (ToR</w:t>
      </w:r>
      <w:r w:rsidR="00A82137">
        <w:t>s</w:t>
      </w:r>
      <w:r>
        <w:t>). MSAC noted that its advice within its ToRs would be used in conjunction with advice from others in the overall decision-making process for NBS</w:t>
      </w:r>
      <w:r w:rsidR="64CBC792">
        <w:t xml:space="preserve"> in Australia</w:t>
      </w:r>
      <w:r w:rsidR="00AE4924">
        <w:t>.</w:t>
      </w:r>
    </w:p>
    <w:p w14:paraId="00000016" w14:textId="63555F1F" w:rsidR="00F554A7" w:rsidRDefault="007A75BF">
      <w:r w:rsidRPr="001E7563">
        <w:t>MSAC noted that the initial application from Australian Sickle Cell Advocacy Inc was only for SCD, but prior to entering the MSAC process</w:t>
      </w:r>
      <w:r w:rsidR="0E3F175B">
        <w:t>,</w:t>
      </w:r>
      <w:r w:rsidRPr="001E7563">
        <w:t xml:space="preserve"> the SCD Expert Working Group recommended that other haemoglobinopathies (such as β-thalassaemia, haemoglobin E–β-thalassaemia and δβ-thalassaemia, but not α-thalassaemia) also be included, because abnormal haemoglobins other than HbS would also be detected during screening for SCD. Because the initial application was for SCD alone, the assessment was structured to use SCD as the base case and add β-thalassaemia as a scenario</w:t>
      </w:r>
      <w:r w:rsidR="008A557C">
        <w:t>.</w:t>
      </w:r>
    </w:p>
    <w:p w14:paraId="00000018" w14:textId="7A4B0A13" w:rsidR="00F554A7" w:rsidRDefault="007A75BF">
      <w:r w:rsidRPr="001E7563">
        <w:t xml:space="preserve">MSAC noted that newborns with SCD are at risk of serious symptoms as early as 8–10 weeks of age, and are at higher risk of mortality than the general population. Outcomes are poor if left </w:t>
      </w:r>
      <w:r w:rsidRPr="001E7563">
        <w:lastRenderedPageBreak/>
        <w:t xml:space="preserve">untreated, and many children with SCD die before the age of 3, or have disabling cerebrovascular disease (39% by age 18). For babies with β-thalassaemia major or intermedia, severe anaemia can cause serious symptoms in the first year of life. Treatments </w:t>
      </w:r>
      <w:r w:rsidR="009037B6">
        <w:t xml:space="preserve">for SCD </w:t>
      </w:r>
      <w:r w:rsidRPr="001E7563">
        <w:t xml:space="preserve">include hydroxyurea (HU), additional doses of pneumococcal vaccination in early childhood at 6 months and 4 years of age and early administration of prophylactic antibiotics. MSAC noted that </w:t>
      </w:r>
      <w:r w:rsidR="0040699A">
        <w:t xml:space="preserve">the paediatric formulation of </w:t>
      </w:r>
      <w:r w:rsidRPr="001E7563">
        <w:t>HU is not registered with the Therapeutic Goods Administration for use in Australia. MSAC noted that SCD and other haemoglobinopathies are categorised as a global public health problem by the World Health Organization. MSAC noted the applicant commented in its pre-MSAC response that a recent Lancet Haematology Commission had recommended “that by 2025, policies, resources, and facilities are in place to allow all babies worldwide to be tested for sickle cell disease”</w:t>
      </w:r>
      <w:r w:rsidRPr="001E7563">
        <w:rPr>
          <w:rStyle w:val="FootnoteReference"/>
        </w:rPr>
        <w:footnoteReference w:id="4"/>
      </w:r>
      <w:r>
        <w:t>.</w:t>
      </w:r>
    </w:p>
    <w:p w14:paraId="1BADFBAE" w14:textId="3ABF0BB5" w:rsidR="00B502E5" w:rsidRDefault="00B502E5" w:rsidP="00B502E5">
      <w:r>
        <w:t>MSAC noted that SCD is caused when a person is homozygous for the HbS variant (</w:t>
      </w:r>
      <w:r w:rsidR="002F45BE">
        <w:t xml:space="preserve">genotype </w:t>
      </w:r>
      <w:r>
        <w:t xml:space="preserve">HbSS), which is one specific variant in the beta haemoglobin </w:t>
      </w:r>
      <w:r w:rsidRPr="4CBA988A">
        <w:rPr>
          <w:i/>
          <w:iCs/>
        </w:rPr>
        <w:t xml:space="preserve">HBB </w:t>
      </w:r>
      <w:r>
        <w:t xml:space="preserve">gene, HBB:p.(Glu7Val). This genotype results in rigid, sickle-shaped red blood cells that </w:t>
      </w:r>
      <w:r w:rsidR="00AB5BAA">
        <w:t xml:space="preserve">cannot move freely through blood vessels. SCD </w:t>
      </w:r>
      <w:r>
        <w:t>clinically manifest as acute pain episodes</w:t>
      </w:r>
      <w:r w:rsidR="003D7670">
        <w:t>,</w:t>
      </w:r>
      <w:r>
        <w:t xml:space="preserve"> and</w:t>
      </w:r>
      <w:r w:rsidR="003D7670">
        <w:t xml:space="preserve"> if left untreated results in</w:t>
      </w:r>
      <w:r>
        <w:t xml:space="preserve"> progressive organ damage, </w:t>
      </w:r>
      <w:r w:rsidR="003D7670">
        <w:t xml:space="preserve">including </w:t>
      </w:r>
      <w:r>
        <w:t xml:space="preserve">cerebrovascular disease, </w:t>
      </w:r>
      <w:r w:rsidR="003D7670">
        <w:t xml:space="preserve">increased susceptibility to </w:t>
      </w:r>
      <w:r>
        <w:t>infections (especially invasive pneumococcal disease) and vaso-occlusive crisis. Heterozygous HbS genotype</w:t>
      </w:r>
      <w:r w:rsidR="00243843">
        <w:t xml:space="preserve"> (“sickle carriers”)</w:t>
      </w:r>
      <w:r>
        <w:t xml:space="preserve"> results in sickle cell trait disease (HbAS). HbS variants are inherit</w:t>
      </w:r>
      <w:r w:rsidR="00EB5B64">
        <w:t>ed</w:t>
      </w:r>
      <w:r>
        <w:t xml:space="preserve"> in an autosomal recessive (AR) manner, although it is also possible</w:t>
      </w:r>
      <w:r w:rsidR="00DF4A3F">
        <w:t>, but rare,</w:t>
      </w:r>
      <w:r>
        <w:t xml:space="preserve"> for an HbS allele to arise </w:t>
      </w:r>
      <w:r w:rsidRPr="4CBA988A">
        <w:rPr>
          <w:i/>
          <w:iCs/>
        </w:rPr>
        <w:t xml:space="preserve">de novo. </w:t>
      </w:r>
      <w:r>
        <w:t xml:space="preserve">β-thalassaemia is also an AR genetic condition, caused by any one of &gt;1000 </w:t>
      </w:r>
      <w:r w:rsidR="00CC16BB">
        <w:t xml:space="preserve">pathogenic </w:t>
      </w:r>
      <w:r>
        <w:t>genetic variants being present in both copies of a person’s beta haemoglobin (</w:t>
      </w:r>
      <w:r w:rsidRPr="4CBA988A">
        <w:rPr>
          <w:i/>
          <w:iCs/>
        </w:rPr>
        <w:t>HBB</w:t>
      </w:r>
      <w:r>
        <w:t xml:space="preserve">) gene (and/or </w:t>
      </w:r>
      <w:r w:rsidRPr="4CBA988A">
        <w:rPr>
          <w:i/>
          <w:iCs/>
        </w:rPr>
        <w:t xml:space="preserve">HBD </w:t>
      </w:r>
      <w:r>
        <w:t xml:space="preserve">gene for some types of β-thalassaemia). In β-thalassaemia, the quantity of beta chains produced is severely reduced, or the variant interferes with </w:t>
      </w:r>
      <w:r w:rsidR="00A32CC8">
        <w:t>haemoglobin</w:t>
      </w:r>
      <w:r>
        <w:t xml:space="preserve"> structure. Different variants have differing clinical severity, and people can be compound </w:t>
      </w:r>
      <w:r w:rsidR="00CC16BB">
        <w:t xml:space="preserve">sickle/thalassaemia </w:t>
      </w:r>
      <w:r>
        <w:t xml:space="preserve">heterozygotes with a combination of SCD and β-thalassaemia variants, or </w:t>
      </w:r>
      <w:r w:rsidR="00CC16BB">
        <w:t xml:space="preserve">compound heterozygotes with </w:t>
      </w:r>
      <w:r>
        <w:t>different types of β-thalassaemia variants (see 1737 PICO, Table 7).</w:t>
      </w:r>
    </w:p>
    <w:p w14:paraId="00000019" w14:textId="4EDD791B" w:rsidR="00F554A7" w:rsidRDefault="007A75BF">
      <w:r w:rsidRPr="001E7563">
        <w:t xml:space="preserve">MSAC noted the Department-contracted assessment report (DCAR) estimated the incidence of the included haemoglobinopathies in Australia at 0.53 per 100,000 births, based on data provided by the Australian Haemoglobinopathy Registry (HbR). MSAC noted ESC had considered the HbR data likely underestimated the incidence because they did not include stillbirths, terminated pregnancies or deaths before diagnosis. MSAC noted that currently, Western Australia is the only state that has a targeted </w:t>
      </w:r>
      <w:r w:rsidR="00021D28">
        <w:t xml:space="preserve">testing </w:t>
      </w:r>
      <w:r w:rsidRPr="001E7563">
        <w:t>program for infants at high risk</w:t>
      </w:r>
      <w:r w:rsidR="2BA6A3CA">
        <w:t xml:space="preserve">. </w:t>
      </w:r>
      <w:r w:rsidR="00053F7F">
        <w:t>The i</w:t>
      </w:r>
      <w:r w:rsidRPr="00F92A89">
        <w:t xml:space="preserve">ncidence estimate from this program </w:t>
      </w:r>
      <w:r w:rsidR="00053F7F">
        <w:t>was</w:t>
      </w:r>
      <w:r w:rsidRPr="001E7563">
        <w:t xml:space="preserve"> about 8.6 per 100,000 births, which MSAC considered was substantially higher than the estimate based on HbR data. </w:t>
      </w:r>
      <w:r w:rsidR="006C19B0" w:rsidRPr="001E7563">
        <w:t>MSAC considered that the incidence of haemoglobinopathies in Australia was uncertain</w:t>
      </w:r>
      <w:r w:rsidR="006C19B0">
        <w:t>.</w:t>
      </w:r>
      <w:r w:rsidR="006C19B0" w:rsidRPr="001E7563">
        <w:t xml:space="preserve"> </w:t>
      </w:r>
      <w:r w:rsidRPr="001E7563">
        <w:t xml:space="preserve">MSAC </w:t>
      </w:r>
      <w:r w:rsidR="006C19B0">
        <w:t xml:space="preserve">also </w:t>
      </w:r>
      <w:r w:rsidRPr="001E7563">
        <w:t xml:space="preserve">noted that migration to Australia from countries where SCD and β-thalassemia are more prevalent has increased over time so, the incidence in Australia may be increasing. </w:t>
      </w:r>
    </w:p>
    <w:p w14:paraId="0000001A" w14:textId="7C39DCB5" w:rsidR="00F554A7" w:rsidRDefault="007A75BF">
      <w:r w:rsidRPr="001E7563">
        <w:t xml:space="preserve">MSAC noted that the population was all newborns undertaking NBS, and the proposed intervention was </w:t>
      </w:r>
      <w:r w:rsidR="50B59782">
        <w:t xml:space="preserve">universal NBS </w:t>
      </w:r>
      <w:r w:rsidRPr="00F92A89">
        <w:t xml:space="preserve">within </w:t>
      </w:r>
      <w:r w:rsidR="65CD6FD6">
        <w:t xml:space="preserve">the first </w:t>
      </w:r>
      <w:r w:rsidR="00294633">
        <w:t xml:space="preserve">48 to </w:t>
      </w:r>
      <w:r w:rsidR="65CD6FD6">
        <w:t>72 hours of life</w:t>
      </w:r>
      <w:r w:rsidRPr="001E7563">
        <w:t>. NBS was proposed to allow earlier diagnosis</w:t>
      </w:r>
      <w:r w:rsidR="0B3C69C9">
        <w:t xml:space="preserve"> and facilitate better health outcomes for babies born in Australia</w:t>
      </w:r>
      <w:r w:rsidRPr="001E7563">
        <w:t xml:space="preserve">. MSAC noted that the </w:t>
      </w:r>
      <w:r w:rsidR="0080782C">
        <w:t xml:space="preserve">proposed </w:t>
      </w:r>
      <w:r w:rsidRPr="001E7563">
        <w:t>screening protocols for SCD included a two-tier testing approach. The first-tier test</w:t>
      </w:r>
      <w:r w:rsidR="00F66F99">
        <w:t xml:space="preserve"> would</w:t>
      </w:r>
      <w:r w:rsidRPr="001E7563">
        <w:t xml:space="preserve"> use a phenotypic method to detect abnormal haemoglobin, with second-tier confirmatory (usually genetic) testing to confirm diagnosis. Options for the first-tier methodology included isoelectric focusing (IEF), high-performance liquid chromatography (HPLC), capillary electrophoresis (CE) and mass spectrometry (either electrospray Ionization tandem mass </w:t>
      </w:r>
      <w:r w:rsidRPr="001E7563">
        <w:lastRenderedPageBreak/>
        <w:t xml:space="preserve">spectrometry (ESI-MS/MS) or Matrix Assisted Laser Desorption/Ionization time-of-flight mass spectrometry (MALDI-TOF)). MSAC noted that NBS is implemented locally, so each NBS laboratory determines which method of screening to use taking their local constraints into account. MSAC noted comments from some NBS laboratories that screening for SCD and β-thalassaemia could not be performed on current screening platforms (although one NBS laboratory stated they could use existing instrumentation to test for SCD but not </w:t>
      </w:r>
      <w:r>
        <w:rPr>
          <w:rFonts w:ascii="Calibri" w:eastAsia="Calibri" w:hAnsi="Calibri" w:cs="Calibri"/>
        </w:rPr>
        <w:t>β</w:t>
      </w:r>
      <w:r>
        <w:t xml:space="preserve">-thalassaemia). MSAC noted that that there are existing </w:t>
      </w:r>
      <w:r w:rsidR="000960AB">
        <w:t>Medicare Benefits Schedule (</w:t>
      </w:r>
      <w:r>
        <w:t>MBS</w:t>
      </w:r>
      <w:r w:rsidR="000960AB">
        <w:t>)</w:t>
      </w:r>
      <w:r>
        <w:t xml:space="preserve"> items for diagnosis of haemoglobinopathies that are used for testing people who present clinically, but that those MBS items would not be used in NBS. Cascade testing of biological relatives of newborns with a positive screening result was also part of the </w:t>
      </w:r>
      <w:r w:rsidR="00863BDB">
        <w:t>PICO, and would be funded by the states and territories</w:t>
      </w:r>
      <w:r w:rsidR="0EC4CFD0">
        <w:t>.</w:t>
      </w:r>
    </w:p>
    <w:p w14:paraId="0000001B" w14:textId="1A9A93AB" w:rsidR="00F554A7" w:rsidRDefault="007A75BF">
      <w:r>
        <w:t xml:space="preserve">MSAC noted that the primary comparator was no NBS </w:t>
      </w:r>
      <w:r w:rsidR="008E231A">
        <w:t xml:space="preserve">for </w:t>
      </w:r>
      <w:r w:rsidR="009B36A3">
        <w:t xml:space="preserve">haemoglobinopathies </w:t>
      </w:r>
      <w:r>
        <w:t xml:space="preserve">and the secondary comparator was targeted testing of at-risk newborns. MSAC noted that targeted newborn testing currently takes place in Western Australia </w:t>
      </w:r>
      <w:r w:rsidR="001E65EC">
        <w:t>(</w:t>
      </w:r>
      <w:r w:rsidR="00D840B3">
        <w:t xml:space="preserve">which is </w:t>
      </w:r>
      <w:r w:rsidR="001E65EC">
        <w:t>~</w:t>
      </w:r>
      <w:r>
        <w:t xml:space="preserve">11% of the national birth cohort), and that the DCAR stated </w:t>
      </w:r>
      <w:r w:rsidR="0009510E">
        <w:t>the secondary comparator (</w:t>
      </w:r>
      <w:r>
        <w:t>targeted testing</w:t>
      </w:r>
      <w:r w:rsidR="0009510E">
        <w:t>)</w:t>
      </w:r>
      <w:r>
        <w:t xml:space="preserve"> better reflects current clinical practice in Australia. MSAC noted that Australian clinical practice guidelines</w:t>
      </w:r>
      <w:r w:rsidR="005E0A62">
        <w:t xml:space="preserve"> also</w:t>
      </w:r>
      <w:r>
        <w:t xml:space="preserve"> recommend targeted preconception and/or prenatal testing of potential parents and </w:t>
      </w:r>
      <w:r w:rsidR="00682185">
        <w:t>fetuses</w:t>
      </w:r>
      <w:r>
        <w:t xml:space="preserve"> at</w:t>
      </w:r>
      <w:r w:rsidR="00C42C99">
        <w:t xml:space="preserve"> </w:t>
      </w:r>
      <w:r>
        <w:t>risk for haemoglobinopathies respectively</w:t>
      </w:r>
      <w:r w:rsidR="007D3814">
        <w:t xml:space="preserve">, but that these would not be replaced by NBS </w:t>
      </w:r>
      <w:r w:rsidR="00532F5B">
        <w:t>and</w:t>
      </w:r>
      <w:r w:rsidR="007D3814">
        <w:t xml:space="preserve"> </w:t>
      </w:r>
      <w:r w:rsidR="00532F5B">
        <w:t>we</w:t>
      </w:r>
      <w:r w:rsidR="007D3814">
        <w:t xml:space="preserve">re not part of the intervention </w:t>
      </w:r>
      <w:r w:rsidR="007F0558">
        <w:t>n</w:t>
      </w:r>
      <w:r w:rsidR="007D3814">
        <w:t xml:space="preserve">or </w:t>
      </w:r>
      <w:r w:rsidR="009B36A3">
        <w:t xml:space="preserve">the </w:t>
      </w:r>
      <w:r w:rsidR="007D3814">
        <w:t>comparator</w:t>
      </w:r>
      <w:r w:rsidR="00AE4924">
        <w:t>.</w:t>
      </w:r>
      <w:r w:rsidR="000E500F">
        <w:t xml:space="preserve"> MSAC noted that the targeted testing that </w:t>
      </w:r>
      <w:r w:rsidR="007F7676">
        <w:t>comprised</w:t>
      </w:r>
      <w:r w:rsidR="000E500F">
        <w:t xml:space="preserve"> the</w:t>
      </w:r>
      <w:r w:rsidR="007F0558">
        <w:t xml:space="preserve"> secondary</w:t>
      </w:r>
      <w:r w:rsidR="000E500F">
        <w:t xml:space="preserve"> comparator </w:t>
      </w:r>
      <w:r w:rsidR="007F0558">
        <w:t>wa</w:t>
      </w:r>
      <w:r w:rsidR="000E500F">
        <w:t xml:space="preserve">s </w:t>
      </w:r>
      <w:r w:rsidR="007F0558">
        <w:t>only targeted testing of at-risk newborns</w:t>
      </w:r>
      <w:r w:rsidR="007F7676">
        <w:t xml:space="preserve">, </w:t>
      </w:r>
      <w:r w:rsidR="009E19EA">
        <w:t>which</w:t>
      </w:r>
      <w:r w:rsidR="007F7676">
        <w:t xml:space="preserve"> would be replaced by NBS</w:t>
      </w:r>
      <w:r w:rsidR="007F0558">
        <w:t>.</w:t>
      </w:r>
      <w:r w:rsidR="00AE4924">
        <w:t xml:space="preserve"> </w:t>
      </w:r>
      <w:r>
        <w:t xml:space="preserve">Neonates are considered to be at </w:t>
      </w:r>
      <w:r w:rsidR="009E19EA">
        <w:t xml:space="preserve">increased </w:t>
      </w:r>
      <w:r>
        <w:t xml:space="preserve">risk of inheriting SCD if they have parents of indigenous African </w:t>
      </w:r>
      <w:r w:rsidR="00620ECB">
        <w:t>ancestry</w:t>
      </w:r>
      <w:r>
        <w:t xml:space="preserve">, or if at least one parent is known to have SCD. For </w:t>
      </w:r>
      <w:r>
        <w:rPr>
          <w:rFonts w:ascii="Calibri" w:eastAsia="Calibri" w:hAnsi="Calibri" w:cs="Calibri"/>
        </w:rPr>
        <w:t>β</w:t>
      </w:r>
      <w:r>
        <w:t xml:space="preserve">-thalassaemia, neonates are considered at risk if they have parents of Middle Eastern, Indian subcontinent or Asian </w:t>
      </w:r>
      <w:r w:rsidR="006E4420">
        <w:t xml:space="preserve">ancestry, </w:t>
      </w:r>
      <w:r>
        <w:t xml:space="preserve">or if at least one parent is known to have </w:t>
      </w:r>
      <w:r>
        <w:rPr>
          <w:rFonts w:ascii="Calibri" w:eastAsia="Calibri" w:hAnsi="Calibri" w:cs="Calibri"/>
        </w:rPr>
        <w:t>β</w:t>
      </w:r>
      <w:r>
        <w:t xml:space="preserve">-thalassaemia. MSAC noted </w:t>
      </w:r>
      <w:r w:rsidR="00AD77AE">
        <w:t xml:space="preserve">the DCAR cited </w:t>
      </w:r>
      <w:r w:rsidR="1581D164">
        <w:t xml:space="preserve">expert opinion </w:t>
      </w:r>
      <w:r>
        <w:t xml:space="preserve">that </w:t>
      </w:r>
      <w:r w:rsidR="00872F17">
        <w:t>because</w:t>
      </w:r>
      <w:r>
        <w:t xml:space="preserve"> most Australian obstetric services include haemoglobinopathy screening for at risk couples, targeted neonatal testing currently </w:t>
      </w:r>
      <w:r w:rsidR="00B430A3">
        <w:t>detect</w:t>
      </w:r>
      <w:r w:rsidR="00B75B69">
        <w:t>s</w:t>
      </w:r>
      <w:r>
        <w:t xml:space="preserve"> approximately 95-99% of Australian newborns with a haemoglobinopathy</w:t>
      </w:r>
      <w:r w:rsidR="00606338">
        <w:t>. MSAC</w:t>
      </w:r>
      <w:r>
        <w:t xml:space="preserve"> considered that only a small proportion of newborns are </w:t>
      </w:r>
      <w:r w:rsidR="00F8465F">
        <w:t xml:space="preserve">currently </w:t>
      </w:r>
      <w:r>
        <w:t xml:space="preserve">not diagnosed in the absence of </w:t>
      </w:r>
      <w:r w:rsidR="00F8465F">
        <w:t xml:space="preserve">universal </w:t>
      </w:r>
      <w:r>
        <w:t>newborn testing</w:t>
      </w:r>
      <w:r w:rsidR="00606338">
        <w:t>, but</w:t>
      </w:r>
      <w:r w:rsidR="00FA36D4">
        <w:t xml:space="preserve"> </w:t>
      </w:r>
      <w:r w:rsidR="00606338">
        <w:t xml:space="preserve">that </w:t>
      </w:r>
      <w:r w:rsidR="00FA36D4">
        <w:t xml:space="preserve">because the Australian incidence was uncertain, the proportion of newborns </w:t>
      </w:r>
      <w:r w:rsidR="006E4420">
        <w:t xml:space="preserve">currently </w:t>
      </w:r>
      <w:r w:rsidR="00FA36D4">
        <w:t>detected in Australia was also uncertain.</w:t>
      </w:r>
    </w:p>
    <w:p w14:paraId="0000001C" w14:textId="7A4F7CF0" w:rsidR="00F554A7" w:rsidRDefault="007A75BF">
      <w:r>
        <w:t xml:space="preserve">MSAC noted cascade testing of family members of newborns detected through NBS </w:t>
      </w:r>
      <w:r w:rsidR="73C5E8C4">
        <w:t>was also assessed as</w:t>
      </w:r>
      <w:r>
        <w:t xml:space="preserve"> part of the application (PICO set 2). MSAC considered cascade testing was important to inform the newborn’s parents’ reproductive decision-making.</w:t>
      </w:r>
    </w:p>
    <w:p w14:paraId="0000001D" w14:textId="7C9D9866" w:rsidR="00F554A7" w:rsidRDefault="007A75BF">
      <w:r>
        <w:t xml:space="preserve">MSAC noted the clinical claim was that early diagnosis (through universal NBS) was superior to diagnosis upon clinical presentation, as it would </w:t>
      </w:r>
      <w:r w:rsidR="007A7B97">
        <w:t xml:space="preserve">facilitate early intervention and improved health outcomes. </w:t>
      </w:r>
    </w:p>
    <w:p w14:paraId="0000001E" w14:textId="02E614F1" w:rsidR="00F554A7" w:rsidRDefault="007A75BF">
      <w:r>
        <w:t xml:space="preserve">MSAC noted that the evidence base identified by the DCAR’s systematic literature review included both direct and indirect evidence, and that MSAC’s stated preference is for direct </w:t>
      </w:r>
      <w:r w:rsidR="535E21BB">
        <w:t xml:space="preserve">evidence </w:t>
      </w:r>
      <w:r>
        <w:t xml:space="preserve">from test to health outcomes for screening programs. MSAC agreed with ESC that the DCAR’s separation of direct versus indirect evidence facilitated its consideration. </w:t>
      </w:r>
      <w:r w:rsidR="51394CFD">
        <w:t xml:space="preserve">MSAC </w:t>
      </w:r>
      <w:r w:rsidR="002D45CB">
        <w:t>noted</w:t>
      </w:r>
      <w:r w:rsidR="51394CFD">
        <w:t xml:space="preserve"> the</w:t>
      </w:r>
      <w:r w:rsidR="4B269A37">
        <w:t xml:space="preserve"> known limitations of evidence for rare diseases, consistent with the principles of the National Strategic Action Plan for Rare Diseases</w:t>
      </w:r>
      <w:r w:rsidR="26409768">
        <w:t xml:space="preserve">. </w:t>
      </w:r>
    </w:p>
    <w:p w14:paraId="0000001F" w14:textId="6BAB9200" w:rsidR="00F554A7" w:rsidRDefault="007A75BF">
      <w:r w:rsidRPr="001E7563">
        <w:t xml:space="preserve">MSAC considered the main safety issue was the risk of adverse events associated with treatments for SCD or β-thalassaemia, such as HU. HU administration </w:t>
      </w:r>
      <w:r w:rsidR="00904056">
        <w:t>is</w:t>
      </w:r>
      <w:r w:rsidRPr="001E7563">
        <w:t xml:space="preserve"> associated with reduced neutrophil counts, which increase the risk of sepsis and bacteraemia, and require regular monitoring. MSAC considered safety outcomes from over</w:t>
      </w:r>
      <w:r w:rsidR="001B67EA">
        <w:t>-</w:t>
      </w:r>
      <w:r w:rsidRPr="001E7563">
        <w:t>diagnosis or false positive screening test results were also possible but unlikely as the test accuracy was high. However, MSAC noted that that the positive predictive value (PPV) and diagnostic yield (DY) were strongly influenced by the incidence</w:t>
      </w:r>
      <w:r w:rsidRPr="00F92A89">
        <w:t>.</w:t>
      </w:r>
    </w:p>
    <w:p w14:paraId="00000020" w14:textId="4AF7C923" w:rsidR="00F554A7" w:rsidRDefault="007A75BF">
      <w:r>
        <w:lastRenderedPageBreak/>
        <w:t xml:space="preserve">MSAC noted that diagnosis of the included haemoglobinopathies currently takes place at an average age of 8.4 months (interquartile range 0.1 to 2.2 years) in Australia, and that NBS was proposed to result in earlier diagnosis. MSAC noted the DCAR commented that the age difference between diagnosis with </w:t>
      </w:r>
      <w:r w:rsidR="4281B333">
        <w:t xml:space="preserve">universal </w:t>
      </w:r>
      <w:r>
        <w:t xml:space="preserve">NBS versus without NBS </w:t>
      </w:r>
      <w:r w:rsidR="00EA15CE">
        <w:t>wa</w:t>
      </w:r>
      <w:r>
        <w:t xml:space="preserve">s likely to be smaller in Australia than that in the literature. MSAC agreed that NBS would result in earlier diagnosis of haemoglobinopathies, although </w:t>
      </w:r>
      <w:r w:rsidR="00EA15CE">
        <w:t xml:space="preserve">considered </w:t>
      </w:r>
      <w:r>
        <w:t xml:space="preserve">how much earlier </w:t>
      </w:r>
      <w:r w:rsidR="00877240">
        <w:t xml:space="preserve">this would be in Australia </w:t>
      </w:r>
      <w:r>
        <w:t xml:space="preserve">was </w:t>
      </w:r>
      <w:r w:rsidR="478D3968">
        <w:t>un</w:t>
      </w:r>
      <w:r>
        <w:t>certain.</w:t>
      </w:r>
    </w:p>
    <w:p w14:paraId="00000021" w14:textId="5C369F80" w:rsidR="00F554A7" w:rsidRDefault="007A75BF">
      <w:r w:rsidRPr="001E7563">
        <w:t>MSAC noted the direct evidence showed that earlier diagnosis</w:t>
      </w:r>
      <w:r w:rsidR="000A0FA5">
        <w:t xml:space="preserve"> of SCD</w:t>
      </w:r>
      <w:r w:rsidRPr="001E7563">
        <w:t xml:space="preserve"> led to earlier commencement of prophylactic antibiotics,</w:t>
      </w:r>
      <w:r w:rsidR="000B1D8A">
        <w:t xml:space="preserve"> reduced bacteraemia, and reduced mortality</w:t>
      </w:r>
      <w:r w:rsidRPr="001E7563">
        <w:t xml:space="preserve">. MSAC noted that the applicant had commented in its pre-MSAC response that penicillin prophylaxis is recommended to start by age six weeks, and that parental education on palpation for splenomegaly may reduce mortality. MSAC </w:t>
      </w:r>
      <w:r w:rsidR="003E5EA1">
        <w:t xml:space="preserve">also </w:t>
      </w:r>
      <w:r w:rsidRPr="001E7563">
        <w:t xml:space="preserve">noted the direct evidence showed that early diagnosis </w:t>
      </w:r>
      <w:r w:rsidR="00F94052">
        <w:t>of</w:t>
      </w:r>
      <w:r w:rsidRPr="001E7563">
        <w:t xml:space="preserve"> SCD reduced the number of hospitalisations and median days spent in hospital. </w:t>
      </w:r>
      <w:r w:rsidRPr="001E7563" w:rsidDel="00507F18">
        <w:t xml:space="preserve">However, MSAC considered that the change in management and improvements in health outcomes demonstrated by the </w:t>
      </w:r>
      <w:r w:rsidR="00F37C9B" w:rsidRPr="001E7563" w:rsidDel="00507F18">
        <w:t xml:space="preserve">evidence </w:t>
      </w:r>
      <w:r w:rsidR="789710A7" w:rsidDel="00507F18">
        <w:t xml:space="preserve">available </w:t>
      </w:r>
      <w:r w:rsidRPr="001E7563" w:rsidDel="00507F18">
        <w:t xml:space="preserve">for SCD were small. </w:t>
      </w:r>
      <w:r w:rsidRPr="001E7563">
        <w:t>MSAC considered that most of the direct evidence was from countries where the incidence of SCD was much higher than in Australia, and so the evidence had low applicability to the Australian context. MSAC noted that direct evidence for the effectiveness of NBS for β-thalassaemia was scarce. MSAC considered that the effect of early diagnosis on health outcomes in Australia would likely be smaller than that reported in the literature, due to the strength of Australia’s healthcare system</w:t>
      </w:r>
      <w:r w:rsidR="00482980">
        <w:t>,</w:t>
      </w:r>
      <w:r w:rsidRPr="001E7563">
        <w:t xml:space="preserve"> making the applicability of the direct evidence low. For example, Australia</w:t>
      </w:r>
      <w:r w:rsidR="00F945F7">
        <w:t xml:space="preserve"> currently</w:t>
      </w:r>
      <w:r w:rsidRPr="001E7563">
        <w:t xml:space="preserve"> </w:t>
      </w:r>
      <w:r>
        <w:t xml:space="preserve">has high uptake of pneumococcal vaccination, meaning any infants with SCD who are not diagnosed by current targeted testing are therefore likely to be </w:t>
      </w:r>
      <w:r w:rsidR="00DF4698">
        <w:t>partially</w:t>
      </w:r>
      <w:r w:rsidR="009746FF">
        <w:t xml:space="preserve"> </w:t>
      </w:r>
      <w:r>
        <w:t xml:space="preserve">protected by routine pneumococcal vaccination, reducing the potential </w:t>
      </w:r>
      <w:r w:rsidR="00482980">
        <w:t xml:space="preserve">incremental </w:t>
      </w:r>
      <w:r>
        <w:t xml:space="preserve">benefit of </w:t>
      </w:r>
      <w:r w:rsidRPr="002E3B03">
        <w:t xml:space="preserve">NBS. </w:t>
      </w:r>
      <w:r w:rsidR="00331AD8" w:rsidRPr="002E3B03">
        <w:t xml:space="preserve">MSAC noted no linked evidence </w:t>
      </w:r>
      <w:r w:rsidR="00923592" w:rsidRPr="00F92A89">
        <w:t xml:space="preserve">additional to direct evidence </w:t>
      </w:r>
      <w:r w:rsidR="00331AD8" w:rsidRPr="002E3B03">
        <w:t>was identified for any change in management from an early diagnosis through NBS</w:t>
      </w:r>
      <w:r w:rsidR="00923592" w:rsidRPr="00F92A89">
        <w:t>. MSAC</w:t>
      </w:r>
      <w:r w:rsidR="00995F29" w:rsidRPr="002E3B03">
        <w:t xml:space="preserve"> </w:t>
      </w:r>
      <w:r w:rsidR="001548A2" w:rsidRPr="002E3B03">
        <w:t>considered</w:t>
      </w:r>
      <w:r w:rsidR="00995F29" w:rsidRPr="002E3B03">
        <w:t xml:space="preserve"> that</w:t>
      </w:r>
      <w:r w:rsidR="00C14DA7" w:rsidRPr="002E3B03">
        <w:t xml:space="preserve"> </w:t>
      </w:r>
      <w:r w:rsidR="00BD182C" w:rsidRPr="002E3B03">
        <w:t xml:space="preserve">potential changes </w:t>
      </w:r>
      <w:r w:rsidR="00923592" w:rsidRPr="00F92A89">
        <w:t xml:space="preserve">in management </w:t>
      </w:r>
      <w:r w:rsidR="001548A2" w:rsidRPr="002E3B03">
        <w:t xml:space="preserve">for infants diagnosed with SCD or β-thalassaemia </w:t>
      </w:r>
      <w:r w:rsidR="00BD182C" w:rsidRPr="002E3B03">
        <w:t xml:space="preserve">could be </w:t>
      </w:r>
      <w:r w:rsidR="00923592" w:rsidRPr="00F92A89">
        <w:t>with respect to</w:t>
      </w:r>
      <w:r w:rsidR="00BD182C" w:rsidRPr="002E3B03">
        <w:t xml:space="preserve"> prophylactic antibiotics, genetic counselling, HU treatment, regular transfusion, and pneumococcal vaccination</w:t>
      </w:r>
      <w:r w:rsidR="00507F18" w:rsidRPr="002E3B03">
        <w:t xml:space="preserve"> – but that </w:t>
      </w:r>
      <w:r w:rsidR="006A22AC" w:rsidRPr="002E3B03">
        <w:t xml:space="preserve">changes in </w:t>
      </w:r>
      <w:r w:rsidR="00507F18" w:rsidRPr="002E3B03">
        <w:t>these had not been demonstrated by the evidence presented</w:t>
      </w:r>
      <w:r w:rsidR="00331AD8" w:rsidRPr="002E3B03">
        <w:t>.</w:t>
      </w:r>
      <w:r w:rsidR="00507F18" w:rsidRPr="002E3B03">
        <w:t xml:space="preserve"> MSAC</w:t>
      </w:r>
      <w:r w:rsidR="00507F18" w:rsidRPr="001E7563">
        <w:t xml:space="preserve"> considered the change in management and improvements in health outcomes demonstrated by the </w:t>
      </w:r>
      <w:r w:rsidR="00507F18">
        <w:t xml:space="preserve">available </w:t>
      </w:r>
      <w:r w:rsidR="00507F18" w:rsidRPr="001E7563">
        <w:t>evidence for SCD were small</w:t>
      </w:r>
      <w:r w:rsidR="00507F18">
        <w:t xml:space="preserve">, and may not apply </w:t>
      </w:r>
      <w:r w:rsidR="0044273F">
        <w:t>to Australia</w:t>
      </w:r>
      <w:r w:rsidR="00507F18" w:rsidRPr="001E7563">
        <w:t xml:space="preserve">. </w:t>
      </w:r>
      <w:r>
        <w:t>MSAC also considered that superior effectiveness was highly dependent on the incidence of SCD and the effectiveness of existing targeted testing</w:t>
      </w:r>
      <w:r w:rsidR="3235EA9E">
        <w:t xml:space="preserve"> approaches</w:t>
      </w:r>
      <w:r>
        <w:t xml:space="preserve">, which were both uncertain for Australia. Overall, MSAC determined that </w:t>
      </w:r>
      <w:r w:rsidR="25EF53E9">
        <w:t xml:space="preserve">additional </w:t>
      </w:r>
      <w:r>
        <w:t xml:space="preserve">evidence </w:t>
      </w:r>
      <w:r w:rsidR="092659D0">
        <w:t>was</w:t>
      </w:r>
      <w:r>
        <w:t xml:space="preserve"> </w:t>
      </w:r>
      <w:r w:rsidR="3A9E6DFC">
        <w:t xml:space="preserve">required </w:t>
      </w:r>
      <w:r>
        <w:t>to demonstrate</w:t>
      </w:r>
      <w:r w:rsidR="3EEA0BCC">
        <w:t xml:space="preserve"> </w:t>
      </w:r>
      <w:r w:rsidR="64957C2B">
        <w:t>a</w:t>
      </w:r>
      <w:r>
        <w:t xml:space="preserve"> </w:t>
      </w:r>
      <w:r w:rsidR="00F945F7">
        <w:t xml:space="preserve">meaningful </w:t>
      </w:r>
      <w:r>
        <w:t>change in management from NBS in Australia, with resulting measurable improvements to health outcomes.</w:t>
      </w:r>
    </w:p>
    <w:p w14:paraId="00000022" w14:textId="73EC0CC6" w:rsidR="00F554A7" w:rsidRDefault="007A75BF">
      <w:r w:rsidRPr="001E7563">
        <w:t>MSAC noted that the economic evaluation was a cost-effectiveness analysis, which measured effectiveness in terms of “additional early diagnosis of a clinically significant case”, because the DCAR had found insufficient evidence to translate the incremental benefit of the identified changes in management into patient-relevant outcomes</w:t>
      </w:r>
      <w:r w:rsidR="00146EDB">
        <w:t xml:space="preserve"> beyond an early diagnosis</w:t>
      </w:r>
      <w:r w:rsidRPr="001E7563">
        <w:t xml:space="preserve">. MSAC noted the uncertainty of the evidence used in the economic model for SCD was high, and the uncertainty of the evidence for β-thalassemia was very high </w:t>
      </w:r>
      <w:r w:rsidR="00036C5A">
        <w:t>(</w:t>
      </w:r>
      <w:r w:rsidR="00036C5A">
        <w:fldChar w:fldCharType="begin"/>
      </w:r>
      <w:r w:rsidR="00036C5A">
        <w:instrText xml:space="preserve"> REF _Ref129793069 \h </w:instrText>
      </w:r>
      <w:r w:rsidR="00036C5A">
        <w:fldChar w:fldCharType="separate"/>
      </w:r>
      <w:r w:rsidR="006E058E" w:rsidRPr="00F92A89">
        <w:rPr>
          <w:rFonts w:eastAsia="Arial Narrow"/>
        </w:rPr>
        <w:t>Table </w:t>
      </w:r>
      <w:r w:rsidR="006E058E">
        <w:rPr>
          <w:noProof/>
        </w:rPr>
        <w:t>14</w:t>
      </w:r>
      <w:r w:rsidR="00036C5A">
        <w:fldChar w:fldCharType="end"/>
      </w:r>
      <w:r w:rsidR="00036C5A">
        <w:t>).</w:t>
      </w:r>
      <w:r w:rsidRPr="001E7563">
        <w:t xml:space="preserve"> MSAC therefore considered that the economic results including β-thalassemia were not credible.</w:t>
      </w:r>
    </w:p>
    <w:p w14:paraId="00000023" w14:textId="278AC307" w:rsidR="00F554A7" w:rsidRDefault="007A75BF">
      <w:r>
        <w:t xml:space="preserve">MSAC noted the </w:t>
      </w:r>
      <w:r w:rsidR="00155C15">
        <w:t xml:space="preserve">DCAR’s </w:t>
      </w:r>
      <w:r>
        <w:t xml:space="preserve">reported incremental cost-effective ratios (ICERs) for SCD were $141,338 per early diagnosis (vs </w:t>
      </w:r>
      <w:r w:rsidR="00F76B8C">
        <w:t xml:space="preserve">no NBS / </w:t>
      </w:r>
      <w:r>
        <w:t xml:space="preserve">symptomatic identification), and $13,833,958 per early diagnosis (vs targeted newborn testing). MSAC considered that these were higher than the cost per proband (and similar) ICERs measured in terms of diagnostic yield that it had previously supported, although the previous ICERs were not perfectly relevant for contextualisation: because cost-effectiveness may not be directly comparable between universal screening and testing of affected individuals, and also because in the affected individual context the diagnosis of a proband had demonstrable value in terms of prognosis and/or improving health outcomes, </w:t>
      </w:r>
      <w:r>
        <w:lastRenderedPageBreak/>
        <w:t xml:space="preserve">whereas in this case the value of an earlier SCD diagnosis had not been demonstrated. MSAC therefore considered the cost-effectiveness of NBS for SCD was </w:t>
      </w:r>
      <w:r w:rsidR="00384D56">
        <w:t xml:space="preserve">low </w:t>
      </w:r>
      <w:r>
        <w:t>and highly uncertain. MSAC advised the evidence had not demonstrated that NBS was comparatively cost-effective.</w:t>
      </w:r>
    </w:p>
    <w:p w14:paraId="00000024" w14:textId="602B2AC5" w:rsidR="00F554A7" w:rsidRDefault="007A75BF">
      <w:r>
        <w:t xml:space="preserve">MSAC noted that the PICO had included a range of first tier methods (at a range of costs) in the intervention, and that the choice of method for the first tier test was the main driver of cost-effectiveness. </w:t>
      </w:r>
      <w:r w:rsidR="2430D394">
        <w:t xml:space="preserve">MSAC </w:t>
      </w:r>
      <w:r w:rsidR="006C3BBE">
        <w:t>noted policy advice that harmonisation of the methods used in different Australian NBS laboratories was unlikely, although</w:t>
      </w:r>
      <w:r>
        <w:t xml:space="preserve"> considered that assessing multiple methods was impractical</w:t>
      </w:r>
      <w:r w:rsidR="006C3BBE">
        <w:t xml:space="preserve"> for the HTA</w:t>
      </w:r>
      <w:r w:rsidR="00CE4D1B">
        <w:t>, and</w:t>
      </w:r>
      <w:r w:rsidR="00AA0DC6">
        <w:t xml:space="preserve"> </w:t>
      </w:r>
      <w:r w:rsidR="001855FD">
        <w:t xml:space="preserve">while all </w:t>
      </w:r>
      <w:r w:rsidR="005F1CD4">
        <w:t xml:space="preserve">methods that </w:t>
      </w:r>
      <w:r w:rsidR="00C04138">
        <w:t>w</w:t>
      </w:r>
      <w:r w:rsidR="00F70739">
        <w:t>ould be used in Australia are in-scope for the HTA</w:t>
      </w:r>
      <w:r w:rsidR="00970C63">
        <w:t xml:space="preserve"> </w:t>
      </w:r>
      <w:r w:rsidR="00460D35">
        <w:t xml:space="preserve">and therefore need </w:t>
      </w:r>
      <w:r w:rsidR="006C3BBE">
        <w:t>to be assessed</w:t>
      </w:r>
      <w:r w:rsidR="00460D35">
        <w:t xml:space="preserve">, ideally </w:t>
      </w:r>
      <w:r w:rsidR="00593971">
        <w:t xml:space="preserve">in future </w:t>
      </w:r>
      <w:r w:rsidR="00460D35">
        <w:t>the number of methods assessed</w:t>
      </w:r>
      <w:r w:rsidR="006C3BBE">
        <w:t xml:space="preserve"> should be reduced if possible</w:t>
      </w:r>
      <w:r>
        <w:t>. MSAC noted that the base case model had used MALDI-TOF, because this was the method for which NBS laboratories provided the cheapest costing ($10). MSAC noted that when using the most costly first tier method, HPLC ($96), the ICERs increased substantially. MSAC noted that ESC had commented that $10 was a relatively low cost and the cost in Australia was unlikely to be lower than this, but that the applicant had commented that there are cheaper options in other parts of the world</w:t>
      </w:r>
      <w:r w:rsidR="3B7829F2">
        <w:t>,</w:t>
      </w:r>
      <w:r>
        <w:t xml:space="preserve"> and</w:t>
      </w:r>
      <w:r w:rsidR="00A75A3B">
        <w:t xml:space="preserve"> that</w:t>
      </w:r>
      <w:r>
        <w:t xml:space="preserve"> Australian NBS laboratories may be able to progress more competitive quotes.</w:t>
      </w:r>
      <w:r w:rsidR="571A501A">
        <w:t xml:space="preserve"> </w:t>
      </w:r>
      <w:r w:rsidRPr="001E7563">
        <w:t xml:space="preserve">MSAC considered that $10 per test would be relatively costly for a universal screening program first tier test, and that less costly methods should be equally capable of providing a diagnosis of SCD and β-thalassaemia. </w:t>
      </w:r>
      <w:sdt>
        <w:sdtPr>
          <w:tag w:val="goog_rdk_107"/>
          <w:id w:val="993148274"/>
        </w:sdtPr>
        <w:sdtEndPr/>
        <w:sdtContent>
          <w:r w:rsidRPr="00F92A89">
            <w:t xml:space="preserve">MSAC </w:t>
          </w:r>
          <w:r w:rsidR="00F8465F" w:rsidRPr="00F92A89">
            <w:t xml:space="preserve">queried whether less costly methods </w:t>
          </w:r>
          <w:r w:rsidR="00A130E7" w:rsidRPr="00F92A89">
            <w:t>are</w:t>
          </w:r>
          <w:r w:rsidR="00F8465F" w:rsidRPr="00F92A89">
            <w:t xml:space="preserve"> available in Australia, and</w:t>
          </w:r>
          <w:r w:rsidR="00F8465F" w:rsidRPr="001E7563">
            <w:t xml:space="preserve"> </w:t>
          </w:r>
          <w:r w:rsidRPr="001E7563">
            <w:t>considered that using a less costly method would improve the cost-effectiveness. MSAC considered the highly uncertain data for incidence in Australia also added to the uncertainty of the economic results.</w:t>
          </w:r>
        </w:sdtContent>
      </w:sdt>
    </w:p>
    <w:p w14:paraId="00000025" w14:textId="2F2BBA3D" w:rsidR="00F554A7" w:rsidRDefault="007A75BF">
      <w:r>
        <w:t xml:space="preserve">MSAC noted that the economic model used a 1-year time horizon, because this captured the difference between early diagnosis around the time of birth versus diagnosis at symptomatic presentation (average age 8.4 months). MSAC considered that it was possible that early diagnosis may have longer-term health benefits, but that the evidence </w:t>
      </w:r>
      <w:r w:rsidR="00A130E7">
        <w:t xml:space="preserve">presented </w:t>
      </w:r>
      <w:r>
        <w:t>had not demonstrated this.</w:t>
      </w:r>
    </w:p>
    <w:p w14:paraId="00000026" w14:textId="0B86A07A" w:rsidR="00F554A7" w:rsidRDefault="007A75BF">
      <w:r>
        <w:t>MSAC noted the ICERs were lower against no NBS than against targeted testing. MSAC considered that targeted testing of at-risk neonates is conducted on a clinician-by-clinician basis and so will be variable</w:t>
      </w:r>
      <w:r w:rsidR="2F6D785A">
        <w:t xml:space="preserve">. </w:t>
      </w:r>
      <w:r>
        <w:t xml:space="preserve">MSAC considered that </w:t>
      </w:r>
      <w:r w:rsidR="000D0DA9">
        <w:t xml:space="preserve">it </w:t>
      </w:r>
      <w:r>
        <w:t>provides advice from the perspective of the healthcare system as a whole, and considered that it may be possible to make a better case for targeted testing</w:t>
      </w:r>
      <w:r w:rsidR="006876F3">
        <w:t>, including from an economic perspective</w:t>
      </w:r>
      <w:r>
        <w:t>, although noted MSAC’s advice on targeted testing was not being sought under this application. MSAC considered that if targeted testing of at-risk newborns were to be considered in future, the relevant clinical colleges and societies could be asked to define criteria for targeted testing.</w:t>
      </w:r>
    </w:p>
    <w:p w14:paraId="00000027" w14:textId="7BA0E407" w:rsidR="00F554A7" w:rsidRDefault="007A75BF">
      <w:r>
        <w:t>MSAC noted utilisation was estimated using an epidemiological approach (assuming 99.3% NBS uptake), which it considered was appropriate. MSAC noted that the cost of the first tier test was the main driver of the overall financial impact, and the DCAR had estimated the financial cost to NBS programs was about $3 million per year if the first tier screening test cost $10 per newborn, and this increased to about $30 million per year if the first tier screening test cost $96 per newborn</w:t>
      </w:r>
      <w:r w:rsidR="00171F58">
        <w:t xml:space="preserve"> (</w:t>
      </w:r>
      <w:r w:rsidR="00171F58">
        <w:fldChar w:fldCharType="begin"/>
      </w:r>
      <w:r w:rsidR="00171F58">
        <w:instrText xml:space="preserve"> REF _Ref69726382 \h </w:instrText>
      </w:r>
      <w:r w:rsidR="00171F58">
        <w:fldChar w:fldCharType="separate"/>
      </w:r>
      <w:r w:rsidR="006E058E" w:rsidRPr="00F92A89">
        <w:rPr>
          <w:rFonts w:eastAsia="Arial Narrow"/>
        </w:rPr>
        <w:t>Table </w:t>
      </w:r>
      <w:r w:rsidR="006E058E">
        <w:rPr>
          <w:noProof/>
        </w:rPr>
        <w:t>21</w:t>
      </w:r>
      <w:r w:rsidR="00171F58">
        <w:fldChar w:fldCharType="end"/>
      </w:r>
      <w:r w:rsidR="00171F58">
        <w:t>)</w:t>
      </w:r>
      <w:r>
        <w:t>. MSAC considered that the financial impact had likely been over-estimated</w:t>
      </w:r>
      <w:r w:rsidR="00053C4F">
        <w:t xml:space="preserve"> due to a relatively costly </w:t>
      </w:r>
      <w:r w:rsidR="00E7068C">
        <w:t>metho</w:t>
      </w:r>
      <w:r w:rsidR="008B4D8C">
        <w:t>d having been chosen</w:t>
      </w:r>
      <w:r>
        <w:t xml:space="preserve">, and that using a less costly first tier method would reduce the financial cost of NBS. MSAC noted that adding SCD to NBS would also affect other health budgets, including a potential cost-offset from reduced targeted neonatal testing. MSAC noted that the DCAR found there would be minimal incremental cost of cascade testing (PICO set 2), because targeted testing </w:t>
      </w:r>
      <w:r w:rsidR="01CE1B22">
        <w:t xml:space="preserve">is estimated to </w:t>
      </w:r>
      <w:r>
        <w:t>detect 95-99% of neonates</w:t>
      </w:r>
      <w:r w:rsidR="009E59DE">
        <w:t xml:space="preserve"> currently in Australia (although this</w:t>
      </w:r>
      <w:r w:rsidR="00656FA6">
        <w:t xml:space="preserve"> proportion was informed by expert opinion)</w:t>
      </w:r>
      <w:r w:rsidR="00A0228B">
        <w:t>. MSAC noted that in its experience cascade testing uptake is close to 100%,</w:t>
      </w:r>
      <w:r w:rsidR="4D8B68C5">
        <w:t xml:space="preserve"> so </w:t>
      </w:r>
      <w:r w:rsidR="00A0228B">
        <w:t>considered that</w:t>
      </w:r>
      <w:r>
        <w:t xml:space="preserve"> cascade testing for haemoglobinopathies already takes place to a nearly complete extent.</w:t>
      </w:r>
    </w:p>
    <w:p w14:paraId="00000029" w14:textId="50013020" w:rsidR="00F554A7" w:rsidRDefault="007A75BF">
      <w:r w:rsidRPr="001E7563">
        <w:lastRenderedPageBreak/>
        <w:t xml:space="preserve">MSAC acknowledged the severity of SCD and β-thalassaemia, but considered that </w:t>
      </w:r>
      <w:r w:rsidR="000C3D1F">
        <w:t xml:space="preserve">the evidence had not demonstrated </w:t>
      </w:r>
      <w:r w:rsidRPr="001E7563">
        <w:t xml:space="preserve">health outcome improvement in Australia from earlier diagnosis through NBS. This was MSAC’s primary concern, </w:t>
      </w:r>
      <w:r w:rsidR="00FC35D2">
        <w:t>al</w:t>
      </w:r>
      <w:r w:rsidRPr="001E7563">
        <w:t>though it did also have other concerns. MSAC considered that key information was missing</w:t>
      </w:r>
      <w:r w:rsidR="00C11ABE">
        <w:t xml:space="preserve"> and additional evidence was required</w:t>
      </w:r>
      <w:r w:rsidRPr="001E7563">
        <w:t>, so deferred its advice on adding SCD and β-thalassaemia to NBS. MSAC advised that the following evidence would be required to support its reconsideration:</w:t>
      </w:r>
    </w:p>
    <w:p w14:paraId="0000002A" w14:textId="77777777" w:rsidR="00F554A7" w:rsidRDefault="007A75BF" w:rsidP="001E7563">
      <w:pPr>
        <w:pStyle w:val="ListParagraph"/>
        <w:numPr>
          <w:ilvl w:val="0"/>
          <w:numId w:val="57"/>
        </w:numPr>
      </w:pPr>
      <w:r w:rsidRPr="001E7563">
        <w:t>Quantify the change in management between NBS and current testing in Australia.</w:t>
      </w:r>
    </w:p>
    <w:p w14:paraId="0000002B" w14:textId="77777777" w:rsidR="00F554A7" w:rsidRDefault="007A75BF" w:rsidP="001E7563">
      <w:pPr>
        <w:pStyle w:val="ListParagraph"/>
        <w:numPr>
          <w:ilvl w:val="0"/>
          <w:numId w:val="57"/>
        </w:numPr>
      </w:pPr>
      <w:r w:rsidRPr="001E7563">
        <w:t>Quantify the resulting effect on health outcomes in Australia.</w:t>
      </w:r>
    </w:p>
    <w:p w14:paraId="0000002C" w14:textId="77777777" w:rsidR="00F554A7" w:rsidRDefault="007A75BF" w:rsidP="001E7563">
      <w:pPr>
        <w:pStyle w:val="ListParagraph"/>
        <w:numPr>
          <w:ilvl w:val="0"/>
          <w:numId w:val="57"/>
        </w:numPr>
      </w:pPr>
      <w:r w:rsidRPr="001E7563">
        <w:t>Provide a more reliable estimate of incidence in Australia.</w:t>
      </w:r>
    </w:p>
    <w:p w14:paraId="621CD468" w14:textId="073111B3" w:rsidR="00046930" w:rsidRPr="001E7563" w:rsidRDefault="000A5358" w:rsidP="00F92A89">
      <w:pPr>
        <w:pStyle w:val="ListParagraph"/>
        <w:numPr>
          <w:ilvl w:val="0"/>
          <w:numId w:val="57"/>
        </w:numPr>
      </w:pPr>
      <w:r>
        <w:t xml:space="preserve">Investigate whether less costly screening methods are available in Australia, and if so </w:t>
      </w:r>
      <w:r w:rsidR="00A9259F">
        <w:t xml:space="preserve">determine </w:t>
      </w:r>
      <w:r>
        <w:t>their costs.</w:t>
      </w:r>
    </w:p>
    <w:p w14:paraId="0000002D" w14:textId="137F51C4" w:rsidR="00F554A7" w:rsidRDefault="007A75BF" w:rsidP="001E7563">
      <w:pPr>
        <w:pStyle w:val="ListParagraph"/>
        <w:numPr>
          <w:ilvl w:val="0"/>
          <w:numId w:val="57"/>
        </w:numPr>
      </w:pPr>
      <w:r w:rsidRPr="001E7563">
        <w:t>Provide updated economic and financial analyses taking the above into account.</w:t>
      </w:r>
    </w:p>
    <w:p w14:paraId="0000002E" w14:textId="72FEF731" w:rsidR="00F554A7" w:rsidRDefault="007A75BF">
      <w:r>
        <w:t xml:space="preserve">MSAC also considered that consultation with consumers and the SCD community may be able to provide better evidence on the non-health benefits from an earlier diagnosis, such as comments on access to health care. MSAC considered that a pilot study may be able to provide better quality incidence data for Australia. </w:t>
      </w:r>
    </w:p>
    <w:p w14:paraId="0000002F" w14:textId="46A71820" w:rsidR="00F554A7" w:rsidRDefault="007A75BF">
      <w:r w:rsidRPr="001E7563">
        <w:t>MSAC considered that information for its reconsideration could be provided for SCD alone, because screening for SCD can also detect β-thalassaemia as a non-target condition.</w:t>
      </w:r>
    </w:p>
    <w:p w14:paraId="00000030" w14:textId="74493D3F" w:rsidR="00F554A7" w:rsidRDefault="007A75BF">
      <w:r>
        <w:t xml:space="preserve">MSAC noted that research is underway for genomic NBS, and that independent from this MSAC application the </w:t>
      </w:r>
      <w:r>
        <w:rPr>
          <w:i/>
        </w:rPr>
        <w:t xml:space="preserve">HBB </w:t>
      </w:r>
      <w:r>
        <w:t>gene has been identified by experts as relevant for genomic NBS.</w:t>
      </w:r>
    </w:p>
    <w:p w14:paraId="00000031" w14:textId="77777777" w:rsidR="00F554A7" w:rsidRDefault="007A75BF" w:rsidP="001E7563">
      <w:pPr>
        <w:pStyle w:val="Heading2"/>
        <w:numPr>
          <w:ilvl w:val="0"/>
          <w:numId w:val="0"/>
        </w:numPr>
      </w:pPr>
      <w:r>
        <w:t>4.</w:t>
      </w:r>
      <w:r>
        <w:tab/>
        <w:t>Background</w:t>
      </w:r>
      <w:bookmarkEnd w:id="5"/>
    </w:p>
    <w:p w14:paraId="00000032" w14:textId="77777777" w:rsidR="00F554A7" w:rsidRPr="001E7563" w:rsidRDefault="007A75BF" w:rsidP="001E7563">
      <w:pPr>
        <w:pStyle w:val="Instructionaltext"/>
        <w:rPr>
          <w:color w:val="auto"/>
        </w:rPr>
      </w:pPr>
      <w:bookmarkStart w:id="6" w:name="_heading=h.3znysh7" w:colFirst="0" w:colLast="0"/>
      <w:bookmarkStart w:id="7" w:name="_Hlk69734494"/>
      <w:bookmarkEnd w:id="6"/>
      <w:r w:rsidRPr="001E7563">
        <w:rPr>
          <w:color w:val="auto"/>
        </w:rPr>
        <w:t xml:space="preserve">This is the first assessment of adding haemoglobinopathies to Australia’s NBS programs to be considered by MSAC. </w:t>
      </w:r>
    </w:p>
    <w:p w14:paraId="00000033" w14:textId="77777777" w:rsidR="00F554A7" w:rsidRPr="001E7563" w:rsidRDefault="007A75BF" w:rsidP="001E7563">
      <w:pPr>
        <w:pStyle w:val="Instructionaltext"/>
        <w:rPr>
          <w:color w:val="auto"/>
        </w:rPr>
      </w:pPr>
      <w:r w:rsidRPr="001E7563">
        <w:rPr>
          <w:color w:val="auto"/>
        </w:rPr>
        <w:t>Applications to add a condition to NBS were previously considered by the Standing Committee on Screening (SCoS), and with the disbandment of SCoS the process changed in 2021 to MSAC providing advice instead. MSAC’s July 2023 consideration of this application and MSAC Application 1710 (NBS for X-linked adrenoleukodystrophy) will be its first considerations of applications to add conditions to NBS.</w:t>
      </w:r>
    </w:p>
    <w:p w14:paraId="00000034" w14:textId="77777777" w:rsidR="00F554A7" w:rsidRDefault="007A75BF" w:rsidP="001E7563">
      <w:pPr>
        <w:pStyle w:val="Heading2"/>
        <w:numPr>
          <w:ilvl w:val="0"/>
          <w:numId w:val="0"/>
        </w:numPr>
      </w:pPr>
      <w:bookmarkStart w:id="8" w:name="_heading=h.2et92p0" w:colFirst="0" w:colLast="0"/>
      <w:bookmarkStart w:id="9" w:name="_Toc132821908"/>
      <w:bookmarkEnd w:id="7"/>
      <w:bookmarkEnd w:id="8"/>
      <w:r>
        <w:t>5.</w:t>
      </w:r>
      <w:r>
        <w:tab/>
        <w:t>Prerequisites to implementation of any funding advice</w:t>
      </w:r>
      <w:bookmarkEnd w:id="9"/>
    </w:p>
    <w:p w14:paraId="00000035" w14:textId="03EBDAD5" w:rsidR="00F554A7" w:rsidRDefault="007A75BF">
      <w:r>
        <w:t xml:space="preserve">Each state and territory would determine which method of screening for SCD or SCD and </w:t>
      </w:r>
      <w:r>
        <w:rPr>
          <w:rFonts w:ascii="Calibri" w:eastAsia="Calibri" w:hAnsi="Calibri" w:cs="Calibri"/>
        </w:rPr>
        <w:t>β</w:t>
      </w:r>
      <w:r>
        <w:t xml:space="preserve">-thalassaemia they would implement. New conditions added to </w:t>
      </w:r>
      <w:r w:rsidR="007956DD">
        <w:t xml:space="preserve">Australian </w:t>
      </w:r>
      <w:r>
        <w:t>NBS</w:t>
      </w:r>
      <w:r w:rsidR="00132BFE">
        <w:t xml:space="preserve"> </w:t>
      </w:r>
      <w:r w:rsidR="007956DD">
        <w:t>programs</w:t>
      </w:r>
      <w:r>
        <w:t xml:space="preserve"> need to align with the Newborn Bloodspot Screening National Policy Framework (NBS NPF) </w:t>
      </w:r>
      <w:r w:rsidR="007956DD">
        <w:t>decision-making c</w:t>
      </w:r>
      <w:r w:rsidR="00AD20FD">
        <w:t>riteria</w:t>
      </w:r>
      <w:r w:rsidR="00B268C4">
        <w:t xml:space="preserve">, which </w:t>
      </w:r>
      <w:r w:rsidR="00EF0636">
        <w:t xml:space="preserve">were </w:t>
      </w:r>
      <w:r w:rsidR="00B268C4">
        <w:t xml:space="preserve">considered as context for MSAC’s </w:t>
      </w:r>
      <w:r w:rsidR="00C35D13">
        <w:t>advice</w:t>
      </w:r>
      <w:r w:rsidR="00B20D5D">
        <w:t>.</w:t>
      </w:r>
      <w:r w:rsidR="00132BFE">
        <w:t xml:space="preserve"> </w:t>
      </w:r>
    </w:p>
    <w:p w14:paraId="00000036" w14:textId="7B16528D" w:rsidR="00F554A7" w:rsidRDefault="007A75BF">
      <w:r>
        <w:t xml:space="preserve">Feedback from all Australian NBS laboratories indicated that screening for SCD and </w:t>
      </w:r>
      <w:r>
        <w:rPr>
          <w:rFonts w:ascii="Calibri" w:eastAsia="Calibri" w:hAnsi="Calibri" w:cs="Calibri"/>
        </w:rPr>
        <w:t>β</w:t>
      </w:r>
      <w:r>
        <w:t xml:space="preserve">-thalassaemia could not be performed on current screening platforms (although one laboratory stated they could use existing instrumentation to test for SCD but not </w:t>
      </w:r>
      <w:r>
        <w:rPr>
          <w:rFonts w:ascii="Calibri" w:eastAsia="Calibri" w:hAnsi="Calibri" w:cs="Calibri"/>
        </w:rPr>
        <w:t>β</w:t>
      </w:r>
      <w:r>
        <w:t xml:space="preserve">-thalassaemia). </w:t>
      </w:r>
      <w:r w:rsidR="00B53C75">
        <w:t xml:space="preserve">The full scope of considerations relevant to the NBS NPF criteria, such as detailed appraisal of all relevant </w:t>
      </w:r>
      <w:r w:rsidR="00E16DA6">
        <w:t>implementation considerations</w:t>
      </w:r>
      <w:r w:rsidR="00E73BC4">
        <w:t>,</w:t>
      </w:r>
      <w:r w:rsidR="00E16DA6">
        <w:t xml:space="preserve"> are outside the scope of MSAC’s advice</w:t>
      </w:r>
      <w:r w:rsidR="00CC0627">
        <w:t xml:space="preserve"> on NBS</w:t>
      </w:r>
      <w:r w:rsidR="006967D5">
        <w:t>, however it is recognised that laboratories may require new equipment in order to perform testing</w:t>
      </w:r>
      <w:r w:rsidR="00F24139">
        <w:t>.</w:t>
      </w:r>
    </w:p>
    <w:p w14:paraId="00000037" w14:textId="77777777" w:rsidR="00F554A7" w:rsidRDefault="007A75BF" w:rsidP="001E7563">
      <w:pPr>
        <w:pStyle w:val="Heading2"/>
        <w:numPr>
          <w:ilvl w:val="0"/>
          <w:numId w:val="0"/>
        </w:numPr>
      </w:pPr>
      <w:bookmarkStart w:id="10" w:name="_heading=h.tyjcwt" w:colFirst="0" w:colLast="0"/>
      <w:bookmarkStart w:id="11" w:name="_Toc132821909"/>
      <w:bookmarkEnd w:id="10"/>
      <w:r>
        <w:lastRenderedPageBreak/>
        <w:t>6.</w:t>
      </w:r>
      <w:r>
        <w:tab/>
        <w:t>Proposal for public funding</w:t>
      </w:r>
      <w:bookmarkEnd w:id="11"/>
    </w:p>
    <w:p w14:paraId="00000038" w14:textId="77777777" w:rsidR="00F554A7" w:rsidRDefault="007A75BF">
      <w:pPr>
        <w:rPr>
          <w:i/>
          <w:highlight w:val="yellow"/>
        </w:rPr>
      </w:pPr>
      <w:r>
        <w:t xml:space="preserve">The proposal was for haemoglobinopathies to be added to the list of conditions screened for through Australia’s NBS programs. If a hereditary haemoglobinopathy is diagnosed via NBS, then follow-on cascade testing of first-degree relatives is also proposed, however this is not covered by NBS program funding. </w:t>
      </w:r>
    </w:p>
    <w:p w14:paraId="00000039" w14:textId="7765D64A" w:rsidR="00F554A7" w:rsidRDefault="007A75BF">
      <w:r>
        <w:t>The Australian Government contributes funding to hospital services, including those for NBS through the National Health Reform Agreement (NHRA).</w:t>
      </w:r>
      <w:r w:rsidRPr="00F92A89">
        <w:t xml:space="preserve"> </w:t>
      </w:r>
      <w:r w:rsidR="342F9B85" w:rsidRPr="00F92A89">
        <w:t xml:space="preserve">It has also provided $25.3 million </w:t>
      </w:r>
      <w:r w:rsidR="000C0A39">
        <w:t>over 4 years</w:t>
      </w:r>
      <w:r w:rsidR="342F9B85" w:rsidRPr="00F92A89">
        <w:t xml:space="preserve"> in direct funding to states and territories to support expansion and consistency of NBS programs.</w:t>
      </w:r>
    </w:p>
    <w:p w14:paraId="0000003A" w14:textId="77777777" w:rsidR="00F554A7" w:rsidRDefault="007A75BF">
      <w:r>
        <w:t>There are five laboratories that conduct tests on bloodspot cards for NBS, located in New South Wales, Queensland, South Australia, Victoria and Western Australia. In Tasmania and the territories newborn dried bloodspot samples are sent interstate for testing. All NBS programs are underpinned by the NBS NPF. Babies screened through NBS programs have a small blood sample taken via a heel prick in the first 72 hours of life. The blood is collected and dried onto a filter card, which is then used for testing.</w:t>
      </w:r>
    </w:p>
    <w:p w14:paraId="0000003B" w14:textId="77777777" w:rsidR="00F554A7" w:rsidRDefault="007A75BF">
      <w:r>
        <w:t>Screening protocols for SCD generally use a two-tier testing approach, whereby first-tier testing can identify the presence of abnormal haemoglobin (or not), and second-tier testing is performed to confirm the first result. Only samples found to have abnormal results in first-tier testing undergo second-tier testing. Each NBS laboratory would be responsible for deciding what screening protocol to use (i.e. which combination of test methods to use for first- and second-tier testing). Screening test methods assessed in this report include:</w:t>
      </w:r>
    </w:p>
    <w:p w14:paraId="0000003C" w14:textId="77777777" w:rsidR="00F554A7" w:rsidRDefault="007A75BF" w:rsidP="001E7563">
      <w:pPr>
        <w:pStyle w:val="ListParagraph"/>
        <w:numPr>
          <w:ilvl w:val="0"/>
          <w:numId w:val="25"/>
        </w:numPr>
      </w:pPr>
      <w:r w:rsidRPr="001E7563">
        <w:t>isoelectric focusing (IEF);</w:t>
      </w:r>
    </w:p>
    <w:p w14:paraId="0000003D" w14:textId="77777777" w:rsidR="00F554A7" w:rsidRDefault="007A75BF" w:rsidP="001E7563">
      <w:pPr>
        <w:pStyle w:val="ListParagraph"/>
        <w:numPr>
          <w:ilvl w:val="0"/>
          <w:numId w:val="25"/>
        </w:numPr>
      </w:pPr>
      <w:r w:rsidRPr="001E7563">
        <w:t>high-performance liquid chromatography (HPLC);</w:t>
      </w:r>
    </w:p>
    <w:p w14:paraId="0000003E" w14:textId="77777777" w:rsidR="00F554A7" w:rsidRDefault="007A75BF" w:rsidP="001E7563">
      <w:pPr>
        <w:pStyle w:val="ListParagraph"/>
        <w:numPr>
          <w:ilvl w:val="0"/>
          <w:numId w:val="25"/>
        </w:numPr>
      </w:pPr>
      <w:r w:rsidRPr="001E7563">
        <w:t>capillary zone electrophoresis (CE);</w:t>
      </w:r>
    </w:p>
    <w:p w14:paraId="0000003F" w14:textId="77777777" w:rsidR="00F554A7" w:rsidRDefault="007A75BF" w:rsidP="001E7563">
      <w:pPr>
        <w:pStyle w:val="ListParagraph"/>
        <w:numPr>
          <w:ilvl w:val="0"/>
          <w:numId w:val="25"/>
        </w:numPr>
      </w:pPr>
      <w:r w:rsidRPr="001E7563">
        <w:t>mass spectrometry (either Electrospray Ionization tandem mass spectrometry (ESI-MS/MS) or Matrix Assisted Laser Desorption/Ionization time-of-flight mass spectrometry (MALDI-TOF); and</w:t>
      </w:r>
    </w:p>
    <w:p w14:paraId="00000040" w14:textId="77777777" w:rsidR="00F554A7" w:rsidRDefault="007A75BF" w:rsidP="001E7563">
      <w:pPr>
        <w:pStyle w:val="ListParagraph"/>
        <w:numPr>
          <w:ilvl w:val="0"/>
          <w:numId w:val="25"/>
        </w:numPr>
      </w:pPr>
      <w:r w:rsidRPr="001E7563">
        <w:t>quantitative polymerase chain reaction (qPCR).</w:t>
      </w:r>
    </w:p>
    <w:p w14:paraId="00000041" w14:textId="77777777" w:rsidR="00F554A7" w:rsidRDefault="007A75BF">
      <w:r>
        <w:t xml:space="preserve">Most testing protocols would then require genetic testing to confirm the diagnosis. </w:t>
      </w:r>
    </w:p>
    <w:p w14:paraId="00000042" w14:textId="77777777" w:rsidR="00F554A7" w:rsidRDefault="007A75BF">
      <w:r>
        <w:t xml:space="preserve">IEF, HPLC, CE and MS based assays are classified as phenotypic tests as they are based on the levels and/or relative proportions of haemoglobins present in a blood sample. Molecular based tests (qPCR, Sanger sequencing, and other genetic assays) are classified as genotypic tests, as they provide a genotype from the test sample. HPLC, CE and IEF are able to identify carriers of SCD and also some </w:t>
      </w:r>
      <w:r>
        <w:rPr>
          <w:rFonts w:ascii="Calibri" w:eastAsia="Calibri" w:hAnsi="Calibri" w:cs="Calibri"/>
        </w:rPr>
        <w:t>β</w:t>
      </w:r>
      <w:r>
        <w:t xml:space="preserve">-thalassaemia carriers, but MS assays are more limited in carrier identification as the technology is usually trained to identify a limited number of phenotypes accurately. Genotypic testing is capable of identifying all cases and carriers, within the scope of the test being performed. </w:t>
      </w:r>
    </w:p>
    <w:p w14:paraId="00000043" w14:textId="77777777" w:rsidR="00F554A7" w:rsidRDefault="007A75BF">
      <w:r>
        <w:t xml:space="preserve">IEF, HPLC, and CE are established for the diagnosis of haemoglobinopathies, and have MBS items available. The cost of testing will depend on the combination of tests chosen. </w:t>
      </w:r>
    </w:p>
    <w:p w14:paraId="00000044" w14:textId="77777777" w:rsidR="00F554A7" w:rsidRDefault="007A75BF">
      <w:r>
        <w:t xml:space="preserve">NBS in Australia does not currently include screening for haemoglobinopathies. Australian clinical practice guidelines recommend targeted preconception testing of potential parents for haemoglobinopathies in couples at risk, or in the prenatal period if a couple is already pregnant. Whilst this testing is recommended, it is not universal and cases are missed by this method; although the number of cases missed is unknown. Older data from the Victorian Birth Defects </w:t>
      </w:r>
      <w:r>
        <w:lastRenderedPageBreak/>
        <w:t>Registry</w:t>
      </w:r>
      <w:r w:rsidRPr="001E7563">
        <w:rPr>
          <w:rStyle w:val="FootnoteReference"/>
        </w:rPr>
        <w:footnoteReference w:id="5"/>
      </w:r>
      <w:r>
        <w:t xml:space="preserve"> (1989-1998) indicated that the majority of thalassaemias identified prenatally resulted in pregnancy termination (39/63), highlighting the importance of timely identification to maximise choice. Targeted preconception and prenatal testing would continue even if NBS for SCD and </w:t>
      </w:r>
      <w:r>
        <w:rPr>
          <w:rFonts w:ascii="Calibri" w:eastAsia="Calibri" w:hAnsi="Calibri" w:cs="Calibri"/>
        </w:rPr>
        <w:t>β</w:t>
      </w:r>
      <w:r>
        <w:t xml:space="preserve">-thalassaemia were supported, so NBS would be </w:t>
      </w:r>
      <w:r>
        <w:rPr>
          <w:i/>
        </w:rPr>
        <w:t>in addition</w:t>
      </w:r>
      <w:r>
        <w:t xml:space="preserve"> to this type of targeted preconception and prenatal testing. Limited targeted post-natal testing of the newborn is also performed in some Australian states. NBS would </w:t>
      </w:r>
      <w:r>
        <w:rPr>
          <w:i/>
        </w:rPr>
        <w:t>replace</w:t>
      </w:r>
      <w:r>
        <w:t xml:space="preserve"> targeted post-natal testing of the newborn. </w:t>
      </w:r>
    </w:p>
    <w:p w14:paraId="00000045" w14:textId="77777777" w:rsidR="00F554A7" w:rsidRDefault="007A75BF">
      <w:r>
        <w:t xml:space="preserve">Cascade testing is likely to be performed by genetic testing of one or two familial variants. The cost of cascade testing is not covered by NBS funding however this is not a new service; cascade testing of family members already occurs when a person is diagnosed. </w:t>
      </w:r>
    </w:p>
    <w:p w14:paraId="00000046" w14:textId="77777777" w:rsidR="00F554A7" w:rsidRDefault="007A75BF" w:rsidP="001E7563">
      <w:pPr>
        <w:pStyle w:val="Heading2"/>
        <w:numPr>
          <w:ilvl w:val="0"/>
          <w:numId w:val="0"/>
        </w:numPr>
      </w:pPr>
      <w:bookmarkStart w:id="12" w:name="_heading=h.3dy6vkm" w:colFirst="0" w:colLast="0"/>
      <w:bookmarkStart w:id="13" w:name="_Toc132821910"/>
      <w:bookmarkEnd w:id="12"/>
      <w:r>
        <w:t>7.</w:t>
      </w:r>
      <w:r>
        <w:tab/>
        <w:t>Population</w:t>
      </w:r>
      <w:bookmarkEnd w:id="13"/>
      <w:r>
        <w:t xml:space="preserve"> </w:t>
      </w:r>
    </w:p>
    <w:p w14:paraId="00000047" w14:textId="77777777" w:rsidR="00F554A7" w:rsidRDefault="007A75BF">
      <w:r>
        <w:t>There are two populations under consideration in this assessment: newborns participating in newborn screening in Australia, and family members of newborns diagnosed through NBS, eligible for cascade testing.</w:t>
      </w:r>
    </w:p>
    <w:p w14:paraId="00000048" w14:textId="77777777" w:rsidR="00F554A7" w:rsidRDefault="007A75BF">
      <w:pPr>
        <w:pStyle w:val="Heading3"/>
      </w:pPr>
      <w:bookmarkStart w:id="14" w:name="_heading=h.1t3h5sf" w:colFirst="0" w:colLast="0"/>
      <w:bookmarkStart w:id="15" w:name="_Toc132821911"/>
      <w:bookmarkEnd w:id="14"/>
      <w:r>
        <w:t>Population 1: Newborns</w:t>
      </w:r>
      <w:bookmarkEnd w:id="15"/>
      <w:r>
        <w:t xml:space="preserve"> </w:t>
      </w:r>
    </w:p>
    <w:p w14:paraId="00000049" w14:textId="6EC83BEE" w:rsidR="00F554A7" w:rsidRDefault="007A75BF">
      <w:r w:rsidRPr="001E7563">
        <w:t xml:space="preserve">The conditions proposed for screening are inherited disorders in the structure or quantity of haemoglobin, or haemoglobinopathies. Haemoglobin (Hb), which is essential for oxygen transportation, is a protein normally constructed of two alpha and two beta chains (HbA). SCD and β-thalassaemia are two of the most severe haemoglobinopathies and the two conditions proposed to be added to the NBS. </w:t>
      </w:r>
    </w:p>
    <w:p w14:paraId="0000004A" w14:textId="7A5389FF" w:rsidR="00F554A7" w:rsidRDefault="007A75BF">
      <w:r>
        <w:t>SCD usually occurs with the inheritance of two HbS variants (or HbSS), one in each copy of the beta globin gene (</w:t>
      </w:r>
      <w:r>
        <w:rPr>
          <w:i/>
        </w:rPr>
        <w:t>HBB</w:t>
      </w:r>
      <w:r>
        <w:t xml:space="preserve"> gene), but other variants are also known. People with SCD have rigid, sickle-shaped red blood cells that can block blood vessels particularly during hypoxia or dehydration, preventing tissue from getting sufficient oxygen. This can cause intense pain, infection, organ damage (lungs, kidneys, spleen and brain) and stroke (Genetic Science Learning Centre). </w:t>
      </w:r>
    </w:p>
    <w:p w14:paraId="0000004B" w14:textId="5DA0236A" w:rsidR="00F554A7" w:rsidRDefault="007A75BF">
      <w:r>
        <w:t>Since SCD impairs red cell production and is associated with increased red cell haemolysis, there is a potential lifelong requirement for blood transfusion (with increasing risk for alloimmunisation and reduction in availability of matched red cells for transfusion, over time) to ameliorate the disease effects. The American Society of Hematology guidelines suggests performing “extended red cell antigen profile by genotype or serology over only ABO/RhD typing for all patients with SCD (all genotypes) at the earliest opportunity (optimally before the first transfusion)” (Chou et al. 2020)</w:t>
      </w:r>
      <w:r w:rsidRPr="00F92A89">
        <w:rPr>
          <w:rStyle w:val="FootnoteReference"/>
        </w:rPr>
        <w:footnoteReference w:id="6"/>
      </w:r>
      <w:r>
        <w:t>.</w:t>
      </w:r>
    </w:p>
    <w:p w14:paraId="0000004C" w14:textId="1BD9F59B" w:rsidR="00F554A7" w:rsidRDefault="007A75BF">
      <w:r>
        <w:t>Stroke, silent cerebral infarcts (silent strokes), and cognitive morbidity are the most common permanent sequelae of SCD in children and adults, occurring in approximately 39% of children before their 18</w:t>
      </w:r>
      <w:r>
        <w:rPr>
          <w:vertAlign w:val="superscript"/>
        </w:rPr>
        <w:t>th</w:t>
      </w:r>
      <w:r>
        <w:t xml:space="preserve"> birthday. Consequent to this risk for adverse neurodevelopmental outcome, children aged 2-16 years should have annual transcranial doppler (TCD) performed to assess risk for ischaemic stoke, and to direct transfusion need (see below). For suspected ischemic strokes, </w:t>
      </w:r>
      <w:r>
        <w:lastRenderedPageBreak/>
        <w:t>timely and appropriate red blood cell transfusion (within 2 hours of presentation to medical care) should be provided (DeBaun et al. 2020)</w:t>
      </w:r>
      <w:r>
        <w:rPr>
          <w:vertAlign w:val="superscript"/>
        </w:rPr>
        <w:footnoteReference w:id="7"/>
      </w:r>
      <w:r>
        <w:t xml:space="preserve">. </w:t>
      </w:r>
    </w:p>
    <w:p w14:paraId="0000004D" w14:textId="516A5885" w:rsidR="00F554A7" w:rsidRDefault="007A75BF">
      <w:r>
        <w:t>For children with SCD (ages 2-16 years) and abnormal TCD results who have been receiving transfusion therapy for at least 1 year and are interested in stopping transfusion, according to the clinical trial risk stratification with an MRI and magnetic resonance angiography (MRA) of the brain that hydroxyurea (HU) treatment at the maximum tolerated dose can be considered to substitute for regular blood transfusions (conditional recommendation based on low certainty in the evidence about effects (DeBaun et al. 2020). There are currently no official clinical recommendations for the use of HU in children with SCD in Australia, although it is recommended for prevention of stroke and acute chest syndrome (ACS) by some clinical groups (ASCA 2021; Greenway G).</w:t>
      </w:r>
    </w:p>
    <w:p w14:paraId="0000004E" w14:textId="77777777" w:rsidR="00F554A7" w:rsidRDefault="007A75BF">
      <w:r>
        <w:t>In the general population, young children have a higher risk of severe pneumococcal infection, with pneumococcal vaccination being included in the routine vaccination schedule</w:t>
      </w:r>
      <w:r w:rsidRPr="00F92A89">
        <w:rPr>
          <w:rStyle w:val="FootnoteReference"/>
        </w:rPr>
        <w:footnoteReference w:id="8"/>
      </w:r>
      <w:r>
        <w:t xml:space="preserve">. Individuals with SCD have a higher risk for pneumococcal infection than the general population and are eligible for additional vaccine doses in early childhood at 6 months and 4 years of age. </w:t>
      </w:r>
    </w:p>
    <w:p w14:paraId="0000004F" w14:textId="11566381" w:rsidR="00F554A7" w:rsidRDefault="007A75BF">
      <w:r w:rsidRPr="00F92A89">
        <w:t xml:space="preserve">People with severe β-thalassaemia (intermedia and major) have also inherited variants in both </w:t>
      </w:r>
      <w:r>
        <w:rPr>
          <w:i/>
        </w:rPr>
        <w:t>HBB</w:t>
      </w:r>
      <w:r>
        <w:t xml:space="preserve"> genes, which severely reduces the quantity of beta chains produced. The resultant excess of alpha chains can cause abnormal structures to form, and anaemia is common. Iron overload from regular transfusion causes iron toxicity and deposition in multiple organs with consequent impairment of function. A combination of SCD and </w:t>
      </w:r>
      <w:r>
        <w:rPr>
          <w:rFonts w:ascii="Calibri" w:eastAsia="Calibri" w:hAnsi="Calibri" w:cs="Calibri"/>
        </w:rPr>
        <w:t>β</w:t>
      </w:r>
      <w:r>
        <w:t>-thalassaemia variants can be inherited by the same individual. The target population for screening is all babies born in Australia who participate in universal newborn bloodspot screening programs. Included in the target population are infants at general risk (no known risk factors) and those at high risk of having SCD (including the homozygous HbSS form, heterozygous HbSC form, or HbS</w:t>
      </w:r>
      <w:r>
        <w:rPr>
          <w:rFonts w:ascii="Calibri" w:eastAsia="Calibri" w:hAnsi="Calibri" w:cs="Calibri"/>
        </w:rPr>
        <w:t>β</w:t>
      </w:r>
      <w:r w:rsidRPr="00F92A89">
        <w:t xml:space="preserve">-thalassaemia), or β-thalassaemia (including thalassaemia major, thalassaemia intermedia, HbEβ-thalassaemia, or δβ-thalassaemia) due to factors such as ancestry or family history. </w:t>
      </w:r>
    </w:p>
    <w:p w14:paraId="00000050" w14:textId="77777777" w:rsidR="00F554A7" w:rsidRDefault="007A75BF">
      <w:r>
        <w:t xml:space="preserve">Newborns with SCD are at risk of serious symptoms as early as 8 to 10 weeks of age, and are at higher risk of mortality than the general population due to infection, and splenic infarction, which may occur during sickle crises. For babies with </w:t>
      </w:r>
      <w:r>
        <w:rPr>
          <w:rFonts w:ascii="Calibri" w:eastAsia="Calibri" w:hAnsi="Calibri" w:cs="Calibri"/>
        </w:rPr>
        <w:t>β</w:t>
      </w:r>
      <w:r>
        <w:t xml:space="preserve">-thalassaemia major or intermedia, severe anaemia can cause serious symptoms in the first year of life. It is proposed that NBS will diagnose neonates earlier than they are currently diagnosed in Australia, thereby reducing their morbidity and mortality. Babies with SCD can be given prophylactic penicillin and additional pneumococcal vaccination when diagnosed early, which are intended to lower the risk of sepsis, pneumonia, osteomyelitis, meningitis and death. </w:t>
      </w:r>
    </w:p>
    <w:p w14:paraId="00000051" w14:textId="77777777" w:rsidR="00F554A7" w:rsidRDefault="007A75BF">
      <w:r>
        <w:t xml:space="preserve">Early diagnosis brings awareness of the condition that enables commencement of monitoring for cerebrovascular disease risk, commencement of prophylactic interventions, undertaking baseline red cell antigen testing, and identification of symptoms in their earlier stages leading to earlier treatment. Hospitalisation should be reduced, and fewer downstream sequalae from severe anaemia, venous blockages and splenic sequestration should reduce the burden on the health system and improve health and social outcomes for children with severe haemoglobinopathies. </w:t>
      </w:r>
    </w:p>
    <w:p w14:paraId="00000052" w14:textId="77777777" w:rsidR="00F554A7" w:rsidRDefault="007A75BF">
      <w:pPr>
        <w:pStyle w:val="Heading3"/>
      </w:pPr>
      <w:bookmarkStart w:id="16" w:name="_heading=h.4d34og8" w:colFirst="0" w:colLast="0"/>
      <w:bookmarkStart w:id="17" w:name="_Toc132821912"/>
      <w:bookmarkEnd w:id="16"/>
      <w:r>
        <w:lastRenderedPageBreak/>
        <w:t>Population 2: Family members</w:t>
      </w:r>
      <w:bookmarkEnd w:id="17"/>
    </w:p>
    <w:p w14:paraId="00000053" w14:textId="77777777" w:rsidR="00F554A7" w:rsidRDefault="007A75BF">
      <w:r>
        <w:t xml:space="preserve">When a newborn is diagnosed with a haemoglobinopathy, both parents can be assumed to be carriers of pathogenic or likely pathogenic (P/LP) variants, and they are assumed to have a one in four chance of having an affected child with each subsequent pregnancy. It is proposed that cascade testing is offered to both parents as it can provide additional information for reproductive planning. While cascade testing is already offered to the relatives of cases identified through symptomatic presentation, the size of the population eligible for cascade testing may increase slightly if haemoglobinopathies were added to NBS. It is also proposed that siblings of a diagnosed child are eligible for cascade testing as they may be affected (and as yet undiagnosed) or carriers. </w:t>
      </w:r>
    </w:p>
    <w:p w14:paraId="00000054" w14:textId="77777777" w:rsidR="00F554A7" w:rsidRDefault="007A75BF">
      <w:r>
        <w:t>In the absence of a timely diagnosis of a newborn who has not yet become symptomatic, there is a risk the couple may have another affected child before the first child receives a formal diagnosis.</w:t>
      </w:r>
    </w:p>
    <w:p w14:paraId="00000055" w14:textId="77777777" w:rsidR="00F554A7" w:rsidRDefault="007A75BF" w:rsidP="001E7563">
      <w:pPr>
        <w:pStyle w:val="Heading2"/>
        <w:numPr>
          <w:ilvl w:val="0"/>
          <w:numId w:val="0"/>
        </w:numPr>
      </w:pPr>
      <w:bookmarkStart w:id="18" w:name="_heading=h.2s8eyo1" w:colFirst="0" w:colLast="0"/>
      <w:bookmarkStart w:id="19" w:name="_Toc132821913"/>
      <w:bookmarkEnd w:id="18"/>
      <w:r>
        <w:t>8.</w:t>
      </w:r>
      <w:r>
        <w:tab/>
        <w:t>Comparator</w:t>
      </w:r>
      <w:bookmarkEnd w:id="19"/>
    </w:p>
    <w:p w14:paraId="00000056" w14:textId="77777777" w:rsidR="00F554A7" w:rsidRDefault="007A75BF">
      <w:pPr>
        <w:pStyle w:val="Heading3"/>
      </w:pPr>
      <w:bookmarkStart w:id="20" w:name="_heading=h.17dp8vu" w:colFirst="0" w:colLast="0"/>
      <w:bookmarkStart w:id="21" w:name="_Toc132821914"/>
      <w:bookmarkEnd w:id="20"/>
      <w:r>
        <w:t>Population 1: Newborns</w:t>
      </w:r>
      <w:bookmarkEnd w:id="21"/>
    </w:p>
    <w:p w14:paraId="00000057" w14:textId="77777777" w:rsidR="00F554A7" w:rsidRDefault="007A75BF">
      <w:r>
        <w:t>The primary comparator to universal NBS for haemoglobinopathies is no screening. In the absence of universal NBS, individuals who have the disease would only be investigated after presenting with clinical symptoms of a haemoglobinopathy (i.e. the comparator would be clinical diagnosis). As an example, the investigations may consist of HPLC and CE (using MBS items 65078 and 65081), followed by genetic testing. This scenario does not reflect current clinical practice in Australia.</w:t>
      </w:r>
    </w:p>
    <w:p w14:paraId="00000058" w14:textId="4EB97F90" w:rsidR="00F554A7" w:rsidRDefault="007A75BF">
      <w:r>
        <w:t xml:space="preserve">A secondary comparator to universal NBS is targeted testing of neonates suspected or known to be at high risk. Testing of at-risk couples (preconception or prenatal) is recommended clinical practice in Australia, as mentioned above, and this would continue if NBS was introduced. However targeted testing of newborn babies missed through preconception or prenatal testing would be replaced by NBS. Reliable, recent data on the number of babies missed by targeted antenatal or neonatal testing were not available, so a range of estimates have been used, informed by older data and clinical experts. Targeted testing on cord blood currently takes place in Western Australia. Neonates are considered to be at high risk of inheriting SCD if they have parents of indigenous African origin, or if at least one parent has SCD. For </w:t>
      </w:r>
      <w:r>
        <w:rPr>
          <w:rFonts w:ascii="Calibri" w:eastAsia="Calibri" w:hAnsi="Calibri" w:cs="Calibri"/>
        </w:rPr>
        <w:t>β</w:t>
      </w:r>
      <w:r>
        <w:t xml:space="preserve">-thalassaemia, neonates are considered at risk if they have parents of Middle Eastern, Indian subcontinent or Asian origin or if at least one parent has </w:t>
      </w:r>
      <w:r>
        <w:rPr>
          <w:rFonts w:ascii="Calibri" w:eastAsia="Calibri" w:hAnsi="Calibri" w:cs="Calibri"/>
        </w:rPr>
        <w:t>β</w:t>
      </w:r>
      <w:r>
        <w:t>-thalassaemia. There are other ancestries that are also at risk</w:t>
      </w:r>
      <w:r w:rsidR="004A4555">
        <w:t>.</w:t>
      </w:r>
      <w:r>
        <w:t xml:space="preserve"> </w:t>
      </w:r>
    </w:p>
    <w:p w14:paraId="00000059" w14:textId="77777777" w:rsidR="00F554A7" w:rsidRDefault="007A75BF">
      <w:pPr>
        <w:pStyle w:val="Heading3"/>
      </w:pPr>
      <w:bookmarkStart w:id="22" w:name="_heading=h.3rdcrjn" w:colFirst="0" w:colLast="0"/>
      <w:bookmarkStart w:id="23" w:name="_Toc132821915"/>
      <w:bookmarkEnd w:id="22"/>
      <w:r>
        <w:t>Population 2: Family members</w:t>
      </w:r>
      <w:bookmarkEnd w:id="23"/>
    </w:p>
    <w:p w14:paraId="0000005A" w14:textId="77777777" w:rsidR="00F554A7" w:rsidRDefault="007A75BF">
      <w:pPr>
        <w:spacing w:before="0" w:after="200" w:line="276" w:lineRule="auto"/>
      </w:pPr>
      <w:r>
        <w:t>The comparator to cascade testing using a genetic test, is genetic counselling and cascade testing using phenotypic HPLC, CE or IEF.</w:t>
      </w:r>
    </w:p>
    <w:p w14:paraId="0000005B" w14:textId="77777777" w:rsidR="00F554A7" w:rsidRDefault="007A75BF" w:rsidP="00E45CA6">
      <w:pPr>
        <w:pStyle w:val="Heading2"/>
        <w:numPr>
          <w:ilvl w:val="1"/>
          <w:numId w:val="0"/>
        </w:numPr>
      </w:pPr>
      <w:bookmarkStart w:id="24" w:name="_heading=h.26in1rg" w:colFirst="0" w:colLast="0"/>
      <w:bookmarkStart w:id="25" w:name="_Toc132821916"/>
      <w:bookmarkEnd w:id="24"/>
      <w:r>
        <w:t>9.</w:t>
      </w:r>
      <w:r>
        <w:tab/>
        <w:t>Summary of public consultation input</w:t>
      </w:r>
      <w:bookmarkEnd w:id="25"/>
    </w:p>
    <w:p w14:paraId="0000005C" w14:textId="77777777" w:rsidR="00F554A7" w:rsidRDefault="007A75BF">
      <w:pPr>
        <w:spacing w:line="276" w:lineRule="auto"/>
      </w:pPr>
      <w:r>
        <w:t xml:space="preserve">Consultation feedback was received from eight (8) professional organisations, three (3) consumer organisations and four (4) health professionals. The organisations that submitted input were: </w:t>
      </w:r>
    </w:p>
    <w:p w14:paraId="0000005D" w14:textId="77777777" w:rsidR="00F554A7" w:rsidRPr="00E45CA6" w:rsidRDefault="007A75BF" w:rsidP="00E45CA6">
      <w:pPr>
        <w:pStyle w:val="ListParagraph"/>
        <w:numPr>
          <w:ilvl w:val="0"/>
          <w:numId w:val="54"/>
        </w:numPr>
      </w:pPr>
      <w:r w:rsidRPr="00E45CA6">
        <w:lastRenderedPageBreak/>
        <w:t>The New South Wales NBS Programme and CHW Haematology Department (NSW NBS Programme)</w:t>
      </w:r>
    </w:p>
    <w:p w14:paraId="0000005E" w14:textId="77777777" w:rsidR="00F554A7" w:rsidRPr="00E45CA6" w:rsidRDefault="007A75BF" w:rsidP="00E45CA6">
      <w:pPr>
        <w:pStyle w:val="ListParagraph"/>
        <w:numPr>
          <w:ilvl w:val="0"/>
          <w:numId w:val="54"/>
        </w:numPr>
      </w:pPr>
      <w:r w:rsidRPr="00E45CA6">
        <w:t>Thalassaemia and Sickle Cell Australia (TASCA)</w:t>
      </w:r>
    </w:p>
    <w:p w14:paraId="0000005F" w14:textId="77777777" w:rsidR="00F554A7" w:rsidRPr="00E45CA6" w:rsidRDefault="007A75BF" w:rsidP="00E45CA6">
      <w:pPr>
        <w:pStyle w:val="ListParagraph"/>
        <w:numPr>
          <w:ilvl w:val="0"/>
          <w:numId w:val="54"/>
        </w:numPr>
      </w:pPr>
      <w:r w:rsidRPr="00E45CA6">
        <w:t>Genetic Undiagnosed and Rare Disease Collaborative Australia (GUARD)</w:t>
      </w:r>
    </w:p>
    <w:p w14:paraId="00000060" w14:textId="77777777" w:rsidR="00F554A7" w:rsidRPr="00E45CA6" w:rsidRDefault="007A75BF" w:rsidP="00E45CA6">
      <w:pPr>
        <w:pStyle w:val="ListParagraph"/>
        <w:numPr>
          <w:ilvl w:val="0"/>
          <w:numId w:val="54"/>
        </w:numPr>
      </w:pPr>
      <w:r w:rsidRPr="00E45CA6">
        <w:t>South Australia Women’s and Children’s Hospital, department of Haematology/oncology (WCH)</w:t>
      </w:r>
    </w:p>
    <w:p w14:paraId="00000061" w14:textId="77777777" w:rsidR="00F554A7" w:rsidRPr="00E45CA6" w:rsidRDefault="007A75BF" w:rsidP="00E45CA6">
      <w:pPr>
        <w:pStyle w:val="ListParagraph"/>
        <w:numPr>
          <w:ilvl w:val="0"/>
          <w:numId w:val="54"/>
        </w:numPr>
      </w:pPr>
      <w:r w:rsidRPr="00E45CA6">
        <w:t>The Newborn Screening Committee of the Human Genetics Society of Australia (HGSA)</w:t>
      </w:r>
    </w:p>
    <w:p w14:paraId="00000062" w14:textId="77777777" w:rsidR="00F554A7" w:rsidRPr="00E45CA6" w:rsidRDefault="007A75BF" w:rsidP="00E45CA6">
      <w:pPr>
        <w:pStyle w:val="ListParagraph"/>
        <w:numPr>
          <w:ilvl w:val="0"/>
          <w:numId w:val="54"/>
        </w:numPr>
      </w:pPr>
      <w:r w:rsidRPr="00E45CA6">
        <w:t>Rare Voices Australia</w:t>
      </w:r>
    </w:p>
    <w:p w14:paraId="00000063" w14:textId="77777777" w:rsidR="00F554A7" w:rsidRPr="00E45CA6" w:rsidRDefault="007A75BF" w:rsidP="00E45CA6">
      <w:pPr>
        <w:pStyle w:val="ListParagraph"/>
        <w:numPr>
          <w:ilvl w:val="0"/>
          <w:numId w:val="54"/>
        </w:numPr>
      </w:pPr>
      <w:r w:rsidRPr="00E45CA6">
        <w:t>Royal Children’s Hospital/Royal Women’s Hospital, Victoria (RCH/RWH)</w:t>
      </w:r>
    </w:p>
    <w:p w14:paraId="00000064" w14:textId="77777777" w:rsidR="00F554A7" w:rsidRPr="00E45CA6" w:rsidRDefault="007A75BF" w:rsidP="00E45CA6">
      <w:pPr>
        <w:pStyle w:val="ListParagraph"/>
        <w:numPr>
          <w:ilvl w:val="0"/>
          <w:numId w:val="54"/>
        </w:numPr>
      </w:pPr>
      <w:r w:rsidRPr="00E45CA6">
        <w:t>PathWest Haemoglobinopathy Reference Laboratory and Perth Children’s Hospital Haematology Department (PathWest)</w:t>
      </w:r>
    </w:p>
    <w:p w14:paraId="00000065" w14:textId="77777777" w:rsidR="00F554A7" w:rsidRPr="00E45CA6" w:rsidRDefault="007A75BF" w:rsidP="00E45CA6">
      <w:pPr>
        <w:pStyle w:val="ListParagraph"/>
        <w:numPr>
          <w:ilvl w:val="0"/>
          <w:numId w:val="54"/>
        </w:numPr>
      </w:pPr>
      <w:r w:rsidRPr="00E45CA6">
        <w:t>Victorian Clinical Genetics Service (VCGS)</w:t>
      </w:r>
    </w:p>
    <w:p w14:paraId="00000066" w14:textId="77777777" w:rsidR="00F554A7" w:rsidRPr="00E45CA6" w:rsidRDefault="007A75BF" w:rsidP="00E45CA6">
      <w:pPr>
        <w:pStyle w:val="ListParagraph"/>
        <w:numPr>
          <w:ilvl w:val="0"/>
          <w:numId w:val="54"/>
        </w:numPr>
      </w:pPr>
      <w:r w:rsidRPr="00E45CA6">
        <w:t>Australian Haemoglobinopathy Registry (HbR)</w:t>
      </w:r>
    </w:p>
    <w:p w14:paraId="00000067" w14:textId="77777777" w:rsidR="00F554A7" w:rsidRPr="00E45CA6" w:rsidRDefault="007A75BF" w:rsidP="00E45CA6">
      <w:pPr>
        <w:pStyle w:val="ListParagraph"/>
        <w:numPr>
          <w:ilvl w:val="0"/>
          <w:numId w:val="54"/>
        </w:numPr>
      </w:pPr>
      <w:r w:rsidRPr="00E45CA6">
        <w:t xml:space="preserve">Haematology Society of Australia and New Zealand (HSANZ) </w:t>
      </w:r>
    </w:p>
    <w:p w14:paraId="00000068" w14:textId="77777777" w:rsidR="00F554A7" w:rsidRDefault="007A75BF">
      <w:r>
        <w:t xml:space="preserve">Additional targeted comments were provided by the NSW NBS Program following PASC consideration. </w:t>
      </w:r>
    </w:p>
    <w:p w14:paraId="00000069" w14:textId="77777777" w:rsidR="00F554A7" w:rsidRDefault="007A75BF">
      <w:r>
        <w:t xml:space="preserve">The consultation feedback received was mixed. Most respondents acknowledged potential benefits of NBS for SCD and </w:t>
      </w:r>
      <w:r>
        <w:rPr>
          <w:rFonts w:ascii="Calibri" w:eastAsia="Calibri" w:hAnsi="Calibri" w:cs="Calibri"/>
        </w:rPr>
        <w:t>β</w:t>
      </w:r>
      <w:r>
        <w:t xml:space="preserve">- thalassaemia. However, several respondents were not supportive of the proposed service. </w:t>
      </w:r>
    </w:p>
    <w:p w14:paraId="0000006A" w14:textId="77777777" w:rsidR="00F554A7" w:rsidRDefault="007A75BF">
      <w:r>
        <w:t>The consultation feedback raised concerns in relation to the proposed test method, the detection of genetic carriers, and the detection of non-paternity.</w:t>
      </w:r>
    </w:p>
    <w:p w14:paraId="0000006B" w14:textId="77777777" w:rsidR="00F554A7" w:rsidRDefault="007A75BF">
      <w:r>
        <w:t xml:space="preserve">The main benefits of public funding received in the consultation feedback included: </w:t>
      </w:r>
    </w:p>
    <w:p w14:paraId="0000006C" w14:textId="77777777" w:rsidR="00F554A7" w:rsidRPr="00E45CA6" w:rsidRDefault="007A75BF" w:rsidP="00E45CA6">
      <w:pPr>
        <w:pStyle w:val="ListParagraph"/>
        <w:numPr>
          <w:ilvl w:val="0"/>
          <w:numId w:val="43"/>
        </w:numPr>
      </w:pPr>
      <w:r w:rsidRPr="00E45CA6">
        <w:t xml:space="preserve">Benefits from earlier diagnosis. This included earlier initiation of treatment and monitoring which could reduce disease complications and improve quality of life. Some respondents considered public funding would help reduce disease associated mortality and morbidity and may therefore reduce grief experienced by families. </w:t>
      </w:r>
    </w:p>
    <w:p w14:paraId="0000006D" w14:textId="77777777" w:rsidR="00F554A7" w:rsidRPr="00E45CA6" w:rsidRDefault="007A75BF" w:rsidP="00E45CA6">
      <w:pPr>
        <w:pStyle w:val="ListParagraph"/>
        <w:numPr>
          <w:ilvl w:val="0"/>
          <w:numId w:val="43"/>
        </w:numPr>
      </w:pPr>
      <w:r w:rsidRPr="00E45CA6">
        <w:t xml:space="preserve">Improved access to testing and avoiding diagnostic odyssey.  </w:t>
      </w:r>
    </w:p>
    <w:p w14:paraId="0000006E" w14:textId="77777777" w:rsidR="00F554A7" w:rsidRDefault="007A75BF">
      <w:r>
        <w:t>The main disadvantages of public funding received in the consultation feedback included:</w:t>
      </w:r>
    </w:p>
    <w:p w14:paraId="0000006F" w14:textId="77777777" w:rsidR="00F554A7" w:rsidRPr="00E45CA6" w:rsidRDefault="007A75BF" w:rsidP="00E45CA6">
      <w:pPr>
        <w:pStyle w:val="ListParagraph"/>
        <w:numPr>
          <w:ilvl w:val="0"/>
          <w:numId w:val="43"/>
        </w:numPr>
      </w:pPr>
      <w:r w:rsidRPr="00E45CA6">
        <w:t>Identifying carriers who will not develop disease</w:t>
      </w:r>
    </w:p>
    <w:p w14:paraId="00000070" w14:textId="77777777" w:rsidR="00F554A7" w:rsidRPr="00E45CA6" w:rsidRDefault="007A75BF" w:rsidP="00E45CA6">
      <w:pPr>
        <w:pStyle w:val="ListParagraph"/>
        <w:numPr>
          <w:ilvl w:val="0"/>
          <w:numId w:val="43"/>
        </w:numPr>
      </w:pPr>
      <w:r w:rsidRPr="00E45CA6">
        <w:t>Potential to identify people with mild disease. Analytical screening results may not predict the phenotypic variability seen with the beta-thalassaemias.</w:t>
      </w:r>
    </w:p>
    <w:p w14:paraId="00000071" w14:textId="77777777" w:rsidR="00F554A7" w:rsidRPr="00E45CA6" w:rsidRDefault="007A75BF" w:rsidP="00E45CA6">
      <w:pPr>
        <w:pStyle w:val="ListParagraph"/>
        <w:numPr>
          <w:ilvl w:val="0"/>
          <w:numId w:val="43"/>
        </w:numPr>
      </w:pPr>
      <w:r w:rsidRPr="00E45CA6">
        <w:t xml:space="preserve">Potential for false positives (e.g. other haemoglobinopathies). </w:t>
      </w:r>
    </w:p>
    <w:p w14:paraId="00000072" w14:textId="0C20DE00" w:rsidR="00F554A7" w:rsidRPr="00E45CA6" w:rsidRDefault="007A75BF" w:rsidP="00E45CA6">
      <w:pPr>
        <w:pStyle w:val="ListParagraph"/>
        <w:numPr>
          <w:ilvl w:val="0"/>
          <w:numId w:val="43"/>
        </w:numPr>
      </w:pPr>
      <w:r w:rsidRPr="00E45CA6">
        <w:t xml:space="preserve">Infants with beta-thalassaemia are less likely to benefit from early invention. </w:t>
      </w:r>
    </w:p>
    <w:p w14:paraId="00000073" w14:textId="77777777" w:rsidR="00F554A7" w:rsidRDefault="007A75BF" w:rsidP="001E7563">
      <w:pPr>
        <w:pStyle w:val="Heading2"/>
        <w:numPr>
          <w:ilvl w:val="0"/>
          <w:numId w:val="0"/>
        </w:numPr>
      </w:pPr>
      <w:bookmarkStart w:id="26" w:name="_heading=h.lnxbz9" w:colFirst="0" w:colLast="0"/>
      <w:bookmarkStart w:id="27" w:name="_Toc132821920"/>
      <w:bookmarkEnd w:id="26"/>
      <w:r>
        <w:t>10.</w:t>
      </w:r>
      <w:r>
        <w:tab/>
        <w:t>Characteristics of the evidence base</w:t>
      </w:r>
      <w:bookmarkEnd w:id="27"/>
    </w:p>
    <w:p w14:paraId="00000074" w14:textId="5E07DDA8" w:rsidR="00F554A7" w:rsidRDefault="007A75BF">
      <w:r>
        <w:t xml:space="preserve">The Health Technology Assessment (HTA) group conducted a systematic review (SR) of the peer reviewed literature published in PubMed and MEDLINE databases. A large body of direct evidence assessing NBS for SCD was identified. A 2016 HTA (IHE 2016) with broad study inclusion criteria formed the basis of direct evidence, with later published evidence included from the SR. The highest level of evidence overall was comparative cohort study (level III-3) although most studies were cohort studies without concurrent controls (level III-3). The studies were rated from low to moderate for risk of bias and were conducted in settings of low to high socioeconomic status. Many were performed in areas of high SCD prevalence, often associated with high malaria prevalence. Historically, high rates of malaria infection have driven a high </w:t>
      </w:r>
      <w:r>
        <w:lastRenderedPageBreak/>
        <w:t>prevalence of SCD, as carriers of SCD have been protected against the worst impacts of the plasmodium (</w:t>
      </w:r>
      <w:r>
        <w:rPr>
          <w:i/>
        </w:rPr>
        <w:t>P. falciparum</w:t>
      </w:r>
      <w:r>
        <w:t xml:space="preserve">) that causes malaria. The studies assessing NBS in high SCD prevalence countries do not have good applicability to the Australian healthcare setting. The </w:t>
      </w:r>
      <w:r>
        <w:rPr>
          <w:i/>
        </w:rPr>
        <w:t>P. falciparum</w:t>
      </w:r>
      <w:r>
        <w:t xml:space="preserve"> is rarely present in Australia, and malaria is not endemic, Countries with endemic malaria and high SCD prevalence are often of low socioeconomic status, with poor healthcare, and the combination of these factors has led to poor health outcomes for those with either disease. </w:t>
      </w:r>
    </w:p>
    <w:p w14:paraId="00000075" w14:textId="77777777" w:rsidR="00F554A7" w:rsidRDefault="007A75BF">
      <w:r>
        <w:t xml:space="preserve">Linked evidence was included to address the questions not covered in the direct evidence. There are also specific criteria for new applications for additions to NBS that must be addressed. Studies were included that assessed diagnostic accuracy, and treatment effectiveness. The evidence on treatment effectiveness was the highest-level evidence (level I) of this assessment as it came from a systematic review of RCTs of SCD treatments. This study was rated moderate for risk of bias, and the settings for the four relevant RCTs were France, Netherlands, and the United States. Of 31 diagnostic accuracy studies conducted on dried blood spots, the majority were rated high risk of bias, and only six rated low risk of bias. Once again, many of the studies were conducted in settings of high SCD prevalence and therefore have reduced applicability to Australia. </w:t>
      </w:r>
    </w:p>
    <w:p w14:paraId="00000076" w14:textId="77777777" w:rsidR="00F554A7" w:rsidRDefault="007A75BF">
      <w:r>
        <w:t xml:space="preserve">There was very limited evidence identified on </w:t>
      </w:r>
      <w:r>
        <w:rPr>
          <w:rFonts w:ascii="Calibri" w:eastAsia="Calibri" w:hAnsi="Calibri" w:cs="Calibri"/>
        </w:rPr>
        <w:t>β</w:t>
      </w:r>
      <w:r>
        <w:t xml:space="preserve">-thalassaemia, family members undergoing cascade testing, and change in management. </w:t>
      </w:r>
    </w:p>
    <w:p w14:paraId="00000077" w14:textId="2D9D306C" w:rsidR="00F554A7" w:rsidRDefault="007A75BF">
      <w:r>
        <w:t xml:space="preserve">A rapid review conducted by Abt Associates for Application 1737 provided an additional source of studies (Abt Associates 2022). </w:t>
      </w:r>
    </w:p>
    <w:p w14:paraId="00000078" w14:textId="4EE5BDFA" w:rsidR="00F554A7" w:rsidRDefault="007A75BF">
      <w:r>
        <w:t xml:space="preserve">The key features of the direct evidence are summarised in </w:t>
      </w:r>
      <w:r w:rsidR="000024E1">
        <w:fldChar w:fldCharType="begin"/>
      </w:r>
      <w:r w:rsidR="000024E1">
        <w:instrText xml:space="preserve"> REF _Ref69725651 \h </w:instrText>
      </w:r>
      <w:r w:rsidR="000024E1">
        <w:fldChar w:fldCharType="separate"/>
      </w:r>
      <w:r w:rsidR="006E058E" w:rsidRPr="00F92A89">
        <w:rPr>
          <w:rFonts w:eastAsia="Arial Narrow"/>
        </w:rPr>
        <w:t>Table </w:t>
      </w:r>
      <w:r w:rsidR="006E058E">
        <w:rPr>
          <w:noProof/>
        </w:rPr>
        <w:t>1</w:t>
      </w:r>
      <w:r w:rsidR="000024E1">
        <w:fldChar w:fldCharType="end"/>
      </w:r>
      <w:r>
        <w:t xml:space="preserve"> and for linked evidence in </w:t>
      </w:r>
      <w:r w:rsidR="000024E1">
        <w:fldChar w:fldCharType="begin"/>
      </w:r>
      <w:r w:rsidR="000024E1">
        <w:instrText xml:space="preserve"> REF _Ref69725659 \h </w:instrText>
      </w:r>
      <w:r w:rsidR="000024E1">
        <w:fldChar w:fldCharType="separate"/>
      </w:r>
      <w:r w:rsidR="006E058E" w:rsidRPr="00F92A89">
        <w:rPr>
          <w:rFonts w:eastAsia="Arial Narrow"/>
        </w:rPr>
        <w:t>Table </w:t>
      </w:r>
      <w:r w:rsidR="006E058E">
        <w:rPr>
          <w:noProof/>
        </w:rPr>
        <w:t>2</w:t>
      </w:r>
      <w:r w:rsidR="000024E1">
        <w:fldChar w:fldCharType="end"/>
      </w:r>
      <w:r w:rsidR="000024E1">
        <w:t>.</w:t>
      </w:r>
      <w:r>
        <w:t xml:space="preserve"> </w:t>
      </w:r>
    </w:p>
    <w:p w14:paraId="00000079" w14:textId="77BBB2C5" w:rsidR="00F554A7" w:rsidRPr="00F92A89" w:rsidRDefault="007A75BF" w:rsidP="00F92A89">
      <w:pPr>
        <w:pStyle w:val="Caption"/>
        <w:rPr>
          <w:rFonts w:eastAsia="Arial Narrow"/>
          <w:b w:val="0"/>
        </w:rPr>
      </w:pPr>
      <w:bookmarkStart w:id="28" w:name="_heading=h.35nkun2" w:colFirst="0" w:colLast="0"/>
      <w:bookmarkStart w:id="29" w:name="_Ref69725651"/>
      <w:bookmarkEnd w:id="28"/>
      <w:r w:rsidRPr="00F92A89">
        <w:rPr>
          <w:rFonts w:eastAsia="Arial Narrow"/>
        </w:rPr>
        <w:t>Table </w:t>
      </w:r>
      <w:r w:rsidR="00956ACE">
        <w:fldChar w:fldCharType="begin"/>
      </w:r>
      <w:r w:rsidR="00956ACE">
        <w:instrText>SEQ Table \* ARABIC</w:instrText>
      </w:r>
      <w:r w:rsidR="00956ACE">
        <w:fldChar w:fldCharType="separate"/>
      </w:r>
      <w:r w:rsidR="006E058E">
        <w:rPr>
          <w:noProof/>
        </w:rPr>
        <w:t>1</w:t>
      </w:r>
      <w:r w:rsidR="00956ACE">
        <w:fldChar w:fldCharType="end"/>
      </w:r>
      <w:bookmarkEnd w:id="29"/>
      <w:r w:rsidRPr="00F92A89">
        <w:rPr>
          <w:rFonts w:eastAsia="Arial Narrow"/>
        </w:rPr>
        <w:tab/>
        <w:t>Key features of the included direct evidence</w:t>
      </w:r>
      <w:r w:rsidRPr="00F92A89">
        <w:rPr>
          <w:rFonts w:eastAsia="Arial Narrow"/>
          <w:color w:val="538135" w:themeColor="accent6" w:themeShade="BF"/>
        </w:rPr>
        <w:t xml:space="preserve"> </w:t>
      </w:r>
      <w:r w:rsidRPr="00F92A89">
        <w:rPr>
          <w:rFonts w:eastAsia="Arial Narrow"/>
        </w:rPr>
        <w:t>(Population 1)</w:t>
      </w:r>
    </w:p>
    <w:tbl>
      <w:tblPr>
        <w:tblStyle w:val="TableGrid1"/>
        <w:tblW w:w="5107" w:type="pct"/>
        <w:tblLayout w:type="fixed"/>
        <w:tblCellMar>
          <w:left w:w="28" w:type="dxa"/>
          <w:right w:w="28" w:type="dxa"/>
        </w:tblCellMar>
        <w:tblLook w:val="04A0" w:firstRow="1" w:lastRow="0" w:firstColumn="1" w:lastColumn="0" w:noHBand="0" w:noVBand="1"/>
      </w:tblPr>
      <w:tblGrid>
        <w:gridCol w:w="941"/>
        <w:gridCol w:w="884"/>
        <w:gridCol w:w="1306"/>
        <w:gridCol w:w="974"/>
        <w:gridCol w:w="1560"/>
        <w:gridCol w:w="2553"/>
        <w:gridCol w:w="991"/>
      </w:tblGrid>
      <w:tr w:rsidR="00F554A7" w14:paraId="4583C25A" w14:textId="77777777" w:rsidTr="00F92A89">
        <w:trPr>
          <w:cnfStyle w:val="100000000000" w:firstRow="1" w:lastRow="0" w:firstColumn="0" w:lastColumn="0" w:oddVBand="0" w:evenVBand="0" w:oddHBand="0" w:evenHBand="0" w:firstRowFirstColumn="0" w:firstRowLastColumn="0" w:lastRowFirstColumn="0" w:lastRowLastColumn="0"/>
          <w:cantSplit/>
          <w:tblHeader/>
        </w:trPr>
        <w:tc>
          <w:tcPr>
            <w:tcW w:w="511" w:type="pct"/>
            <w:shd w:val="clear" w:color="auto" w:fill="auto"/>
            <w:vAlign w:val="center"/>
          </w:tcPr>
          <w:p w14:paraId="0000007A" w14:textId="77777777" w:rsidR="00F554A7" w:rsidRPr="001E7563" w:rsidRDefault="007A75BF" w:rsidP="00F92A89">
            <w:pPr>
              <w:pStyle w:val="In-tableHeading"/>
              <w:jc w:val="center"/>
            </w:pPr>
            <w:bookmarkStart w:id="30" w:name="bookmark=id.1ksv4uv" w:colFirst="0" w:colLast="0"/>
            <w:bookmarkStart w:id="31" w:name="_heading=h.44sinio" w:colFirst="0" w:colLast="0"/>
            <w:bookmarkStart w:id="32" w:name="ColumnTitle_Table3"/>
            <w:bookmarkEnd w:id="30"/>
            <w:bookmarkEnd w:id="31"/>
            <w:bookmarkEnd w:id="32"/>
            <w:r w:rsidRPr="00F92A89">
              <w:t>References</w:t>
            </w:r>
          </w:p>
        </w:tc>
        <w:tc>
          <w:tcPr>
            <w:tcW w:w="480" w:type="pct"/>
            <w:shd w:val="clear" w:color="auto" w:fill="auto"/>
            <w:vAlign w:val="center"/>
          </w:tcPr>
          <w:p w14:paraId="0000007B" w14:textId="77777777" w:rsidR="00F554A7" w:rsidRPr="001E7563" w:rsidRDefault="007A75BF" w:rsidP="00F92A89">
            <w:pPr>
              <w:pStyle w:val="In-tableHeading"/>
              <w:jc w:val="center"/>
            </w:pPr>
            <w:r w:rsidRPr="00F92A89">
              <w:t>k</w:t>
            </w:r>
            <w:r>
              <w:rPr>
                <w:rFonts w:eastAsia="Arial Narrow" w:cs="Arial Narrow"/>
              </w:rPr>
              <w:br/>
              <w:t>n</w:t>
            </w:r>
          </w:p>
        </w:tc>
        <w:tc>
          <w:tcPr>
            <w:tcW w:w="709" w:type="pct"/>
            <w:shd w:val="clear" w:color="auto" w:fill="auto"/>
            <w:vAlign w:val="center"/>
          </w:tcPr>
          <w:p w14:paraId="0000007C" w14:textId="77777777" w:rsidR="00F554A7" w:rsidRPr="001E7563" w:rsidRDefault="007A75BF" w:rsidP="00F92A89">
            <w:pPr>
              <w:pStyle w:val="In-tableHeading"/>
              <w:jc w:val="center"/>
            </w:pPr>
            <w:r w:rsidRPr="00F92A89">
              <w:t>Design/duration</w:t>
            </w:r>
          </w:p>
        </w:tc>
        <w:tc>
          <w:tcPr>
            <w:tcW w:w="529" w:type="pct"/>
            <w:shd w:val="clear" w:color="auto" w:fill="auto"/>
            <w:vAlign w:val="center"/>
          </w:tcPr>
          <w:p w14:paraId="0000007D" w14:textId="77777777" w:rsidR="00F554A7" w:rsidRPr="001E7563" w:rsidRDefault="007A75BF" w:rsidP="00F92A89">
            <w:pPr>
              <w:pStyle w:val="In-tableHeading"/>
              <w:jc w:val="center"/>
            </w:pPr>
            <w:r w:rsidRPr="00F92A89">
              <w:t>Risk of bias</w:t>
            </w:r>
          </w:p>
        </w:tc>
        <w:tc>
          <w:tcPr>
            <w:tcW w:w="847" w:type="pct"/>
            <w:shd w:val="clear" w:color="auto" w:fill="auto"/>
            <w:vAlign w:val="center"/>
          </w:tcPr>
          <w:p w14:paraId="0000007E" w14:textId="77777777" w:rsidR="00F554A7" w:rsidRPr="001E7563" w:rsidRDefault="007A75BF" w:rsidP="00F92A89">
            <w:pPr>
              <w:pStyle w:val="In-tableHeading"/>
              <w:jc w:val="center"/>
            </w:pPr>
            <w:r w:rsidRPr="00F92A89">
              <w:t>Patient population</w:t>
            </w:r>
          </w:p>
        </w:tc>
        <w:tc>
          <w:tcPr>
            <w:tcW w:w="1386" w:type="pct"/>
            <w:shd w:val="clear" w:color="auto" w:fill="auto"/>
            <w:vAlign w:val="center"/>
          </w:tcPr>
          <w:p w14:paraId="0000007F" w14:textId="77777777" w:rsidR="00F554A7" w:rsidRPr="001E7563" w:rsidRDefault="007A75BF" w:rsidP="00F92A89">
            <w:pPr>
              <w:pStyle w:val="In-tableHeading"/>
              <w:jc w:val="center"/>
            </w:pPr>
            <w:r w:rsidRPr="00F92A89">
              <w:t>Outcome(s)</w:t>
            </w:r>
          </w:p>
        </w:tc>
        <w:tc>
          <w:tcPr>
            <w:tcW w:w="539" w:type="pct"/>
            <w:shd w:val="clear" w:color="auto" w:fill="auto"/>
            <w:vAlign w:val="center"/>
          </w:tcPr>
          <w:p w14:paraId="00000080" w14:textId="77777777" w:rsidR="00F554A7" w:rsidRPr="001E7563" w:rsidRDefault="007A75BF" w:rsidP="00F92A89">
            <w:pPr>
              <w:pStyle w:val="In-tableHeading"/>
              <w:jc w:val="center"/>
            </w:pPr>
            <w:r w:rsidRPr="00F92A89">
              <w:t>Use in modelled evaluation</w:t>
            </w:r>
          </w:p>
        </w:tc>
      </w:tr>
      <w:tr w:rsidR="00F554A7" w14:paraId="6AC3D062" w14:textId="77777777" w:rsidTr="00F92A89">
        <w:trPr>
          <w:cantSplit/>
        </w:trPr>
        <w:tc>
          <w:tcPr>
            <w:tcW w:w="5000" w:type="pct"/>
            <w:gridSpan w:val="7"/>
            <w:shd w:val="clear" w:color="auto" w:fill="auto"/>
          </w:tcPr>
          <w:p w14:paraId="00000081" w14:textId="77777777" w:rsidR="00F554A7" w:rsidRPr="001E7563" w:rsidRDefault="007A75BF" w:rsidP="00F92A89">
            <w:pPr>
              <w:pStyle w:val="In-tableHeading"/>
            </w:pPr>
            <w:r w:rsidRPr="001E7563">
              <w:t xml:space="preserve">NBS for </w:t>
            </w:r>
            <w:r>
              <w:t>haemoglobinopathies vs no screening</w:t>
            </w:r>
          </w:p>
        </w:tc>
      </w:tr>
      <w:tr w:rsidR="00F554A7" w14:paraId="751E29B2" w14:textId="77777777" w:rsidTr="00F92A89">
        <w:trPr>
          <w:cantSplit/>
        </w:trPr>
        <w:tc>
          <w:tcPr>
            <w:tcW w:w="511" w:type="pct"/>
            <w:shd w:val="clear" w:color="auto" w:fill="auto"/>
          </w:tcPr>
          <w:p w14:paraId="00000088" w14:textId="2214280A" w:rsidR="00F554A7" w:rsidRPr="00F92A89" w:rsidRDefault="00496FB5" w:rsidP="00F92A89">
            <w:pPr>
              <w:pStyle w:val="TableText"/>
              <w:rPr>
                <w:lang w:val="en-US"/>
              </w:rPr>
            </w:pPr>
            <w:r>
              <w:rPr>
                <w:lang w:val="en-US"/>
              </w:rPr>
              <w:fldChar w:fldCharType="begin"/>
            </w:r>
            <w:r>
              <w:rPr>
                <w:lang w:val="en-US"/>
              </w:rPr>
              <w:instrText xml:space="preserve"> ADDIN EN.CITE &lt;EndNote&gt;&lt;Cite&gt;&lt;Author&gt;IHE&lt;/Author&gt;&lt;Year&gt;2016&lt;/Year&gt;&lt;RecNum&gt;13&lt;/RecNum&gt;&lt;DisplayText&gt;(IHE 2016)&lt;/DisplayText&gt;&lt;record&gt;&lt;rec-number&gt;13&lt;/rec-number&gt;&lt;foreign-keys&gt;&lt;key app="EN" db-id="p2fpwezd8trtaled22npdf09fsdtp5f5w5ar" timestamp="1663632377"&gt;13&lt;/key&gt;&lt;/foreign-keys&gt;&lt;ref-type name="Report"&gt;27&lt;/ref-type&gt;&lt;contributors&gt;&lt;authors&gt;&lt;author&gt;IHE&lt;/author&gt;&lt;/authors&gt;&lt;/contributors&gt;&lt;titles&gt;&lt;title&gt;Newborn blood spot screening for galactosemia, tyrosinemia type I, homocystinuria, sickle cell anemia, sickle cell/beta-thalassemia, sickle cell/hemoglobin C disease, and severe combined immunodeficiency&lt;/title&gt;&lt;secondary-title&gt;Edmonton (AB)&lt;/secondary-title&gt;&lt;/titles&gt;&lt;dates&gt;&lt;year&gt;2016&lt;/year&gt;&lt;/dates&gt;&lt;pub-location&gt;Canada&lt;/pub-location&gt;&lt;publisher&gt;Institute of Health Economics&lt;/publisher&gt;&lt;urls&gt;&lt;/urls&gt;&lt;/record&gt;&lt;/Cite&gt;&lt;/EndNote&gt;</w:instrText>
            </w:r>
            <w:r>
              <w:rPr>
                <w:lang w:val="en-US"/>
              </w:rPr>
              <w:fldChar w:fldCharType="separate"/>
            </w:r>
            <w:r>
              <w:rPr>
                <w:noProof/>
                <w:lang w:val="en-US"/>
              </w:rPr>
              <w:t>(IHE 2016)</w:t>
            </w:r>
            <w:r>
              <w:rPr>
                <w:lang w:val="en-US"/>
              </w:rPr>
              <w:fldChar w:fldCharType="end"/>
            </w:r>
          </w:p>
        </w:tc>
        <w:tc>
          <w:tcPr>
            <w:tcW w:w="480" w:type="pct"/>
            <w:shd w:val="clear" w:color="auto" w:fill="auto"/>
          </w:tcPr>
          <w:p w14:paraId="00000089" w14:textId="77777777" w:rsidR="00F554A7" w:rsidRPr="00F92A89" w:rsidRDefault="007A75BF" w:rsidP="00F92A89">
            <w:pPr>
              <w:pStyle w:val="TableText"/>
              <w:rPr>
                <w:lang w:val="en-US"/>
              </w:rPr>
            </w:pPr>
            <w:r w:rsidRPr="00F92A89">
              <w:rPr>
                <w:lang w:val="en-US"/>
              </w:rPr>
              <w:t>k=5</w:t>
            </w:r>
          </w:p>
          <w:p w14:paraId="0000008A" w14:textId="77777777" w:rsidR="00F554A7" w:rsidRPr="00F92A89" w:rsidRDefault="007A75BF" w:rsidP="00F92A89">
            <w:pPr>
              <w:pStyle w:val="TableText"/>
              <w:rPr>
                <w:lang w:val="en-US"/>
              </w:rPr>
            </w:pPr>
            <w:r w:rsidRPr="00F92A89">
              <w:rPr>
                <w:lang w:val="en-US"/>
              </w:rPr>
              <w:t>n=NR</w:t>
            </w:r>
          </w:p>
        </w:tc>
        <w:tc>
          <w:tcPr>
            <w:tcW w:w="709" w:type="pct"/>
            <w:shd w:val="clear" w:color="auto" w:fill="auto"/>
          </w:tcPr>
          <w:p w14:paraId="0000008B" w14:textId="77777777" w:rsidR="00F554A7" w:rsidRPr="00F92A89" w:rsidRDefault="007A75BF" w:rsidP="00F92A89">
            <w:pPr>
              <w:pStyle w:val="TableText"/>
              <w:rPr>
                <w:lang w:val="en-US"/>
              </w:rPr>
            </w:pPr>
            <w:r w:rsidRPr="00F92A89">
              <w:rPr>
                <w:lang w:val="en-US"/>
              </w:rPr>
              <w:t>Ret Coh</w:t>
            </w:r>
          </w:p>
          <w:p w14:paraId="0000008C" w14:textId="77777777" w:rsidR="00F554A7" w:rsidRPr="00F92A89" w:rsidRDefault="007A75BF" w:rsidP="00F92A89">
            <w:pPr>
              <w:pStyle w:val="TableText"/>
              <w:rPr>
                <w:lang w:val="en-US"/>
              </w:rPr>
            </w:pPr>
            <w:r w:rsidRPr="00F92A89">
              <w:rPr>
                <w:lang w:val="en-US"/>
              </w:rPr>
              <w:t>Up to 15 y</w:t>
            </w:r>
          </w:p>
        </w:tc>
        <w:tc>
          <w:tcPr>
            <w:tcW w:w="529" w:type="pct"/>
            <w:shd w:val="clear" w:color="auto" w:fill="auto"/>
          </w:tcPr>
          <w:p w14:paraId="0000008D" w14:textId="77777777" w:rsidR="00F554A7" w:rsidRPr="00F92A89" w:rsidRDefault="007A75BF" w:rsidP="00F92A89">
            <w:pPr>
              <w:pStyle w:val="TableText"/>
              <w:rPr>
                <w:i/>
                <w:lang w:val="en-US"/>
              </w:rPr>
            </w:pPr>
            <w:r w:rsidRPr="00F92A89">
              <w:rPr>
                <w:i/>
                <w:lang w:val="en-US"/>
              </w:rPr>
              <w:t>Low to high</w:t>
            </w:r>
          </w:p>
        </w:tc>
        <w:tc>
          <w:tcPr>
            <w:tcW w:w="847" w:type="pct"/>
            <w:shd w:val="clear" w:color="auto" w:fill="auto"/>
          </w:tcPr>
          <w:p w14:paraId="0000008E" w14:textId="77777777" w:rsidR="00F554A7" w:rsidRPr="00F92A89" w:rsidRDefault="007A75BF" w:rsidP="00F92A89">
            <w:pPr>
              <w:pStyle w:val="TableText"/>
              <w:rPr>
                <w:lang w:val="en-US"/>
              </w:rPr>
            </w:pPr>
            <w:r w:rsidRPr="00F92A89">
              <w:rPr>
                <w:lang w:val="en-US"/>
              </w:rPr>
              <w:t>Newborns participating in NBS</w:t>
            </w:r>
          </w:p>
        </w:tc>
        <w:tc>
          <w:tcPr>
            <w:tcW w:w="1386" w:type="pct"/>
            <w:shd w:val="clear" w:color="auto" w:fill="auto"/>
          </w:tcPr>
          <w:p w14:paraId="0000008F" w14:textId="77777777" w:rsidR="00F554A7" w:rsidRPr="00F92A89" w:rsidRDefault="007A75BF" w:rsidP="00F92A89">
            <w:pPr>
              <w:pStyle w:val="TableText"/>
              <w:rPr>
                <w:lang w:val="en-US"/>
              </w:rPr>
            </w:pPr>
            <w:r w:rsidRPr="00F92A89">
              <w:rPr>
                <w:lang w:val="en-US"/>
              </w:rPr>
              <w:t>Mortality</w:t>
            </w:r>
          </w:p>
          <w:p w14:paraId="00000090" w14:textId="77777777" w:rsidR="00F554A7" w:rsidRPr="00F92A89" w:rsidRDefault="007A75BF" w:rsidP="00F92A89">
            <w:pPr>
              <w:pStyle w:val="TableText"/>
              <w:rPr>
                <w:lang w:val="en-US"/>
              </w:rPr>
            </w:pPr>
            <w:r w:rsidRPr="00F92A89">
              <w:rPr>
                <w:lang w:val="en-US"/>
              </w:rPr>
              <w:t>Diagnostic accuracy</w:t>
            </w:r>
          </w:p>
        </w:tc>
        <w:tc>
          <w:tcPr>
            <w:tcW w:w="539" w:type="pct"/>
            <w:shd w:val="clear" w:color="auto" w:fill="auto"/>
          </w:tcPr>
          <w:p w14:paraId="00000091" w14:textId="77777777" w:rsidR="00F554A7" w:rsidRPr="00F92A89" w:rsidRDefault="00F554A7" w:rsidP="00F92A89">
            <w:pPr>
              <w:pStyle w:val="TableText"/>
              <w:rPr>
                <w:lang w:val="en-US"/>
              </w:rPr>
            </w:pPr>
          </w:p>
        </w:tc>
      </w:tr>
      <w:tr w:rsidR="00F554A7" w14:paraId="213299A9" w14:textId="77777777" w:rsidTr="00F92A89">
        <w:trPr>
          <w:cantSplit/>
        </w:trPr>
        <w:tc>
          <w:tcPr>
            <w:tcW w:w="511" w:type="pct"/>
            <w:shd w:val="clear" w:color="auto" w:fill="auto"/>
          </w:tcPr>
          <w:p w14:paraId="00000092" w14:textId="7A50C200" w:rsidR="00F554A7" w:rsidRPr="00F92A89" w:rsidRDefault="00496FB5" w:rsidP="00F92A89">
            <w:pPr>
              <w:pStyle w:val="TableText"/>
              <w:rPr>
                <w:lang w:val="en-US"/>
              </w:rPr>
            </w:pPr>
            <w:r>
              <w:rPr>
                <w:lang w:val="en-US"/>
              </w:rPr>
              <w:fldChar w:fldCharType="begin">
                <w:fldData xml:space="preserve">PEVuZE5vdGU+PENpdGU+PEF1dGhvcj5MZTwvQXV0aG9yPjxZZWFyPjIwMTg8L1llYXI+PFJlY051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==
</w:fldData>
              </w:fldChar>
            </w:r>
            <w:r w:rsidR="00834E25">
              <w:rPr>
                <w:lang w:val="en-US"/>
              </w:rPr>
              <w:instrText xml:space="preserve"> ADDIN EN.CITE </w:instrText>
            </w:r>
            <w:r w:rsidR="00834E25">
              <w:rPr>
                <w:lang w:val="en-US"/>
              </w:rPr>
              <w:fldChar w:fldCharType="begin">
                <w:fldData xml:space="preserve">PEVuZE5vdGU+PENpdGU+PEF1dGhvcj5MZTwvQXV0aG9yPjxZZWFyPjIwMTg8L1llYXI+PFJlY051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==
</w:fldData>
              </w:fldChar>
            </w:r>
            <w:r w:rsidR="00834E25">
              <w:rPr>
                <w:lang w:val="en-US"/>
              </w:rPr>
              <w:instrText xml:space="preserve"> ADDIN EN.CITE.DATA </w:instrText>
            </w:r>
            <w:r w:rsidR="00834E25">
              <w:rPr>
                <w:lang w:val="en-US"/>
              </w:rPr>
            </w:r>
            <w:r w:rsidR="00834E25">
              <w:rPr>
                <w:lang w:val="en-US"/>
              </w:rPr>
              <w:fldChar w:fldCharType="end"/>
            </w:r>
            <w:r>
              <w:rPr>
                <w:lang w:val="en-US"/>
              </w:rPr>
            </w:r>
            <w:r>
              <w:rPr>
                <w:lang w:val="en-US"/>
              </w:rPr>
              <w:fldChar w:fldCharType="separate"/>
            </w:r>
            <w:r>
              <w:rPr>
                <w:noProof/>
                <w:lang w:val="en-US"/>
              </w:rPr>
              <w:t>(Le et al. 2018)</w:t>
            </w:r>
            <w:r>
              <w:rPr>
                <w:lang w:val="en-US"/>
              </w:rPr>
              <w:fldChar w:fldCharType="end"/>
            </w:r>
          </w:p>
        </w:tc>
        <w:tc>
          <w:tcPr>
            <w:tcW w:w="480" w:type="pct"/>
            <w:shd w:val="clear" w:color="auto" w:fill="auto"/>
          </w:tcPr>
          <w:p w14:paraId="00000093" w14:textId="77777777" w:rsidR="00F554A7" w:rsidRPr="00F92A89" w:rsidRDefault="007A75BF" w:rsidP="00F92A89">
            <w:pPr>
              <w:pStyle w:val="TableText"/>
              <w:rPr>
                <w:lang w:val="en-US"/>
              </w:rPr>
            </w:pPr>
            <w:r w:rsidRPr="00F92A89">
              <w:rPr>
                <w:lang w:val="en-US"/>
              </w:rPr>
              <w:t>n=260</w:t>
            </w:r>
          </w:p>
        </w:tc>
        <w:tc>
          <w:tcPr>
            <w:tcW w:w="709" w:type="pct"/>
            <w:shd w:val="clear" w:color="auto" w:fill="auto"/>
          </w:tcPr>
          <w:p w14:paraId="00000094" w14:textId="77777777" w:rsidR="00F554A7" w:rsidRPr="00F92A89" w:rsidRDefault="007A75BF" w:rsidP="00F92A89">
            <w:pPr>
              <w:pStyle w:val="TableText"/>
              <w:rPr>
                <w:lang w:val="en-US"/>
              </w:rPr>
            </w:pPr>
            <w:r w:rsidRPr="00F92A89">
              <w:rPr>
                <w:lang w:val="en-US"/>
              </w:rPr>
              <w:t>Ret comparative Coh</w:t>
            </w:r>
          </w:p>
        </w:tc>
        <w:tc>
          <w:tcPr>
            <w:tcW w:w="529" w:type="pct"/>
            <w:shd w:val="clear" w:color="auto" w:fill="auto"/>
          </w:tcPr>
          <w:p w14:paraId="00000095" w14:textId="77777777" w:rsidR="00F554A7" w:rsidRPr="00F92A89" w:rsidRDefault="007A75BF" w:rsidP="00F92A89">
            <w:pPr>
              <w:pStyle w:val="TableText"/>
              <w:rPr>
                <w:i/>
                <w:lang w:val="en-US"/>
              </w:rPr>
            </w:pPr>
            <w:r w:rsidRPr="00F92A89">
              <w:rPr>
                <w:i/>
                <w:lang w:val="en-US"/>
              </w:rPr>
              <w:t>Low</w:t>
            </w:r>
          </w:p>
        </w:tc>
        <w:tc>
          <w:tcPr>
            <w:tcW w:w="847" w:type="pct"/>
            <w:shd w:val="clear" w:color="auto" w:fill="auto"/>
          </w:tcPr>
          <w:p w14:paraId="00000096" w14:textId="77777777" w:rsidR="00F554A7" w:rsidRPr="00F92A89" w:rsidRDefault="007A75BF" w:rsidP="00F92A89">
            <w:pPr>
              <w:pStyle w:val="TableText"/>
              <w:rPr>
                <w:lang w:val="en-US"/>
              </w:rPr>
            </w:pPr>
            <w:r w:rsidRPr="00F92A89">
              <w:rPr>
                <w:lang w:val="en-US"/>
              </w:rPr>
              <w:t>SCD patient register (diagnosis by NBS)</w:t>
            </w:r>
          </w:p>
        </w:tc>
        <w:tc>
          <w:tcPr>
            <w:tcW w:w="1386" w:type="pct"/>
            <w:shd w:val="clear" w:color="auto" w:fill="auto"/>
          </w:tcPr>
          <w:p w14:paraId="00000097" w14:textId="77777777" w:rsidR="00F554A7" w:rsidRPr="00F92A89" w:rsidRDefault="007A75BF" w:rsidP="00F92A89">
            <w:pPr>
              <w:pStyle w:val="TableText"/>
              <w:rPr>
                <w:lang w:val="en-US"/>
              </w:rPr>
            </w:pPr>
            <w:r w:rsidRPr="00F92A89">
              <w:rPr>
                <w:lang w:val="en-US"/>
              </w:rPr>
              <w:t>Time to diagnosis from first event</w:t>
            </w:r>
          </w:p>
          <w:p w14:paraId="00000098" w14:textId="77777777" w:rsidR="00F554A7" w:rsidRPr="00F92A89" w:rsidRDefault="007A75BF" w:rsidP="00F92A89">
            <w:pPr>
              <w:pStyle w:val="TableText"/>
              <w:rPr>
                <w:lang w:val="en-US"/>
              </w:rPr>
            </w:pPr>
            <w:r w:rsidRPr="00F92A89">
              <w:rPr>
                <w:lang w:val="en-US"/>
              </w:rPr>
              <w:t>15-year survival from diagnosis</w:t>
            </w:r>
          </w:p>
          <w:p w14:paraId="00000099" w14:textId="77777777" w:rsidR="00F554A7" w:rsidRPr="00F92A89" w:rsidRDefault="007A75BF" w:rsidP="00F92A89">
            <w:pPr>
              <w:pStyle w:val="TableText"/>
              <w:rPr>
                <w:lang w:val="en-US"/>
              </w:rPr>
            </w:pPr>
            <w:r w:rsidRPr="00F92A89">
              <w:rPr>
                <w:lang w:val="en-US"/>
              </w:rPr>
              <w:t>Likelihood of severe events</w:t>
            </w:r>
          </w:p>
        </w:tc>
        <w:tc>
          <w:tcPr>
            <w:tcW w:w="539" w:type="pct"/>
            <w:shd w:val="clear" w:color="auto" w:fill="auto"/>
          </w:tcPr>
          <w:p w14:paraId="0000009A" w14:textId="77777777" w:rsidR="00F554A7" w:rsidRPr="00F92A89" w:rsidRDefault="00F554A7" w:rsidP="00F92A89">
            <w:pPr>
              <w:pStyle w:val="TableText"/>
              <w:rPr>
                <w:lang w:val="en-US"/>
              </w:rPr>
            </w:pPr>
          </w:p>
        </w:tc>
      </w:tr>
    </w:tbl>
    <w:p w14:paraId="0000009B" w14:textId="77777777" w:rsidR="00F554A7" w:rsidRDefault="007A75BF">
      <w:pPr>
        <w:pStyle w:val="Tablenotes0"/>
      </w:pPr>
      <w:bookmarkStart w:id="33" w:name="_heading=h.2jxsxqh" w:colFirst="0" w:colLast="0"/>
      <w:bookmarkStart w:id="34" w:name="_Hlk68276176"/>
      <w:bookmarkEnd w:id="33"/>
      <w:r w:rsidRPr="00F92A89">
        <w:t>Coh = cohort study; NBS = newborn bloodspot screening; Ret = retrospective; SCD = sickle cell disease</w:t>
      </w:r>
    </w:p>
    <w:p w14:paraId="472773BF" w14:textId="5DBF78EC" w:rsidR="00784A6A" w:rsidRPr="00F92A89" w:rsidRDefault="00784A6A" w:rsidP="00F92A89">
      <w:pPr>
        <w:pStyle w:val="Tablenotes0"/>
      </w:pPr>
      <w:r>
        <w:t>Source</w:t>
      </w:r>
      <w:r w:rsidR="00B37E12">
        <w:t xml:space="preserve">: </w:t>
      </w:r>
      <w:r w:rsidR="00257889">
        <w:t xml:space="preserve">DCAR </w:t>
      </w:r>
      <w:r w:rsidR="00E61542">
        <w:t>T</w:t>
      </w:r>
      <w:r w:rsidR="00257889">
        <w:t>able 1</w:t>
      </w:r>
      <w:r w:rsidR="000656EC">
        <w:t>.</w:t>
      </w:r>
    </w:p>
    <w:p w14:paraId="0000009C" w14:textId="01C075F9" w:rsidR="00F554A7" w:rsidRPr="00F92A89" w:rsidRDefault="007A75BF" w:rsidP="00F92A89">
      <w:pPr>
        <w:pStyle w:val="Caption"/>
        <w:rPr>
          <w:rFonts w:eastAsia="Arial Narrow"/>
          <w:b w:val="0"/>
        </w:rPr>
      </w:pPr>
      <w:bookmarkStart w:id="35" w:name="_heading=h.z337ya" w:colFirst="0" w:colLast="0"/>
      <w:bookmarkStart w:id="36" w:name="_Ref69725659"/>
      <w:bookmarkEnd w:id="34"/>
      <w:bookmarkEnd w:id="35"/>
      <w:r w:rsidRPr="00F92A89">
        <w:rPr>
          <w:rFonts w:eastAsia="Arial Narrow"/>
        </w:rPr>
        <w:t>Table </w:t>
      </w:r>
      <w:r w:rsidR="00956ACE">
        <w:fldChar w:fldCharType="begin"/>
      </w:r>
      <w:r w:rsidR="00956ACE">
        <w:instrText>SEQ Table \* ARABIC</w:instrText>
      </w:r>
      <w:r w:rsidR="00956ACE">
        <w:fldChar w:fldCharType="separate"/>
      </w:r>
      <w:r w:rsidR="006E058E">
        <w:rPr>
          <w:noProof/>
        </w:rPr>
        <w:t>2</w:t>
      </w:r>
      <w:r w:rsidR="00956ACE">
        <w:fldChar w:fldCharType="end"/>
      </w:r>
      <w:bookmarkEnd w:id="36"/>
      <w:r w:rsidRPr="00F92A89">
        <w:rPr>
          <w:rFonts w:eastAsia="Arial Narrow"/>
        </w:rPr>
        <w:tab/>
        <w:t>Key features of the included linked evidence (Population 1)</w:t>
      </w:r>
    </w:p>
    <w:tbl>
      <w:tblPr>
        <w:tblStyle w:val="TableGrid1"/>
        <w:tblW w:w="5000" w:type="pct"/>
        <w:tblLayout w:type="fixed"/>
        <w:tblLook w:val="04A0" w:firstRow="1" w:lastRow="0" w:firstColumn="1" w:lastColumn="0" w:noHBand="0" w:noVBand="1"/>
      </w:tblPr>
      <w:tblGrid>
        <w:gridCol w:w="1562"/>
        <w:gridCol w:w="2544"/>
        <w:gridCol w:w="2977"/>
        <w:gridCol w:w="1933"/>
      </w:tblGrid>
      <w:tr w:rsidR="00F554A7" w14:paraId="2D3DB5F2" w14:textId="77777777" w:rsidTr="00F92A89">
        <w:trPr>
          <w:cnfStyle w:val="100000000000" w:firstRow="1" w:lastRow="0" w:firstColumn="0" w:lastColumn="0" w:oddVBand="0" w:evenVBand="0" w:oddHBand="0" w:evenHBand="0" w:firstRowFirstColumn="0" w:firstRowLastColumn="0" w:lastRowFirstColumn="0" w:lastRowLastColumn="0"/>
          <w:tblHeader/>
        </w:trPr>
        <w:tc>
          <w:tcPr>
            <w:tcW w:w="866" w:type="pct"/>
            <w:tcBorders>
              <w:top w:val="single" w:sz="4" w:space="0" w:color="auto"/>
              <w:left w:val="single" w:sz="4" w:space="0" w:color="auto"/>
              <w:bottom w:val="single" w:sz="4" w:space="0" w:color="auto"/>
              <w:right w:val="single" w:sz="4" w:space="0" w:color="auto"/>
            </w:tcBorders>
            <w:vAlign w:val="bottom"/>
          </w:tcPr>
          <w:p w14:paraId="0000009D" w14:textId="77777777" w:rsidR="00F554A7" w:rsidRDefault="007A75BF" w:rsidP="00F92A89">
            <w:pPr>
              <w:pStyle w:val="TableText"/>
              <w:keepNext/>
              <w:rPr>
                <w:b/>
              </w:rPr>
            </w:pPr>
            <w:bookmarkStart w:id="37" w:name="bookmark=id.3j2qqm3" w:colFirst="0" w:colLast="0"/>
            <w:bookmarkStart w:id="38" w:name="_heading=h.1y810tw" w:colFirst="0" w:colLast="0"/>
            <w:bookmarkStart w:id="39" w:name="ColumnTitle_Table4"/>
            <w:bookmarkEnd w:id="37"/>
            <w:bookmarkEnd w:id="38"/>
            <w:bookmarkEnd w:id="39"/>
            <w:r w:rsidRPr="00F92A89">
              <w:rPr>
                <w:b/>
              </w:rPr>
              <w:t>Criterion</w:t>
            </w:r>
          </w:p>
        </w:tc>
        <w:tc>
          <w:tcPr>
            <w:tcW w:w="1411" w:type="pct"/>
            <w:tcBorders>
              <w:top w:val="single" w:sz="4" w:space="0" w:color="auto"/>
              <w:left w:val="single" w:sz="4" w:space="0" w:color="auto"/>
              <w:bottom w:val="single" w:sz="4" w:space="0" w:color="auto"/>
              <w:right w:val="single" w:sz="4" w:space="0" w:color="auto"/>
            </w:tcBorders>
            <w:vAlign w:val="bottom"/>
            <w:hideMark/>
          </w:tcPr>
          <w:p w14:paraId="0000009E" w14:textId="77777777" w:rsidR="00F554A7" w:rsidRDefault="007A75BF" w:rsidP="00F92A89">
            <w:pPr>
              <w:pStyle w:val="TableText"/>
              <w:keepNext/>
              <w:rPr>
                <w:b/>
              </w:rPr>
            </w:pPr>
            <w:r w:rsidRPr="00F92A89">
              <w:rPr>
                <w:b/>
              </w:rPr>
              <w:t>Type of evidence supplied</w:t>
            </w:r>
          </w:p>
        </w:tc>
        <w:tc>
          <w:tcPr>
            <w:tcW w:w="1651" w:type="pct"/>
            <w:tcBorders>
              <w:top w:val="single" w:sz="4" w:space="0" w:color="auto"/>
              <w:left w:val="single" w:sz="4" w:space="0" w:color="auto"/>
              <w:bottom w:val="single" w:sz="4" w:space="0" w:color="auto"/>
              <w:right w:val="single" w:sz="4" w:space="0" w:color="auto"/>
            </w:tcBorders>
            <w:vAlign w:val="bottom"/>
            <w:hideMark/>
          </w:tcPr>
          <w:p w14:paraId="0000009F" w14:textId="77777777" w:rsidR="00F554A7" w:rsidRDefault="007A75BF" w:rsidP="00F92A89">
            <w:pPr>
              <w:pStyle w:val="TableText"/>
              <w:keepNext/>
              <w:rPr>
                <w:b/>
              </w:rPr>
            </w:pPr>
            <w:r w:rsidRPr="00F92A89">
              <w:rPr>
                <w:b/>
              </w:rPr>
              <w:t xml:space="preserve">Extent of evidence </w:t>
            </w:r>
            <w:r>
              <w:rPr>
                <w:rFonts w:eastAsia="Arial Narrow" w:cs="Arial Narrow"/>
                <w:b/>
              </w:rPr>
              <w:t>supplied</w:t>
            </w:r>
          </w:p>
        </w:tc>
        <w:tc>
          <w:tcPr>
            <w:tcW w:w="1072" w:type="pct"/>
            <w:tcBorders>
              <w:top w:val="single" w:sz="4" w:space="0" w:color="auto"/>
              <w:left w:val="single" w:sz="4" w:space="0" w:color="auto"/>
              <w:bottom w:val="single" w:sz="4" w:space="0" w:color="auto"/>
              <w:right w:val="single" w:sz="4" w:space="0" w:color="auto"/>
            </w:tcBorders>
            <w:vAlign w:val="bottom"/>
            <w:hideMark/>
          </w:tcPr>
          <w:p w14:paraId="000000A0" w14:textId="77777777" w:rsidR="00F554A7" w:rsidRDefault="007A75BF" w:rsidP="00F92A89">
            <w:pPr>
              <w:pStyle w:val="TableText"/>
              <w:keepNext/>
              <w:rPr>
                <w:b/>
              </w:rPr>
            </w:pPr>
            <w:r w:rsidRPr="00F92A89">
              <w:rPr>
                <w:b/>
              </w:rPr>
              <w:t>Overall risk of bias in evidence base</w:t>
            </w:r>
          </w:p>
        </w:tc>
      </w:tr>
      <w:tr w:rsidR="00F554A7" w14:paraId="3379DEAE" w14:textId="77777777" w:rsidTr="00F92A89">
        <w:tc>
          <w:tcPr>
            <w:tcW w:w="866" w:type="pct"/>
            <w:tcBorders>
              <w:top w:val="single" w:sz="4" w:space="0" w:color="auto"/>
              <w:left w:val="single" w:sz="4" w:space="0" w:color="auto"/>
              <w:bottom w:val="single" w:sz="4" w:space="0" w:color="auto"/>
              <w:right w:val="single" w:sz="4" w:space="0" w:color="auto"/>
            </w:tcBorders>
            <w:hideMark/>
          </w:tcPr>
          <w:p w14:paraId="000000A1" w14:textId="77777777" w:rsidR="00F554A7" w:rsidRPr="001E7563" w:rsidRDefault="007A75BF" w:rsidP="00F92A89">
            <w:pPr>
              <w:pStyle w:val="TableText"/>
              <w:keepNext/>
            </w:pPr>
            <w:r w:rsidRPr="001E7563">
              <w:t>Accuracy and performance of the test (cross-sectional accuracy)</w:t>
            </w:r>
          </w:p>
        </w:tc>
        <w:tc>
          <w:tcPr>
            <w:tcW w:w="1411" w:type="pct"/>
            <w:tcBorders>
              <w:top w:val="single" w:sz="4" w:space="0" w:color="auto"/>
              <w:left w:val="single" w:sz="4" w:space="0" w:color="auto"/>
              <w:bottom w:val="single" w:sz="4" w:space="0" w:color="auto"/>
              <w:right w:val="single" w:sz="4" w:space="0" w:color="auto"/>
            </w:tcBorders>
            <w:hideMark/>
          </w:tcPr>
          <w:p w14:paraId="000000A2" w14:textId="77777777" w:rsidR="00F554A7" w:rsidRDefault="007A75BF" w:rsidP="00F92A89">
            <w:pPr>
              <w:pStyle w:val="TableText"/>
              <w:keepNext/>
            </w:pPr>
            <w:r w:rsidRPr="001E7563">
              <w:t>Coh and CS</w:t>
            </w:r>
          </w:p>
          <w:p w14:paraId="000000A3" w14:textId="77777777" w:rsidR="00F554A7" w:rsidRDefault="007A75BF" w:rsidP="00F92A89">
            <w:pPr>
              <w:pStyle w:val="TableText"/>
              <w:keepNext/>
            </w:pPr>
            <w:r w:rsidRPr="001E7563">
              <w:t>Accuracy for SCD screening</w:t>
            </w:r>
          </w:p>
          <w:p w14:paraId="000000A4" w14:textId="77777777" w:rsidR="00F554A7" w:rsidRPr="001E7563" w:rsidRDefault="007A75BF" w:rsidP="00F92A89">
            <w:pPr>
              <w:pStyle w:val="TableText"/>
              <w:keepNext/>
            </w:pPr>
            <w:r w:rsidRPr="001E7563">
              <w:t xml:space="preserve">Accuracy for </w:t>
            </w:r>
            <w:r>
              <w:rPr>
                <w:rFonts w:ascii="Calibri" w:eastAsia="Calibri" w:hAnsi="Calibri" w:cs="Calibri"/>
              </w:rPr>
              <w:t>β</w:t>
            </w:r>
            <w:r w:rsidRPr="001E7563">
              <w:t xml:space="preserve">-thalassaemia screening </w:t>
            </w:r>
          </w:p>
        </w:tc>
        <w:tc>
          <w:tcPr>
            <w:tcW w:w="1651" w:type="pct"/>
            <w:tcBorders>
              <w:top w:val="single" w:sz="4" w:space="0" w:color="auto"/>
              <w:left w:val="single" w:sz="4" w:space="0" w:color="auto"/>
              <w:bottom w:val="single" w:sz="4" w:space="0" w:color="auto"/>
              <w:right w:val="single" w:sz="4" w:space="0" w:color="auto"/>
            </w:tcBorders>
            <w:hideMark/>
          </w:tcPr>
          <w:p w14:paraId="000000A5" w14:textId="77777777" w:rsidR="00F554A7" w:rsidRPr="001E7563" w:rsidRDefault="00F554A7" w:rsidP="00F92A89">
            <w:pPr>
              <w:pStyle w:val="TableText"/>
              <w:keepNext/>
            </w:pPr>
          </w:p>
          <w:p w14:paraId="000000A6" w14:textId="32C217C6" w:rsidR="00F554A7" w:rsidRDefault="0042566A" w:rsidP="00F92A89">
            <w:pPr>
              <w:pStyle w:val="TableText"/>
              <w:keepNext/>
            </w:pPr>
            <w:sdt>
              <w:sdtPr>
                <w:id w:val="1407497645"/>
                <w14:checkbox>
                  <w14:checked w14:val="1"/>
                  <w14:checkedState w14:val="2612" w14:font="MS Gothic"/>
                  <w14:uncheckedState w14:val="2610" w14:font="MS Gothic"/>
                </w14:checkbox>
              </w:sdtPr>
              <w:sdtEndPr/>
              <w:sdtContent>
                <w:r w:rsidR="00FF441F">
                  <w:rPr>
                    <w:rFonts w:ascii="MS Gothic" w:eastAsia="MS Gothic" w:hAnsi="MS Gothic" w:hint="eastAsia"/>
                  </w:rPr>
                  <w:t>☒</w:t>
                </w:r>
              </w:sdtContent>
            </w:sdt>
            <w:r w:rsidR="007A75BF" w:rsidRPr="001E7563">
              <w:tab/>
              <w:t>k=</w:t>
            </w:r>
            <w:r w:rsidR="007A75BF">
              <w:t>24</w:t>
            </w:r>
            <w:r w:rsidR="007A75BF">
              <w:tab/>
              <w:t>n= 3,751,356</w:t>
            </w:r>
          </w:p>
          <w:p w14:paraId="000000A7" w14:textId="467F8499" w:rsidR="00F554A7" w:rsidRPr="001E7563" w:rsidRDefault="0042566A" w:rsidP="00F92A89">
            <w:pPr>
              <w:pStyle w:val="TableText"/>
              <w:keepNext/>
            </w:pPr>
            <w:sdt>
              <w:sdtPr>
                <w:id w:val="814691337"/>
                <w14:checkbox>
                  <w14:checked w14:val="1"/>
                  <w14:checkedState w14:val="2612" w14:font="MS Gothic"/>
                  <w14:uncheckedState w14:val="2610" w14:font="MS Gothic"/>
                </w14:checkbox>
              </w:sdtPr>
              <w:sdtEndPr/>
              <w:sdtContent>
                <w:r w:rsidR="00FF441F">
                  <w:rPr>
                    <w:rFonts w:ascii="MS Gothic" w:eastAsia="MS Gothic" w:hAnsi="MS Gothic" w:hint="eastAsia"/>
                  </w:rPr>
                  <w:t>☒</w:t>
                </w:r>
              </w:sdtContent>
            </w:sdt>
            <w:r w:rsidR="007A75BF" w:rsidRPr="001E7563">
              <w:tab/>
              <w:t>k=8</w:t>
            </w:r>
            <w:r w:rsidR="007A75BF" w:rsidRPr="001E7563">
              <w:tab/>
              <w:t>n=4,921,990</w:t>
            </w:r>
          </w:p>
        </w:tc>
        <w:tc>
          <w:tcPr>
            <w:tcW w:w="1072" w:type="pct"/>
            <w:tcBorders>
              <w:top w:val="single" w:sz="4" w:space="0" w:color="auto"/>
              <w:left w:val="single" w:sz="4" w:space="0" w:color="auto"/>
              <w:bottom w:val="single" w:sz="4" w:space="0" w:color="auto"/>
              <w:right w:val="single" w:sz="4" w:space="0" w:color="auto"/>
            </w:tcBorders>
            <w:hideMark/>
          </w:tcPr>
          <w:p w14:paraId="000000A8" w14:textId="77777777" w:rsidR="00F554A7" w:rsidRPr="001E7563" w:rsidRDefault="007A75BF" w:rsidP="00F92A89">
            <w:pPr>
              <w:pStyle w:val="TableText"/>
              <w:keepNext/>
            </w:pPr>
            <w:r w:rsidRPr="001E7563">
              <w:t xml:space="preserve">High </w:t>
            </w:r>
          </w:p>
        </w:tc>
      </w:tr>
      <w:tr w:rsidR="00F554A7" w14:paraId="656083EA" w14:textId="77777777" w:rsidTr="00F92A89">
        <w:tc>
          <w:tcPr>
            <w:tcW w:w="866" w:type="pct"/>
            <w:tcBorders>
              <w:top w:val="single" w:sz="4" w:space="0" w:color="auto"/>
              <w:left w:val="single" w:sz="4" w:space="0" w:color="auto"/>
              <w:bottom w:val="single" w:sz="4" w:space="0" w:color="auto"/>
              <w:right w:val="single" w:sz="4" w:space="0" w:color="auto"/>
            </w:tcBorders>
            <w:hideMark/>
          </w:tcPr>
          <w:p w14:paraId="000000A9" w14:textId="77777777" w:rsidR="00F554A7" w:rsidRPr="001E7563" w:rsidRDefault="007A75BF" w:rsidP="00F92A89">
            <w:pPr>
              <w:pStyle w:val="TableText"/>
              <w:keepNext/>
            </w:pPr>
            <w:r w:rsidRPr="001E7563">
              <w:t xml:space="preserve">Health outcomes  </w:t>
            </w:r>
          </w:p>
        </w:tc>
        <w:tc>
          <w:tcPr>
            <w:tcW w:w="1411" w:type="pct"/>
            <w:tcBorders>
              <w:top w:val="single" w:sz="4" w:space="0" w:color="auto"/>
              <w:left w:val="single" w:sz="4" w:space="0" w:color="auto"/>
              <w:bottom w:val="single" w:sz="4" w:space="0" w:color="auto"/>
              <w:right w:val="single" w:sz="4" w:space="0" w:color="auto"/>
            </w:tcBorders>
          </w:tcPr>
          <w:p w14:paraId="000000AA" w14:textId="77777777" w:rsidR="00F554A7" w:rsidRPr="001E7563" w:rsidRDefault="007A75BF" w:rsidP="00F92A89">
            <w:pPr>
              <w:pStyle w:val="TableText"/>
              <w:keepNext/>
            </w:pPr>
            <w:r w:rsidRPr="001E7563">
              <w:t>SR</w:t>
            </w:r>
          </w:p>
        </w:tc>
        <w:tc>
          <w:tcPr>
            <w:tcW w:w="1651" w:type="pct"/>
            <w:tcBorders>
              <w:top w:val="single" w:sz="4" w:space="0" w:color="auto"/>
              <w:left w:val="single" w:sz="4" w:space="0" w:color="auto"/>
              <w:bottom w:val="single" w:sz="4" w:space="0" w:color="auto"/>
              <w:right w:val="single" w:sz="4" w:space="0" w:color="auto"/>
            </w:tcBorders>
          </w:tcPr>
          <w:p w14:paraId="000000AB" w14:textId="43C160FE" w:rsidR="00F554A7" w:rsidRPr="001E7563" w:rsidRDefault="0042566A" w:rsidP="00F92A89">
            <w:pPr>
              <w:pStyle w:val="TableText"/>
              <w:keepNext/>
            </w:pPr>
            <w:sdt>
              <w:sdtPr>
                <w:id w:val="-605892943"/>
                <w14:checkbox>
                  <w14:checked w14:val="1"/>
                  <w14:checkedState w14:val="2612" w14:font="MS Gothic"/>
                  <w14:uncheckedState w14:val="2610" w14:font="MS Gothic"/>
                </w14:checkbox>
              </w:sdtPr>
              <w:sdtEndPr/>
              <w:sdtContent>
                <w:r w:rsidR="00FF441F">
                  <w:rPr>
                    <w:rFonts w:ascii="MS Gothic" w:eastAsia="MS Gothic" w:hAnsi="MS Gothic" w:hint="eastAsia"/>
                  </w:rPr>
                  <w:t>☒</w:t>
                </w:r>
              </w:sdtContent>
            </w:sdt>
            <w:r w:rsidR="007A75BF" w:rsidRPr="001E7563">
              <w:tab/>
              <w:t>k=5</w:t>
            </w:r>
            <w:r w:rsidR="007A75BF" w:rsidRPr="001E7563">
              <w:tab/>
              <w:t>n=932</w:t>
            </w:r>
          </w:p>
        </w:tc>
        <w:tc>
          <w:tcPr>
            <w:tcW w:w="1072" w:type="pct"/>
            <w:tcBorders>
              <w:top w:val="single" w:sz="4" w:space="0" w:color="auto"/>
              <w:left w:val="single" w:sz="4" w:space="0" w:color="auto"/>
              <w:bottom w:val="single" w:sz="4" w:space="0" w:color="auto"/>
              <w:right w:val="single" w:sz="4" w:space="0" w:color="auto"/>
            </w:tcBorders>
            <w:hideMark/>
          </w:tcPr>
          <w:p w14:paraId="000000AC" w14:textId="77777777" w:rsidR="00F554A7" w:rsidRPr="001E7563" w:rsidRDefault="007A75BF" w:rsidP="00F92A89">
            <w:pPr>
              <w:pStyle w:val="TableText"/>
            </w:pPr>
            <w:r w:rsidRPr="001E7563">
              <w:t>Moderate</w:t>
            </w:r>
          </w:p>
        </w:tc>
      </w:tr>
    </w:tbl>
    <w:p w14:paraId="000000AD" w14:textId="77777777" w:rsidR="00F554A7" w:rsidRDefault="007A75BF">
      <w:pPr>
        <w:pStyle w:val="Tablenotes0"/>
      </w:pPr>
      <w:bookmarkStart w:id="40" w:name="_heading=h.4i7ojhp" w:colFirst="0" w:colLast="0"/>
      <w:bookmarkStart w:id="41" w:name="_Hlk68276301"/>
      <w:bookmarkEnd w:id="40"/>
      <w:r w:rsidRPr="00F92A89">
        <w:t>Coh = cohort study; CS = case series; NA = not applicable; SCD = sickle cell disease; SR = systematic review</w:t>
      </w:r>
    </w:p>
    <w:p w14:paraId="2C8A29F3" w14:textId="51584854" w:rsidR="000656EC" w:rsidRPr="00F92A89" w:rsidRDefault="000656EC" w:rsidP="00F92A89">
      <w:pPr>
        <w:pStyle w:val="Tablenotes0"/>
      </w:pPr>
      <w:r>
        <w:t>Source: DCAR Table 2.</w:t>
      </w:r>
    </w:p>
    <w:p w14:paraId="000000AE" w14:textId="77777777" w:rsidR="00F554A7" w:rsidRDefault="007A75BF" w:rsidP="001E7563">
      <w:pPr>
        <w:pStyle w:val="Heading2"/>
        <w:numPr>
          <w:ilvl w:val="0"/>
          <w:numId w:val="0"/>
        </w:numPr>
      </w:pPr>
      <w:bookmarkStart w:id="42" w:name="_heading=h.2xcytpi" w:colFirst="0" w:colLast="0"/>
      <w:bookmarkStart w:id="43" w:name="_Toc132821921"/>
      <w:bookmarkEnd w:id="41"/>
      <w:bookmarkEnd w:id="42"/>
      <w:r>
        <w:lastRenderedPageBreak/>
        <w:t>11.</w:t>
      </w:r>
      <w:r>
        <w:tab/>
        <w:t>Comparative safety</w:t>
      </w:r>
      <w:bookmarkEnd w:id="43"/>
    </w:p>
    <w:p w14:paraId="000000AF" w14:textId="77777777" w:rsidR="00F554A7" w:rsidRDefault="007A75BF">
      <w:pPr>
        <w:pStyle w:val="Heading3"/>
      </w:pPr>
      <w:bookmarkStart w:id="44" w:name="_heading=h.1ci93xb" w:colFirst="0" w:colLast="0"/>
      <w:bookmarkStart w:id="45" w:name="_Toc132821922"/>
      <w:bookmarkEnd w:id="44"/>
      <w:r>
        <w:t>Population 1: Newborns</w:t>
      </w:r>
      <w:bookmarkEnd w:id="45"/>
    </w:p>
    <w:p w14:paraId="000000B0" w14:textId="77777777" w:rsidR="00F554A7" w:rsidRDefault="007A75BF">
      <w:pPr>
        <w:pStyle w:val="Heading4"/>
      </w:pPr>
      <w:r>
        <w:t>Physical harms associated with screening</w:t>
      </w:r>
    </w:p>
    <w:p w14:paraId="000000B1" w14:textId="77777777" w:rsidR="00F554A7" w:rsidRDefault="007A75BF">
      <w:r>
        <w:t xml:space="preserve">NBS is performed on peripheral blood extracted from a heel prick onto filter paper, and as such is a very safe screening test. Newborns already undergo a heel prick for blood collection for NBS, and adding haemoglobinopathies to the NBS schedule will not require an extra heel prick. Other potential safety considerations for screening are associated with over-diagnosis or false positive test results, but given the type of disease and the accuracy of the tests, both of these are unlikely. There may also be psychological and social impacts associated with receiving positive test results; again, these impacts are experienced earlier than with clinical diagnosis, but are not additional. The main safety issues relating to NBS therefore are those associated with treatments for SCD or </w:t>
      </w:r>
      <w:r>
        <w:rPr>
          <w:rFonts w:ascii="Calibri" w:eastAsia="Calibri" w:hAnsi="Calibri" w:cs="Calibri"/>
        </w:rPr>
        <w:t>β</w:t>
      </w:r>
      <w:r>
        <w:t>-thalassaemia received by newborns diagnosed early by NBS that are over and above those received by babies diagnosed at a later age,</w:t>
      </w:r>
    </w:p>
    <w:p w14:paraId="000000B2" w14:textId="77777777" w:rsidR="00F554A7" w:rsidRDefault="007A75BF">
      <w:pPr>
        <w:pStyle w:val="Heading4"/>
      </w:pPr>
      <w:r>
        <w:t>Physical harms associated with treatment</w:t>
      </w:r>
    </w:p>
    <w:p w14:paraId="000000B3" w14:textId="77777777" w:rsidR="00F554A7" w:rsidRDefault="007A75BF">
      <w:r>
        <w:t xml:space="preserve">There was some evidence for treatment safety for SCD. One SR identified two RCTs (447 children) that reported the treatment-related complications and adverse events in children &lt;5 years old with SCD who were randomised to either antibiotic (penicillin) prophylaxis or placebo/no prophylaxis. There was no difference in the number of adverse events between those given penicillin and those given placebo or no prophylaxis. There were some local reactions in children given penicillin intramuscularly. </w:t>
      </w:r>
    </w:p>
    <w:p w14:paraId="000000B4" w14:textId="77777777" w:rsidR="00F554A7" w:rsidRDefault="007A75BF">
      <w:r>
        <w:t xml:space="preserve">IHE (2016) noted that some children may have an allergic reaction to penicillin, however there were no cases reported in the studies in that HTA. </w:t>
      </w:r>
    </w:p>
    <w:p w14:paraId="000000B5" w14:textId="5F2C00C4" w:rsidR="00F554A7" w:rsidRDefault="007A75BF">
      <w:r>
        <w:t xml:space="preserve">One randomised controlled trial (RCT) showed that the absolute neutrophil count was three times more likely to drop in the children treated with HU compared with placebo, possibly placing those children at higher risk of infection. Persistent or recurrent neutropenia led to a reduced dosage of HU in some children and a change to placebo in others. The higher risk of infection was not reflected in the sepsis or bacteraemia rates in the trial, which were more frequent in the children who received placebo than HU </w:t>
      </w:r>
      <w:r w:rsidR="00A471B3">
        <w:t>(</w:t>
      </w:r>
      <w:r w:rsidR="00A471B3">
        <w:fldChar w:fldCharType="begin"/>
      </w:r>
      <w:r w:rsidR="00A471B3">
        <w:instrText xml:space="preserve"> REF _Ref129601021 \h </w:instrText>
      </w:r>
      <w:r w:rsidR="00A471B3">
        <w:fldChar w:fldCharType="separate"/>
      </w:r>
      <w:r w:rsidR="006E058E" w:rsidRPr="00F92A89">
        <w:rPr>
          <w:rFonts w:eastAsia="Arial Narrow"/>
        </w:rPr>
        <w:t xml:space="preserve">Table </w:t>
      </w:r>
      <w:r w:rsidR="006E058E">
        <w:rPr>
          <w:noProof/>
        </w:rPr>
        <w:t>3</w:t>
      </w:r>
      <w:r w:rsidR="00A471B3">
        <w:fldChar w:fldCharType="end"/>
      </w:r>
      <w:r w:rsidR="00A471B3">
        <w:t>)</w:t>
      </w:r>
      <w:r w:rsidR="00501D6A">
        <w:t>.</w:t>
      </w:r>
    </w:p>
    <w:p w14:paraId="000000B6" w14:textId="63AE88E8" w:rsidR="00F554A7" w:rsidRPr="00F92A89" w:rsidRDefault="007A75BF" w:rsidP="00F92A89">
      <w:pPr>
        <w:pStyle w:val="Caption"/>
        <w:rPr>
          <w:rFonts w:eastAsia="Arial Narrow"/>
          <w:b w:val="0"/>
        </w:rPr>
      </w:pPr>
      <w:bookmarkStart w:id="46" w:name="_heading=h.3whwml4" w:colFirst="0" w:colLast="0"/>
      <w:bookmarkStart w:id="47" w:name="_Ref129601021"/>
      <w:bookmarkEnd w:id="46"/>
      <w:r w:rsidRPr="00F92A89">
        <w:rPr>
          <w:rFonts w:eastAsia="Arial Narrow"/>
        </w:rPr>
        <w:t xml:space="preserve">Table </w:t>
      </w:r>
      <w:r w:rsidR="00A471B3">
        <w:fldChar w:fldCharType="begin"/>
      </w:r>
      <w:r w:rsidR="00A471B3">
        <w:instrText>SEQ Table \* ARABIC</w:instrText>
      </w:r>
      <w:r w:rsidR="00A471B3">
        <w:fldChar w:fldCharType="separate"/>
      </w:r>
      <w:r w:rsidR="006E058E">
        <w:rPr>
          <w:noProof/>
        </w:rPr>
        <w:t>3</w:t>
      </w:r>
      <w:r w:rsidR="00A471B3">
        <w:fldChar w:fldCharType="end"/>
      </w:r>
      <w:bookmarkEnd w:id="47"/>
      <w:r w:rsidRPr="00F92A89">
        <w:rPr>
          <w:rFonts w:eastAsia="Arial Narrow"/>
        </w:rPr>
        <w:tab/>
        <w:t xml:space="preserve">Adverse effects of HU in children with SCD in the BABY HUG trial </w:t>
      </w:r>
    </w:p>
    <w:tbl>
      <w:tblPr>
        <w:tblStyle w:val="TableGrid"/>
        <w:tblW w:w="0" w:type="auto"/>
        <w:tblLayout w:type="fixed"/>
        <w:tblLook w:val="04A0" w:firstRow="1" w:lastRow="0" w:firstColumn="1" w:lastColumn="0" w:noHBand="0" w:noVBand="1"/>
      </w:tblPr>
      <w:tblGrid>
        <w:gridCol w:w="2263"/>
        <w:gridCol w:w="2127"/>
        <w:gridCol w:w="2126"/>
        <w:gridCol w:w="2268"/>
      </w:tblGrid>
      <w:tr w:rsidR="00F554A7" w14:paraId="42B18585" w14:textId="77777777" w:rsidTr="00F92A89">
        <w:tc>
          <w:tcPr>
            <w:tcW w:w="2263" w:type="dxa"/>
          </w:tcPr>
          <w:p w14:paraId="000000B7" w14:textId="77777777" w:rsidR="00F554A7" w:rsidRPr="001E7563" w:rsidRDefault="007A75BF" w:rsidP="00F92A89">
            <w:pPr>
              <w:pStyle w:val="TableHeading0"/>
            </w:pPr>
            <w:r w:rsidRPr="001E7563">
              <w:t>Adverse effect</w:t>
            </w:r>
          </w:p>
        </w:tc>
        <w:tc>
          <w:tcPr>
            <w:tcW w:w="2127" w:type="dxa"/>
          </w:tcPr>
          <w:p w14:paraId="000000B8" w14:textId="77777777" w:rsidR="00F554A7" w:rsidRPr="001E7563" w:rsidRDefault="007A75BF" w:rsidP="00F92A89">
            <w:pPr>
              <w:pStyle w:val="TableHeading0"/>
            </w:pPr>
            <w:r w:rsidRPr="001E7563">
              <w:t>HU</w:t>
            </w:r>
          </w:p>
        </w:tc>
        <w:tc>
          <w:tcPr>
            <w:tcW w:w="2126" w:type="dxa"/>
          </w:tcPr>
          <w:p w14:paraId="000000B9" w14:textId="77777777" w:rsidR="00F554A7" w:rsidRPr="001E7563" w:rsidRDefault="007A75BF" w:rsidP="00F92A89">
            <w:pPr>
              <w:pStyle w:val="TableHeading0"/>
            </w:pPr>
            <w:r w:rsidRPr="001E7563">
              <w:t>Placebo</w:t>
            </w:r>
          </w:p>
        </w:tc>
        <w:tc>
          <w:tcPr>
            <w:tcW w:w="2268" w:type="dxa"/>
          </w:tcPr>
          <w:p w14:paraId="000000BA" w14:textId="77777777" w:rsidR="00F554A7" w:rsidRPr="001E7563" w:rsidRDefault="007A75BF" w:rsidP="00F92A89">
            <w:pPr>
              <w:pStyle w:val="TableHeading0"/>
            </w:pPr>
            <w:r w:rsidRPr="001E7563">
              <w:t>Difference</w:t>
            </w:r>
          </w:p>
        </w:tc>
      </w:tr>
      <w:tr w:rsidR="00F554A7" w14:paraId="2F5C0D2B" w14:textId="77777777" w:rsidTr="00F92A89">
        <w:tc>
          <w:tcPr>
            <w:tcW w:w="2263" w:type="dxa"/>
          </w:tcPr>
          <w:p w14:paraId="000000BB" w14:textId="77777777" w:rsidR="00F554A7" w:rsidRDefault="007A75BF" w:rsidP="00F92A89">
            <w:pPr>
              <w:pStyle w:val="TableText"/>
            </w:pPr>
            <w:r w:rsidRPr="001E7563">
              <w:t>Absolute neutrophil count (500-120/mm2</w:t>
            </w:r>
          </w:p>
        </w:tc>
        <w:tc>
          <w:tcPr>
            <w:tcW w:w="2127" w:type="dxa"/>
          </w:tcPr>
          <w:p w14:paraId="000000BC" w14:textId="77777777" w:rsidR="00F554A7" w:rsidRDefault="007A75BF" w:rsidP="00F92A89">
            <w:pPr>
              <w:pStyle w:val="TableText"/>
            </w:pPr>
            <w:r w:rsidRPr="001E7563">
              <w:t>107 events/45 children</w:t>
            </w:r>
          </w:p>
        </w:tc>
        <w:tc>
          <w:tcPr>
            <w:tcW w:w="2126" w:type="dxa"/>
          </w:tcPr>
          <w:p w14:paraId="000000BD" w14:textId="77777777" w:rsidR="00F554A7" w:rsidRDefault="007A75BF" w:rsidP="00F92A89">
            <w:pPr>
              <w:pStyle w:val="TableText"/>
            </w:pPr>
            <w:r w:rsidRPr="001E7563">
              <w:t>34 events/18 children</w:t>
            </w:r>
          </w:p>
        </w:tc>
        <w:tc>
          <w:tcPr>
            <w:tcW w:w="2268" w:type="dxa"/>
          </w:tcPr>
          <w:p w14:paraId="000000BE" w14:textId="77777777" w:rsidR="00F554A7" w:rsidRDefault="007A75BF" w:rsidP="00F92A89">
            <w:pPr>
              <w:pStyle w:val="TableText"/>
            </w:pPr>
            <w:r w:rsidRPr="001E7563">
              <w:t>HR 3.0 (95% CI 1.7, 5.1)</w:t>
            </w:r>
          </w:p>
          <w:p w14:paraId="000000BF" w14:textId="77777777" w:rsidR="00F554A7" w:rsidRDefault="007A75BF" w:rsidP="00F92A89">
            <w:pPr>
              <w:pStyle w:val="TableText"/>
            </w:pPr>
            <w:r w:rsidRPr="001E7563">
              <w:t>p&lt;0.001</w:t>
            </w:r>
          </w:p>
        </w:tc>
      </w:tr>
      <w:tr w:rsidR="00F554A7" w14:paraId="7971F9E4" w14:textId="77777777" w:rsidTr="00F92A89">
        <w:tc>
          <w:tcPr>
            <w:tcW w:w="2263" w:type="dxa"/>
          </w:tcPr>
          <w:p w14:paraId="000000C0" w14:textId="77777777" w:rsidR="00F554A7" w:rsidRDefault="007A75BF" w:rsidP="00F92A89">
            <w:pPr>
              <w:pStyle w:val="TableText"/>
            </w:pPr>
            <w:r w:rsidRPr="001E7563">
              <w:t>Sepsis or bacteraemia</w:t>
            </w:r>
          </w:p>
        </w:tc>
        <w:tc>
          <w:tcPr>
            <w:tcW w:w="2127" w:type="dxa"/>
          </w:tcPr>
          <w:p w14:paraId="000000C1" w14:textId="77777777" w:rsidR="00F554A7" w:rsidRDefault="007A75BF" w:rsidP="00F92A89">
            <w:pPr>
              <w:pStyle w:val="TableText"/>
            </w:pPr>
            <w:r w:rsidRPr="001E7563">
              <w:t>3 events/2 children</w:t>
            </w:r>
          </w:p>
        </w:tc>
        <w:tc>
          <w:tcPr>
            <w:tcW w:w="2126" w:type="dxa"/>
          </w:tcPr>
          <w:p w14:paraId="000000C2" w14:textId="77777777" w:rsidR="00F554A7" w:rsidRDefault="007A75BF" w:rsidP="00F92A89">
            <w:pPr>
              <w:pStyle w:val="TableText"/>
            </w:pPr>
            <w:r w:rsidRPr="001E7563">
              <w:t>6 events/5 children</w:t>
            </w:r>
          </w:p>
        </w:tc>
        <w:tc>
          <w:tcPr>
            <w:tcW w:w="2268" w:type="dxa"/>
          </w:tcPr>
          <w:p w14:paraId="000000C3" w14:textId="77777777" w:rsidR="00F554A7" w:rsidRDefault="007A75BF" w:rsidP="00F92A89">
            <w:pPr>
              <w:pStyle w:val="TableText"/>
            </w:pPr>
            <w:r w:rsidRPr="001E7563">
              <w:t>HR 0.4 (95% CI 0.08, 2.06)</w:t>
            </w:r>
          </w:p>
          <w:p w14:paraId="000000C4" w14:textId="77777777" w:rsidR="00F554A7" w:rsidRDefault="007A75BF" w:rsidP="00F92A89">
            <w:pPr>
              <w:pStyle w:val="TableText"/>
            </w:pPr>
            <w:r w:rsidRPr="001E7563">
              <w:t>p=0.26</w:t>
            </w:r>
          </w:p>
        </w:tc>
      </w:tr>
    </w:tbl>
    <w:p w14:paraId="000000C5" w14:textId="77777777" w:rsidR="00F554A7" w:rsidRPr="00F92A89" w:rsidRDefault="007A75BF" w:rsidP="00F92A89">
      <w:pPr>
        <w:pStyle w:val="TableFigureFooter"/>
        <w:spacing w:after="0"/>
        <w:rPr>
          <w:rFonts w:eastAsia="Arial Narrow"/>
        </w:rPr>
      </w:pPr>
      <w:r w:rsidRPr="00F92A89">
        <w:rPr>
          <w:rFonts w:eastAsia="Arial Narrow"/>
        </w:rPr>
        <w:t>CI = confidence interval; HR = hazard ratio; HU = hydroxyurea; SCD = sickle cell disease</w:t>
      </w:r>
    </w:p>
    <w:p w14:paraId="219F17A1" w14:textId="190173B9" w:rsidR="00F554A7" w:rsidRDefault="007A75BF">
      <w:pPr>
        <w:pBdr>
          <w:top w:val="nil"/>
          <w:left w:val="nil"/>
          <w:bottom w:val="nil"/>
          <w:right w:val="nil"/>
          <w:between w:val="nil"/>
        </w:pBdr>
        <w:tabs>
          <w:tab w:val="left" w:pos="284"/>
        </w:tabs>
        <w:spacing w:before="0" w:after="360" w:line="240" w:lineRule="auto"/>
        <w:rPr>
          <w:rFonts w:ascii="Arial Narrow" w:eastAsia="Arial Narrow" w:hAnsi="Arial Narrow" w:cs="Arial Narrow"/>
          <w:color w:val="000000"/>
          <w:sz w:val="18"/>
          <w:szCs w:val="18"/>
        </w:rPr>
      </w:pPr>
      <w:r w:rsidRPr="00F92A89">
        <w:rPr>
          <w:rFonts w:ascii="Arial Narrow" w:eastAsia="Arial Narrow" w:hAnsi="Arial Narrow" w:cs="Arial Narrow"/>
          <w:color w:val="000000"/>
          <w:sz w:val="18"/>
          <w:szCs w:val="18"/>
        </w:rPr>
        <w:t>Source</w:t>
      </w:r>
      <w:r>
        <w:rPr>
          <w:rFonts w:ascii="Arial Narrow" w:eastAsia="Arial Narrow" w:hAnsi="Arial Narrow" w:cs="Arial Narrow"/>
          <w:b/>
          <w:color w:val="000000"/>
          <w:sz w:val="18"/>
          <w:szCs w:val="18"/>
        </w:rPr>
        <w:t>:</w:t>
      </w:r>
      <w:r>
        <w:rPr>
          <w:rFonts w:ascii="Arial Narrow" w:eastAsia="Arial Narrow" w:hAnsi="Arial Narrow" w:cs="Arial Narrow"/>
          <w:color w:val="000000"/>
          <w:sz w:val="18"/>
          <w:szCs w:val="18"/>
        </w:rPr>
        <w:t xml:space="preserve"> (Meremikwu &amp; Okomo 2016)</w:t>
      </w:r>
      <w:r w:rsidR="00201220">
        <w:rPr>
          <w:rFonts w:ascii="Arial Narrow" w:eastAsia="Arial Narrow" w:hAnsi="Arial Narrow" w:cs="Arial Narrow"/>
          <w:color w:val="000000"/>
          <w:sz w:val="18"/>
          <w:szCs w:val="18"/>
        </w:rPr>
        <w:t xml:space="preserve"> Table source: </w:t>
      </w:r>
      <w:r w:rsidR="0005031B">
        <w:rPr>
          <w:rFonts w:ascii="Arial Narrow" w:eastAsia="Arial Narrow" w:hAnsi="Arial Narrow" w:cs="Arial Narrow"/>
          <w:color w:val="000000"/>
          <w:sz w:val="18"/>
          <w:szCs w:val="18"/>
        </w:rPr>
        <w:t xml:space="preserve">DCAR </w:t>
      </w:r>
      <w:r w:rsidR="0095227F">
        <w:rPr>
          <w:rFonts w:ascii="Arial Narrow" w:eastAsia="Arial Narrow" w:hAnsi="Arial Narrow" w:cs="Arial Narrow"/>
          <w:color w:val="000000"/>
          <w:sz w:val="18"/>
          <w:szCs w:val="18"/>
        </w:rPr>
        <w:t>Table 3</w:t>
      </w:r>
      <w:r w:rsidR="00BC0DFF">
        <w:rPr>
          <w:rFonts w:ascii="Arial Narrow" w:eastAsia="Arial Narrow" w:hAnsi="Arial Narrow" w:cs="Arial Narrow"/>
          <w:color w:val="000000"/>
          <w:sz w:val="18"/>
          <w:szCs w:val="18"/>
        </w:rPr>
        <w:t>.</w:t>
      </w:r>
    </w:p>
    <w:p w14:paraId="000000C7" w14:textId="4D037D28" w:rsidR="00F554A7" w:rsidRDefault="007A75BF">
      <w:r>
        <w:t>In another RCT, skin rash occurred in 10% of cases that received HU but did not occur in the placebo group. Despite this outcome, the trial reported that no participants had any major adverse events.</w:t>
      </w:r>
    </w:p>
    <w:p w14:paraId="000000C8" w14:textId="77777777" w:rsidR="00F554A7" w:rsidRDefault="007A75BF">
      <w:r>
        <w:t xml:space="preserve">There was no reliable evidence of physical harms associated with </w:t>
      </w:r>
      <w:r>
        <w:rPr>
          <w:rFonts w:ascii="Calibri" w:eastAsia="Calibri" w:hAnsi="Calibri" w:cs="Calibri"/>
        </w:rPr>
        <w:t>β</w:t>
      </w:r>
      <w:r>
        <w:t>-thalassaemia treatments.</w:t>
      </w:r>
    </w:p>
    <w:p w14:paraId="000000C9" w14:textId="77777777" w:rsidR="00F554A7" w:rsidRDefault="007A75BF">
      <w:pPr>
        <w:pStyle w:val="Heading4"/>
      </w:pPr>
      <w:r>
        <w:lastRenderedPageBreak/>
        <w:t>Harms from false positive or false negative results</w:t>
      </w:r>
    </w:p>
    <w:p w14:paraId="000000CA" w14:textId="77777777" w:rsidR="00F554A7" w:rsidRDefault="007A75BF">
      <w:r>
        <w:t xml:space="preserve">There may be harms related to false positive result. There was a psychological impact associated with test results, and waiting for confirmation of diagnosis may be associated with parent anxiety (IHE, 2016). No data were reported. </w:t>
      </w:r>
    </w:p>
    <w:p w14:paraId="000000CB" w14:textId="77777777" w:rsidR="00F554A7" w:rsidRDefault="007A75BF">
      <w:r>
        <w:t xml:space="preserve">False negative results leave newborns with undiagnosed SCD, and consequently at risk of serious bacterial infection until diagnosis, as they will not receive prophylactic penicillin, nor additional doses of pneumococcus vaccination that are given to babies diagnosed with SCD. False negative results are likely to have been infrequent, however no data were identified in the HTAs or primary studies. </w:t>
      </w:r>
    </w:p>
    <w:p w14:paraId="000000CC" w14:textId="77777777" w:rsidR="00F554A7" w:rsidRDefault="007A75BF">
      <w:pPr>
        <w:pStyle w:val="Heading5"/>
      </w:pPr>
      <w:r>
        <w:t>Physical harms associated with no screening</w:t>
      </w:r>
    </w:p>
    <w:p w14:paraId="000000CD" w14:textId="77777777" w:rsidR="00F554A7" w:rsidRDefault="007A75BF">
      <w:r>
        <w:t xml:space="preserve">For individuals who do not have a haemoglobinopathy, the absence of NBS for the disorders will have no negative impact. However, for those with a haemoglobinopathy, the absence of NBS would mean a delayed clinical diagnosis and delayed treatment, which results in inferior health outcomes. The implications of this are discussed more in “Clinical utility summary”. </w:t>
      </w:r>
    </w:p>
    <w:p w14:paraId="000000CE" w14:textId="77777777" w:rsidR="00F554A7" w:rsidRDefault="007A75BF">
      <w:pPr>
        <w:pStyle w:val="Heading3"/>
      </w:pPr>
      <w:bookmarkStart w:id="48" w:name="_heading=h.2bn6wsx" w:colFirst="0" w:colLast="0"/>
      <w:bookmarkStart w:id="49" w:name="_Toc132821923"/>
      <w:bookmarkEnd w:id="48"/>
      <w:r>
        <w:t>Population 2: Family members</w:t>
      </w:r>
      <w:bookmarkEnd w:id="49"/>
    </w:p>
    <w:p w14:paraId="000000CF" w14:textId="77777777" w:rsidR="00F554A7" w:rsidRDefault="007A75BF">
      <w:r>
        <w:t>No physical harms are expected from cascade testing of family members, as testing is performed to identify carriers only. The phenotypic tests performed only require a blood sample, and genetic testing requires either a blood sample or sample collected non-invasively such as a buccal sample. Cascade testing itself is therefore considered very safe. There may be psychological or social impacts associated with receiving a positive test result. There was no reliable evidence identified for these outcomes.</w:t>
      </w:r>
    </w:p>
    <w:p w14:paraId="000000D0" w14:textId="77777777" w:rsidR="00F554A7" w:rsidRDefault="007A75BF">
      <w:r>
        <w:t xml:space="preserve">In the absence of NBS for haemoglobinopathies, family members would only be offered cascade testing after the clinical diagnosis of cases. The safety outcomes would be identical for early versus late cascade testing.  </w:t>
      </w:r>
    </w:p>
    <w:p w14:paraId="000000D1" w14:textId="77777777" w:rsidR="00F554A7" w:rsidRDefault="007A75BF" w:rsidP="001E7563">
      <w:pPr>
        <w:pStyle w:val="Heading2"/>
        <w:numPr>
          <w:ilvl w:val="0"/>
          <w:numId w:val="0"/>
        </w:numPr>
      </w:pPr>
      <w:bookmarkStart w:id="50" w:name="_heading=h.qsh70q" w:colFirst="0" w:colLast="0"/>
      <w:bookmarkStart w:id="51" w:name="_Toc132821924"/>
      <w:bookmarkEnd w:id="50"/>
      <w:r>
        <w:t>12.</w:t>
      </w:r>
      <w:r>
        <w:tab/>
        <w:t>Comparative effectiveness</w:t>
      </w:r>
      <w:bookmarkEnd w:id="51"/>
    </w:p>
    <w:p w14:paraId="000000D2" w14:textId="77777777" w:rsidR="00F554A7" w:rsidRDefault="007A75BF">
      <w:pPr>
        <w:pStyle w:val="Heading3"/>
      </w:pPr>
      <w:bookmarkStart w:id="52" w:name="_heading=h.3as4poj" w:colFirst="0" w:colLast="0"/>
      <w:bookmarkStart w:id="53" w:name="_Toc132821925"/>
      <w:bookmarkEnd w:id="52"/>
      <w:r>
        <w:t>Population 1: Newborns</w:t>
      </w:r>
      <w:bookmarkEnd w:id="53"/>
    </w:p>
    <w:p w14:paraId="000000D3" w14:textId="77777777" w:rsidR="00F554A7" w:rsidRDefault="007A75BF">
      <w:pPr>
        <w:pStyle w:val="Heading4"/>
      </w:pPr>
      <w:r>
        <w:t>Direct evidence</w:t>
      </w:r>
    </w:p>
    <w:p w14:paraId="000000D4" w14:textId="6D84232A" w:rsidR="00F554A7" w:rsidRDefault="007A75BF">
      <w:r>
        <w:t xml:space="preserve">The direct evidence compared health outcomes between ‘early’ and ‘late’ diagnosed cohorts of babies with SCD, defined below. IHE (2016) was the main source of evidence up to 2014, and the SR conducted by the HTA group provided the source of studies from 2014 until the search date (4 October 2022). Included studies were designed to assess the performance of NBS for SCD, so ‘early’ diagnosis meant diagnosis of newborns by universal NBS. ‘Late’ diagnosed cohorts were babies diagnosed prior to the initiation of NBS (i.e. diagnosed at a later age symptomatically), or were defined by symptomatic diagnosis. There were also studies </w:t>
      </w:r>
      <w:r w:rsidR="00FC5049">
        <w:t xml:space="preserve">that </w:t>
      </w:r>
      <w:r>
        <w:t xml:space="preserve">compared data from a time period early in the establishment of NBS and later, when NBS was well established, to determine if there was an improvement in health outcomes over that period. The mean age of diagnosis for children in late cohorts was not clear in most studies (IHE 2016). </w:t>
      </w:r>
    </w:p>
    <w:p w14:paraId="000000D5" w14:textId="77777777" w:rsidR="00F554A7" w:rsidRDefault="007A75BF">
      <w:pPr>
        <w:pStyle w:val="Heading5"/>
      </w:pPr>
      <w:r>
        <w:lastRenderedPageBreak/>
        <w:t>Safety</w:t>
      </w:r>
    </w:p>
    <w:p w14:paraId="000000D6" w14:textId="77777777" w:rsidR="00F554A7" w:rsidRDefault="007A75BF">
      <w:r>
        <w:t>IHE (2016) reported harms from testing from the HTA by Blancquaert et al (2009)</w:t>
      </w:r>
      <w:r w:rsidRPr="00F92A89">
        <w:rPr>
          <w:rStyle w:val="FootnoteReference"/>
        </w:rPr>
        <w:footnoteReference w:id="9"/>
      </w:r>
      <w:r>
        <w:t>. There was no evidence of physical harms associated with sample collection (almost all newborns in Australia undergo NBS in any case) or test performance. There was no evidence of harm from early treatment, but the rare possibility of an anaphylactic reaction was noted by the authors. There were no data on anaphylactic reactions</w:t>
      </w:r>
      <w:r w:rsidRPr="00F92A89">
        <w:rPr>
          <w:rStyle w:val="FootnoteReference"/>
        </w:rPr>
        <w:footnoteReference w:id="10"/>
      </w:r>
      <w:r>
        <w:t>.</w:t>
      </w:r>
    </w:p>
    <w:p w14:paraId="000000D7" w14:textId="77777777" w:rsidR="00F554A7" w:rsidRDefault="007A75BF">
      <w:r>
        <w:t>IHE (2016) found that harms related to false positive results were associated with the psychological impact of the test results. Waiting for confirmation of diagnosis may be associated with parent anxiety. No data were reported.</w:t>
      </w:r>
    </w:p>
    <w:p w14:paraId="000000D8" w14:textId="77777777" w:rsidR="00F554A7" w:rsidRDefault="007A75BF">
      <w:r>
        <w:t>False negative results leave newborns with undiagnosed SCD, and consequently at higher risk of a number of sequalae until diagnosis, one of the most common being serious bacterial infection as they will not receive prophylactic penicillin. No data were identified in the HTAs. There was no safety data reported in primary studies identified in the SR literature.</w:t>
      </w:r>
    </w:p>
    <w:p w14:paraId="000000D9" w14:textId="77777777" w:rsidR="00F554A7" w:rsidRDefault="007A75BF">
      <w:pPr>
        <w:pStyle w:val="Heading5"/>
      </w:pPr>
      <w:r>
        <w:t>Effectiveness</w:t>
      </w:r>
    </w:p>
    <w:p w14:paraId="000000DA" w14:textId="77777777" w:rsidR="00F554A7" w:rsidRDefault="007A75BF">
      <w:r>
        <w:t xml:space="preserve">The main effectiveness outcome reported in the direct evidence was mortality. Other outcomes reported were morbidity, hospitalisation time and time to first consultation. </w:t>
      </w:r>
    </w:p>
    <w:p w14:paraId="000000DB" w14:textId="29CF3ABF" w:rsidR="00F554A7" w:rsidRDefault="007A75BF">
      <w:r>
        <w:t>The primary studies reported in IHE (2016) (four in total) all found that earlier age at diagnosis lowered the mortality rate in children. The age of children included in the various analyses ranged from &lt;2 years to &lt;15 years for long term analyses. Two studies found statistically significant differences in favour of early diagnosis. The study by King et al (2007)</w:t>
      </w:r>
      <w:r w:rsidRPr="00F92A89">
        <w:rPr>
          <w:rStyle w:val="FootnoteReference"/>
        </w:rPr>
        <w:footnoteReference w:id="11"/>
      </w:r>
      <w:r>
        <w:t>, provided comparative analyses for the 1</w:t>
      </w:r>
      <w:r>
        <w:rPr>
          <w:vertAlign w:val="superscript"/>
        </w:rPr>
        <w:t>st</w:t>
      </w:r>
      <w:r>
        <w:t>, 2</w:t>
      </w:r>
      <w:r>
        <w:rPr>
          <w:vertAlign w:val="superscript"/>
        </w:rPr>
        <w:t>nd</w:t>
      </w:r>
      <w:r>
        <w:t>, 3</w:t>
      </w:r>
      <w:r>
        <w:rPr>
          <w:vertAlign w:val="superscript"/>
        </w:rPr>
        <w:t>rd</w:t>
      </w:r>
      <w:r>
        <w:t>, 5</w:t>
      </w:r>
      <w:r>
        <w:rPr>
          <w:vertAlign w:val="superscript"/>
        </w:rPr>
        <w:t>th</w:t>
      </w:r>
      <w:r>
        <w:t>, and 10</w:t>
      </w:r>
      <w:r>
        <w:rPr>
          <w:vertAlign w:val="superscript"/>
        </w:rPr>
        <w:t>th</w:t>
      </w:r>
      <w:r>
        <w:t xml:space="preserve"> year of life for children diagnosed with SCD either by NBS or by symptom presentation. There was a statistically significant improvement in mortality for children up to their 5</w:t>
      </w:r>
      <w:r>
        <w:rPr>
          <w:vertAlign w:val="superscript"/>
        </w:rPr>
        <w:t>th</w:t>
      </w:r>
      <w:r>
        <w:t xml:space="preserve"> year of life (p &lt; 0.001 for the 1</w:t>
      </w:r>
      <w:r>
        <w:rPr>
          <w:vertAlign w:val="superscript"/>
        </w:rPr>
        <w:t>st</w:t>
      </w:r>
      <w:r>
        <w:t>, 2</w:t>
      </w:r>
      <w:r>
        <w:rPr>
          <w:vertAlign w:val="superscript"/>
        </w:rPr>
        <w:t>nd</w:t>
      </w:r>
      <w:r>
        <w:t>, 3</w:t>
      </w:r>
      <w:r>
        <w:rPr>
          <w:vertAlign w:val="superscript"/>
        </w:rPr>
        <w:t>rd</w:t>
      </w:r>
      <w:r>
        <w:t>, and 5</w:t>
      </w:r>
      <w:r>
        <w:rPr>
          <w:vertAlign w:val="superscript"/>
        </w:rPr>
        <w:t>th</w:t>
      </w:r>
      <w:r>
        <w:t xml:space="preserve"> years), but in their 10</w:t>
      </w:r>
      <w:r>
        <w:rPr>
          <w:vertAlign w:val="superscript"/>
        </w:rPr>
        <w:t>th</w:t>
      </w:r>
      <w:r>
        <w:t xml:space="preserve"> year (p = 0.176), there was no difference in mortality between early and late diagnosed groups </w:t>
      </w:r>
      <w:r w:rsidR="00816582">
        <w:t>(</w:t>
      </w:r>
      <w:r w:rsidR="00873045">
        <w:fldChar w:fldCharType="begin"/>
      </w:r>
      <w:r w:rsidR="00873045">
        <w:instrText xml:space="preserve"> REF _Ref129273655 \h  \* MERGEFORMAT </w:instrText>
      </w:r>
      <w:r w:rsidR="00873045">
        <w:fldChar w:fldCharType="separate"/>
      </w:r>
      <w:r w:rsidR="006E058E" w:rsidRPr="006E058E">
        <w:t>Table 5</w:t>
      </w:r>
      <w:r w:rsidR="00873045">
        <w:fldChar w:fldCharType="end"/>
      </w:r>
      <w:r w:rsidR="00816582">
        <w:t>)</w:t>
      </w:r>
      <w:r w:rsidR="00061E67">
        <w:t>.</w:t>
      </w:r>
      <w:r>
        <w:t xml:space="preserve"> This data came from two Jamaican cohorts, one diagnosed by NBS, and one from an earlier study who were diagnosed symptomatically. The authors concluded that prophylactic penicillin given soon after newborn diagnosis, and education for parents about signs of infection and splenic sequestration were responsible for the improvement in survival between early and late diagnosed groups, but after 5 years of age, children were less vulnerable. This effect in children with SCD under 5 years of age is consistent with a higher susceptibility at younger age to serious infections (particularly from encapsulated bacteria such as </w:t>
      </w:r>
      <w:r>
        <w:rPr>
          <w:i/>
        </w:rPr>
        <w:t>Streptococcus pneumoniae</w:t>
      </w:r>
      <w:r>
        <w:t xml:space="preserve">) that can lead to death, as a consequence of splenic disfunction and poorer immunity than older children (IHE 2016). NBS and the interventions that follow diagnosis appear to have a protective effect against these impacts. With older age, the development of immunity and maturity of the spleen place children with SCD are at lower risk of serious consequences of infection. </w:t>
      </w:r>
    </w:p>
    <w:p w14:paraId="000000DC" w14:textId="2FB2E5A7" w:rsidR="00F554A7" w:rsidRDefault="007A75BF">
      <w:pPr>
        <w:keepNext/>
        <w:spacing w:before="360" w:after="120" w:line="240" w:lineRule="auto"/>
        <w:rPr>
          <w:rFonts w:ascii="Arial Narrow" w:eastAsia="Arial Narrow" w:hAnsi="Arial Narrow" w:cs="Arial Narrow"/>
          <w:b/>
          <w:sz w:val="20"/>
          <w:szCs w:val="20"/>
        </w:rPr>
      </w:pPr>
      <w:bookmarkStart w:id="54" w:name="_heading=h.1pxezwc" w:colFirst="0" w:colLast="0"/>
      <w:bookmarkStart w:id="55" w:name="_Ref129273579"/>
      <w:bookmarkEnd w:id="54"/>
      <w:r>
        <w:rPr>
          <w:rFonts w:ascii="Arial Narrow" w:eastAsia="Arial Narrow" w:hAnsi="Arial Narrow" w:cs="Arial Narrow"/>
          <w:b/>
          <w:sz w:val="20"/>
          <w:szCs w:val="20"/>
        </w:rPr>
        <w:lastRenderedPageBreak/>
        <w:t>Table </w:t>
      </w:r>
      <w:r w:rsidR="00FF0E39" w:rsidRPr="00EC74D4">
        <w:rPr>
          <w:rFonts w:ascii="Arial Narrow" w:eastAsia="Times New Roman" w:hAnsi="Arial Narrow" w:cs="Times New Roman"/>
          <w:b/>
          <w:bCs/>
          <w:sz w:val="20"/>
          <w:szCs w:val="20"/>
        </w:rPr>
        <w:fldChar w:fldCharType="begin"/>
      </w:r>
      <w:r w:rsidR="00FF0E39" w:rsidRPr="00EC74D4">
        <w:rPr>
          <w:rFonts w:ascii="Arial Narrow" w:eastAsia="Times New Roman" w:hAnsi="Arial Narrow" w:cs="Times New Roman"/>
          <w:b/>
          <w:bCs/>
          <w:sz w:val="20"/>
          <w:szCs w:val="20"/>
        </w:rPr>
        <w:instrText xml:space="preserve"> SEQ Table \* ARABIC </w:instrText>
      </w:r>
      <w:r w:rsidR="00FF0E39" w:rsidRPr="00EC74D4">
        <w:rPr>
          <w:rFonts w:ascii="Arial Narrow" w:eastAsia="Times New Roman" w:hAnsi="Arial Narrow" w:cs="Times New Roman"/>
          <w:b/>
          <w:bCs/>
          <w:sz w:val="20"/>
          <w:szCs w:val="20"/>
        </w:rPr>
        <w:fldChar w:fldCharType="separate"/>
      </w:r>
      <w:r w:rsidR="006E058E">
        <w:rPr>
          <w:rFonts w:ascii="Arial Narrow" w:eastAsia="Times New Roman" w:hAnsi="Arial Narrow" w:cs="Times New Roman"/>
          <w:b/>
          <w:bCs/>
          <w:noProof/>
          <w:sz w:val="20"/>
          <w:szCs w:val="20"/>
        </w:rPr>
        <w:t>4</w:t>
      </w:r>
      <w:r w:rsidR="00FF0E39" w:rsidRPr="00EC74D4">
        <w:rPr>
          <w:rFonts w:ascii="Arial Narrow" w:eastAsia="Times New Roman" w:hAnsi="Arial Narrow" w:cs="Times New Roman"/>
          <w:b/>
          <w:bCs/>
          <w:noProof/>
          <w:sz w:val="20"/>
          <w:szCs w:val="20"/>
        </w:rPr>
        <w:fldChar w:fldCharType="end"/>
      </w:r>
      <w:bookmarkEnd w:id="55"/>
      <w:r>
        <w:rPr>
          <w:rFonts w:ascii="Arial Narrow" w:eastAsia="Arial Narrow" w:hAnsi="Arial Narrow" w:cs="Arial Narrow"/>
          <w:b/>
          <w:sz w:val="20"/>
          <w:szCs w:val="20"/>
        </w:rPr>
        <w:tab/>
        <w:t>Mortality of children with SCD diagnosed by NBS and treated in Jamaica, compared to children diagnosed and treated at a later age (Runkel et al. 2020)</w:t>
      </w:r>
    </w:p>
    <w:tbl>
      <w:tblPr>
        <w:tblStyle w:val="HealthConsult1"/>
        <w:tblW w:w="9067" w:type="dxa"/>
        <w:tblLayout w:type="fixed"/>
        <w:tblLook w:val="04A0" w:firstRow="1" w:lastRow="0" w:firstColumn="1" w:lastColumn="0" w:noHBand="0" w:noVBand="1"/>
      </w:tblPr>
      <w:tblGrid>
        <w:gridCol w:w="2121"/>
        <w:gridCol w:w="2124"/>
        <w:gridCol w:w="2408"/>
        <w:gridCol w:w="2407"/>
        <w:gridCol w:w="7"/>
      </w:tblGrid>
      <w:tr w:rsidR="00F554A7" w14:paraId="47A537E5" w14:textId="77777777" w:rsidTr="00F92A89">
        <w:trPr>
          <w:gridAfter w:val="1"/>
          <w:wAfter w:w="7" w:type="dxa"/>
        </w:trPr>
        <w:tc>
          <w:tcPr>
            <w:tcW w:w="2122" w:type="dxa"/>
            <w:vMerge w:val="restart"/>
            <w:vAlign w:val="center"/>
          </w:tcPr>
          <w:p w14:paraId="000000DD" w14:textId="77777777" w:rsidR="00F554A7" w:rsidRPr="00F92A89" w:rsidRDefault="007A75BF">
            <w:pPr>
              <w:spacing w:after="60"/>
              <w:rPr>
                <w:rFonts w:ascii="Arial Narrow" w:hAnsi="Arial Narrow"/>
                <w:b/>
                <w:sz w:val="20"/>
              </w:rPr>
            </w:pPr>
            <w:r w:rsidRPr="00F92A89">
              <w:rPr>
                <w:rFonts w:ascii="Arial Narrow" w:hAnsi="Arial Narrow"/>
                <w:b/>
                <w:sz w:val="20"/>
              </w:rPr>
              <w:t>Age</w:t>
            </w:r>
          </w:p>
        </w:tc>
        <w:tc>
          <w:tcPr>
            <w:tcW w:w="6945" w:type="dxa"/>
            <w:gridSpan w:val="3"/>
            <w:vAlign w:val="center"/>
          </w:tcPr>
          <w:p w14:paraId="000000DE" w14:textId="77777777" w:rsidR="00F554A7" w:rsidRPr="00F92A89" w:rsidRDefault="007A75BF" w:rsidP="00F92A89">
            <w:pPr>
              <w:spacing w:after="60"/>
              <w:jc w:val="center"/>
              <w:rPr>
                <w:rFonts w:ascii="Arial Narrow" w:hAnsi="Arial Narrow"/>
                <w:b/>
                <w:sz w:val="20"/>
              </w:rPr>
            </w:pPr>
            <w:r w:rsidRPr="00F92A89">
              <w:rPr>
                <w:rFonts w:ascii="Arial Narrow" w:hAnsi="Arial Narrow"/>
                <w:b/>
                <w:sz w:val="20"/>
              </w:rPr>
              <w:t>Intervention (n=395</w:t>
            </w:r>
            <w:r w:rsidRPr="00F92A89">
              <w:rPr>
                <w:rFonts w:ascii="Arial Narrow" w:hAnsi="Arial Narrow"/>
                <w:b/>
                <w:sz w:val="20"/>
                <w:vertAlign w:val="superscript"/>
              </w:rPr>
              <w:t>a</w:t>
            </w:r>
            <w:r w:rsidRPr="00F92A89">
              <w:rPr>
                <w:rFonts w:ascii="Arial Narrow" w:hAnsi="Arial Narrow"/>
                <w:b/>
                <w:sz w:val="20"/>
              </w:rPr>
              <w:t>) vs control (n=105</w:t>
            </w:r>
            <w:r w:rsidRPr="00F92A89">
              <w:rPr>
                <w:rFonts w:ascii="Arial Narrow" w:hAnsi="Arial Narrow"/>
                <w:b/>
                <w:sz w:val="20"/>
                <w:vertAlign w:val="superscript"/>
              </w:rPr>
              <w:t>c</w:t>
            </w:r>
            <w:r w:rsidRPr="00F92A89">
              <w:rPr>
                <w:rFonts w:ascii="Arial Narrow" w:hAnsi="Arial Narrow"/>
                <w:b/>
                <w:sz w:val="20"/>
              </w:rPr>
              <w:t>)</w:t>
            </w:r>
          </w:p>
        </w:tc>
      </w:tr>
      <w:tr w:rsidR="00F554A7" w14:paraId="285E34A5" w14:textId="77777777" w:rsidTr="00F92A89">
        <w:tc>
          <w:tcPr>
            <w:tcW w:w="2122" w:type="dxa"/>
            <w:vMerge/>
          </w:tcPr>
          <w:p w14:paraId="000000E1" w14:textId="77777777" w:rsidR="00F554A7" w:rsidRPr="00F92A89" w:rsidRDefault="00F554A7" w:rsidP="00F92A89">
            <w:pPr>
              <w:spacing w:before="40" w:after="40"/>
              <w:rPr>
                <w:rFonts w:ascii="Arial Narrow" w:hAnsi="Arial Narrow"/>
                <w:sz w:val="20"/>
              </w:rPr>
            </w:pPr>
          </w:p>
        </w:tc>
        <w:tc>
          <w:tcPr>
            <w:tcW w:w="2126" w:type="dxa"/>
          </w:tcPr>
          <w:p w14:paraId="000000E2" w14:textId="77777777" w:rsidR="00F554A7" w:rsidRPr="00F92A89" w:rsidRDefault="007A75BF">
            <w:pPr>
              <w:spacing w:before="40" w:after="40"/>
              <w:rPr>
                <w:rFonts w:ascii="Arial Narrow" w:hAnsi="Arial Narrow"/>
                <w:b/>
                <w:sz w:val="20"/>
              </w:rPr>
            </w:pPr>
            <w:r w:rsidRPr="00F92A89">
              <w:rPr>
                <w:rFonts w:ascii="Arial Narrow" w:hAnsi="Arial Narrow"/>
                <w:b/>
                <w:sz w:val="20"/>
              </w:rPr>
              <w:t>OR</w:t>
            </w:r>
            <w:r w:rsidRPr="00F92A89">
              <w:rPr>
                <w:rFonts w:ascii="Arial Narrow" w:hAnsi="Arial Narrow"/>
                <w:b/>
                <w:sz w:val="20"/>
                <w:vertAlign w:val="superscript"/>
              </w:rPr>
              <w:t>b</w:t>
            </w:r>
          </w:p>
        </w:tc>
        <w:tc>
          <w:tcPr>
            <w:tcW w:w="2410" w:type="dxa"/>
          </w:tcPr>
          <w:p w14:paraId="000000E3" w14:textId="77777777" w:rsidR="00F554A7" w:rsidRPr="00F92A89" w:rsidRDefault="007A75BF">
            <w:pPr>
              <w:spacing w:before="40" w:after="40"/>
              <w:rPr>
                <w:rFonts w:ascii="Arial Narrow" w:hAnsi="Arial Narrow"/>
                <w:b/>
                <w:sz w:val="20"/>
                <w:vertAlign w:val="superscript"/>
              </w:rPr>
            </w:pPr>
            <w:r w:rsidRPr="00F92A89">
              <w:rPr>
                <w:rFonts w:ascii="Arial Narrow" w:hAnsi="Arial Narrow"/>
                <w:b/>
                <w:sz w:val="20"/>
              </w:rPr>
              <w:t>95% CI</w:t>
            </w:r>
            <w:r w:rsidRPr="00F92A89">
              <w:rPr>
                <w:rFonts w:ascii="Arial Narrow" w:hAnsi="Arial Narrow"/>
                <w:b/>
                <w:sz w:val="20"/>
                <w:vertAlign w:val="superscript"/>
              </w:rPr>
              <w:t>b</w:t>
            </w:r>
          </w:p>
        </w:tc>
        <w:tc>
          <w:tcPr>
            <w:tcW w:w="2409" w:type="dxa"/>
            <w:gridSpan w:val="2"/>
          </w:tcPr>
          <w:p w14:paraId="000000E4" w14:textId="77777777" w:rsidR="00F554A7" w:rsidRPr="00F92A89" w:rsidRDefault="007A75BF">
            <w:pPr>
              <w:spacing w:before="40" w:after="40"/>
              <w:rPr>
                <w:rFonts w:ascii="Arial Narrow" w:hAnsi="Arial Narrow"/>
                <w:b/>
                <w:sz w:val="20"/>
              </w:rPr>
            </w:pPr>
            <w:r w:rsidRPr="00F92A89">
              <w:rPr>
                <w:rFonts w:ascii="Arial Narrow" w:hAnsi="Arial Narrow"/>
                <w:b/>
                <w:sz w:val="20"/>
              </w:rPr>
              <w:t>P value</w:t>
            </w:r>
            <w:r w:rsidRPr="00F92A89">
              <w:rPr>
                <w:rFonts w:ascii="Arial Narrow" w:hAnsi="Arial Narrow"/>
                <w:b/>
                <w:sz w:val="20"/>
                <w:vertAlign w:val="superscript"/>
              </w:rPr>
              <w:t>b</w:t>
            </w:r>
          </w:p>
        </w:tc>
      </w:tr>
      <w:tr w:rsidR="00F554A7" w14:paraId="4116595C" w14:textId="77777777" w:rsidTr="00F92A89">
        <w:tc>
          <w:tcPr>
            <w:tcW w:w="2122" w:type="dxa"/>
          </w:tcPr>
          <w:p w14:paraId="000000E5" w14:textId="77777777" w:rsidR="00F554A7" w:rsidRPr="00F92A89" w:rsidRDefault="007A75BF">
            <w:pPr>
              <w:spacing w:before="40" w:after="40"/>
              <w:rPr>
                <w:rFonts w:ascii="Arial Narrow" w:hAnsi="Arial Narrow"/>
                <w:sz w:val="20"/>
              </w:rPr>
            </w:pPr>
            <w:r w:rsidRPr="00F92A89">
              <w:rPr>
                <w:rFonts w:ascii="Arial Narrow" w:hAnsi="Arial Narrow"/>
                <w:sz w:val="20"/>
              </w:rPr>
              <w:t>1st year of life</w:t>
            </w:r>
          </w:p>
        </w:tc>
        <w:tc>
          <w:tcPr>
            <w:tcW w:w="2126" w:type="dxa"/>
          </w:tcPr>
          <w:p w14:paraId="000000E6" w14:textId="77777777" w:rsidR="00F554A7" w:rsidRPr="00F92A89" w:rsidRDefault="007A75BF">
            <w:pPr>
              <w:spacing w:before="40" w:after="40"/>
              <w:rPr>
                <w:rFonts w:ascii="Arial Narrow" w:hAnsi="Arial Narrow"/>
                <w:sz w:val="20"/>
              </w:rPr>
            </w:pPr>
            <w:r w:rsidRPr="00F92A89">
              <w:rPr>
                <w:rFonts w:ascii="Arial Narrow" w:hAnsi="Arial Narrow"/>
                <w:sz w:val="20"/>
              </w:rPr>
              <w:t xml:space="preserve">0.09 </w:t>
            </w:r>
          </w:p>
        </w:tc>
        <w:tc>
          <w:tcPr>
            <w:tcW w:w="2410" w:type="dxa"/>
          </w:tcPr>
          <w:p w14:paraId="000000E7" w14:textId="77777777" w:rsidR="00F554A7" w:rsidRPr="00F92A89" w:rsidRDefault="007A75BF">
            <w:pPr>
              <w:spacing w:before="40" w:after="40"/>
              <w:rPr>
                <w:rFonts w:ascii="Arial Narrow" w:hAnsi="Arial Narrow"/>
                <w:sz w:val="20"/>
              </w:rPr>
            </w:pPr>
            <w:r w:rsidRPr="00F92A89">
              <w:rPr>
                <w:rFonts w:ascii="Arial Narrow" w:hAnsi="Arial Narrow"/>
                <w:sz w:val="20"/>
              </w:rPr>
              <w:t>0.03, 0.30</w:t>
            </w:r>
          </w:p>
        </w:tc>
        <w:tc>
          <w:tcPr>
            <w:tcW w:w="2409" w:type="dxa"/>
            <w:gridSpan w:val="2"/>
          </w:tcPr>
          <w:p w14:paraId="000000E8" w14:textId="77777777" w:rsidR="00F554A7" w:rsidRPr="00F92A89" w:rsidRDefault="007A75BF">
            <w:pPr>
              <w:spacing w:before="40" w:after="40"/>
              <w:rPr>
                <w:rFonts w:ascii="Arial Narrow" w:hAnsi="Arial Narrow"/>
                <w:sz w:val="20"/>
              </w:rPr>
            </w:pPr>
            <w:r w:rsidRPr="00F92A89">
              <w:rPr>
                <w:rFonts w:ascii="Arial Narrow" w:hAnsi="Arial Narrow"/>
                <w:sz w:val="20"/>
              </w:rPr>
              <w:t>&lt;0.001</w:t>
            </w:r>
          </w:p>
        </w:tc>
      </w:tr>
      <w:tr w:rsidR="00F554A7" w14:paraId="116EF9D6" w14:textId="77777777" w:rsidTr="00F92A89">
        <w:tc>
          <w:tcPr>
            <w:tcW w:w="2122" w:type="dxa"/>
          </w:tcPr>
          <w:p w14:paraId="000000E9" w14:textId="77777777" w:rsidR="00F554A7" w:rsidRPr="00F92A89" w:rsidRDefault="007A75BF">
            <w:pPr>
              <w:spacing w:before="40" w:after="40"/>
              <w:rPr>
                <w:rFonts w:ascii="Arial Narrow" w:hAnsi="Arial Narrow"/>
                <w:sz w:val="20"/>
              </w:rPr>
            </w:pPr>
            <w:r w:rsidRPr="00F92A89">
              <w:rPr>
                <w:rFonts w:ascii="Arial Narrow" w:hAnsi="Arial Narrow"/>
                <w:sz w:val="20"/>
              </w:rPr>
              <w:t>2</w:t>
            </w:r>
            <w:r w:rsidRPr="00F92A89">
              <w:rPr>
                <w:rFonts w:ascii="Arial Narrow" w:hAnsi="Arial Narrow"/>
                <w:sz w:val="20"/>
                <w:vertAlign w:val="superscript"/>
              </w:rPr>
              <w:t>nd</w:t>
            </w:r>
            <w:r w:rsidRPr="00F92A89">
              <w:rPr>
                <w:rFonts w:ascii="Arial Narrow" w:hAnsi="Arial Narrow"/>
                <w:sz w:val="20"/>
              </w:rPr>
              <w:t xml:space="preserve"> year of life</w:t>
            </w:r>
          </w:p>
        </w:tc>
        <w:tc>
          <w:tcPr>
            <w:tcW w:w="2126" w:type="dxa"/>
          </w:tcPr>
          <w:p w14:paraId="000000EA" w14:textId="77777777" w:rsidR="00F554A7" w:rsidRPr="00F92A89" w:rsidRDefault="007A75BF">
            <w:pPr>
              <w:spacing w:before="40" w:after="40"/>
              <w:rPr>
                <w:rFonts w:ascii="Arial Narrow" w:hAnsi="Arial Narrow"/>
                <w:sz w:val="20"/>
              </w:rPr>
            </w:pPr>
            <w:r w:rsidRPr="00F92A89">
              <w:rPr>
                <w:rFonts w:ascii="Arial Narrow" w:hAnsi="Arial Narrow"/>
                <w:sz w:val="20"/>
              </w:rPr>
              <w:t>0.06</w:t>
            </w:r>
          </w:p>
        </w:tc>
        <w:tc>
          <w:tcPr>
            <w:tcW w:w="2410" w:type="dxa"/>
          </w:tcPr>
          <w:p w14:paraId="000000EB" w14:textId="77777777" w:rsidR="00F554A7" w:rsidRPr="00F92A89" w:rsidRDefault="007A75BF">
            <w:pPr>
              <w:spacing w:before="40" w:after="40"/>
              <w:rPr>
                <w:rFonts w:ascii="Arial Narrow" w:hAnsi="Arial Narrow"/>
                <w:sz w:val="20"/>
              </w:rPr>
            </w:pPr>
            <w:r w:rsidRPr="00F92A89">
              <w:rPr>
                <w:rFonts w:ascii="Arial Narrow" w:hAnsi="Arial Narrow"/>
                <w:sz w:val="20"/>
              </w:rPr>
              <w:t>0.02, 0.20</w:t>
            </w:r>
          </w:p>
        </w:tc>
        <w:tc>
          <w:tcPr>
            <w:tcW w:w="2409" w:type="dxa"/>
            <w:gridSpan w:val="2"/>
          </w:tcPr>
          <w:p w14:paraId="000000EC" w14:textId="77777777" w:rsidR="00F554A7" w:rsidRPr="00F92A89" w:rsidRDefault="007A75BF">
            <w:pPr>
              <w:spacing w:before="40" w:after="40"/>
              <w:rPr>
                <w:rFonts w:ascii="Arial Narrow" w:hAnsi="Arial Narrow"/>
                <w:sz w:val="20"/>
              </w:rPr>
            </w:pPr>
            <w:r w:rsidRPr="00F92A89">
              <w:rPr>
                <w:rFonts w:ascii="Arial Narrow" w:hAnsi="Arial Narrow"/>
                <w:sz w:val="20"/>
              </w:rPr>
              <w:t>&lt;0.001</w:t>
            </w:r>
          </w:p>
        </w:tc>
      </w:tr>
      <w:tr w:rsidR="00F554A7" w14:paraId="6973514B" w14:textId="77777777" w:rsidTr="00F92A89">
        <w:tc>
          <w:tcPr>
            <w:tcW w:w="2122" w:type="dxa"/>
          </w:tcPr>
          <w:p w14:paraId="000000ED" w14:textId="77777777" w:rsidR="00F554A7" w:rsidRPr="00F92A89" w:rsidRDefault="007A75BF">
            <w:pPr>
              <w:spacing w:before="40" w:after="40"/>
              <w:rPr>
                <w:rFonts w:ascii="Arial Narrow" w:hAnsi="Arial Narrow"/>
                <w:sz w:val="20"/>
              </w:rPr>
            </w:pPr>
            <w:r w:rsidRPr="00F92A89">
              <w:rPr>
                <w:rFonts w:ascii="Arial Narrow" w:hAnsi="Arial Narrow"/>
                <w:sz w:val="20"/>
              </w:rPr>
              <w:t>3</w:t>
            </w:r>
            <w:r w:rsidRPr="00F92A89">
              <w:rPr>
                <w:rFonts w:ascii="Arial Narrow" w:hAnsi="Arial Narrow"/>
                <w:sz w:val="20"/>
                <w:vertAlign w:val="superscript"/>
              </w:rPr>
              <w:t>rd</w:t>
            </w:r>
            <w:r w:rsidRPr="00F92A89">
              <w:rPr>
                <w:rFonts w:ascii="Arial Narrow" w:hAnsi="Arial Narrow"/>
                <w:sz w:val="20"/>
              </w:rPr>
              <w:t xml:space="preserve"> year of life</w:t>
            </w:r>
          </w:p>
        </w:tc>
        <w:tc>
          <w:tcPr>
            <w:tcW w:w="2126" w:type="dxa"/>
          </w:tcPr>
          <w:p w14:paraId="000000EE" w14:textId="77777777" w:rsidR="00F554A7" w:rsidRPr="00F92A89" w:rsidRDefault="007A75BF">
            <w:pPr>
              <w:spacing w:before="40" w:after="40"/>
              <w:rPr>
                <w:rFonts w:ascii="Arial Narrow" w:hAnsi="Arial Narrow"/>
                <w:sz w:val="20"/>
              </w:rPr>
            </w:pPr>
            <w:r w:rsidRPr="00F92A89">
              <w:rPr>
                <w:rFonts w:ascii="Arial Narrow" w:hAnsi="Arial Narrow"/>
                <w:sz w:val="20"/>
              </w:rPr>
              <w:t>0.05</w:t>
            </w:r>
          </w:p>
        </w:tc>
        <w:tc>
          <w:tcPr>
            <w:tcW w:w="2410" w:type="dxa"/>
          </w:tcPr>
          <w:p w14:paraId="000000EF" w14:textId="77777777" w:rsidR="00F554A7" w:rsidRPr="00F92A89" w:rsidRDefault="007A75BF">
            <w:pPr>
              <w:spacing w:before="40" w:after="40"/>
              <w:rPr>
                <w:rFonts w:ascii="Arial Narrow" w:hAnsi="Arial Narrow"/>
                <w:sz w:val="20"/>
              </w:rPr>
            </w:pPr>
            <w:r w:rsidRPr="00F92A89">
              <w:rPr>
                <w:rFonts w:ascii="Arial Narrow" w:hAnsi="Arial Narrow"/>
                <w:sz w:val="20"/>
              </w:rPr>
              <w:t>0.02, 0.15</w:t>
            </w:r>
          </w:p>
        </w:tc>
        <w:tc>
          <w:tcPr>
            <w:tcW w:w="2409" w:type="dxa"/>
            <w:gridSpan w:val="2"/>
          </w:tcPr>
          <w:p w14:paraId="000000F0" w14:textId="77777777" w:rsidR="00F554A7" w:rsidRPr="00F92A89" w:rsidRDefault="007A75BF">
            <w:pPr>
              <w:spacing w:before="40" w:after="40"/>
              <w:rPr>
                <w:rFonts w:ascii="Arial Narrow" w:hAnsi="Arial Narrow"/>
                <w:sz w:val="20"/>
              </w:rPr>
            </w:pPr>
            <w:r w:rsidRPr="00F92A89">
              <w:rPr>
                <w:rFonts w:ascii="Arial Narrow" w:hAnsi="Arial Narrow"/>
                <w:sz w:val="20"/>
              </w:rPr>
              <w:t>&lt;0.001</w:t>
            </w:r>
          </w:p>
        </w:tc>
      </w:tr>
      <w:tr w:rsidR="00F554A7" w14:paraId="0802A030" w14:textId="77777777" w:rsidTr="00F92A89">
        <w:tc>
          <w:tcPr>
            <w:tcW w:w="2122" w:type="dxa"/>
          </w:tcPr>
          <w:p w14:paraId="000000F1" w14:textId="77777777" w:rsidR="00F554A7" w:rsidRPr="00F92A89" w:rsidRDefault="007A75BF">
            <w:pPr>
              <w:spacing w:before="40" w:after="40"/>
              <w:rPr>
                <w:rFonts w:ascii="Arial Narrow" w:hAnsi="Arial Narrow"/>
                <w:sz w:val="20"/>
              </w:rPr>
            </w:pPr>
            <w:r w:rsidRPr="00F92A89">
              <w:rPr>
                <w:rFonts w:ascii="Arial Narrow" w:hAnsi="Arial Narrow"/>
                <w:sz w:val="20"/>
              </w:rPr>
              <w:t>5</w:t>
            </w:r>
            <w:r w:rsidRPr="00F92A89">
              <w:rPr>
                <w:rFonts w:ascii="Arial Narrow" w:hAnsi="Arial Narrow"/>
                <w:sz w:val="20"/>
                <w:vertAlign w:val="superscript"/>
              </w:rPr>
              <w:t>th</w:t>
            </w:r>
            <w:r w:rsidRPr="00F92A89">
              <w:rPr>
                <w:rFonts w:ascii="Arial Narrow" w:hAnsi="Arial Narrow"/>
                <w:sz w:val="20"/>
              </w:rPr>
              <w:t xml:space="preserve"> year of life</w:t>
            </w:r>
          </w:p>
        </w:tc>
        <w:tc>
          <w:tcPr>
            <w:tcW w:w="2126" w:type="dxa"/>
          </w:tcPr>
          <w:p w14:paraId="000000F2" w14:textId="77777777" w:rsidR="00F554A7" w:rsidRPr="00F92A89" w:rsidRDefault="007A75BF">
            <w:pPr>
              <w:spacing w:before="40" w:after="40"/>
              <w:rPr>
                <w:rFonts w:ascii="Arial Narrow" w:hAnsi="Arial Narrow"/>
                <w:sz w:val="20"/>
              </w:rPr>
            </w:pPr>
            <w:r w:rsidRPr="00F92A89">
              <w:rPr>
                <w:rFonts w:ascii="Arial Narrow" w:hAnsi="Arial Narrow"/>
                <w:sz w:val="20"/>
              </w:rPr>
              <w:t>0.09</w:t>
            </w:r>
          </w:p>
        </w:tc>
        <w:tc>
          <w:tcPr>
            <w:tcW w:w="2410" w:type="dxa"/>
          </w:tcPr>
          <w:p w14:paraId="000000F3" w14:textId="77777777" w:rsidR="00F554A7" w:rsidRPr="00F92A89" w:rsidRDefault="007A75BF">
            <w:pPr>
              <w:spacing w:before="40" w:after="40"/>
              <w:rPr>
                <w:rFonts w:ascii="Arial Narrow" w:hAnsi="Arial Narrow"/>
                <w:sz w:val="20"/>
              </w:rPr>
            </w:pPr>
            <w:r w:rsidRPr="00F92A89">
              <w:rPr>
                <w:rFonts w:ascii="Arial Narrow" w:hAnsi="Arial Narrow"/>
                <w:sz w:val="20"/>
              </w:rPr>
              <w:t>0.04, 0.22</w:t>
            </w:r>
          </w:p>
        </w:tc>
        <w:tc>
          <w:tcPr>
            <w:tcW w:w="2409" w:type="dxa"/>
            <w:gridSpan w:val="2"/>
          </w:tcPr>
          <w:p w14:paraId="000000F4" w14:textId="77777777" w:rsidR="00F554A7" w:rsidRPr="00F92A89" w:rsidRDefault="007A75BF">
            <w:pPr>
              <w:spacing w:before="40" w:after="40"/>
              <w:rPr>
                <w:rFonts w:ascii="Arial Narrow" w:hAnsi="Arial Narrow"/>
                <w:sz w:val="20"/>
              </w:rPr>
            </w:pPr>
            <w:r w:rsidRPr="00F92A89">
              <w:rPr>
                <w:rFonts w:ascii="Arial Narrow" w:hAnsi="Arial Narrow"/>
                <w:sz w:val="20"/>
              </w:rPr>
              <w:t>&lt;0.001</w:t>
            </w:r>
          </w:p>
        </w:tc>
      </w:tr>
      <w:tr w:rsidR="00F554A7" w14:paraId="67C8012A" w14:textId="77777777" w:rsidTr="00F92A89">
        <w:tc>
          <w:tcPr>
            <w:tcW w:w="2122" w:type="dxa"/>
          </w:tcPr>
          <w:p w14:paraId="000000F5" w14:textId="77777777" w:rsidR="00F554A7" w:rsidRPr="00F92A89" w:rsidRDefault="007A75BF">
            <w:pPr>
              <w:spacing w:before="40" w:after="40"/>
              <w:rPr>
                <w:rFonts w:ascii="Arial Narrow" w:hAnsi="Arial Narrow"/>
                <w:sz w:val="20"/>
              </w:rPr>
            </w:pPr>
            <w:r w:rsidRPr="00F92A89">
              <w:rPr>
                <w:rFonts w:ascii="Arial Narrow" w:hAnsi="Arial Narrow"/>
                <w:sz w:val="20"/>
              </w:rPr>
              <w:t>10</w:t>
            </w:r>
            <w:r w:rsidRPr="00F92A89">
              <w:rPr>
                <w:rFonts w:ascii="Arial Narrow" w:hAnsi="Arial Narrow"/>
                <w:sz w:val="20"/>
                <w:vertAlign w:val="superscript"/>
              </w:rPr>
              <w:t>th</w:t>
            </w:r>
            <w:r w:rsidRPr="00F92A89">
              <w:rPr>
                <w:rFonts w:ascii="Arial Narrow" w:hAnsi="Arial Narrow"/>
                <w:sz w:val="20"/>
              </w:rPr>
              <w:t xml:space="preserve"> year of life</w:t>
            </w:r>
          </w:p>
        </w:tc>
        <w:tc>
          <w:tcPr>
            <w:tcW w:w="2126" w:type="dxa"/>
          </w:tcPr>
          <w:p w14:paraId="000000F6" w14:textId="77777777" w:rsidR="00F554A7" w:rsidRPr="00F92A89" w:rsidRDefault="007A75BF">
            <w:pPr>
              <w:spacing w:before="40" w:after="40"/>
              <w:rPr>
                <w:rFonts w:ascii="Arial Narrow" w:hAnsi="Arial Narrow"/>
                <w:sz w:val="20"/>
              </w:rPr>
            </w:pPr>
            <w:r w:rsidRPr="00F92A89">
              <w:rPr>
                <w:rFonts w:ascii="Arial Narrow" w:hAnsi="Arial Narrow"/>
                <w:sz w:val="20"/>
              </w:rPr>
              <w:t>0.33</w:t>
            </w:r>
          </w:p>
        </w:tc>
        <w:tc>
          <w:tcPr>
            <w:tcW w:w="2410" w:type="dxa"/>
          </w:tcPr>
          <w:p w14:paraId="000000F7" w14:textId="77777777" w:rsidR="00F554A7" w:rsidRPr="00F92A89" w:rsidRDefault="007A75BF">
            <w:pPr>
              <w:spacing w:before="40" w:after="40"/>
              <w:rPr>
                <w:rFonts w:ascii="Arial Narrow" w:hAnsi="Arial Narrow"/>
                <w:sz w:val="20"/>
              </w:rPr>
            </w:pPr>
            <w:r w:rsidRPr="00F92A89">
              <w:rPr>
                <w:rFonts w:ascii="Arial Narrow" w:hAnsi="Arial Narrow"/>
                <w:sz w:val="20"/>
              </w:rPr>
              <w:t>0.07, 1.64</w:t>
            </w:r>
          </w:p>
        </w:tc>
        <w:tc>
          <w:tcPr>
            <w:tcW w:w="2409" w:type="dxa"/>
            <w:gridSpan w:val="2"/>
          </w:tcPr>
          <w:p w14:paraId="000000F8" w14:textId="77777777" w:rsidR="00F554A7" w:rsidRPr="00F92A89" w:rsidRDefault="007A75BF">
            <w:pPr>
              <w:spacing w:before="40" w:after="40"/>
              <w:rPr>
                <w:rFonts w:ascii="Arial Narrow" w:hAnsi="Arial Narrow"/>
                <w:sz w:val="20"/>
              </w:rPr>
            </w:pPr>
            <w:r w:rsidRPr="00F92A89">
              <w:rPr>
                <w:rFonts w:ascii="Arial Narrow" w:hAnsi="Arial Narrow"/>
                <w:sz w:val="20"/>
              </w:rPr>
              <w:t>0.176</w:t>
            </w:r>
          </w:p>
        </w:tc>
      </w:tr>
    </w:tbl>
    <w:p w14:paraId="000000F9" w14:textId="77777777" w:rsidR="00F554A7" w:rsidRPr="00F92A89" w:rsidRDefault="007A75BF" w:rsidP="00F92A89">
      <w:pPr>
        <w:pStyle w:val="Tablenotes0"/>
        <w:spacing w:after="60"/>
      </w:pPr>
      <w:r w:rsidRPr="00F92A89">
        <w:t>CI = confidence interval; NBS = newborn screening program; OR = odds ratio; SCD = sickle cell disease</w:t>
      </w:r>
    </w:p>
    <w:p w14:paraId="000000FA" w14:textId="77777777" w:rsidR="00F554A7" w:rsidRDefault="007A75BF">
      <w:pPr>
        <w:tabs>
          <w:tab w:val="left" w:pos="284"/>
        </w:tabs>
        <w:spacing w:before="0" w:after="60" w:line="240" w:lineRule="auto"/>
        <w:rPr>
          <w:rFonts w:ascii="Arial Narrow" w:eastAsia="Arial Narrow" w:hAnsi="Arial Narrow" w:cs="Arial Narrow"/>
          <w:sz w:val="18"/>
          <w:szCs w:val="18"/>
        </w:rPr>
      </w:pPr>
      <w:r>
        <w:rPr>
          <w:rFonts w:ascii="Arial Narrow" w:eastAsia="Arial Narrow" w:hAnsi="Arial Narrow" w:cs="Arial Narrow"/>
          <w:b/>
          <w:sz w:val="18"/>
          <w:szCs w:val="18"/>
        </w:rPr>
        <w:t>Notes: a.</w:t>
      </w:r>
      <w:r>
        <w:rPr>
          <w:rFonts w:ascii="Arial Narrow" w:eastAsia="Arial Narrow" w:hAnsi="Arial Narrow" w:cs="Arial Narrow"/>
          <w:sz w:val="18"/>
          <w:szCs w:val="18"/>
        </w:rPr>
        <w:t xml:space="preserve"> Parents of 40 of the newborns did not attend the initial consultation. Therefore, 395 newborns were included in the intervention program</w:t>
      </w:r>
    </w:p>
    <w:p w14:paraId="000000FB" w14:textId="77777777" w:rsidR="00F554A7" w:rsidRDefault="007A75BF">
      <w:pPr>
        <w:tabs>
          <w:tab w:val="left" w:pos="284"/>
        </w:tabs>
        <w:spacing w:before="0" w:after="60" w:line="240" w:lineRule="auto"/>
        <w:rPr>
          <w:rFonts w:ascii="Arial Narrow" w:eastAsia="Arial Narrow" w:hAnsi="Arial Narrow" w:cs="Arial Narrow"/>
          <w:sz w:val="18"/>
          <w:szCs w:val="18"/>
        </w:rPr>
      </w:pPr>
      <w:r>
        <w:rPr>
          <w:rFonts w:ascii="Arial Narrow" w:eastAsia="Arial Narrow" w:hAnsi="Arial Narrow" w:cs="Arial Narrow"/>
          <w:sz w:val="18"/>
          <w:szCs w:val="18"/>
        </w:rPr>
        <w:t>b. IQWiG’s own calculations approximately determined from the data on mortality rates in the groups and self-estimated number n.</w:t>
      </w:r>
    </w:p>
    <w:p w14:paraId="000000FC" w14:textId="77777777" w:rsidR="00F554A7" w:rsidRDefault="007A75BF">
      <w:pPr>
        <w:tabs>
          <w:tab w:val="left" w:pos="284"/>
        </w:tabs>
        <w:spacing w:before="0" w:after="60" w:line="240" w:lineRule="auto"/>
        <w:rPr>
          <w:rFonts w:ascii="Arial Narrow" w:eastAsia="Arial Narrow" w:hAnsi="Arial Narrow" w:cs="Arial Narrow"/>
          <w:sz w:val="18"/>
          <w:szCs w:val="18"/>
        </w:rPr>
      </w:pPr>
      <w:r>
        <w:rPr>
          <w:rFonts w:ascii="Arial Narrow" w:eastAsia="Arial Narrow" w:hAnsi="Arial Narrow" w:cs="Arial Narrow"/>
          <w:sz w:val="18"/>
          <w:szCs w:val="18"/>
        </w:rPr>
        <w:t>c. Data taken from IQWiG’s own calculation of the mortality rate from data on survival probability which is given in King et al (2007). Information on the method used to estimate survival probability was missing in King et al (2007). No absolute numbers of deaths or survivors available.</w:t>
      </w:r>
    </w:p>
    <w:p w14:paraId="000000FD" w14:textId="761E3BB4" w:rsidR="00F554A7" w:rsidRPr="00F92A89" w:rsidRDefault="007A75BF" w:rsidP="00F92A89">
      <w:pPr>
        <w:pStyle w:val="Tablenotes0"/>
      </w:pPr>
      <w:r w:rsidRPr="00F92A89">
        <w:rPr>
          <w:bCs/>
        </w:rPr>
        <w:t>Source</w:t>
      </w:r>
      <w:r w:rsidRPr="00F92A89">
        <w:rPr>
          <w:b/>
        </w:rPr>
        <w:t xml:space="preserve">: </w:t>
      </w:r>
      <w:r w:rsidR="00B274E5" w:rsidRPr="00F92A89">
        <w:rPr>
          <w:bCs/>
        </w:rPr>
        <w:t xml:space="preserve">DCAR Table 4, </w:t>
      </w:r>
      <w:r w:rsidR="00B274E5" w:rsidRPr="00B274E5">
        <w:rPr>
          <w:bCs/>
        </w:rPr>
        <w:t>a</w:t>
      </w:r>
      <w:r w:rsidRPr="00F92A89">
        <w:t>dapted from</w:t>
      </w:r>
      <w:r w:rsidRPr="00F92A89">
        <w:rPr>
          <w:b/>
        </w:rPr>
        <w:t xml:space="preserve"> </w:t>
      </w:r>
      <w:r w:rsidR="00496FB5">
        <w:rPr>
          <w:snapToGrid w:val="0"/>
          <w:lang w:eastAsia="en-AU"/>
        </w:rPr>
        <w:fldChar w:fldCharType="begin">
          <w:fldData xml:space="preserve">PEVuZE5vdGU+PENpdGU+PEF1dGhvcj5SdW5rZWw8L0F1dGhvcj48WWVhcj4yMDIwPC9ZZWFyPjxS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</w:fldData>
        </w:fldChar>
      </w:r>
      <w:r w:rsidR="00496FB5">
        <w:rPr>
          <w:snapToGrid w:val="0"/>
          <w:lang w:eastAsia="en-AU"/>
        </w:rPr>
        <w:instrText xml:space="preserve"> ADDIN EN.CITE </w:instrText>
      </w:r>
      <w:r w:rsidR="00496FB5">
        <w:rPr>
          <w:snapToGrid w:val="0"/>
          <w:lang w:eastAsia="en-AU"/>
        </w:rPr>
        <w:fldChar w:fldCharType="begin">
          <w:fldData xml:space="preserve">PEVuZE5vdGU+PENpdGU+PEF1dGhvcj5SdW5rZWw8L0F1dGhvcj48WWVhcj4yMDIwPC9ZZWFyPjxS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</w:fldData>
        </w:fldChar>
      </w:r>
      <w:r w:rsidR="00496FB5">
        <w:rPr>
          <w:snapToGrid w:val="0"/>
          <w:lang w:eastAsia="en-AU"/>
        </w:rPr>
        <w:instrText xml:space="preserve"> ADDIN EN.CITE.DATA </w:instrText>
      </w:r>
      <w:r w:rsidR="00496FB5">
        <w:rPr>
          <w:snapToGrid w:val="0"/>
          <w:lang w:eastAsia="en-AU"/>
        </w:rPr>
      </w:r>
      <w:r w:rsidR="00496FB5">
        <w:rPr>
          <w:snapToGrid w:val="0"/>
          <w:lang w:eastAsia="en-AU"/>
        </w:rPr>
        <w:fldChar w:fldCharType="end"/>
      </w:r>
      <w:r w:rsidR="00496FB5">
        <w:rPr>
          <w:snapToGrid w:val="0"/>
          <w:lang w:eastAsia="en-AU"/>
        </w:rPr>
      </w:r>
      <w:r w:rsidR="00496FB5">
        <w:rPr>
          <w:snapToGrid w:val="0"/>
          <w:lang w:eastAsia="en-AU"/>
        </w:rPr>
        <w:fldChar w:fldCharType="separate"/>
      </w:r>
      <w:r w:rsidR="00496FB5">
        <w:rPr>
          <w:noProof/>
          <w:snapToGrid w:val="0"/>
          <w:lang w:eastAsia="en-AU"/>
        </w:rPr>
        <w:t>(Runkel et al. 2020)</w:t>
      </w:r>
      <w:r w:rsidR="00496FB5">
        <w:rPr>
          <w:snapToGrid w:val="0"/>
          <w:lang w:eastAsia="en-AU"/>
        </w:rPr>
        <w:fldChar w:fldCharType="end"/>
      </w:r>
      <w:r w:rsidR="00B5404E">
        <w:rPr>
          <w:rFonts w:eastAsia="Arial Narrow" w:cs="Arial Narrow"/>
          <w:color w:val="000000"/>
          <w:szCs w:val="18"/>
        </w:rPr>
        <w:t>.</w:t>
      </w:r>
    </w:p>
    <w:p w14:paraId="000000FE" w14:textId="115ED88B" w:rsidR="00F554A7" w:rsidRDefault="007A75BF">
      <w:r>
        <w:t xml:space="preserve">Overall, the studies with comparative results (level III-3) reported by IHE (2016) found mortality to be reduced by the implementation of NBS </w:t>
      </w:r>
      <w:r w:rsidR="00445ED3">
        <w:t>(</w:t>
      </w:r>
      <w:r w:rsidR="00445ED3">
        <w:fldChar w:fldCharType="begin"/>
      </w:r>
      <w:r w:rsidR="00445ED3">
        <w:instrText xml:space="preserve"> REF _Ref129273655 \h  \* MERGEFORMAT </w:instrText>
      </w:r>
      <w:r w:rsidR="00445ED3">
        <w:fldChar w:fldCharType="separate"/>
      </w:r>
      <w:r w:rsidR="006E058E" w:rsidRPr="006E058E">
        <w:t>Table 5</w:t>
      </w:r>
      <w:r w:rsidR="00445ED3">
        <w:fldChar w:fldCharType="end"/>
      </w:r>
      <w:r w:rsidR="00445ED3">
        <w:t>).</w:t>
      </w:r>
      <w:r>
        <w:t xml:space="preserve"> </w:t>
      </w:r>
    </w:p>
    <w:p w14:paraId="0C5E5AD6" w14:textId="3819B6A4" w:rsidR="00FF0E39" w:rsidRPr="00EC74D4" w:rsidRDefault="00FF0E39" w:rsidP="00FF0E39">
      <w:pPr>
        <w:keepNext/>
        <w:spacing w:before="360" w:after="120" w:line="240" w:lineRule="auto"/>
        <w:rPr>
          <w:rFonts w:ascii="Arial Narrow" w:eastAsia="Times New Roman" w:hAnsi="Arial Narrow" w:cs="Arial"/>
          <w:b/>
          <w:bCs/>
          <w:snapToGrid w:val="0"/>
          <w:sz w:val="20"/>
          <w:szCs w:val="16"/>
        </w:rPr>
      </w:pPr>
      <w:bookmarkStart w:id="56" w:name="_heading=h.49x2ik5" w:colFirst="0" w:colLast="0"/>
      <w:bookmarkStart w:id="57" w:name="_Ref129273655"/>
      <w:bookmarkEnd w:id="56"/>
      <w:r w:rsidRPr="00EC74D4">
        <w:rPr>
          <w:rFonts w:ascii="Arial Narrow" w:eastAsia="Times New Roman" w:hAnsi="Arial Narrow" w:cs="Times New Roman"/>
          <w:b/>
          <w:bCs/>
          <w:sz w:val="20"/>
          <w:szCs w:val="20"/>
        </w:rPr>
        <w:t>Table </w:t>
      </w:r>
      <w:r w:rsidRPr="00EC74D4">
        <w:rPr>
          <w:rFonts w:ascii="Arial Narrow" w:eastAsia="Times New Roman" w:hAnsi="Arial Narrow" w:cs="Times New Roman"/>
          <w:b/>
          <w:bCs/>
          <w:sz w:val="20"/>
          <w:szCs w:val="20"/>
        </w:rPr>
        <w:fldChar w:fldCharType="begin"/>
      </w:r>
      <w:r w:rsidRPr="00EC74D4">
        <w:rPr>
          <w:rFonts w:ascii="Arial Narrow" w:eastAsia="Times New Roman" w:hAnsi="Arial Narrow" w:cs="Times New Roman"/>
          <w:b/>
          <w:bCs/>
          <w:sz w:val="20"/>
          <w:szCs w:val="20"/>
        </w:rPr>
        <w:instrText xml:space="preserve"> SEQ Table \* ARABIC </w:instrText>
      </w:r>
      <w:r w:rsidRPr="00EC74D4">
        <w:rPr>
          <w:rFonts w:ascii="Arial Narrow" w:eastAsia="Times New Roman" w:hAnsi="Arial Narrow" w:cs="Times New Roman"/>
          <w:b/>
          <w:bCs/>
          <w:sz w:val="20"/>
          <w:szCs w:val="20"/>
        </w:rPr>
        <w:fldChar w:fldCharType="separate"/>
      </w:r>
      <w:r w:rsidR="006E058E">
        <w:rPr>
          <w:rFonts w:ascii="Arial Narrow" w:eastAsia="Times New Roman" w:hAnsi="Arial Narrow" w:cs="Times New Roman"/>
          <w:b/>
          <w:bCs/>
          <w:noProof/>
          <w:sz w:val="20"/>
          <w:szCs w:val="20"/>
        </w:rPr>
        <w:t>5</w:t>
      </w:r>
      <w:r w:rsidRPr="00EC74D4">
        <w:rPr>
          <w:rFonts w:ascii="Arial Narrow" w:eastAsia="Times New Roman" w:hAnsi="Arial Narrow" w:cs="Times New Roman"/>
          <w:b/>
          <w:bCs/>
          <w:noProof/>
          <w:sz w:val="20"/>
          <w:szCs w:val="20"/>
        </w:rPr>
        <w:fldChar w:fldCharType="end"/>
      </w:r>
      <w:bookmarkEnd w:id="57"/>
      <w:r w:rsidRPr="00EC74D4">
        <w:rPr>
          <w:rFonts w:ascii="Arial Narrow" w:eastAsia="Times New Roman" w:hAnsi="Arial Narrow" w:cs="Times New Roman"/>
          <w:b/>
          <w:bCs/>
          <w:sz w:val="20"/>
          <w:szCs w:val="20"/>
        </w:rPr>
        <w:tab/>
      </w:r>
      <w:r w:rsidRPr="00EC74D4">
        <w:rPr>
          <w:rFonts w:ascii="Arial Narrow" w:eastAsia="Times New Roman" w:hAnsi="Arial Narrow" w:cs="Arial"/>
          <w:b/>
          <w:bCs/>
          <w:snapToGrid w:val="0"/>
          <w:sz w:val="20"/>
          <w:szCs w:val="16"/>
        </w:rPr>
        <w:t xml:space="preserve">Mortality of children diagnosed with SCD by NBS compared with those diagnosed at a later age </w:t>
      </w:r>
      <w:r w:rsidR="00496FB5">
        <w:rPr>
          <w:rFonts w:ascii="Arial Narrow" w:eastAsia="Times New Roman" w:hAnsi="Arial Narrow" w:cs="Arial"/>
          <w:b/>
          <w:bCs/>
          <w:snapToGrid w:val="0"/>
          <w:sz w:val="20"/>
          <w:szCs w:val="16"/>
        </w:rPr>
        <w:fldChar w:fldCharType="begin"/>
      </w:r>
      <w:r w:rsidR="00496FB5">
        <w:rPr>
          <w:rFonts w:ascii="Arial Narrow" w:eastAsia="Times New Roman" w:hAnsi="Arial Narrow" w:cs="Arial"/>
          <w:b/>
          <w:bCs/>
          <w:snapToGrid w:val="0"/>
          <w:sz w:val="20"/>
          <w:szCs w:val="16"/>
        </w:rPr>
        <w:instrText xml:space="preserve"> ADDIN EN.CITE &lt;EndNote&gt;&lt;Cite&gt;&lt;Author&gt;IHE&lt;/Author&gt;&lt;Year&gt;2016&lt;/Year&gt;&lt;RecNum&gt;13&lt;/RecNum&gt;&lt;DisplayText&gt;(IHE 2016)&lt;/DisplayText&gt;&lt;record&gt;&lt;rec-number&gt;13&lt;/rec-number&gt;&lt;foreign-keys&gt;&lt;key app="EN" db-id="p2fpwezd8trtaled22npdf09fsdtp5f5w5ar" timestamp="1663632377"&gt;13&lt;/key&gt;&lt;/foreign-keys&gt;&lt;ref-type name="Report"&gt;27&lt;/ref-type&gt;&lt;contributors&gt;&lt;authors&gt;&lt;author&gt;IHE&lt;/author&gt;&lt;/authors&gt;&lt;/contributors&gt;&lt;titles&gt;&lt;title&gt;Newborn blood spot screening for galactosemia, tyrosinemia type I, homocystinuria, sickle cell anemia, sickle cell/beta-thalassemia, sickle cell/hemoglobin C disease, and severe combined immunodeficiency&lt;/title&gt;&lt;secondary-title&gt;Edmonton (AB)&lt;/secondary-title&gt;&lt;/titles&gt;&lt;dates&gt;&lt;year&gt;2016&lt;/year&gt;&lt;/dates&gt;&lt;pub-location&gt;Canada&lt;/pub-location&gt;&lt;publisher&gt;Institute of Health Economics&lt;/publisher&gt;&lt;urls&gt;&lt;/urls&gt;&lt;/record&gt;&lt;/Cite&gt;&lt;/EndNote&gt;</w:instrText>
      </w:r>
      <w:r w:rsidR="00496FB5">
        <w:rPr>
          <w:rFonts w:ascii="Arial Narrow" w:eastAsia="Times New Roman" w:hAnsi="Arial Narrow" w:cs="Arial"/>
          <w:b/>
          <w:bCs/>
          <w:snapToGrid w:val="0"/>
          <w:sz w:val="20"/>
          <w:szCs w:val="16"/>
        </w:rPr>
        <w:fldChar w:fldCharType="separate"/>
      </w:r>
      <w:r w:rsidR="00496FB5">
        <w:rPr>
          <w:rFonts w:ascii="Arial Narrow" w:eastAsia="Times New Roman" w:hAnsi="Arial Narrow" w:cs="Arial"/>
          <w:b/>
          <w:bCs/>
          <w:noProof/>
          <w:snapToGrid w:val="0"/>
          <w:sz w:val="20"/>
          <w:szCs w:val="16"/>
        </w:rPr>
        <w:t>(IHE 2016)</w:t>
      </w:r>
      <w:r w:rsidR="00496FB5">
        <w:rPr>
          <w:rFonts w:ascii="Arial Narrow" w:eastAsia="Times New Roman" w:hAnsi="Arial Narrow" w:cs="Arial"/>
          <w:b/>
          <w:bCs/>
          <w:snapToGrid w:val="0"/>
          <w:sz w:val="20"/>
          <w:szCs w:val="16"/>
        </w:rPr>
        <w:fldChar w:fldCharType="end"/>
      </w:r>
    </w:p>
    <w:tbl>
      <w:tblPr>
        <w:tblStyle w:val="TableGrid1"/>
        <w:tblW w:w="5000" w:type="pct"/>
        <w:tblInd w:w="28" w:type="dxa"/>
        <w:tblLayout w:type="fixed"/>
        <w:tblCellMar>
          <w:left w:w="28" w:type="dxa"/>
          <w:right w:w="28" w:type="dxa"/>
        </w:tblCellMar>
        <w:tblLook w:val="04A0" w:firstRow="1" w:lastRow="0" w:firstColumn="1" w:lastColumn="0" w:noHBand="0" w:noVBand="1"/>
      </w:tblPr>
      <w:tblGrid>
        <w:gridCol w:w="1381"/>
        <w:gridCol w:w="2544"/>
        <w:gridCol w:w="2970"/>
        <w:gridCol w:w="2121"/>
      </w:tblGrid>
      <w:tr w:rsidR="00F554A7" w14:paraId="7EE19D24" w14:textId="77777777" w:rsidTr="003D71E1">
        <w:trPr>
          <w:cnfStyle w:val="100000000000" w:firstRow="1" w:lastRow="0" w:firstColumn="0" w:lastColumn="0" w:oddVBand="0" w:evenVBand="0" w:oddHBand="0" w:evenHBand="0" w:firstRowFirstColumn="0" w:firstRowLastColumn="0" w:lastRowFirstColumn="0" w:lastRowLastColumn="0"/>
          <w:tblHeader/>
        </w:trPr>
        <w:tc>
          <w:tcPr>
            <w:tcW w:w="766" w:type="pct"/>
            <w:shd w:val="clear" w:color="auto" w:fill="auto"/>
          </w:tcPr>
          <w:p w14:paraId="00000100" w14:textId="77777777" w:rsidR="00F554A7" w:rsidRDefault="007A75BF">
            <w:pPr>
              <w:spacing w:after="60"/>
              <w:rPr>
                <w:rFonts w:ascii="Arial Narrow" w:hAnsi="Arial Narrow"/>
                <w:b/>
              </w:rPr>
            </w:pPr>
            <w:r>
              <w:rPr>
                <w:rFonts w:ascii="Arial Narrow" w:eastAsia="Arial Narrow" w:hAnsi="Arial Narrow" w:cs="Arial Narrow"/>
                <w:b/>
              </w:rPr>
              <w:t>Study ID</w:t>
            </w:r>
          </w:p>
        </w:tc>
        <w:tc>
          <w:tcPr>
            <w:tcW w:w="1411" w:type="pct"/>
          </w:tcPr>
          <w:p w14:paraId="00000101" w14:textId="77777777" w:rsidR="00F554A7" w:rsidRDefault="007A75BF">
            <w:pPr>
              <w:spacing w:after="60"/>
              <w:rPr>
                <w:rFonts w:ascii="Arial Narrow" w:hAnsi="Arial Narrow"/>
                <w:b/>
              </w:rPr>
            </w:pPr>
            <w:r>
              <w:rPr>
                <w:rFonts w:ascii="Arial Narrow" w:eastAsia="Arial Narrow" w:hAnsi="Arial Narrow" w:cs="Arial Narrow"/>
                <w:b/>
              </w:rPr>
              <w:t>Intervention</w:t>
            </w:r>
          </w:p>
          <w:p w14:paraId="00000102" w14:textId="77777777" w:rsidR="00F554A7" w:rsidRDefault="007A75BF">
            <w:pPr>
              <w:spacing w:after="60"/>
              <w:rPr>
                <w:rFonts w:ascii="Arial Narrow" w:hAnsi="Arial Narrow"/>
                <w:b/>
              </w:rPr>
            </w:pPr>
            <w:r>
              <w:rPr>
                <w:rFonts w:ascii="Arial Narrow" w:eastAsia="Arial Narrow" w:hAnsi="Arial Narrow" w:cs="Arial Narrow"/>
                <w:b/>
              </w:rPr>
              <w:t>N</w:t>
            </w:r>
          </w:p>
        </w:tc>
        <w:tc>
          <w:tcPr>
            <w:tcW w:w="1647" w:type="pct"/>
            <w:shd w:val="clear" w:color="auto" w:fill="auto"/>
          </w:tcPr>
          <w:p w14:paraId="00000103" w14:textId="77777777" w:rsidR="00F554A7" w:rsidRDefault="007A75BF">
            <w:pPr>
              <w:spacing w:after="60"/>
              <w:rPr>
                <w:rFonts w:ascii="Arial Narrow" w:hAnsi="Arial Narrow"/>
                <w:b/>
              </w:rPr>
            </w:pPr>
            <w:r>
              <w:rPr>
                <w:rFonts w:ascii="Arial Narrow" w:eastAsia="Arial Narrow" w:hAnsi="Arial Narrow" w:cs="Arial Narrow"/>
                <w:b/>
              </w:rPr>
              <w:t xml:space="preserve">Mortality outcome description </w:t>
            </w:r>
          </w:p>
        </w:tc>
        <w:tc>
          <w:tcPr>
            <w:tcW w:w="1176" w:type="pct"/>
            <w:shd w:val="clear" w:color="auto" w:fill="auto"/>
          </w:tcPr>
          <w:p w14:paraId="00000104" w14:textId="77777777" w:rsidR="00F554A7" w:rsidRDefault="007A75BF">
            <w:pPr>
              <w:spacing w:after="60"/>
              <w:rPr>
                <w:rFonts w:ascii="Arial Narrow" w:hAnsi="Arial Narrow"/>
                <w:b/>
              </w:rPr>
            </w:pPr>
            <w:r>
              <w:rPr>
                <w:rFonts w:ascii="Arial Narrow" w:eastAsia="Arial Narrow" w:hAnsi="Arial Narrow" w:cs="Arial Narrow"/>
                <w:b/>
              </w:rPr>
              <w:t>Absolute difference (reduction with NBS)</w:t>
            </w:r>
          </w:p>
        </w:tc>
      </w:tr>
      <w:tr w:rsidR="00F554A7" w14:paraId="30567C12" w14:textId="77777777" w:rsidTr="003D71E1">
        <w:tc>
          <w:tcPr>
            <w:tcW w:w="766" w:type="pct"/>
            <w:shd w:val="clear" w:color="auto" w:fill="auto"/>
          </w:tcPr>
          <w:p w14:paraId="1ACF80D0" w14:textId="77777777" w:rsidR="00FF0E39" w:rsidRPr="00EC74D4" w:rsidRDefault="00496FB5" w:rsidP="000A4713">
            <w:pPr>
              <w:rPr>
                <w:rFonts w:ascii="Arial Narrow" w:hAnsi="Arial Narrow"/>
                <w:snapToGrid w:val="0"/>
              </w:rPr>
            </w:pPr>
            <w:r>
              <w:rPr>
                <w:rFonts w:ascii="Arial Narrow" w:hAnsi="Arial Narrow"/>
                <w:snapToGrid w:val="0"/>
              </w:rPr>
              <w:fldChar w:fldCharType="begin">
                <w:fldData xml:space="preserve">PEVuZE5vdGU+PENpdGU+PEF1dGhvcj5ZYW5uaTwvQXV0aG9yPjxZZWFyPjIwMDk8L1llYXI+PFJl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</w:fldData>
              </w:fldChar>
            </w:r>
            <w:r w:rsidR="00834E25">
              <w:rPr>
                <w:rFonts w:ascii="Arial Narrow" w:hAnsi="Arial Narrow"/>
                <w:snapToGrid w:val="0"/>
              </w:rPr>
              <w:instrText xml:space="preserve"> ADDIN EN.CITE </w:instrText>
            </w:r>
            <w:r w:rsidR="00834E25">
              <w:rPr>
                <w:rFonts w:ascii="Arial Narrow" w:hAnsi="Arial Narrow"/>
                <w:snapToGrid w:val="0"/>
              </w:rPr>
              <w:fldChar w:fldCharType="begin">
                <w:fldData xml:space="preserve">PEVuZE5vdGU+PENpdGU+PEF1dGhvcj5ZYW5uaTwvQXV0aG9yPjxZZWFyPjIwMDk8L1llYXI+PFJl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</w:fldData>
              </w:fldChar>
            </w:r>
            <w:r w:rsidR="00834E25">
              <w:rPr>
                <w:rFonts w:ascii="Arial Narrow" w:hAnsi="Arial Narrow"/>
                <w:snapToGrid w:val="0"/>
              </w:rPr>
              <w:instrText xml:space="preserve"> ADDIN EN.CITE.DATA </w:instrText>
            </w:r>
            <w:r w:rsidR="00834E25">
              <w:rPr>
                <w:rFonts w:ascii="Arial Narrow" w:hAnsi="Arial Narrow"/>
                <w:snapToGrid w:val="0"/>
              </w:rPr>
            </w:r>
            <w:r w:rsidR="00834E25">
              <w:rPr>
                <w:rFonts w:ascii="Arial Narrow" w:hAnsi="Arial Narrow"/>
                <w:snapToGrid w:val="0"/>
              </w:rPr>
              <w:fldChar w:fldCharType="end"/>
            </w:r>
            <w:r>
              <w:rPr>
                <w:rFonts w:ascii="Arial Narrow" w:hAnsi="Arial Narrow"/>
                <w:snapToGrid w:val="0"/>
              </w:rPr>
            </w:r>
            <w:r>
              <w:rPr>
                <w:rFonts w:ascii="Arial Narrow" w:hAnsi="Arial Narrow"/>
                <w:snapToGrid w:val="0"/>
              </w:rPr>
              <w:fldChar w:fldCharType="separate"/>
            </w:r>
            <w:r>
              <w:rPr>
                <w:rFonts w:ascii="Arial Narrow" w:hAnsi="Arial Narrow"/>
                <w:noProof/>
                <w:snapToGrid w:val="0"/>
              </w:rPr>
              <w:t>(Yanni et al. 2009)</w:t>
            </w:r>
            <w:r>
              <w:rPr>
                <w:rFonts w:ascii="Arial Narrow" w:hAnsi="Arial Narrow"/>
                <w:snapToGrid w:val="0"/>
              </w:rPr>
              <w:fldChar w:fldCharType="end"/>
            </w:r>
          </w:p>
          <w:p w14:paraId="00000106" w14:textId="77777777" w:rsidR="00F554A7" w:rsidRDefault="007A75BF">
            <w:pPr>
              <w:rPr>
                <w:rFonts w:ascii="Arial Narrow" w:hAnsi="Arial Narrow"/>
              </w:rPr>
            </w:pPr>
            <w:r>
              <w:rPr>
                <w:rFonts w:ascii="Arial Narrow" w:hAnsi="Arial Narrow"/>
              </w:rPr>
              <w:t>US</w:t>
            </w:r>
          </w:p>
        </w:tc>
        <w:tc>
          <w:tcPr>
            <w:tcW w:w="1411" w:type="pct"/>
          </w:tcPr>
          <w:p w14:paraId="00000107" w14:textId="77777777" w:rsidR="00F554A7" w:rsidRDefault="007A75BF">
            <w:pPr>
              <w:rPr>
                <w:rFonts w:ascii="Arial Narrow" w:hAnsi="Arial Narrow"/>
              </w:rPr>
            </w:pPr>
            <w:r>
              <w:rPr>
                <w:rFonts w:ascii="Arial Narrow" w:hAnsi="Arial Narrow"/>
              </w:rPr>
              <w:t xml:space="preserve">NBS </w:t>
            </w:r>
          </w:p>
          <w:p w14:paraId="00000108" w14:textId="77777777" w:rsidR="00F554A7" w:rsidRDefault="007A75BF">
            <w:pPr>
              <w:rPr>
                <w:rFonts w:ascii="Arial Narrow" w:hAnsi="Arial Narrow"/>
              </w:rPr>
            </w:pPr>
            <w:r>
              <w:rPr>
                <w:rFonts w:ascii="Arial Narrow" w:hAnsi="Arial Narrow"/>
              </w:rPr>
              <w:t>N=1,354</w:t>
            </w:r>
          </w:p>
        </w:tc>
        <w:tc>
          <w:tcPr>
            <w:tcW w:w="1647" w:type="pct"/>
            <w:shd w:val="clear" w:color="auto" w:fill="auto"/>
          </w:tcPr>
          <w:p w14:paraId="00000109" w14:textId="77777777" w:rsidR="00F554A7" w:rsidRDefault="007A75BF">
            <w:pPr>
              <w:rPr>
                <w:rFonts w:ascii="Arial Narrow" w:hAnsi="Arial Narrow"/>
              </w:rPr>
            </w:pPr>
            <w:r>
              <w:rPr>
                <w:rFonts w:ascii="Arial Narrow" w:hAnsi="Arial Narrow"/>
              </w:rPr>
              <w:t>Mortality in children &lt;3 y</w:t>
            </w:r>
          </w:p>
          <w:p w14:paraId="0000010A" w14:textId="77777777" w:rsidR="00F554A7" w:rsidRDefault="007A75BF">
            <w:pPr>
              <w:rPr>
                <w:rFonts w:ascii="Arial Narrow" w:hAnsi="Arial Narrow"/>
              </w:rPr>
            </w:pPr>
            <w:r>
              <w:rPr>
                <w:rFonts w:ascii="Arial Narrow" w:hAnsi="Arial Narrow"/>
              </w:rPr>
              <w:t>Mortality in children &lt;4 y caused by infection</w:t>
            </w:r>
          </w:p>
        </w:tc>
        <w:tc>
          <w:tcPr>
            <w:tcW w:w="1176" w:type="pct"/>
            <w:shd w:val="clear" w:color="auto" w:fill="auto"/>
          </w:tcPr>
          <w:p w14:paraId="0000010B" w14:textId="77777777" w:rsidR="00F554A7" w:rsidRDefault="007A75BF">
            <w:pPr>
              <w:rPr>
                <w:rFonts w:ascii="Arial Narrow" w:hAnsi="Arial Narrow"/>
              </w:rPr>
            </w:pPr>
            <w:r>
              <w:rPr>
                <w:rFonts w:ascii="Arial Narrow" w:hAnsi="Arial Narrow"/>
              </w:rPr>
              <w:t>68% (95% CI 58%, 75%)</w:t>
            </w:r>
          </w:p>
          <w:p w14:paraId="0000010C" w14:textId="77777777" w:rsidR="00F554A7" w:rsidRDefault="007A75BF">
            <w:pPr>
              <w:rPr>
                <w:rFonts w:ascii="Arial Narrow" w:hAnsi="Arial Narrow"/>
              </w:rPr>
            </w:pPr>
            <w:r>
              <w:rPr>
                <w:rFonts w:ascii="Arial Narrow" w:hAnsi="Arial Narrow"/>
              </w:rPr>
              <w:t>24% (95% CI NR)</w:t>
            </w:r>
          </w:p>
        </w:tc>
      </w:tr>
      <w:tr w:rsidR="00F554A7" w14:paraId="00E27A1C" w14:textId="77777777" w:rsidTr="003D71E1">
        <w:tc>
          <w:tcPr>
            <w:tcW w:w="766" w:type="pct"/>
            <w:shd w:val="clear" w:color="auto" w:fill="auto"/>
          </w:tcPr>
          <w:p w14:paraId="258D6077" w14:textId="77777777" w:rsidR="00FF0E39" w:rsidRPr="00EC74D4" w:rsidRDefault="00496FB5" w:rsidP="000A4713">
            <w:pPr>
              <w:rPr>
                <w:rFonts w:ascii="Arial Narrow" w:hAnsi="Arial Narrow"/>
                <w:snapToGrid w:val="0"/>
              </w:rPr>
            </w:pPr>
            <w:r>
              <w:rPr>
                <w:rFonts w:ascii="Arial Narrow" w:hAnsi="Arial Narrow"/>
                <w:snapToGrid w:val="0"/>
              </w:rPr>
              <w:fldChar w:fldCharType="begin">
                <w:fldData xml:space="preserve">PEVuZE5vdGU+PENpdGU+PEF1dGhvcj5GcmVtcG9uZzwvQXV0aG9yPjxZZWFyPjIwMDc8L1llYXI+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</w:fldData>
              </w:fldChar>
            </w:r>
            <w:r w:rsidR="00834E25">
              <w:rPr>
                <w:rFonts w:ascii="Arial Narrow" w:hAnsi="Arial Narrow"/>
                <w:snapToGrid w:val="0"/>
              </w:rPr>
              <w:instrText xml:space="preserve"> ADDIN EN.CITE </w:instrText>
            </w:r>
            <w:r w:rsidR="00834E25">
              <w:rPr>
                <w:rFonts w:ascii="Arial Narrow" w:hAnsi="Arial Narrow"/>
                <w:snapToGrid w:val="0"/>
              </w:rPr>
              <w:fldChar w:fldCharType="begin">
                <w:fldData xml:space="preserve">PEVuZE5vdGU+PENpdGU+PEF1dGhvcj5GcmVtcG9uZzwvQXV0aG9yPjxZZWFyPjIwMDc8L1llYXI+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</w:fldData>
              </w:fldChar>
            </w:r>
            <w:r w:rsidR="00834E25">
              <w:rPr>
                <w:rFonts w:ascii="Arial Narrow" w:hAnsi="Arial Narrow"/>
                <w:snapToGrid w:val="0"/>
              </w:rPr>
              <w:instrText xml:space="preserve"> ADDIN EN.CITE.DATA </w:instrText>
            </w:r>
            <w:r w:rsidR="00834E25">
              <w:rPr>
                <w:rFonts w:ascii="Arial Narrow" w:hAnsi="Arial Narrow"/>
                <w:snapToGrid w:val="0"/>
              </w:rPr>
            </w:r>
            <w:r w:rsidR="00834E25">
              <w:rPr>
                <w:rFonts w:ascii="Arial Narrow" w:hAnsi="Arial Narrow"/>
                <w:snapToGrid w:val="0"/>
              </w:rPr>
              <w:fldChar w:fldCharType="end"/>
            </w:r>
            <w:r>
              <w:rPr>
                <w:rFonts w:ascii="Arial Narrow" w:hAnsi="Arial Narrow"/>
                <w:snapToGrid w:val="0"/>
              </w:rPr>
            </w:r>
            <w:r>
              <w:rPr>
                <w:rFonts w:ascii="Arial Narrow" w:hAnsi="Arial Narrow"/>
                <w:snapToGrid w:val="0"/>
              </w:rPr>
              <w:fldChar w:fldCharType="separate"/>
            </w:r>
            <w:r>
              <w:rPr>
                <w:rFonts w:ascii="Arial Narrow" w:hAnsi="Arial Narrow"/>
                <w:noProof/>
                <w:snapToGrid w:val="0"/>
              </w:rPr>
              <w:t>(Frempong &amp; Pearson 2007)</w:t>
            </w:r>
            <w:r>
              <w:rPr>
                <w:rFonts w:ascii="Arial Narrow" w:hAnsi="Arial Narrow"/>
                <w:snapToGrid w:val="0"/>
              </w:rPr>
              <w:fldChar w:fldCharType="end"/>
            </w:r>
          </w:p>
          <w:p w14:paraId="0000010E" w14:textId="77777777" w:rsidR="00F554A7" w:rsidRDefault="007A75BF">
            <w:pPr>
              <w:rPr>
                <w:rFonts w:ascii="Arial Narrow" w:hAnsi="Arial Narrow"/>
              </w:rPr>
            </w:pPr>
            <w:r>
              <w:rPr>
                <w:rFonts w:ascii="Arial Narrow" w:hAnsi="Arial Narrow"/>
              </w:rPr>
              <w:t>Connecticut, US</w:t>
            </w:r>
          </w:p>
        </w:tc>
        <w:tc>
          <w:tcPr>
            <w:tcW w:w="1411" w:type="pct"/>
          </w:tcPr>
          <w:p w14:paraId="0000010F" w14:textId="77777777" w:rsidR="00F554A7" w:rsidRDefault="007A75BF">
            <w:pPr>
              <w:rPr>
                <w:rFonts w:ascii="Arial Narrow" w:hAnsi="Arial Narrow"/>
              </w:rPr>
            </w:pPr>
            <w:r>
              <w:rPr>
                <w:rFonts w:ascii="Arial Narrow" w:hAnsi="Arial Narrow"/>
              </w:rPr>
              <w:t>NBS with comprehensive follow-up care</w:t>
            </w:r>
          </w:p>
          <w:p w14:paraId="00000110" w14:textId="77777777" w:rsidR="00F554A7" w:rsidRDefault="007A75BF">
            <w:pPr>
              <w:rPr>
                <w:rFonts w:ascii="Arial Narrow" w:hAnsi="Arial Narrow"/>
              </w:rPr>
            </w:pPr>
            <w:r>
              <w:rPr>
                <w:rFonts w:ascii="Arial Narrow" w:hAnsi="Arial Narrow"/>
              </w:rPr>
              <w:t>N not stated</w:t>
            </w:r>
          </w:p>
        </w:tc>
        <w:tc>
          <w:tcPr>
            <w:tcW w:w="1647" w:type="pct"/>
            <w:shd w:val="clear" w:color="auto" w:fill="auto"/>
          </w:tcPr>
          <w:p w14:paraId="00000111" w14:textId="77777777" w:rsidR="00F554A7" w:rsidRDefault="007A75BF">
            <w:pPr>
              <w:rPr>
                <w:rFonts w:ascii="Arial Narrow" w:hAnsi="Arial Narrow"/>
              </w:rPr>
            </w:pPr>
            <w:r>
              <w:rPr>
                <w:rFonts w:ascii="Arial Narrow" w:hAnsi="Arial Narrow"/>
              </w:rPr>
              <w:t>SCD-related deaths in children &lt;15 y</w:t>
            </w:r>
          </w:p>
        </w:tc>
        <w:tc>
          <w:tcPr>
            <w:tcW w:w="1176" w:type="pct"/>
            <w:shd w:val="clear" w:color="auto" w:fill="auto"/>
          </w:tcPr>
          <w:p w14:paraId="00000112" w14:textId="77777777" w:rsidR="00F554A7" w:rsidRDefault="007A75BF">
            <w:pPr>
              <w:rPr>
                <w:rFonts w:ascii="Arial Narrow" w:hAnsi="Arial Narrow"/>
              </w:rPr>
            </w:pPr>
            <w:r>
              <w:rPr>
                <w:rFonts w:ascii="Arial Narrow" w:hAnsi="Arial Narrow"/>
              </w:rPr>
              <w:t>13 deaths</w:t>
            </w:r>
          </w:p>
        </w:tc>
      </w:tr>
      <w:tr w:rsidR="00F554A7" w14:paraId="0B734729" w14:textId="77777777" w:rsidTr="003D71E1">
        <w:tc>
          <w:tcPr>
            <w:tcW w:w="766" w:type="pct"/>
            <w:shd w:val="clear" w:color="auto" w:fill="auto"/>
          </w:tcPr>
          <w:p w14:paraId="3BBA71D9" w14:textId="77777777" w:rsidR="00FF0E39" w:rsidRPr="00EC74D4" w:rsidRDefault="00496FB5" w:rsidP="000A4713">
            <w:pPr>
              <w:rPr>
                <w:rFonts w:ascii="Arial Narrow" w:hAnsi="Arial Narrow"/>
                <w:snapToGrid w:val="0"/>
              </w:rPr>
            </w:pPr>
            <w:r>
              <w:rPr>
                <w:rFonts w:ascii="Arial Narrow" w:hAnsi="Arial Narrow"/>
                <w:snapToGrid w:val="0"/>
              </w:rPr>
              <w:fldChar w:fldCharType="begin">
                <w:fldData xml:space="preserve">PEVuZE5vdGU+PENpdGU+PEF1dGhvcj5WaWNoaW5za3k8L0F1dGhvcj48WWVhcj4xOTg4PC9ZZWFy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</w:fldData>
              </w:fldChar>
            </w:r>
            <w:r w:rsidR="00834E25">
              <w:rPr>
                <w:rFonts w:ascii="Arial Narrow" w:hAnsi="Arial Narrow"/>
                <w:snapToGrid w:val="0"/>
              </w:rPr>
              <w:instrText xml:space="preserve"> ADDIN EN.CITE </w:instrText>
            </w:r>
            <w:r w:rsidR="00834E25">
              <w:rPr>
                <w:rFonts w:ascii="Arial Narrow" w:hAnsi="Arial Narrow"/>
                <w:snapToGrid w:val="0"/>
              </w:rPr>
              <w:fldChar w:fldCharType="begin">
                <w:fldData xml:space="preserve">PEVuZE5vdGU+PENpdGU+PEF1dGhvcj5WaWNoaW5za3k8L0F1dGhvcj48WWVhcj4xOTg4PC9ZZWFy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</w:fldData>
              </w:fldChar>
            </w:r>
            <w:r w:rsidR="00834E25">
              <w:rPr>
                <w:rFonts w:ascii="Arial Narrow" w:hAnsi="Arial Narrow"/>
                <w:snapToGrid w:val="0"/>
              </w:rPr>
              <w:instrText xml:space="preserve"> ADDIN EN.CITE.DATA </w:instrText>
            </w:r>
            <w:r w:rsidR="00834E25">
              <w:rPr>
                <w:rFonts w:ascii="Arial Narrow" w:hAnsi="Arial Narrow"/>
                <w:snapToGrid w:val="0"/>
              </w:rPr>
            </w:r>
            <w:r w:rsidR="00834E25">
              <w:rPr>
                <w:rFonts w:ascii="Arial Narrow" w:hAnsi="Arial Narrow"/>
                <w:snapToGrid w:val="0"/>
              </w:rPr>
              <w:fldChar w:fldCharType="end"/>
            </w:r>
            <w:r>
              <w:rPr>
                <w:rFonts w:ascii="Arial Narrow" w:hAnsi="Arial Narrow"/>
                <w:snapToGrid w:val="0"/>
              </w:rPr>
            </w:r>
            <w:r>
              <w:rPr>
                <w:rFonts w:ascii="Arial Narrow" w:hAnsi="Arial Narrow"/>
                <w:snapToGrid w:val="0"/>
              </w:rPr>
              <w:fldChar w:fldCharType="separate"/>
            </w:r>
            <w:r>
              <w:rPr>
                <w:rFonts w:ascii="Arial Narrow" w:hAnsi="Arial Narrow"/>
                <w:noProof/>
                <w:snapToGrid w:val="0"/>
              </w:rPr>
              <w:t>(Vichinsky et al. 1988)</w:t>
            </w:r>
            <w:r>
              <w:rPr>
                <w:rFonts w:ascii="Arial Narrow" w:hAnsi="Arial Narrow"/>
                <w:snapToGrid w:val="0"/>
              </w:rPr>
              <w:fldChar w:fldCharType="end"/>
            </w:r>
          </w:p>
          <w:p w14:paraId="00000114" w14:textId="77777777" w:rsidR="00F554A7" w:rsidRDefault="007A75BF">
            <w:pPr>
              <w:rPr>
                <w:rFonts w:ascii="Arial Narrow" w:hAnsi="Arial Narrow"/>
              </w:rPr>
            </w:pPr>
            <w:r>
              <w:rPr>
                <w:rFonts w:ascii="Arial Narrow" w:hAnsi="Arial Narrow"/>
              </w:rPr>
              <w:t>California, US</w:t>
            </w:r>
          </w:p>
        </w:tc>
        <w:tc>
          <w:tcPr>
            <w:tcW w:w="1411" w:type="pct"/>
          </w:tcPr>
          <w:p w14:paraId="00000115" w14:textId="77777777" w:rsidR="00F554A7" w:rsidRDefault="007A75BF">
            <w:pPr>
              <w:rPr>
                <w:rFonts w:ascii="Arial Narrow" w:hAnsi="Arial Narrow"/>
              </w:rPr>
            </w:pPr>
            <w:r>
              <w:rPr>
                <w:rFonts w:ascii="Arial Narrow" w:hAnsi="Arial Narrow"/>
              </w:rPr>
              <w:t>NBS with strong emphasis on parental education and no prophylactic penicillin</w:t>
            </w:r>
          </w:p>
          <w:p w14:paraId="00000116" w14:textId="77777777" w:rsidR="00F554A7" w:rsidRDefault="007A75BF">
            <w:pPr>
              <w:rPr>
                <w:rFonts w:ascii="Arial Narrow" w:hAnsi="Arial Narrow"/>
              </w:rPr>
            </w:pPr>
            <w:r>
              <w:rPr>
                <w:rFonts w:ascii="Arial Narrow" w:hAnsi="Arial Narrow"/>
              </w:rPr>
              <w:t>N=81</w:t>
            </w:r>
          </w:p>
        </w:tc>
        <w:tc>
          <w:tcPr>
            <w:tcW w:w="1647" w:type="pct"/>
            <w:shd w:val="clear" w:color="auto" w:fill="auto"/>
          </w:tcPr>
          <w:p w14:paraId="00000117" w14:textId="77777777" w:rsidR="00F554A7" w:rsidRDefault="007A75BF">
            <w:pPr>
              <w:rPr>
                <w:rFonts w:ascii="Arial Narrow" w:hAnsi="Arial Narrow"/>
              </w:rPr>
            </w:pPr>
            <w:r>
              <w:rPr>
                <w:rFonts w:ascii="Arial Narrow" w:hAnsi="Arial Narrow"/>
              </w:rPr>
              <w:t>HbSS SCD-related mortality</w:t>
            </w:r>
          </w:p>
        </w:tc>
        <w:tc>
          <w:tcPr>
            <w:tcW w:w="1176" w:type="pct"/>
            <w:shd w:val="clear" w:color="auto" w:fill="auto"/>
          </w:tcPr>
          <w:p w14:paraId="00000118" w14:textId="77777777" w:rsidR="00F554A7" w:rsidRDefault="007A75BF">
            <w:pPr>
              <w:rPr>
                <w:rFonts w:ascii="Arial Narrow" w:hAnsi="Arial Narrow"/>
              </w:rPr>
            </w:pPr>
            <w:r>
              <w:rPr>
                <w:rFonts w:ascii="Arial Narrow" w:hAnsi="Arial Narrow"/>
              </w:rPr>
              <w:t>6.2%</w:t>
            </w:r>
          </w:p>
        </w:tc>
      </w:tr>
      <w:tr w:rsidR="00F554A7" w14:paraId="607DB235" w14:textId="77777777" w:rsidTr="003D71E1">
        <w:tc>
          <w:tcPr>
            <w:tcW w:w="766" w:type="pct"/>
            <w:shd w:val="clear" w:color="auto" w:fill="auto"/>
          </w:tcPr>
          <w:p w14:paraId="7AAE69A5" w14:textId="77777777" w:rsidR="00FF0E39" w:rsidRPr="00EC74D4" w:rsidRDefault="00496FB5" w:rsidP="000A4713">
            <w:pPr>
              <w:rPr>
                <w:rFonts w:ascii="Arial Narrow" w:hAnsi="Arial Narrow"/>
                <w:snapToGrid w:val="0"/>
              </w:rPr>
            </w:pPr>
            <w:r>
              <w:rPr>
                <w:rFonts w:ascii="Arial Narrow" w:hAnsi="Arial Narrow"/>
                <w:snapToGrid w:val="0"/>
              </w:rPr>
              <w:fldChar w:fldCharType="begin"/>
            </w:r>
            <w:r w:rsidR="00834E25">
              <w:rPr>
                <w:rFonts w:ascii="Arial Narrow" w:hAnsi="Arial Narrow"/>
                <w:snapToGrid w:val="0"/>
              </w:rPr>
              <w:instrText xml:space="preserve"> ADDIN EN.CITE &lt;EndNote&gt;&lt;Cite&gt;&lt;Author&gt;King&lt;/Author&gt;&lt;Year&gt;2007&lt;/Year&gt;&lt;RecNum&gt;96&lt;/RecNum&gt;&lt;IDText&gt;117-22&lt;/IDText&gt;&lt;DisplayText&gt;(King, L et al. 2007)&lt;/DisplayText&gt;&lt;record&gt;&lt;rec-number&gt;96&lt;/rec-number&gt;&lt;foreign-keys&gt;&lt;key app="EN" db-id="p2fpwezd8trtaled22npdf09fsdtp5f5w5ar" timestamp="1667264892"&gt;96&lt;/key&gt;&lt;/foreign-keys&gt;&lt;ref-type name="Journal Article"&gt;17&lt;/ref-type&gt;&lt;contributors&gt;&lt;authors&gt;&lt;author&gt;King, L.&lt;/author&gt;&lt;author&gt;Fraser, R.&lt;/author&gt;&lt;author&gt;Forbes, M.&lt;/author&gt;&lt;author&gt;Grindley, M.&lt;/author&gt;&lt;author&gt;Bortolusso Ali, Susanna&lt;/author&gt;&lt;author&gt;Reid, Marvin&lt;/author&gt;&lt;/authors&gt;&lt;/contributors&gt;&lt;titles&gt;&lt;title&gt;Newborn sickle cell disease screening: The Jamaican experience (1995-2006)&lt;/title&gt;&lt;secondary-title&gt;Journal of medical screening&lt;/secondary-title&gt;&lt;/titles&gt;&lt;periodical&gt;&lt;full-title&gt;Journal of medical screening&lt;/full-title&gt;&lt;/periodical&gt;&lt;pages&gt;117-22&lt;/pages&gt;&lt;volume&gt;14&lt;/volume&gt;&lt;dates&gt;&lt;year&gt;2007&lt;/year&gt;&lt;pub-dates&gt;&lt;date&gt;02/01&lt;/date&gt;&lt;/pub-dates&gt;&lt;/dates&gt;&lt;urls&gt;&lt;/urls&gt;&lt;electronic-resource-num&gt;10.1258/096914107782066185&lt;/electronic-resource-num&gt;&lt;/record&gt;&lt;/Cite&gt;&lt;/EndNote&gt;</w:instrText>
            </w:r>
            <w:r>
              <w:rPr>
                <w:rFonts w:ascii="Arial Narrow" w:hAnsi="Arial Narrow"/>
                <w:snapToGrid w:val="0"/>
              </w:rPr>
              <w:fldChar w:fldCharType="separate"/>
            </w:r>
            <w:r>
              <w:rPr>
                <w:rFonts w:ascii="Arial Narrow" w:hAnsi="Arial Narrow"/>
                <w:noProof/>
                <w:snapToGrid w:val="0"/>
              </w:rPr>
              <w:t>(King, L et al. 2007)</w:t>
            </w:r>
            <w:r>
              <w:rPr>
                <w:rFonts w:ascii="Arial Narrow" w:hAnsi="Arial Narrow"/>
                <w:snapToGrid w:val="0"/>
              </w:rPr>
              <w:fldChar w:fldCharType="end"/>
            </w:r>
          </w:p>
          <w:p w14:paraId="1017DAA7" w14:textId="77777777" w:rsidR="00FF0E39" w:rsidRPr="00EC74D4" w:rsidRDefault="00496FB5" w:rsidP="000A4713">
            <w:pPr>
              <w:rPr>
                <w:rFonts w:ascii="Arial Narrow" w:hAnsi="Arial Narrow"/>
                <w:snapToGrid w:val="0"/>
              </w:rPr>
            </w:pPr>
            <w:r>
              <w:rPr>
                <w:rFonts w:ascii="Arial Narrow" w:hAnsi="Arial Narrow"/>
                <w:snapToGrid w:val="0"/>
              </w:rPr>
              <w:fldChar w:fldCharType="begin">
                <w:fldData xml:space="preserve">PEVuZE5vdGU+PENpdGU+PEF1dGhvcj5MZWU8L0F1dGhvcj48WWVhcj4xOTk1PC9ZZWFyPjxSZWNO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</w:fldData>
              </w:fldChar>
            </w:r>
            <w:r w:rsidR="00834E25">
              <w:rPr>
                <w:rFonts w:ascii="Arial Narrow" w:hAnsi="Arial Narrow"/>
                <w:snapToGrid w:val="0"/>
              </w:rPr>
              <w:instrText xml:space="preserve"> ADDIN EN.CITE </w:instrText>
            </w:r>
            <w:r w:rsidR="00834E25">
              <w:rPr>
                <w:rFonts w:ascii="Arial Narrow" w:hAnsi="Arial Narrow"/>
                <w:snapToGrid w:val="0"/>
              </w:rPr>
              <w:fldChar w:fldCharType="begin">
                <w:fldData xml:space="preserve">PEVuZE5vdGU+PENpdGU+PEF1dGhvcj5MZWU8L0F1dGhvcj48WWVhcj4xOTk1PC9ZZWFyPjxSZWNO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</w:fldData>
              </w:fldChar>
            </w:r>
            <w:r w:rsidR="00834E25">
              <w:rPr>
                <w:rFonts w:ascii="Arial Narrow" w:hAnsi="Arial Narrow"/>
                <w:snapToGrid w:val="0"/>
              </w:rPr>
              <w:instrText xml:space="preserve"> ADDIN EN.CITE.DATA </w:instrText>
            </w:r>
            <w:r w:rsidR="00834E25">
              <w:rPr>
                <w:rFonts w:ascii="Arial Narrow" w:hAnsi="Arial Narrow"/>
                <w:snapToGrid w:val="0"/>
              </w:rPr>
            </w:r>
            <w:r w:rsidR="00834E25">
              <w:rPr>
                <w:rFonts w:ascii="Arial Narrow" w:hAnsi="Arial Narrow"/>
                <w:snapToGrid w:val="0"/>
              </w:rPr>
              <w:fldChar w:fldCharType="end"/>
            </w:r>
            <w:r>
              <w:rPr>
                <w:rFonts w:ascii="Arial Narrow" w:hAnsi="Arial Narrow"/>
                <w:snapToGrid w:val="0"/>
              </w:rPr>
            </w:r>
            <w:r>
              <w:rPr>
                <w:rFonts w:ascii="Arial Narrow" w:hAnsi="Arial Narrow"/>
                <w:snapToGrid w:val="0"/>
              </w:rPr>
              <w:fldChar w:fldCharType="separate"/>
            </w:r>
            <w:r>
              <w:rPr>
                <w:rFonts w:ascii="Arial Narrow" w:hAnsi="Arial Narrow"/>
                <w:noProof/>
                <w:snapToGrid w:val="0"/>
              </w:rPr>
              <w:t>(Lee et al. 1995)</w:t>
            </w:r>
            <w:r>
              <w:rPr>
                <w:rFonts w:ascii="Arial Narrow" w:hAnsi="Arial Narrow"/>
                <w:snapToGrid w:val="0"/>
              </w:rPr>
              <w:fldChar w:fldCharType="end"/>
            </w:r>
          </w:p>
          <w:p w14:paraId="0000011B" w14:textId="77777777" w:rsidR="00F554A7" w:rsidRDefault="007A75BF">
            <w:pPr>
              <w:rPr>
                <w:rFonts w:ascii="Arial Narrow" w:hAnsi="Arial Narrow"/>
              </w:rPr>
            </w:pPr>
            <w:r>
              <w:rPr>
                <w:rFonts w:ascii="Arial Narrow" w:hAnsi="Arial Narrow"/>
              </w:rPr>
              <w:t>Jamaica</w:t>
            </w:r>
          </w:p>
        </w:tc>
        <w:tc>
          <w:tcPr>
            <w:tcW w:w="1411" w:type="pct"/>
          </w:tcPr>
          <w:p w14:paraId="0000011C" w14:textId="77777777" w:rsidR="00F554A7" w:rsidRDefault="007A75BF">
            <w:pPr>
              <w:rPr>
                <w:rFonts w:ascii="Arial Narrow" w:hAnsi="Arial Narrow"/>
              </w:rPr>
            </w:pPr>
            <w:r>
              <w:rPr>
                <w:rFonts w:ascii="Arial Narrow" w:hAnsi="Arial Narrow"/>
              </w:rPr>
              <w:t>NBS with prophylactic penicillin, parental education and close monitoring</w:t>
            </w:r>
          </w:p>
          <w:p w14:paraId="0000011D" w14:textId="77777777" w:rsidR="00F554A7" w:rsidRDefault="007A75BF">
            <w:pPr>
              <w:rPr>
                <w:rFonts w:ascii="Arial Narrow" w:hAnsi="Arial Narrow"/>
              </w:rPr>
            </w:pPr>
            <w:r>
              <w:rPr>
                <w:rFonts w:ascii="Arial Narrow" w:hAnsi="Arial Narrow"/>
              </w:rPr>
              <w:t>N=455</w:t>
            </w:r>
          </w:p>
        </w:tc>
        <w:tc>
          <w:tcPr>
            <w:tcW w:w="1647" w:type="pct"/>
            <w:shd w:val="clear" w:color="auto" w:fill="auto"/>
          </w:tcPr>
          <w:p w14:paraId="0000011E" w14:textId="77777777" w:rsidR="00F554A7" w:rsidRDefault="007A75BF">
            <w:pPr>
              <w:rPr>
                <w:rFonts w:ascii="Arial Narrow" w:hAnsi="Arial Narrow"/>
              </w:rPr>
            </w:pPr>
            <w:r>
              <w:rPr>
                <w:rFonts w:ascii="Arial Narrow" w:hAnsi="Arial Narrow"/>
              </w:rPr>
              <w:t>Early NBS (1973-1975) vs late NBS (1995-2006):</w:t>
            </w:r>
          </w:p>
          <w:p w14:paraId="0000011F" w14:textId="77777777" w:rsidR="00F554A7" w:rsidRDefault="007A75BF">
            <w:pPr>
              <w:rPr>
                <w:rFonts w:ascii="Arial Narrow" w:hAnsi="Arial Narrow"/>
              </w:rPr>
            </w:pPr>
            <w:r>
              <w:rPr>
                <w:rFonts w:ascii="Arial Narrow" w:hAnsi="Arial Narrow"/>
              </w:rPr>
              <w:t>Mortality in children &lt;2 y</w:t>
            </w:r>
          </w:p>
          <w:p w14:paraId="00000120" w14:textId="77777777" w:rsidR="00F554A7" w:rsidRDefault="007A75BF">
            <w:pPr>
              <w:rPr>
                <w:rFonts w:ascii="Arial Narrow" w:hAnsi="Arial Narrow"/>
              </w:rPr>
            </w:pPr>
            <w:r>
              <w:rPr>
                <w:rFonts w:ascii="Arial Narrow" w:hAnsi="Arial Narrow"/>
              </w:rPr>
              <w:t>Mortality in children &lt;10 y</w:t>
            </w:r>
          </w:p>
          <w:p w14:paraId="00000121" w14:textId="77777777" w:rsidR="00F554A7" w:rsidRDefault="007A75BF">
            <w:pPr>
              <w:rPr>
                <w:rFonts w:ascii="Arial Narrow" w:hAnsi="Arial Narrow"/>
              </w:rPr>
            </w:pPr>
            <w:r>
              <w:rPr>
                <w:rFonts w:ascii="Arial Narrow" w:hAnsi="Arial Narrow"/>
              </w:rPr>
              <w:t>Mortality caused by splenic sequestration</w:t>
            </w:r>
          </w:p>
        </w:tc>
        <w:tc>
          <w:tcPr>
            <w:tcW w:w="1176" w:type="pct"/>
            <w:shd w:val="clear" w:color="auto" w:fill="auto"/>
          </w:tcPr>
          <w:p w14:paraId="00000122" w14:textId="77777777" w:rsidR="00F554A7" w:rsidRDefault="007A75BF">
            <w:pPr>
              <w:rPr>
                <w:rFonts w:ascii="Arial Narrow" w:hAnsi="Arial Narrow"/>
              </w:rPr>
            </w:pPr>
            <w:r>
              <w:rPr>
                <w:rFonts w:ascii="Arial Narrow" w:hAnsi="Arial Narrow"/>
              </w:rPr>
              <w:br/>
            </w:r>
          </w:p>
          <w:p w14:paraId="00000123" w14:textId="77777777" w:rsidR="00F554A7" w:rsidRDefault="007A75BF">
            <w:pPr>
              <w:rPr>
                <w:rFonts w:ascii="Arial Narrow" w:hAnsi="Arial Narrow"/>
              </w:rPr>
            </w:pPr>
            <w:r>
              <w:rPr>
                <w:rFonts w:ascii="Arial Narrow" w:hAnsi="Arial Narrow"/>
              </w:rPr>
              <w:t>13.41%</w:t>
            </w:r>
          </w:p>
          <w:p w14:paraId="00000124" w14:textId="77777777" w:rsidR="00F554A7" w:rsidRDefault="007A75BF">
            <w:pPr>
              <w:rPr>
                <w:rFonts w:ascii="Arial Narrow" w:hAnsi="Arial Narrow"/>
              </w:rPr>
            </w:pPr>
            <w:r>
              <w:rPr>
                <w:rFonts w:ascii="Arial Narrow" w:hAnsi="Arial Narrow"/>
              </w:rPr>
              <w:t>15.2%</w:t>
            </w:r>
          </w:p>
          <w:p w14:paraId="00000125" w14:textId="77777777" w:rsidR="00F554A7" w:rsidRDefault="007A75BF">
            <w:pPr>
              <w:rPr>
                <w:rFonts w:ascii="Arial Narrow" w:hAnsi="Arial Narrow"/>
              </w:rPr>
            </w:pPr>
            <w:r>
              <w:rPr>
                <w:rFonts w:ascii="Arial Narrow" w:hAnsi="Arial Narrow"/>
              </w:rPr>
              <w:t>27.47%</w:t>
            </w:r>
          </w:p>
        </w:tc>
      </w:tr>
    </w:tbl>
    <w:p w14:paraId="00000126" w14:textId="77777777" w:rsidR="00F554A7" w:rsidRDefault="007A75BF">
      <w:pPr>
        <w:pStyle w:val="Tablenotes0"/>
      </w:pPr>
      <w:r w:rsidRPr="00F92A89">
        <w:t>CI=confidence interval; HbSS = homozygous haemoglobin S disease; NBS = newborn bloodspot screening; NR = not reported; SCD = sickle cell disease</w:t>
      </w:r>
    </w:p>
    <w:p w14:paraId="78883203" w14:textId="5F437720" w:rsidR="00172531" w:rsidRPr="00F92A89" w:rsidRDefault="0070755E" w:rsidP="00F92A89">
      <w:pPr>
        <w:pStyle w:val="Tablenotes0"/>
      </w:pPr>
      <w:r>
        <w:t>Source: DCAR Table 5.</w:t>
      </w:r>
    </w:p>
    <w:p w14:paraId="00000127" w14:textId="77777777" w:rsidR="00F554A7" w:rsidRDefault="007A75BF">
      <w:r>
        <w:t xml:space="preserve">Studies published later than 2014 on the whole showed better health outcomes for more recent cohorts diagnosed by NBS compared to cohorts diagnosed in the early stages of NBS, supporting an overall improvement in babies’ health with the establishment and development of NBS. </w:t>
      </w:r>
    </w:p>
    <w:p w14:paraId="00000128" w14:textId="77777777" w:rsidR="00F554A7" w:rsidRDefault="007A75BF">
      <w:r>
        <w:t xml:space="preserve">One Belgian study (level III-3) conducted Kaplan-Meier analyses for 15-year estimates of the likelihood of outcomes of SCD and compared them between those who were diagnosed by NBS </w:t>
      </w:r>
      <w:r>
        <w:lastRenderedPageBreak/>
        <w:t xml:space="preserve">and those who were diagnosed following a clinical event. The median age at diagnosis was 0 and 1.0 (range 0.1-15.3) years for the NBS and later diagnosed groups, respectively. There was no significant difference in the likelihood of ACS, acute anaemia, severe infection or vaso-occlusive crisis (VOC) between NBS and later diagnosed groups. Similarly, the authors found no significant difference in mortality between groups (NBS 1.2% [0.18 deaths per 100 patient-years] versus comparator 1.1% [0.10 deaths per 100 patient-years]). An analysis of the outcome of bacteraemia was the only one that showed a statistically significant difference between NBS and later diagnosed children, finding that those diagnosed by NBS were less likely to experience bacteraemia, an effect of serious infection. </w:t>
      </w:r>
    </w:p>
    <w:p w14:paraId="00000129" w14:textId="77777777" w:rsidR="00F554A7" w:rsidRDefault="007A75BF">
      <w:r>
        <w:t>The findings of Le et al (2018)</w:t>
      </w:r>
      <w:r w:rsidRPr="00F92A89">
        <w:rPr>
          <w:rStyle w:val="FootnoteReference"/>
        </w:rPr>
        <w:footnoteReference w:id="12"/>
      </w:r>
      <w:r>
        <w:t xml:space="preserve"> support earlier results that show early implementation of prophylactic antibiotics can reduce the risk of death due to serious infection in babies with SCD. The access to other maintenance and treatments for the later diagnosed children may have reduced differences in mortality between groups over time. The dilution of the impact of early intervention over time is similar to that seen in mortality in the Jamaican study between 5 and 10 years of life. </w:t>
      </w:r>
    </w:p>
    <w:p w14:paraId="0000012A" w14:textId="216CB961" w:rsidR="00F554A7" w:rsidRDefault="007A75BF">
      <w:r>
        <w:t xml:space="preserve">Further analyses in the study by Le et al (2018) showed that the mean age at first event for severe symptoms such as ACS, severe infection, and VOC, was significantly younger in children diagnosed by NBS than in those diagnosed at later age. These results were unexpected, but the authors explained it was likely due to parents and clinicians being aware of the child’s condition once they were diagnosed, and therefore recognising the symptoms of SCD. Prior to diagnosis symptoms may have been missed, or not recorded as related to SCD. This argument was supported by the data for hospitalisation </w:t>
      </w:r>
      <w:r w:rsidR="005907F4">
        <w:t>(</w:t>
      </w:r>
      <w:r w:rsidR="005907F4">
        <w:fldChar w:fldCharType="begin"/>
      </w:r>
      <w:r w:rsidR="005907F4">
        <w:instrText xml:space="preserve"> REF _Ref132107936 \h </w:instrText>
      </w:r>
      <w:r w:rsidR="005907F4">
        <w:fldChar w:fldCharType="separate"/>
      </w:r>
      <w:r w:rsidR="006E058E" w:rsidRPr="00F92A89">
        <w:rPr>
          <w:rFonts w:eastAsia="Arial Narrow"/>
        </w:rPr>
        <w:t xml:space="preserve">Table </w:t>
      </w:r>
      <w:r w:rsidR="006E058E">
        <w:rPr>
          <w:noProof/>
        </w:rPr>
        <w:t>6</w:t>
      </w:r>
      <w:r w:rsidR="005907F4">
        <w:fldChar w:fldCharType="end"/>
      </w:r>
      <w:r w:rsidR="005907F4">
        <w:t>).</w:t>
      </w:r>
      <w:r>
        <w:t xml:space="preserve"> The data showed that while NBS-diagnosed children have earlier recorded first events, they are hospitalised less often and spend less time in hospital than babies diagnosed later, which could be a considerable advantage to both the babies with SCD and to the health system. The median hospitalised days per 100 patient-years was significantly lower in the NBS screened group compared to the children diagnosed at symptom onset (median [range]: NBS 1.25 [0-21, 42] versus comparator 2.82 [0-35, 28]; p &lt; 0.0001). </w:t>
      </w:r>
    </w:p>
    <w:p w14:paraId="0000012B" w14:textId="42120558" w:rsidR="00F554A7" w:rsidRPr="00F92A89" w:rsidRDefault="007A75BF" w:rsidP="00F92A89">
      <w:pPr>
        <w:pStyle w:val="Caption"/>
        <w:rPr>
          <w:rFonts w:eastAsia="Arial Narrow"/>
          <w:b w:val="0"/>
        </w:rPr>
      </w:pPr>
      <w:bookmarkStart w:id="58" w:name="_heading=h.2p2csry" w:colFirst="0" w:colLast="0"/>
      <w:bookmarkStart w:id="59" w:name="_Ref132107936"/>
      <w:bookmarkEnd w:id="58"/>
      <w:r w:rsidRPr="00F92A89">
        <w:rPr>
          <w:rFonts w:eastAsia="Arial Narrow"/>
        </w:rPr>
        <w:t xml:space="preserve">Table </w:t>
      </w:r>
      <w:r w:rsidR="00093902">
        <w:fldChar w:fldCharType="begin"/>
      </w:r>
      <w:r w:rsidR="00093902">
        <w:instrText>SEQ Table \* ARABIC</w:instrText>
      </w:r>
      <w:r w:rsidR="00093902">
        <w:fldChar w:fldCharType="separate"/>
      </w:r>
      <w:r w:rsidR="006E058E">
        <w:rPr>
          <w:noProof/>
        </w:rPr>
        <w:t>6</w:t>
      </w:r>
      <w:r w:rsidR="00093902">
        <w:fldChar w:fldCharType="end"/>
      </w:r>
      <w:bookmarkEnd w:id="59"/>
      <w:r w:rsidRPr="00F92A89">
        <w:rPr>
          <w:rFonts w:eastAsia="Arial Narrow"/>
        </w:rPr>
        <w:tab/>
        <w:t>Number of hospitalisations and days spent in hospital for children diagnosed with SCD</w:t>
      </w:r>
    </w:p>
    <w:tbl>
      <w:tblPr>
        <w:tblStyle w:val="TableGrid"/>
        <w:tblW w:w="0" w:type="auto"/>
        <w:tblLayout w:type="fixed"/>
        <w:tblLook w:val="04A0" w:firstRow="1" w:lastRow="0" w:firstColumn="1" w:lastColumn="0" w:noHBand="0" w:noVBand="1"/>
      </w:tblPr>
      <w:tblGrid>
        <w:gridCol w:w="2830"/>
        <w:gridCol w:w="2410"/>
        <w:gridCol w:w="2268"/>
        <w:gridCol w:w="1508"/>
      </w:tblGrid>
      <w:tr w:rsidR="00F554A7" w14:paraId="652717ED" w14:textId="77777777" w:rsidTr="00F92A89">
        <w:tc>
          <w:tcPr>
            <w:tcW w:w="2830" w:type="dxa"/>
          </w:tcPr>
          <w:p w14:paraId="0000012C" w14:textId="77777777" w:rsidR="00F554A7" w:rsidRPr="001E7563" w:rsidRDefault="007A75BF" w:rsidP="00F92A89">
            <w:pPr>
              <w:pStyle w:val="TableHeading0"/>
            </w:pPr>
            <w:r w:rsidRPr="001E7563">
              <w:t>H</w:t>
            </w:r>
            <w:r>
              <w:t>ospitalisation</w:t>
            </w:r>
          </w:p>
        </w:tc>
        <w:tc>
          <w:tcPr>
            <w:tcW w:w="2410" w:type="dxa"/>
          </w:tcPr>
          <w:p w14:paraId="0000012D" w14:textId="77777777" w:rsidR="00F554A7" w:rsidRPr="001E7563" w:rsidRDefault="007A75BF" w:rsidP="00F92A89">
            <w:pPr>
              <w:pStyle w:val="TableHeading0"/>
            </w:pPr>
            <w:r w:rsidRPr="001E7563">
              <w:t>Diagnosed at NBS</w:t>
            </w:r>
          </w:p>
        </w:tc>
        <w:tc>
          <w:tcPr>
            <w:tcW w:w="2268" w:type="dxa"/>
          </w:tcPr>
          <w:p w14:paraId="0000012E" w14:textId="77777777" w:rsidR="00F554A7" w:rsidRPr="001E7563" w:rsidRDefault="007A75BF" w:rsidP="00F92A89">
            <w:pPr>
              <w:pStyle w:val="TableHeading0"/>
            </w:pPr>
            <w:r w:rsidRPr="001E7563">
              <w:t>Diagnosed at later age</w:t>
            </w:r>
          </w:p>
        </w:tc>
        <w:tc>
          <w:tcPr>
            <w:tcW w:w="1508" w:type="dxa"/>
          </w:tcPr>
          <w:p w14:paraId="0000012F" w14:textId="77777777" w:rsidR="00F554A7" w:rsidRPr="001E7563" w:rsidRDefault="007A75BF" w:rsidP="00F92A89">
            <w:pPr>
              <w:pStyle w:val="TableHeading0"/>
            </w:pPr>
            <w:r w:rsidRPr="001E7563">
              <w:t>p-value</w:t>
            </w:r>
          </w:p>
        </w:tc>
      </w:tr>
      <w:tr w:rsidR="00F554A7" w14:paraId="27CDBAE3" w14:textId="77777777" w:rsidTr="00F92A89">
        <w:tc>
          <w:tcPr>
            <w:tcW w:w="2830" w:type="dxa"/>
          </w:tcPr>
          <w:p w14:paraId="00000130" w14:textId="77777777" w:rsidR="00F554A7" w:rsidRDefault="007A75BF" w:rsidP="00F92A89">
            <w:pPr>
              <w:pStyle w:val="TableText"/>
            </w:pPr>
            <w:r w:rsidRPr="001E7563">
              <w:t>Median days</w:t>
            </w:r>
            <w:r>
              <w:t>/100 patient-years (range)</w:t>
            </w:r>
          </w:p>
        </w:tc>
        <w:tc>
          <w:tcPr>
            <w:tcW w:w="2410" w:type="dxa"/>
          </w:tcPr>
          <w:p w14:paraId="00000131" w14:textId="77777777" w:rsidR="00F554A7" w:rsidRDefault="007A75BF" w:rsidP="00F92A89">
            <w:pPr>
              <w:pStyle w:val="TableText"/>
            </w:pPr>
            <w:r w:rsidRPr="001E7563">
              <w:t>1.25 (0-21.42)</w:t>
            </w:r>
          </w:p>
        </w:tc>
        <w:tc>
          <w:tcPr>
            <w:tcW w:w="2268" w:type="dxa"/>
          </w:tcPr>
          <w:p w14:paraId="00000132" w14:textId="77777777" w:rsidR="00F554A7" w:rsidRDefault="007A75BF" w:rsidP="00F92A89">
            <w:pPr>
              <w:pStyle w:val="TableText"/>
            </w:pPr>
            <w:r w:rsidRPr="001E7563">
              <w:t>2.82 (0-35.28)</w:t>
            </w:r>
          </w:p>
        </w:tc>
        <w:tc>
          <w:tcPr>
            <w:tcW w:w="1508" w:type="dxa"/>
          </w:tcPr>
          <w:p w14:paraId="00000133" w14:textId="77777777" w:rsidR="00F554A7" w:rsidRDefault="007A75BF" w:rsidP="00F92A89">
            <w:pPr>
              <w:pStyle w:val="TableText"/>
            </w:pPr>
            <w:r w:rsidRPr="001E7563">
              <w:t>&lt;0.0001</w:t>
            </w:r>
          </w:p>
        </w:tc>
      </w:tr>
    </w:tbl>
    <w:p w14:paraId="00000134" w14:textId="77777777" w:rsidR="00F554A7" w:rsidRPr="00F92A89" w:rsidRDefault="007A75BF" w:rsidP="00F92A89">
      <w:pPr>
        <w:pStyle w:val="Tablenotes0"/>
        <w:spacing w:after="60"/>
        <w:contextualSpacing w:val="0"/>
      </w:pPr>
      <w:r w:rsidRPr="00F92A89">
        <w:t>NBS = newborn screening; SCD = sickle cell disease</w:t>
      </w:r>
    </w:p>
    <w:p w14:paraId="00000135" w14:textId="0F301D8E" w:rsidR="00F554A7" w:rsidRDefault="007A75BF">
      <w:pPr>
        <w:pBdr>
          <w:top w:val="nil"/>
          <w:left w:val="nil"/>
          <w:bottom w:val="nil"/>
          <w:right w:val="nil"/>
          <w:between w:val="nil"/>
        </w:pBdr>
        <w:spacing w:before="60" w:after="240"/>
        <w:jc w:val="both"/>
        <w:rPr>
          <w:rFonts w:ascii="Arial Narrow" w:eastAsia="Arial Narrow" w:hAnsi="Arial Narrow" w:cs="Arial Narrow"/>
          <w:color w:val="000000"/>
          <w:sz w:val="18"/>
          <w:szCs w:val="18"/>
        </w:rPr>
      </w:pPr>
      <w:r w:rsidRPr="00F92A89">
        <w:rPr>
          <w:rFonts w:ascii="Arial Narrow" w:eastAsia="Arial Narrow" w:hAnsi="Arial Narrow" w:cs="Arial Narrow"/>
          <w:bCs/>
          <w:color w:val="000000"/>
          <w:sz w:val="18"/>
          <w:szCs w:val="18"/>
        </w:rPr>
        <w:t>Source</w:t>
      </w:r>
      <w:r>
        <w:rPr>
          <w:rFonts w:ascii="Arial Narrow" w:eastAsia="Arial Narrow" w:hAnsi="Arial Narrow" w:cs="Arial Narrow"/>
          <w:b/>
          <w:color w:val="000000"/>
          <w:sz w:val="18"/>
          <w:szCs w:val="18"/>
        </w:rPr>
        <w:t>:</w:t>
      </w:r>
      <w:r>
        <w:rPr>
          <w:rFonts w:ascii="Arial Narrow" w:eastAsia="Arial Narrow" w:hAnsi="Arial Narrow" w:cs="Arial Narrow"/>
          <w:color w:val="000000"/>
          <w:sz w:val="18"/>
          <w:szCs w:val="18"/>
        </w:rPr>
        <w:t xml:space="preserve"> </w:t>
      </w:r>
      <w:r w:rsidR="00B274E5">
        <w:rPr>
          <w:rFonts w:ascii="Arial Narrow" w:eastAsia="Arial Narrow" w:hAnsi="Arial Narrow" w:cs="Arial Narrow"/>
          <w:color w:val="000000"/>
          <w:sz w:val="18"/>
          <w:szCs w:val="18"/>
        </w:rPr>
        <w:t xml:space="preserve">DCAR Table 6, from </w:t>
      </w:r>
      <w:r>
        <w:rPr>
          <w:rFonts w:ascii="Arial Narrow" w:eastAsia="Arial Narrow" w:hAnsi="Arial Narrow" w:cs="Arial Narrow"/>
          <w:color w:val="000000"/>
          <w:sz w:val="18"/>
          <w:szCs w:val="18"/>
        </w:rPr>
        <w:t>(Le et al. 2018)</w:t>
      </w:r>
      <w:r w:rsidR="0076203F">
        <w:rPr>
          <w:rFonts w:ascii="Arial Narrow" w:eastAsia="Arial Narrow" w:hAnsi="Arial Narrow" w:cs="Arial Narrow"/>
          <w:color w:val="000000"/>
          <w:sz w:val="18"/>
          <w:szCs w:val="18"/>
        </w:rPr>
        <w:t>.</w:t>
      </w:r>
    </w:p>
    <w:p w14:paraId="00000136" w14:textId="149EBC14" w:rsidR="00F554A7" w:rsidRDefault="007A75BF">
      <w:r>
        <w:t xml:space="preserve">In Australia, the age difference between proposed NBS diagnosis and that made through current practice of targeted neonatal testing and symptomatic diagnosis, is likely to be smaller than that in the published studies. The median age of diagnosis of SCD in children is approximately 8.4 months (0.7 years, interquartile range, IQR 0.1, 2.2 years) without NBS, according to data from the Haemoglobinopathy Registry (HbR) (Abt Associates 2022). Therefore, the impact of early diagnosis on population-level mortality is likely to be reduced, although it is acknowledged that this does not mitigate the mortality risk for those individuals who are not identified before symptom onset. The health system in Australia in 2023, is likely to offer health benefits for survival that would largely mitigate the impact of early infection and splenic sequestration on </w:t>
      </w:r>
      <w:r>
        <w:lastRenderedPageBreak/>
        <w:t xml:space="preserve">mortality, when compared to earlier studies in Jamaica, or the US. In addition, the prevalence of SCD in this country is much lower than the studied settings, so any impact on mortality would be small and difficult to determine accurately. </w:t>
      </w:r>
    </w:p>
    <w:p w14:paraId="00000137" w14:textId="77777777" w:rsidR="00F554A7" w:rsidRDefault="007A75BF">
      <w:r>
        <w:t xml:space="preserve">The evidence for inclusion of </w:t>
      </w:r>
      <w:r>
        <w:rPr>
          <w:rFonts w:ascii="Calibri" w:eastAsia="Calibri" w:hAnsi="Calibri" w:cs="Calibri"/>
        </w:rPr>
        <w:t>β</w:t>
      </w:r>
      <w:r>
        <w:t xml:space="preserve">-thalassaemia in NBS programs was scarce. One study provided direct evidence that compared the frequency of osteopenia in children with </w:t>
      </w:r>
      <w:r>
        <w:rPr>
          <w:rFonts w:ascii="Calibri" w:eastAsia="Calibri" w:hAnsi="Calibri" w:cs="Calibri"/>
        </w:rPr>
        <w:t>β</w:t>
      </w:r>
      <w:r>
        <w:t xml:space="preserve">-thalassaemia major or intermedia between those diagnosed by NBS and those diagnosed later. Vitamin D had been given to 15% of the whole group as a prophylactic measure against osteopenia, but there was insufficient information in the study to draw any conclusions. </w:t>
      </w:r>
    </w:p>
    <w:p w14:paraId="00000138" w14:textId="77777777" w:rsidR="00F554A7" w:rsidRDefault="007A75BF">
      <w:pPr>
        <w:pStyle w:val="Heading4"/>
      </w:pPr>
      <w:r>
        <w:t>Linked evidence</w:t>
      </w:r>
    </w:p>
    <w:p w14:paraId="00000139" w14:textId="77777777" w:rsidR="00F554A7" w:rsidRDefault="007A75BF">
      <w:pPr>
        <w:pStyle w:val="Heading5"/>
      </w:pPr>
      <w:r>
        <w:t>Test accuracy</w:t>
      </w:r>
    </w:p>
    <w:p w14:paraId="0000013A" w14:textId="77777777" w:rsidR="00F554A7" w:rsidRDefault="007A75BF">
      <w:r>
        <w:t xml:space="preserve">Studies reporting test accuracy data constituted the largest body of evidence in this assessment. There were 31 studies that met the inclusion criteria for test accuracy that used a newborn bloodspot from heel pricks, 24 of which assessed screening tests for SCD as the primary target, and seven assessed thalassaemia as the primary target. </w:t>
      </w:r>
    </w:p>
    <w:p w14:paraId="0000013B" w14:textId="77777777" w:rsidR="00F554A7" w:rsidRDefault="007A75BF">
      <w:r>
        <w:t>Most studies compared the results of first-tier screening against second-tier screening or confirmatory testing, and used the pragmatic design of only performing second-tier screening/confirmatory testing on those who were first-tier screen-positive. This study design does not allow determination of whether the screening test missed any cases.</w:t>
      </w:r>
    </w:p>
    <w:p w14:paraId="0000013C" w14:textId="77777777" w:rsidR="00F554A7" w:rsidRDefault="007A75BF">
      <w:r>
        <w:t xml:space="preserve">Eight of the 31 studies compared one screening method against another method in all participants, and were therefore able to provide sensitivity and specificity for the first-tier screening method. No studies were able to provide the accuracy of the screening program as a whole (the first- and subsequent tiers of screening combined).  </w:t>
      </w:r>
    </w:p>
    <w:p w14:paraId="0000013D" w14:textId="34373370" w:rsidR="00F554A7" w:rsidRDefault="007A75BF">
      <w:r>
        <w:t xml:space="preserve">For SCD screening (in five of the eight studies), methods used either two tier testing or two-tier testing plus confirmation by genetic testing. Two studies could report only presumptive sensitivity and specificity as not all babies were given second tier testing. Three of the NBS programs amongst the five studies used HPLC as the first-tier screening test followed by either CE, IEF, or HPLC repeated at 2 to 3 months. One NBS program used ESI-MS/MS followed by CE, with the addition of genetic testing performed on suspected cases. A fifth study did not report the two-tier test strategy, but rather that an alternative complementary test was used for second tier testing. The study did not report false negative results, so specificity could not be calculated. For SCD diagnosis overall, sensitivity was 100%, and specificity ranged from &gt;99% to 100% across the studies </w:t>
      </w:r>
      <w:r w:rsidR="005908AD">
        <w:t>(</w:t>
      </w:r>
      <w:r w:rsidR="005908AD">
        <w:fldChar w:fldCharType="begin"/>
      </w:r>
      <w:r w:rsidR="005908AD">
        <w:instrText xml:space="preserve"> REF _Ref128572203 \h </w:instrText>
      </w:r>
      <w:r w:rsidR="005908AD">
        <w:fldChar w:fldCharType="separate"/>
      </w:r>
      <w:r w:rsidR="006E058E" w:rsidRPr="00F92A89">
        <w:rPr>
          <w:rFonts w:eastAsia="Arial Narrow"/>
        </w:rPr>
        <w:t xml:space="preserve">Table </w:t>
      </w:r>
      <w:r w:rsidR="006E058E">
        <w:rPr>
          <w:noProof/>
        </w:rPr>
        <w:t>7</w:t>
      </w:r>
      <w:r w:rsidR="005908AD">
        <w:fldChar w:fldCharType="end"/>
      </w:r>
      <w:r w:rsidR="005908AD">
        <w:t>)</w:t>
      </w:r>
      <w:r w:rsidR="009871CC">
        <w:t>.</w:t>
      </w:r>
      <w:r>
        <w:t xml:space="preserve"> The overall GRADE for the accuracy of first-tier testing for SCD was moderate for certainty, rated down due to the risk of bias, with two out of five studies having verification bias. </w:t>
      </w:r>
    </w:p>
    <w:p w14:paraId="0000013E" w14:textId="1FF29D8D" w:rsidR="00F554A7" w:rsidRDefault="007A75BF">
      <w:r>
        <w:t xml:space="preserve">For </w:t>
      </w:r>
      <w:r>
        <w:rPr>
          <w:rFonts w:ascii="Calibri" w:eastAsia="Calibri" w:hAnsi="Calibri" w:cs="Calibri"/>
        </w:rPr>
        <w:t>β</w:t>
      </w:r>
      <w:r>
        <w:t xml:space="preserve">-thalassaemia (four of the eight studies), screening methods are usually chosen based on the prevalence of variants in the population undergoing NBS. In the programs which were explicit about the test order, first tier testing was HPLC, CE or IEF, and second tier testing was DNA analysis (methods varied) or MS/MS. Sensitivity for the diagnosis of </w:t>
      </w:r>
      <w:r>
        <w:rPr>
          <w:rFonts w:ascii="Calibri" w:eastAsia="Calibri" w:hAnsi="Calibri" w:cs="Calibri"/>
        </w:rPr>
        <w:t>β</w:t>
      </w:r>
      <w:r w:rsidRPr="00F92A89">
        <w:t xml:space="preserve">-thalassaemia ranged from 88.78% to 98.5%, and specificity ranged from 98.73% to 100% </w:t>
      </w:r>
      <w:r w:rsidR="005908AD">
        <w:t>(</w:t>
      </w:r>
      <w:r w:rsidR="005908AD">
        <w:fldChar w:fldCharType="begin"/>
      </w:r>
      <w:r w:rsidR="005908AD">
        <w:instrText xml:space="preserve"> REF _Ref128572203 \h </w:instrText>
      </w:r>
      <w:r w:rsidR="005908AD">
        <w:fldChar w:fldCharType="separate"/>
      </w:r>
      <w:r w:rsidR="006E058E" w:rsidRPr="00F92A89">
        <w:rPr>
          <w:rFonts w:eastAsia="Arial Narrow"/>
        </w:rPr>
        <w:t xml:space="preserve">Table </w:t>
      </w:r>
      <w:r w:rsidR="006E058E">
        <w:rPr>
          <w:noProof/>
        </w:rPr>
        <w:t>7</w:t>
      </w:r>
      <w:r w:rsidR="005908AD">
        <w:fldChar w:fldCharType="end"/>
      </w:r>
      <w:r w:rsidR="005908AD">
        <w:t>)</w:t>
      </w:r>
      <w:r w:rsidR="00CC3FC4">
        <w:t>.</w:t>
      </w:r>
      <w:r w:rsidRPr="00F92A89">
        <w:t xml:space="preserve"> The overall GRADE for the accuracy of first-tier testing for β-thalassaemia was rated as low certainty, rated down due to indirectness (the two studies which provided most of the results were from populations with very different prevalence of β-thalassaemia to Australia), and the results were imprecise due to the small number of cases. </w:t>
      </w:r>
    </w:p>
    <w:p w14:paraId="0000013F" w14:textId="541E9185" w:rsidR="00F554A7" w:rsidRPr="00F92A89" w:rsidRDefault="007A75BF" w:rsidP="00F92A89">
      <w:pPr>
        <w:pStyle w:val="Caption"/>
        <w:rPr>
          <w:rFonts w:eastAsia="Arial Narrow"/>
          <w:b w:val="0"/>
        </w:rPr>
      </w:pPr>
      <w:bookmarkStart w:id="60" w:name="_heading=h.147n2zr" w:colFirst="0" w:colLast="0"/>
      <w:bookmarkStart w:id="61" w:name="_Ref128572203"/>
      <w:bookmarkEnd w:id="60"/>
      <w:r w:rsidRPr="00F92A89">
        <w:rPr>
          <w:rFonts w:eastAsia="Arial Narrow"/>
        </w:rPr>
        <w:lastRenderedPageBreak/>
        <w:t xml:space="preserve">Table </w:t>
      </w:r>
      <w:r w:rsidR="008716B7">
        <w:fldChar w:fldCharType="begin"/>
      </w:r>
      <w:r w:rsidR="008716B7">
        <w:instrText>SEQ Table \* ARABIC</w:instrText>
      </w:r>
      <w:r w:rsidR="008716B7">
        <w:fldChar w:fldCharType="separate"/>
      </w:r>
      <w:r w:rsidR="006E058E">
        <w:rPr>
          <w:noProof/>
        </w:rPr>
        <w:t>7</w:t>
      </w:r>
      <w:r w:rsidR="008716B7">
        <w:fldChar w:fldCharType="end"/>
      </w:r>
      <w:bookmarkEnd w:id="61"/>
      <w:r w:rsidRPr="00F92A89">
        <w:rPr>
          <w:rFonts w:eastAsia="Arial Narrow"/>
        </w:rPr>
        <w:tab/>
        <w:t xml:space="preserve">Summary of sensitivity and specificity of NBS for SCD and </w:t>
      </w:r>
      <w:r w:rsidRPr="00F92A89">
        <w:rPr>
          <w:rFonts w:ascii="Calibri" w:eastAsia="Calibri" w:hAnsi="Calibri"/>
        </w:rPr>
        <w:t>β</w:t>
      </w:r>
      <w:r w:rsidRPr="00F92A89">
        <w:rPr>
          <w:rFonts w:eastAsia="Arial Narrow"/>
        </w:rPr>
        <w:t>-thalassaemia</w:t>
      </w:r>
    </w:p>
    <w:tbl>
      <w:tblPr>
        <w:tblStyle w:val="TableGrid"/>
        <w:tblW w:w="0" w:type="auto"/>
        <w:tblLayout w:type="fixed"/>
        <w:tblLook w:val="04A0" w:firstRow="1" w:lastRow="0" w:firstColumn="1" w:lastColumn="0" w:noHBand="0" w:noVBand="1"/>
      </w:tblPr>
      <w:tblGrid>
        <w:gridCol w:w="1852"/>
        <w:gridCol w:w="1870"/>
        <w:gridCol w:w="1870"/>
        <w:gridCol w:w="1712"/>
        <w:gridCol w:w="1712"/>
      </w:tblGrid>
      <w:tr w:rsidR="00F554A7" w14:paraId="593D7D8F" w14:textId="77777777" w:rsidTr="00F92A89">
        <w:trPr>
          <w:trHeight w:val="451"/>
        </w:trPr>
        <w:tc>
          <w:tcPr>
            <w:tcW w:w="1852" w:type="dxa"/>
          </w:tcPr>
          <w:p w14:paraId="00000140" w14:textId="77777777" w:rsidR="00F554A7" w:rsidRPr="001E7563" w:rsidRDefault="007A75BF" w:rsidP="00F92A89">
            <w:pPr>
              <w:pStyle w:val="TableHeading"/>
            </w:pPr>
            <w:r w:rsidRPr="001E7563">
              <w:t xml:space="preserve">Disease screened </w:t>
            </w:r>
          </w:p>
        </w:tc>
        <w:tc>
          <w:tcPr>
            <w:tcW w:w="1870" w:type="dxa"/>
          </w:tcPr>
          <w:p w14:paraId="00000141" w14:textId="77777777" w:rsidR="00F554A7" w:rsidRPr="001E7563" w:rsidRDefault="007A75BF" w:rsidP="00F92A89">
            <w:pPr>
              <w:pStyle w:val="TableHeading"/>
            </w:pPr>
            <w:r w:rsidRPr="001E7563">
              <w:t>Sensitivity</w:t>
            </w:r>
          </w:p>
        </w:tc>
        <w:tc>
          <w:tcPr>
            <w:tcW w:w="1870" w:type="dxa"/>
          </w:tcPr>
          <w:p w14:paraId="00000142" w14:textId="77777777" w:rsidR="00F554A7" w:rsidRPr="001E7563" w:rsidRDefault="007A75BF" w:rsidP="00F92A89">
            <w:pPr>
              <w:pStyle w:val="TableHeading"/>
            </w:pPr>
            <w:r w:rsidRPr="001E7563">
              <w:t>Specificity</w:t>
            </w:r>
          </w:p>
        </w:tc>
        <w:tc>
          <w:tcPr>
            <w:tcW w:w="1712" w:type="dxa"/>
          </w:tcPr>
          <w:p w14:paraId="00000143" w14:textId="77777777" w:rsidR="00F554A7" w:rsidRPr="001E7563" w:rsidRDefault="007A75BF" w:rsidP="00F92A89">
            <w:pPr>
              <w:pStyle w:val="TableHeading"/>
              <w:rPr>
                <w:vertAlign w:val="superscript"/>
              </w:rPr>
            </w:pPr>
            <w:r w:rsidRPr="001E7563">
              <w:t>PPV</w:t>
            </w:r>
            <w:r>
              <w:rPr>
                <w:vertAlign w:val="superscript"/>
              </w:rPr>
              <w:t>a</w:t>
            </w:r>
          </w:p>
        </w:tc>
        <w:tc>
          <w:tcPr>
            <w:tcW w:w="1712" w:type="dxa"/>
          </w:tcPr>
          <w:p w14:paraId="00000144" w14:textId="77777777" w:rsidR="00F554A7" w:rsidRPr="001E7563" w:rsidRDefault="007A75BF" w:rsidP="00F92A89">
            <w:pPr>
              <w:pStyle w:val="TableHeading"/>
              <w:rPr>
                <w:vertAlign w:val="superscript"/>
              </w:rPr>
            </w:pPr>
            <w:r w:rsidRPr="001E7563">
              <w:t>NPV</w:t>
            </w:r>
            <w:r>
              <w:rPr>
                <w:vertAlign w:val="superscript"/>
              </w:rPr>
              <w:t>a</w:t>
            </w:r>
          </w:p>
        </w:tc>
      </w:tr>
      <w:tr w:rsidR="00F554A7" w14:paraId="2706BA3B" w14:textId="77777777" w:rsidTr="00F92A89">
        <w:trPr>
          <w:trHeight w:val="334"/>
        </w:trPr>
        <w:tc>
          <w:tcPr>
            <w:tcW w:w="1852" w:type="dxa"/>
          </w:tcPr>
          <w:p w14:paraId="00000145" w14:textId="77777777" w:rsidR="00F554A7" w:rsidRDefault="007A75BF" w:rsidP="00F92A89">
            <w:pPr>
              <w:pStyle w:val="Tabletext0"/>
            </w:pPr>
            <w:r w:rsidRPr="001E7563">
              <w:t>SCD</w:t>
            </w:r>
          </w:p>
        </w:tc>
        <w:tc>
          <w:tcPr>
            <w:tcW w:w="1870" w:type="dxa"/>
          </w:tcPr>
          <w:p w14:paraId="00000146" w14:textId="77777777" w:rsidR="00F554A7" w:rsidRDefault="007A75BF" w:rsidP="00F92A89">
            <w:pPr>
              <w:pStyle w:val="Tabletext0"/>
            </w:pPr>
            <w:r w:rsidRPr="001E7563">
              <w:t>100%</w:t>
            </w:r>
          </w:p>
        </w:tc>
        <w:tc>
          <w:tcPr>
            <w:tcW w:w="1870" w:type="dxa"/>
          </w:tcPr>
          <w:p w14:paraId="00000147" w14:textId="77777777" w:rsidR="00F554A7" w:rsidRDefault="007A75BF" w:rsidP="00F92A89">
            <w:pPr>
              <w:pStyle w:val="Tabletext0"/>
            </w:pPr>
            <w:r w:rsidRPr="001E7563">
              <w:t>&gt;99% - 100%</w:t>
            </w:r>
          </w:p>
        </w:tc>
        <w:tc>
          <w:tcPr>
            <w:tcW w:w="1712" w:type="dxa"/>
          </w:tcPr>
          <w:p w14:paraId="00000148" w14:textId="77777777" w:rsidR="00F554A7" w:rsidRDefault="007A75BF" w:rsidP="00F92A89">
            <w:pPr>
              <w:pStyle w:val="Tabletext0"/>
            </w:pPr>
            <w:r w:rsidRPr="001E7563">
              <w:t>100%</w:t>
            </w:r>
          </w:p>
        </w:tc>
        <w:tc>
          <w:tcPr>
            <w:tcW w:w="1712" w:type="dxa"/>
          </w:tcPr>
          <w:p w14:paraId="00000149" w14:textId="77777777" w:rsidR="00F554A7" w:rsidRDefault="007A75BF" w:rsidP="00F92A89">
            <w:pPr>
              <w:pStyle w:val="Tabletext0"/>
            </w:pPr>
            <w:r w:rsidRPr="001E7563">
              <w:t>100%</w:t>
            </w:r>
          </w:p>
        </w:tc>
      </w:tr>
      <w:tr w:rsidR="00F554A7" w14:paraId="482336C2" w14:textId="77777777" w:rsidTr="00F92A89">
        <w:trPr>
          <w:trHeight w:val="334"/>
        </w:trPr>
        <w:tc>
          <w:tcPr>
            <w:tcW w:w="1852" w:type="dxa"/>
          </w:tcPr>
          <w:p w14:paraId="0000014A" w14:textId="77777777" w:rsidR="00F554A7" w:rsidRDefault="007A75BF" w:rsidP="00F92A89">
            <w:pPr>
              <w:pStyle w:val="Tabletext0"/>
            </w:pPr>
            <w:r>
              <w:rPr>
                <w:rFonts w:ascii="Calibri" w:eastAsia="Calibri" w:hAnsi="Calibri" w:cs="Calibri"/>
              </w:rPr>
              <w:t>Β</w:t>
            </w:r>
            <w:r>
              <w:t>-thalassaemia</w:t>
            </w:r>
          </w:p>
        </w:tc>
        <w:tc>
          <w:tcPr>
            <w:tcW w:w="1870" w:type="dxa"/>
          </w:tcPr>
          <w:p w14:paraId="0000014B" w14:textId="77777777" w:rsidR="00F554A7" w:rsidRDefault="007A75BF" w:rsidP="00F92A89">
            <w:pPr>
              <w:pStyle w:val="Tabletext0"/>
            </w:pPr>
            <w:r w:rsidRPr="001E7563">
              <w:t>88.78% - 98.5%</w:t>
            </w:r>
          </w:p>
        </w:tc>
        <w:tc>
          <w:tcPr>
            <w:tcW w:w="1870" w:type="dxa"/>
          </w:tcPr>
          <w:p w14:paraId="0000014C" w14:textId="77777777" w:rsidR="00F554A7" w:rsidRDefault="007A75BF" w:rsidP="00F92A89">
            <w:pPr>
              <w:pStyle w:val="Tabletext0"/>
            </w:pPr>
            <w:r w:rsidRPr="001E7563">
              <w:t>98.73% - 100%</w:t>
            </w:r>
          </w:p>
        </w:tc>
        <w:tc>
          <w:tcPr>
            <w:tcW w:w="1712" w:type="dxa"/>
          </w:tcPr>
          <w:p w14:paraId="0000014D" w14:textId="77777777" w:rsidR="00F554A7" w:rsidRDefault="007A75BF" w:rsidP="00F92A89">
            <w:pPr>
              <w:pStyle w:val="Tabletext0"/>
              <w:rPr>
                <w:vertAlign w:val="superscript"/>
              </w:rPr>
            </w:pPr>
            <w:r w:rsidRPr="001E7563">
              <w:t>0% - 100%</w:t>
            </w:r>
            <w:r>
              <w:rPr>
                <w:vertAlign w:val="superscript"/>
              </w:rPr>
              <w:t>a</w:t>
            </w:r>
          </w:p>
        </w:tc>
        <w:tc>
          <w:tcPr>
            <w:tcW w:w="1712" w:type="dxa"/>
          </w:tcPr>
          <w:p w14:paraId="0000014E" w14:textId="77777777" w:rsidR="00F554A7" w:rsidRDefault="007A75BF" w:rsidP="00F92A89">
            <w:pPr>
              <w:pStyle w:val="Tabletext0"/>
            </w:pPr>
            <w:r w:rsidRPr="001E7563">
              <w:t>100%</w:t>
            </w:r>
          </w:p>
        </w:tc>
      </w:tr>
    </w:tbl>
    <w:p w14:paraId="0000014F" w14:textId="77777777" w:rsidR="00F554A7" w:rsidRPr="00F92A89" w:rsidRDefault="007A75BF" w:rsidP="00F92A89">
      <w:pPr>
        <w:pStyle w:val="Tablenotes"/>
        <w:rPr>
          <w:rFonts w:eastAsia="Arial Narrow"/>
        </w:rPr>
      </w:pPr>
      <w:r w:rsidRPr="00F92A89">
        <w:rPr>
          <w:rFonts w:eastAsia="Arial Narrow"/>
        </w:rPr>
        <w:t>NBS = newborn bloodspot screening; NPV = negative predictive value; PPV = positive predictive value; SCD = sickle cell disease</w:t>
      </w:r>
    </w:p>
    <w:p w14:paraId="00000150" w14:textId="77777777" w:rsidR="00F554A7" w:rsidRDefault="007A75BF">
      <w:pPr>
        <w:pStyle w:val="Tablenotes"/>
        <w:rPr>
          <w:rFonts w:eastAsia="Arial Narrow"/>
        </w:rPr>
      </w:pPr>
      <w:r w:rsidRPr="00F92A89">
        <w:rPr>
          <w:rFonts w:eastAsia="Arial Narrow"/>
          <w:b/>
        </w:rPr>
        <w:t>Notes: a</w:t>
      </w:r>
      <w:r w:rsidRPr="00F92A89">
        <w:rPr>
          <w:rFonts w:eastAsia="Arial Narrow"/>
        </w:rPr>
        <w:t xml:space="preserve">. Calculated for the Australian setting. When a prevalence of &lt;0.01% is applied (as is the case in Australia) the PPV is 0, if the sensitivity is less than 100% </w:t>
      </w:r>
    </w:p>
    <w:p w14:paraId="4C58523F" w14:textId="6B2456D7" w:rsidR="0076203F" w:rsidRPr="00F92A89" w:rsidRDefault="00053A99" w:rsidP="00F92A89">
      <w:pPr>
        <w:pStyle w:val="Tablenotes"/>
        <w:rPr>
          <w:rFonts w:eastAsia="Arial Narrow"/>
        </w:rPr>
      </w:pPr>
      <w:r>
        <w:rPr>
          <w:rFonts w:eastAsia="Arial Narrow"/>
        </w:rPr>
        <w:t xml:space="preserve">Source: </w:t>
      </w:r>
      <w:r w:rsidR="00B37C45">
        <w:rPr>
          <w:rFonts w:eastAsia="Arial Narrow"/>
        </w:rPr>
        <w:t xml:space="preserve">DCAR </w:t>
      </w:r>
      <w:r>
        <w:rPr>
          <w:rFonts w:eastAsia="Arial Narrow"/>
        </w:rPr>
        <w:t xml:space="preserve">Table </w:t>
      </w:r>
      <w:r w:rsidR="00BC3B08">
        <w:rPr>
          <w:rFonts w:eastAsia="Arial Narrow"/>
        </w:rPr>
        <w:t>7.</w:t>
      </w:r>
      <w:r>
        <w:rPr>
          <w:rFonts w:eastAsia="Arial Narrow"/>
        </w:rPr>
        <w:t xml:space="preserve"> </w:t>
      </w:r>
    </w:p>
    <w:p w14:paraId="00000151" w14:textId="77777777" w:rsidR="00F554A7" w:rsidRDefault="007A75BF">
      <w:pPr>
        <w:spacing w:before="240"/>
      </w:pPr>
      <w:r>
        <w:t xml:space="preserve">Both the positive predictive value (PPV) and diagnostic yield are highly influenced by the prevalence of the disorder in the population. Variability between studies is likely due to difference in baseline prevalence of haemoglobinopathies rather than differences in the accuracy of the screening tests, and therefore these outcomes are of little value.  </w:t>
      </w:r>
    </w:p>
    <w:p w14:paraId="00000152" w14:textId="77777777" w:rsidR="00F554A7" w:rsidRDefault="007A75BF">
      <w:r>
        <w:t>With the low prevalence of disease in Australia (estimated at &lt;0.01% of the general population), tests which have less than perfect sensitivity result in a PPV of 0% (when rounding is applied). That is, for every true positive case identified, at least 100 further cases are suspected of having disease, and require second-tier testing to confirm. However, most studies had complete concordance between tests, meaning that nearly everyone identified as having disease from first-tier testing truly had disease. Compared to no universal screening, the very small possibility of cases being missed by NBS is greatly reduced from the risk associated with no universal screening.</w:t>
      </w:r>
    </w:p>
    <w:p w14:paraId="00000153" w14:textId="77777777" w:rsidR="00F554A7" w:rsidRDefault="007A75BF">
      <w:pPr>
        <w:pStyle w:val="Heading5"/>
      </w:pPr>
      <w:r>
        <w:t>Change in management</w:t>
      </w:r>
    </w:p>
    <w:p w14:paraId="00000154" w14:textId="77777777" w:rsidR="00F554A7" w:rsidRDefault="007A75BF">
      <w:r>
        <w:t>The key change in management that would be expected from NBS is earlier initiation of prophylactic treatment (such as antibiotics) and parental education to improve recognition of early symptoms, pneumococcal vaccination appropriate for individuals with SCD and initiation of other treatments (such as hydroxyurea), pre-symptomatic extended blood group typing, and surveillance (such as transcranial doppler) in a timely manner.</w:t>
      </w:r>
    </w:p>
    <w:p w14:paraId="00000155" w14:textId="77777777" w:rsidR="00F554A7" w:rsidRDefault="007A75BF">
      <w:r>
        <w:t>No studies were identified additional to direct evidence studies that examined the timeliness of treatment initiation based on diagnosis. One explanation for this is that NBS screening for SCD and thalassemia is well established in other parts of the world, so there has been little comparative research on the associated changes in management for many decades.</w:t>
      </w:r>
    </w:p>
    <w:p w14:paraId="00000156" w14:textId="1219C1CD" w:rsidR="00F554A7" w:rsidRDefault="007A75BF">
      <w:r>
        <w:t xml:space="preserve">To inform this assessment, studies that reported on rates of clinical treatment in children identified in their NBS programs were discussed, with data from Australia compared where available. This included a study of the SCD NBS screening program in the UK and a study on a smaller cohort from the US. Data from Australia were provided by the Australian Haemoglobinopathies Registry, but these data were only broadly comparative as the age range of the children was wider and detail was lacking. Results are shown in </w:t>
      </w:r>
      <w:r w:rsidR="00CB19D1">
        <w:fldChar w:fldCharType="begin"/>
      </w:r>
      <w:r w:rsidR="00CB19D1">
        <w:instrText xml:space="preserve"> REF _Ref128580396 \h </w:instrText>
      </w:r>
      <w:r w:rsidR="00CB19D1">
        <w:fldChar w:fldCharType="separate"/>
      </w:r>
      <w:r w:rsidR="006E058E" w:rsidRPr="00F92A89">
        <w:rPr>
          <w:rFonts w:eastAsia="Arial Narrow"/>
        </w:rPr>
        <w:t xml:space="preserve">Table </w:t>
      </w:r>
      <w:r w:rsidR="006E058E">
        <w:rPr>
          <w:noProof/>
        </w:rPr>
        <w:t>8</w:t>
      </w:r>
      <w:r w:rsidR="00CB19D1">
        <w:fldChar w:fldCharType="end"/>
      </w:r>
      <w:r w:rsidR="00CB19D1">
        <w:t>.</w:t>
      </w:r>
    </w:p>
    <w:p w14:paraId="00000157" w14:textId="77777777" w:rsidR="00F554A7" w:rsidRDefault="007A75BF">
      <w:r>
        <w:t>This high rate of vaccination in Australia may not be improved by adding SCD to NBS. However, it is acknowledged that ancestry is a critical factor in identifying SCD risk, and limited English language or other social or cultural barriers may impact the access to vaccination in this population.</w:t>
      </w:r>
    </w:p>
    <w:p w14:paraId="00000158" w14:textId="71F8198D" w:rsidR="00F554A7" w:rsidRPr="00F92A89" w:rsidRDefault="007A75BF" w:rsidP="00F92A89">
      <w:pPr>
        <w:pStyle w:val="Caption"/>
        <w:rPr>
          <w:rFonts w:eastAsia="Arial Narrow"/>
          <w:b w:val="0"/>
        </w:rPr>
      </w:pPr>
      <w:bookmarkStart w:id="62" w:name="_heading=h.3o7alnk" w:colFirst="0" w:colLast="0"/>
      <w:bookmarkStart w:id="63" w:name="_Ref128580396"/>
      <w:bookmarkEnd w:id="62"/>
      <w:r w:rsidRPr="00F92A89">
        <w:rPr>
          <w:rFonts w:eastAsia="Arial Narrow"/>
        </w:rPr>
        <w:lastRenderedPageBreak/>
        <w:t xml:space="preserve">Table </w:t>
      </w:r>
      <w:r w:rsidR="0085613E">
        <w:fldChar w:fldCharType="begin"/>
      </w:r>
      <w:r w:rsidR="0085613E">
        <w:instrText>SEQ Table \* ARABIC</w:instrText>
      </w:r>
      <w:r w:rsidR="0085613E">
        <w:fldChar w:fldCharType="separate"/>
      </w:r>
      <w:r w:rsidR="006E058E">
        <w:rPr>
          <w:noProof/>
        </w:rPr>
        <w:t>8</w:t>
      </w:r>
      <w:r w:rsidR="0085613E">
        <w:fldChar w:fldCharType="end"/>
      </w:r>
      <w:bookmarkEnd w:id="63"/>
      <w:r w:rsidRPr="00F92A89">
        <w:rPr>
          <w:rFonts w:eastAsia="Arial Narrow"/>
        </w:rPr>
        <w:tab/>
        <w:t xml:space="preserve">Intervention rates for children diagnosed with haemoglobinopathies </w:t>
      </w:r>
    </w:p>
    <w:tbl>
      <w:tblPr>
        <w:tblStyle w:val="TableGrid"/>
        <w:tblW w:w="9209" w:type="dxa"/>
        <w:tblLayout w:type="fixed"/>
        <w:tblLook w:val="04A0" w:firstRow="1" w:lastRow="0" w:firstColumn="1" w:lastColumn="0" w:noHBand="0" w:noVBand="1"/>
      </w:tblPr>
      <w:tblGrid>
        <w:gridCol w:w="2830"/>
        <w:gridCol w:w="2552"/>
        <w:gridCol w:w="1984"/>
        <w:gridCol w:w="1843"/>
      </w:tblGrid>
      <w:tr w:rsidR="00F554A7" w14:paraId="09F89BB4" w14:textId="77777777" w:rsidTr="00F92A89">
        <w:trPr>
          <w:trHeight w:val="375"/>
        </w:trPr>
        <w:tc>
          <w:tcPr>
            <w:tcW w:w="2830" w:type="dxa"/>
          </w:tcPr>
          <w:p w14:paraId="00000159" w14:textId="77777777" w:rsidR="00F554A7" w:rsidRPr="001E7563" w:rsidRDefault="007A75BF" w:rsidP="00F92A89">
            <w:pPr>
              <w:pStyle w:val="TableHeading"/>
            </w:pPr>
            <w:r w:rsidRPr="001E7563">
              <w:t>Intervention</w:t>
            </w:r>
          </w:p>
        </w:tc>
        <w:tc>
          <w:tcPr>
            <w:tcW w:w="2552" w:type="dxa"/>
          </w:tcPr>
          <w:p w14:paraId="0000015A" w14:textId="77777777" w:rsidR="00F554A7" w:rsidRPr="001E7563" w:rsidRDefault="007A75BF" w:rsidP="00F92A89">
            <w:pPr>
              <w:pStyle w:val="TableHeading"/>
              <w:rPr>
                <w:vertAlign w:val="superscript"/>
              </w:rPr>
            </w:pPr>
            <w:r w:rsidRPr="001E7563">
              <w:t>Haemoglobinopath</w:t>
            </w:r>
            <w:r>
              <w:t>y Registry data (Australia)</w:t>
            </w:r>
            <w:r>
              <w:rPr>
                <w:vertAlign w:val="superscript"/>
              </w:rPr>
              <w:t>a</w:t>
            </w:r>
          </w:p>
        </w:tc>
        <w:tc>
          <w:tcPr>
            <w:tcW w:w="1984" w:type="dxa"/>
          </w:tcPr>
          <w:p w14:paraId="0000015B" w14:textId="77777777" w:rsidR="00F554A7" w:rsidRPr="001E7563" w:rsidRDefault="007A75BF" w:rsidP="00F92A89">
            <w:pPr>
              <w:pStyle w:val="TableHeading"/>
            </w:pPr>
            <w:r w:rsidRPr="001E7563">
              <w:t>US cohort n=198</w:t>
            </w:r>
          </w:p>
          <w:p w14:paraId="0000015C" w14:textId="77777777" w:rsidR="00F554A7" w:rsidRPr="001E7563" w:rsidRDefault="007A75BF" w:rsidP="00F92A89">
            <w:pPr>
              <w:pStyle w:val="TableHeading"/>
            </w:pPr>
            <w:r w:rsidRPr="001E7563">
              <w:t>(Meier et al 2020)</w:t>
            </w:r>
          </w:p>
        </w:tc>
        <w:tc>
          <w:tcPr>
            <w:tcW w:w="1843" w:type="dxa"/>
          </w:tcPr>
          <w:p w14:paraId="0000015D" w14:textId="77777777" w:rsidR="00F554A7" w:rsidRPr="001E7563" w:rsidRDefault="007A75BF" w:rsidP="00F92A89">
            <w:pPr>
              <w:pStyle w:val="TableHeading"/>
            </w:pPr>
            <w:r w:rsidRPr="001E7563">
              <w:t>U</w:t>
            </w:r>
            <w:r>
              <w:t>K cohort n=1317</w:t>
            </w:r>
          </w:p>
          <w:p w14:paraId="0000015E" w14:textId="77777777" w:rsidR="00F554A7" w:rsidRPr="001E7563" w:rsidRDefault="007A75BF" w:rsidP="00F92A89">
            <w:pPr>
              <w:pStyle w:val="TableHeading"/>
            </w:pPr>
            <w:r w:rsidRPr="001E7563">
              <w:t>(Streetly et al 2018)</w:t>
            </w:r>
          </w:p>
        </w:tc>
      </w:tr>
      <w:tr w:rsidR="00F554A7" w14:paraId="2179F919" w14:textId="77777777" w:rsidTr="00F92A89">
        <w:trPr>
          <w:trHeight w:val="278"/>
        </w:trPr>
        <w:tc>
          <w:tcPr>
            <w:tcW w:w="2830" w:type="dxa"/>
          </w:tcPr>
          <w:p w14:paraId="0000015F" w14:textId="77777777" w:rsidR="00F554A7" w:rsidRDefault="007A75BF" w:rsidP="00F92A89">
            <w:pPr>
              <w:pStyle w:val="TableText"/>
            </w:pPr>
            <w:r w:rsidRPr="001E7563">
              <w:t>A</w:t>
            </w:r>
            <w:r>
              <w:t>ge at diagnosis of SCD</w:t>
            </w:r>
          </w:p>
        </w:tc>
        <w:tc>
          <w:tcPr>
            <w:tcW w:w="2552" w:type="dxa"/>
          </w:tcPr>
          <w:p w14:paraId="00000160" w14:textId="77777777" w:rsidR="00F554A7" w:rsidRDefault="007A75BF" w:rsidP="00F92A89">
            <w:pPr>
              <w:pStyle w:val="TableText"/>
            </w:pPr>
            <w:r w:rsidRPr="001E7563">
              <w:t xml:space="preserve">Median </w:t>
            </w:r>
            <w:r>
              <w:t>0.7 IQR 0.1, 2.2 years</w:t>
            </w:r>
            <w:r>
              <w:rPr>
                <w:vertAlign w:val="superscript"/>
              </w:rPr>
              <w:t>b</w:t>
            </w:r>
            <w:r>
              <w:t xml:space="preserve"> (equates to a median of 8.4 months)</w:t>
            </w:r>
          </w:p>
        </w:tc>
        <w:tc>
          <w:tcPr>
            <w:tcW w:w="1984" w:type="dxa"/>
          </w:tcPr>
          <w:p w14:paraId="00000161" w14:textId="77777777" w:rsidR="00F554A7" w:rsidRDefault="007A75BF" w:rsidP="00F92A89">
            <w:pPr>
              <w:pStyle w:val="TableText"/>
            </w:pPr>
            <w:r w:rsidRPr="001E7563">
              <w:t>Mean 25.3 days offered genetic counselling</w:t>
            </w:r>
          </w:p>
        </w:tc>
        <w:tc>
          <w:tcPr>
            <w:tcW w:w="1843" w:type="dxa"/>
          </w:tcPr>
          <w:p w14:paraId="00000162" w14:textId="77777777" w:rsidR="00F554A7" w:rsidRDefault="007A75BF" w:rsidP="00F92A89">
            <w:pPr>
              <w:pStyle w:val="TableText"/>
            </w:pPr>
            <w:r w:rsidRPr="001E7563">
              <w:t>80.3% by 3 months</w:t>
            </w:r>
          </w:p>
          <w:p w14:paraId="00000163" w14:textId="77777777" w:rsidR="00F554A7" w:rsidRDefault="007A75BF" w:rsidP="00F92A89">
            <w:pPr>
              <w:pStyle w:val="TableText"/>
            </w:pPr>
            <w:r w:rsidRPr="001E7563">
              <w:t>97% by 6 months</w:t>
            </w:r>
          </w:p>
        </w:tc>
      </w:tr>
      <w:tr w:rsidR="00F554A7" w14:paraId="5F55EA1B" w14:textId="77777777" w:rsidTr="00F92A89">
        <w:trPr>
          <w:trHeight w:val="291"/>
        </w:trPr>
        <w:tc>
          <w:tcPr>
            <w:tcW w:w="2830" w:type="dxa"/>
          </w:tcPr>
          <w:p w14:paraId="00000164" w14:textId="77777777" w:rsidR="00F554A7" w:rsidRDefault="007A75BF" w:rsidP="00F92A89">
            <w:pPr>
              <w:pStyle w:val="TableText"/>
            </w:pPr>
            <w:r w:rsidRPr="001E7563">
              <w:t>A</w:t>
            </w:r>
            <w:r>
              <w:t>ge of symptom onset for SCD</w:t>
            </w:r>
          </w:p>
        </w:tc>
        <w:tc>
          <w:tcPr>
            <w:tcW w:w="2552" w:type="dxa"/>
          </w:tcPr>
          <w:p w14:paraId="00000165" w14:textId="77777777" w:rsidR="00F554A7" w:rsidRDefault="007A75BF" w:rsidP="00F92A89">
            <w:pPr>
              <w:pStyle w:val="TableText"/>
            </w:pPr>
            <w:r w:rsidRPr="001E7563">
              <w:t xml:space="preserve">Median </w:t>
            </w:r>
            <w:r>
              <w:t>1.0 IQR 1.0, 3.0 years</w:t>
            </w:r>
          </w:p>
        </w:tc>
        <w:tc>
          <w:tcPr>
            <w:tcW w:w="1984" w:type="dxa"/>
          </w:tcPr>
          <w:p w14:paraId="00000166" w14:textId="77777777" w:rsidR="00F554A7" w:rsidRDefault="007A75BF" w:rsidP="00F92A89">
            <w:pPr>
              <w:pStyle w:val="TableText"/>
            </w:pPr>
            <w:r w:rsidRPr="001E7563">
              <w:t>-</w:t>
            </w:r>
          </w:p>
        </w:tc>
        <w:tc>
          <w:tcPr>
            <w:tcW w:w="1843" w:type="dxa"/>
          </w:tcPr>
          <w:p w14:paraId="00000167" w14:textId="77777777" w:rsidR="00F554A7" w:rsidRDefault="007A75BF" w:rsidP="00F92A89">
            <w:pPr>
              <w:pStyle w:val="TableText"/>
            </w:pPr>
            <w:r w:rsidRPr="001E7563">
              <w:t>-</w:t>
            </w:r>
          </w:p>
        </w:tc>
      </w:tr>
      <w:tr w:rsidR="00F554A7" w14:paraId="7E02E638" w14:textId="77777777" w:rsidTr="00F92A89">
        <w:trPr>
          <w:trHeight w:val="278"/>
        </w:trPr>
        <w:tc>
          <w:tcPr>
            <w:tcW w:w="2830" w:type="dxa"/>
          </w:tcPr>
          <w:p w14:paraId="00000168" w14:textId="77777777" w:rsidR="00F554A7" w:rsidRDefault="007A75BF" w:rsidP="00F92A89">
            <w:pPr>
              <w:pStyle w:val="TableText"/>
            </w:pPr>
            <w:r w:rsidRPr="001E7563">
              <w:t>Children with SCD using prophylactic antibiotics</w:t>
            </w:r>
          </w:p>
        </w:tc>
        <w:tc>
          <w:tcPr>
            <w:tcW w:w="2552" w:type="dxa"/>
          </w:tcPr>
          <w:p w14:paraId="00000169" w14:textId="77777777" w:rsidR="00F554A7" w:rsidRDefault="007A75BF" w:rsidP="00F92A89">
            <w:pPr>
              <w:pStyle w:val="TableText"/>
            </w:pPr>
            <w:r w:rsidRPr="001E7563">
              <w:t>57.2%</w:t>
            </w:r>
            <w:r>
              <w:t xml:space="preserve"> age &lt;18 years</w:t>
            </w:r>
          </w:p>
        </w:tc>
        <w:tc>
          <w:tcPr>
            <w:tcW w:w="1984" w:type="dxa"/>
          </w:tcPr>
          <w:p w14:paraId="0000016A" w14:textId="77777777" w:rsidR="00F554A7" w:rsidRDefault="007A75BF" w:rsidP="00F92A89">
            <w:pPr>
              <w:pStyle w:val="TableText"/>
            </w:pPr>
            <w:r w:rsidRPr="001E7563">
              <w:t>Mean a</w:t>
            </w:r>
            <w:r>
              <w:t xml:space="preserve">ge at first dose </w:t>
            </w:r>
          </w:p>
          <w:p w14:paraId="0000016B" w14:textId="77777777" w:rsidR="00F554A7" w:rsidRDefault="007A75BF" w:rsidP="00F92A89">
            <w:pPr>
              <w:pStyle w:val="TableText"/>
            </w:pPr>
            <w:r w:rsidRPr="001E7563">
              <w:t xml:space="preserve">HbFS: 27.2 days </w:t>
            </w:r>
          </w:p>
          <w:p w14:paraId="0000016C" w14:textId="77777777" w:rsidR="00F554A7" w:rsidRDefault="007A75BF" w:rsidP="00F92A89">
            <w:pPr>
              <w:pStyle w:val="TableText"/>
            </w:pPr>
            <w:r w:rsidRPr="001E7563">
              <w:t xml:space="preserve">Other </w:t>
            </w:r>
            <w:r>
              <w:t>HbS: 34.0 days</w:t>
            </w:r>
          </w:p>
        </w:tc>
        <w:tc>
          <w:tcPr>
            <w:tcW w:w="1843" w:type="dxa"/>
          </w:tcPr>
          <w:p w14:paraId="0000016D" w14:textId="77777777" w:rsidR="00F554A7" w:rsidRDefault="007A75BF" w:rsidP="00F92A89">
            <w:pPr>
              <w:pStyle w:val="TableText"/>
            </w:pPr>
            <w:r w:rsidRPr="001E7563">
              <w:t>80.3% by 3 months</w:t>
            </w:r>
          </w:p>
          <w:p w14:paraId="0000016E" w14:textId="77777777" w:rsidR="00F554A7" w:rsidRDefault="007A75BF" w:rsidP="00F92A89">
            <w:pPr>
              <w:pStyle w:val="TableText"/>
            </w:pPr>
            <w:r w:rsidRPr="001E7563">
              <w:t>97.3% by 6 months</w:t>
            </w:r>
          </w:p>
        </w:tc>
      </w:tr>
      <w:tr w:rsidR="00F554A7" w14:paraId="5046FF6F" w14:textId="77777777" w:rsidTr="00F92A89">
        <w:trPr>
          <w:trHeight w:val="291"/>
        </w:trPr>
        <w:tc>
          <w:tcPr>
            <w:tcW w:w="2830" w:type="dxa"/>
          </w:tcPr>
          <w:p w14:paraId="0000016F" w14:textId="77777777" w:rsidR="00F554A7" w:rsidRDefault="007A75BF" w:rsidP="00F92A89">
            <w:pPr>
              <w:pStyle w:val="TableText"/>
            </w:pPr>
            <w:r w:rsidRPr="001E7563">
              <w:t>Children with SCD using HU</w:t>
            </w:r>
          </w:p>
        </w:tc>
        <w:tc>
          <w:tcPr>
            <w:tcW w:w="2552" w:type="dxa"/>
          </w:tcPr>
          <w:p w14:paraId="00000170" w14:textId="77777777" w:rsidR="00F554A7" w:rsidRDefault="007A75BF" w:rsidP="00F92A89">
            <w:pPr>
              <w:pStyle w:val="TableText"/>
            </w:pPr>
            <w:r w:rsidRPr="001E7563">
              <w:t>56.7%</w:t>
            </w:r>
            <w:r>
              <w:t xml:space="preserve"> age &lt;18 years</w:t>
            </w:r>
          </w:p>
        </w:tc>
        <w:tc>
          <w:tcPr>
            <w:tcW w:w="1984" w:type="dxa"/>
          </w:tcPr>
          <w:p w14:paraId="00000171" w14:textId="77777777" w:rsidR="00F554A7" w:rsidRDefault="007A75BF" w:rsidP="00F92A89">
            <w:pPr>
              <w:pStyle w:val="TableText"/>
            </w:pPr>
            <w:r w:rsidRPr="001E7563">
              <w:t>21.4%</w:t>
            </w:r>
            <w:r>
              <w:t xml:space="preserve"> - 81.3% (within 1 year fu)</w:t>
            </w:r>
          </w:p>
        </w:tc>
        <w:tc>
          <w:tcPr>
            <w:tcW w:w="1843" w:type="dxa"/>
          </w:tcPr>
          <w:p w14:paraId="00000172" w14:textId="77777777" w:rsidR="00F554A7" w:rsidRDefault="007A75BF" w:rsidP="00F92A89">
            <w:pPr>
              <w:pStyle w:val="TableText"/>
            </w:pPr>
            <w:r w:rsidRPr="001E7563">
              <w:t>-</w:t>
            </w:r>
          </w:p>
        </w:tc>
      </w:tr>
      <w:tr w:rsidR="00F554A7" w14:paraId="4EC2205D" w14:textId="77777777" w:rsidTr="00F92A89">
        <w:trPr>
          <w:trHeight w:val="278"/>
        </w:trPr>
        <w:tc>
          <w:tcPr>
            <w:tcW w:w="2830" w:type="dxa"/>
          </w:tcPr>
          <w:p w14:paraId="00000173" w14:textId="77777777" w:rsidR="00F554A7" w:rsidRDefault="007A75BF" w:rsidP="00F92A89">
            <w:pPr>
              <w:pStyle w:val="TableText"/>
            </w:pPr>
            <w:r w:rsidRPr="001E7563">
              <w:t>Children with SCD receiving regular transfusions</w:t>
            </w:r>
          </w:p>
        </w:tc>
        <w:tc>
          <w:tcPr>
            <w:tcW w:w="2552" w:type="dxa"/>
          </w:tcPr>
          <w:p w14:paraId="00000174" w14:textId="77777777" w:rsidR="00F554A7" w:rsidRDefault="007A75BF" w:rsidP="00F92A89">
            <w:pPr>
              <w:pStyle w:val="TableText"/>
            </w:pPr>
            <w:r w:rsidRPr="001E7563">
              <w:t>15.1%</w:t>
            </w:r>
            <w:r>
              <w:t xml:space="preserve"> age &lt;18 years</w:t>
            </w:r>
          </w:p>
        </w:tc>
        <w:tc>
          <w:tcPr>
            <w:tcW w:w="1984" w:type="dxa"/>
          </w:tcPr>
          <w:p w14:paraId="00000175" w14:textId="77777777" w:rsidR="00F554A7" w:rsidRDefault="007A75BF" w:rsidP="00F92A89">
            <w:pPr>
              <w:pStyle w:val="TableText"/>
            </w:pPr>
            <w:r w:rsidRPr="001E7563">
              <w:t>-</w:t>
            </w:r>
          </w:p>
        </w:tc>
        <w:tc>
          <w:tcPr>
            <w:tcW w:w="1843" w:type="dxa"/>
          </w:tcPr>
          <w:p w14:paraId="00000176" w14:textId="77777777" w:rsidR="00F554A7" w:rsidRDefault="007A75BF" w:rsidP="00F92A89">
            <w:pPr>
              <w:pStyle w:val="TableText"/>
            </w:pPr>
            <w:r w:rsidRPr="001E7563">
              <w:t>-</w:t>
            </w:r>
          </w:p>
        </w:tc>
      </w:tr>
      <w:tr w:rsidR="00F554A7" w14:paraId="08605DDD" w14:textId="77777777" w:rsidTr="00F92A89">
        <w:trPr>
          <w:trHeight w:val="278"/>
        </w:trPr>
        <w:tc>
          <w:tcPr>
            <w:tcW w:w="2830" w:type="dxa"/>
          </w:tcPr>
          <w:p w14:paraId="00000177" w14:textId="77777777" w:rsidR="00F554A7" w:rsidRDefault="007A75BF" w:rsidP="00F92A89">
            <w:pPr>
              <w:pStyle w:val="TableText"/>
            </w:pPr>
            <w:r w:rsidRPr="001E7563">
              <w:t>Children with SCD who have undergone doppler screening</w:t>
            </w:r>
          </w:p>
        </w:tc>
        <w:tc>
          <w:tcPr>
            <w:tcW w:w="2552" w:type="dxa"/>
          </w:tcPr>
          <w:p w14:paraId="00000178" w14:textId="77777777" w:rsidR="00F554A7" w:rsidRDefault="007A75BF" w:rsidP="00F92A89">
            <w:pPr>
              <w:pStyle w:val="TableText"/>
            </w:pPr>
            <w:r w:rsidRPr="001E7563">
              <w:t>-</w:t>
            </w:r>
          </w:p>
        </w:tc>
        <w:tc>
          <w:tcPr>
            <w:tcW w:w="1984" w:type="dxa"/>
          </w:tcPr>
          <w:p w14:paraId="00000179" w14:textId="77777777" w:rsidR="00F554A7" w:rsidRDefault="007A75BF" w:rsidP="00F92A89">
            <w:pPr>
              <w:pStyle w:val="TableText"/>
            </w:pPr>
            <w:r w:rsidRPr="001E7563">
              <w:t>25% - 69% (age 2-3 y</w:t>
            </w:r>
            <w:r>
              <w:t>ears)</w:t>
            </w:r>
          </w:p>
        </w:tc>
        <w:tc>
          <w:tcPr>
            <w:tcW w:w="1843" w:type="dxa"/>
          </w:tcPr>
          <w:p w14:paraId="0000017A" w14:textId="77777777" w:rsidR="00F554A7" w:rsidRDefault="007A75BF" w:rsidP="00F92A89">
            <w:pPr>
              <w:pStyle w:val="TableText"/>
            </w:pPr>
            <w:r w:rsidRPr="001E7563">
              <w:t>-</w:t>
            </w:r>
          </w:p>
        </w:tc>
      </w:tr>
      <w:tr w:rsidR="00F554A7" w14:paraId="73FDA519" w14:textId="77777777" w:rsidTr="00F92A89">
        <w:trPr>
          <w:trHeight w:val="291"/>
        </w:trPr>
        <w:tc>
          <w:tcPr>
            <w:tcW w:w="2830" w:type="dxa"/>
          </w:tcPr>
          <w:p w14:paraId="0000017B" w14:textId="77777777" w:rsidR="00F554A7" w:rsidRDefault="007A75BF" w:rsidP="00F92A89">
            <w:pPr>
              <w:pStyle w:val="TableText"/>
            </w:pPr>
            <w:r w:rsidRPr="001E7563">
              <w:t xml:space="preserve">Age at diagnosis of </w:t>
            </w:r>
            <w:r>
              <w:rPr>
                <w:rFonts w:ascii="Calibri" w:eastAsia="Calibri" w:hAnsi="Calibri" w:cs="Calibri"/>
              </w:rPr>
              <w:t>β</w:t>
            </w:r>
            <w:r>
              <w:t>-thalassaemia</w:t>
            </w:r>
          </w:p>
        </w:tc>
        <w:tc>
          <w:tcPr>
            <w:tcW w:w="2552" w:type="dxa"/>
          </w:tcPr>
          <w:p w14:paraId="0000017C" w14:textId="77777777" w:rsidR="00F554A7" w:rsidRDefault="007A75BF" w:rsidP="00F92A89">
            <w:pPr>
              <w:pStyle w:val="TableText"/>
            </w:pPr>
            <w:r w:rsidRPr="001E7563">
              <w:t>Within 1 month</w:t>
            </w:r>
          </w:p>
        </w:tc>
        <w:tc>
          <w:tcPr>
            <w:tcW w:w="1984" w:type="dxa"/>
          </w:tcPr>
          <w:p w14:paraId="0000017D" w14:textId="77777777" w:rsidR="00F554A7" w:rsidRDefault="007A75BF" w:rsidP="00F92A89">
            <w:pPr>
              <w:pStyle w:val="TableText"/>
            </w:pPr>
            <w:r w:rsidRPr="001E7563">
              <w:t>-</w:t>
            </w:r>
          </w:p>
        </w:tc>
        <w:tc>
          <w:tcPr>
            <w:tcW w:w="1843" w:type="dxa"/>
          </w:tcPr>
          <w:p w14:paraId="0000017E" w14:textId="77777777" w:rsidR="00F554A7" w:rsidRDefault="007A75BF" w:rsidP="00F92A89">
            <w:pPr>
              <w:pStyle w:val="TableText"/>
            </w:pPr>
            <w:r w:rsidRPr="001E7563">
              <w:t>-</w:t>
            </w:r>
          </w:p>
        </w:tc>
      </w:tr>
      <w:tr w:rsidR="00F554A7" w14:paraId="64B3AAAA" w14:textId="77777777" w:rsidTr="00F92A89">
        <w:trPr>
          <w:trHeight w:val="291"/>
        </w:trPr>
        <w:tc>
          <w:tcPr>
            <w:tcW w:w="2830" w:type="dxa"/>
          </w:tcPr>
          <w:p w14:paraId="0000017F" w14:textId="77777777" w:rsidR="00F554A7" w:rsidRDefault="007A75BF" w:rsidP="00F92A89">
            <w:pPr>
              <w:pStyle w:val="TableText"/>
            </w:pPr>
            <w:r w:rsidRPr="001E7563">
              <w:t xml:space="preserve">Children with </w:t>
            </w:r>
            <w:r>
              <w:rPr>
                <w:rFonts w:ascii="Calibri" w:eastAsia="Calibri" w:hAnsi="Calibri" w:cs="Calibri"/>
              </w:rPr>
              <w:t>β</w:t>
            </w:r>
            <w:r>
              <w:t>-thalassaemia using prophylactic antibiotics</w:t>
            </w:r>
          </w:p>
        </w:tc>
        <w:tc>
          <w:tcPr>
            <w:tcW w:w="2552" w:type="dxa"/>
          </w:tcPr>
          <w:p w14:paraId="00000180" w14:textId="77777777" w:rsidR="00F554A7" w:rsidRDefault="007A75BF" w:rsidP="00F92A89">
            <w:pPr>
              <w:pStyle w:val="TableText"/>
            </w:pPr>
            <w:r w:rsidRPr="001E7563">
              <w:t>63.0%</w:t>
            </w:r>
            <w:r>
              <w:t xml:space="preserve"> age &lt;18 years</w:t>
            </w:r>
          </w:p>
        </w:tc>
        <w:tc>
          <w:tcPr>
            <w:tcW w:w="1984" w:type="dxa"/>
          </w:tcPr>
          <w:p w14:paraId="00000181" w14:textId="77777777" w:rsidR="00F554A7" w:rsidRDefault="007A75BF" w:rsidP="00F92A89">
            <w:pPr>
              <w:pStyle w:val="TableText"/>
            </w:pPr>
            <w:r w:rsidRPr="001E7563">
              <w:t>-</w:t>
            </w:r>
          </w:p>
        </w:tc>
        <w:tc>
          <w:tcPr>
            <w:tcW w:w="1843" w:type="dxa"/>
          </w:tcPr>
          <w:p w14:paraId="00000182" w14:textId="77777777" w:rsidR="00F554A7" w:rsidRDefault="007A75BF" w:rsidP="00F92A89">
            <w:pPr>
              <w:pStyle w:val="TableText"/>
            </w:pPr>
            <w:r w:rsidRPr="001E7563">
              <w:t>-</w:t>
            </w:r>
          </w:p>
        </w:tc>
      </w:tr>
      <w:tr w:rsidR="00F554A7" w14:paraId="5BA71BE4" w14:textId="77777777" w:rsidTr="00F92A89">
        <w:trPr>
          <w:trHeight w:val="305"/>
        </w:trPr>
        <w:tc>
          <w:tcPr>
            <w:tcW w:w="2830" w:type="dxa"/>
          </w:tcPr>
          <w:p w14:paraId="00000183" w14:textId="77777777" w:rsidR="00F554A7" w:rsidRDefault="007A75BF" w:rsidP="00F92A89">
            <w:pPr>
              <w:pStyle w:val="TableText"/>
            </w:pPr>
            <w:r w:rsidRPr="001E7563">
              <w:t xml:space="preserve">Children with </w:t>
            </w:r>
            <w:r>
              <w:rPr>
                <w:rFonts w:ascii="Calibri" w:eastAsia="Calibri" w:hAnsi="Calibri" w:cs="Calibri"/>
              </w:rPr>
              <w:t>β</w:t>
            </w:r>
            <w:r>
              <w:t>-thalassaemia using prophylactic antibiotics</w:t>
            </w:r>
          </w:p>
        </w:tc>
        <w:tc>
          <w:tcPr>
            <w:tcW w:w="2552" w:type="dxa"/>
          </w:tcPr>
          <w:p w14:paraId="00000184" w14:textId="77777777" w:rsidR="00F554A7" w:rsidRDefault="007A75BF" w:rsidP="00F92A89">
            <w:pPr>
              <w:pStyle w:val="TableText"/>
            </w:pPr>
            <w:r w:rsidRPr="001E7563">
              <w:t>&gt;50%</w:t>
            </w:r>
            <w:r>
              <w:t xml:space="preserve"> age &lt;18 years</w:t>
            </w:r>
          </w:p>
        </w:tc>
        <w:tc>
          <w:tcPr>
            <w:tcW w:w="1984" w:type="dxa"/>
          </w:tcPr>
          <w:p w14:paraId="00000185" w14:textId="77777777" w:rsidR="00F554A7" w:rsidRDefault="007A75BF" w:rsidP="00F92A89">
            <w:pPr>
              <w:pStyle w:val="TableText"/>
            </w:pPr>
            <w:r w:rsidRPr="001E7563">
              <w:t>-</w:t>
            </w:r>
          </w:p>
        </w:tc>
        <w:tc>
          <w:tcPr>
            <w:tcW w:w="1843" w:type="dxa"/>
          </w:tcPr>
          <w:p w14:paraId="00000186" w14:textId="77777777" w:rsidR="00F554A7" w:rsidRDefault="007A75BF" w:rsidP="00F92A89">
            <w:pPr>
              <w:pStyle w:val="TableText"/>
            </w:pPr>
            <w:r w:rsidRPr="001E7563">
              <w:t>-</w:t>
            </w:r>
          </w:p>
        </w:tc>
      </w:tr>
      <w:tr w:rsidR="00F554A7" w14:paraId="34E5D564" w14:textId="77777777" w:rsidTr="00F92A89">
        <w:trPr>
          <w:trHeight w:val="291"/>
        </w:trPr>
        <w:tc>
          <w:tcPr>
            <w:tcW w:w="2830" w:type="dxa"/>
          </w:tcPr>
          <w:p w14:paraId="00000187" w14:textId="77777777" w:rsidR="00F554A7" w:rsidRDefault="007A75BF" w:rsidP="00F92A89">
            <w:pPr>
              <w:pStyle w:val="TableText"/>
            </w:pPr>
            <w:r w:rsidRPr="001E7563">
              <w:t xml:space="preserve">Children with </w:t>
            </w:r>
            <w:r>
              <w:rPr>
                <w:rFonts w:ascii="Calibri" w:eastAsia="Calibri" w:hAnsi="Calibri" w:cs="Calibri"/>
              </w:rPr>
              <w:t>β</w:t>
            </w:r>
            <w:r>
              <w:t>-thalassaemia receiving regular transfusions</w:t>
            </w:r>
          </w:p>
        </w:tc>
        <w:tc>
          <w:tcPr>
            <w:tcW w:w="2552" w:type="dxa"/>
          </w:tcPr>
          <w:p w14:paraId="00000188" w14:textId="77777777" w:rsidR="00F554A7" w:rsidRDefault="007A75BF" w:rsidP="00F92A89">
            <w:pPr>
              <w:pStyle w:val="TableText"/>
            </w:pPr>
            <w:r w:rsidRPr="001E7563">
              <w:t>64.2%</w:t>
            </w:r>
            <w:r>
              <w:t xml:space="preserve"> age &lt;18 years</w:t>
            </w:r>
          </w:p>
        </w:tc>
        <w:tc>
          <w:tcPr>
            <w:tcW w:w="1984" w:type="dxa"/>
          </w:tcPr>
          <w:p w14:paraId="00000189" w14:textId="77777777" w:rsidR="00F554A7" w:rsidRDefault="007A75BF" w:rsidP="00F92A89">
            <w:pPr>
              <w:pStyle w:val="TableText"/>
            </w:pPr>
            <w:r w:rsidRPr="001E7563">
              <w:t>-</w:t>
            </w:r>
          </w:p>
        </w:tc>
        <w:tc>
          <w:tcPr>
            <w:tcW w:w="1843" w:type="dxa"/>
          </w:tcPr>
          <w:p w14:paraId="0000018A" w14:textId="77777777" w:rsidR="00F554A7" w:rsidRDefault="007A75BF" w:rsidP="00F92A89">
            <w:pPr>
              <w:pStyle w:val="TableText"/>
            </w:pPr>
            <w:r w:rsidRPr="001E7563">
              <w:t>-</w:t>
            </w:r>
          </w:p>
        </w:tc>
      </w:tr>
      <w:tr w:rsidR="00F554A7" w14:paraId="703835D1" w14:textId="77777777" w:rsidTr="00F92A89">
        <w:trPr>
          <w:trHeight w:val="291"/>
        </w:trPr>
        <w:tc>
          <w:tcPr>
            <w:tcW w:w="2830" w:type="dxa"/>
          </w:tcPr>
          <w:p w14:paraId="0000018B" w14:textId="77777777" w:rsidR="00F554A7" w:rsidRDefault="007A75BF" w:rsidP="00F92A89">
            <w:pPr>
              <w:pStyle w:val="TableText"/>
              <w:rPr>
                <w:vertAlign w:val="superscript"/>
              </w:rPr>
            </w:pPr>
            <w:r w:rsidRPr="001E7563">
              <w:t>Children who have received pneumococcal vaccine</w:t>
            </w:r>
          </w:p>
        </w:tc>
        <w:tc>
          <w:tcPr>
            <w:tcW w:w="2552" w:type="dxa"/>
          </w:tcPr>
          <w:p w14:paraId="0000018C" w14:textId="77777777" w:rsidR="00F554A7" w:rsidRDefault="007A75BF" w:rsidP="00F92A89">
            <w:pPr>
              <w:pStyle w:val="TableText"/>
              <w:rPr>
                <w:vertAlign w:val="superscript"/>
              </w:rPr>
            </w:pPr>
            <w:r w:rsidRPr="001E7563">
              <w:t>95.7</w:t>
            </w:r>
            <w:r>
              <w:t>0% by 1 year</w:t>
            </w:r>
            <w:r>
              <w:rPr>
                <w:vertAlign w:val="superscript"/>
              </w:rPr>
              <w:t>c</w:t>
            </w:r>
          </w:p>
          <w:p w14:paraId="0000018D" w14:textId="77777777" w:rsidR="00F554A7" w:rsidRDefault="007A75BF" w:rsidP="00F92A89">
            <w:pPr>
              <w:pStyle w:val="TableText"/>
              <w:rPr>
                <w:vertAlign w:val="superscript"/>
              </w:rPr>
            </w:pPr>
            <w:r w:rsidRPr="001E7563">
              <w:t>95.</w:t>
            </w:r>
            <w:r>
              <w:t>27% by 2 years</w:t>
            </w:r>
            <w:r>
              <w:rPr>
                <w:vertAlign w:val="superscript"/>
              </w:rPr>
              <w:t>c</w:t>
            </w:r>
          </w:p>
        </w:tc>
        <w:tc>
          <w:tcPr>
            <w:tcW w:w="1984" w:type="dxa"/>
          </w:tcPr>
          <w:p w14:paraId="0000018E" w14:textId="77777777" w:rsidR="00F554A7" w:rsidRDefault="007A75BF" w:rsidP="00F92A89">
            <w:pPr>
              <w:pStyle w:val="TableText"/>
            </w:pPr>
            <w:r w:rsidRPr="001E7563">
              <w:t>97.5%</w:t>
            </w:r>
            <w:r>
              <w:t xml:space="preserve"> at least one vaccine (within 1 year fu)</w:t>
            </w:r>
          </w:p>
        </w:tc>
        <w:tc>
          <w:tcPr>
            <w:tcW w:w="1843" w:type="dxa"/>
          </w:tcPr>
          <w:p w14:paraId="0000018F" w14:textId="77777777" w:rsidR="00F554A7" w:rsidRDefault="007A75BF" w:rsidP="00F92A89">
            <w:pPr>
              <w:pStyle w:val="TableText"/>
            </w:pPr>
            <w:r w:rsidRPr="001E7563">
              <w:t>-</w:t>
            </w:r>
          </w:p>
        </w:tc>
      </w:tr>
    </w:tbl>
    <w:p w14:paraId="00000190" w14:textId="7EF4795E" w:rsidR="00F554A7" w:rsidRPr="00F92A89" w:rsidRDefault="007A75BF" w:rsidP="00F92A89">
      <w:pPr>
        <w:pStyle w:val="Tablenotes"/>
        <w:rPr>
          <w:rFonts w:eastAsia="Arial Narrow"/>
        </w:rPr>
      </w:pPr>
      <w:r w:rsidRPr="00F92A89">
        <w:rPr>
          <w:rFonts w:eastAsia="Arial Narrow"/>
        </w:rPr>
        <w:t>fu = follow-up; HbFS = combination of fetal and sickle haemoglobin giving a milder version of SCD; HbS = sickle haemoglobinopathies; HU = hydroxyurea; IQR = interquartile range; SCD = sickle cell disease</w:t>
      </w:r>
    </w:p>
    <w:p w14:paraId="00000191" w14:textId="726CE2BC" w:rsidR="00F554A7" w:rsidRPr="00F92A89" w:rsidRDefault="007A75BF" w:rsidP="00F92A89">
      <w:pPr>
        <w:pStyle w:val="Tablenotes0"/>
      </w:pPr>
      <w:r w:rsidRPr="00F92A89">
        <w:rPr>
          <w:b/>
        </w:rPr>
        <w:t>Notes: a.</w:t>
      </w:r>
      <w:r w:rsidRPr="00F92A89">
        <w:t xml:space="preserve"> </w:t>
      </w:r>
      <w:r w:rsidR="00EC4A59">
        <w:t xml:space="preserve">Data provided for the rapid review </w:t>
      </w:r>
      <w:r w:rsidR="00496FB5">
        <w:fldChar w:fldCharType="begin"/>
      </w:r>
      <w:r w:rsidR="00496FB5">
        <w:instrText xml:space="preserve"> ADDIN EN.CITE &lt;EndNote&gt;&lt;Cite&gt;&lt;Author&gt;Abt Associates&lt;/Author&gt;&lt;Year&gt;2022&lt;/Year&gt;&lt;RecNum&gt;92&lt;/RecNum&gt;&lt;DisplayText&gt;(Abt Associates 2022)&lt;/DisplayText&gt;&lt;record&gt;&lt;rec-number&gt;92&lt;/rec-number&gt;&lt;foreign-keys&gt;&lt;key app="EN" db-id="p2fpwezd8trtaled22npdf09fsdtp5f5w5ar" timestamp="1665376381"&gt;92&lt;/key&gt;&lt;/foreign-keys&gt;&lt;ref-type name="Government Document"&gt;46&lt;/ref-type&gt;&lt;contributors&gt;&lt;authors&gt;&lt;author&gt;Abt Associates,&lt;/author&gt;&lt;/authors&gt;&lt;/contributors&gt;&lt;titles&gt;&lt;title&gt;&lt;style face="normal" font="default" size="100%"&gt;A Rapid review of the Newborn Blood Screening in Sickle Cell Disease and &lt;/style&gt;&lt;style face="normal" font="Symbol" charset="2" size="100%"&gt;b&lt;/style&gt;&lt;style face="normal" font="default" size="100%"&gt;-thalassemia&lt;/style&gt;&lt;/title&gt;&lt;/titles&gt;&lt;dates&gt;&lt;year&gt;2022&lt;/year&gt;&lt;/dates&gt;&lt;urls&gt;&lt;/urls&gt;&lt;/record&gt;&lt;/Cite&gt;&lt;/EndNote&gt;</w:instrText>
      </w:r>
      <w:r w:rsidR="00496FB5">
        <w:fldChar w:fldCharType="separate"/>
      </w:r>
      <w:r w:rsidR="00496FB5">
        <w:rPr>
          <w:noProof/>
        </w:rPr>
        <w:t>(Abt Associates 2022)</w:t>
      </w:r>
      <w:r w:rsidR="00496FB5">
        <w:fldChar w:fldCharType="end"/>
      </w:r>
      <w:r w:rsidR="00EC4A59">
        <w:t>,</w:t>
      </w:r>
      <w:r w:rsidRPr="00F92A89">
        <w:t xml:space="preserve"> except for pneumococcal vaccination rates.</w:t>
      </w:r>
    </w:p>
    <w:p w14:paraId="00000192" w14:textId="77777777" w:rsidR="00F554A7" w:rsidRPr="00F92A89" w:rsidRDefault="007A75BF" w:rsidP="00F92A89">
      <w:pPr>
        <w:pStyle w:val="Tablenotes0"/>
      </w:pPr>
      <w:r w:rsidRPr="00F92A89">
        <w:rPr>
          <w:b/>
        </w:rPr>
        <w:t>b</w:t>
      </w:r>
      <w:r w:rsidRPr="00F92A89">
        <w:t>. This is the diagnostic age reported for children with SCD under 18 years of age by the Registry. Less severe cases such as non HbSS cases (19.4% of paediatric cases) are likely to be diagnosed at the higher end of the age range. Immigrants (17% of cases have a listed country of birth other than Australia) may be diagnosed at a later time point.</w:t>
      </w:r>
    </w:p>
    <w:p w14:paraId="00000193" w14:textId="32565198" w:rsidR="00F554A7" w:rsidRDefault="007A75BF">
      <w:pPr>
        <w:pStyle w:val="Tablenotes0"/>
      </w:pPr>
      <w:r w:rsidRPr="00F92A89">
        <w:rPr>
          <w:b/>
        </w:rPr>
        <w:t>c.</w:t>
      </w:r>
      <w:r w:rsidRPr="00F92A89">
        <w:t xml:space="preserve"> Data from Department of Health, 2022 (</w:t>
      </w:r>
      <w:hyperlink r:id="rId10" w:history="1">
        <w:r w:rsidR="00BC3B08" w:rsidRPr="00F92A89">
          <w:rPr>
            <w:rStyle w:val="Hyperlink"/>
          </w:rPr>
          <w:t>https://www.health.gov.au/topics/immunisation/immunisation-data/childhood-immunisation-coverage/current-coverage-data-tables-for-all-children</w:t>
        </w:r>
      </w:hyperlink>
      <w:r w:rsidRPr="00F92A89">
        <w:t>)</w:t>
      </w:r>
    </w:p>
    <w:p w14:paraId="0091D581" w14:textId="582F29C1" w:rsidR="00BC3B08" w:rsidRPr="00F92A89" w:rsidRDefault="00BC3B08" w:rsidP="00F92A89">
      <w:pPr>
        <w:pStyle w:val="Tablenotes0"/>
      </w:pPr>
      <w:r>
        <w:t xml:space="preserve">Source: </w:t>
      </w:r>
      <w:r w:rsidR="008275F7">
        <w:t>DCAR</w:t>
      </w:r>
      <w:r w:rsidR="00AA2BDB">
        <w:t xml:space="preserve"> Table 8.</w:t>
      </w:r>
    </w:p>
    <w:p w14:paraId="00000194" w14:textId="77777777" w:rsidR="00F554A7" w:rsidRDefault="007A75BF">
      <w:pPr>
        <w:pStyle w:val="Heading5"/>
      </w:pPr>
      <w:r>
        <w:t>Treatment effectiveness</w:t>
      </w:r>
    </w:p>
    <w:p w14:paraId="00000195" w14:textId="77777777" w:rsidR="00F554A7" w:rsidRDefault="007A75BF">
      <w:r>
        <w:t xml:space="preserve">Treatments recommended for babies with SCD or </w:t>
      </w:r>
      <w:r>
        <w:rPr>
          <w:rFonts w:ascii="Calibri" w:eastAsia="Calibri" w:hAnsi="Calibri" w:cs="Calibri"/>
        </w:rPr>
        <w:t>β</w:t>
      </w:r>
      <w:r>
        <w:t xml:space="preserve">-thalassaemia up to 12 months of age were considered. Treatments recommended after that age are not likely to be impacted by earlier diagnosis by NBS. A SR published in 2016 provided data on treatments for SCD. There were no additional primary studies that provided more data on SCD. There was little evidence identified that reported on treatments for </w:t>
      </w:r>
      <w:r>
        <w:rPr>
          <w:rFonts w:ascii="Calibri" w:eastAsia="Calibri" w:hAnsi="Calibri" w:cs="Calibri"/>
        </w:rPr>
        <w:t>β</w:t>
      </w:r>
      <w:r>
        <w:t xml:space="preserve">-thalassaemia. One small level IV study provided inconclusive data. </w:t>
      </w:r>
    </w:p>
    <w:p w14:paraId="00000196" w14:textId="77777777" w:rsidR="00F554A7" w:rsidRDefault="007A75BF">
      <w:r>
        <w:t>The SR reviewed RCT evidence for effectiveness for the following SCD treatment comparisons: antibiotic prophylaxis versus placebo or no prophylaxis in children up to 5 years of age; antibiotic prophylaxis versus placebo or no prophylaxis in children over 5 years of age; and HU versus placebo in children.</w:t>
      </w:r>
    </w:p>
    <w:p w14:paraId="00000197" w14:textId="77777777" w:rsidR="00F554A7" w:rsidRDefault="007A75BF">
      <w:r>
        <w:lastRenderedPageBreak/>
        <w:t xml:space="preserve">The effectiveness of prophylactic penicillin was investigated in two RCTs in children aged 6 to 36 months (total n = 447). One RCT (n= 215) compared oral penicillin with placebo, and the other RCT (n = 242) compared monthly penicillin injections with no prophylaxis. The trials were conducted in the 1980s in the US, and Jamaica respectively. The US trial was ended prematurely, after four deaths occurred in the placebo arm. The difference in mortality between trial arms did not reach significance (OR 0.11; 95% CI 0.01, 2.11; p = 0.14). There were no deaths in the Jamaican trial (followed for 5 years), and mortality overall was no different between those given penicillin and those who were not. </w:t>
      </w:r>
    </w:p>
    <w:p w14:paraId="00000198" w14:textId="0001A944" w:rsidR="00F554A7" w:rsidRDefault="007A75BF">
      <w:r>
        <w:t xml:space="preserve">Pneumococcal infections were compared between arms in both RCTs. The authors of the SR conducted an analysis of results from both trials, including available data from the early terminated US trial. The analysis found that infection rates were lower in the prophylaxis arms compared to no prophylaxis. Results are summarised in </w:t>
      </w:r>
      <w:r w:rsidR="009B5ECA">
        <w:fldChar w:fldCharType="begin"/>
      </w:r>
      <w:r w:rsidR="009B5ECA">
        <w:instrText xml:space="preserve"> REF _Ref147838244 \h </w:instrText>
      </w:r>
      <w:r w:rsidR="009B5ECA">
        <w:fldChar w:fldCharType="separate"/>
      </w:r>
      <w:r w:rsidR="006E058E">
        <w:t xml:space="preserve">Table </w:t>
      </w:r>
      <w:r w:rsidR="006E058E">
        <w:rPr>
          <w:noProof/>
        </w:rPr>
        <w:t>9</w:t>
      </w:r>
      <w:r w:rsidR="009B5ECA">
        <w:fldChar w:fldCharType="end"/>
      </w:r>
      <w:r w:rsidR="00916FA4">
        <w:t>.</w:t>
      </w:r>
    </w:p>
    <w:p w14:paraId="00000199" w14:textId="73F74CA3" w:rsidR="00F554A7" w:rsidRDefault="009B5ECA" w:rsidP="006E058E">
      <w:pPr>
        <w:pStyle w:val="Caption"/>
        <w:rPr>
          <w:rFonts w:eastAsia="Arial Narrow" w:cs="Arial Narrow"/>
          <w:b w:val="0"/>
          <w:color w:val="000000"/>
        </w:rPr>
      </w:pPr>
      <w:bookmarkStart w:id="64" w:name="_heading=h.23ckvvd" w:colFirst="0" w:colLast="0"/>
      <w:bookmarkStart w:id="65" w:name="_Ref147838244"/>
      <w:bookmarkEnd w:id="64"/>
      <w:r>
        <w:t xml:space="preserve">Table </w:t>
      </w:r>
      <w:r w:rsidR="0042566A">
        <w:fldChar w:fldCharType="begin"/>
      </w:r>
      <w:r w:rsidR="0042566A">
        <w:instrText xml:space="preserve"> SEQ Table \* ARABIC </w:instrText>
      </w:r>
      <w:r w:rsidR="0042566A">
        <w:fldChar w:fldCharType="separate"/>
      </w:r>
      <w:r w:rsidR="006E058E">
        <w:rPr>
          <w:noProof/>
        </w:rPr>
        <w:t>9</w:t>
      </w:r>
      <w:r w:rsidR="0042566A">
        <w:rPr>
          <w:noProof/>
        </w:rPr>
        <w:fldChar w:fldCharType="end"/>
      </w:r>
      <w:bookmarkEnd w:id="65"/>
      <w:r>
        <w:t xml:space="preserve"> </w:t>
      </w:r>
      <w:r w:rsidR="007A75BF">
        <w:rPr>
          <w:rFonts w:eastAsia="Arial Narrow" w:cs="Arial Narrow"/>
          <w:color w:val="000000"/>
        </w:rPr>
        <w:t>Comparison of pneumococcal infections between children with SCD &lt; 5 years of age who received antibiotic prophylaxis and those who received placebo or no prophylaxis (Meremikwu &amp; Okomo 2016)</w:t>
      </w:r>
    </w:p>
    <w:tbl>
      <w:tblPr>
        <w:tblStyle w:val="HealthConsult2"/>
        <w:tblW w:w="0" w:type="auto"/>
        <w:tblLayout w:type="fixed"/>
        <w:tblLook w:val="04A0" w:firstRow="1" w:lastRow="0" w:firstColumn="1" w:lastColumn="0" w:noHBand="0" w:noVBand="1"/>
      </w:tblPr>
      <w:tblGrid>
        <w:gridCol w:w="2689"/>
        <w:gridCol w:w="1842"/>
        <w:gridCol w:w="1843"/>
        <w:gridCol w:w="2488"/>
      </w:tblGrid>
      <w:tr w:rsidR="00F554A7" w14:paraId="3775809F" w14:textId="77777777" w:rsidTr="00F92A89">
        <w:tc>
          <w:tcPr>
            <w:tcW w:w="2689" w:type="dxa"/>
          </w:tcPr>
          <w:p w14:paraId="0000019A" w14:textId="77777777" w:rsidR="00F554A7" w:rsidRPr="00F92A89" w:rsidRDefault="007A75BF">
            <w:pPr>
              <w:spacing w:after="60"/>
              <w:rPr>
                <w:rFonts w:ascii="Arial Narrow" w:hAnsi="Arial Narrow"/>
                <w:b/>
                <w:sz w:val="20"/>
              </w:rPr>
            </w:pPr>
            <w:r w:rsidRPr="00F92A89">
              <w:rPr>
                <w:rFonts w:ascii="Arial Narrow" w:hAnsi="Arial Narrow"/>
                <w:b/>
                <w:sz w:val="20"/>
              </w:rPr>
              <w:t>Total N</w:t>
            </w:r>
          </w:p>
        </w:tc>
        <w:tc>
          <w:tcPr>
            <w:tcW w:w="1842" w:type="dxa"/>
          </w:tcPr>
          <w:p w14:paraId="0000019B" w14:textId="77777777" w:rsidR="00F554A7" w:rsidRPr="00F92A89" w:rsidRDefault="007A75BF">
            <w:pPr>
              <w:spacing w:after="60"/>
              <w:rPr>
                <w:rFonts w:ascii="Arial Narrow" w:hAnsi="Arial Narrow"/>
                <w:b/>
                <w:sz w:val="20"/>
              </w:rPr>
            </w:pPr>
            <w:r w:rsidRPr="00F92A89">
              <w:rPr>
                <w:rFonts w:ascii="Arial Narrow" w:hAnsi="Arial Narrow"/>
                <w:b/>
                <w:sz w:val="20"/>
              </w:rPr>
              <w:t>Antibiotic prophylaxis</w:t>
            </w:r>
          </w:p>
        </w:tc>
        <w:tc>
          <w:tcPr>
            <w:tcW w:w="1843" w:type="dxa"/>
          </w:tcPr>
          <w:p w14:paraId="0000019C" w14:textId="77777777" w:rsidR="00F554A7" w:rsidRPr="00F92A89" w:rsidRDefault="007A75BF">
            <w:pPr>
              <w:spacing w:after="60"/>
              <w:rPr>
                <w:rFonts w:ascii="Arial Narrow" w:hAnsi="Arial Narrow"/>
                <w:b/>
                <w:sz w:val="20"/>
              </w:rPr>
            </w:pPr>
            <w:r w:rsidRPr="00F92A89">
              <w:rPr>
                <w:rFonts w:ascii="Arial Narrow" w:hAnsi="Arial Narrow"/>
                <w:b/>
                <w:sz w:val="20"/>
              </w:rPr>
              <w:t>Placebo/ no prophylaxis</w:t>
            </w:r>
          </w:p>
        </w:tc>
        <w:tc>
          <w:tcPr>
            <w:tcW w:w="2488" w:type="dxa"/>
          </w:tcPr>
          <w:p w14:paraId="0000019D" w14:textId="77777777" w:rsidR="00F554A7" w:rsidRPr="00F92A89" w:rsidRDefault="007A75BF">
            <w:pPr>
              <w:spacing w:after="60"/>
              <w:rPr>
                <w:rFonts w:ascii="Arial Narrow" w:hAnsi="Arial Narrow"/>
                <w:b/>
                <w:sz w:val="20"/>
                <w:vertAlign w:val="superscript"/>
              </w:rPr>
            </w:pPr>
            <w:r w:rsidRPr="00F92A89">
              <w:rPr>
                <w:rFonts w:ascii="Arial Narrow" w:hAnsi="Arial Narrow"/>
                <w:b/>
                <w:sz w:val="20"/>
              </w:rPr>
              <w:t>Difference</w:t>
            </w:r>
            <w:r w:rsidRPr="00F92A89">
              <w:rPr>
                <w:rFonts w:ascii="Arial Narrow" w:hAnsi="Arial Narrow"/>
                <w:b/>
                <w:sz w:val="20"/>
                <w:vertAlign w:val="superscript"/>
              </w:rPr>
              <w:t>a</w:t>
            </w:r>
          </w:p>
        </w:tc>
      </w:tr>
      <w:tr w:rsidR="00F554A7" w14:paraId="31D42A9B" w14:textId="77777777" w:rsidTr="00F92A89">
        <w:tc>
          <w:tcPr>
            <w:tcW w:w="2689" w:type="dxa"/>
          </w:tcPr>
          <w:p w14:paraId="0000019E" w14:textId="77777777" w:rsidR="00F554A7" w:rsidRPr="00F92A89" w:rsidRDefault="007A75BF">
            <w:pPr>
              <w:spacing w:before="40" w:after="40"/>
              <w:rPr>
                <w:rFonts w:ascii="Arial Narrow" w:hAnsi="Arial Narrow"/>
                <w:sz w:val="20"/>
              </w:rPr>
            </w:pPr>
            <w:r w:rsidRPr="00F92A89">
              <w:rPr>
                <w:rFonts w:ascii="Arial Narrow" w:hAnsi="Arial Narrow"/>
                <w:sz w:val="20"/>
              </w:rPr>
              <w:t xml:space="preserve">457 </w:t>
            </w:r>
          </w:p>
          <w:p w14:paraId="0000019F" w14:textId="77777777" w:rsidR="00F554A7" w:rsidRDefault="007A75BF" w:rsidP="00F92A89">
            <w:pPr>
              <w:pStyle w:val="Tabletext0"/>
              <w:jc w:val="left"/>
            </w:pPr>
            <w:r w:rsidRPr="001E7563">
              <w:t>In combined analysis for Jamaican trial (John et al, 1984) and US trial (Gaston et al, 1986)</w:t>
            </w:r>
          </w:p>
        </w:tc>
        <w:tc>
          <w:tcPr>
            <w:tcW w:w="1842" w:type="dxa"/>
          </w:tcPr>
          <w:p w14:paraId="000001A0" w14:textId="77777777" w:rsidR="00F554A7" w:rsidRPr="00F92A89" w:rsidRDefault="007A75BF">
            <w:pPr>
              <w:spacing w:before="40" w:after="40"/>
              <w:rPr>
                <w:rFonts w:ascii="Arial Narrow" w:hAnsi="Arial Narrow"/>
                <w:sz w:val="20"/>
              </w:rPr>
            </w:pPr>
            <w:r w:rsidRPr="00F92A89">
              <w:rPr>
                <w:rFonts w:ascii="Arial Narrow" w:hAnsi="Arial Narrow"/>
                <w:sz w:val="20"/>
              </w:rPr>
              <w:t>9 infections (9/248; 4%)</w:t>
            </w:r>
          </w:p>
        </w:tc>
        <w:tc>
          <w:tcPr>
            <w:tcW w:w="1843" w:type="dxa"/>
          </w:tcPr>
          <w:p w14:paraId="000001A1" w14:textId="77777777" w:rsidR="00F554A7" w:rsidRPr="00F92A89" w:rsidRDefault="007A75BF">
            <w:pPr>
              <w:spacing w:before="40" w:after="40"/>
              <w:rPr>
                <w:rFonts w:ascii="Arial Narrow" w:hAnsi="Arial Narrow"/>
                <w:sz w:val="20"/>
              </w:rPr>
            </w:pPr>
            <w:r w:rsidRPr="00F92A89">
              <w:rPr>
                <w:rFonts w:ascii="Arial Narrow" w:hAnsi="Arial Narrow"/>
                <w:sz w:val="20"/>
              </w:rPr>
              <w:t>19 infections (19/209; 9%)</w:t>
            </w:r>
          </w:p>
        </w:tc>
        <w:tc>
          <w:tcPr>
            <w:tcW w:w="2488" w:type="dxa"/>
          </w:tcPr>
          <w:p w14:paraId="000001A2" w14:textId="77777777" w:rsidR="00F554A7" w:rsidRPr="00F92A89" w:rsidRDefault="007A75BF">
            <w:pPr>
              <w:spacing w:before="40" w:after="40"/>
              <w:rPr>
                <w:rFonts w:ascii="Arial Narrow" w:hAnsi="Arial Narrow"/>
                <w:sz w:val="20"/>
              </w:rPr>
            </w:pPr>
            <w:r w:rsidRPr="00F92A89">
              <w:rPr>
                <w:rFonts w:ascii="Arial Narrow" w:hAnsi="Arial Narrow"/>
                <w:sz w:val="20"/>
              </w:rPr>
              <w:t>OR 0.37 (95% CI 0.16, 0.86)</w:t>
            </w:r>
          </w:p>
          <w:p w14:paraId="000001A3" w14:textId="77777777" w:rsidR="00F554A7" w:rsidRPr="00F92A89" w:rsidRDefault="007A75BF">
            <w:pPr>
              <w:spacing w:before="40" w:after="40"/>
              <w:rPr>
                <w:rFonts w:ascii="Arial Narrow" w:hAnsi="Arial Narrow"/>
                <w:sz w:val="20"/>
              </w:rPr>
            </w:pPr>
            <w:r w:rsidRPr="00F92A89">
              <w:rPr>
                <w:rFonts w:ascii="Arial Narrow" w:hAnsi="Arial Narrow"/>
                <w:sz w:val="20"/>
              </w:rPr>
              <w:t>p=0.02</w:t>
            </w:r>
          </w:p>
          <w:p w14:paraId="000001A4" w14:textId="77777777" w:rsidR="00F554A7" w:rsidRPr="00F92A89" w:rsidRDefault="007A75BF">
            <w:pPr>
              <w:spacing w:before="40" w:after="40"/>
              <w:rPr>
                <w:rFonts w:ascii="Arial Narrow" w:hAnsi="Arial Narrow"/>
                <w:sz w:val="20"/>
              </w:rPr>
            </w:pPr>
            <w:r w:rsidRPr="00F92A89">
              <w:rPr>
                <w:rFonts w:ascii="Arial Narrow" w:hAnsi="Arial Narrow"/>
                <w:sz w:val="20"/>
              </w:rPr>
              <w:t>Heterogeneity: I</w:t>
            </w:r>
            <w:r w:rsidRPr="00F92A89">
              <w:rPr>
                <w:rFonts w:ascii="Arial Narrow" w:hAnsi="Arial Narrow"/>
                <w:sz w:val="20"/>
                <w:vertAlign w:val="superscript"/>
              </w:rPr>
              <w:t>2</w:t>
            </w:r>
            <w:r w:rsidRPr="00F92A89">
              <w:rPr>
                <w:rFonts w:ascii="Arial Narrow" w:hAnsi="Arial Narrow"/>
                <w:sz w:val="20"/>
              </w:rPr>
              <w:t>=69%</w:t>
            </w:r>
          </w:p>
        </w:tc>
      </w:tr>
    </w:tbl>
    <w:p w14:paraId="000001A5" w14:textId="77777777" w:rsidR="00F554A7" w:rsidRDefault="007A75BF">
      <w:pPr>
        <w:tabs>
          <w:tab w:val="left" w:pos="284"/>
        </w:tabs>
        <w:spacing w:before="60" w:after="120" w:line="240" w:lineRule="auto"/>
        <w:rPr>
          <w:rFonts w:ascii="Arial Narrow" w:eastAsia="Arial Narrow" w:hAnsi="Arial Narrow" w:cs="Arial Narrow"/>
          <w:sz w:val="18"/>
          <w:szCs w:val="18"/>
        </w:rPr>
      </w:pPr>
      <w:r>
        <w:rPr>
          <w:rFonts w:ascii="Arial Narrow" w:eastAsia="Arial Narrow" w:hAnsi="Arial Narrow" w:cs="Arial Narrow"/>
          <w:sz w:val="18"/>
          <w:szCs w:val="18"/>
        </w:rPr>
        <w:t>CI = confidence interval; OR = odds ratio; RCT = randomised controlled trial; SCD = sickle cell disease</w:t>
      </w:r>
    </w:p>
    <w:p w14:paraId="000001A6" w14:textId="77777777" w:rsidR="00F554A7" w:rsidRDefault="007A75BF">
      <w:pPr>
        <w:pStyle w:val="Tablenotes0"/>
      </w:pPr>
      <w:r w:rsidRPr="00F92A89">
        <w:rPr>
          <w:b/>
        </w:rPr>
        <w:t>Notes:</w:t>
      </w:r>
      <w:r w:rsidRPr="00F92A89">
        <w:t xml:space="preserve"> a. Combined analysis conducted by Meremikwu et al (2016) amongst children who were receiving pneumococcal vaccine</w:t>
      </w:r>
    </w:p>
    <w:p w14:paraId="49AF476F" w14:textId="16F26729" w:rsidR="00AA2BDB" w:rsidRPr="00F92A89" w:rsidRDefault="00AA2BDB" w:rsidP="00F92A89">
      <w:pPr>
        <w:pStyle w:val="Tablenotes0"/>
      </w:pPr>
      <w:r>
        <w:t xml:space="preserve">Source: DCAR Table </w:t>
      </w:r>
      <w:r w:rsidR="007D1526">
        <w:t>9.</w:t>
      </w:r>
    </w:p>
    <w:p w14:paraId="000001A7" w14:textId="77777777" w:rsidR="00F554A7" w:rsidRDefault="007A75BF">
      <w:r>
        <w:t xml:space="preserve">All children in the US trial had also been given the polysaccharide pneumococcal vaccine (participants received the 14-valent pneumovax, which was substituted for the 23-valent vaccine when it became available), whereas only half of children in the Jamaican trial received the 14-valent polysaccharide pneumococcal vaccine </w:t>
      </w:r>
      <w:r w:rsidRPr="00F92A89">
        <w:rPr>
          <w:rStyle w:val="FootnoteReference"/>
        </w:rPr>
        <w:footnoteReference w:id="13"/>
      </w:r>
      <w:r>
        <w:t>. A sub-group analysis performed by the SR authors found that this may have increased the effect of the penicillin prophylaxis. For those who received the vaccine there was a significant reduction in pneumococcal infections amongst those who received penicillin compared with those who did not (OR 0.41; 95% CI 0.17, 0.96; I</w:t>
      </w:r>
      <w:r>
        <w:rPr>
          <w:vertAlign w:val="superscript"/>
        </w:rPr>
        <w:t>2</w:t>
      </w:r>
      <w:r>
        <w:t xml:space="preserve"> = 76%), whereas for those who did not get the vaccine there was no significant difference between penicillin and no penicillin arms (OR 0.15; 95% CI 0.01, 3.28). Clinical advice provided in the SR recommended that both penicillin prophylaxis and pneumococcal vaccination are given to children with SCD. Where there is high incidence of </w:t>
      </w:r>
      <w:r>
        <w:rPr>
          <w:i/>
        </w:rPr>
        <w:t>S. pneumoniae</w:t>
      </w:r>
      <w:r>
        <w:t xml:space="preserve"> antibiotic resistance the effectiveness and penicillin prophylaxis can be reduced, but pneumococcal vaccination can help prevent the infection to begin with. </w:t>
      </w:r>
    </w:p>
    <w:p w14:paraId="000001A8" w14:textId="77777777" w:rsidR="00F554A7" w:rsidRDefault="007A75BF">
      <w:r>
        <w:t>One RCT conducted in the US assessed penicillin prophylaxis compared with placebo in children older than 5 years. All children in the trial had previously been given antibiotic prophylaxis for 2 years or more. There was no difference in mortality between trial arms. There was no significant difference in the incidence of pneumococcal infections between arms (penicillin 2/201 [1%] versus placebo 4/199 [2%]; OR 0.49; 95% CI 0.09, 2.71; p = 0.41). A carry over effect of penicillin prophylaxis in the placebo arm could not be ruled out.</w:t>
      </w:r>
    </w:p>
    <w:p w14:paraId="000001A9" w14:textId="77777777" w:rsidR="00F554A7" w:rsidRDefault="007A75BF">
      <w:r>
        <w:lastRenderedPageBreak/>
        <w:t xml:space="preserve">Hydroxyurea (HU) therapy was compared to placebo in three RCTs, conducted in Belgium (n = 25 children, age not specified), the US (the BABY HUG trial, n = 193 children aged 9 to 18 months), and India (n = 60 children aged 5 to 18 years). There were a number of outcomes compared in the SR: mortality, incidence of crisis (mean hospital stay, hospitalisation events, pain - all reports, pain alone, mean VOC per patient), and disease related complications (number of blood transfusions, stroke, dactylitis, ACS, splenic sequestration). </w:t>
      </w:r>
    </w:p>
    <w:p w14:paraId="000001AA" w14:textId="77777777" w:rsidR="00F554A7" w:rsidRDefault="007A75BF">
      <w:r>
        <w:t xml:space="preserve">The mortality rate was not different between those who received HU or placebo – there were no deaths in the two trials reporting this outcome. </w:t>
      </w:r>
    </w:p>
    <w:p w14:paraId="000001AB" w14:textId="77777777" w:rsidR="00F554A7" w:rsidRDefault="007A75BF">
      <w:r>
        <w:t xml:space="preserve">All measures of hospitalisation favoured HU over placebo, in that children administered HU experienced fewer hospital admissions and spent less time in hospital. </w:t>
      </w:r>
    </w:p>
    <w:p w14:paraId="000001AC" w14:textId="5CCCFBA3" w:rsidR="00F554A7" w:rsidRDefault="007A75BF">
      <w:r>
        <w:t>Incidences of crisis outcomes were reported by the BABY HUG trial. All results but one favoured the children receiving HU, who experienced statistically significantly fewer painful crisis events (alone or in conjunction with other symptoms), dactylitis, ACS, and transfusions than children who received placebo. The exception was incidence of splenic sequestration, which was similar between trial arms. The lower number of transfusions in children given HU was supported by a second RCT, which found similar results to BABY HUG. Results from the BABY HUG trial are summarised in</w:t>
      </w:r>
      <w:r w:rsidR="006E058E">
        <w:t xml:space="preserve"> </w:t>
      </w:r>
      <w:r w:rsidR="006E058E">
        <w:fldChar w:fldCharType="begin"/>
      </w:r>
      <w:r w:rsidR="006E058E">
        <w:instrText xml:space="preserve"> REF _Ref147838296 \h </w:instrText>
      </w:r>
      <w:r w:rsidR="006E058E">
        <w:fldChar w:fldCharType="separate"/>
      </w:r>
      <w:r w:rsidR="006E058E">
        <w:t xml:space="preserve">Table </w:t>
      </w:r>
      <w:r w:rsidR="006E058E">
        <w:rPr>
          <w:noProof/>
        </w:rPr>
        <w:t>10</w:t>
      </w:r>
      <w:r w:rsidR="006E058E">
        <w:fldChar w:fldCharType="end"/>
      </w:r>
      <w:r w:rsidR="005F1F0D">
        <w:t>.</w:t>
      </w:r>
    </w:p>
    <w:p w14:paraId="000001AD" w14:textId="4333ABA3" w:rsidR="00F554A7" w:rsidRDefault="009B5ECA" w:rsidP="006E058E">
      <w:pPr>
        <w:pStyle w:val="Caption"/>
        <w:rPr>
          <w:rFonts w:eastAsia="Arial Narrow" w:cs="Arial Narrow"/>
          <w:b w:val="0"/>
        </w:rPr>
      </w:pPr>
      <w:bookmarkStart w:id="66" w:name="_heading=h.ihv636" w:colFirst="0" w:colLast="0"/>
      <w:bookmarkStart w:id="67" w:name="_Ref147838296"/>
      <w:bookmarkEnd w:id="66"/>
      <w:r>
        <w:t xml:space="preserve">Table </w:t>
      </w:r>
      <w:r w:rsidR="0042566A">
        <w:fldChar w:fldCharType="begin"/>
      </w:r>
      <w:r w:rsidR="0042566A">
        <w:instrText xml:space="preserve"> SEQ Table \* ARABIC </w:instrText>
      </w:r>
      <w:r w:rsidR="0042566A">
        <w:fldChar w:fldCharType="separate"/>
      </w:r>
      <w:r w:rsidR="006E058E">
        <w:rPr>
          <w:noProof/>
        </w:rPr>
        <w:t>10</w:t>
      </w:r>
      <w:r w:rsidR="0042566A">
        <w:rPr>
          <w:noProof/>
        </w:rPr>
        <w:fldChar w:fldCharType="end"/>
      </w:r>
      <w:bookmarkEnd w:id="67"/>
      <w:r>
        <w:t xml:space="preserve"> </w:t>
      </w:r>
      <w:r w:rsidR="007A75BF">
        <w:rPr>
          <w:rFonts w:eastAsia="Arial Narrow" w:cs="Arial Narrow"/>
        </w:rPr>
        <w:t>Summary of treatment outcomes for hydroxyurea compared with placebo for children with SCD in the BABY HUG trial (Meremikwu &amp; Okomo 2016)</w:t>
      </w:r>
    </w:p>
    <w:tbl>
      <w:tblPr>
        <w:tblStyle w:val="HealthConsult3"/>
        <w:tblW w:w="9067" w:type="dxa"/>
        <w:tblLayout w:type="fixed"/>
        <w:tblLook w:val="04A0" w:firstRow="1" w:lastRow="0" w:firstColumn="1" w:lastColumn="0" w:noHBand="0" w:noVBand="1"/>
      </w:tblPr>
      <w:tblGrid>
        <w:gridCol w:w="1702"/>
        <w:gridCol w:w="1614"/>
        <w:gridCol w:w="1843"/>
        <w:gridCol w:w="2349"/>
        <w:gridCol w:w="1559"/>
      </w:tblGrid>
      <w:tr w:rsidR="00F554A7" w14:paraId="67FC8129" w14:textId="77777777" w:rsidTr="00F92A89">
        <w:tc>
          <w:tcPr>
            <w:tcW w:w="1702" w:type="dxa"/>
          </w:tcPr>
          <w:p w14:paraId="000001AE" w14:textId="77777777" w:rsidR="00F554A7" w:rsidRPr="00F92A89" w:rsidRDefault="007A75BF">
            <w:pPr>
              <w:spacing w:after="60"/>
              <w:rPr>
                <w:rFonts w:ascii="Arial Narrow" w:hAnsi="Arial Narrow"/>
                <w:b/>
                <w:sz w:val="20"/>
              </w:rPr>
            </w:pPr>
            <w:r w:rsidRPr="00F92A89">
              <w:rPr>
                <w:rFonts w:ascii="Arial Narrow" w:hAnsi="Arial Narrow"/>
                <w:b/>
                <w:sz w:val="20"/>
              </w:rPr>
              <w:t>Outcome</w:t>
            </w:r>
          </w:p>
        </w:tc>
        <w:tc>
          <w:tcPr>
            <w:tcW w:w="1614" w:type="dxa"/>
          </w:tcPr>
          <w:p w14:paraId="000001AF" w14:textId="77777777" w:rsidR="00F554A7" w:rsidRPr="00F92A89" w:rsidRDefault="007A75BF">
            <w:pPr>
              <w:spacing w:after="60"/>
              <w:rPr>
                <w:rFonts w:ascii="Arial Narrow" w:hAnsi="Arial Narrow"/>
                <w:b/>
                <w:sz w:val="20"/>
              </w:rPr>
            </w:pPr>
            <w:r w:rsidRPr="00F92A89">
              <w:rPr>
                <w:rFonts w:ascii="Arial Narrow" w:hAnsi="Arial Narrow"/>
                <w:b/>
                <w:sz w:val="20"/>
              </w:rPr>
              <w:t>HU</w:t>
            </w:r>
          </w:p>
        </w:tc>
        <w:tc>
          <w:tcPr>
            <w:tcW w:w="1843" w:type="dxa"/>
          </w:tcPr>
          <w:p w14:paraId="000001B0" w14:textId="77777777" w:rsidR="00F554A7" w:rsidRPr="00F92A89" w:rsidRDefault="007A75BF">
            <w:pPr>
              <w:spacing w:after="60"/>
              <w:rPr>
                <w:rFonts w:ascii="Arial Narrow" w:hAnsi="Arial Narrow"/>
                <w:b/>
                <w:sz w:val="20"/>
              </w:rPr>
            </w:pPr>
            <w:r w:rsidRPr="00F92A89">
              <w:rPr>
                <w:rFonts w:ascii="Arial Narrow" w:hAnsi="Arial Narrow"/>
                <w:b/>
                <w:sz w:val="20"/>
              </w:rPr>
              <w:t xml:space="preserve">Placebo </w:t>
            </w:r>
          </w:p>
        </w:tc>
        <w:tc>
          <w:tcPr>
            <w:tcW w:w="2349" w:type="dxa"/>
          </w:tcPr>
          <w:p w14:paraId="000001B1" w14:textId="77777777" w:rsidR="00F554A7" w:rsidRPr="00F92A89" w:rsidRDefault="007A75BF">
            <w:pPr>
              <w:spacing w:after="60"/>
              <w:rPr>
                <w:rFonts w:ascii="Arial Narrow" w:hAnsi="Arial Narrow"/>
                <w:b/>
                <w:sz w:val="20"/>
              </w:rPr>
            </w:pPr>
            <w:r w:rsidRPr="00F92A89">
              <w:rPr>
                <w:rFonts w:ascii="Arial Narrow" w:hAnsi="Arial Narrow"/>
                <w:b/>
                <w:sz w:val="20"/>
              </w:rPr>
              <w:t>Difference</w:t>
            </w:r>
          </w:p>
        </w:tc>
        <w:tc>
          <w:tcPr>
            <w:tcW w:w="1559" w:type="dxa"/>
          </w:tcPr>
          <w:p w14:paraId="000001B2" w14:textId="77777777" w:rsidR="00F554A7" w:rsidRPr="00F92A89" w:rsidRDefault="007A75BF">
            <w:pPr>
              <w:spacing w:after="60"/>
              <w:rPr>
                <w:rFonts w:ascii="Arial Narrow" w:hAnsi="Arial Narrow"/>
                <w:b/>
                <w:sz w:val="20"/>
              </w:rPr>
            </w:pPr>
            <w:r w:rsidRPr="00F92A89">
              <w:rPr>
                <w:rFonts w:ascii="Arial Narrow" w:hAnsi="Arial Narrow"/>
                <w:b/>
                <w:sz w:val="20"/>
              </w:rPr>
              <w:t>Favoured arm</w:t>
            </w:r>
          </w:p>
        </w:tc>
      </w:tr>
      <w:tr w:rsidR="00F554A7" w14:paraId="5CF3E77F" w14:textId="77777777" w:rsidTr="00F92A89">
        <w:tc>
          <w:tcPr>
            <w:tcW w:w="1702" w:type="dxa"/>
          </w:tcPr>
          <w:p w14:paraId="000001B3" w14:textId="77777777" w:rsidR="00F554A7" w:rsidRPr="00F92A89" w:rsidRDefault="007A75BF">
            <w:pPr>
              <w:spacing w:before="40" w:after="40"/>
              <w:rPr>
                <w:rFonts w:ascii="Arial Narrow" w:hAnsi="Arial Narrow"/>
                <w:sz w:val="20"/>
              </w:rPr>
            </w:pPr>
            <w:r w:rsidRPr="00F92A89">
              <w:rPr>
                <w:rFonts w:ascii="Arial Narrow" w:hAnsi="Arial Narrow"/>
                <w:sz w:val="20"/>
              </w:rPr>
              <w:t>Hospitalisation</w:t>
            </w:r>
          </w:p>
        </w:tc>
        <w:tc>
          <w:tcPr>
            <w:tcW w:w="1614" w:type="dxa"/>
          </w:tcPr>
          <w:p w14:paraId="000001B4" w14:textId="77777777" w:rsidR="00F554A7" w:rsidRPr="00F92A89" w:rsidRDefault="007A75BF">
            <w:pPr>
              <w:spacing w:before="40" w:after="40"/>
              <w:rPr>
                <w:rFonts w:ascii="Arial Narrow" w:hAnsi="Arial Narrow"/>
                <w:sz w:val="20"/>
              </w:rPr>
            </w:pPr>
            <w:r w:rsidRPr="00F92A89">
              <w:rPr>
                <w:rFonts w:ascii="Arial Narrow" w:hAnsi="Arial Narrow"/>
                <w:sz w:val="20"/>
              </w:rPr>
              <w:t>232 events/69 children</w:t>
            </w:r>
          </w:p>
        </w:tc>
        <w:tc>
          <w:tcPr>
            <w:tcW w:w="1843" w:type="dxa"/>
          </w:tcPr>
          <w:p w14:paraId="000001B5" w14:textId="77777777" w:rsidR="00F554A7" w:rsidRPr="00F92A89" w:rsidRDefault="007A75BF">
            <w:pPr>
              <w:spacing w:before="40" w:after="40"/>
              <w:rPr>
                <w:rFonts w:ascii="Arial Narrow" w:hAnsi="Arial Narrow"/>
                <w:sz w:val="20"/>
              </w:rPr>
            </w:pPr>
            <w:r w:rsidRPr="00F92A89">
              <w:rPr>
                <w:rFonts w:ascii="Arial Narrow" w:hAnsi="Arial Narrow"/>
                <w:sz w:val="20"/>
              </w:rPr>
              <w:t>324 events/84 children</w:t>
            </w:r>
          </w:p>
        </w:tc>
        <w:tc>
          <w:tcPr>
            <w:tcW w:w="2349" w:type="dxa"/>
          </w:tcPr>
          <w:p w14:paraId="000001B6" w14:textId="77777777" w:rsidR="00F554A7" w:rsidRPr="00F92A89" w:rsidRDefault="007A75BF">
            <w:pPr>
              <w:spacing w:before="40" w:after="40"/>
              <w:rPr>
                <w:rFonts w:ascii="Arial Narrow" w:hAnsi="Arial Narrow"/>
                <w:sz w:val="20"/>
              </w:rPr>
            </w:pPr>
            <w:r w:rsidRPr="00F92A89">
              <w:rPr>
                <w:rFonts w:ascii="Arial Narrow" w:hAnsi="Arial Narrow"/>
                <w:sz w:val="20"/>
              </w:rPr>
              <w:t>HR 0.73 (95% CI 0.53, 1.00)</w:t>
            </w:r>
          </w:p>
          <w:p w14:paraId="000001B7" w14:textId="77777777" w:rsidR="00F554A7" w:rsidRPr="00F92A89" w:rsidRDefault="007A75BF">
            <w:pPr>
              <w:spacing w:before="40" w:after="40"/>
              <w:rPr>
                <w:rFonts w:ascii="Arial Narrow" w:hAnsi="Arial Narrow"/>
                <w:sz w:val="20"/>
              </w:rPr>
            </w:pPr>
            <w:r w:rsidRPr="00F92A89">
              <w:rPr>
                <w:rFonts w:ascii="Arial Narrow" w:hAnsi="Arial Narrow"/>
                <w:sz w:val="20"/>
              </w:rPr>
              <w:t>p=0.05</w:t>
            </w:r>
          </w:p>
        </w:tc>
        <w:tc>
          <w:tcPr>
            <w:tcW w:w="1559" w:type="dxa"/>
          </w:tcPr>
          <w:p w14:paraId="000001B8" w14:textId="77777777" w:rsidR="00F554A7" w:rsidRPr="00F92A89" w:rsidRDefault="007A75BF">
            <w:pPr>
              <w:spacing w:before="40" w:after="40"/>
              <w:rPr>
                <w:rFonts w:ascii="Arial Narrow" w:hAnsi="Arial Narrow"/>
                <w:sz w:val="20"/>
              </w:rPr>
            </w:pPr>
            <w:r w:rsidRPr="00F92A89">
              <w:rPr>
                <w:rFonts w:ascii="Arial Narrow" w:hAnsi="Arial Narrow"/>
                <w:sz w:val="20"/>
              </w:rPr>
              <w:t>HU</w:t>
            </w:r>
          </w:p>
        </w:tc>
      </w:tr>
      <w:tr w:rsidR="00F554A7" w14:paraId="1404D8AB" w14:textId="77777777" w:rsidTr="00F92A89">
        <w:tc>
          <w:tcPr>
            <w:tcW w:w="1702" w:type="dxa"/>
          </w:tcPr>
          <w:p w14:paraId="000001B9" w14:textId="77777777" w:rsidR="00F554A7" w:rsidRPr="00F92A89" w:rsidRDefault="007A75BF">
            <w:pPr>
              <w:spacing w:before="40" w:after="40"/>
              <w:rPr>
                <w:rFonts w:ascii="Arial Narrow" w:hAnsi="Arial Narrow"/>
                <w:sz w:val="20"/>
              </w:rPr>
            </w:pPr>
            <w:r w:rsidRPr="00F92A89">
              <w:rPr>
                <w:rFonts w:ascii="Arial Narrow" w:hAnsi="Arial Narrow"/>
                <w:sz w:val="20"/>
              </w:rPr>
              <w:t>Pain (all reports)</w:t>
            </w:r>
          </w:p>
        </w:tc>
        <w:tc>
          <w:tcPr>
            <w:tcW w:w="1614" w:type="dxa"/>
          </w:tcPr>
          <w:p w14:paraId="000001BA" w14:textId="77777777" w:rsidR="00F554A7" w:rsidRPr="00F92A89" w:rsidRDefault="007A75BF">
            <w:pPr>
              <w:spacing w:before="40" w:after="40"/>
              <w:rPr>
                <w:rFonts w:ascii="Arial Narrow" w:hAnsi="Arial Narrow"/>
                <w:sz w:val="20"/>
              </w:rPr>
            </w:pPr>
            <w:r w:rsidRPr="00F92A89">
              <w:rPr>
                <w:rFonts w:ascii="Arial Narrow" w:hAnsi="Arial Narrow"/>
                <w:sz w:val="20"/>
              </w:rPr>
              <w:t>177 events/62 children</w:t>
            </w:r>
          </w:p>
        </w:tc>
        <w:tc>
          <w:tcPr>
            <w:tcW w:w="1843" w:type="dxa"/>
          </w:tcPr>
          <w:p w14:paraId="000001BB" w14:textId="77777777" w:rsidR="00F554A7" w:rsidRPr="00F92A89" w:rsidRDefault="007A75BF">
            <w:pPr>
              <w:spacing w:before="40" w:after="40"/>
              <w:rPr>
                <w:rFonts w:ascii="Arial Narrow" w:hAnsi="Arial Narrow"/>
                <w:sz w:val="20"/>
              </w:rPr>
            </w:pPr>
            <w:r w:rsidRPr="00F92A89">
              <w:rPr>
                <w:rFonts w:ascii="Arial Narrow" w:hAnsi="Arial Narrow"/>
                <w:sz w:val="20"/>
              </w:rPr>
              <w:t>375 events/75 children</w:t>
            </w:r>
          </w:p>
        </w:tc>
        <w:tc>
          <w:tcPr>
            <w:tcW w:w="2349" w:type="dxa"/>
          </w:tcPr>
          <w:p w14:paraId="000001BC" w14:textId="77777777" w:rsidR="00F554A7" w:rsidRPr="00F92A89" w:rsidRDefault="007A75BF">
            <w:pPr>
              <w:spacing w:before="40" w:after="40"/>
              <w:rPr>
                <w:rFonts w:ascii="Arial Narrow" w:hAnsi="Arial Narrow"/>
                <w:sz w:val="20"/>
              </w:rPr>
            </w:pPr>
            <w:r w:rsidRPr="00F92A89">
              <w:rPr>
                <w:rFonts w:ascii="Arial Narrow" w:hAnsi="Arial Narrow"/>
                <w:sz w:val="20"/>
              </w:rPr>
              <w:t>HR 0.59 (95%CI 0.42, 0.83)</w:t>
            </w:r>
          </w:p>
          <w:p w14:paraId="000001BD" w14:textId="77777777" w:rsidR="00F554A7" w:rsidRPr="00F92A89" w:rsidRDefault="007A75BF">
            <w:pPr>
              <w:spacing w:before="40" w:after="40"/>
              <w:rPr>
                <w:rFonts w:ascii="Arial Narrow" w:hAnsi="Arial Narrow"/>
                <w:sz w:val="20"/>
              </w:rPr>
            </w:pPr>
            <w:r w:rsidRPr="00F92A89">
              <w:rPr>
                <w:rFonts w:ascii="Arial Narrow" w:hAnsi="Arial Narrow"/>
                <w:sz w:val="20"/>
              </w:rPr>
              <w:t>p=0.002</w:t>
            </w:r>
          </w:p>
        </w:tc>
        <w:tc>
          <w:tcPr>
            <w:tcW w:w="1559" w:type="dxa"/>
          </w:tcPr>
          <w:p w14:paraId="000001BE" w14:textId="77777777" w:rsidR="00F554A7" w:rsidRPr="00F92A89" w:rsidRDefault="007A75BF">
            <w:pPr>
              <w:spacing w:before="40" w:after="40"/>
              <w:rPr>
                <w:rFonts w:ascii="Arial Narrow" w:hAnsi="Arial Narrow"/>
                <w:sz w:val="20"/>
              </w:rPr>
            </w:pPr>
            <w:r w:rsidRPr="00F92A89">
              <w:rPr>
                <w:rFonts w:ascii="Arial Narrow" w:hAnsi="Arial Narrow"/>
                <w:sz w:val="20"/>
              </w:rPr>
              <w:t>HU</w:t>
            </w:r>
          </w:p>
        </w:tc>
      </w:tr>
      <w:tr w:rsidR="00F554A7" w14:paraId="18F8D052" w14:textId="77777777" w:rsidTr="00F92A89">
        <w:tc>
          <w:tcPr>
            <w:tcW w:w="1702" w:type="dxa"/>
          </w:tcPr>
          <w:p w14:paraId="000001BF" w14:textId="77777777" w:rsidR="00F554A7" w:rsidRPr="00F92A89" w:rsidRDefault="007A75BF">
            <w:pPr>
              <w:spacing w:before="40" w:after="40"/>
              <w:rPr>
                <w:rFonts w:ascii="Arial Narrow" w:hAnsi="Arial Narrow"/>
                <w:sz w:val="20"/>
              </w:rPr>
            </w:pPr>
            <w:r w:rsidRPr="00F92A89">
              <w:rPr>
                <w:rFonts w:ascii="Arial Narrow" w:hAnsi="Arial Narrow"/>
                <w:sz w:val="20"/>
              </w:rPr>
              <w:t>Pain alone</w:t>
            </w:r>
          </w:p>
        </w:tc>
        <w:tc>
          <w:tcPr>
            <w:tcW w:w="1614" w:type="dxa"/>
          </w:tcPr>
          <w:p w14:paraId="000001C0" w14:textId="77777777" w:rsidR="00F554A7" w:rsidRPr="00F92A89" w:rsidRDefault="007A75BF">
            <w:pPr>
              <w:spacing w:before="40" w:after="40"/>
              <w:rPr>
                <w:rFonts w:ascii="Arial Narrow" w:hAnsi="Arial Narrow"/>
                <w:sz w:val="20"/>
              </w:rPr>
            </w:pPr>
            <w:r w:rsidRPr="00F92A89">
              <w:rPr>
                <w:rFonts w:ascii="Arial Narrow" w:hAnsi="Arial Narrow"/>
                <w:sz w:val="20"/>
              </w:rPr>
              <w:t>63 events/37 children</w:t>
            </w:r>
          </w:p>
        </w:tc>
        <w:tc>
          <w:tcPr>
            <w:tcW w:w="1843" w:type="dxa"/>
          </w:tcPr>
          <w:p w14:paraId="000001C1" w14:textId="77777777" w:rsidR="00F554A7" w:rsidRPr="00F92A89" w:rsidRDefault="007A75BF">
            <w:pPr>
              <w:spacing w:before="40" w:after="40"/>
              <w:rPr>
                <w:rFonts w:ascii="Arial Narrow" w:hAnsi="Arial Narrow"/>
                <w:sz w:val="20"/>
              </w:rPr>
            </w:pPr>
            <w:r w:rsidRPr="00F92A89">
              <w:rPr>
                <w:rFonts w:ascii="Arial Narrow" w:hAnsi="Arial Narrow"/>
                <w:sz w:val="20"/>
              </w:rPr>
              <w:t>121 events/55 children</w:t>
            </w:r>
          </w:p>
        </w:tc>
        <w:tc>
          <w:tcPr>
            <w:tcW w:w="2349" w:type="dxa"/>
          </w:tcPr>
          <w:p w14:paraId="000001C2" w14:textId="77777777" w:rsidR="00F554A7" w:rsidRPr="00F92A89" w:rsidRDefault="007A75BF">
            <w:pPr>
              <w:spacing w:before="40" w:after="40"/>
              <w:rPr>
                <w:rFonts w:ascii="Arial Narrow" w:hAnsi="Arial Narrow"/>
                <w:sz w:val="20"/>
              </w:rPr>
            </w:pPr>
            <w:r w:rsidRPr="00F92A89">
              <w:rPr>
                <w:rFonts w:ascii="Arial Narrow" w:hAnsi="Arial Narrow"/>
                <w:sz w:val="20"/>
              </w:rPr>
              <w:t>HR 0.54 (95%CI 0.36, 0.83)</w:t>
            </w:r>
          </w:p>
          <w:p w14:paraId="000001C3" w14:textId="77777777" w:rsidR="00F554A7" w:rsidRPr="00F92A89" w:rsidRDefault="007A75BF">
            <w:pPr>
              <w:spacing w:before="40" w:after="40"/>
              <w:rPr>
                <w:rFonts w:ascii="Arial Narrow" w:hAnsi="Arial Narrow"/>
                <w:sz w:val="20"/>
              </w:rPr>
            </w:pPr>
            <w:r w:rsidRPr="00F92A89">
              <w:rPr>
                <w:rFonts w:ascii="Arial Narrow" w:hAnsi="Arial Narrow"/>
                <w:sz w:val="20"/>
              </w:rPr>
              <w:t>p=0.004</w:t>
            </w:r>
          </w:p>
        </w:tc>
        <w:tc>
          <w:tcPr>
            <w:tcW w:w="1559" w:type="dxa"/>
          </w:tcPr>
          <w:p w14:paraId="000001C4" w14:textId="77777777" w:rsidR="00F554A7" w:rsidRPr="00F92A89" w:rsidRDefault="007A75BF">
            <w:pPr>
              <w:spacing w:before="40" w:after="40"/>
              <w:rPr>
                <w:rFonts w:ascii="Arial Narrow" w:hAnsi="Arial Narrow"/>
                <w:sz w:val="20"/>
              </w:rPr>
            </w:pPr>
            <w:r w:rsidRPr="00F92A89">
              <w:rPr>
                <w:rFonts w:ascii="Arial Narrow" w:hAnsi="Arial Narrow"/>
                <w:sz w:val="20"/>
              </w:rPr>
              <w:t>HU</w:t>
            </w:r>
          </w:p>
        </w:tc>
      </w:tr>
      <w:tr w:rsidR="00F554A7" w14:paraId="1C5C961C" w14:textId="77777777" w:rsidTr="00F92A89">
        <w:tc>
          <w:tcPr>
            <w:tcW w:w="1702" w:type="dxa"/>
          </w:tcPr>
          <w:p w14:paraId="000001C5" w14:textId="77777777" w:rsidR="00F554A7" w:rsidRPr="00F92A89" w:rsidRDefault="007A75BF">
            <w:pPr>
              <w:spacing w:before="40" w:after="40"/>
              <w:rPr>
                <w:rFonts w:ascii="Arial Narrow" w:hAnsi="Arial Narrow"/>
                <w:sz w:val="20"/>
              </w:rPr>
            </w:pPr>
            <w:r w:rsidRPr="00F92A89">
              <w:rPr>
                <w:rFonts w:ascii="Arial Narrow" w:hAnsi="Arial Narrow"/>
                <w:sz w:val="20"/>
              </w:rPr>
              <w:t>Blood transfusions</w:t>
            </w:r>
          </w:p>
        </w:tc>
        <w:tc>
          <w:tcPr>
            <w:tcW w:w="1614" w:type="dxa"/>
          </w:tcPr>
          <w:p w14:paraId="000001C6" w14:textId="77777777" w:rsidR="00F554A7" w:rsidRPr="00F92A89" w:rsidRDefault="007A75BF">
            <w:pPr>
              <w:spacing w:before="40" w:after="40"/>
              <w:rPr>
                <w:rFonts w:ascii="Arial Narrow" w:hAnsi="Arial Narrow"/>
                <w:sz w:val="20"/>
              </w:rPr>
            </w:pPr>
            <w:r w:rsidRPr="00F92A89">
              <w:rPr>
                <w:rFonts w:ascii="Arial Narrow" w:hAnsi="Arial Narrow"/>
                <w:sz w:val="20"/>
              </w:rPr>
              <w:t>35 events/20 children</w:t>
            </w:r>
          </w:p>
        </w:tc>
        <w:tc>
          <w:tcPr>
            <w:tcW w:w="1843" w:type="dxa"/>
          </w:tcPr>
          <w:p w14:paraId="000001C7" w14:textId="77777777" w:rsidR="00F554A7" w:rsidRPr="00F92A89" w:rsidRDefault="007A75BF">
            <w:pPr>
              <w:spacing w:before="40" w:after="40"/>
              <w:rPr>
                <w:rFonts w:ascii="Arial Narrow" w:hAnsi="Arial Narrow"/>
                <w:sz w:val="20"/>
              </w:rPr>
            </w:pPr>
            <w:r w:rsidRPr="00F92A89">
              <w:rPr>
                <w:rFonts w:ascii="Arial Narrow" w:hAnsi="Arial Narrow"/>
                <w:sz w:val="20"/>
              </w:rPr>
              <w:t>63 events /33 children</w:t>
            </w:r>
          </w:p>
        </w:tc>
        <w:tc>
          <w:tcPr>
            <w:tcW w:w="2349" w:type="dxa"/>
          </w:tcPr>
          <w:p w14:paraId="000001C8" w14:textId="77777777" w:rsidR="00F554A7" w:rsidRPr="00F92A89" w:rsidRDefault="007A75BF">
            <w:pPr>
              <w:spacing w:before="40" w:after="40"/>
              <w:rPr>
                <w:rFonts w:ascii="Arial Narrow" w:hAnsi="Arial Narrow"/>
                <w:sz w:val="20"/>
              </w:rPr>
            </w:pPr>
            <w:r w:rsidRPr="00F92A89">
              <w:rPr>
                <w:rFonts w:ascii="Arial Narrow" w:hAnsi="Arial Narrow"/>
                <w:sz w:val="20"/>
              </w:rPr>
              <w:t>HR 0.55 (95%CI 0.32, 0.96)</w:t>
            </w:r>
          </w:p>
          <w:p w14:paraId="000001C9" w14:textId="77777777" w:rsidR="00F554A7" w:rsidRPr="00F92A89" w:rsidRDefault="007A75BF">
            <w:pPr>
              <w:spacing w:before="40" w:after="40"/>
              <w:rPr>
                <w:rFonts w:ascii="Arial Narrow" w:hAnsi="Arial Narrow"/>
                <w:sz w:val="20"/>
              </w:rPr>
            </w:pPr>
            <w:r w:rsidRPr="00F92A89">
              <w:rPr>
                <w:rFonts w:ascii="Arial Narrow" w:hAnsi="Arial Narrow"/>
                <w:sz w:val="20"/>
              </w:rPr>
              <w:t>p=0.03</w:t>
            </w:r>
          </w:p>
        </w:tc>
        <w:tc>
          <w:tcPr>
            <w:tcW w:w="1559" w:type="dxa"/>
          </w:tcPr>
          <w:p w14:paraId="000001CA" w14:textId="77777777" w:rsidR="00F554A7" w:rsidRPr="00F92A89" w:rsidRDefault="007A75BF">
            <w:pPr>
              <w:spacing w:before="40" w:after="40"/>
              <w:rPr>
                <w:rFonts w:ascii="Arial Narrow" w:hAnsi="Arial Narrow"/>
                <w:sz w:val="20"/>
              </w:rPr>
            </w:pPr>
            <w:r w:rsidRPr="00F92A89">
              <w:rPr>
                <w:rFonts w:ascii="Arial Narrow" w:hAnsi="Arial Narrow"/>
                <w:sz w:val="20"/>
              </w:rPr>
              <w:t>HU</w:t>
            </w:r>
          </w:p>
        </w:tc>
      </w:tr>
      <w:tr w:rsidR="00F554A7" w14:paraId="26F76C1E" w14:textId="77777777" w:rsidTr="00F92A89">
        <w:tc>
          <w:tcPr>
            <w:tcW w:w="1702" w:type="dxa"/>
          </w:tcPr>
          <w:p w14:paraId="000001CB" w14:textId="77777777" w:rsidR="00F554A7" w:rsidRPr="00F92A89" w:rsidRDefault="007A75BF">
            <w:pPr>
              <w:spacing w:before="40" w:after="40"/>
              <w:rPr>
                <w:rFonts w:ascii="Arial Narrow" w:hAnsi="Arial Narrow"/>
                <w:sz w:val="20"/>
              </w:rPr>
            </w:pPr>
            <w:r w:rsidRPr="00F92A89">
              <w:rPr>
                <w:rFonts w:ascii="Arial Narrow" w:hAnsi="Arial Narrow"/>
                <w:sz w:val="20"/>
              </w:rPr>
              <w:t>Dactylitis</w:t>
            </w:r>
          </w:p>
        </w:tc>
        <w:tc>
          <w:tcPr>
            <w:tcW w:w="1614" w:type="dxa"/>
          </w:tcPr>
          <w:p w14:paraId="000001CC" w14:textId="77777777" w:rsidR="00F554A7" w:rsidRPr="00F92A89" w:rsidRDefault="007A75BF">
            <w:pPr>
              <w:spacing w:before="40" w:after="40"/>
              <w:rPr>
                <w:rFonts w:ascii="Arial Narrow" w:hAnsi="Arial Narrow"/>
                <w:sz w:val="20"/>
              </w:rPr>
            </w:pPr>
            <w:r w:rsidRPr="00F92A89">
              <w:rPr>
                <w:rFonts w:ascii="Arial Narrow" w:hAnsi="Arial Narrow"/>
                <w:sz w:val="20"/>
              </w:rPr>
              <w:t>24 events/14 children</w:t>
            </w:r>
          </w:p>
        </w:tc>
        <w:tc>
          <w:tcPr>
            <w:tcW w:w="1843" w:type="dxa"/>
          </w:tcPr>
          <w:p w14:paraId="000001CD" w14:textId="77777777" w:rsidR="00F554A7" w:rsidRPr="00F92A89" w:rsidRDefault="007A75BF">
            <w:pPr>
              <w:spacing w:before="40" w:after="40"/>
              <w:rPr>
                <w:rFonts w:ascii="Arial Narrow" w:hAnsi="Arial Narrow"/>
                <w:sz w:val="20"/>
              </w:rPr>
            </w:pPr>
            <w:r w:rsidRPr="00F92A89">
              <w:rPr>
                <w:rFonts w:ascii="Arial Narrow" w:hAnsi="Arial Narrow"/>
                <w:sz w:val="20"/>
              </w:rPr>
              <w:t>123 events/42 children</w:t>
            </w:r>
          </w:p>
        </w:tc>
        <w:tc>
          <w:tcPr>
            <w:tcW w:w="2349" w:type="dxa"/>
          </w:tcPr>
          <w:p w14:paraId="000001CE" w14:textId="77777777" w:rsidR="00F554A7" w:rsidRPr="00F92A89" w:rsidRDefault="007A75BF">
            <w:pPr>
              <w:spacing w:before="40" w:after="40"/>
              <w:rPr>
                <w:rFonts w:ascii="Arial Narrow" w:hAnsi="Arial Narrow"/>
                <w:sz w:val="20"/>
              </w:rPr>
            </w:pPr>
            <w:r w:rsidRPr="00F92A89">
              <w:rPr>
                <w:rFonts w:ascii="Arial Narrow" w:hAnsi="Arial Narrow"/>
                <w:sz w:val="20"/>
              </w:rPr>
              <w:t>HR 0.27 (95%CI 0.15, 0.50)</w:t>
            </w:r>
          </w:p>
          <w:p w14:paraId="000001CF" w14:textId="77777777" w:rsidR="00F554A7" w:rsidRPr="00F92A89" w:rsidRDefault="007A75BF">
            <w:pPr>
              <w:spacing w:before="40" w:after="40"/>
              <w:rPr>
                <w:rFonts w:ascii="Arial Narrow" w:hAnsi="Arial Narrow"/>
                <w:sz w:val="20"/>
              </w:rPr>
            </w:pPr>
            <w:r w:rsidRPr="00F92A89">
              <w:rPr>
                <w:rFonts w:ascii="Arial Narrow" w:hAnsi="Arial Narrow"/>
                <w:sz w:val="20"/>
              </w:rPr>
              <w:t>p&lt;0.0001</w:t>
            </w:r>
          </w:p>
        </w:tc>
        <w:tc>
          <w:tcPr>
            <w:tcW w:w="1559" w:type="dxa"/>
          </w:tcPr>
          <w:p w14:paraId="000001D0" w14:textId="77777777" w:rsidR="00F554A7" w:rsidRPr="00F92A89" w:rsidRDefault="007A75BF">
            <w:pPr>
              <w:spacing w:before="40" w:after="40"/>
              <w:rPr>
                <w:rFonts w:ascii="Arial Narrow" w:hAnsi="Arial Narrow"/>
                <w:sz w:val="20"/>
              </w:rPr>
            </w:pPr>
            <w:r w:rsidRPr="00F92A89">
              <w:rPr>
                <w:rFonts w:ascii="Arial Narrow" w:hAnsi="Arial Narrow"/>
                <w:sz w:val="20"/>
              </w:rPr>
              <w:t>HU</w:t>
            </w:r>
          </w:p>
        </w:tc>
      </w:tr>
      <w:tr w:rsidR="00F554A7" w14:paraId="7CFB7A5C" w14:textId="77777777" w:rsidTr="00F92A89">
        <w:tc>
          <w:tcPr>
            <w:tcW w:w="1702" w:type="dxa"/>
          </w:tcPr>
          <w:p w14:paraId="000001D1" w14:textId="77777777" w:rsidR="00F554A7" w:rsidRPr="00F92A89" w:rsidRDefault="007A75BF">
            <w:pPr>
              <w:spacing w:before="40" w:after="40"/>
              <w:rPr>
                <w:rFonts w:ascii="Arial Narrow" w:hAnsi="Arial Narrow"/>
                <w:sz w:val="20"/>
              </w:rPr>
            </w:pPr>
            <w:r w:rsidRPr="00F92A89">
              <w:rPr>
                <w:rFonts w:ascii="Arial Narrow" w:hAnsi="Arial Narrow"/>
                <w:sz w:val="20"/>
              </w:rPr>
              <w:t>ACS</w:t>
            </w:r>
          </w:p>
        </w:tc>
        <w:tc>
          <w:tcPr>
            <w:tcW w:w="1614" w:type="dxa"/>
          </w:tcPr>
          <w:p w14:paraId="000001D2" w14:textId="77777777" w:rsidR="00F554A7" w:rsidRPr="00F92A89" w:rsidRDefault="007A75BF">
            <w:pPr>
              <w:spacing w:before="40" w:after="40"/>
              <w:rPr>
                <w:rFonts w:ascii="Arial Narrow" w:hAnsi="Arial Narrow"/>
                <w:sz w:val="20"/>
              </w:rPr>
            </w:pPr>
            <w:r w:rsidRPr="00F92A89">
              <w:rPr>
                <w:rFonts w:ascii="Arial Narrow" w:hAnsi="Arial Narrow"/>
                <w:sz w:val="20"/>
              </w:rPr>
              <w:t>8 events/7 children</w:t>
            </w:r>
          </w:p>
        </w:tc>
        <w:tc>
          <w:tcPr>
            <w:tcW w:w="1843" w:type="dxa"/>
          </w:tcPr>
          <w:p w14:paraId="000001D3" w14:textId="77777777" w:rsidR="00F554A7" w:rsidRPr="00F92A89" w:rsidRDefault="007A75BF">
            <w:pPr>
              <w:spacing w:before="40" w:after="40"/>
              <w:rPr>
                <w:rFonts w:ascii="Arial Narrow" w:hAnsi="Arial Narrow"/>
                <w:sz w:val="20"/>
              </w:rPr>
            </w:pPr>
            <w:r w:rsidRPr="00F92A89">
              <w:rPr>
                <w:rFonts w:ascii="Arial Narrow" w:hAnsi="Arial Narrow"/>
                <w:sz w:val="20"/>
              </w:rPr>
              <w:t>27 events/18 children</w:t>
            </w:r>
          </w:p>
        </w:tc>
        <w:tc>
          <w:tcPr>
            <w:tcW w:w="2349" w:type="dxa"/>
          </w:tcPr>
          <w:p w14:paraId="000001D4" w14:textId="77777777" w:rsidR="00F554A7" w:rsidRPr="00F92A89" w:rsidRDefault="007A75BF">
            <w:pPr>
              <w:spacing w:before="40" w:after="40"/>
              <w:rPr>
                <w:rFonts w:ascii="Arial Narrow" w:hAnsi="Arial Narrow"/>
                <w:sz w:val="20"/>
              </w:rPr>
            </w:pPr>
            <w:r w:rsidRPr="00F92A89">
              <w:rPr>
                <w:rFonts w:ascii="Arial Narrow" w:hAnsi="Arial Narrow"/>
                <w:sz w:val="20"/>
              </w:rPr>
              <w:t>HR 0.36 (95%CI 0.15, 0.87)</w:t>
            </w:r>
          </w:p>
          <w:p w14:paraId="000001D5" w14:textId="77777777" w:rsidR="00F554A7" w:rsidRPr="00F92A89" w:rsidRDefault="007A75BF">
            <w:pPr>
              <w:spacing w:before="40" w:after="40"/>
              <w:rPr>
                <w:rFonts w:ascii="Arial Narrow" w:hAnsi="Arial Narrow"/>
                <w:sz w:val="20"/>
              </w:rPr>
            </w:pPr>
            <w:r w:rsidRPr="00F92A89">
              <w:rPr>
                <w:rFonts w:ascii="Arial Narrow" w:hAnsi="Arial Narrow"/>
                <w:sz w:val="20"/>
              </w:rPr>
              <w:t>p=0.02</w:t>
            </w:r>
          </w:p>
        </w:tc>
        <w:tc>
          <w:tcPr>
            <w:tcW w:w="1559" w:type="dxa"/>
          </w:tcPr>
          <w:p w14:paraId="000001D6" w14:textId="77777777" w:rsidR="00F554A7" w:rsidRPr="00F92A89" w:rsidRDefault="007A75BF">
            <w:pPr>
              <w:spacing w:before="40" w:after="40"/>
              <w:rPr>
                <w:rFonts w:ascii="Arial Narrow" w:hAnsi="Arial Narrow"/>
                <w:sz w:val="20"/>
              </w:rPr>
            </w:pPr>
            <w:r w:rsidRPr="00F92A89">
              <w:rPr>
                <w:rFonts w:ascii="Arial Narrow" w:hAnsi="Arial Narrow"/>
                <w:sz w:val="20"/>
              </w:rPr>
              <w:t>HU</w:t>
            </w:r>
          </w:p>
        </w:tc>
      </w:tr>
      <w:tr w:rsidR="00F554A7" w14:paraId="569215DB" w14:textId="77777777" w:rsidTr="00F92A89">
        <w:tc>
          <w:tcPr>
            <w:tcW w:w="1702" w:type="dxa"/>
          </w:tcPr>
          <w:p w14:paraId="000001D7" w14:textId="77777777" w:rsidR="00F554A7" w:rsidRPr="00F92A89" w:rsidRDefault="007A75BF">
            <w:pPr>
              <w:spacing w:before="40" w:after="40"/>
              <w:rPr>
                <w:rFonts w:ascii="Arial Narrow" w:hAnsi="Arial Narrow"/>
                <w:sz w:val="20"/>
              </w:rPr>
            </w:pPr>
            <w:r w:rsidRPr="00F92A89">
              <w:rPr>
                <w:rFonts w:ascii="Arial Narrow" w:hAnsi="Arial Narrow"/>
                <w:sz w:val="20"/>
              </w:rPr>
              <w:t>Splenic sequestration</w:t>
            </w:r>
          </w:p>
        </w:tc>
        <w:tc>
          <w:tcPr>
            <w:tcW w:w="1614" w:type="dxa"/>
          </w:tcPr>
          <w:p w14:paraId="000001D8" w14:textId="77777777" w:rsidR="00F554A7" w:rsidRPr="00F92A89" w:rsidRDefault="007A75BF">
            <w:pPr>
              <w:spacing w:before="40" w:after="40"/>
              <w:rPr>
                <w:rFonts w:ascii="Arial Narrow" w:hAnsi="Arial Narrow"/>
                <w:sz w:val="20"/>
              </w:rPr>
            </w:pPr>
            <w:r w:rsidRPr="00F92A89">
              <w:rPr>
                <w:rFonts w:ascii="Arial Narrow" w:hAnsi="Arial Narrow"/>
                <w:sz w:val="20"/>
              </w:rPr>
              <w:t>12 events/8 children</w:t>
            </w:r>
          </w:p>
        </w:tc>
        <w:tc>
          <w:tcPr>
            <w:tcW w:w="1843" w:type="dxa"/>
          </w:tcPr>
          <w:p w14:paraId="000001D9" w14:textId="77777777" w:rsidR="00F554A7" w:rsidRPr="00F92A89" w:rsidRDefault="007A75BF">
            <w:pPr>
              <w:spacing w:before="40" w:after="40"/>
              <w:rPr>
                <w:rFonts w:ascii="Arial Narrow" w:hAnsi="Arial Narrow"/>
                <w:sz w:val="20"/>
              </w:rPr>
            </w:pPr>
            <w:r w:rsidRPr="00F92A89">
              <w:rPr>
                <w:rFonts w:ascii="Arial Narrow" w:hAnsi="Arial Narrow"/>
                <w:sz w:val="20"/>
              </w:rPr>
              <w:t>12 events/9 children</w:t>
            </w:r>
          </w:p>
        </w:tc>
        <w:tc>
          <w:tcPr>
            <w:tcW w:w="2349" w:type="dxa"/>
          </w:tcPr>
          <w:p w14:paraId="000001DA" w14:textId="77777777" w:rsidR="00F554A7" w:rsidRPr="00F92A89" w:rsidRDefault="007A75BF">
            <w:pPr>
              <w:spacing w:before="40" w:after="40"/>
              <w:rPr>
                <w:rFonts w:ascii="Arial Narrow" w:hAnsi="Arial Narrow"/>
                <w:sz w:val="20"/>
              </w:rPr>
            </w:pPr>
            <w:r w:rsidRPr="00F92A89">
              <w:rPr>
                <w:rFonts w:ascii="Arial Narrow" w:hAnsi="Arial Narrow"/>
                <w:sz w:val="20"/>
              </w:rPr>
              <w:t>HR 0.88 (95% CI 0.34, 2.27)</w:t>
            </w:r>
          </w:p>
          <w:p w14:paraId="000001DB" w14:textId="77777777" w:rsidR="00F554A7" w:rsidRPr="00F92A89" w:rsidRDefault="007A75BF">
            <w:pPr>
              <w:spacing w:before="40" w:after="40"/>
              <w:rPr>
                <w:rFonts w:ascii="Arial Narrow" w:hAnsi="Arial Narrow"/>
                <w:sz w:val="20"/>
              </w:rPr>
            </w:pPr>
            <w:r w:rsidRPr="00F92A89">
              <w:rPr>
                <w:rFonts w:ascii="Arial Narrow" w:hAnsi="Arial Narrow"/>
                <w:sz w:val="20"/>
              </w:rPr>
              <w:t>p=0.79</w:t>
            </w:r>
          </w:p>
        </w:tc>
        <w:tc>
          <w:tcPr>
            <w:tcW w:w="1559" w:type="dxa"/>
          </w:tcPr>
          <w:p w14:paraId="000001DC" w14:textId="77777777" w:rsidR="00F554A7" w:rsidRPr="00F92A89" w:rsidRDefault="007A75BF">
            <w:pPr>
              <w:spacing w:before="40" w:after="40"/>
              <w:rPr>
                <w:rFonts w:ascii="Arial Narrow" w:hAnsi="Arial Narrow"/>
                <w:sz w:val="20"/>
              </w:rPr>
            </w:pPr>
            <w:r w:rsidRPr="00F92A89">
              <w:rPr>
                <w:rFonts w:ascii="Arial Narrow" w:hAnsi="Arial Narrow"/>
                <w:sz w:val="20"/>
              </w:rPr>
              <w:t>None</w:t>
            </w:r>
          </w:p>
        </w:tc>
      </w:tr>
    </w:tbl>
    <w:p w14:paraId="000001DD" w14:textId="77777777" w:rsidR="00F554A7" w:rsidRDefault="007A75BF">
      <w:pPr>
        <w:pStyle w:val="Tablenotes0"/>
      </w:pPr>
      <w:r w:rsidRPr="00F92A89">
        <w:t>ACS = acute chest syndrome; CI = confidence interval; HR = hazard ratio; HU = hydroxyurea; SCD = sickle cell disease</w:t>
      </w:r>
    </w:p>
    <w:p w14:paraId="54939035" w14:textId="1349E4B9" w:rsidR="007D1526" w:rsidRPr="00F92A89" w:rsidRDefault="007D1526" w:rsidP="00F92A89">
      <w:pPr>
        <w:pStyle w:val="Tablenotes0"/>
      </w:pPr>
      <w:r>
        <w:t xml:space="preserve">Source: </w:t>
      </w:r>
      <w:r w:rsidR="008A5E7B">
        <w:t xml:space="preserve">DCAR </w:t>
      </w:r>
      <w:r w:rsidR="003603DB">
        <w:t xml:space="preserve">Table </w:t>
      </w:r>
      <w:r w:rsidR="00EF61EE">
        <w:t>10.</w:t>
      </w:r>
    </w:p>
    <w:p w14:paraId="000001DE" w14:textId="77777777" w:rsidR="00F554A7" w:rsidRDefault="007A75BF">
      <w:r>
        <w:t>Overall there are very few safety concerns, and significant effectiveness associated with treatments for young children with SCD. HU was effective in reducing morbidity in children with HU, but its effectiveness should be weighed against the safety concern of reduced absolute neutrophil count, which has the possibility of increasing the risk of infection. Children can be managed by adjustment of their HU dosage if side effects occur.</w:t>
      </w:r>
    </w:p>
    <w:p w14:paraId="000001DF" w14:textId="77777777" w:rsidR="00F554A7" w:rsidRDefault="007A75BF">
      <w:pPr>
        <w:pStyle w:val="Heading3"/>
      </w:pPr>
      <w:bookmarkStart w:id="68" w:name="_heading=h.32hioqz" w:colFirst="0" w:colLast="0"/>
      <w:bookmarkStart w:id="69" w:name="_Toc132821926"/>
      <w:bookmarkEnd w:id="68"/>
      <w:r>
        <w:lastRenderedPageBreak/>
        <w:t>Population 2: Family members</w:t>
      </w:r>
      <w:bookmarkEnd w:id="69"/>
    </w:p>
    <w:p w14:paraId="000001E0" w14:textId="77777777" w:rsidR="00F554A7" w:rsidRDefault="007A75BF">
      <w:r>
        <w:t xml:space="preserve">There was little evidence for Population 2 that met the inclusion criteria. There was no direct evidence identified for cascade testing of family members of children diagnosed with SCD or </w:t>
      </w:r>
      <w:r>
        <w:rPr>
          <w:rFonts w:ascii="Calibri" w:eastAsia="Calibri" w:hAnsi="Calibri" w:cs="Calibri"/>
        </w:rPr>
        <w:t>β</w:t>
      </w:r>
      <w:r>
        <w:t>-thalassaemia by NBS. Five studies reporting linked evidence data met the inclusion criteria for this population.</w:t>
      </w:r>
    </w:p>
    <w:p w14:paraId="000001E1" w14:textId="77777777" w:rsidR="00F554A7" w:rsidRDefault="007A75BF">
      <w:pPr>
        <w:pStyle w:val="Heading4"/>
      </w:pPr>
      <w:r>
        <w:t>Linked evidence</w:t>
      </w:r>
    </w:p>
    <w:p w14:paraId="000001E2" w14:textId="77777777" w:rsidR="00F554A7" w:rsidRDefault="007A75BF">
      <w:pPr>
        <w:pStyle w:val="Heading5"/>
      </w:pPr>
      <w:r>
        <w:t>Test accuracy</w:t>
      </w:r>
    </w:p>
    <w:p w14:paraId="000001E3" w14:textId="77777777" w:rsidR="00F554A7" w:rsidRDefault="007A75BF">
      <w:r>
        <w:t xml:space="preserve">If a baby is diagnosed with SCD or </w:t>
      </w:r>
      <w:r>
        <w:rPr>
          <w:rFonts w:ascii="Calibri" w:eastAsia="Calibri" w:hAnsi="Calibri" w:cs="Calibri"/>
        </w:rPr>
        <w:t>β</w:t>
      </w:r>
      <w:r>
        <w:t xml:space="preserve">-thalassaemia, then it can be assumed that both parents are carriers. In some instances, for example compound heterozygotes of SCD and milder forms of </w:t>
      </w:r>
      <w:r>
        <w:rPr>
          <w:rFonts w:ascii="Calibri" w:eastAsia="Calibri" w:hAnsi="Calibri" w:cs="Calibri"/>
        </w:rPr>
        <w:t>β</w:t>
      </w:r>
      <w:r>
        <w:t>-thalassaemia, a carrier may be affected by mild symptoms of the disease.  Reporting of results for family members following NBS was rare in the literature, despite authors often commenting that cascade testing was performed.</w:t>
      </w:r>
    </w:p>
    <w:p w14:paraId="000001E4" w14:textId="77777777" w:rsidR="00F554A7" w:rsidRDefault="007A75BF">
      <w:r>
        <w:t xml:space="preserve">One small study was identified that compared first tier screening with confirmatory testing for detecting SCD in six family members. The first-tier screen was performed using a MinION DNA sequencing assay of the </w:t>
      </w:r>
      <w:r>
        <w:rPr>
          <w:i/>
        </w:rPr>
        <w:t>HBB</w:t>
      </w:r>
      <w:r>
        <w:t xml:space="preserve"> locus, and the confirmatory testing was Sanger sequencing. The results of the assay were fully concordant with the results of Sanger sequencing. Given the size and the risk of bias within the study, it does not contribute to consideration of the usefulness of cascade testing.  </w:t>
      </w:r>
    </w:p>
    <w:p w14:paraId="000001E5" w14:textId="77777777" w:rsidR="00F554A7" w:rsidRDefault="007A75BF">
      <w:r>
        <w:t xml:space="preserve">The accuracy of cascade testing may be assumed to be very close to 100% (allowing for human error/sample contamination). The methods for cascade testing, whether phenotypic or genetic, should be chosen based on the particular haemoglobins or variants with which the newborn is identified. </w:t>
      </w:r>
    </w:p>
    <w:p w14:paraId="000001E6" w14:textId="77777777" w:rsidR="00F554A7" w:rsidRDefault="007A75BF">
      <w:pPr>
        <w:pStyle w:val="Heading5"/>
      </w:pPr>
      <w:r>
        <w:t>Change in management</w:t>
      </w:r>
    </w:p>
    <w:p w14:paraId="000001E7" w14:textId="77777777" w:rsidR="00F554A7" w:rsidRDefault="007A75BF">
      <w:r>
        <w:t xml:space="preserve">Linked evidence was sought, however there was no evidence that met the eligibility criteria for change in management related to cascade testing. The inclusion criteria were broadened to include non-comparative evidence, but still no studies were identified. </w:t>
      </w:r>
    </w:p>
    <w:p w14:paraId="000001E8" w14:textId="77777777" w:rsidR="00F554A7" w:rsidRDefault="007A75BF">
      <w:pPr>
        <w:pStyle w:val="Heading5"/>
      </w:pPr>
      <w:r>
        <w:t>Treatment effectiveness</w:t>
      </w:r>
    </w:p>
    <w:p w14:paraId="000001E9" w14:textId="77777777" w:rsidR="00F554A7" w:rsidRDefault="007A75BF">
      <w:r>
        <w:t xml:space="preserve">No evidence was identified. As cascade testing only identifies carriers, no treatments are likely to be necessary. </w:t>
      </w:r>
    </w:p>
    <w:p w14:paraId="000001EA" w14:textId="77777777" w:rsidR="00F554A7" w:rsidRDefault="007A75BF">
      <w:pPr>
        <w:pStyle w:val="Heading3"/>
      </w:pPr>
      <w:bookmarkStart w:id="70" w:name="_heading=h.1hmsyys" w:colFirst="0" w:colLast="0"/>
      <w:bookmarkStart w:id="71" w:name="_Toc132821927"/>
      <w:bookmarkEnd w:id="70"/>
      <w:r>
        <w:t>Clinical utility summary</w:t>
      </w:r>
      <w:bookmarkEnd w:id="71"/>
      <w:r>
        <w:t xml:space="preserve"> </w:t>
      </w:r>
    </w:p>
    <w:p w14:paraId="000001EB" w14:textId="77777777" w:rsidR="00F554A7" w:rsidRDefault="007A75BF">
      <w:r>
        <w:t>The are no prevalence or incidence data for haemoglobinopathies in Australia. In the absence of real data, estimates have been made in the following scenarios. There is considerable uncertainty around these estimates, as demonstrated by the wide range of possible cases.</w:t>
      </w:r>
    </w:p>
    <w:p w14:paraId="000001EC" w14:textId="5EFE219B" w:rsidR="00F554A7" w:rsidRDefault="007A75BF">
      <w:r w:rsidRPr="00F92A89">
        <w:t>If NBS for SCD with/without β-thalassaemia was conducted in Australia, for every 1,000,000 newborns tested, between 5 and 86 babies would be diagnosed with one of the disorders (based on an estimated incidence range of 0.53 to 8.6 per 100,000 from laboratory input and Argent et al (2012)</w:t>
      </w:r>
      <w:r w:rsidRPr="00F92A89">
        <w:rPr>
          <w:rStyle w:val="FootnoteReference"/>
        </w:rPr>
        <w:footnoteReference w:id="14"/>
      </w:r>
      <w:r>
        <w:t xml:space="preserve">. This would therefore be the incremental benefit of additional newborns diagnosed by NBS over the primary comparator – no NBS (diagnosis delayed until symptom onset). In this </w:t>
      </w:r>
      <w:r>
        <w:lastRenderedPageBreak/>
        <w:t xml:space="preserve">scenario it is assumed that in the comparator arm, no cases would be picked up through testing for anaemia (or other conditions) or would be detected because parents are known to be carriers. In the primary comparator scenario, all babies with SCD would be identified at presentation with symptoms (late diagnosis). Estimated incremental benefit is given in </w:t>
      </w:r>
      <w:r w:rsidR="00DC7BA4">
        <w:fldChar w:fldCharType="begin"/>
      </w:r>
      <w:r w:rsidR="00DC7BA4">
        <w:instrText xml:space="preserve"> REF _Ref132725665 \h </w:instrText>
      </w:r>
      <w:r w:rsidR="00DC7BA4">
        <w:fldChar w:fldCharType="separate"/>
      </w:r>
      <w:r w:rsidR="006E058E" w:rsidRPr="00F92A89">
        <w:rPr>
          <w:rFonts w:eastAsia="Arial Narrow"/>
        </w:rPr>
        <w:t xml:space="preserve">Table </w:t>
      </w:r>
      <w:r w:rsidR="006E058E">
        <w:rPr>
          <w:noProof/>
        </w:rPr>
        <w:t>11</w:t>
      </w:r>
      <w:r w:rsidR="00DC7BA4">
        <w:fldChar w:fldCharType="end"/>
      </w:r>
      <w:r w:rsidR="00DC7BA4">
        <w:t>.</w:t>
      </w:r>
    </w:p>
    <w:p w14:paraId="000001ED" w14:textId="47A08B21" w:rsidR="00F554A7" w:rsidRPr="00F92A89" w:rsidRDefault="007A75BF" w:rsidP="00F92A89">
      <w:pPr>
        <w:pStyle w:val="Caption"/>
        <w:rPr>
          <w:rFonts w:eastAsia="Arial Narrow"/>
          <w:b w:val="0"/>
          <w:vertAlign w:val="superscript"/>
        </w:rPr>
      </w:pPr>
      <w:bookmarkStart w:id="72" w:name="_heading=h.41mghml" w:colFirst="0" w:colLast="0"/>
      <w:bookmarkStart w:id="73" w:name="_Ref132725665"/>
      <w:bookmarkEnd w:id="72"/>
      <w:r w:rsidRPr="00F92A89">
        <w:rPr>
          <w:rFonts w:eastAsia="Arial Narrow"/>
        </w:rPr>
        <w:t xml:space="preserve">Table </w:t>
      </w:r>
      <w:r w:rsidR="004D5B4E">
        <w:fldChar w:fldCharType="begin"/>
      </w:r>
      <w:r w:rsidR="004D5B4E">
        <w:instrText>SEQ Table \* ARABIC</w:instrText>
      </w:r>
      <w:r w:rsidR="004D5B4E">
        <w:fldChar w:fldCharType="separate"/>
      </w:r>
      <w:r w:rsidR="006E058E">
        <w:rPr>
          <w:noProof/>
        </w:rPr>
        <w:t>11</w:t>
      </w:r>
      <w:r w:rsidR="004D5B4E">
        <w:fldChar w:fldCharType="end"/>
      </w:r>
      <w:bookmarkEnd w:id="73"/>
      <w:r w:rsidRPr="00F92A89">
        <w:rPr>
          <w:rFonts w:eastAsia="Arial Narrow"/>
        </w:rPr>
        <w:tab/>
        <w:t>Suggested incremental benefit of adding the nominated haemoglobinopathies to NBS per 1,000,000 newborns screened</w:t>
      </w:r>
      <w:r w:rsidRPr="00F92A89">
        <w:rPr>
          <w:rFonts w:eastAsia="Arial Narrow"/>
          <w:vertAlign w:val="superscript"/>
        </w:rPr>
        <w:t>a</w:t>
      </w:r>
    </w:p>
    <w:tbl>
      <w:tblPr>
        <w:tblStyle w:val="TableGrid"/>
        <w:tblW w:w="8926" w:type="dxa"/>
        <w:tblLayout w:type="fixed"/>
        <w:tblLook w:val="04A0" w:firstRow="1" w:lastRow="0" w:firstColumn="1" w:lastColumn="0" w:noHBand="0" w:noVBand="1"/>
      </w:tblPr>
      <w:tblGrid>
        <w:gridCol w:w="1980"/>
        <w:gridCol w:w="1984"/>
        <w:gridCol w:w="2268"/>
        <w:gridCol w:w="2694"/>
      </w:tblGrid>
      <w:tr w:rsidR="00F554A7" w14:paraId="62F21550" w14:textId="77777777" w:rsidTr="00F92A89">
        <w:trPr>
          <w:trHeight w:val="829"/>
        </w:trPr>
        <w:tc>
          <w:tcPr>
            <w:tcW w:w="1980" w:type="dxa"/>
          </w:tcPr>
          <w:p w14:paraId="000001EE" w14:textId="77777777" w:rsidR="00F554A7" w:rsidRPr="001E7563" w:rsidRDefault="007A75BF" w:rsidP="00F92A89">
            <w:pPr>
              <w:pStyle w:val="TableHeading"/>
            </w:pPr>
            <w:r w:rsidRPr="001E7563">
              <w:t xml:space="preserve">Estimated incidence </w:t>
            </w:r>
          </w:p>
        </w:tc>
        <w:tc>
          <w:tcPr>
            <w:tcW w:w="1984" w:type="dxa"/>
          </w:tcPr>
          <w:p w14:paraId="000001EF" w14:textId="77777777" w:rsidR="00F554A7" w:rsidRPr="001E7563" w:rsidRDefault="007A75BF" w:rsidP="00F92A89">
            <w:pPr>
              <w:pStyle w:val="TableHeading"/>
            </w:pPr>
            <w:r w:rsidRPr="001E7563">
              <w:t xml:space="preserve">Diagnoses by NBS </w:t>
            </w:r>
            <w:r>
              <w:t>(n)</w:t>
            </w:r>
          </w:p>
        </w:tc>
        <w:tc>
          <w:tcPr>
            <w:tcW w:w="2268" w:type="dxa"/>
          </w:tcPr>
          <w:p w14:paraId="000001F0" w14:textId="77777777" w:rsidR="00F554A7" w:rsidRPr="001E7563" w:rsidRDefault="007A75BF" w:rsidP="00F92A89">
            <w:pPr>
              <w:pStyle w:val="TableHeading"/>
            </w:pPr>
            <w:r w:rsidRPr="001E7563">
              <w:t xml:space="preserve">Diagnosed </w:t>
            </w:r>
            <w:r>
              <w:t>if there is no testing or screening (n)</w:t>
            </w:r>
          </w:p>
        </w:tc>
        <w:tc>
          <w:tcPr>
            <w:tcW w:w="2694" w:type="dxa"/>
          </w:tcPr>
          <w:p w14:paraId="000001F1" w14:textId="77777777" w:rsidR="00F554A7" w:rsidRPr="001E7563" w:rsidRDefault="007A75BF" w:rsidP="00F92A89">
            <w:pPr>
              <w:pStyle w:val="TableHeading"/>
            </w:pPr>
            <w:r w:rsidRPr="001E7563">
              <w:t>Impacted by late diagnosis</w:t>
            </w:r>
            <w:r>
              <w:t xml:space="preserve"> (n)</w:t>
            </w:r>
            <w:r>
              <w:br/>
              <w:t>(incremental benefit)</w:t>
            </w:r>
          </w:p>
        </w:tc>
      </w:tr>
      <w:tr w:rsidR="00F554A7" w14:paraId="7C289711" w14:textId="77777777" w:rsidTr="00F92A89">
        <w:tc>
          <w:tcPr>
            <w:tcW w:w="1980" w:type="dxa"/>
          </w:tcPr>
          <w:p w14:paraId="000001F2" w14:textId="77777777" w:rsidR="00F554A7" w:rsidRDefault="007A75BF" w:rsidP="00F92A89">
            <w:pPr>
              <w:pStyle w:val="Tabletext0"/>
              <w:rPr>
                <w:vertAlign w:val="superscript"/>
              </w:rPr>
            </w:pPr>
            <w:r w:rsidRPr="001E7563">
              <w:t>0.53/100,000</w:t>
            </w:r>
            <w:r>
              <w:rPr>
                <w:vertAlign w:val="superscript"/>
              </w:rPr>
              <w:t>b</w:t>
            </w:r>
          </w:p>
        </w:tc>
        <w:tc>
          <w:tcPr>
            <w:tcW w:w="1984" w:type="dxa"/>
          </w:tcPr>
          <w:p w14:paraId="000001F3" w14:textId="77777777" w:rsidR="00F554A7" w:rsidRDefault="007A75BF" w:rsidP="00F92A89">
            <w:pPr>
              <w:pStyle w:val="Tabletext0"/>
            </w:pPr>
            <w:r w:rsidRPr="001E7563">
              <w:t>5</w:t>
            </w:r>
          </w:p>
        </w:tc>
        <w:tc>
          <w:tcPr>
            <w:tcW w:w="2268" w:type="dxa"/>
          </w:tcPr>
          <w:p w14:paraId="000001F4" w14:textId="77777777" w:rsidR="00F554A7" w:rsidRDefault="007A75BF" w:rsidP="00F92A89">
            <w:pPr>
              <w:pStyle w:val="Tabletext0"/>
            </w:pPr>
            <w:r w:rsidRPr="001E7563">
              <w:t>0</w:t>
            </w:r>
          </w:p>
        </w:tc>
        <w:tc>
          <w:tcPr>
            <w:tcW w:w="2694" w:type="dxa"/>
          </w:tcPr>
          <w:p w14:paraId="000001F5" w14:textId="77777777" w:rsidR="00F554A7" w:rsidRDefault="007A75BF" w:rsidP="00F92A89">
            <w:pPr>
              <w:pStyle w:val="Tabletext0"/>
            </w:pPr>
            <w:r w:rsidRPr="001E7563">
              <w:t>5</w:t>
            </w:r>
          </w:p>
        </w:tc>
      </w:tr>
      <w:tr w:rsidR="00F554A7" w14:paraId="3C3874CA" w14:textId="77777777" w:rsidTr="00F92A89">
        <w:tc>
          <w:tcPr>
            <w:tcW w:w="1980" w:type="dxa"/>
          </w:tcPr>
          <w:p w14:paraId="000001F6" w14:textId="77777777" w:rsidR="00F554A7" w:rsidRDefault="007A75BF" w:rsidP="00F92A89">
            <w:pPr>
              <w:pStyle w:val="Tabletext0"/>
              <w:rPr>
                <w:vertAlign w:val="superscript"/>
              </w:rPr>
            </w:pPr>
            <w:r w:rsidRPr="001E7563">
              <w:t>8.6/100,000</w:t>
            </w:r>
            <w:r>
              <w:rPr>
                <w:vertAlign w:val="superscript"/>
              </w:rPr>
              <w:t>c</w:t>
            </w:r>
          </w:p>
        </w:tc>
        <w:tc>
          <w:tcPr>
            <w:tcW w:w="1984" w:type="dxa"/>
          </w:tcPr>
          <w:p w14:paraId="000001F7" w14:textId="77777777" w:rsidR="00F554A7" w:rsidRDefault="007A75BF" w:rsidP="00F92A89">
            <w:pPr>
              <w:pStyle w:val="Tabletext0"/>
            </w:pPr>
            <w:r w:rsidRPr="001E7563">
              <w:t>86</w:t>
            </w:r>
          </w:p>
        </w:tc>
        <w:tc>
          <w:tcPr>
            <w:tcW w:w="2268" w:type="dxa"/>
          </w:tcPr>
          <w:p w14:paraId="000001F8" w14:textId="77777777" w:rsidR="00F554A7" w:rsidRDefault="007A75BF" w:rsidP="00F92A89">
            <w:pPr>
              <w:pStyle w:val="Tabletext0"/>
            </w:pPr>
            <w:r w:rsidRPr="001E7563">
              <w:t>0</w:t>
            </w:r>
          </w:p>
        </w:tc>
        <w:tc>
          <w:tcPr>
            <w:tcW w:w="2694" w:type="dxa"/>
          </w:tcPr>
          <w:p w14:paraId="000001F9" w14:textId="77777777" w:rsidR="00F554A7" w:rsidRDefault="007A75BF" w:rsidP="00F92A89">
            <w:pPr>
              <w:pStyle w:val="Tabletext0"/>
            </w:pPr>
            <w:r w:rsidRPr="001E7563">
              <w:t>86</w:t>
            </w:r>
          </w:p>
        </w:tc>
      </w:tr>
    </w:tbl>
    <w:p w14:paraId="000001FA" w14:textId="77777777" w:rsidR="00F554A7" w:rsidRPr="00F92A89" w:rsidRDefault="007A75BF" w:rsidP="00F92A89">
      <w:pPr>
        <w:pStyle w:val="Tablenotes0"/>
      </w:pPr>
      <w:r w:rsidRPr="00F92A89">
        <w:t>NBS = newborn bloodspot screening</w:t>
      </w:r>
    </w:p>
    <w:p w14:paraId="000001FB" w14:textId="77777777" w:rsidR="00F554A7" w:rsidRPr="00F92A89" w:rsidRDefault="007A75BF" w:rsidP="00F92A89">
      <w:pPr>
        <w:pStyle w:val="Tablenotes0"/>
      </w:pPr>
      <w:r w:rsidRPr="00F92A89">
        <w:rPr>
          <w:b/>
        </w:rPr>
        <w:t>Notes: a.</w:t>
      </w:r>
      <w:r w:rsidRPr="00F92A89">
        <w:t xml:space="preserve"> figures are rounded to whole numbers</w:t>
      </w:r>
    </w:p>
    <w:p w14:paraId="000001FC" w14:textId="30BA5EB0" w:rsidR="00F554A7" w:rsidRPr="00F92A89" w:rsidRDefault="007A75BF" w:rsidP="00F92A89">
      <w:pPr>
        <w:pStyle w:val="Tablenotes0"/>
      </w:pPr>
      <w:r w:rsidRPr="00F92A89">
        <w:rPr>
          <w:b/>
          <w:bCs/>
        </w:rPr>
        <w:t>b.</w:t>
      </w:r>
      <w:r w:rsidRPr="00F92A89">
        <w:t xml:space="preserve"> Source: (Argent et al. 2012) </w:t>
      </w:r>
    </w:p>
    <w:p w14:paraId="000001FD" w14:textId="77777777" w:rsidR="00F554A7" w:rsidRDefault="007A75BF">
      <w:pPr>
        <w:pStyle w:val="Tablenotes0"/>
      </w:pPr>
      <w:r w:rsidRPr="00F92A89">
        <w:rPr>
          <w:b/>
        </w:rPr>
        <w:t>c</w:t>
      </w:r>
      <w:r w:rsidRPr="00F92A89">
        <w:t xml:space="preserve">. Source: Based on data from PathWest </w:t>
      </w:r>
    </w:p>
    <w:p w14:paraId="3FD25D00" w14:textId="2FA8F994" w:rsidR="00EE2B05" w:rsidRPr="00F92A89" w:rsidRDefault="000F71F6" w:rsidP="00F92A89">
      <w:pPr>
        <w:pStyle w:val="Tablenotes0"/>
      </w:pPr>
      <w:r>
        <w:t>Table source: DCAR Table 11.</w:t>
      </w:r>
    </w:p>
    <w:p w14:paraId="000001FE" w14:textId="1DDC8FAA" w:rsidR="00F554A7" w:rsidRDefault="007A75BF">
      <w:r>
        <w:t>The secondary comparator scenario, where targeted testing is undertaken, was informed by clinical advice in the absence of data. The identification rate of cases by targeted testing is high using both prenatal and neonatal settings. If 64%</w:t>
      </w:r>
      <w:r w:rsidR="00093B00">
        <w:rPr>
          <w:rStyle w:val="FootnoteReference"/>
        </w:rPr>
        <w:footnoteReference w:id="15"/>
      </w:r>
      <w:r>
        <w:t xml:space="preserve"> to 99%</w:t>
      </w:r>
      <w:r w:rsidRPr="00F92A89">
        <w:rPr>
          <w:rStyle w:val="FootnoteReference"/>
        </w:rPr>
        <w:footnoteReference w:id="16"/>
      </w:r>
      <w:r>
        <w:t xml:space="preserve"> of all cases are identified by targeted testing, the incremental benefit of additional newborns diagnosed by NBS would be between 2 and 31 more newborns per 1,000,000 newborns screened (worst case scenario of 64% identified by targeted testing) and 0 to 1 more newborn per 1,000,000 newborns screened (best case scenario of 99% identified by targeted testing). It should be noted that data for prenatal and neonatal testing could not be separated, therefore the incremental benefit has not accounted for targeted newborn testing in the comparator, and could be underestimated.</w:t>
      </w:r>
    </w:p>
    <w:p w14:paraId="000001FF" w14:textId="77777777" w:rsidR="00F554A7" w:rsidRPr="00F92A89" w:rsidRDefault="007A75BF">
      <w:pPr>
        <w:rPr>
          <w:rStyle w:val="ui-provider"/>
        </w:rPr>
      </w:pPr>
      <w:r w:rsidRPr="00F92A89">
        <w:rPr>
          <w:rStyle w:val="ui-provider"/>
        </w:rPr>
        <w:t xml:space="preserve">It is expected that in the absence of NBS a proportion of babies missed by targeted testing would only be diagnosed after developing symptoms, approximately 6 months to 2 years later, and there is a chance that these early symptoms could be severe (such as a VOC leading to stroke or splenic sequestration, or death). Expert opinion from state laboratories, the HbR, and clinical advice indicates that at most, the proportion not diagnosed until severe symptoms may be 50% of babies missed by targeted testing. This equates to an estimated 1 to 16 babies per 1,000,000 screened that may be impacted by late diagnosis. Although treatments for SCD are effective, the likelihood of the early diagnosis and intervention avoiding significant clinical impact (compared to diagnosis after symptoms develop, in the Australian setting) is unknown. </w:t>
      </w:r>
    </w:p>
    <w:p w14:paraId="00000200" w14:textId="2C4CB295" w:rsidR="00F554A7" w:rsidRDefault="007A75BF">
      <w:r>
        <w:t xml:space="preserve">The numerators used in these estimates are highly subjective and variable and cannot be relied upon to represent the true numbers diagnosed in Australia. The suggested estimates presented are summarised in </w:t>
      </w:r>
      <w:r w:rsidR="00B3629D">
        <w:fldChar w:fldCharType="begin"/>
      </w:r>
      <w:r w:rsidR="00B3629D">
        <w:instrText xml:space="preserve"> REF _Ref128997597 \h </w:instrText>
      </w:r>
      <w:r w:rsidR="00B3629D">
        <w:fldChar w:fldCharType="separate"/>
      </w:r>
      <w:r w:rsidR="006E058E" w:rsidRPr="00F92A89">
        <w:rPr>
          <w:rFonts w:eastAsia="Arial Narrow"/>
        </w:rPr>
        <w:t xml:space="preserve">Table </w:t>
      </w:r>
      <w:r w:rsidR="006E058E">
        <w:rPr>
          <w:noProof/>
        </w:rPr>
        <w:t>12</w:t>
      </w:r>
      <w:r w:rsidR="00B3629D">
        <w:fldChar w:fldCharType="end"/>
      </w:r>
      <w:r w:rsidR="009718A1">
        <w:t>.</w:t>
      </w:r>
    </w:p>
    <w:p w14:paraId="00000201" w14:textId="389E5E8B" w:rsidR="00F554A7" w:rsidRPr="00F92A89" w:rsidRDefault="007A75BF" w:rsidP="00F92A89">
      <w:pPr>
        <w:pStyle w:val="Caption"/>
        <w:rPr>
          <w:rFonts w:eastAsia="Arial Narrow"/>
          <w:b w:val="0"/>
          <w:vertAlign w:val="superscript"/>
        </w:rPr>
      </w:pPr>
      <w:bookmarkStart w:id="74" w:name="_heading=h.2grqrue" w:colFirst="0" w:colLast="0"/>
      <w:bookmarkStart w:id="75" w:name="_Ref128997597"/>
      <w:bookmarkEnd w:id="74"/>
      <w:r w:rsidRPr="00F92A89">
        <w:rPr>
          <w:rFonts w:eastAsia="Arial Narrow"/>
        </w:rPr>
        <w:lastRenderedPageBreak/>
        <w:t xml:space="preserve">Table </w:t>
      </w:r>
      <w:r w:rsidR="009718A1">
        <w:fldChar w:fldCharType="begin"/>
      </w:r>
      <w:r w:rsidR="009718A1">
        <w:instrText>SEQ Table \* ARABIC</w:instrText>
      </w:r>
      <w:r w:rsidR="009718A1">
        <w:fldChar w:fldCharType="separate"/>
      </w:r>
      <w:r w:rsidR="006E058E">
        <w:rPr>
          <w:noProof/>
        </w:rPr>
        <w:t>12</w:t>
      </w:r>
      <w:r w:rsidR="009718A1">
        <w:fldChar w:fldCharType="end"/>
      </w:r>
      <w:bookmarkEnd w:id="75"/>
      <w:r w:rsidRPr="00F92A89">
        <w:rPr>
          <w:rFonts w:eastAsia="Arial Narrow"/>
        </w:rPr>
        <w:tab/>
        <w:t>Suggested incremental benefit of adding the nominated haemoglobinopathies to NBS over targeted testing per 1,000,000 newborns screened</w:t>
      </w:r>
      <w:r w:rsidRPr="00F92A89">
        <w:rPr>
          <w:rFonts w:eastAsia="Arial Narrow"/>
          <w:vertAlign w:val="superscript"/>
        </w:rPr>
        <w:t>a</w:t>
      </w:r>
    </w:p>
    <w:tbl>
      <w:tblPr>
        <w:tblStyle w:val="TableGrid"/>
        <w:tblW w:w="9067" w:type="dxa"/>
        <w:tblLayout w:type="fixed"/>
        <w:tblLook w:val="04A0" w:firstRow="1" w:lastRow="0" w:firstColumn="1" w:lastColumn="0" w:noHBand="0" w:noVBand="1"/>
      </w:tblPr>
      <w:tblGrid>
        <w:gridCol w:w="6"/>
        <w:gridCol w:w="1694"/>
        <w:gridCol w:w="2124"/>
        <w:gridCol w:w="1273"/>
        <w:gridCol w:w="1274"/>
        <w:gridCol w:w="1344"/>
        <w:gridCol w:w="1345"/>
        <w:gridCol w:w="7"/>
      </w:tblGrid>
      <w:tr w:rsidR="00F554A7" w14:paraId="64111F34" w14:textId="77777777" w:rsidTr="00F92A89">
        <w:trPr>
          <w:gridAfter w:val="1"/>
          <w:wAfter w:w="7" w:type="dxa"/>
          <w:trHeight w:val="540"/>
        </w:trPr>
        <w:tc>
          <w:tcPr>
            <w:tcW w:w="1696" w:type="dxa"/>
            <w:gridSpan w:val="2"/>
            <w:vMerge w:val="restart"/>
          </w:tcPr>
          <w:p w14:paraId="00000202" w14:textId="77777777" w:rsidR="00F554A7" w:rsidRPr="001E7563" w:rsidRDefault="007A75BF" w:rsidP="00F92A89">
            <w:pPr>
              <w:pStyle w:val="TableHeading"/>
            </w:pPr>
            <w:r w:rsidRPr="001E7563">
              <w:t xml:space="preserve">Estimated incidence </w:t>
            </w:r>
          </w:p>
        </w:tc>
        <w:tc>
          <w:tcPr>
            <w:tcW w:w="2127" w:type="dxa"/>
            <w:vMerge w:val="restart"/>
          </w:tcPr>
          <w:p w14:paraId="00000203" w14:textId="77777777" w:rsidR="00F554A7" w:rsidRPr="001E7563" w:rsidRDefault="007A75BF" w:rsidP="00F92A89">
            <w:pPr>
              <w:pStyle w:val="TableHeading"/>
            </w:pPr>
            <w:r w:rsidRPr="001E7563">
              <w:t>Diagnoses by NBS per 1,000,000 newborns(n)</w:t>
            </w:r>
          </w:p>
        </w:tc>
        <w:tc>
          <w:tcPr>
            <w:tcW w:w="2551" w:type="dxa"/>
            <w:gridSpan w:val="2"/>
          </w:tcPr>
          <w:p w14:paraId="00000204" w14:textId="77777777" w:rsidR="00F554A7" w:rsidRPr="001E7563" w:rsidRDefault="007A75BF" w:rsidP="00F92A89">
            <w:pPr>
              <w:pStyle w:val="TableHeading"/>
            </w:pPr>
            <w:r w:rsidRPr="001E7563">
              <w:t>Diagnosed by comparator testing (n)</w:t>
            </w:r>
          </w:p>
        </w:tc>
        <w:tc>
          <w:tcPr>
            <w:tcW w:w="2693" w:type="dxa"/>
            <w:gridSpan w:val="2"/>
          </w:tcPr>
          <w:p w14:paraId="00000206" w14:textId="77777777" w:rsidR="00F554A7" w:rsidRPr="001E7563" w:rsidRDefault="007A75BF" w:rsidP="00F92A89">
            <w:pPr>
              <w:pStyle w:val="TableHeading"/>
            </w:pPr>
            <w:r w:rsidRPr="001E7563">
              <w:t xml:space="preserve">Impacted by late </w:t>
            </w:r>
            <w:r>
              <w:t>diagnosis (n)</w:t>
            </w:r>
            <w:r>
              <w:br/>
              <w:t>(incremental benefit)</w:t>
            </w:r>
          </w:p>
        </w:tc>
      </w:tr>
      <w:tr w:rsidR="00F554A7" w14:paraId="7FE6F091" w14:textId="77777777" w:rsidTr="00F92A89">
        <w:trPr>
          <w:gridAfter w:val="1"/>
          <w:wAfter w:w="7" w:type="dxa"/>
          <w:trHeight w:val="320"/>
        </w:trPr>
        <w:tc>
          <w:tcPr>
            <w:tcW w:w="1696" w:type="dxa"/>
            <w:gridSpan w:val="2"/>
            <w:vMerge/>
          </w:tcPr>
          <w:p w14:paraId="00000208" w14:textId="77777777" w:rsidR="00F554A7" w:rsidRPr="001E7563" w:rsidRDefault="00F554A7" w:rsidP="00F92A89">
            <w:pPr>
              <w:pStyle w:val="TableHeading"/>
            </w:pPr>
          </w:p>
        </w:tc>
        <w:tc>
          <w:tcPr>
            <w:tcW w:w="2127" w:type="dxa"/>
            <w:vMerge/>
          </w:tcPr>
          <w:p w14:paraId="00000209" w14:textId="77777777" w:rsidR="00F554A7" w:rsidRPr="001E7563" w:rsidRDefault="00F554A7" w:rsidP="00F92A89">
            <w:pPr>
              <w:pStyle w:val="TableHeading"/>
            </w:pPr>
          </w:p>
        </w:tc>
        <w:tc>
          <w:tcPr>
            <w:tcW w:w="1275" w:type="dxa"/>
          </w:tcPr>
          <w:p w14:paraId="0000020A" w14:textId="77777777" w:rsidR="00F554A7" w:rsidRPr="001E7563" w:rsidRDefault="007A75BF" w:rsidP="00F92A89">
            <w:pPr>
              <w:pStyle w:val="TableHeading"/>
            </w:pPr>
            <w:r w:rsidRPr="00F92A89">
              <w:rPr>
                <w:b w:val="0"/>
              </w:rPr>
              <w:t>64%</w:t>
            </w:r>
            <w:r w:rsidRPr="00F92A89">
              <w:rPr>
                <w:b w:val="0"/>
                <w:vertAlign w:val="superscript"/>
              </w:rPr>
              <w:t>e</w:t>
            </w:r>
            <w:r w:rsidRPr="00F92A89">
              <w:rPr>
                <w:b w:val="0"/>
              </w:rPr>
              <w:t xml:space="preserve"> </w:t>
            </w:r>
          </w:p>
        </w:tc>
        <w:tc>
          <w:tcPr>
            <w:tcW w:w="1276" w:type="dxa"/>
          </w:tcPr>
          <w:p w14:paraId="0000020B" w14:textId="77777777" w:rsidR="00F554A7" w:rsidRPr="001E7563" w:rsidRDefault="007A75BF" w:rsidP="00F92A89">
            <w:pPr>
              <w:pStyle w:val="TableHeading"/>
            </w:pPr>
            <w:r w:rsidRPr="00F92A89">
              <w:rPr>
                <w:b w:val="0"/>
              </w:rPr>
              <w:t>99%</w:t>
            </w:r>
            <w:r w:rsidRPr="00F92A89">
              <w:rPr>
                <w:b w:val="0"/>
                <w:vertAlign w:val="superscript"/>
              </w:rPr>
              <w:t>c</w:t>
            </w:r>
          </w:p>
        </w:tc>
        <w:tc>
          <w:tcPr>
            <w:tcW w:w="1346" w:type="dxa"/>
          </w:tcPr>
          <w:p w14:paraId="0000020C" w14:textId="77777777" w:rsidR="00F554A7" w:rsidRPr="001E7563" w:rsidRDefault="007A75BF" w:rsidP="00F92A89">
            <w:pPr>
              <w:pStyle w:val="TableHeading"/>
            </w:pPr>
            <w:r w:rsidRPr="00F92A89">
              <w:rPr>
                <w:b w:val="0"/>
              </w:rPr>
              <w:t xml:space="preserve">20% </w:t>
            </w:r>
          </w:p>
        </w:tc>
        <w:tc>
          <w:tcPr>
            <w:tcW w:w="1347" w:type="dxa"/>
          </w:tcPr>
          <w:p w14:paraId="0000020D" w14:textId="77777777" w:rsidR="00F554A7" w:rsidRPr="001E7563" w:rsidRDefault="007A75BF" w:rsidP="00F92A89">
            <w:pPr>
              <w:pStyle w:val="TableHeading"/>
            </w:pPr>
            <w:r w:rsidRPr="00F92A89">
              <w:rPr>
                <w:b w:val="0"/>
              </w:rPr>
              <w:t xml:space="preserve">50% </w:t>
            </w:r>
          </w:p>
        </w:tc>
      </w:tr>
      <w:tr w:rsidR="00F554A7" w14:paraId="59A7F358" w14:textId="77777777" w:rsidTr="00F92A89">
        <w:trPr>
          <w:gridBefore w:val="1"/>
        </w:trPr>
        <w:tc>
          <w:tcPr>
            <w:tcW w:w="1696" w:type="dxa"/>
          </w:tcPr>
          <w:p w14:paraId="0000020E" w14:textId="77777777" w:rsidR="00F554A7" w:rsidRDefault="007A75BF" w:rsidP="00F92A89">
            <w:pPr>
              <w:pStyle w:val="Tabletext0"/>
              <w:rPr>
                <w:vertAlign w:val="superscript"/>
              </w:rPr>
            </w:pPr>
            <w:r w:rsidRPr="001E7563">
              <w:t>0.53/100,000</w:t>
            </w:r>
            <w:r>
              <w:rPr>
                <w:vertAlign w:val="superscript"/>
              </w:rPr>
              <w:t>b</w:t>
            </w:r>
          </w:p>
        </w:tc>
        <w:tc>
          <w:tcPr>
            <w:tcW w:w="2127" w:type="dxa"/>
          </w:tcPr>
          <w:p w14:paraId="0000020F" w14:textId="77777777" w:rsidR="00F554A7" w:rsidRDefault="007A75BF" w:rsidP="00F92A89">
            <w:pPr>
              <w:pStyle w:val="Tabletext0"/>
            </w:pPr>
            <w:r w:rsidRPr="001E7563">
              <w:t>5</w:t>
            </w:r>
          </w:p>
        </w:tc>
        <w:tc>
          <w:tcPr>
            <w:tcW w:w="1275" w:type="dxa"/>
          </w:tcPr>
          <w:p w14:paraId="00000210" w14:textId="77777777" w:rsidR="00F554A7" w:rsidRDefault="007A75BF" w:rsidP="00F92A89">
            <w:pPr>
              <w:pStyle w:val="Tabletext0"/>
            </w:pPr>
            <w:r w:rsidRPr="001E7563">
              <w:t>3</w:t>
            </w:r>
          </w:p>
        </w:tc>
        <w:tc>
          <w:tcPr>
            <w:tcW w:w="1276" w:type="dxa"/>
          </w:tcPr>
          <w:p w14:paraId="00000211" w14:textId="77777777" w:rsidR="00F554A7" w:rsidRDefault="007A75BF" w:rsidP="00F92A89">
            <w:pPr>
              <w:pStyle w:val="Tabletext0"/>
            </w:pPr>
            <w:r w:rsidRPr="001E7563">
              <w:t>5</w:t>
            </w:r>
          </w:p>
        </w:tc>
        <w:tc>
          <w:tcPr>
            <w:tcW w:w="1346" w:type="dxa"/>
          </w:tcPr>
          <w:p w14:paraId="00000212" w14:textId="77777777" w:rsidR="00F554A7" w:rsidRDefault="007A75BF" w:rsidP="00F92A89">
            <w:pPr>
              <w:pStyle w:val="Tabletext0"/>
            </w:pPr>
            <w:r w:rsidRPr="001E7563">
              <w:t>0-0</w:t>
            </w:r>
          </w:p>
        </w:tc>
        <w:tc>
          <w:tcPr>
            <w:tcW w:w="1347" w:type="dxa"/>
            <w:gridSpan w:val="2"/>
          </w:tcPr>
          <w:p w14:paraId="00000213" w14:textId="77777777" w:rsidR="00F554A7" w:rsidRDefault="007A75BF" w:rsidP="00F92A89">
            <w:pPr>
              <w:pStyle w:val="Tabletext0"/>
            </w:pPr>
            <w:r w:rsidRPr="001E7563">
              <w:t>0-1</w:t>
            </w:r>
          </w:p>
        </w:tc>
      </w:tr>
      <w:tr w:rsidR="00F554A7" w14:paraId="1B2F5CCD" w14:textId="77777777" w:rsidTr="00F92A89">
        <w:trPr>
          <w:gridBefore w:val="1"/>
        </w:trPr>
        <w:tc>
          <w:tcPr>
            <w:tcW w:w="1696" w:type="dxa"/>
          </w:tcPr>
          <w:p w14:paraId="00000214" w14:textId="77777777" w:rsidR="00F554A7" w:rsidRDefault="007A75BF" w:rsidP="00F92A89">
            <w:pPr>
              <w:pStyle w:val="Tabletext0"/>
              <w:rPr>
                <w:vertAlign w:val="superscript"/>
              </w:rPr>
            </w:pPr>
            <w:r w:rsidRPr="001E7563">
              <w:t>8.6/100,000</w:t>
            </w:r>
            <w:r>
              <w:rPr>
                <w:vertAlign w:val="superscript"/>
              </w:rPr>
              <w:t>d</w:t>
            </w:r>
          </w:p>
        </w:tc>
        <w:tc>
          <w:tcPr>
            <w:tcW w:w="2127" w:type="dxa"/>
          </w:tcPr>
          <w:p w14:paraId="00000215" w14:textId="77777777" w:rsidR="00F554A7" w:rsidRDefault="007A75BF" w:rsidP="00F92A89">
            <w:pPr>
              <w:pStyle w:val="Tabletext0"/>
            </w:pPr>
            <w:r w:rsidRPr="001E7563">
              <w:t>86</w:t>
            </w:r>
          </w:p>
        </w:tc>
        <w:tc>
          <w:tcPr>
            <w:tcW w:w="1275" w:type="dxa"/>
          </w:tcPr>
          <w:p w14:paraId="00000216" w14:textId="77777777" w:rsidR="00F554A7" w:rsidRDefault="007A75BF" w:rsidP="00F92A89">
            <w:pPr>
              <w:pStyle w:val="Tabletext0"/>
            </w:pPr>
            <w:r w:rsidRPr="001E7563">
              <w:t>55</w:t>
            </w:r>
          </w:p>
        </w:tc>
        <w:tc>
          <w:tcPr>
            <w:tcW w:w="1276" w:type="dxa"/>
          </w:tcPr>
          <w:p w14:paraId="00000217" w14:textId="77777777" w:rsidR="00F554A7" w:rsidRDefault="007A75BF" w:rsidP="00F92A89">
            <w:pPr>
              <w:pStyle w:val="Tabletext0"/>
            </w:pPr>
            <w:r w:rsidRPr="001E7563">
              <w:t>85</w:t>
            </w:r>
          </w:p>
        </w:tc>
        <w:tc>
          <w:tcPr>
            <w:tcW w:w="1346" w:type="dxa"/>
          </w:tcPr>
          <w:p w14:paraId="00000218" w14:textId="77777777" w:rsidR="00F554A7" w:rsidRDefault="007A75BF" w:rsidP="00F92A89">
            <w:pPr>
              <w:pStyle w:val="Tabletext0"/>
            </w:pPr>
            <w:r w:rsidRPr="001E7563">
              <w:t>0-6</w:t>
            </w:r>
          </w:p>
        </w:tc>
        <w:tc>
          <w:tcPr>
            <w:tcW w:w="1347" w:type="dxa"/>
            <w:gridSpan w:val="2"/>
          </w:tcPr>
          <w:p w14:paraId="00000219" w14:textId="77777777" w:rsidR="00F554A7" w:rsidRDefault="007A75BF" w:rsidP="00F92A89">
            <w:pPr>
              <w:pStyle w:val="Tabletext0"/>
            </w:pPr>
            <w:r w:rsidRPr="001E7563">
              <w:t>1-16</w:t>
            </w:r>
          </w:p>
        </w:tc>
      </w:tr>
    </w:tbl>
    <w:p w14:paraId="0000021A" w14:textId="77777777" w:rsidR="00F554A7" w:rsidRPr="00F92A89" w:rsidRDefault="007A75BF" w:rsidP="00F92A89">
      <w:pPr>
        <w:pStyle w:val="Tablenotes0"/>
      </w:pPr>
      <w:r w:rsidRPr="00F92A89">
        <w:t>NBS = newborn bloodspot screening</w:t>
      </w:r>
    </w:p>
    <w:p w14:paraId="0000021B" w14:textId="77777777" w:rsidR="00F554A7" w:rsidRPr="00F92A89" w:rsidRDefault="007A75BF" w:rsidP="00F92A89">
      <w:pPr>
        <w:pStyle w:val="Tablenotes0"/>
      </w:pPr>
      <w:r w:rsidRPr="00F92A89">
        <w:t xml:space="preserve">Notes: </w:t>
      </w:r>
      <w:r w:rsidRPr="00F92A89">
        <w:rPr>
          <w:b/>
          <w:bCs/>
        </w:rPr>
        <w:t>a.</w:t>
      </w:r>
      <w:r w:rsidRPr="00F92A89">
        <w:t xml:space="preserve"> figures are rounded to whole numbers</w:t>
      </w:r>
    </w:p>
    <w:p w14:paraId="0000021C" w14:textId="64EA2D50" w:rsidR="00F554A7" w:rsidRPr="00F92A89" w:rsidRDefault="007A75BF" w:rsidP="00F92A89">
      <w:pPr>
        <w:pStyle w:val="Tablenotes0"/>
      </w:pPr>
      <w:r w:rsidRPr="00F92A89">
        <w:rPr>
          <w:b/>
          <w:bCs/>
        </w:rPr>
        <w:t>b.</w:t>
      </w:r>
      <w:r w:rsidRPr="00F92A89">
        <w:t xml:space="preserve"> Source: (Argent et al. 2012) </w:t>
      </w:r>
    </w:p>
    <w:p w14:paraId="0000021D" w14:textId="77777777" w:rsidR="00F554A7" w:rsidRPr="00F92A89" w:rsidRDefault="007A75BF" w:rsidP="00F92A89">
      <w:pPr>
        <w:pStyle w:val="Tablenotes0"/>
      </w:pPr>
      <w:r w:rsidRPr="00F92A89">
        <w:rPr>
          <w:b/>
          <w:bCs/>
        </w:rPr>
        <w:t>c.</w:t>
      </w:r>
      <w:r w:rsidRPr="00F92A89">
        <w:t xml:space="preserve"> Source: Expert opinion from Monash Medical Centre (99% of cases identified by targeted testing)</w:t>
      </w:r>
    </w:p>
    <w:p w14:paraId="0000021E" w14:textId="77777777" w:rsidR="00F554A7" w:rsidRPr="00F92A89" w:rsidRDefault="007A75BF" w:rsidP="00F92A89">
      <w:pPr>
        <w:pStyle w:val="Tablenotes0"/>
      </w:pPr>
      <w:r w:rsidRPr="00F92A89">
        <w:rPr>
          <w:b/>
          <w:bCs/>
        </w:rPr>
        <w:t>d.</w:t>
      </w:r>
      <w:r w:rsidRPr="00F92A89">
        <w:t xml:space="preserve"> Source: Based on data from PathWest</w:t>
      </w:r>
    </w:p>
    <w:p w14:paraId="0000021F" w14:textId="55883D28" w:rsidR="00F554A7" w:rsidRDefault="007A75BF">
      <w:pPr>
        <w:pStyle w:val="Tablenotes0"/>
      </w:pPr>
      <w:r w:rsidRPr="00F92A89">
        <w:rPr>
          <w:b/>
          <w:bCs/>
        </w:rPr>
        <w:t>e.</w:t>
      </w:r>
      <w:r w:rsidRPr="00F92A89">
        <w:t xml:space="preserve"> Source: (DHS 2002) (64% of cases identified as at pregnancies</w:t>
      </w:r>
    </w:p>
    <w:p w14:paraId="7FB6F215" w14:textId="6BF5975D" w:rsidR="00F9444A" w:rsidRPr="00F92A89" w:rsidRDefault="00F9444A" w:rsidP="00F92A89">
      <w:pPr>
        <w:pStyle w:val="Tablenotes0"/>
      </w:pPr>
      <w:r>
        <w:t xml:space="preserve">Table source: </w:t>
      </w:r>
      <w:r w:rsidR="005B72C0">
        <w:t>DCAR Table 12.</w:t>
      </w:r>
    </w:p>
    <w:p w14:paraId="00000220" w14:textId="1C7155CB" w:rsidR="00F554A7" w:rsidRDefault="007A75BF">
      <w:r>
        <w:t xml:space="preserve">There </w:t>
      </w:r>
      <w:r w:rsidR="002A1FA1">
        <w:t xml:space="preserve">were </w:t>
      </w:r>
      <w:r>
        <w:t xml:space="preserve">insufficient data to estimate the clinical utility separately for the diagnosis by NBS for SCD and </w:t>
      </w:r>
      <w:r>
        <w:rPr>
          <w:rFonts w:ascii="Calibri" w:eastAsia="Calibri" w:hAnsi="Calibri" w:cs="Calibri"/>
        </w:rPr>
        <w:t>β</w:t>
      </w:r>
      <w:r>
        <w:t>-thalassaemia.</w:t>
      </w:r>
    </w:p>
    <w:p w14:paraId="00000221" w14:textId="42F504CB" w:rsidR="00F554A7" w:rsidRDefault="007A75BF">
      <w:r>
        <w:t xml:space="preserve">There </w:t>
      </w:r>
      <w:r w:rsidR="002A1FA1">
        <w:t xml:space="preserve">were </w:t>
      </w:r>
      <w:r>
        <w:t>insufficient data to estimate the clinical utility for cascade testing of family members.</w:t>
      </w:r>
    </w:p>
    <w:p w14:paraId="00000222" w14:textId="77777777" w:rsidR="00F554A7" w:rsidRDefault="007A75BF">
      <w:pPr>
        <w:pStyle w:val="Heading3"/>
      </w:pPr>
      <w:bookmarkStart w:id="76" w:name="_heading=h.vx1227" w:colFirst="0" w:colLast="0"/>
      <w:bookmarkStart w:id="77" w:name="_Toc132821928"/>
      <w:bookmarkEnd w:id="76"/>
      <w:r>
        <w:t>Clinical claim</w:t>
      </w:r>
      <w:bookmarkEnd w:id="77"/>
    </w:p>
    <w:p w14:paraId="00000223" w14:textId="77777777" w:rsidR="00F554A7" w:rsidRDefault="007A75BF">
      <w:pPr>
        <w:pStyle w:val="Heading4"/>
      </w:pPr>
      <w:r>
        <w:t>Newborns participating in NBS programs</w:t>
      </w:r>
    </w:p>
    <w:p w14:paraId="00000224" w14:textId="77777777" w:rsidR="00F554A7" w:rsidRDefault="007A75BF">
      <w:r>
        <w:t xml:space="preserve">The use of NBS for SCD (early diagnosis) resulted in superior effectiveness compared with no NBS for SCD (late diagnosis) in infants and children up to 5 years of age. This outcome was highly dependent on the prevalence of SCD and the effectiveness of targeted testing approaches. </w:t>
      </w:r>
    </w:p>
    <w:p w14:paraId="00000225" w14:textId="77777777" w:rsidR="00F554A7" w:rsidRDefault="007A75BF">
      <w:r>
        <w:t>The use of NBS for SCD (early diagnosis) resulted in noninferior safety compared with no NBS (late diagnosis).</w:t>
      </w:r>
    </w:p>
    <w:p w14:paraId="00000226" w14:textId="77777777" w:rsidR="00F554A7" w:rsidRDefault="007A75BF">
      <w:r>
        <w:t>There were insufficient data to determine the incremental effectiveness or safety of NBS for SCD over targeted neonatal screening.</w:t>
      </w:r>
    </w:p>
    <w:p w14:paraId="00000227" w14:textId="77777777" w:rsidR="00F554A7" w:rsidRDefault="007A75BF">
      <w:r>
        <w:t xml:space="preserve">There were insufficient data to determine the incremental effectiveness or safety of NBS for SCD and </w:t>
      </w:r>
      <w:r>
        <w:rPr>
          <w:rFonts w:ascii="Calibri" w:eastAsia="Calibri" w:hAnsi="Calibri" w:cs="Calibri"/>
        </w:rPr>
        <w:t>β</w:t>
      </w:r>
      <w:r>
        <w:t xml:space="preserve">-thalassaemia over NBS for SCD alone for infants and children up to 5 years of age. However, it could be assumed that additional </w:t>
      </w:r>
      <w:r>
        <w:rPr>
          <w:rFonts w:ascii="Calibri" w:eastAsia="Calibri" w:hAnsi="Calibri" w:cs="Calibri"/>
        </w:rPr>
        <w:t>β</w:t>
      </w:r>
      <w:r>
        <w:t>-thalassaemia cases would be identified early by NBS.</w:t>
      </w:r>
    </w:p>
    <w:p w14:paraId="00000228" w14:textId="77777777" w:rsidR="00F554A7" w:rsidRDefault="007A75BF">
      <w:pPr>
        <w:pStyle w:val="Heading4"/>
      </w:pPr>
      <w:r>
        <w:t xml:space="preserve">Family members eligible for cascade testing </w:t>
      </w:r>
    </w:p>
    <w:p w14:paraId="00000229" w14:textId="77777777" w:rsidR="00F554A7" w:rsidRDefault="007A75BF">
      <w:r>
        <w:t xml:space="preserve">There was insufficient data to determine the safety and effectiveness of cascade testing of family members of newborns diagnosed with SCD or </w:t>
      </w:r>
      <w:r>
        <w:rPr>
          <w:rFonts w:ascii="Calibri" w:eastAsia="Calibri" w:hAnsi="Calibri" w:cs="Calibri"/>
        </w:rPr>
        <w:t>β</w:t>
      </w:r>
      <w:r>
        <w:t xml:space="preserve">-thalassaemia. </w:t>
      </w:r>
    </w:p>
    <w:p w14:paraId="0000022A" w14:textId="237D2750" w:rsidR="00F554A7" w:rsidRDefault="007A75BF">
      <w:r>
        <w:t>A key benefit of cascade testing is likely to be the value of knowing, so that family members can make informed future reproductive choices</w:t>
      </w:r>
      <w:r w:rsidR="00975CB5">
        <w:t>.</w:t>
      </w:r>
      <w:r>
        <w:t xml:space="preserve"> There is also the potential of identifying children with SCD who are pre-symptomatic.</w:t>
      </w:r>
    </w:p>
    <w:p w14:paraId="0000022B" w14:textId="77777777" w:rsidR="00F554A7" w:rsidRDefault="007A75BF" w:rsidP="001E7563">
      <w:pPr>
        <w:pStyle w:val="Heading2"/>
        <w:numPr>
          <w:ilvl w:val="0"/>
          <w:numId w:val="0"/>
        </w:numPr>
      </w:pPr>
      <w:bookmarkStart w:id="78" w:name="_heading=h.3fwokq0" w:colFirst="0" w:colLast="0"/>
      <w:bookmarkStart w:id="79" w:name="_Toc132821929"/>
      <w:bookmarkEnd w:id="78"/>
      <w:r>
        <w:t>13.</w:t>
      </w:r>
      <w:r>
        <w:tab/>
        <w:t>Economic evaluation</w:t>
      </w:r>
      <w:bookmarkEnd w:id="79"/>
    </w:p>
    <w:p w14:paraId="0000022C" w14:textId="02F21093" w:rsidR="00F554A7" w:rsidRDefault="007A75BF">
      <w:r>
        <w:t xml:space="preserve">While the use of NBS for SCD was associated with a clinical claim of superior effectiveness and noninferior safety, the evidence base had limited applicability to the current Australian context </w:t>
      </w:r>
      <w:r>
        <w:lastRenderedPageBreak/>
        <w:t xml:space="preserve">due to the availability of pneumococcal vaccinations in all newborns as early as two months and early diagnosis through prior parental testing of high-risk couples. It was recognised that current targeted testing methods did miss some affected cases, and so there would be a benefit in terms of earlier diagnoses though universal NBS, </w:t>
      </w:r>
      <w:r w:rsidR="36B033FB">
        <w:t xml:space="preserve">but </w:t>
      </w:r>
      <w:r>
        <w:t xml:space="preserve">the extent of this benefit could not be quantified to the Australian context. Likely change in management that could be expected in practice included additional vaccinations (at 6 months and 4 years) and parental education on symptoms resulting in better management of SCD. However, insufficient evidence was available to translate the incremental benefit of these changes into patient-relevant outcomes, beyond early diagnosis of a clinically significant case. Therefore, the outcome modelled was limited to the incremental cost per additional early diagnosis of a clinically significant case. </w:t>
      </w:r>
    </w:p>
    <w:p w14:paraId="0000022D" w14:textId="210B89F6" w:rsidR="00F554A7" w:rsidRDefault="007A75BF">
      <w:r w:rsidRPr="00F92A89">
        <w:t>No clinical claims could be made regarding the further expansion of the program to include both SCD and β-thalassemia. Therefore, further analyses based on expansions to include β</w:t>
      </w:r>
      <w:r w:rsidR="00AC3CA4">
        <w:noBreakHyphen/>
      </w:r>
      <w:r w:rsidRPr="00F92A89">
        <w:t>thalassemia could be considered as exploratory only, as the benefits quantified in terms of additional early diagnoses were more difficult to interpret. As such, alternate funding scenarios were presented for the decision to add SCD screening alone to the NBS, to adding both SCD and β</w:t>
      </w:r>
      <w:r w:rsidR="00AC3CA4">
        <w:noBreakHyphen/>
      </w:r>
      <w:r w:rsidRPr="00F92A89">
        <w:t>thalassemia to the NBS. Marginal analyses would be presented, in line with what was proposed in the PICO Confirmation, for moving between these scenarios.</w:t>
      </w:r>
    </w:p>
    <w:p w14:paraId="0000022E" w14:textId="77777777" w:rsidR="00F554A7" w:rsidRDefault="007A75BF">
      <w:r>
        <w:t>As suggested in the PICO confirmation, the primary comparator to universal NBS for the haemoglobinopathies was no NBS. In the absence of universal NBS, those individuals who were affected were assumed only to be investigated after presenting with clinical features of a haemoglobinopathy. The effect of prenatal or neonatal testing where parents’ carrier status had previously been identified, and targeted newborn screening (based on ancestry only, in the absence of parental risk assessment) was therefore considered only in the secondary comparison. Expert opinion provided during the development of the DCAR had suggested that symptomatic identification occurred only in the minority of cases, and as such the results of the analyses against both comparisons were presented side-by-side.</w:t>
      </w:r>
    </w:p>
    <w:p w14:paraId="0000022F" w14:textId="77777777" w:rsidR="00F554A7" w:rsidRDefault="007A75BF">
      <w:r>
        <w:t xml:space="preserve">A stepped approach was used to generate the base case analysis that incorporated key assumptions and different aspects of the linked evidence separately to distinguish the effect of each of these on the results. </w:t>
      </w:r>
    </w:p>
    <w:p w14:paraId="00000230" w14:textId="029CEE01" w:rsidR="00F554A7" w:rsidRDefault="007A75BF">
      <w:r>
        <w:t xml:space="preserve">A summary of the key components of the economic evaluation is presented in </w:t>
      </w:r>
      <w:r w:rsidR="00AC3CA4">
        <w:fldChar w:fldCharType="begin"/>
      </w:r>
      <w:r w:rsidR="00AC3CA4">
        <w:instrText xml:space="preserve"> REF _Ref69725820 \h </w:instrText>
      </w:r>
      <w:r w:rsidR="00AC3CA4">
        <w:fldChar w:fldCharType="separate"/>
      </w:r>
      <w:r w:rsidR="006E058E" w:rsidRPr="00F92A89">
        <w:rPr>
          <w:rFonts w:eastAsia="Arial Narrow"/>
        </w:rPr>
        <w:t>Table </w:t>
      </w:r>
      <w:r w:rsidR="006E058E">
        <w:rPr>
          <w:noProof/>
        </w:rPr>
        <w:t>13</w:t>
      </w:r>
      <w:r w:rsidR="00AC3CA4">
        <w:fldChar w:fldCharType="end"/>
      </w:r>
      <w:r w:rsidR="00AC3CA4" w:rsidRPr="00353979">
        <w:t>.</w:t>
      </w:r>
    </w:p>
    <w:p w14:paraId="00000231" w14:textId="22F53434" w:rsidR="00F554A7" w:rsidRPr="00F92A89" w:rsidRDefault="007A75BF" w:rsidP="00F92A89">
      <w:pPr>
        <w:pStyle w:val="Caption"/>
        <w:tabs>
          <w:tab w:val="left" w:pos="1134"/>
        </w:tabs>
        <w:ind w:left="1134" w:hanging="1134"/>
        <w:rPr>
          <w:rFonts w:eastAsia="Arial Narrow"/>
          <w:b w:val="0"/>
        </w:rPr>
      </w:pPr>
      <w:bookmarkStart w:id="80" w:name="_heading=h.1v1yuxt" w:colFirst="0" w:colLast="0"/>
      <w:bookmarkStart w:id="81" w:name="_Ref69725820"/>
      <w:bookmarkEnd w:id="80"/>
      <w:r w:rsidRPr="00F92A89">
        <w:rPr>
          <w:rFonts w:eastAsia="Arial Narrow"/>
        </w:rPr>
        <w:lastRenderedPageBreak/>
        <w:t>Table </w:t>
      </w:r>
      <w:r w:rsidR="00AC3CA4" w:rsidRPr="00CE28E3">
        <w:rPr>
          <w:noProof/>
        </w:rPr>
        <w:fldChar w:fldCharType="begin"/>
      </w:r>
      <w:r w:rsidR="00AC3CA4" w:rsidRPr="00CE28E3">
        <w:rPr>
          <w:noProof/>
        </w:rPr>
        <w:instrText xml:space="preserve"> SEQ Table \* ARABIC </w:instrText>
      </w:r>
      <w:r w:rsidR="00AC3CA4" w:rsidRPr="00CE28E3">
        <w:rPr>
          <w:noProof/>
        </w:rPr>
        <w:fldChar w:fldCharType="separate"/>
      </w:r>
      <w:r w:rsidR="006E058E">
        <w:rPr>
          <w:noProof/>
        </w:rPr>
        <w:t>13</w:t>
      </w:r>
      <w:r w:rsidR="00AC3CA4" w:rsidRPr="00CE28E3">
        <w:rPr>
          <w:noProof/>
        </w:rPr>
        <w:fldChar w:fldCharType="end"/>
      </w:r>
      <w:bookmarkEnd w:id="81"/>
      <w:r w:rsidRPr="00F92A89">
        <w:rPr>
          <w:rFonts w:eastAsia="Arial Narrow"/>
        </w:rPr>
        <w:tab/>
        <w:t xml:space="preserve">Summary of the economic evaluation </w:t>
      </w:r>
    </w:p>
    <w:tbl>
      <w:tblPr>
        <w:tblStyle w:val="TableGrid1"/>
        <w:tblW w:w="5000" w:type="pct"/>
        <w:tblLayout w:type="fixed"/>
        <w:tblLook w:val="04A0" w:firstRow="1" w:lastRow="0" w:firstColumn="1" w:lastColumn="0" w:noHBand="0" w:noVBand="1"/>
      </w:tblPr>
      <w:tblGrid>
        <w:gridCol w:w="2317"/>
        <w:gridCol w:w="6699"/>
      </w:tblGrid>
      <w:tr w:rsidR="00F554A7" w14:paraId="338AA817" w14:textId="77777777" w:rsidTr="00F92A89">
        <w:trPr>
          <w:cnfStyle w:val="100000000000" w:firstRow="1" w:lastRow="0" w:firstColumn="0" w:lastColumn="0" w:oddVBand="0" w:evenVBand="0" w:oddHBand="0" w:evenHBand="0" w:firstRowFirstColumn="0" w:firstRowLastColumn="0" w:lastRowFirstColumn="0" w:lastRowLastColumn="0"/>
          <w:tblHeader/>
        </w:trPr>
        <w:tc>
          <w:tcPr>
            <w:tcW w:w="1285" w:type="pct"/>
          </w:tcPr>
          <w:p w14:paraId="00000232" w14:textId="77777777" w:rsidR="00F554A7" w:rsidRPr="001E7563" w:rsidRDefault="007A75BF" w:rsidP="00F92A89">
            <w:pPr>
              <w:pStyle w:val="TableHeading"/>
            </w:pPr>
            <w:bookmarkStart w:id="82" w:name="bookmark=id.4f1mdlm" w:colFirst="0" w:colLast="0"/>
            <w:bookmarkStart w:id="83" w:name="_heading=h.2u6wntf" w:colFirst="0" w:colLast="0"/>
            <w:bookmarkStart w:id="84" w:name="Title_Table5"/>
            <w:bookmarkStart w:id="85" w:name="_Hlk68276446"/>
            <w:bookmarkEnd w:id="82"/>
            <w:bookmarkEnd w:id="83"/>
            <w:bookmarkEnd w:id="84"/>
            <w:r w:rsidRPr="00F92A89">
              <w:t>Component</w:t>
            </w:r>
          </w:p>
        </w:tc>
        <w:tc>
          <w:tcPr>
            <w:tcW w:w="3715" w:type="pct"/>
          </w:tcPr>
          <w:p w14:paraId="00000233" w14:textId="77777777" w:rsidR="00F554A7" w:rsidRPr="001E7563" w:rsidRDefault="007A75BF" w:rsidP="00F92A89">
            <w:pPr>
              <w:pStyle w:val="TableHeading"/>
            </w:pPr>
            <w:r w:rsidRPr="00F92A89">
              <w:t>Description</w:t>
            </w:r>
          </w:p>
        </w:tc>
      </w:tr>
      <w:tr w:rsidR="00F554A7" w14:paraId="695F42BC" w14:textId="77777777" w:rsidTr="00F92A89">
        <w:tc>
          <w:tcPr>
            <w:tcW w:w="1285" w:type="pct"/>
          </w:tcPr>
          <w:p w14:paraId="00000234" w14:textId="77777777" w:rsidR="00F554A7" w:rsidRDefault="007A75BF" w:rsidP="00F92A89">
            <w:pPr>
              <w:pStyle w:val="TableText"/>
              <w:keepNext/>
            </w:pPr>
            <w:r w:rsidRPr="001E7563">
              <w:t>Perspective</w:t>
            </w:r>
          </w:p>
        </w:tc>
        <w:tc>
          <w:tcPr>
            <w:tcW w:w="3715" w:type="pct"/>
          </w:tcPr>
          <w:p w14:paraId="00000235" w14:textId="77777777" w:rsidR="00F554A7" w:rsidRDefault="007A75BF" w:rsidP="00F92A89">
            <w:pPr>
              <w:pStyle w:val="TableText"/>
              <w:keepNext/>
            </w:pPr>
            <w:r w:rsidRPr="001E7563">
              <w:t>Health care system perspective</w:t>
            </w:r>
          </w:p>
        </w:tc>
      </w:tr>
      <w:tr w:rsidR="00F554A7" w14:paraId="069011F9" w14:textId="77777777" w:rsidTr="00F92A89">
        <w:trPr>
          <w:tblHeader/>
        </w:trPr>
        <w:tc>
          <w:tcPr>
            <w:tcW w:w="1285" w:type="pct"/>
          </w:tcPr>
          <w:p w14:paraId="00000236" w14:textId="77777777" w:rsidR="00F554A7" w:rsidRDefault="007A75BF" w:rsidP="00F92A89">
            <w:pPr>
              <w:pStyle w:val="TableText"/>
              <w:keepNext/>
            </w:pPr>
            <w:r w:rsidRPr="001E7563">
              <w:t>Population</w:t>
            </w:r>
          </w:p>
        </w:tc>
        <w:tc>
          <w:tcPr>
            <w:tcW w:w="3715" w:type="pct"/>
          </w:tcPr>
          <w:p w14:paraId="00000237" w14:textId="77777777" w:rsidR="00F554A7" w:rsidRDefault="007A75BF" w:rsidP="00F92A89">
            <w:pPr>
              <w:pStyle w:val="TableText"/>
              <w:keepNext/>
            </w:pPr>
            <w:r w:rsidRPr="001E7563">
              <w:t>Newborn testing: All newborns</w:t>
            </w:r>
            <w:r>
              <w:t xml:space="preserve"> born in Australia</w:t>
            </w:r>
          </w:p>
          <w:p w14:paraId="00000238" w14:textId="77777777" w:rsidR="00F554A7" w:rsidRDefault="007A75BF" w:rsidP="00F92A89">
            <w:pPr>
              <w:pStyle w:val="TableText"/>
              <w:keepNext/>
            </w:pPr>
            <w:r w:rsidRPr="001E7563">
              <w:t xml:space="preserve">Cascade testing: Immediate family members of </w:t>
            </w:r>
            <w:r>
              <w:t>affected and carrier newborns</w:t>
            </w:r>
          </w:p>
        </w:tc>
      </w:tr>
      <w:tr w:rsidR="00F554A7" w14:paraId="600E319B" w14:textId="77777777" w:rsidTr="00F92A89">
        <w:tc>
          <w:tcPr>
            <w:tcW w:w="1285" w:type="pct"/>
          </w:tcPr>
          <w:p w14:paraId="00000239" w14:textId="77777777" w:rsidR="00F554A7" w:rsidRDefault="007A75BF" w:rsidP="00F92A89">
            <w:pPr>
              <w:pStyle w:val="TableText"/>
              <w:keepNext/>
            </w:pPr>
            <w:r w:rsidRPr="001E7563">
              <w:t>Comparator</w:t>
            </w:r>
          </w:p>
        </w:tc>
        <w:tc>
          <w:tcPr>
            <w:tcW w:w="3715" w:type="pct"/>
          </w:tcPr>
          <w:p w14:paraId="0000023A" w14:textId="77777777" w:rsidR="00F554A7" w:rsidRDefault="007A75BF" w:rsidP="00F92A89">
            <w:pPr>
              <w:pStyle w:val="TableText"/>
              <w:keepNext/>
            </w:pPr>
            <w:r w:rsidRPr="001E7563">
              <w:t>Primary: No NBS</w:t>
            </w:r>
          </w:p>
          <w:p w14:paraId="0000023B" w14:textId="77777777" w:rsidR="00F554A7" w:rsidRDefault="007A75BF" w:rsidP="00F92A89">
            <w:pPr>
              <w:pStyle w:val="TableText"/>
              <w:keepNext/>
            </w:pPr>
            <w:r w:rsidRPr="001E7563">
              <w:t xml:space="preserve">Secondary: Targeted testing of high-risk </w:t>
            </w:r>
            <w:r>
              <w:t>newborns along with symptomatic identification of disease in cases missed through targeted testing</w:t>
            </w:r>
          </w:p>
        </w:tc>
      </w:tr>
      <w:tr w:rsidR="00F554A7" w14:paraId="1B91F156" w14:textId="77777777" w:rsidTr="00F92A89">
        <w:tc>
          <w:tcPr>
            <w:tcW w:w="1285" w:type="pct"/>
          </w:tcPr>
          <w:p w14:paraId="0000023C" w14:textId="77777777" w:rsidR="00F554A7" w:rsidRDefault="007A75BF" w:rsidP="00F92A89">
            <w:pPr>
              <w:pStyle w:val="TableText"/>
              <w:keepNext/>
            </w:pPr>
            <w:r w:rsidRPr="001E7563">
              <w:t>Type(s) of analysis</w:t>
            </w:r>
          </w:p>
        </w:tc>
        <w:tc>
          <w:tcPr>
            <w:tcW w:w="3715" w:type="pct"/>
          </w:tcPr>
          <w:p w14:paraId="0000023D" w14:textId="77777777" w:rsidR="00F554A7" w:rsidRDefault="007A75BF" w:rsidP="00F92A89">
            <w:pPr>
              <w:pStyle w:val="TableText"/>
              <w:keepNext/>
            </w:pPr>
            <w:r w:rsidRPr="001E7563">
              <w:t>C</w:t>
            </w:r>
            <w:r>
              <w:t>ost-effectiveness analysis</w:t>
            </w:r>
          </w:p>
        </w:tc>
      </w:tr>
      <w:tr w:rsidR="00F554A7" w14:paraId="48E4248B" w14:textId="77777777" w:rsidTr="00F92A89">
        <w:tc>
          <w:tcPr>
            <w:tcW w:w="1285" w:type="pct"/>
          </w:tcPr>
          <w:p w14:paraId="0000023E" w14:textId="77777777" w:rsidR="00F554A7" w:rsidRDefault="007A75BF" w:rsidP="00F92A89">
            <w:pPr>
              <w:pStyle w:val="TableText"/>
              <w:keepNext/>
            </w:pPr>
            <w:r w:rsidRPr="001E7563">
              <w:t>Outcomes</w:t>
            </w:r>
          </w:p>
        </w:tc>
        <w:tc>
          <w:tcPr>
            <w:tcW w:w="3715" w:type="pct"/>
          </w:tcPr>
          <w:p w14:paraId="0000023F" w14:textId="77777777" w:rsidR="00F554A7" w:rsidRDefault="007A75BF" w:rsidP="00F92A89">
            <w:pPr>
              <w:pStyle w:val="TableText"/>
              <w:keepNext/>
            </w:pPr>
            <w:r w:rsidRPr="001E7563">
              <w:t>Newborns:</w:t>
            </w:r>
          </w:p>
          <w:p w14:paraId="00000240" w14:textId="77777777" w:rsidR="00F554A7" w:rsidRDefault="007A75BF" w:rsidP="00F92A89">
            <w:pPr>
              <w:pStyle w:val="TableText"/>
              <w:keepNext/>
              <w:numPr>
                <w:ilvl w:val="0"/>
                <w:numId w:val="31"/>
              </w:numPr>
            </w:pPr>
            <w:r w:rsidRPr="001E7563">
              <w:t xml:space="preserve">Additional early </w:t>
            </w:r>
            <w:r>
              <w:t>diagnosis of clinically significant cases</w:t>
            </w:r>
          </w:p>
          <w:p w14:paraId="00000241" w14:textId="77777777" w:rsidR="00F554A7" w:rsidRDefault="007A75BF" w:rsidP="00F92A89">
            <w:pPr>
              <w:pStyle w:val="TableText"/>
              <w:keepNext/>
              <w:numPr>
                <w:ilvl w:val="0"/>
                <w:numId w:val="31"/>
              </w:numPr>
            </w:pPr>
            <w:r w:rsidRPr="001E7563">
              <w:t xml:space="preserve">Additional carriers </w:t>
            </w:r>
            <w:r>
              <w:t>identified</w:t>
            </w:r>
          </w:p>
          <w:p w14:paraId="00000242" w14:textId="77777777" w:rsidR="00F554A7" w:rsidRDefault="007A75BF" w:rsidP="00F92A89">
            <w:pPr>
              <w:pStyle w:val="TableText"/>
              <w:keepNext/>
            </w:pPr>
            <w:r w:rsidRPr="001E7563">
              <w:t>Cascade:</w:t>
            </w:r>
          </w:p>
          <w:p w14:paraId="00000243" w14:textId="77777777" w:rsidR="00F554A7" w:rsidRDefault="007A75BF" w:rsidP="00F92A89">
            <w:pPr>
              <w:pStyle w:val="TableText"/>
              <w:keepNext/>
              <w:numPr>
                <w:ilvl w:val="0"/>
                <w:numId w:val="31"/>
              </w:numPr>
            </w:pPr>
            <w:r w:rsidRPr="001E7563">
              <w:t>Additional carriers identified</w:t>
            </w:r>
          </w:p>
        </w:tc>
      </w:tr>
      <w:tr w:rsidR="00F554A7" w14:paraId="735ABA17" w14:textId="77777777" w:rsidTr="00F92A89">
        <w:tc>
          <w:tcPr>
            <w:tcW w:w="1285" w:type="pct"/>
          </w:tcPr>
          <w:p w14:paraId="00000244" w14:textId="77777777" w:rsidR="00F554A7" w:rsidRDefault="007A75BF" w:rsidP="00F92A89">
            <w:pPr>
              <w:pStyle w:val="TableText"/>
              <w:keepNext/>
            </w:pPr>
            <w:r w:rsidRPr="001E7563">
              <w:t>Time horizon</w:t>
            </w:r>
          </w:p>
        </w:tc>
        <w:tc>
          <w:tcPr>
            <w:tcW w:w="3715" w:type="pct"/>
          </w:tcPr>
          <w:p w14:paraId="00000245" w14:textId="77777777" w:rsidR="00F554A7" w:rsidRDefault="007A75BF" w:rsidP="00F92A89">
            <w:pPr>
              <w:pStyle w:val="TableText"/>
              <w:keepNext/>
            </w:pPr>
            <w:r w:rsidRPr="001E7563">
              <w:t>Average age at diagnosis through symptomatic identification only</w:t>
            </w:r>
            <w:r>
              <w:t xml:space="preserve"> (one year)</w:t>
            </w:r>
          </w:p>
        </w:tc>
      </w:tr>
      <w:tr w:rsidR="00F554A7" w14:paraId="7AA1FD23" w14:textId="77777777" w:rsidTr="00F92A89">
        <w:tc>
          <w:tcPr>
            <w:tcW w:w="1285" w:type="pct"/>
          </w:tcPr>
          <w:p w14:paraId="00000246" w14:textId="77777777" w:rsidR="00F554A7" w:rsidRDefault="007A75BF" w:rsidP="00F92A89">
            <w:pPr>
              <w:pStyle w:val="TableText"/>
              <w:keepNext/>
            </w:pPr>
            <w:r w:rsidRPr="001E7563">
              <w:t>Computational method</w:t>
            </w:r>
          </w:p>
        </w:tc>
        <w:tc>
          <w:tcPr>
            <w:tcW w:w="3715" w:type="pct"/>
          </w:tcPr>
          <w:p w14:paraId="00000247" w14:textId="77777777" w:rsidR="00F554A7" w:rsidRDefault="007A75BF" w:rsidP="00F92A89">
            <w:pPr>
              <w:pStyle w:val="TableText"/>
              <w:keepNext/>
            </w:pPr>
            <w:r w:rsidRPr="001E7563">
              <w:t>Decision tree analysis</w:t>
            </w:r>
          </w:p>
        </w:tc>
      </w:tr>
      <w:tr w:rsidR="00F554A7" w14:paraId="3379206D" w14:textId="77777777" w:rsidTr="00F92A89">
        <w:tc>
          <w:tcPr>
            <w:tcW w:w="1285" w:type="pct"/>
          </w:tcPr>
          <w:p w14:paraId="00000248" w14:textId="77777777" w:rsidR="00F554A7" w:rsidRDefault="007A75BF" w:rsidP="00F92A89">
            <w:pPr>
              <w:pStyle w:val="TableText"/>
              <w:keepNext/>
            </w:pPr>
            <w:r w:rsidRPr="001E7563">
              <w:t>Generation of the base case</w:t>
            </w:r>
          </w:p>
        </w:tc>
        <w:tc>
          <w:tcPr>
            <w:tcW w:w="3715" w:type="pct"/>
          </w:tcPr>
          <w:p w14:paraId="00000249" w14:textId="77777777" w:rsidR="00F554A7" w:rsidRDefault="007A75BF" w:rsidP="00F92A89">
            <w:pPr>
              <w:pStyle w:val="TableText"/>
              <w:keepNext/>
            </w:pPr>
            <w:r w:rsidRPr="001E7563">
              <w:t xml:space="preserve">Modelled stepped analysis, </w:t>
            </w:r>
            <w:r>
              <w:t>incorporating different aspects of the linked evidence and other key model assumptions separately to distinguish the effect of each of these on the results.</w:t>
            </w:r>
          </w:p>
        </w:tc>
      </w:tr>
      <w:tr w:rsidR="00F554A7" w14:paraId="48DDC10D" w14:textId="77777777" w:rsidTr="00F92A89">
        <w:tc>
          <w:tcPr>
            <w:tcW w:w="1285" w:type="pct"/>
          </w:tcPr>
          <w:p w14:paraId="0000024A" w14:textId="77777777" w:rsidR="00F554A7" w:rsidRPr="001E7563" w:rsidRDefault="007A75BF" w:rsidP="00F92A89">
            <w:pPr>
              <w:pStyle w:val="TableText"/>
              <w:keepNext/>
            </w:pPr>
            <w:r w:rsidRPr="001E7563">
              <w:t>Transition probabilities</w:t>
            </w:r>
          </w:p>
        </w:tc>
        <w:tc>
          <w:tcPr>
            <w:tcW w:w="3715" w:type="pct"/>
          </w:tcPr>
          <w:p w14:paraId="0000024B" w14:textId="77777777" w:rsidR="00F554A7" w:rsidRDefault="007A75BF" w:rsidP="00F92A89">
            <w:pPr>
              <w:pStyle w:val="TableText"/>
              <w:keepNext/>
            </w:pPr>
            <w:r w:rsidRPr="001E7563">
              <w:t xml:space="preserve">Incidence of haemoglobinopathy: Expert opinion to reflect the contemporary setting. Estimates of the incidence of carriers of haemoglobinopathy in newborns was not identified. The ratio of carriers per affected newborn case </w:t>
            </w:r>
            <w:r>
              <w:t>(23.2 : 1) based on the studies included in report was used to estimate the incidence of carriers in the cohort for screening.</w:t>
            </w:r>
          </w:p>
          <w:p w14:paraId="0000024C" w14:textId="77777777" w:rsidR="00F554A7" w:rsidRDefault="007A75BF" w:rsidP="00F92A89">
            <w:pPr>
              <w:pStyle w:val="TableText"/>
              <w:keepNext/>
            </w:pPr>
            <w:r w:rsidRPr="001E7563">
              <w:t>Current targeted testing (secondary comparison only): Based on published estimates and expert opinion</w:t>
            </w:r>
          </w:p>
          <w:p w14:paraId="0000024D" w14:textId="65743D70" w:rsidR="00F554A7" w:rsidRDefault="007A75BF" w:rsidP="00F92A89">
            <w:pPr>
              <w:pStyle w:val="TableText"/>
              <w:keepNext/>
            </w:pPr>
            <w:r w:rsidRPr="001E7563">
              <w:t xml:space="preserve">Test performance: Performance of first-tier screening (100% for SCD and 98.5% for </w:t>
            </w:r>
            <w:r w:rsidR="00AC3CA4">
              <w:rPr>
                <w:rFonts w:ascii="Symbol" w:eastAsia="Symbol" w:hAnsi="Symbol" w:cs="Symbol"/>
              </w:rPr>
              <w:t></w:t>
            </w:r>
            <w:r w:rsidR="00AC3CA4">
              <w:t>-</w:t>
            </w:r>
            <w:r w:rsidRPr="001E7563">
              <w:t xml:space="preserve">thalassemia) was as based on reported evidence. Second tier screening was assumed to have 100% sensitivity and specificity. </w:t>
            </w:r>
          </w:p>
          <w:p w14:paraId="0000024E" w14:textId="77777777" w:rsidR="00F554A7" w:rsidRPr="001E7563" w:rsidRDefault="007A75BF" w:rsidP="00F92A89">
            <w:pPr>
              <w:pStyle w:val="TableText"/>
              <w:keepNext/>
            </w:pPr>
            <w:r w:rsidRPr="001E7563">
              <w:t>Yield of cascade screening: Mendelian inheritance was assumed and varied by newborn status.</w:t>
            </w:r>
          </w:p>
        </w:tc>
      </w:tr>
      <w:tr w:rsidR="00F554A7" w14:paraId="7E43E630" w14:textId="77777777" w:rsidTr="00F92A89">
        <w:tc>
          <w:tcPr>
            <w:tcW w:w="1285" w:type="pct"/>
          </w:tcPr>
          <w:p w14:paraId="0000024F" w14:textId="77777777" w:rsidR="00F554A7" w:rsidRDefault="007A75BF" w:rsidP="00F92A89">
            <w:pPr>
              <w:pStyle w:val="TableText"/>
              <w:keepNext/>
            </w:pPr>
            <w:r w:rsidRPr="001E7563">
              <w:t>Discount rate</w:t>
            </w:r>
          </w:p>
        </w:tc>
        <w:tc>
          <w:tcPr>
            <w:tcW w:w="3715" w:type="pct"/>
          </w:tcPr>
          <w:p w14:paraId="00000250" w14:textId="77777777" w:rsidR="00F554A7" w:rsidRDefault="007A75BF" w:rsidP="00F92A89">
            <w:pPr>
              <w:pStyle w:val="TableText"/>
              <w:keepNext/>
            </w:pPr>
            <w:r w:rsidRPr="001E7563">
              <w:t xml:space="preserve">Not applied (time </w:t>
            </w:r>
            <w:r>
              <w:t>horizon less than one year)</w:t>
            </w:r>
          </w:p>
        </w:tc>
      </w:tr>
      <w:tr w:rsidR="00F554A7" w14:paraId="0DE2B0CF" w14:textId="77777777" w:rsidTr="00F92A89">
        <w:tc>
          <w:tcPr>
            <w:tcW w:w="1285" w:type="pct"/>
          </w:tcPr>
          <w:p w14:paraId="00000251" w14:textId="77777777" w:rsidR="00F554A7" w:rsidRDefault="007A75BF" w:rsidP="00F92A89">
            <w:pPr>
              <w:pStyle w:val="TableText"/>
              <w:keepNext/>
            </w:pPr>
            <w:r w:rsidRPr="001E7563">
              <w:t>Software</w:t>
            </w:r>
          </w:p>
        </w:tc>
        <w:tc>
          <w:tcPr>
            <w:tcW w:w="3715" w:type="pct"/>
          </w:tcPr>
          <w:p w14:paraId="00000252" w14:textId="77777777" w:rsidR="00F554A7" w:rsidRDefault="007A75BF" w:rsidP="00F92A89">
            <w:pPr>
              <w:pStyle w:val="TableText"/>
              <w:keepNext/>
            </w:pPr>
            <w:r w:rsidRPr="001E7563">
              <w:t>Excel</w:t>
            </w:r>
          </w:p>
        </w:tc>
      </w:tr>
    </w:tbl>
    <w:p w14:paraId="00000253" w14:textId="77777777" w:rsidR="00F554A7" w:rsidRDefault="007A75BF">
      <w:pPr>
        <w:pStyle w:val="TableFigureFooter"/>
        <w:rPr>
          <w:rFonts w:eastAsia="Arial Narrow"/>
        </w:rPr>
      </w:pPr>
      <w:bookmarkStart w:id="86" w:name="_heading=h.19c6y18" w:colFirst="0" w:colLast="0"/>
      <w:bookmarkStart w:id="87" w:name="_Hlk68276459"/>
      <w:bookmarkEnd w:id="85"/>
      <w:bookmarkEnd w:id="86"/>
      <w:r w:rsidRPr="00F92A89">
        <w:rPr>
          <w:rFonts w:eastAsia="Arial Narrow"/>
        </w:rPr>
        <w:t>NBS = newborn bloodspot screening; SCD = sickle cell disease</w:t>
      </w:r>
    </w:p>
    <w:bookmarkEnd w:id="87"/>
    <w:p w14:paraId="11DA34F6" w14:textId="584E47C9" w:rsidR="00F977BF" w:rsidRPr="00F92A89" w:rsidRDefault="00F977BF" w:rsidP="00F92A89">
      <w:pPr>
        <w:pStyle w:val="TableFigureFooter"/>
        <w:rPr>
          <w:rFonts w:eastAsia="Arial Narrow"/>
        </w:rPr>
      </w:pPr>
      <w:r>
        <w:rPr>
          <w:rFonts w:eastAsia="Arial Narrow"/>
        </w:rPr>
        <w:t>Source: DCAR Table 13.</w:t>
      </w:r>
    </w:p>
    <w:p w14:paraId="00000254" w14:textId="6B75A8AD" w:rsidR="00F554A7" w:rsidRDefault="007A75BF">
      <w:r>
        <w:t xml:space="preserve">A number of the inputs used in the model were based on expert opinion or have been assumed. These have been summarised in </w:t>
      </w:r>
      <w:r w:rsidR="00AC3CA4">
        <w:fldChar w:fldCharType="begin"/>
      </w:r>
      <w:r w:rsidR="00AC3CA4">
        <w:instrText xml:space="preserve"> REF _Ref129793069 \h </w:instrText>
      </w:r>
      <w:r w:rsidR="00AC3CA4">
        <w:fldChar w:fldCharType="separate"/>
      </w:r>
      <w:r w:rsidR="006E058E" w:rsidRPr="00F92A89">
        <w:rPr>
          <w:rFonts w:eastAsia="Arial Narrow"/>
        </w:rPr>
        <w:t>Table </w:t>
      </w:r>
      <w:r w:rsidR="006E058E">
        <w:rPr>
          <w:noProof/>
        </w:rPr>
        <w:t>14</w:t>
      </w:r>
      <w:r w:rsidR="00AC3CA4">
        <w:fldChar w:fldCharType="end"/>
      </w:r>
      <w:r>
        <w:t xml:space="preserve"> with a depiction of the extent of uncertainty associated.</w:t>
      </w:r>
    </w:p>
    <w:p w14:paraId="00000255" w14:textId="5E54422F" w:rsidR="00F554A7" w:rsidRPr="00F92A89" w:rsidRDefault="007A75BF" w:rsidP="00F92A89">
      <w:pPr>
        <w:pStyle w:val="Caption"/>
        <w:tabs>
          <w:tab w:val="left" w:pos="1134"/>
        </w:tabs>
        <w:ind w:left="1134" w:hanging="1134"/>
        <w:rPr>
          <w:rFonts w:eastAsia="Arial Narrow"/>
          <w:b w:val="0"/>
        </w:rPr>
      </w:pPr>
      <w:bookmarkStart w:id="88" w:name="_heading=h.3tbugp1" w:colFirst="0" w:colLast="0"/>
      <w:bookmarkStart w:id="89" w:name="_Ref129793069"/>
      <w:bookmarkEnd w:id="88"/>
      <w:r w:rsidRPr="00F92A89">
        <w:rPr>
          <w:rFonts w:eastAsia="Arial Narrow"/>
        </w:rPr>
        <w:lastRenderedPageBreak/>
        <w:t>Table </w:t>
      </w:r>
      <w:r w:rsidR="00AC3CA4" w:rsidRPr="00CE28E3">
        <w:rPr>
          <w:noProof/>
        </w:rPr>
        <w:fldChar w:fldCharType="begin"/>
      </w:r>
      <w:r w:rsidR="00AC3CA4" w:rsidRPr="00CE28E3">
        <w:rPr>
          <w:noProof/>
        </w:rPr>
        <w:instrText xml:space="preserve"> SEQ Table \* ARABIC </w:instrText>
      </w:r>
      <w:r w:rsidR="00AC3CA4" w:rsidRPr="00CE28E3">
        <w:rPr>
          <w:noProof/>
        </w:rPr>
        <w:fldChar w:fldCharType="separate"/>
      </w:r>
      <w:r w:rsidR="006E058E">
        <w:rPr>
          <w:noProof/>
        </w:rPr>
        <w:t>14</w:t>
      </w:r>
      <w:r w:rsidR="00AC3CA4" w:rsidRPr="00CE28E3">
        <w:rPr>
          <w:noProof/>
        </w:rPr>
        <w:fldChar w:fldCharType="end"/>
      </w:r>
      <w:bookmarkEnd w:id="89"/>
      <w:r w:rsidRPr="00F92A89">
        <w:rPr>
          <w:rFonts w:eastAsia="Arial Narrow"/>
        </w:rPr>
        <w:tab/>
        <w:t>Summary of key inputs and assumptions used in the economic evaluation</w:t>
      </w:r>
    </w:p>
    <w:tbl>
      <w:tblPr>
        <w:tblStyle w:val="TableGrid"/>
        <w:tblW w:w="0" w:type="auto"/>
        <w:tblLayout w:type="fixed"/>
        <w:tblLook w:val="04A0" w:firstRow="1" w:lastRow="0" w:firstColumn="1" w:lastColumn="0" w:noHBand="0" w:noVBand="1"/>
      </w:tblPr>
      <w:tblGrid>
        <w:gridCol w:w="2252"/>
        <w:gridCol w:w="3272"/>
        <w:gridCol w:w="3260"/>
        <w:gridCol w:w="7"/>
      </w:tblGrid>
      <w:tr w:rsidR="00F554A7" w14:paraId="4CA5A1EE" w14:textId="77777777" w:rsidTr="00F92A89">
        <w:tc>
          <w:tcPr>
            <w:tcW w:w="2252" w:type="dxa"/>
            <w:vMerge w:val="restart"/>
          </w:tcPr>
          <w:p w14:paraId="00000256" w14:textId="77777777" w:rsidR="00F554A7" w:rsidRPr="001E7563" w:rsidRDefault="007A75BF" w:rsidP="00F92A89">
            <w:pPr>
              <w:pStyle w:val="In-tableHeading"/>
            </w:pPr>
            <w:r w:rsidRPr="001E7563">
              <w:t>Input/assumption</w:t>
            </w:r>
          </w:p>
        </w:tc>
        <w:tc>
          <w:tcPr>
            <w:tcW w:w="6532" w:type="dxa"/>
            <w:gridSpan w:val="3"/>
          </w:tcPr>
          <w:p w14:paraId="00000257" w14:textId="77777777" w:rsidR="00F554A7" w:rsidRPr="001E7563" w:rsidRDefault="007A75BF" w:rsidP="00F92A89">
            <w:pPr>
              <w:pStyle w:val="In-tableHeading"/>
              <w:jc w:val="center"/>
            </w:pPr>
            <w:r w:rsidRPr="001E7563">
              <w:t>Estimate (source)</w:t>
            </w:r>
          </w:p>
        </w:tc>
      </w:tr>
      <w:tr w:rsidR="00F554A7" w14:paraId="0942122A" w14:textId="77777777" w:rsidTr="00F92A89">
        <w:tc>
          <w:tcPr>
            <w:tcW w:w="2252" w:type="dxa"/>
            <w:vMerge/>
          </w:tcPr>
          <w:p w14:paraId="00000259" w14:textId="77777777" w:rsidR="00F554A7" w:rsidRPr="001E7563" w:rsidRDefault="00F554A7" w:rsidP="00F92A89">
            <w:pPr>
              <w:pStyle w:val="In-tableHeading"/>
            </w:pPr>
          </w:p>
        </w:tc>
        <w:tc>
          <w:tcPr>
            <w:tcW w:w="3272" w:type="dxa"/>
          </w:tcPr>
          <w:p w14:paraId="0000025A" w14:textId="77777777" w:rsidR="00F554A7" w:rsidRPr="001E7563" w:rsidRDefault="007A75BF" w:rsidP="00F92A89">
            <w:pPr>
              <w:pStyle w:val="In-tableHeading"/>
              <w:jc w:val="center"/>
            </w:pPr>
            <w:r w:rsidRPr="001E7563">
              <w:t>SCD</w:t>
            </w:r>
          </w:p>
        </w:tc>
        <w:tc>
          <w:tcPr>
            <w:tcW w:w="3260" w:type="dxa"/>
            <w:gridSpan w:val="2"/>
          </w:tcPr>
          <w:p w14:paraId="0000025B" w14:textId="103B7408" w:rsidR="00F554A7" w:rsidRPr="001E7563" w:rsidRDefault="00AC3CA4" w:rsidP="00F92A89">
            <w:pPr>
              <w:pStyle w:val="In-tableHeading"/>
              <w:jc w:val="center"/>
            </w:pPr>
            <w:r>
              <w:rPr>
                <w:rFonts w:ascii="Symbol" w:eastAsia="Symbol" w:hAnsi="Symbol" w:cs="Symbol"/>
              </w:rPr>
              <w:t></w:t>
            </w:r>
            <w:r>
              <w:t>-</w:t>
            </w:r>
            <w:r w:rsidR="007A75BF" w:rsidRPr="001E7563">
              <w:t>thalassemia</w:t>
            </w:r>
          </w:p>
        </w:tc>
      </w:tr>
      <w:tr w:rsidR="00F554A7" w14:paraId="46BF7B8C" w14:textId="77777777" w:rsidTr="00F92A89">
        <w:trPr>
          <w:gridAfter w:val="1"/>
          <w:wAfter w:w="7" w:type="dxa"/>
        </w:trPr>
        <w:tc>
          <w:tcPr>
            <w:tcW w:w="2252" w:type="dxa"/>
          </w:tcPr>
          <w:p w14:paraId="0000025C" w14:textId="77777777" w:rsidR="00F554A7" w:rsidRDefault="007A75BF" w:rsidP="00F92A89">
            <w:pPr>
              <w:pStyle w:val="TableText"/>
              <w:keepNext/>
            </w:pPr>
            <w:r w:rsidRPr="001E7563">
              <w:t>Incidence</w:t>
            </w:r>
          </w:p>
        </w:tc>
        <w:tc>
          <w:tcPr>
            <w:tcW w:w="3272" w:type="dxa"/>
            <w:shd w:val="clear" w:color="auto" w:fill="FF5050"/>
          </w:tcPr>
          <w:p w14:paraId="0000025D" w14:textId="77777777" w:rsidR="00F554A7" w:rsidRDefault="007A75BF" w:rsidP="00F92A89">
            <w:pPr>
              <w:pStyle w:val="TableText"/>
              <w:keepNext/>
            </w:pPr>
            <w:r w:rsidRPr="001E7563">
              <w:t>7 per 100,000 (consultation on Nomination Form from PathWest)</w:t>
            </w:r>
          </w:p>
          <w:p w14:paraId="0000025E" w14:textId="77777777" w:rsidR="00F554A7" w:rsidRDefault="007A75BF" w:rsidP="00F92A89">
            <w:pPr>
              <w:pStyle w:val="TableText"/>
              <w:keepNext/>
            </w:pPr>
            <w:r w:rsidRPr="001E7563">
              <w:t>Range tested: 0.62 to 7 per 100,000 births</w:t>
            </w:r>
          </w:p>
        </w:tc>
        <w:tc>
          <w:tcPr>
            <w:tcW w:w="3260" w:type="dxa"/>
            <w:shd w:val="clear" w:color="auto" w:fill="FF5050"/>
          </w:tcPr>
          <w:p w14:paraId="0000025F" w14:textId="77777777" w:rsidR="00F554A7" w:rsidRDefault="007A75BF" w:rsidP="00F92A89">
            <w:pPr>
              <w:pStyle w:val="TableText"/>
              <w:keepNext/>
            </w:pPr>
            <w:r w:rsidRPr="001E7563">
              <w:t xml:space="preserve">17 per 100,000 (expert opinion provided during preparation of the DCAR) </w:t>
            </w:r>
            <w:r>
              <w:rPr>
                <w:vertAlign w:val="superscript"/>
              </w:rPr>
              <w:t>a,b</w:t>
            </w:r>
          </w:p>
          <w:p w14:paraId="00000260" w14:textId="77777777" w:rsidR="00F554A7" w:rsidRDefault="007A75BF" w:rsidP="00F92A89">
            <w:pPr>
              <w:pStyle w:val="TableText"/>
              <w:keepNext/>
            </w:pPr>
            <w:r w:rsidRPr="001E7563">
              <w:t>Range tested: 6 to 71 per 100,000 births</w:t>
            </w:r>
          </w:p>
        </w:tc>
      </w:tr>
      <w:tr w:rsidR="00F554A7" w14:paraId="3AF37CBB" w14:textId="77777777" w:rsidTr="00F92A89">
        <w:trPr>
          <w:gridAfter w:val="1"/>
          <w:wAfter w:w="7" w:type="dxa"/>
        </w:trPr>
        <w:tc>
          <w:tcPr>
            <w:tcW w:w="2252" w:type="dxa"/>
          </w:tcPr>
          <w:p w14:paraId="00000261" w14:textId="77777777" w:rsidR="00F554A7" w:rsidRDefault="007A75BF" w:rsidP="00F92A89">
            <w:pPr>
              <w:pStyle w:val="TableText"/>
              <w:keepNext/>
            </w:pPr>
            <w:r w:rsidRPr="001E7563">
              <w:t>Extent of targeted screening (applicable only to secondary comparison)</w:t>
            </w:r>
          </w:p>
        </w:tc>
        <w:tc>
          <w:tcPr>
            <w:tcW w:w="3272" w:type="dxa"/>
            <w:shd w:val="clear" w:color="auto" w:fill="FFC000" w:themeFill="accent4"/>
          </w:tcPr>
          <w:p w14:paraId="00000262" w14:textId="77777777" w:rsidR="00F554A7" w:rsidRDefault="007A75BF" w:rsidP="00F92A89">
            <w:pPr>
              <w:pStyle w:val="TableText"/>
              <w:keepNext/>
            </w:pPr>
            <w:r w:rsidRPr="001E7563">
              <w:t xml:space="preserve">99% (expert opinion provided during preparation of the DCAR) </w:t>
            </w:r>
            <w:r>
              <w:rPr>
                <w:vertAlign w:val="superscript"/>
              </w:rPr>
              <w:t>a</w:t>
            </w:r>
          </w:p>
          <w:p w14:paraId="00000263" w14:textId="77777777" w:rsidR="00F554A7" w:rsidRDefault="007A75BF" w:rsidP="00F92A89">
            <w:pPr>
              <w:pStyle w:val="TableText"/>
              <w:keepNext/>
            </w:pPr>
            <w:r w:rsidRPr="001E7563">
              <w:t>Range tested:99% in base case and 25% and 95% in sensitivity analyses</w:t>
            </w:r>
          </w:p>
        </w:tc>
        <w:tc>
          <w:tcPr>
            <w:tcW w:w="3260" w:type="dxa"/>
            <w:shd w:val="clear" w:color="auto" w:fill="FFC000" w:themeFill="accent4"/>
          </w:tcPr>
          <w:p w14:paraId="00000264" w14:textId="77777777" w:rsidR="00F554A7" w:rsidRDefault="007A75BF" w:rsidP="00F92A89">
            <w:pPr>
              <w:pStyle w:val="TableText"/>
              <w:keepNext/>
            </w:pPr>
            <w:r w:rsidRPr="001E7563">
              <w:t xml:space="preserve">99% (expert opinion provided during preparation of the DCAR) </w:t>
            </w:r>
            <w:r>
              <w:rPr>
                <w:vertAlign w:val="superscript"/>
              </w:rPr>
              <w:t>a</w:t>
            </w:r>
          </w:p>
          <w:p w14:paraId="00000265" w14:textId="77777777" w:rsidR="00F554A7" w:rsidRDefault="007A75BF" w:rsidP="00F92A89">
            <w:pPr>
              <w:pStyle w:val="TableText"/>
              <w:keepNext/>
            </w:pPr>
            <w:r w:rsidRPr="001E7563">
              <w:t xml:space="preserve">Range tested: 99% in base case and 25% and 95% in </w:t>
            </w:r>
            <w:r>
              <w:t>sensitivity analyses</w:t>
            </w:r>
          </w:p>
        </w:tc>
      </w:tr>
      <w:tr w:rsidR="00F554A7" w14:paraId="2A04E7BA" w14:textId="77777777" w:rsidTr="00F92A89">
        <w:trPr>
          <w:gridAfter w:val="1"/>
          <w:wAfter w:w="7" w:type="dxa"/>
        </w:trPr>
        <w:tc>
          <w:tcPr>
            <w:tcW w:w="2252" w:type="dxa"/>
          </w:tcPr>
          <w:p w14:paraId="00000266" w14:textId="77777777" w:rsidR="00F554A7" w:rsidRDefault="007A75BF" w:rsidP="00F92A89">
            <w:pPr>
              <w:pStyle w:val="TableText"/>
              <w:keepNext/>
            </w:pPr>
            <w:r w:rsidRPr="001E7563">
              <w:t>Screening strategy</w:t>
            </w:r>
          </w:p>
        </w:tc>
        <w:tc>
          <w:tcPr>
            <w:tcW w:w="3272" w:type="dxa"/>
            <w:shd w:val="clear" w:color="auto" w:fill="FF5050"/>
          </w:tcPr>
          <w:p w14:paraId="00000267" w14:textId="77777777" w:rsidR="00F554A7" w:rsidRDefault="007A75BF" w:rsidP="00F92A89">
            <w:pPr>
              <w:pStyle w:val="TableText"/>
              <w:keepNext/>
            </w:pPr>
            <w:r w:rsidRPr="001E7563">
              <w:t>First-tier: MALDI-TOF</w:t>
            </w:r>
          </w:p>
          <w:p w14:paraId="00000268" w14:textId="77777777" w:rsidR="00F554A7" w:rsidRDefault="007A75BF" w:rsidP="00F92A89">
            <w:pPr>
              <w:pStyle w:val="TableText"/>
              <w:keepNext/>
            </w:pPr>
            <w:r w:rsidRPr="001E7563">
              <w:t>Second-tier: DNA sequencing</w:t>
            </w:r>
          </w:p>
          <w:p w14:paraId="00000269" w14:textId="77777777" w:rsidR="00F554A7" w:rsidRDefault="007A75BF" w:rsidP="00F92A89">
            <w:pPr>
              <w:pStyle w:val="TableText"/>
              <w:keepNext/>
            </w:pPr>
            <w:bookmarkStart w:id="90" w:name="_heading=h.28h4qwu" w:colFirst="0" w:colLast="0"/>
            <w:bookmarkEnd w:id="90"/>
            <w:r w:rsidRPr="001E7563">
              <w:t>(</w:t>
            </w:r>
            <w:bookmarkStart w:id="91" w:name="_Hlk132814248"/>
            <w:r w:rsidRPr="001E7563">
              <w:t>based</w:t>
            </w:r>
            <w:r>
              <w:t xml:space="preserve"> on the screening strategy proposed by WA NBS during the preparation of the DCAR)</w:t>
            </w:r>
            <w:bookmarkEnd w:id="91"/>
            <w:r>
              <w:t xml:space="preserve"> </w:t>
            </w:r>
            <w:r>
              <w:rPr>
                <w:vertAlign w:val="superscript"/>
              </w:rPr>
              <w:t>c</w:t>
            </w:r>
          </w:p>
          <w:p w14:paraId="0000026A" w14:textId="77777777" w:rsidR="00F554A7" w:rsidRDefault="007A75BF" w:rsidP="00F92A89">
            <w:pPr>
              <w:pStyle w:val="TableText"/>
              <w:keepNext/>
            </w:pPr>
            <w:r w:rsidRPr="001E7563">
              <w:t>Alternate screening strategies explored</w:t>
            </w:r>
          </w:p>
        </w:tc>
        <w:tc>
          <w:tcPr>
            <w:tcW w:w="3260" w:type="dxa"/>
            <w:shd w:val="clear" w:color="auto" w:fill="FF5050"/>
          </w:tcPr>
          <w:p w14:paraId="0000026B" w14:textId="77777777" w:rsidR="00F554A7" w:rsidRDefault="007A75BF" w:rsidP="00F92A89">
            <w:pPr>
              <w:pStyle w:val="TableText"/>
              <w:keepNext/>
            </w:pPr>
            <w:r w:rsidRPr="001E7563">
              <w:t>First-tier: MALDI-TOF</w:t>
            </w:r>
          </w:p>
          <w:p w14:paraId="0000026C" w14:textId="77777777" w:rsidR="00F554A7" w:rsidRDefault="007A75BF" w:rsidP="00F92A89">
            <w:pPr>
              <w:pStyle w:val="TableText"/>
              <w:keepNext/>
            </w:pPr>
            <w:r w:rsidRPr="001E7563">
              <w:t>Second-tier: DNA sequencing</w:t>
            </w:r>
          </w:p>
          <w:p w14:paraId="0000026D" w14:textId="77777777" w:rsidR="00F554A7" w:rsidRDefault="007A75BF" w:rsidP="00F92A89">
            <w:pPr>
              <w:pStyle w:val="TableText"/>
              <w:keepNext/>
            </w:pPr>
            <w:r w:rsidRPr="001E7563">
              <w:t xml:space="preserve">(based on the screening strategy proposed by WA NBS during the preparation of the DCAR) </w:t>
            </w:r>
            <w:r>
              <w:rPr>
                <w:vertAlign w:val="superscript"/>
              </w:rPr>
              <w:t>c</w:t>
            </w:r>
          </w:p>
          <w:p w14:paraId="0000026E" w14:textId="77777777" w:rsidR="00F554A7" w:rsidRDefault="007A75BF" w:rsidP="00F92A89">
            <w:pPr>
              <w:pStyle w:val="TableText"/>
              <w:keepNext/>
            </w:pPr>
            <w:r w:rsidRPr="001E7563">
              <w:t>Alternate screening strategies explored</w:t>
            </w:r>
          </w:p>
        </w:tc>
      </w:tr>
      <w:tr w:rsidR="00F554A7" w14:paraId="193AA396" w14:textId="77777777" w:rsidTr="00F92A89">
        <w:trPr>
          <w:gridAfter w:val="1"/>
          <w:wAfter w:w="7" w:type="dxa"/>
        </w:trPr>
        <w:tc>
          <w:tcPr>
            <w:tcW w:w="2252" w:type="dxa"/>
          </w:tcPr>
          <w:p w14:paraId="0000026F" w14:textId="77777777" w:rsidR="00F554A7" w:rsidRDefault="007A75BF" w:rsidP="00F92A89">
            <w:pPr>
              <w:pStyle w:val="TableText"/>
              <w:keepNext/>
            </w:pPr>
            <w:r w:rsidRPr="001E7563">
              <w:t>Cost of screening</w:t>
            </w:r>
          </w:p>
        </w:tc>
        <w:tc>
          <w:tcPr>
            <w:tcW w:w="3272" w:type="dxa"/>
            <w:shd w:val="clear" w:color="auto" w:fill="FF5050"/>
          </w:tcPr>
          <w:p w14:paraId="00000270" w14:textId="77777777" w:rsidR="00F554A7" w:rsidRDefault="007A75BF" w:rsidP="00F92A89">
            <w:pPr>
              <w:pStyle w:val="TableText"/>
              <w:keepNext/>
            </w:pPr>
            <w:r w:rsidRPr="001E7563">
              <w:t>First-tier: $10.00 (up to $96.60), base</w:t>
            </w:r>
            <w:r>
              <w:t>d on the cost of testing by mass spectrometry as indicated by providers of NBS in WA.</w:t>
            </w:r>
            <w:r>
              <w:rPr>
                <w:vertAlign w:val="superscript"/>
              </w:rPr>
              <w:t>d</w:t>
            </w:r>
          </w:p>
          <w:p w14:paraId="00000271" w14:textId="77777777" w:rsidR="00F554A7" w:rsidRDefault="007A75BF" w:rsidP="00F92A89">
            <w:pPr>
              <w:pStyle w:val="TableText"/>
              <w:keepNext/>
            </w:pPr>
            <w:r w:rsidRPr="001E7563">
              <w:t>Second-tier: $500.00</w:t>
            </w:r>
          </w:p>
        </w:tc>
        <w:tc>
          <w:tcPr>
            <w:tcW w:w="3260" w:type="dxa"/>
            <w:shd w:val="clear" w:color="auto" w:fill="FF5050"/>
          </w:tcPr>
          <w:p w14:paraId="00000272" w14:textId="77777777" w:rsidR="00F554A7" w:rsidRDefault="007A75BF" w:rsidP="00F92A89">
            <w:pPr>
              <w:pStyle w:val="TableText"/>
              <w:keepNext/>
            </w:pPr>
            <w:r w:rsidRPr="001E7563">
              <w:t>First-tier: $10.00 (up to 96.60), based the cost of testing by mass spectrometry as indicated by providers of NBS in WA.</w:t>
            </w:r>
            <w:r>
              <w:rPr>
                <w:vertAlign w:val="superscript"/>
              </w:rPr>
              <w:t>d</w:t>
            </w:r>
          </w:p>
          <w:p w14:paraId="00000273" w14:textId="77777777" w:rsidR="00F554A7" w:rsidRDefault="007A75BF" w:rsidP="00F92A89">
            <w:pPr>
              <w:pStyle w:val="TableText"/>
              <w:keepNext/>
            </w:pPr>
            <w:r w:rsidRPr="001E7563">
              <w:t>Second-tier: $500.00</w:t>
            </w:r>
          </w:p>
        </w:tc>
      </w:tr>
      <w:tr w:rsidR="00F554A7" w14:paraId="79A2833C" w14:textId="77777777" w:rsidTr="00F92A89">
        <w:trPr>
          <w:gridAfter w:val="1"/>
          <w:wAfter w:w="7" w:type="dxa"/>
        </w:trPr>
        <w:tc>
          <w:tcPr>
            <w:tcW w:w="2252" w:type="dxa"/>
          </w:tcPr>
          <w:p w14:paraId="00000274" w14:textId="77777777" w:rsidR="00F554A7" w:rsidRPr="001E7563" w:rsidRDefault="007A75BF" w:rsidP="00F92A89">
            <w:pPr>
              <w:pStyle w:val="TableText"/>
              <w:keepNext/>
            </w:pPr>
            <w:r w:rsidRPr="001E7563">
              <w:t>Sensitivity of screening methods</w:t>
            </w:r>
          </w:p>
        </w:tc>
        <w:tc>
          <w:tcPr>
            <w:tcW w:w="3272" w:type="dxa"/>
            <w:shd w:val="clear" w:color="auto" w:fill="92D050"/>
          </w:tcPr>
          <w:p w14:paraId="00000275" w14:textId="77777777" w:rsidR="00F554A7" w:rsidRDefault="007A75BF" w:rsidP="00F92A89">
            <w:pPr>
              <w:pStyle w:val="TableText"/>
              <w:keepNext/>
            </w:pPr>
            <w:r w:rsidRPr="001E7563">
              <w:t>100% assumed across all methods (‘Test accuracy’ evidence which was consistent across varied methods)</w:t>
            </w:r>
          </w:p>
          <w:p w14:paraId="00000276" w14:textId="77777777" w:rsidR="00F554A7" w:rsidRPr="001E7563" w:rsidRDefault="00F554A7" w:rsidP="00F92A89">
            <w:pPr>
              <w:pStyle w:val="TableText"/>
              <w:keepNext/>
            </w:pPr>
          </w:p>
        </w:tc>
        <w:tc>
          <w:tcPr>
            <w:tcW w:w="3260" w:type="dxa"/>
            <w:shd w:val="clear" w:color="auto" w:fill="FFC000" w:themeFill="accent4"/>
          </w:tcPr>
          <w:p w14:paraId="00000277" w14:textId="6B905FF0" w:rsidR="00F554A7" w:rsidRPr="001E7563" w:rsidRDefault="007A75BF" w:rsidP="00F92A89">
            <w:pPr>
              <w:pStyle w:val="TableText"/>
              <w:keepNext/>
            </w:pPr>
            <w:r w:rsidRPr="001E7563">
              <w:t xml:space="preserve">98.5% assumed across all methods for </w:t>
            </w:r>
            <w:r w:rsidR="00AC3CA4">
              <w:rPr>
                <w:rFonts w:ascii="Symbol" w:eastAsia="Symbol" w:hAnsi="Symbol" w:cs="Symbol"/>
              </w:rPr>
              <w:t></w:t>
            </w:r>
            <w:r w:rsidR="00AC3CA4">
              <w:noBreakHyphen/>
            </w:r>
            <w:r w:rsidRPr="001E7563">
              <w:t xml:space="preserve">thal major (‘Test accuracy’ evidence which varied by study and method). Some test strategies were assumed to be unable to identify </w:t>
            </w:r>
            <w:r w:rsidR="00AC3CA4">
              <w:rPr>
                <w:rFonts w:ascii="Symbol" w:eastAsia="Symbol" w:hAnsi="Symbol" w:cs="Symbol"/>
              </w:rPr>
              <w:t></w:t>
            </w:r>
            <w:r w:rsidR="00AC3CA4">
              <w:t>-</w:t>
            </w:r>
            <w:r w:rsidRPr="001E7563">
              <w:t>thal intermedia</w:t>
            </w:r>
          </w:p>
        </w:tc>
      </w:tr>
      <w:tr w:rsidR="00F554A7" w14:paraId="6A919B84" w14:textId="77777777" w:rsidTr="00F92A89">
        <w:trPr>
          <w:gridAfter w:val="1"/>
          <w:wAfter w:w="7" w:type="dxa"/>
        </w:trPr>
        <w:tc>
          <w:tcPr>
            <w:tcW w:w="2252" w:type="dxa"/>
          </w:tcPr>
          <w:p w14:paraId="00000278" w14:textId="77777777" w:rsidR="00F554A7" w:rsidRDefault="007A75BF" w:rsidP="00F92A89">
            <w:pPr>
              <w:pStyle w:val="TableText"/>
              <w:keepNext/>
            </w:pPr>
            <w:r w:rsidRPr="001E7563">
              <w:t>Specificity of screening</w:t>
            </w:r>
          </w:p>
        </w:tc>
        <w:tc>
          <w:tcPr>
            <w:tcW w:w="3272" w:type="dxa"/>
            <w:shd w:val="clear" w:color="auto" w:fill="FFC000" w:themeFill="accent4"/>
          </w:tcPr>
          <w:p w14:paraId="00000279" w14:textId="77777777" w:rsidR="00F554A7" w:rsidRDefault="007A75BF" w:rsidP="00F92A89">
            <w:pPr>
              <w:pStyle w:val="TableText"/>
              <w:keepNext/>
            </w:pPr>
            <w:r w:rsidRPr="001E7563">
              <w:t xml:space="preserve">99.99% (‘Test accuracy’ evidence reported &gt;99-100% specificity). Though high concordance was also noted (so screen-positives were highly likely to be truly </w:t>
            </w:r>
            <w:r>
              <w:t>positive and so very high specificity has been assumed</w:t>
            </w:r>
          </w:p>
        </w:tc>
        <w:tc>
          <w:tcPr>
            <w:tcW w:w="3260" w:type="dxa"/>
            <w:shd w:val="clear" w:color="auto" w:fill="FFC000" w:themeFill="accent4"/>
          </w:tcPr>
          <w:p w14:paraId="0000027A" w14:textId="77777777" w:rsidR="00F554A7" w:rsidRDefault="007A75BF" w:rsidP="00F92A89">
            <w:pPr>
              <w:pStyle w:val="TableText"/>
              <w:keepNext/>
            </w:pPr>
            <w:r w:rsidRPr="001E7563">
              <w:t>99.99% (‘Test accuracy’ evidence reported 98.7% to100% specificity). Though high concordance was also noted (so screen-positives were highly likely to be truly positive and so very high specificity has been assumed)</w:t>
            </w:r>
          </w:p>
        </w:tc>
      </w:tr>
      <w:tr w:rsidR="00F554A7" w14:paraId="6F080791" w14:textId="77777777" w:rsidTr="00F92A89">
        <w:trPr>
          <w:gridAfter w:val="1"/>
          <w:wAfter w:w="7" w:type="dxa"/>
        </w:trPr>
        <w:tc>
          <w:tcPr>
            <w:tcW w:w="2252" w:type="dxa"/>
          </w:tcPr>
          <w:p w14:paraId="0000027B" w14:textId="77777777" w:rsidR="00F554A7" w:rsidRDefault="007A75BF" w:rsidP="00F92A89">
            <w:pPr>
              <w:pStyle w:val="TableText"/>
              <w:keepNext/>
            </w:pPr>
            <w:r w:rsidRPr="001E7563">
              <w:t>Benefit from the clinical evidence</w:t>
            </w:r>
          </w:p>
        </w:tc>
        <w:tc>
          <w:tcPr>
            <w:tcW w:w="3272" w:type="dxa"/>
            <w:shd w:val="clear" w:color="auto" w:fill="92D050"/>
          </w:tcPr>
          <w:p w14:paraId="0000027C" w14:textId="77777777" w:rsidR="00F554A7" w:rsidRDefault="007A75BF" w:rsidP="00F92A89">
            <w:pPr>
              <w:pStyle w:val="TableText"/>
              <w:keepNext/>
            </w:pPr>
            <w:r w:rsidRPr="001E7563">
              <w:t>Early identification leads to prophylactic antibiotic treatment and pneumococcal vaccination and increased awareness about symptoms. I</w:t>
            </w:r>
            <w:r>
              <w:t>nitiation of transfusion, monitoring by cranial doppler, and commencement of hydroxyurea may be additional benefits, however this was not supported by evidence identified in the clinical evaluation.</w:t>
            </w:r>
          </w:p>
        </w:tc>
        <w:tc>
          <w:tcPr>
            <w:tcW w:w="3260" w:type="dxa"/>
            <w:shd w:val="clear" w:color="auto" w:fill="FF5050"/>
          </w:tcPr>
          <w:p w14:paraId="0000027D" w14:textId="77777777" w:rsidR="00F554A7" w:rsidRDefault="007A75BF" w:rsidP="00F92A89">
            <w:pPr>
              <w:pStyle w:val="TableText"/>
              <w:keepNext/>
            </w:pPr>
            <w:r w:rsidRPr="001E7563">
              <w:t>Unknown</w:t>
            </w:r>
          </w:p>
        </w:tc>
      </w:tr>
      <w:tr w:rsidR="00F554A7" w14:paraId="2217461B" w14:textId="77777777" w:rsidTr="00F92A89">
        <w:trPr>
          <w:gridAfter w:val="1"/>
          <w:wAfter w:w="7" w:type="dxa"/>
        </w:trPr>
        <w:tc>
          <w:tcPr>
            <w:tcW w:w="2252" w:type="dxa"/>
          </w:tcPr>
          <w:p w14:paraId="0000027E" w14:textId="77777777" w:rsidR="00F554A7" w:rsidRDefault="007A75BF" w:rsidP="00F92A89">
            <w:pPr>
              <w:pStyle w:val="TableText"/>
              <w:keepNext/>
            </w:pPr>
            <w:r w:rsidRPr="001E7563">
              <w:t>Likely benefit in Australian clinical practice</w:t>
            </w:r>
          </w:p>
        </w:tc>
        <w:tc>
          <w:tcPr>
            <w:tcW w:w="3272" w:type="dxa"/>
            <w:shd w:val="clear" w:color="auto" w:fill="FFC000" w:themeFill="accent4"/>
          </w:tcPr>
          <w:p w14:paraId="0000027F" w14:textId="77777777" w:rsidR="00F554A7" w:rsidRDefault="007A75BF" w:rsidP="00F92A89">
            <w:pPr>
              <w:pStyle w:val="TableText"/>
              <w:keepNext/>
            </w:pPr>
            <w:r w:rsidRPr="001E7563">
              <w:t xml:space="preserve">Expert opinion </w:t>
            </w:r>
            <w:r>
              <w:rPr>
                <w:vertAlign w:val="superscript"/>
              </w:rPr>
              <w:t>a</w:t>
            </w:r>
            <w:r>
              <w:t xml:space="preserve"> suggests that the majority of cases are identified through current targeted testing.</w:t>
            </w:r>
          </w:p>
          <w:p w14:paraId="00000280" w14:textId="77777777" w:rsidR="00F554A7" w:rsidRDefault="007A75BF" w:rsidP="00F92A89">
            <w:pPr>
              <w:pStyle w:val="TableText"/>
              <w:keepNext/>
            </w:pPr>
            <w:r w:rsidRPr="001E7563">
              <w:t xml:space="preserve">In cases </w:t>
            </w:r>
            <w:r>
              <w:t>missed, universal pneumococcal vaccination is also available, which may reduce the benefit of universal NBS observed in practice</w:t>
            </w:r>
          </w:p>
        </w:tc>
        <w:tc>
          <w:tcPr>
            <w:tcW w:w="3260" w:type="dxa"/>
            <w:shd w:val="clear" w:color="auto" w:fill="FF5050"/>
          </w:tcPr>
          <w:p w14:paraId="00000281" w14:textId="77777777" w:rsidR="00F554A7" w:rsidRDefault="007A75BF" w:rsidP="00F92A89">
            <w:pPr>
              <w:pStyle w:val="TableText"/>
              <w:keepNext/>
            </w:pPr>
            <w:r w:rsidRPr="001E7563">
              <w:t>Unknown</w:t>
            </w:r>
          </w:p>
        </w:tc>
      </w:tr>
      <w:tr w:rsidR="00F554A7" w14:paraId="71E93A2B" w14:textId="77777777" w:rsidTr="00F92A89">
        <w:trPr>
          <w:gridAfter w:val="1"/>
          <w:wAfter w:w="7" w:type="dxa"/>
        </w:trPr>
        <w:tc>
          <w:tcPr>
            <w:tcW w:w="2252" w:type="dxa"/>
          </w:tcPr>
          <w:p w14:paraId="00000282" w14:textId="77777777" w:rsidR="00F554A7" w:rsidRDefault="007A75BF" w:rsidP="00F92A89">
            <w:pPr>
              <w:pStyle w:val="TableText"/>
            </w:pPr>
            <w:r w:rsidRPr="001E7563">
              <w:t>Benefit modelled</w:t>
            </w:r>
          </w:p>
        </w:tc>
        <w:tc>
          <w:tcPr>
            <w:tcW w:w="3272" w:type="dxa"/>
            <w:shd w:val="clear" w:color="auto" w:fill="FFC000" w:themeFill="accent4"/>
          </w:tcPr>
          <w:p w14:paraId="00000283" w14:textId="77777777" w:rsidR="00F554A7" w:rsidRDefault="007A75BF" w:rsidP="00F92A89">
            <w:pPr>
              <w:pStyle w:val="TableText"/>
            </w:pPr>
            <w:r w:rsidRPr="001E7563">
              <w:t xml:space="preserve">Cases identified earlier – noting that there is a likely benefit (e.g. additional </w:t>
            </w:r>
            <w:r>
              <w:t>vaccinations) for identifying these cases earlier, however this cannot be quantified in the proposed setting</w:t>
            </w:r>
          </w:p>
        </w:tc>
        <w:tc>
          <w:tcPr>
            <w:tcW w:w="3260" w:type="dxa"/>
            <w:shd w:val="clear" w:color="auto" w:fill="FF5050"/>
          </w:tcPr>
          <w:p w14:paraId="00000284" w14:textId="77777777" w:rsidR="00F554A7" w:rsidRDefault="007A75BF" w:rsidP="00F92A89">
            <w:pPr>
              <w:pStyle w:val="TableText"/>
            </w:pPr>
            <w:r w:rsidRPr="001E7563">
              <w:t>Cases identified earlier – however this should be interpreted with caution</w:t>
            </w:r>
          </w:p>
        </w:tc>
      </w:tr>
    </w:tbl>
    <w:p w14:paraId="00000285" w14:textId="77777777" w:rsidR="00F554A7" w:rsidRPr="00F92A89" w:rsidRDefault="007A75BF" w:rsidP="00F92A89">
      <w:pPr>
        <w:pStyle w:val="TableFigureFooter"/>
        <w:rPr>
          <w:rFonts w:eastAsia="Arial Narrow"/>
        </w:rPr>
      </w:pPr>
      <w:r w:rsidRPr="00F92A89">
        <w:rPr>
          <w:rFonts w:eastAsia="Arial Narrow"/>
        </w:rPr>
        <w:t xml:space="preserve">Note: Colour shading of cells depict the extent of uncertainty in the estimate or assumption applied. </w:t>
      </w:r>
      <w:r w:rsidRPr="00F92A89">
        <w:rPr>
          <w:rFonts w:eastAsia="Arial Narrow"/>
          <w:shd w:val="clear" w:color="auto" w:fill="FF5050"/>
        </w:rPr>
        <w:t>Red</w:t>
      </w:r>
      <w:r w:rsidRPr="00F92A89">
        <w:rPr>
          <w:rFonts w:eastAsia="Arial Narrow"/>
        </w:rPr>
        <w:t xml:space="preserve"> denotes high uncertainty, </w:t>
      </w:r>
      <w:r w:rsidRPr="00F92A89">
        <w:rPr>
          <w:rFonts w:eastAsia="Arial Narrow"/>
          <w:shd w:val="clear" w:color="auto" w:fill="FFC000" w:themeFill="accent4"/>
        </w:rPr>
        <w:t>orange</w:t>
      </w:r>
      <w:r w:rsidRPr="00F92A89">
        <w:rPr>
          <w:rFonts w:eastAsia="Arial Narrow"/>
        </w:rPr>
        <w:t xml:space="preserve"> denotes moderate uncertainty, and </w:t>
      </w:r>
      <w:r w:rsidRPr="00F92A89">
        <w:rPr>
          <w:rFonts w:eastAsia="Arial Narrow"/>
          <w:shd w:val="clear" w:color="auto" w:fill="92D050"/>
        </w:rPr>
        <w:t>green</w:t>
      </w:r>
      <w:r w:rsidRPr="00F92A89">
        <w:rPr>
          <w:rFonts w:eastAsia="Arial Narrow"/>
        </w:rPr>
        <w:t xml:space="preserve"> denotes low uncertainty.</w:t>
      </w:r>
    </w:p>
    <w:p w14:paraId="00000286" w14:textId="1CBD5B99" w:rsidR="00F554A7" w:rsidRPr="00F92A89" w:rsidRDefault="007A75BF" w:rsidP="00F92A89">
      <w:pPr>
        <w:pStyle w:val="TableFigureFooter"/>
        <w:rPr>
          <w:rFonts w:eastAsia="Arial Narrow"/>
        </w:rPr>
      </w:pPr>
      <w:r w:rsidRPr="00F92A89">
        <w:rPr>
          <w:rFonts w:eastAsia="Arial Narrow"/>
        </w:rPr>
        <w:t>β</w:t>
      </w:r>
      <w:r w:rsidR="00AC3CA4">
        <w:noBreakHyphen/>
      </w:r>
      <w:r w:rsidRPr="00F92A89">
        <w:rPr>
          <w:rFonts w:eastAsia="Arial Narrow"/>
        </w:rPr>
        <w:t>thal = beta-thalassemia; MALDI-TOF = Matrix Assisted Laser Desorption/Ionization time-of-flight mass spectrometry; NBS = newborn bloodspot screening; SCD = sickle-cell disease.</w:t>
      </w:r>
    </w:p>
    <w:p w14:paraId="00000287" w14:textId="77777777" w:rsidR="00F554A7" w:rsidRPr="00F92A89" w:rsidRDefault="007A75BF" w:rsidP="00F92A89">
      <w:pPr>
        <w:pStyle w:val="TableFigureFooter"/>
        <w:rPr>
          <w:rFonts w:eastAsia="Arial Narrow"/>
        </w:rPr>
      </w:pPr>
      <w:r w:rsidRPr="00F92A89">
        <w:rPr>
          <w:rFonts w:eastAsia="Arial Narrow"/>
          <w:vertAlign w:val="superscript"/>
        </w:rPr>
        <w:t>a</w:t>
      </w:r>
      <w:r w:rsidRPr="00F92A89">
        <w:rPr>
          <w:rFonts w:eastAsia="Arial Narrow"/>
        </w:rPr>
        <w:t xml:space="preserve"> Received from Monash by teleconference, 21/2/23.</w:t>
      </w:r>
    </w:p>
    <w:p w14:paraId="00000288" w14:textId="77777777" w:rsidR="00F554A7" w:rsidRPr="00F92A89" w:rsidRDefault="007A75BF" w:rsidP="00F92A89">
      <w:pPr>
        <w:pStyle w:val="TableFigureFooter"/>
        <w:rPr>
          <w:rFonts w:eastAsia="Arial Narrow"/>
        </w:rPr>
      </w:pPr>
      <w:r w:rsidRPr="00F92A89">
        <w:rPr>
          <w:rFonts w:eastAsia="Arial Narrow"/>
          <w:vertAlign w:val="superscript"/>
        </w:rPr>
        <w:t>b</w:t>
      </w:r>
      <w:r w:rsidRPr="00F92A89">
        <w:rPr>
          <w:rFonts w:eastAsia="Arial Narrow"/>
        </w:rPr>
        <w:t xml:space="preserve"> Total incidence in VIC/TAS estimated to be approx. 20 affected cases per year of 82,400 births (24 per 100,000). The difference between the total incidence estimated and the incidence noted by PathWest is assumed to be the incidence of β-thalassemia </w:t>
      </w:r>
    </w:p>
    <w:p w14:paraId="00000289" w14:textId="77777777" w:rsidR="00F554A7" w:rsidRPr="00F92A89" w:rsidRDefault="007A75BF" w:rsidP="00F92A89">
      <w:pPr>
        <w:pStyle w:val="TableFigureFooter"/>
        <w:rPr>
          <w:rFonts w:eastAsia="Arial Narrow"/>
        </w:rPr>
      </w:pPr>
      <w:r w:rsidRPr="00F92A89">
        <w:rPr>
          <w:rFonts w:eastAsia="Arial Narrow"/>
          <w:vertAlign w:val="superscript"/>
        </w:rPr>
        <w:t>c</w:t>
      </w:r>
      <w:r w:rsidRPr="00F92A89">
        <w:rPr>
          <w:rFonts w:eastAsia="Arial Narrow"/>
        </w:rPr>
        <w:t xml:space="preserve"> Received 13/1/23 by email.</w:t>
      </w:r>
    </w:p>
    <w:p w14:paraId="0000028A" w14:textId="77777777" w:rsidR="00F554A7" w:rsidRDefault="007A75BF">
      <w:pPr>
        <w:pStyle w:val="TableFigureFooter"/>
        <w:rPr>
          <w:rFonts w:eastAsia="Arial Narrow"/>
        </w:rPr>
      </w:pPr>
      <w:r w:rsidRPr="00F92A89">
        <w:rPr>
          <w:rFonts w:eastAsia="Arial Narrow"/>
          <w:vertAlign w:val="superscript"/>
        </w:rPr>
        <w:t>d</w:t>
      </w:r>
      <w:r w:rsidRPr="00F92A89">
        <w:rPr>
          <w:rFonts w:eastAsia="Arial Narrow"/>
        </w:rPr>
        <w:t xml:space="preserve"> Received 13/2/23 by email.</w:t>
      </w:r>
    </w:p>
    <w:p w14:paraId="18440965" w14:textId="5A76FAA4" w:rsidR="00D64E5E" w:rsidRPr="00F92A89" w:rsidRDefault="009F4020" w:rsidP="00F92A89">
      <w:pPr>
        <w:pStyle w:val="TableFigureFooter"/>
        <w:rPr>
          <w:rFonts w:eastAsia="Arial Narrow"/>
        </w:rPr>
      </w:pPr>
      <w:r>
        <w:rPr>
          <w:rFonts w:eastAsia="Arial Narrow"/>
        </w:rPr>
        <w:t>Source: DCAR Table 14.</w:t>
      </w:r>
    </w:p>
    <w:p w14:paraId="0000028B" w14:textId="03857855" w:rsidR="00F554A7" w:rsidRDefault="007A75BF">
      <w:r w:rsidRPr="00F92A89">
        <w:t>The PICO Confirmation suggested that the base case economic analysis should adopt the most cost-effective test strategy. The different strategies available in Australia were noted to have trade-offs. The most expensive options (HPLC and CE) were more comprehensive in the haemoglobinopathies they were able to detect (all SCD and most β-thalassemia cases, in addition to carriers), whereas the least expensive options (ESI-MS/MS, MALDI-TOF and HbS allele-specific PCR) were more limited in what they were able to detect (all SCD cases, and most β-thalassemia cases). Given these trade-offs, the assessment of cost-effectiveness is subjective and remains for MSAC consideration of the additional value alternate test options provide for additional cost. The base case adopts MALDI-TOF (at a cost of $10 per screen) based on the screening strategy proposed by WA NBS provided during the preparation of the DCAR.</w:t>
      </w:r>
      <w:r w:rsidRPr="00F92A89">
        <w:rPr>
          <w:rStyle w:val="FootnoteReference"/>
        </w:rPr>
        <w:footnoteReference w:id="17"/>
      </w:r>
    </w:p>
    <w:p w14:paraId="0000028C" w14:textId="3D27DF09" w:rsidR="00F554A7" w:rsidRDefault="007A75BF">
      <w:r w:rsidRPr="00F92A89">
        <w:t xml:space="preserve">The results of the stepped analysis to generate the base case economic evaluation is presented in </w:t>
      </w:r>
      <w:r w:rsidR="00AC3CA4">
        <w:fldChar w:fldCharType="begin"/>
      </w:r>
      <w:r w:rsidR="00AC3CA4">
        <w:instrText xml:space="preserve"> REF _Ref69725876 \h </w:instrText>
      </w:r>
      <w:r w:rsidR="00AC3CA4">
        <w:fldChar w:fldCharType="separate"/>
      </w:r>
      <w:r w:rsidR="006E058E" w:rsidRPr="00F92A89">
        <w:rPr>
          <w:rFonts w:eastAsia="Arial Narrow"/>
        </w:rPr>
        <w:t>Table </w:t>
      </w:r>
      <w:r w:rsidR="006E058E">
        <w:rPr>
          <w:noProof/>
        </w:rPr>
        <w:t>15</w:t>
      </w:r>
      <w:r w:rsidR="00AC3CA4">
        <w:fldChar w:fldCharType="end"/>
      </w:r>
      <w:r w:rsidR="00AC3CA4">
        <w:t>.</w:t>
      </w:r>
      <w:r w:rsidRPr="00F92A89">
        <w:t xml:space="preserve"> For the primary comparison (i.e. compared to symptomatic identification only), very little change was observed in the ICER when incorporating the key assumptions and different aspects of the linked evidence. Expansion of the program to include identification of β-thalassemia cases had the largest impact on the results.</w:t>
      </w:r>
    </w:p>
    <w:p w14:paraId="0000028D" w14:textId="0E15CADA" w:rsidR="00F554A7" w:rsidRDefault="007A75BF">
      <w:r w:rsidRPr="00F92A89">
        <w:t>For the secondary comparison, including the effects of targeted testing had the largest impact on the results (as this was associated with a substantial decrease in the additional cases identified early through universal NBS), followed by the identification of β-thalassemia cases (which increased the additional cases identified).</w:t>
      </w:r>
    </w:p>
    <w:p w14:paraId="0000028E" w14:textId="68686658" w:rsidR="00F554A7" w:rsidRPr="00F92A89" w:rsidRDefault="007A75BF" w:rsidP="00F92A89">
      <w:pPr>
        <w:pStyle w:val="Caption"/>
        <w:rPr>
          <w:rFonts w:eastAsia="Arial Narrow"/>
          <w:b w:val="0"/>
        </w:rPr>
      </w:pPr>
      <w:bookmarkStart w:id="92" w:name="_heading=h.nmf14n" w:colFirst="0" w:colLast="0"/>
      <w:bookmarkStart w:id="93" w:name="_Ref69725876"/>
      <w:bookmarkEnd w:id="92"/>
      <w:r w:rsidRPr="00F92A89">
        <w:rPr>
          <w:rFonts w:eastAsia="Arial Narrow"/>
        </w:rPr>
        <w:t>Table </w:t>
      </w:r>
      <w:r w:rsidR="00AC3CA4" w:rsidRPr="00CE28E3">
        <w:rPr>
          <w:noProof/>
        </w:rPr>
        <w:fldChar w:fldCharType="begin"/>
      </w:r>
      <w:r w:rsidR="00AC3CA4" w:rsidRPr="00CE28E3">
        <w:rPr>
          <w:noProof/>
        </w:rPr>
        <w:instrText xml:space="preserve"> SEQ Table \* ARABIC </w:instrText>
      </w:r>
      <w:r w:rsidR="00AC3CA4" w:rsidRPr="00CE28E3">
        <w:rPr>
          <w:noProof/>
        </w:rPr>
        <w:fldChar w:fldCharType="separate"/>
      </w:r>
      <w:r w:rsidR="006E058E">
        <w:rPr>
          <w:noProof/>
        </w:rPr>
        <w:t>15</w:t>
      </w:r>
      <w:r w:rsidR="00AC3CA4" w:rsidRPr="00CE28E3">
        <w:rPr>
          <w:noProof/>
        </w:rPr>
        <w:fldChar w:fldCharType="end"/>
      </w:r>
      <w:bookmarkEnd w:id="93"/>
      <w:r w:rsidRPr="00F92A89">
        <w:rPr>
          <w:rFonts w:eastAsia="Arial Narrow"/>
        </w:rPr>
        <w:t xml:space="preserve"> </w:t>
      </w:r>
      <w:r w:rsidRPr="00F92A89">
        <w:rPr>
          <w:rFonts w:eastAsia="Arial Narrow"/>
        </w:rPr>
        <w:tab/>
        <w:t xml:space="preserve">Results of the stepped economic analysis </w:t>
      </w:r>
    </w:p>
    <w:tbl>
      <w:tblPr>
        <w:tblStyle w:val="TableGrid21"/>
        <w:tblW w:w="5000" w:type="pct"/>
        <w:tblInd w:w="0" w:type="dxa"/>
        <w:tblLayout w:type="fixed"/>
        <w:tblLook w:val="04A0" w:firstRow="1" w:lastRow="0" w:firstColumn="1" w:lastColumn="0" w:noHBand="0" w:noVBand="1"/>
      </w:tblPr>
      <w:tblGrid>
        <w:gridCol w:w="2670"/>
        <w:gridCol w:w="1057"/>
        <w:gridCol w:w="1058"/>
        <w:gridCol w:w="1057"/>
        <w:gridCol w:w="956"/>
        <w:gridCol w:w="994"/>
        <w:gridCol w:w="1224"/>
      </w:tblGrid>
      <w:tr w:rsidR="00F554A7" w14:paraId="39DABCDF" w14:textId="77777777" w:rsidTr="00F92A89">
        <w:trPr>
          <w:cantSplit/>
          <w:trHeight w:val="20"/>
          <w:tblHeader/>
        </w:trPr>
        <w:tc>
          <w:tcPr>
            <w:tcW w:w="1481" w:type="pct"/>
            <w:vMerge w:val="restart"/>
            <w:tcBorders>
              <w:top w:val="single" w:sz="4" w:space="0" w:color="auto"/>
              <w:left w:val="single" w:sz="4" w:space="0" w:color="auto"/>
              <w:bottom w:val="single" w:sz="4" w:space="0" w:color="auto"/>
              <w:right w:val="single" w:sz="4" w:space="0" w:color="auto"/>
            </w:tcBorders>
            <w:noWrap/>
          </w:tcPr>
          <w:p w14:paraId="0000028F" w14:textId="77777777" w:rsidR="00F554A7" w:rsidRPr="001E7563" w:rsidRDefault="00F554A7" w:rsidP="00F92A89">
            <w:pPr>
              <w:pStyle w:val="In-tableHeading"/>
              <w:spacing w:line="360" w:lineRule="auto"/>
            </w:pPr>
            <w:bookmarkStart w:id="94" w:name="_heading=h.37m2jsg" w:colFirst="0" w:colLast="0"/>
            <w:bookmarkStart w:id="95" w:name="_Hlk68276562"/>
            <w:bookmarkEnd w:id="94"/>
          </w:p>
        </w:tc>
        <w:tc>
          <w:tcPr>
            <w:tcW w:w="1759" w:type="pct"/>
            <w:gridSpan w:val="3"/>
            <w:tcBorders>
              <w:top w:val="single" w:sz="4" w:space="0" w:color="auto"/>
              <w:left w:val="single" w:sz="4" w:space="0" w:color="auto"/>
              <w:bottom w:val="single" w:sz="4" w:space="0" w:color="auto"/>
              <w:right w:val="double" w:sz="4" w:space="0" w:color="auto"/>
            </w:tcBorders>
            <w:noWrap/>
            <w:hideMark/>
          </w:tcPr>
          <w:p w14:paraId="00000290" w14:textId="77777777" w:rsidR="00F554A7" w:rsidRPr="001E7563" w:rsidRDefault="007A75BF" w:rsidP="00F92A89">
            <w:pPr>
              <w:pStyle w:val="In-tableHeading"/>
              <w:jc w:val="center"/>
            </w:pPr>
            <w:r w:rsidRPr="001E7563">
              <w:t xml:space="preserve">Primary Comparison: </w:t>
            </w:r>
            <w:r w:rsidRPr="001E7563">
              <w:br/>
              <w:t>Symptomatic identification only</w:t>
            </w:r>
          </w:p>
        </w:tc>
        <w:tc>
          <w:tcPr>
            <w:tcW w:w="1760" w:type="pct"/>
            <w:gridSpan w:val="3"/>
            <w:tcBorders>
              <w:top w:val="single" w:sz="4" w:space="0" w:color="auto"/>
              <w:left w:val="double" w:sz="4" w:space="0" w:color="auto"/>
              <w:bottom w:val="single" w:sz="4" w:space="0" w:color="auto"/>
              <w:right w:val="single" w:sz="4" w:space="0" w:color="auto"/>
            </w:tcBorders>
            <w:hideMark/>
          </w:tcPr>
          <w:p w14:paraId="00000293" w14:textId="77777777" w:rsidR="00F554A7" w:rsidRPr="001E7563" w:rsidRDefault="007A75BF" w:rsidP="00F92A89">
            <w:pPr>
              <w:pStyle w:val="In-tableHeading"/>
              <w:jc w:val="center"/>
            </w:pPr>
            <w:r w:rsidRPr="001E7563">
              <w:t xml:space="preserve">Secondary Comparison: </w:t>
            </w:r>
            <w:r w:rsidRPr="001E7563">
              <w:br/>
              <w:t>Targeted testing available</w:t>
            </w:r>
            <w:r>
              <w:rPr>
                <w:vertAlign w:val="superscript"/>
              </w:rPr>
              <w:t xml:space="preserve"> a</w:t>
            </w:r>
          </w:p>
        </w:tc>
      </w:tr>
      <w:tr w:rsidR="00753190" w14:paraId="178C8504" w14:textId="77777777" w:rsidTr="003F09BF">
        <w:trPr>
          <w:cantSplit/>
          <w:trHeight w:val="20"/>
          <w:tblHeader/>
        </w:trPr>
        <w:tc>
          <w:tcPr>
            <w:tcW w:w="1481" w:type="pct"/>
            <w:vMerge/>
            <w:vAlign w:val="center"/>
            <w:hideMark/>
          </w:tcPr>
          <w:p w14:paraId="00000296" w14:textId="77777777" w:rsidR="00F554A7" w:rsidRPr="00F92A89" w:rsidRDefault="00F554A7" w:rsidP="00F92A89">
            <w:pPr>
              <w:rPr>
                <w:rFonts w:ascii="Arial Narrow" w:hAnsi="Arial Narrow"/>
                <w:b/>
                <w:lang w:val="en-US"/>
              </w:rPr>
            </w:pPr>
          </w:p>
        </w:tc>
        <w:tc>
          <w:tcPr>
            <w:tcW w:w="586" w:type="pct"/>
            <w:tcBorders>
              <w:top w:val="single" w:sz="4" w:space="0" w:color="auto"/>
              <w:left w:val="single" w:sz="4" w:space="0" w:color="auto"/>
              <w:bottom w:val="single" w:sz="4" w:space="0" w:color="auto"/>
              <w:right w:val="single" w:sz="4" w:space="0" w:color="auto"/>
            </w:tcBorders>
            <w:noWrap/>
            <w:hideMark/>
          </w:tcPr>
          <w:p w14:paraId="00000297" w14:textId="77777777" w:rsidR="00F554A7" w:rsidRPr="001E7563" w:rsidRDefault="007A75BF" w:rsidP="00F92A89">
            <w:pPr>
              <w:pStyle w:val="In-tableHeading"/>
              <w:jc w:val="center"/>
            </w:pPr>
            <w:r w:rsidRPr="001E7563">
              <w:t>Universal NBS</w:t>
            </w:r>
          </w:p>
        </w:tc>
        <w:tc>
          <w:tcPr>
            <w:tcW w:w="587" w:type="pct"/>
            <w:tcBorders>
              <w:top w:val="single" w:sz="4" w:space="0" w:color="auto"/>
              <w:left w:val="single" w:sz="4" w:space="0" w:color="auto"/>
              <w:bottom w:val="single" w:sz="4" w:space="0" w:color="auto"/>
              <w:right w:val="single" w:sz="4" w:space="0" w:color="auto"/>
            </w:tcBorders>
            <w:noWrap/>
            <w:hideMark/>
          </w:tcPr>
          <w:p w14:paraId="00000298" w14:textId="77777777" w:rsidR="00F554A7" w:rsidRPr="001E7563" w:rsidRDefault="007A75BF" w:rsidP="00F92A89">
            <w:pPr>
              <w:pStyle w:val="In-tableHeading"/>
              <w:jc w:val="center"/>
            </w:pPr>
            <w:r w:rsidRPr="001E7563">
              <w:t>No Universal NBS</w:t>
            </w:r>
          </w:p>
        </w:tc>
        <w:tc>
          <w:tcPr>
            <w:tcW w:w="586" w:type="pct"/>
            <w:tcBorders>
              <w:top w:val="single" w:sz="4" w:space="0" w:color="auto"/>
              <w:left w:val="single" w:sz="4" w:space="0" w:color="auto"/>
              <w:bottom w:val="single" w:sz="4" w:space="0" w:color="auto"/>
              <w:right w:val="double" w:sz="4" w:space="0" w:color="auto"/>
            </w:tcBorders>
            <w:noWrap/>
            <w:hideMark/>
          </w:tcPr>
          <w:p w14:paraId="00000299" w14:textId="77777777" w:rsidR="00F554A7" w:rsidRPr="001E7563" w:rsidRDefault="007A75BF" w:rsidP="00F92A89">
            <w:pPr>
              <w:pStyle w:val="In-tableHeading"/>
              <w:jc w:val="center"/>
            </w:pPr>
            <w:r w:rsidRPr="001E7563">
              <w:t>Increment</w:t>
            </w:r>
          </w:p>
        </w:tc>
        <w:tc>
          <w:tcPr>
            <w:tcW w:w="530" w:type="pct"/>
            <w:tcBorders>
              <w:top w:val="single" w:sz="4" w:space="0" w:color="auto"/>
              <w:left w:val="double" w:sz="4" w:space="0" w:color="auto"/>
              <w:bottom w:val="single" w:sz="4" w:space="0" w:color="auto"/>
              <w:right w:val="single" w:sz="4" w:space="0" w:color="auto"/>
            </w:tcBorders>
            <w:hideMark/>
          </w:tcPr>
          <w:p w14:paraId="0000029A" w14:textId="77777777" w:rsidR="00F554A7" w:rsidRPr="001E7563" w:rsidRDefault="007A75BF" w:rsidP="00F92A89">
            <w:pPr>
              <w:pStyle w:val="In-tableHeading"/>
              <w:jc w:val="center"/>
            </w:pPr>
            <w:r w:rsidRPr="001E7563">
              <w:t>Universal NBS</w:t>
            </w:r>
          </w:p>
        </w:tc>
        <w:tc>
          <w:tcPr>
            <w:tcW w:w="551" w:type="pct"/>
            <w:tcBorders>
              <w:top w:val="single" w:sz="4" w:space="0" w:color="auto"/>
              <w:left w:val="single" w:sz="4" w:space="0" w:color="auto"/>
              <w:bottom w:val="single" w:sz="4" w:space="0" w:color="auto"/>
              <w:right w:val="single" w:sz="4" w:space="0" w:color="auto"/>
            </w:tcBorders>
            <w:hideMark/>
          </w:tcPr>
          <w:p w14:paraId="0000029B" w14:textId="77777777" w:rsidR="00F554A7" w:rsidRPr="001E7563" w:rsidRDefault="007A75BF" w:rsidP="00F92A89">
            <w:pPr>
              <w:pStyle w:val="In-tableHeading"/>
              <w:jc w:val="center"/>
            </w:pPr>
            <w:r w:rsidRPr="001E7563">
              <w:t>No Universal NBS</w:t>
            </w:r>
          </w:p>
        </w:tc>
        <w:tc>
          <w:tcPr>
            <w:tcW w:w="679" w:type="pct"/>
            <w:tcBorders>
              <w:top w:val="single" w:sz="4" w:space="0" w:color="auto"/>
              <w:left w:val="single" w:sz="4" w:space="0" w:color="auto"/>
              <w:bottom w:val="single" w:sz="4" w:space="0" w:color="auto"/>
              <w:right w:val="single" w:sz="4" w:space="0" w:color="auto"/>
            </w:tcBorders>
            <w:hideMark/>
          </w:tcPr>
          <w:p w14:paraId="0000029C" w14:textId="77777777" w:rsidR="00F554A7" w:rsidRPr="001E7563" w:rsidRDefault="007A75BF" w:rsidP="00F92A89">
            <w:pPr>
              <w:pStyle w:val="In-tableHeading"/>
              <w:jc w:val="center"/>
            </w:pPr>
            <w:r w:rsidRPr="001E7563">
              <w:t>Increment</w:t>
            </w:r>
          </w:p>
        </w:tc>
      </w:tr>
      <w:tr w:rsidR="00F554A7" w14:paraId="04D7A14E" w14:textId="77777777" w:rsidTr="00F92A89">
        <w:trPr>
          <w:cantSplit/>
          <w:trHeight w:val="20"/>
        </w:trPr>
        <w:tc>
          <w:tcPr>
            <w:tcW w:w="5000" w:type="pct"/>
            <w:gridSpan w:val="7"/>
            <w:tcBorders>
              <w:top w:val="single" w:sz="4" w:space="0" w:color="auto"/>
              <w:left w:val="single" w:sz="4" w:space="0" w:color="auto"/>
              <w:bottom w:val="single" w:sz="4" w:space="0" w:color="auto"/>
              <w:right w:val="single" w:sz="4" w:space="0" w:color="auto"/>
            </w:tcBorders>
            <w:noWrap/>
            <w:hideMark/>
          </w:tcPr>
          <w:p w14:paraId="0000029D" w14:textId="77777777" w:rsidR="00F554A7" w:rsidRDefault="007A75BF" w:rsidP="00F92A89">
            <w:pPr>
              <w:pStyle w:val="TableText"/>
              <w:keepNext/>
              <w:rPr>
                <w:b/>
              </w:rPr>
            </w:pPr>
            <w:r w:rsidRPr="001E7563">
              <w:rPr>
                <w:b/>
              </w:rPr>
              <w:t>Step 1 – Identification of SCD affected cases only.</w:t>
            </w:r>
          </w:p>
          <w:p w14:paraId="0000029E" w14:textId="77777777" w:rsidR="00F554A7" w:rsidRDefault="007A75BF" w:rsidP="00F92A89">
            <w:pPr>
              <w:pStyle w:val="TableText"/>
              <w:keepNext/>
            </w:pPr>
            <w:r w:rsidRPr="001E7563">
              <w:t>Costs include only those related to universal NBS (or</w:t>
            </w:r>
            <w:r>
              <w:t xml:space="preserve"> the cost of testing on symptomatic diagnosis), assuming first-tier screening using MALDI-TOF. No targeting testing is assumed in either comparison, nor are costs related to monitoring or treatment in cases of SCD identified earlier. Assumes 100% uptake of universal NBS and 100% test performance. Incidence of SCD is assumed to be 7 per 100,000 births.</w:t>
            </w:r>
          </w:p>
        </w:tc>
      </w:tr>
      <w:tr w:rsidR="00753190" w14:paraId="5F53DF50" w14:textId="77777777" w:rsidTr="003F09BF">
        <w:trPr>
          <w:cantSplit/>
          <w:trHeight w:val="20"/>
        </w:trPr>
        <w:tc>
          <w:tcPr>
            <w:tcW w:w="1481" w:type="pct"/>
            <w:tcBorders>
              <w:top w:val="single" w:sz="4" w:space="0" w:color="auto"/>
              <w:left w:val="single" w:sz="4" w:space="0" w:color="auto"/>
              <w:bottom w:val="nil"/>
              <w:right w:val="single" w:sz="4" w:space="0" w:color="auto"/>
            </w:tcBorders>
            <w:noWrap/>
            <w:hideMark/>
          </w:tcPr>
          <w:p w14:paraId="000002A5" w14:textId="77777777" w:rsidR="00F554A7" w:rsidRDefault="007A75BF" w:rsidP="00F92A89">
            <w:pPr>
              <w:pStyle w:val="TableText"/>
              <w:keepNext/>
            </w:pPr>
            <w:r w:rsidRPr="001E7563">
              <w:t>Costs</w:t>
            </w:r>
          </w:p>
        </w:tc>
        <w:tc>
          <w:tcPr>
            <w:tcW w:w="586" w:type="pct"/>
            <w:tcBorders>
              <w:top w:val="single" w:sz="4" w:space="0" w:color="auto"/>
              <w:left w:val="single" w:sz="4" w:space="0" w:color="auto"/>
              <w:bottom w:val="nil"/>
              <w:right w:val="single" w:sz="4" w:space="0" w:color="auto"/>
            </w:tcBorders>
            <w:noWrap/>
          </w:tcPr>
          <w:p w14:paraId="000002A6" w14:textId="77777777" w:rsidR="00F554A7" w:rsidRDefault="007A75BF" w:rsidP="00F92A89">
            <w:pPr>
              <w:pStyle w:val="TableText"/>
              <w:keepNext/>
              <w:jc w:val="right"/>
            </w:pPr>
            <w:r w:rsidRPr="001E7563">
              <w:t>$10.12</w:t>
            </w:r>
          </w:p>
        </w:tc>
        <w:tc>
          <w:tcPr>
            <w:tcW w:w="587" w:type="pct"/>
            <w:tcBorders>
              <w:top w:val="single" w:sz="4" w:space="0" w:color="auto"/>
              <w:left w:val="single" w:sz="4" w:space="0" w:color="auto"/>
              <w:bottom w:val="nil"/>
              <w:right w:val="single" w:sz="4" w:space="0" w:color="auto"/>
            </w:tcBorders>
            <w:noWrap/>
          </w:tcPr>
          <w:p w14:paraId="000002A7" w14:textId="77777777" w:rsidR="00F554A7" w:rsidRDefault="007A75BF" w:rsidP="00F92A89">
            <w:pPr>
              <w:pStyle w:val="TableText"/>
              <w:keepNext/>
              <w:jc w:val="right"/>
            </w:pPr>
            <w:r w:rsidRPr="001E7563">
              <w:t>$0.12</w:t>
            </w:r>
          </w:p>
        </w:tc>
        <w:tc>
          <w:tcPr>
            <w:tcW w:w="586" w:type="pct"/>
            <w:tcBorders>
              <w:top w:val="single" w:sz="4" w:space="0" w:color="auto"/>
              <w:left w:val="single" w:sz="4" w:space="0" w:color="auto"/>
              <w:bottom w:val="nil"/>
              <w:right w:val="double" w:sz="4" w:space="0" w:color="auto"/>
            </w:tcBorders>
            <w:noWrap/>
          </w:tcPr>
          <w:p w14:paraId="000002A8" w14:textId="77777777" w:rsidR="00F554A7" w:rsidRDefault="007A75BF" w:rsidP="00F92A89">
            <w:pPr>
              <w:pStyle w:val="TableText"/>
              <w:keepNext/>
              <w:jc w:val="right"/>
            </w:pPr>
            <w:r w:rsidRPr="001E7563">
              <w:t>$10.00</w:t>
            </w:r>
          </w:p>
        </w:tc>
        <w:tc>
          <w:tcPr>
            <w:tcW w:w="530" w:type="pct"/>
            <w:tcBorders>
              <w:top w:val="single" w:sz="4" w:space="0" w:color="auto"/>
              <w:left w:val="double" w:sz="4" w:space="0" w:color="auto"/>
              <w:bottom w:val="nil"/>
              <w:right w:val="single" w:sz="4" w:space="0" w:color="auto"/>
            </w:tcBorders>
          </w:tcPr>
          <w:p w14:paraId="000002A9" w14:textId="77777777" w:rsidR="00F554A7" w:rsidRDefault="007A75BF" w:rsidP="00F92A89">
            <w:pPr>
              <w:pStyle w:val="TableText"/>
              <w:keepNext/>
              <w:jc w:val="right"/>
            </w:pPr>
            <w:r w:rsidRPr="001E7563">
              <w:t>$10.12</w:t>
            </w:r>
          </w:p>
        </w:tc>
        <w:tc>
          <w:tcPr>
            <w:tcW w:w="551" w:type="pct"/>
            <w:tcBorders>
              <w:top w:val="single" w:sz="4" w:space="0" w:color="auto"/>
              <w:left w:val="single" w:sz="4" w:space="0" w:color="auto"/>
              <w:bottom w:val="nil"/>
              <w:right w:val="single" w:sz="4" w:space="0" w:color="auto"/>
            </w:tcBorders>
          </w:tcPr>
          <w:p w14:paraId="000002AA" w14:textId="77777777" w:rsidR="00F554A7" w:rsidRDefault="007A75BF" w:rsidP="00F92A89">
            <w:pPr>
              <w:pStyle w:val="TableText"/>
              <w:keepNext/>
              <w:jc w:val="right"/>
            </w:pPr>
            <w:r w:rsidRPr="001E7563">
              <w:t>$0.12</w:t>
            </w:r>
          </w:p>
        </w:tc>
        <w:tc>
          <w:tcPr>
            <w:tcW w:w="679" w:type="pct"/>
            <w:tcBorders>
              <w:top w:val="single" w:sz="4" w:space="0" w:color="auto"/>
              <w:left w:val="single" w:sz="4" w:space="0" w:color="auto"/>
              <w:bottom w:val="nil"/>
              <w:right w:val="single" w:sz="4" w:space="0" w:color="auto"/>
            </w:tcBorders>
          </w:tcPr>
          <w:p w14:paraId="000002AB" w14:textId="77777777" w:rsidR="00F554A7" w:rsidRDefault="007A75BF" w:rsidP="00F92A89">
            <w:pPr>
              <w:pStyle w:val="TableText"/>
              <w:keepNext/>
              <w:jc w:val="right"/>
            </w:pPr>
            <w:r w:rsidRPr="001E7563">
              <w:t>$10.00</w:t>
            </w:r>
          </w:p>
        </w:tc>
      </w:tr>
      <w:tr w:rsidR="00753190" w14:paraId="2FAADFD2" w14:textId="77777777" w:rsidTr="003F09BF">
        <w:trPr>
          <w:cantSplit/>
          <w:trHeight w:val="20"/>
        </w:trPr>
        <w:tc>
          <w:tcPr>
            <w:tcW w:w="1481" w:type="pct"/>
            <w:tcBorders>
              <w:top w:val="nil"/>
              <w:left w:val="single" w:sz="4" w:space="0" w:color="auto"/>
              <w:bottom w:val="single" w:sz="4" w:space="0" w:color="auto"/>
              <w:right w:val="single" w:sz="4" w:space="0" w:color="auto"/>
            </w:tcBorders>
            <w:noWrap/>
            <w:hideMark/>
          </w:tcPr>
          <w:p w14:paraId="000002AC" w14:textId="77777777" w:rsidR="00F554A7" w:rsidRDefault="007A75BF" w:rsidP="00F92A89">
            <w:pPr>
              <w:pStyle w:val="TableText"/>
              <w:keepNext/>
              <w:rPr>
                <w:i/>
              </w:rPr>
            </w:pPr>
            <w:r w:rsidRPr="001E7563">
              <w:t>Early diagnosis of affected cases</w:t>
            </w:r>
          </w:p>
        </w:tc>
        <w:tc>
          <w:tcPr>
            <w:tcW w:w="586" w:type="pct"/>
            <w:tcBorders>
              <w:top w:val="nil"/>
              <w:left w:val="single" w:sz="4" w:space="0" w:color="auto"/>
              <w:bottom w:val="single" w:sz="4" w:space="0" w:color="auto"/>
              <w:right w:val="single" w:sz="4" w:space="0" w:color="auto"/>
            </w:tcBorders>
            <w:noWrap/>
          </w:tcPr>
          <w:p w14:paraId="000002AD" w14:textId="77777777" w:rsidR="00F554A7" w:rsidRDefault="007A75BF" w:rsidP="00F92A89">
            <w:pPr>
              <w:pStyle w:val="TableText"/>
              <w:keepNext/>
              <w:jc w:val="right"/>
            </w:pPr>
            <w:r w:rsidRPr="001E7563">
              <w:t>0.00007</w:t>
            </w:r>
          </w:p>
        </w:tc>
        <w:tc>
          <w:tcPr>
            <w:tcW w:w="587" w:type="pct"/>
            <w:tcBorders>
              <w:top w:val="nil"/>
              <w:left w:val="single" w:sz="4" w:space="0" w:color="auto"/>
              <w:bottom w:val="single" w:sz="4" w:space="0" w:color="auto"/>
              <w:right w:val="single" w:sz="4" w:space="0" w:color="auto"/>
            </w:tcBorders>
            <w:noWrap/>
          </w:tcPr>
          <w:p w14:paraId="000002AE" w14:textId="77777777" w:rsidR="00F554A7" w:rsidRDefault="007A75BF" w:rsidP="00F92A89">
            <w:pPr>
              <w:pStyle w:val="TableText"/>
              <w:keepNext/>
              <w:jc w:val="right"/>
            </w:pPr>
            <w:r w:rsidRPr="001E7563">
              <w:t>0.00000</w:t>
            </w:r>
          </w:p>
        </w:tc>
        <w:tc>
          <w:tcPr>
            <w:tcW w:w="586" w:type="pct"/>
            <w:tcBorders>
              <w:top w:val="nil"/>
              <w:left w:val="single" w:sz="4" w:space="0" w:color="auto"/>
              <w:bottom w:val="single" w:sz="4" w:space="0" w:color="auto"/>
              <w:right w:val="double" w:sz="4" w:space="0" w:color="auto"/>
            </w:tcBorders>
            <w:noWrap/>
          </w:tcPr>
          <w:p w14:paraId="000002AF" w14:textId="77777777" w:rsidR="00F554A7" w:rsidRDefault="007A75BF" w:rsidP="00F92A89">
            <w:pPr>
              <w:pStyle w:val="TableText"/>
              <w:keepNext/>
              <w:jc w:val="right"/>
            </w:pPr>
            <w:r w:rsidRPr="001E7563">
              <w:t>0.00007</w:t>
            </w:r>
          </w:p>
        </w:tc>
        <w:tc>
          <w:tcPr>
            <w:tcW w:w="530" w:type="pct"/>
            <w:tcBorders>
              <w:top w:val="nil"/>
              <w:left w:val="double" w:sz="4" w:space="0" w:color="auto"/>
              <w:bottom w:val="single" w:sz="4" w:space="0" w:color="auto"/>
              <w:right w:val="single" w:sz="4" w:space="0" w:color="auto"/>
            </w:tcBorders>
          </w:tcPr>
          <w:p w14:paraId="000002B0" w14:textId="77777777" w:rsidR="00F554A7" w:rsidRDefault="007A75BF" w:rsidP="00F92A89">
            <w:pPr>
              <w:pStyle w:val="TableText"/>
              <w:keepNext/>
              <w:jc w:val="right"/>
            </w:pPr>
            <w:r w:rsidRPr="001E7563">
              <w:t>0.00007</w:t>
            </w:r>
          </w:p>
        </w:tc>
        <w:tc>
          <w:tcPr>
            <w:tcW w:w="551" w:type="pct"/>
            <w:tcBorders>
              <w:top w:val="nil"/>
              <w:left w:val="single" w:sz="4" w:space="0" w:color="auto"/>
              <w:bottom w:val="single" w:sz="4" w:space="0" w:color="auto"/>
              <w:right w:val="single" w:sz="4" w:space="0" w:color="auto"/>
            </w:tcBorders>
          </w:tcPr>
          <w:p w14:paraId="000002B1" w14:textId="77777777" w:rsidR="00F554A7" w:rsidRDefault="007A75BF" w:rsidP="00F92A89">
            <w:pPr>
              <w:pStyle w:val="TableText"/>
              <w:keepNext/>
              <w:jc w:val="right"/>
            </w:pPr>
            <w:r w:rsidRPr="001E7563">
              <w:t>0.00000</w:t>
            </w:r>
          </w:p>
        </w:tc>
        <w:tc>
          <w:tcPr>
            <w:tcW w:w="679" w:type="pct"/>
            <w:tcBorders>
              <w:top w:val="nil"/>
              <w:left w:val="single" w:sz="4" w:space="0" w:color="auto"/>
              <w:bottom w:val="single" w:sz="4" w:space="0" w:color="auto"/>
              <w:right w:val="single" w:sz="4" w:space="0" w:color="auto"/>
            </w:tcBorders>
          </w:tcPr>
          <w:p w14:paraId="000002B2" w14:textId="77777777" w:rsidR="00F554A7" w:rsidRDefault="007A75BF" w:rsidP="00F92A89">
            <w:pPr>
              <w:pStyle w:val="TableText"/>
              <w:keepNext/>
              <w:jc w:val="right"/>
            </w:pPr>
            <w:r w:rsidRPr="001E7563">
              <w:t>0.00007</w:t>
            </w:r>
          </w:p>
        </w:tc>
      </w:tr>
      <w:tr w:rsidR="001E7563" w14:paraId="49595A5F" w14:textId="77777777" w:rsidTr="003F09BF">
        <w:trPr>
          <w:cantSplit/>
          <w:trHeight w:val="20"/>
        </w:trPr>
        <w:tc>
          <w:tcPr>
            <w:tcW w:w="1481" w:type="pct"/>
            <w:tcBorders>
              <w:top w:val="single" w:sz="4" w:space="0" w:color="auto"/>
              <w:left w:val="single" w:sz="4" w:space="0" w:color="auto"/>
              <w:bottom w:val="nil"/>
              <w:right w:val="nil"/>
            </w:tcBorders>
            <w:noWrap/>
            <w:hideMark/>
          </w:tcPr>
          <w:p w14:paraId="000002B3" w14:textId="77777777" w:rsidR="00F554A7" w:rsidRDefault="007A75BF" w:rsidP="00F92A89">
            <w:pPr>
              <w:pStyle w:val="TableText"/>
              <w:rPr>
                <w:b/>
              </w:rPr>
            </w:pPr>
            <w:r w:rsidRPr="001E7563">
              <w:rPr>
                <w:b/>
              </w:rPr>
              <w:t xml:space="preserve">ICER </w:t>
            </w:r>
          </w:p>
        </w:tc>
        <w:tc>
          <w:tcPr>
            <w:tcW w:w="586" w:type="pct"/>
            <w:tcBorders>
              <w:top w:val="single" w:sz="4" w:space="0" w:color="auto"/>
              <w:left w:val="nil"/>
              <w:bottom w:val="nil"/>
              <w:right w:val="nil"/>
            </w:tcBorders>
            <w:noWrap/>
          </w:tcPr>
          <w:p w14:paraId="000002B4" w14:textId="77777777" w:rsidR="00F554A7" w:rsidRPr="001E7563" w:rsidRDefault="00F554A7" w:rsidP="00F92A89">
            <w:pPr>
              <w:pStyle w:val="TableText"/>
              <w:jc w:val="right"/>
              <w:rPr>
                <w:b/>
              </w:rPr>
            </w:pPr>
          </w:p>
        </w:tc>
        <w:tc>
          <w:tcPr>
            <w:tcW w:w="587" w:type="pct"/>
            <w:tcBorders>
              <w:top w:val="single" w:sz="4" w:space="0" w:color="auto"/>
              <w:left w:val="nil"/>
              <w:bottom w:val="nil"/>
              <w:right w:val="single" w:sz="4" w:space="0" w:color="auto"/>
            </w:tcBorders>
            <w:noWrap/>
          </w:tcPr>
          <w:p w14:paraId="000002B5" w14:textId="77777777" w:rsidR="00F554A7" w:rsidRPr="001E7563" w:rsidRDefault="00F554A7" w:rsidP="00F92A89">
            <w:pPr>
              <w:pStyle w:val="TableText"/>
              <w:jc w:val="right"/>
              <w:rPr>
                <w:b/>
              </w:rPr>
            </w:pPr>
          </w:p>
        </w:tc>
        <w:tc>
          <w:tcPr>
            <w:tcW w:w="586" w:type="pct"/>
            <w:tcBorders>
              <w:top w:val="single" w:sz="4" w:space="0" w:color="auto"/>
              <w:left w:val="single" w:sz="4" w:space="0" w:color="auto"/>
              <w:bottom w:val="nil"/>
              <w:right w:val="double" w:sz="4" w:space="0" w:color="auto"/>
            </w:tcBorders>
            <w:noWrap/>
          </w:tcPr>
          <w:p w14:paraId="000002B6" w14:textId="77777777" w:rsidR="00F554A7" w:rsidRDefault="007A75BF" w:rsidP="00F92A89">
            <w:pPr>
              <w:pStyle w:val="TableText"/>
              <w:jc w:val="right"/>
              <w:rPr>
                <w:b/>
              </w:rPr>
            </w:pPr>
            <w:r w:rsidRPr="001E7563">
              <w:rPr>
                <w:b/>
              </w:rPr>
              <w:t>$140,022</w:t>
            </w:r>
          </w:p>
        </w:tc>
        <w:tc>
          <w:tcPr>
            <w:tcW w:w="530" w:type="pct"/>
            <w:tcBorders>
              <w:top w:val="single" w:sz="4" w:space="0" w:color="auto"/>
              <w:left w:val="double" w:sz="4" w:space="0" w:color="auto"/>
              <w:bottom w:val="nil"/>
              <w:right w:val="nil"/>
            </w:tcBorders>
          </w:tcPr>
          <w:p w14:paraId="000002B7" w14:textId="77777777" w:rsidR="00F554A7" w:rsidRPr="001E7563" w:rsidRDefault="00F554A7" w:rsidP="00F92A89">
            <w:pPr>
              <w:pStyle w:val="TableText"/>
              <w:jc w:val="right"/>
              <w:rPr>
                <w:b/>
              </w:rPr>
            </w:pPr>
          </w:p>
        </w:tc>
        <w:tc>
          <w:tcPr>
            <w:tcW w:w="551" w:type="pct"/>
            <w:tcBorders>
              <w:top w:val="single" w:sz="4" w:space="0" w:color="auto"/>
              <w:left w:val="nil"/>
              <w:bottom w:val="nil"/>
              <w:right w:val="single" w:sz="4" w:space="0" w:color="auto"/>
            </w:tcBorders>
          </w:tcPr>
          <w:p w14:paraId="000002B8" w14:textId="77777777" w:rsidR="00F554A7" w:rsidRPr="001E7563" w:rsidRDefault="00F554A7" w:rsidP="00F92A89">
            <w:pPr>
              <w:pStyle w:val="TableText"/>
              <w:jc w:val="right"/>
              <w:rPr>
                <w:b/>
              </w:rPr>
            </w:pPr>
          </w:p>
        </w:tc>
        <w:tc>
          <w:tcPr>
            <w:tcW w:w="679" w:type="pct"/>
            <w:tcBorders>
              <w:top w:val="single" w:sz="4" w:space="0" w:color="auto"/>
              <w:left w:val="single" w:sz="4" w:space="0" w:color="auto"/>
              <w:bottom w:val="nil"/>
              <w:right w:val="single" w:sz="4" w:space="0" w:color="auto"/>
            </w:tcBorders>
          </w:tcPr>
          <w:p w14:paraId="000002B9" w14:textId="77777777" w:rsidR="00F554A7" w:rsidRDefault="007A75BF" w:rsidP="00F92A89">
            <w:pPr>
              <w:pStyle w:val="TableText"/>
              <w:jc w:val="right"/>
              <w:rPr>
                <w:b/>
              </w:rPr>
            </w:pPr>
            <w:r w:rsidRPr="001E7563">
              <w:rPr>
                <w:b/>
              </w:rPr>
              <w:t>$140,022</w:t>
            </w:r>
          </w:p>
        </w:tc>
      </w:tr>
      <w:tr w:rsidR="00F554A7" w14:paraId="03ECDB9C" w14:textId="77777777" w:rsidTr="00F92A89">
        <w:trPr>
          <w:cantSplit/>
          <w:trHeight w:val="20"/>
        </w:trPr>
        <w:tc>
          <w:tcPr>
            <w:tcW w:w="5000" w:type="pct"/>
            <w:gridSpan w:val="7"/>
            <w:tcBorders>
              <w:top w:val="single" w:sz="4" w:space="0" w:color="auto"/>
              <w:left w:val="single" w:sz="4" w:space="0" w:color="auto"/>
              <w:bottom w:val="single" w:sz="4" w:space="0" w:color="auto"/>
              <w:right w:val="single" w:sz="4" w:space="0" w:color="auto"/>
            </w:tcBorders>
            <w:noWrap/>
            <w:hideMark/>
          </w:tcPr>
          <w:p w14:paraId="000002BA" w14:textId="77777777" w:rsidR="00F554A7" w:rsidRDefault="007A75BF" w:rsidP="00F92A89">
            <w:pPr>
              <w:pStyle w:val="TableText"/>
              <w:keepNext/>
              <w:rPr>
                <w:b/>
              </w:rPr>
            </w:pPr>
            <w:r w:rsidRPr="001E7563">
              <w:rPr>
                <w:b/>
              </w:rPr>
              <w:lastRenderedPageBreak/>
              <w:t xml:space="preserve">Step 2 – </w:t>
            </w:r>
            <w:r>
              <w:rPr>
                <w:b/>
              </w:rPr>
              <w:t>Incorporation of targeted testing (only applicable to secondary comparison)</w:t>
            </w:r>
          </w:p>
          <w:p w14:paraId="000002BB" w14:textId="77777777" w:rsidR="00F554A7" w:rsidRDefault="007A75BF" w:rsidP="00F92A89">
            <w:pPr>
              <w:pStyle w:val="TableText"/>
              <w:keepNext/>
            </w:pPr>
            <w:r w:rsidRPr="001E7563">
              <w:t xml:space="preserve">Costs and outcomes of targeted testing </w:t>
            </w:r>
            <w:r>
              <w:t>(i.e. parental, fetal and neonatal) included in the secondary comparison only. 99% of affected cases are assumed to be identified through targeted testing. Cost of targeted testing includes fetal testing, testing of neonates (predominantly based on prior parental identification, though to a lesser extent based on ancestry)</w:t>
            </w:r>
          </w:p>
        </w:tc>
      </w:tr>
      <w:tr w:rsidR="00753190" w14:paraId="30B1B522" w14:textId="77777777" w:rsidTr="003F09BF">
        <w:trPr>
          <w:cantSplit/>
          <w:trHeight w:val="20"/>
        </w:trPr>
        <w:tc>
          <w:tcPr>
            <w:tcW w:w="1481" w:type="pct"/>
            <w:tcBorders>
              <w:top w:val="single" w:sz="4" w:space="0" w:color="auto"/>
              <w:left w:val="single" w:sz="4" w:space="0" w:color="auto"/>
              <w:bottom w:val="nil"/>
              <w:right w:val="single" w:sz="4" w:space="0" w:color="auto"/>
            </w:tcBorders>
            <w:noWrap/>
            <w:hideMark/>
          </w:tcPr>
          <w:p w14:paraId="000002C2" w14:textId="77777777" w:rsidR="00F554A7" w:rsidRDefault="007A75BF" w:rsidP="00F92A89">
            <w:pPr>
              <w:pStyle w:val="TableText"/>
              <w:keepNext/>
            </w:pPr>
            <w:r w:rsidRPr="001E7563">
              <w:t>Costs</w:t>
            </w:r>
          </w:p>
        </w:tc>
        <w:tc>
          <w:tcPr>
            <w:tcW w:w="586" w:type="pct"/>
            <w:tcBorders>
              <w:top w:val="single" w:sz="4" w:space="0" w:color="auto"/>
              <w:left w:val="single" w:sz="4" w:space="0" w:color="auto"/>
              <w:bottom w:val="nil"/>
              <w:right w:val="single" w:sz="4" w:space="0" w:color="auto"/>
            </w:tcBorders>
            <w:noWrap/>
          </w:tcPr>
          <w:p w14:paraId="000002C3" w14:textId="77777777" w:rsidR="00F554A7" w:rsidRDefault="007A75BF" w:rsidP="00F92A89">
            <w:pPr>
              <w:pStyle w:val="TableText"/>
              <w:keepNext/>
              <w:jc w:val="right"/>
            </w:pPr>
            <w:r w:rsidRPr="001E7563">
              <w:t>$10.12</w:t>
            </w:r>
          </w:p>
        </w:tc>
        <w:tc>
          <w:tcPr>
            <w:tcW w:w="587" w:type="pct"/>
            <w:tcBorders>
              <w:top w:val="single" w:sz="4" w:space="0" w:color="auto"/>
              <w:left w:val="single" w:sz="4" w:space="0" w:color="auto"/>
              <w:bottom w:val="nil"/>
              <w:right w:val="single" w:sz="4" w:space="0" w:color="auto"/>
            </w:tcBorders>
            <w:noWrap/>
          </w:tcPr>
          <w:p w14:paraId="000002C4" w14:textId="77777777" w:rsidR="00F554A7" w:rsidRDefault="007A75BF" w:rsidP="00F92A89">
            <w:pPr>
              <w:pStyle w:val="TableText"/>
              <w:keepNext/>
              <w:jc w:val="right"/>
            </w:pPr>
            <w:r w:rsidRPr="001E7563">
              <w:t>$0.12</w:t>
            </w:r>
          </w:p>
        </w:tc>
        <w:tc>
          <w:tcPr>
            <w:tcW w:w="586" w:type="pct"/>
            <w:tcBorders>
              <w:top w:val="single" w:sz="4" w:space="0" w:color="auto"/>
              <w:left w:val="single" w:sz="4" w:space="0" w:color="auto"/>
              <w:bottom w:val="nil"/>
              <w:right w:val="double" w:sz="4" w:space="0" w:color="auto"/>
            </w:tcBorders>
            <w:noWrap/>
          </w:tcPr>
          <w:p w14:paraId="000002C5" w14:textId="77777777" w:rsidR="00F554A7" w:rsidRDefault="007A75BF" w:rsidP="00F92A89">
            <w:pPr>
              <w:pStyle w:val="TableText"/>
              <w:keepNext/>
              <w:jc w:val="right"/>
            </w:pPr>
            <w:r w:rsidRPr="001E7563">
              <w:t>$10.00</w:t>
            </w:r>
          </w:p>
        </w:tc>
        <w:tc>
          <w:tcPr>
            <w:tcW w:w="530" w:type="pct"/>
            <w:tcBorders>
              <w:top w:val="single" w:sz="4" w:space="0" w:color="auto"/>
              <w:left w:val="double" w:sz="4" w:space="0" w:color="auto"/>
              <w:bottom w:val="nil"/>
              <w:right w:val="single" w:sz="4" w:space="0" w:color="auto"/>
            </w:tcBorders>
          </w:tcPr>
          <w:p w14:paraId="000002C6" w14:textId="77777777" w:rsidR="00F554A7" w:rsidRDefault="007A75BF" w:rsidP="00F92A89">
            <w:pPr>
              <w:pStyle w:val="TableText"/>
              <w:keepNext/>
              <w:jc w:val="right"/>
            </w:pPr>
            <w:r w:rsidRPr="001E7563">
              <w:t>$10.39</w:t>
            </w:r>
          </w:p>
        </w:tc>
        <w:tc>
          <w:tcPr>
            <w:tcW w:w="551" w:type="pct"/>
            <w:tcBorders>
              <w:top w:val="single" w:sz="4" w:space="0" w:color="auto"/>
              <w:left w:val="single" w:sz="4" w:space="0" w:color="auto"/>
              <w:bottom w:val="nil"/>
              <w:right w:val="single" w:sz="4" w:space="0" w:color="auto"/>
            </w:tcBorders>
          </w:tcPr>
          <w:p w14:paraId="000002C7" w14:textId="77777777" w:rsidR="00F554A7" w:rsidRDefault="007A75BF" w:rsidP="00F92A89">
            <w:pPr>
              <w:pStyle w:val="TableText"/>
              <w:keepNext/>
              <w:jc w:val="right"/>
            </w:pPr>
            <w:r w:rsidRPr="001E7563">
              <w:t>$0.55</w:t>
            </w:r>
          </w:p>
        </w:tc>
        <w:tc>
          <w:tcPr>
            <w:tcW w:w="679" w:type="pct"/>
            <w:tcBorders>
              <w:top w:val="single" w:sz="4" w:space="0" w:color="auto"/>
              <w:left w:val="single" w:sz="4" w:space="0" w:color="auto"/>
              <w:bottom w:val="nil"/>
              <w:right w:val="single" w:sz="4" w:space="0" w:color="auto"/>
            </w:tcBorders>
          </w:tcPr>
          <w:p w14:paraId="000002C8" w14:textId="77777777" w:rsidR="00F554A7" w:rsidRDefault="007A75BF" w:rsidP="00F92A89">
            <w:pPr>
              <w:pStyle w:val="TableText"/>
              <w:keepNext/>
              <w:jc w:val="right"/>
            </w:pPr>
            <w:r w:rsidRPr="001E7563">
              <w:t>$9.83</w:t>
            </w:r>
          </w:p>
        </w:tc>
      </w:tr>
      <w:tr w:rsidR="00753190" w14:paraId="2C7E9B71" w14:textId="77777777" w:rsidTr="003F09BF">
        <w:trPr>
          <w:cantSplit/>
          <w:trHeight w:val="20"/>
        </w:trPr>
        <w:tc>
          <w:tcPr>
            <w:tcW w:w="1481" w:type="pct"/>
            <w:tcBorders>
              <w:top w:val="nil"/>
              <w:left w:val="single" w:sz="4" w:space="0" w:color="auto"/>
              <w:bottom w:val="single" w:sz="4" w:space="0" w:color="auto"/>
              <w:right w:val="single" w:sz="4" w:space="0" w:color="auto"/>
            </w:tcBorders>
            <w:noWrap/>
            <w:hideMark/>
          </w:tcPr>
          <w:p w14:paraId="000002C9" w14:textId="77777777" w:rsidR="00F554A7" w:rsidRDefault="007A75BF" w:rsidP="00F92A89">
            <w:pPr>
              <w:pStyle w:val="TableText"/>
              <w:keepNext/>
              <w:rPr>
                <w:i/>
              </w:rPr>
            </w:pPr>
            <w:r w:rsidRPr="001E7563">
              <w:t>Early diagnosis of affected cases</w:t>
            </w:r>
          </w:p>
        </w:tc>
        <w:tc>
          <w:tcPr>
            <w:tcW w:w="586" w:type="pct"/>
            <w:tcBorders>
              <w:top w:val="nil"/>
              <w:left w:val="single" w:sz="4" w:space="0" w:color="auto"/>
              <w:bottom w:val="single" w:sz="4" w:space="0" w:color="auto"/>
              <w:right w:val="single" w:sz="4" w:space="0" w:color="auto"/>
            </w:tcBorders>
            <w:noWrap/>
          </w:tcPr>
          <w:p w14:paraId="000002CA" w14:textId="77777777" w:rsidR="00F554A7" w:rsidRDefault="007A75BF" w:rsidP="00F92A89">
            <w:pPr>
              <w:pStyle w:val="TableText"/>
              <w:keepNext/>
              <w:jc w:val="right"/>
              <w:rPr>
                <w:i/>
              </w:rPr>
            </w:pPr>
            <w:r w:rsidRPr="001E7563">
              <w:t>0.00007</w:t>
            </w:r>
          </w:p>
        </w:tc>
        <w:tc>
          <w:tcPr>
            <w:tcW w:w="587" w:type="pct"/>
            <w:tcBorders>
              <w:top w:val="nil"/>
              <w:left w:val="single" w:sz="4" w:space="0" w:color="auto"/>
              <w:bottom w:val="single" w:sz="4" w:space="0" w:color="auto"/>
              <w:right w:val="single" w:sz="4" w:space="0" w:color="auto"/>
            </w:tcBorders>
            <w:noWrap/>
          </w:tcPr>
          <w:p w14:paraId="000002CB" w14:textId="77777777" w:rsidR="00F554A7" w:rsidRDefault="007A75BF" w:rsidP="00F92A89">
            <w:pPr>
              <w:pStyle w:val="TableText"/>
              <w:keepNext/>
              <w:jc w:val="right"/>
              <w:rPr>
                <w:i/>
              </w:rPr>
            </w:pPr>
            <w:r w:rsidRPr="001E7563">
              <w:t>0.00000</w:t>
            </w:r>
          </w:p>
        </w:tc>
        <w:tc>
          <w:tcPr>
            <w:tcW w:w="586" w:type="pct"/>
            <w:tcBorders>
              <w:top w:val="nil"/>
              <w:left w:val="single" w:sz="4" w:space="0" w:color="auto"/>
              <w:bottom w:val="single" w:sz="4" w:space="0" w:color="auto"/>
              <w:right w:val="double" w:sz="4" w:space="0" w:color="auto"/>
            </w:tcBorders>
            <w:noWrap/>
          </w:tcPr>
          <w:p w14:paraId="000002CC" w14:textId="77777777" w:rsidR="00F554A7" w:rsidRDefault="007A75BF" w:rsidP="00F92A89">
            <w:pPr>
              <w:pStyle w:val="TableText"/>
              <w:keepNext/>
              <w:jc w:val="right"/>
              <w:rPr>
                <w:i/>
              </w:rPr>
            </w:pPr>
            <w:r w:rsidRPr="001E7563">
              <w:t>0.00007</w:t>
            </w:r>
          </w:p>
        </w:tc>
        <w:tc>
          <w:tcPr>
            <w:tcW w:w="530" w:type="pct"/>
            <w:tcBorders>
              <w:top w:val="nil"/>
              <w:left w:val="double" w:sz="4" w:space="0" w:color="auto"/>
              <w:bottom w:val="single" w:sz="4" w:space="0" w:color="auto"/>
              <w:right w:val="single" w:sz="4" w:space="0" w:color="auto"/>
            </w:tcBorders>
          </w:tcPr>
          <w:p w14:paraId="000002CD" w14:textId="77777777" w:rsidR="00F554A7" w:rsidRDefault="007A75BF" w:rsidP="00F92A89">
            <w:pPr>
              <w:pStyle w:val="TableText"/>
              <w:keepNext/>
              <w:jc w:val="right"/>
              <w:rPr>
                <w:i/>
              </w:rPr>
            </w:pPr>
            <w:r w:rsidRPr="001E7563">
              <w:t>0.00024</w:t>
            </w:r>
          </w:p>
        </w:tc>
        <w:tc>
          <w:tcPr>
            <w:tcW w:w="551" w:type="pct"/>
            <w:tcBorders>
              <w:top w:val="nil"/>
              <w:left w:val="single" w:sz="4" w:space="0" w:color="auto"/>
              <w:bottom w:val="single" w:sz="4" w:space="0" w:color="auto"/>
              <w:right w:val="single" w:sz="4" w:space="0" w:color="auto"/>
            </w:tcBorders>
          </w:tcPr>
          <w:p w14:paraId="000002CE" w14:textId="77777777" w:rsidR="00F554A7" w:rsidRDefault="007A75BF" w:rsidP="00F92A89">
            <w:pPr>
              <w:pStyle w:val="TableText"/>
              <w:keepNext/>
              <w:jc w:val="right"/>
              <w:rPr>
                <w:i/>
              </w:rPr>
            </w:pPr>
            <w:r w:rsidRPr="001E7563">
              <w:t>0.00024</w:t>
            </w:r>
          </w:p>
        </w:tc>
        <w:tc>
          <w:tcPr>
            <w:tcW w:w="679" w:type="pct"/>
            <w:tcBorders>
              <w:top w:val="nil"/>
              <w:left w:val="single" w:sz="4" w:space="0" w:color="auto"/>
              <w:bottom w:val="single" w:sz="4" w:space="0" w:color="auto"/>
              <w:right w:val="single" w:sz="4" w:space="0" w:color="auto"/>
            </w:tcBorders>
          </w:tcPr>
          <w:p w14:paraId="000002CF" w14:textId="77777777" w:rsidR="00F554A7" w:rsidRDefault="007A75BF" w:rsidP="00F92A89">
            <w:pPr>
              <w:pStyle w:val="TableText"/>
              <w:keepNext/>
              <w:jc w:val="right"/>
            </w:pPr>
            <w:r w:rsidRPr="001E7563">
              <w:t>0.00000</w:t>
            </w:r>
          </w:p>
        </w:tc>
      </w:tr>
      <w:tr w:rsidR="001E7563" w14:paraId="101DF979" w14:textId="77777777" w:rsidTr="003F09BF">
        <w:trPr>
          <w:cantSplit/>
          <w:trHeight w:val="20"/>
        </w:trPr>
        <w:tc>
          <w:tcPr>
            <w:tcW w:w="1481" w:type="pct"/>
            <w:tcBorders>
              <w:top w:val="single" w:sz="4" w:space="0" w:color="auto"/>
              <w:left w:val="single" w:sz="4" w:space="0" w:color="auto"/>
              <w:bottom w:val="nil"/>
              <w:right w:val="nil"/>
            </w:tcBorders>
            <w:noWrap/>
            <w:hideMark/>
          </w:tcPr>
          <w:p w14:paraId="000002D0" w14:textId="77777777" w:rsidR="00F554A7" w:rsidRDefault="007A75BF" w:rsidP="00F92A89">
            <w:pPr>
              <w:pStyle w:val="TableText"/>
              <w:rPr>
                <w:b/>
              </w:rPr>
            </w:pPr>
            <w:r w:rsidRPr="001E7563">
              <w:rPr>
                <w:b/>
              </w:rPr>
              <w:t xml:space="preserve">ICER </w:t>
            </w:r>
          </w:p>
        </w:tc>
        <w:tc>
          <w:tcPr>
            <w:tcW w:w="586" w:type="pct"/>
            <w:tcBorders>
              <w:top w:val="single" w:sz="4" w:space="0" w:color="auto"/>
              <w:left w:val="nil"/>
              <w:bottom w:val="nil"/>
              <w:right w:val="nil"/>
            </w:tcBorders>
            <w:noWrap/>
          </w:tcPr>
          <w:p w14:paraId="000002D1" w14:textId="77777777" w:rsidR="00F554A7" w:rsidRPr="001E7563" w:rsidRDefault="00F554A7" w:rsidP="00F92A89">
            <w:pPr>
              <w:pStyle w:val="TableText"/>
              <w:jc w:val="right"/>
              <w:rPr>
                <w:b/>
              </w:rPr>
            </w:pPr>
          </w:p>
        </w:tc>
        <w:tc>
          <w:tcPr>
            <w:tcW w:w="587" w:type="pct"/>
            <w:tcBorders>
              <w:top w:val="single" w:sz="4" w:space="0" w:color="auto"/>
              <w:left w:val="nil"/>
              <w:bottom w:val="nil"/>
              <w:right w:val="single" w:sz="4" w:space="0" w:color="auto"/>
            </w:tcBorders>
            <w:noWrap/>
          </w:tcPr>
          <w:p w14:paraId="000002D2" w14:textId="77777777" w:rsidR="00F554A7" w:rsidRPr="001E7563" w:rsidRDefault="00F554A7" w:rsidP="00F92A89">
            <w:pPr>
              <w:pStyle w:val="TableText"/>
              <w:jc w:val="right"/>
              <w:rPr>
                <w:b/>
              </w:rPr>
            </w:pPr>
          </w:p>
        </w:tc>
        <w:tc>
          <w:tcPr>
            <w:tcW w:w="586" w:type="pct"/>
            <w:tcBorders>
              <w:top w:val="single" w:sz="4" w:space="0" w:color="auto"/>
              <w:left w:val="single" w:sz="4" w:space="0" w:color="auto"/>
              <w:bottom w:val="nil"/>
              <w:right w:val="double" w:sz="4" w:space="0" w:color="auto"/>
            </w:tcBorders>
            <w:noWrap/>
          </w:tcPr>
          <w:p w14:paraId="000002D3" w14:textId="77777777" w:rsidR="00F554A7" w:rsidRDefault="007A75BF" w:rsidP="00F92A89">
            <w:pPr>
              <w:pStyle w:val="TableText"/>
              <w:jc w:val="right"/>
              <w:rPr>
                <w:b/>
              </w:rPr>
            </w:pPr>
            <w:r w:rsidRPr="001E7563">
              <w:rPr>
                <w:b/>
              </w:rPr>
              <w:t>$140,022</w:t>
            </w:r>
          </w:p>
        </w:tc>
        <w:tc>
          <w:tcPr>
            <w:tcW w:w="530" w:type="pct"/>
            <w:tcBorders>
              <w:top w:val="single" w:sz="4" w:space="0" w:color="auto"/>
              <w:left w:val="double" w:sz="4" w:space="0" w:color="auto"/>
              <w:bottom w:val="nil"/>
              <w:right w:val="nil"/>
            </w:tcBorders>
          </w:tcPr>
          <w:p w14:paraId="000002D4" w14:textId="77777777" w:rsidR="00F554A7" w:rsidRPr="001E7563" w:rsidRDefault="00F554A7" w:rsidP="00F92A89">
            <w:pPr>
              <w:pStyle w:val="TableText"/>
              <w:jc w:val="right"/>
              <w:rPr>
                <w:b/>
              </w:rPr>
            </w:pPr>
          </w:p>
        </w:tc>
        <w:tc>
          <w:tcPr>
            <w:tcW w:w="551" w:type="pct"/>
            <w:tcBorders>
              <w:top w:val="single" w:sz="4" w:space="0" w:color="auto"/>
              <w:left w:val="nil"/>
              <w:bottom w:val="nil"/>
              <w:right w:val="single" w:sz="4" w:space="0" w:color="auto"/>
            </w:tcBorders>
          </w:tcPr>
          <w:p w14:paraId="000002D5" w14:textId="77777777" w:rsidR="00F554A7" w:rsidRPr="001E7563" w:rsidRDefault="00F554A7" w:rsidP="00F92A89">
            <w:pPr>
              <w:pStyle w:val="TableText"/>
              <w:jc w:val="right"/>
              <w:rPr>
                <w:b/>
              </w:rPr>
            </w:pPr>
          </w:p>
        </w:tc>
        <w:tc>
          <w:tcPr>
            <w:tcW w:w="679" w:type="pct"/>
            <w:tcBorders>
              <w:top w:val="single" w:sz="4" w:space="0" w:color="auto"/>
              <w:left w:val="single" w:sz="4" w:space="0" w:color="auto"/>
              <w:bottom w:val="nil"/>
              <w:right w:val="single" w:sz="4" w:space="0" w:color="auto"/>
            </w:tcBorders>
          </w:tcPr>
          <w:p w14:paraId="000002D6" w14:textId="77777777" w:rsidR="00F554A7" w:rsidRDefault="007A75BF" w:rsidP="00F92A89">
            <w:pPr>
              <w:pStyle w:val="TableText"/>
              <w:jc w:val="right"/>
              <w:rPr>
                <w:b/>
              </w:rPr>
            </w:pPr>
            <w:r w:rsidRPr="001E7563">
              <w:rPr>
                <w:b/>
              </w:rPr>
              <w:t>$13,765,301</w:t>
            </w:r>
          </w:p>
        </w:tc>
      </w:tr>
      <w:tr w:rsidR="00F554A7" w14:paraId="68F84C01" w14:textId="77777777" w:rsidTr="00F92A89">
        <w:trPr>
          <w:cantSplit/>
          <w:trHeight w:val="20"/>
        </w:trPr>
        <w:tc>
          <w:tcPr>
            <w:tcW w:w="5000" w:type="pct"/>
            <w:gridSpan w:val="7"/>
            <w:tcBorders>
              <w:top w:val="single" w:sz="4" w:space="0" w:color="auto"/>
              <w:left w:val="single" w:sz="4" w:space="0" w:color="auto"/>
              <w:bottom w:val="single" w:sz="4" w:space="0" w:color="auto"/>
              <w:right w:val="single" w:sz="4" w:space="0" w:color="auto"/>
            </w:tcBorders>
            <w:noWrap/>
            <w:hideMark/>
          </w:tcPr>
          <w:p w14:paraId="000002D7" w14:textId="77777777" w:rsidR="00F554A7" w:rsidRDefault="007A75BF" w:rsidP="00F92A89">
            <w:pPr>
              <w:pStyle w:val="TableText"/>
              <w:keepNext/>
              <w:rPr>
                <w:b/>
              </w:rPr>
            </w:pPr>
            <w:r w:rsidRPr="001E7563">
              <w:rPr>
                <w:b/>
              </w:rPr>
              <w:t xml:space="preserve">Step 3 – </w:t>
            </w:r>
            <w:r>
              <w:rPr>
                <w:b/>
              </w:rPr>
              <w:t>Incorporation of screening performance</w:t>
            </w:r>
          </w:p>
          <w:p w14:paraId="000002D8" w14:textId="77777777" w:rsidR="00F554A7" w:rsidRDefault="007A75BF" w:rsidP="00F92A89">
            <w:pPr>
              <w:pStyle w:val="TableText"/>
              <w:keepNext/>
            </w:pPr>
            <w:r w:rsidRPr="001E7563">
              <w:t xml:space="preserve">Test performance estimates from ‘Test accuracy’ are included (100% sensitivity and 99.99% specificity). While specificity ranged </w:t>
            </w:r>
            <w:r>
              <w:t>&gt;99-100%, high concordance was also noted (so screen-positives were highly likely to be truly positive and so very high specificity has been assumed)</w:t>
            </w:r>
          </w:p>
        </w:tc>
      </w:tr>
      <w:tr w:rsidR="00753190" w14:paraId="1888B348" w14:textId="77777777" w:rsidTr="003F09BF">
        <w:trPr>
          <w:cantSplit/>
          <w:trHeight w:val="20"/>
        </w:trPr>
        <w:tc>
          <w:tcPr>
            <w:tcW w:w="1481" w:type="pct"/>
            <w:tcBorders>
              <w:top w:val="single" w:sz="4" w:space="0" w:color="auto"/>
              <w:left w:val="single" w:sz="4" w:space="0" w:color="auto"/>
              <w:bottom w:val="nil"/>
              <w:right w:val="single" w:sz="4" w:space="0" w:color="auto"/>
            </w:tcBorders>
            <w:noWrap/>
            <w:hideMark/>
          </w:tcPr>
          <w:p w14:paraId="000002DF" w14:textId="77777777" w:rsidR="00F554A7" w:rsidRDefault="007A75BF" w:rsidP="00F92A89">
            <w:pPr>
              <w:pStyle w:val="TableText"/>
              <w:keepNext/>
            </w:pPr>
            <w:r w:rsidRPr="001E7563">
              <w:t>Costs</w:t>
            </w:r>
          </w:p>
        </w:tc>
        <w:tc>
          <w:tcPr>
            <w:tcW w:w="586" w:type="pct"/>
            <w:tcBorders>
              <w:top w:val="single" w:sz="4" w:space="0" w:color="auto"/>
              <w:left w:val="single" w:sz="4" w:space="0" w:color="auto"/>
              <w:bottom w:val="nil"/>
              <w:right w:val="single" w:sz="4" w:space="0" w:color="auto"/>
            </w:tcBorders>
            <w:noWrap/>
          </w:tcPr>
          <w:p w14:paraId="000002E0" w14:textId="77777777" w:rsidR="00F554A7" w:rsidRDefault="007A75BF" w:rsidP="00F92A89">
            <w:pPr>
              <w:pStyle w:val="TableText"/>
              <w:keepNext/>
              <w:jc w:val="right"/>
            </w:pPr>
            <w:r w:rsidRPr="001E7563">
              <w:t>$10.17</w:t>
            </w:r>
          </w:p>
        </w:tc>
        <w:tc>
          <w:tcPr>
            <w:tcW w:w="587" w:type="pct"/>
            <w:tcBorders>
              <w:top w:val="single" w:sz="4" w:space="0" w:color="auto"/>
              <w:left w:val="single" w:sz="4" w:space="0" w:color="auto"/>
              <w:bottom w:val="nil"/>
              <w:right w:val="single" w:sz="4" w:space="0" w:color="auto"/>
            </w:tcBorders>
            <w:noWrap/>
          </w:tcPr>
          <w:p w14:paraId="000002E1" w14:textId="77777777" w:rsidR="00F554A7" w:rsidRDefault="007A75BF" w:rsidP="00F92A89">
            <w:pPr>
              <w:pStyle w:val="TableText"/>
              <w:keepNext/>
              <w:jc w:val="right"/>
            </w:pPr>
            <w:r w:rsidRPr="001E7563">
              <w:t>$0.12</w:t>
            </w:r>
          </w:p>
        </w:tc>
        <w:tc>
          <w:tcPr>
            <w:tcW w:w="586" w:type="pct"/>
            <w:tcBorders>
              <w:top w:val="single" w:sz="4" w:space="0" w:color="auto"/>
              <w:left w:val="single" w:sz="4" w:space="0" w:color="auto"/>
              <w:bottom w:val="nil"/>
              <w:right w:val="double" w:sz="4" w:space="0" w:color="auto"/>
            </w:tcBorders>
            <w:noWrap/>
          </w:tcPr>
          <w:p w14:paraId="000002E2" w14:textId="77777777" w:rsidR="00F554A7" w:rsidRDefault="007A75BF" w:rsidP="00F92A89">
            <w:pPr>
              <w:pStyle w:val="TableText"/>
              <w:keepNext/>
              <w:jc w:val="right"/>
            </w:pPr>
            <w:r w:rsidRPr="001E7563">
              <w:t>$10.05</w:t>
            </w:r>
          </w:p>
        </w:tc>
        <w:tc>
          <w:tcPr>
            <w:tcW w:w="530" w:type="pct"/>
            <w:tcBorders>
              <w:top w:val="single" w:sz="4" w:space="0" w:color="auto"/>
              <w:left w:val="double" w:sz="4" w:space="0" w:color="auto"/>
              <w:bottom w:val="nil"/>
              <w:right w:val="single" w:sz="4" w:space="0" w:color="auto"/>
            </w:tcBorders>
          </w:tcPr>
          <w:p w14:paraId="000002E3" w14:textId="77777777" w:rsidR="00F554A7" w:rsidRDefault="007A75BF" w:rsidP="00F92A89">
            <w:pPr>
              <w:pStyle w:val="TableText"/>
              <w:keepNext/>
              <w:jc w:val="right"/>
            </w:pPr>
            <w:r w:rsidRPr="001E7563">
              <w:t>$10.44</w:t>
            </w:r>
          </w:p>
        </w:tc>
        <w:tc>
          <w:tcPr>
            <w:tcW w:w="551" w:type="pct"/>
            <w:tcBorders>
              <w:top w:val="single" w:sz="4" w:space="0" w:color="auto"/>
              <w:left w:val="single" w:sz="4" w:space="0" w:color="auto"/>
              <w:bottom w:val="nil"/>
              <w:right w:val="single" w:sz="4" w:space="0" w:color="auto"/>
            </w:tcBorders>
          </w:tcPr>
          <w:p w14:paraId="000002E4" w14:textId="77777777" w:rsidR="00F554A7" w:rsidRDefault="007A75BF" w:rsidP="00F92A89">
            <w:pPr>
              <w:pStyle w:val="TableText"/>
              <w:keepNext/>
              <w:jc w:val="right"/>
            </w:pPr>
            <w:r w:rsidRPr="001E7563">
              <w:t>$0.55</w:t>
            </w:r>
          </w:p>
        </w:tc>
        <w:tc>
          <w:tcPr>
            <w:tcW w:w="679" w:type="pct"/>
            <w:tcBorders>
              <w:top w:val="single" w:sz="4" w:space="0" w:color="auto"/>
              <w:left w:val="single" w:sz="4" w:space="0" w:color="auto"/>
              <w:bottom w:val="nil"/>
              <w:right w:val="single" w:sz="4" w:space="0" w:color="auto"/>
            </w:tcBorders>
          </w:tcPr>
          <w:p w14:paraId="000002E5" w14:textId="77777777" w:rsidR="00F554A7" w:rsidRDefault="007A75BF" w:rsidP="00F92A89">
            <w:pPr>
              <w:pStyle w:val="TableText"/>
              <w:keepNext/>
              <w:jc w:val="right"/>
            </w:pPr>
            <w:r w:rsidRPr="001E7563">
              <w:t>$9.88</w:t>
            </w:r>
          </w:p>
        </w:tc>
      </w:tr>
      <w:tr w:rsidR="00753190" w14:paraId="4F52A0BB" w14:textId="77777777" w:rsidTr="003F09BF">
        <w:trPr>
          <w:cantSplit/>
          <w:trHeight w:val="20"/>
        </w:trPr>
        <w:tc>
          <w:tcPr>
            <w:tcW w:w="1481" w:type="pct"/>
            <w:tcBorders>
              <w:top w:val="nil"/>
              <w:left w:val="single" w:sz="4" w:space="0" w:color="auto"/>
              <w:bottom w:val="single" w:sz="4" w:space="0" w:color="auto"/>
              <w:right w:val="single" w:sz="4" w:space="0" w:color="auto"/>
            </w:tcBorders>
            <w:noWrap/>
            <w:hideMark/>
          </w:tcPr>
          <w:p w14:paraId="000002E6" w14:textId="77777777" w:rsidR="00F554A7" w:rsidRDefault="007A75BF" w:rsidP="00F92A89">
            <w:pPr>
              <w:pStyle w:val="TableText"/>
              <w:keepNext/>
              <w:rPr>
                <w:i/>
              </w:rPr>
            </w:pPr>
            <w:r w:rsidRPr="001E7563">
              <w:t>Early diagnosis of affected cases</w:t>
            </w:r>
          </w:p>
        </w:tc>
        <w:tc>
          <w:tcPr>
            <w:tcW w:w="586" w:type="pct"/>
            <w:tcBorders>
              <w:top w:val="nil"/>
              <w:left w:val="single" w:sz="4" w:space="0" w:color="auto"/>
              <w:bottom w:val="single" w:sz="4" w:space="0" w:color="auto"/>
              <w:right w:val="single" w:sz="4" w:space="0" w:color="auto"/>
            </w:tcBorders>
            <w:noWrap/>
          </w:tcPr>
          <w:p w14:paraId="000002E7" w14:textId="77777777" w:rsidR="00F554A7" w:rsidRDefault="007A75BF" w:rsidP="00F92A89">
            <w:pPr>
              <w:pStyle w:val="TableText"/>
              <w:keepNext/>
              <w:jc w:val="right"/>
              <w:rPr>
                <w:i/>
              </w:rPr>
            </w:pPr>
            <w:r w:rsidRPr="001E7563">
              <w:t>0.00007</w:t>
            </w:r>
          </w:p>
        </w:tc>
        <w:tc>
          <w:tcPr>
            <w:tcW w:w="587" w:type="pct"/>
            <w:tcBorders>
              <w:top w:val="nil"/>
              <w:left w:val="single" w:sz="4" w:space="0" w:color="auto"/>
              <w:bottom w:val="single" w:sz="4" w:space="0" w:color="auto"/>
              <w:right w:val="single" w:sz="4" w:space="0" w:color="auto"/>
            </w:tcBorders>
            <w:noWrap/>
          </w:tcPr>
          <w:p w14:paraId="000002E8" w14:textId="77777777" w:rsidR="00F554A7" w:rsidRDefault="007A75BF" w:rsidP="00F92A89">
            <w:pPr>
              <w:pStyle w:val="TableText"/>
              <w:keepNext/>
              <w:jc w:val="right"/>
              <w:rPr>
                <w:i/>
              </w:rPr>
            </w:pPr>
            <w:r w:rsidRPr="001E7563">
              <w:t>0.00000</w:t>
            </w:r>
          </w:p>
        </w:tc>
        <w:tc>
          <w:tcPr>
            <w:tcW w:w="586" w:type="pct"/>
            <w:tcBorders>
              <w:top w:val="nil"/>
              <w:left w:val="single" w:sz="4" w:space="0" w:color="auto"/>
              <w:bottom w:val="single" w:sz="4" w:space="0" w:color="auto"/>
              <w:right w:val="double" w:sz="4" w:space="0" w:color="auto"/>
            </w:tcBorders>
            <w:noWrap/>
          </w:tcPr>
          <w:p w14:paraId="000002E9" w14:textId="77777777" w:rsidR="00F554A7" w:rsidRDefault="007A75BF" w:rsidP="00F92A89">
            <w:pPr>
              <w:pStyle w:val="TableText"/>
              <w:keepNext/>
              <w:jc w:val="right"/>
              <w:rPr>
                <w:i/>
              </w:rPr>
            </w:pPr>
            <w:r w:rsidRPr="001E7563">
              <w:t>0.00007</w:t>
            </w:r>
          </w:p>
        </w:tc>
        <w:tc>
          <w:tcPr>
            <w:tcW w:w="530" w:type="pct"/>
            <w:tcBorders>
              <w:top w:val="nil"/>
              <w:left w:val="double" w:sz="4" w:space="0" w:color="auto"/>
              <w:bottom w:val="single" w:sz="4" w:space="0" w:color="auto"/>
              <w:right w:val="single" w:sz="4" w:space="0" w:color="auto"/>
            </w:tcBorders>
          </w:tcPr>
          <w:p w14:paraId="000002EA" w14:textId="77777777" w:rsidR="00F554A7" w:rsidRDefault="007A75BF" w:rsidP="00F92A89">
            <w:pPr>
              <w:pStyle w:val="TableText"/>
              <w:keepNext/>
              <w:jc w:val="right"/>
              <w:rPr>
                <w:i/>
              </w:rPr>
            </w:pPr>
            <w:r w:rsidRPr="001E7563">
              <w:t>0.00024</w:t>
            </w:r>
          </w:p>
        </w:tc>
        <w:tc>
          <w:tcPr>
            <w:tcW w:w="551" w:type="pct"/>
            <w:tcBorders>
              <w:top w:val="nil"/>
              <w:left w:val="single" w:sz="4" w:space="0" w:color="auto"/>
              <w:bottom w:val="single" w:sz="4" w:space="0" w:color="auto"/>
              <w:right w:val="single" w:sz="4" w:space="0" w:color="auto"/>
            </w:tcBorders>
          </w:tcPr>
          <w:p w14:paraId="000002EB" w14:textId="77777777" w:rsidR="00F554A7" w:rsidRDefault="007A75BF" w:rsidP="00F92A89">
            <w:pPr>
              <w:pStyle w:val="TableText"/>
              <w:keepNext/>
              <w:jc w:val="right"/>
              <w:rPr>
                <w:i/>
              </w:rPr>
            </w:pPr>
            <w:r w:rsidRPr="001E7563">
              <w:t>0.00024</w:t>
            </w:r>
          </w:p>
        </w:tc>
        <w:tc>
          <w:tcPr>
            <w:tcW w:w="679" w:type="pct"/>
            <w:tcBorders>
              <w:top w:val="nil"/>
              <w:left w:val="single" w:sz="4" w:space="0" w:color="auto"/>
              <w:bottom w:val="single" w:sz="4" w:space="0" w:color="auto"/>
              <w:right w:val="single" w:sz="4" w:space="0" w:color="auto"/>
            </w:tcBorders>
          </w:tcPr>
          <w:p w14:paraId="000002EC" w14:textId="77777777" w:rsidR="00F554A7" w:rsidRDefault="007A75BF" w:rsidP="00F92A89">
            <w:pPr>
              <w:pStyle w:val="TableText"/>
              <w:keepNext/>
              <w:jc w:val="right"/>
              <w:rPr>
                <w:i/>
              </w:rPr>
            </w:pPr>
            <w:r w:rsidRPr="001E7563">
              <w:t>0.00000</w:t>
            </w:r>
          </w:p>
        </w:tc>
      </w:tr>
      <w:tr w:rsidR="001E7563" w14:paraId="2FECFC07" w14:textId="77777777" w:rsidTr="003F09BF">
        <w:trPr>
          <w:cantSplit/>
          <w:trHeight w:val="20"/>
        </w:trPr>
        <w:tc>
          <w:tcPr>
            <w:tcW w:w="1481" w:type="pct"/>
            <w:tcBorders>
              <w:top w:val="single" w:sz="4" w:space="0" w:color="auto"/>
              <w:left w:val="single" w:sz="4" w:space="0" w:color="auto"/>
              <w:bottom w:val="single" w:sz="4" w:space="0" w:color="auto"/>
              <w:right w:val="nil"/>
            </w:tcBorders>
            <w:noWrap/>
            <w:hideMark/>
          </w:tcPr>
          <w:p w14:paraId="000002ED" w14:textId="77777777" w:rsidR="00F554A7" w:rsidRDefault="007A75BF" w:rsidP="00F92A89">
            <w:pPr>
              <w:pStyle w:val="TableText"/>
              <w:rPr>
                <w:b/>
              </w:rPr>
            </w:pPr>
            <w:r w:rsidRPr="001E7563">
              <w:rPr>
                <w:b/>
              </w:rPr>
              <w:t xml:space="preserve">ICER </w:t>
            </w:r>
          </w:p>
        </w:tc>
        <w:tc>
          <w:tcPr>
            <w:tcW w:w="586" w:type="pct"/>
            <w:tcBorders>
              <w:top w:val="single" w:sz="4" w:space="0" w:color="auto"/>
              <w:left w:val="nil"/>
              <w:bottom w:val="nil"/>
              <w:right w:val="nil"/>
            </w:tcBorders>
            <w:noWrap/>
          </w:tcPr>
          <w:p w14:paraId="000002EE" w14:textId="77777777" w:rsidR="00F554A7" w:rsidRPr="001E7563" w:rsidRDefault="00F554A7" w:rsidP="00F92A89">
            <w:pPr>
              <w:pStyle w:val="TableText"/>
              <w:jc w:val="right"/>
              <w:rPr>
                <w:b/>
              </w:rPr>
            </w:pPr>
          </w:p>
        </w:tc>
        <w:tc>
          <w:tcPr>
            <w:tcW w:w="587" w:type="pct"/>
            <w:tcBorders>
              <w:top w:val="single" w:sz="4" w:space="0" w:color="auto"/>
              <w:left w:val="nil"/>
              <w:bottom w:val="nil"/>
              <w:right w:val="single" w:sz="4" w:space="0" w:color="auto"/>
            </w:tcBorders>
            <w:noWrap/>
          </w:tcPr>
          <w:p w14:paraId="000002EF" w14:textId="77777777" w:rsidR="00F554A7" w:rsidRPr="001E7563" w:rsidRDefault="00F554A7" w:rsidP="00F92A89">
            <w:pPr>
              <w:pStyle w:val="TableText"/>
              <w:jc w:val="right"/>
              <w:rPr>
                <w:b/>
              </w:rPr>
            </w:pPr>
          </w:p>
        </w:tc>
        <w:tc>
          <w:tcPr>
            <w:tcW w:w="586" w:type="pct"/>
            <w:tcBorders>
              <w:top w:val="single" w:sz="4" w:space="0" w:color="auto"/>
              <w:left w:val="single" w:sz="4" w:space="0" w:color="auto"/>
              <w:bottom w:val="nil"/>
              <w:right w:val="double" w:sz="4" w:space="0" w:color="auto"/>
            </w:tcBorders>
            <w:noWrap/>
          </w:tcPr>
          <w:p w14:paraId="000002F0" w14:textId="77777777" w:rsidR="00F554A7" w:rsidRDefault="007A75BF" w:rsidP="00F92A89">
            <w:pPr>
              <w:pStyle w:val="TableText"/>
              <w:jc w:val="right"/>
              <w:rPr>
                <w:b/>
              </w:rPr>
            </w:pPr>
            <w:r w:rsidRPr="001E7563">
              <w:rPr>
                <w:b/>
              </w:rPr>
              <w:t>$140,718</w:t>
            </w:r>
          </w:p>
        </w:tc>
        <w:tc>
          <w:tcPr>
            <w:tcW w:w="530" w:type="pct"/>
            <w:tcBorders>
              <w:top w:val="single" w:sz="4" w:space="0" w:color="auto"/>
              <w:left w:val="double" w:sz="4" w:space="0" w:color="auto"/>
              <w:bottom w:val="nil"/>
              <w:right w:val="nil"/>
            </w:tcBorders>
          </w:tcPr>
          <w:p w14:paraId="000002F1" w14:textId="77777777" w:rsidR="00F554A7" w:rsidRPr="001E7563" w:rsidRDefault="00F554A7" w:rsidP="00F92A89">
            <w:pPr>
              <w:pStyle w:val="TableText"/>
              <w:jc w:val="right"/>
              <w:rPr>
                <w:b/>
              </w:rPr>
            </w:pPr>
          </w:p>
        </w:tc>
        <w:tc>
          <w:tcPr>
            <w:tcW w:w="551" w:type="pct"/>
            <w:tcBorders>
              <w:top w:val="single" w:sz="4" w:space="0" w:color="auto"/>
              <w:left w:val="nil"/>
              <w:bottom w:val="nil"/>
              <w:right w:val="single" w:sz="4" w:space="0" w:color="auto"/>
            </w:tcBorders>
          </w:tcPr>
          <w:p w14:paraId="000002F2" w14:textId="77777777" w:rsidR="00F554A7" w:rsidRPr="001E7563" w:rsidRDefault="00F554A7" w:rsidP="00F92A89">
            <w:pPr>
              <w:pStyle w:val="TableText"/>
              <w:jc w:val="right"/>
              <w:rPr>
                <w:b/>
              </w:rPr>
            </w:pPr>
          </w:p>
        </w:tc>
        <w:tc>
          <w:tcPr>
            <w:tcW w:w="679" w:type="pct"/>
            <w:tcBorders>
              <w:top w:val="single" w:sz="4" w:space="0" w:color="auto"/>
              <w:left w:val="single" w:sz="4" w:space="0" w:color="auto"/>
              <w:bottom w:val="nil"/>
              <w:right w:val="single" w:sz="4" w:space="0" w:color="auto"/>
            </w:tcBorders>
          </w:tcPr>
          <w:p w14:paraId="000002F3" w14:textId="77777777" w:rsidR="00F554A7" w:rsidRDefault="007A75BF" w:rsidP="00F92A89">
            <w:pPr>
              <w:pStyle w:val="TableText"/>
              <w:jc w:val="right"/>
              <w:rPr>
                <w:b/>
              </w:rPr>
            </w:pPr>
            <w:r w:rsidRPr="001E7563">
              <w:rPr>
                <w:b/>
              </w:rPr>
              <w:t>$13,834,898</w:t>
            </w:r>
          </w:p>
        </w:tc>
      </w:tr>
      <w:tr w:rsidR="00F554A7" w14:paraId="318D6712" w14:textId="77777777" w:rsidTr="00F92A89">
        <w:trPr>
          <w:cantSplit/>
          <w:trHeight w:val="20"/>
        </w:trPr>
        <w:tc>
          <w:tcPr>
            <w:tcW w:w="5000" w:type="pct"/>
            <w:gridSpan w:val="7"/>
            <w:tcBorders>
              <w:top w:val="single" w:sz="4" w:space="0" w:color="auto"/>
              <w:left w:val="single" w:sz="4" w:space="0" w:color="auto"/>
              <w:bottom w:val="single" w:sz="4" w:space="0" w:color="auto"/>
              <w:right w:val="single" w:sz="4" w:space="0" w:color="auto"/>
            </w:tcBorders>
            <w:noWrap/>
            <w:hideMark/>
          </w:tcPr>
          <w:p w14:paraId="000002F4" w14:textId="77777777" w:rsidR="00F554A7" w:rsidRDefault="007A75BF" w:rsidP="00F92A89">
            <w:pPr>
              <w:pStyle w:val="TableText"/>
              <w:keepNext/>
              <w:rPr>
                <w:b/>
              </w:rPr>
            </w:pPr>
            <w:r w:rsidRPr="001E7563">
              <w:rPr>
                <w:b/>
              </w:rPr>
              <w:t xml:space="preserve">Step 4 – </w:t>
            </w:r>
            <w:r>
              <w:rPr>
                <w:b/>
              </w:rPr>
              <w:t xml:space="preserve">Applying uptake of current newborn testing </w:t>
            </w:r>
            <w:r>
              <w:t>(99.3% newborn testing, based on Huynh et al. 2022)</w:t>
            </w:r>
          </w:p>
        </w:tc>
      </w:tr>
      <w:tr w:rsidR="00464A41" w14:paraId="18B7DECE" w14:textId="77777777" w:rsidTr="003F09BF">
        <w:trPr>
          <w:cantSplit/>
          <w:trHeight w:val="20"/>
        </w:trPr>
        <w:tc>
          <w:tcPr>
            <w:tcW w:w="1481" w:type="pct"/>
            <w:tcBorders>
              <w:top w:val="nil"/>
              <w:left w:val="single" w:sz="4" w:space="0" w:color="auto"/>
              <w:bottom w:val="nil"/>
              <w:right w:val="single" w:sz="4" w:space="0" w:color="auto"/>
            </w:tcBorders>
            <w:noWrap/>
            <w:hideMark/>
          </w:tcPr>
          <w:p w14:paraId="000002FB" w14:textId="77777777" w:rsidR="00F554A7" w:rsidRDefault="007A75BF" w:rsidP="00F92A89">
            <w:pPr>
              <w:pStyle w:val="TableText"/>
              <w:keepNext/>
            </w:pPr>
            <w:r w:rsidRPr="001E7563">
              <w:t>Costs</w:t>
            </w:r>
          </w:p>
        </w:tc>
        <w:tc>
          <w:tcPr>
            <w:tcW w:w="586" w:type="pct"/>
            <w:tcBorders>
              <w:top w:val="nil"/>
              <w:left w:val="single" w:sz="4" w:space="0" w:color="auto"/>
              <w:bottom w:val="nil"/>
              <w:right w:val="single" w:sz="4" w:space="0" w:color="auto"/>
            </w:tcBorders>
            <w:noWrap/>
          </w:tcPr>
          <w:p w14:paraId="000002FC" w14:textId="77777777" w:rsidR="00F554A7" w:rsidRDefault="007A75BF" w:rsidP="00F92A89">
            <w:pPr>
              <w:pStyle w:val="TableText"/>
              <w:keepNext/>
              <w:jc w:val="right"/>
            </w:pPr>
            <w:r w:rsidRPr="001E7563">
              <w:t>$10.10</w:t>
            </w:r>
          </w:p>
        </w:tc>
        <w:tc>
          <w:tcPr>
            <w:tcW w:w="587" w:type="pct"/>
            <w:tcBorders>
              <w:top w:val="nil"/>
              <w:left w:val="single" w:sz="4" w:space="0" w:color="auto"/>
              <w:bottom w:val="nil"/>
              <w:right w:val="single" w:sz="4" w:space="0" w:color="auto"/>
            </w:tcBorders>
            <w:noWrap/>
          </w:tcPr>
          <w:p w14:paraId="000002FD" w14:textId="77777777" w:rsidR="00F554A7" w:rsidRDefault="007A75BF" w:rsidP="00F92A89">
            <w:pPr>
              <w:pStyle w:val="TableText"/>
              <w:keepNext/>
              <w:jc w:val="right"/>
            </w:pPr>
            <w:r w:rsidRPr="001E7563">
              <w:t>$0.12</w:t>
            </w:r>
          </w:p>
        </w:tc>
        <w:tc>
          <w:tcPr>
            <w:tcW w:w="586" w:type="pct"/>
            <w:tcBorders>
              <w:top w:val="nil"/>
              <w:left w:val="single" w:sz="4" w:space="0" w:color="auto"/>
              <w:bottom w:val="nil"/>
              <w:right w:val="double" w:sz="4" w:space="0" w:color="auto"/>
            </w:tcBorders>
            <w:noWrap/>
          </w:tcPr>
          <w:p w14:paraId="000002FE" w14:textId="77777777" w:rsidR="00F554A7" w:rsidRDefault="007A75BF" w:rsidP="00F92A89">
            <w:pPr>
              <w:pStyle w:val="TableText"/>
              <w:keepNext/>
              <w:jc w:val="right"/>
            </w:pPr>
            <w:r w:rsidRPr="001E7563">
              <w:t>$9.98</w:t>
            </w:r>
          </w:p>
        </w:tc>
        <w:tc>
          <w:tcPr>
            <w:tcW w:w="530" w:type="pct"/>
            <w:tcBorders>
              <w:top w:val="nil"/>
              <w:left w:val="double" w:sz="4" w:space="0" w:color="auto"/>
              <w:bottom w:val="nil"/>
              <w:right w:val="single" w:sz="4" w:space="0" w:color="auto"/>
            </w:tcBorders>
          </w:tcPr>
          <w:p w14:paraId="000002FF" w14:textId="77777777" w:rsidR="00F554A7" w:rsidRDefault="007A75BF" w:rsidP="00F92A89">
            <w:pPr>
              <w:pStyle w:val="TableText"/>
              <w:keepNext/>
              <w:jc w:val="right"/>
            </w:pPr>
            <w:r w:rsidRPr="001E7563">
              <w:t>$10.37</w:t>
            </w:r>
          </w:p>
        </w:tc>
        <w:tc>
          <w:tcPr>
            <w:tcW w:w="551" w:type="pct"/>
            <w:tcBorders>
              <w:top w:val="nil"/>
              <w:left w:val="single" w:sz="4" w:space="0" w:color="auto"/>
              <w:bottom w:val="nil"/>
              <w:right w:val="single" w:sz="4" w:space="0" w:color="auto"/>
            </w:tcBorders>
          </w:tcPr>
          <w:p w14:paraId="00000300" w14:textId="77777777" w:rsidR="00F554A7" w:rsidRDefault="007A75BF" w:rsidP="00F92A89">
            <w:pPr>
              <w:pStyle w:val="TableText"/>
              <w:keepNext/>
              <w:jc w:val="right"/>
            </w:pPr>
            <w:r w:rsidRPr="001E7563">
              <w:t>$0.55</w:t>
            </w:r>
          </w:p>
        </w:tc>
        <w:tc>
          <w:tcPr>
            <w:tcW w:w="679" w:type="pct"/>
            <w:tcBorders>
              <w:top w:val="nil"/>
              <w:left w:val="single" w:sz="4" w:space="0" w:color="auto"/>
              <w:bottom w:val="nil"/>
              <w:right w:val="single" w:sz="4" w:space="0" w:color="auto"/>
            </w:tcBorders>
          </w:tcPr>
          <w:p w14:paraId="00000301" w14:textId="77777777" w:rsidR="00F554A7" w:rsidRDefault="007A75BF" w:rsidP="00F92A89">
            <w:pPr>
              <w:pStyle w:val="TableText"/>
              <w:keepNext/>
              <w:jc w:val="right"/>
            </w:pPr>
            <w:r w:rsidRPr="001E7563">
              <w:t>$9.81</w:t>
            </w:r>
          </w:p>
        </w:tc>
      </w:tr>
      <w:tr w:rsidR="00753190" w14:paraId="60EB4054" w14:textId="77777777" w:rsidTr="003F09BF">
        <w:trPr>
          <w:cantSplit/>
          <w:trHeight w:val="20"/>
        </w:trPr>
        <w:tc>
          <w:tcPr>
            <w:tcW w:w="1481" w:type="pct"/>
            <w:tcBorders>
              <w:top w:val="nil"/>
              <w:left w:val="single" w:sz="4" w:space="0" w:color="auto"/>
              <w:bottom w:val="single" w:sz="4" w:space="0" w:color="auto"/>
              <w:right w:val="single" w:sz="4" w:space="0" w:color="auto"/>
            </w:tcBorders>
            <w:noWrap/>
            <w:hideMark/>
          </w:tcPr>
          <w:p w14:paraId="00000302" w14:textId="77777777" w:rsidR="00F554A7" w:rsidRDefault="007A75BF" w:rsidP="00F92A89">
            <w:pPr>
              <w:pStyle w:val="TableText"/>
              <w:keepNext/>
            </w:pPr>
            <w:r w:rsidRPr="001E7563">
              <w:t>Early diagnosis of affected cases</w:t>
            </w:r>
          </w:p>
        </w:tc>
        <w:tc>
          <w:tcPr>
            <w:tcW w:w="586" w:type="pct"/>
            <w:tcBorders>
              <w:top w:val="nil"/>
              <w:left w:val="single" w:sz="4" w:space="0" w:color="auto"/>
              <w:bottom w:val="single" w:sz="4" w:space="0" w:color="auto"/>
              <w:right w:val="single" w:sz="4" w:space="0" w:color="auto"/>
            </w:tcBorders>
            <w:noWrap/>
          </w:tcPr>
          <w:p w14:paraId="00000303" w14:textId="77777777" w:rsidR="00F554A7" w:rsidRDefault="007A75BF" w:rsidP="00F92A89">
            <w:pPr>
              <w:pStyle w:val="TableText"/>
              <w:keepNext/>
              <w:jc w:val="right"/>
            </w:pPr>
            <w:r w:rsidRPr="001E7563">
              <w:t>0.00007</w:t>
            </w:r>
          </w:p>
        </w:tc>
        <w:tc>
          <w:tcPr>
            <w:tcW w:w="587" w:type="pct"/>
            <w:tcBorders>
              <w:top w:val="nil"/>
              <w:left w:val="single" w:sz="4" w:space="0" w:color="auto"/>
              <w:bottom w:val="single" w:sz="4" w:space="0" w:color="auto"/>
              <w:right w:val="single" w:sz="4" w:space="0" w:color="auto"/>
            </w:tcBorders>
            <w:noWrap/>
          </w:tcPr>
          <w:p w14:paraId="00000304" w14:textId="77777777" w:rsidR="00F554A7" w:rsidRDefault="007A75BF" w:rsidP="00F92A89">
            <w:pPr>
              <w:pStyle w:val="TableText"/>
              <w:keepNext/>
              <w:jc w:val="right"/>
            </w:pPr>
            <w:r w:rsidRPr="001E7563">
              <w:t>0.00000</w:t>
            </w:r>
          </w:p>
        </w:tc>
        <w:tc>
          <w:tcPr>
            <w:tcW w:w="586" w:type="pct"/>
            <w:tcBorders>
              <w:top w:val="nil"/>
              <w:left w:val="single" w:sz="4" w:space="0" w:color="auto"/>
              <w:bottom w:val="single" w:sz="4" w:space="0" w:color="auto"/>
              <w:right w:val="double" w:sz="4" w:space="0" w:color="auto"/>
            </w:tcBorders>
            <w:noWrap/>
          </w:tcPr>
          <w:p w14:paraId="00000305" w14:textId="77777777" w:rsidR="00F554A7" w:rsidRDefault="007A75BF" w:rsidP="00F92A89">
            <w:pPr>
              <w:pStyle w:val="TableText"/>
              <w:keepNext/>
              <w:jc w:val="right"/>
            </w:pPr>
            <w:r w:rsidRPr="001E7563">
              <w:t>0.00007</w:t>
            </w:r>
          </w:p>
        </w:tc>
        <w:tc>
          <w:tcPr>
            <w:tcW w:w="530" w:type="pct"/>
            <w:tcBorders>
              <w:top w:val="nil"/>
              <w:left w:val="double" w:sz="4" w:space="0" w:color="auto"/>
              <w:bottom w:val="single" w:sz="4" w:space="0" w:color="auto"/>
              <w:right w:val="single" w:sz="4" w:space="0" w:color="auto"/>
            </w:tcBorders>
          </w:tcPr>
          <w:p w14:paraId="00000306" w14:textId="77777777" w:rsidR="00F554A7" w:rsidRDefault="007A75BF" w:rsidP="00F92A89">
            <w:pPr>
              <w:pStyle w:val="TableText"/>
              <w:keepNext/>
              <w:jc w:val="right"/>
            </w:pPr>
            <w:r w:rsidRPr="001E7563">
              <w:t>0.00024</w:t>
            </w:r>
          </w:p>
        </w:tc>
        <w:tc>
          <w:tcPr>
            <w:tcW w:w="551" w:type="pct"/>
            <w:tcBorders>
              <w:top w:val="nil"/>
              <w:left w:val="single" w:sz="4" w:space="0" w:color="auto"/>
              <w:bottom w:val="single" w:sz="4" w:space="0" w:color="auto"/>
              <w:right w:val="single" w:sz="4" w:space="0" w:color="auto"/>
            </w:tcBorders>
          </w:tcPr>
          <w:p w14:paraId="00000307" w14:textId="77777777" w:rsidR="00F554A7" w:rsidRDefault="007A75BF" w:rsidP="00F92A89">
            <w:pPr>
              <w:pStyle w:val="TableText"/>
              <w:keepNext/>
              <w:jc w:val="right"/>
            </w:pPr>
            <w:r w:rsidRPr="001E7563">
              <w:t>0.00024</w:t>
            </w:r>
          </w:p>
        </w:tc>
        <w:tc>
          <w:tcPr>
            <w:tcW w:w="679" w:type="pct"/>
            <w:tcBorders>
              <w:top w:val="nil"/>
              <w:left w:val="single" w:sz="4" w:space="0" w:color="auto"/>
              <w:bottom w:val="single" w:sz="4" w:space="0" w:color="auto"/>
              <w:right w:val="single" w:sz="4" w:space="0" w:color="auto"/>
            </w:tcBorders>
          </w:tcPr>
          <w:p w14:paraId="00000308" w14:textId="77777777" w:rsidR="00F554A7" w:rsidRDefault="007A75BF" w:rsidP="00F92A89">
            <w:pPr>
              <w:pStyle w:val="TableText"/>
              <w:keepNext/>
              <w:jc w:val="right"/>
            </w:pPr>
            <w:r w:rsidRPr="001E7563">
              <w:t>0.00000</w:t>
            </w:r>
          </w:p>
        </w:tc>
      </w:tr>
      <w:tr w:rsidR="001E7563" w14:paraId="3C0FB8E6" w14:textId="77777777" w:rsidTr="003F09BF">
        <w:trPr>
          <w:cantSplit/>
          <w:trHeight w:val="20"/>
        </w:trPr>
        <w:tc>
          <w:tcPr>
            <w:tcW w:w="1481" w:type="pct"/>
            <w:tcBorders>
              <w:top w:val="single" w:sz="4" w:space="0" w:color="auto"/>
              <w:left w:val="single" w:sz="4" w:space="0" w:color="auto"/>
              <w:bottom w:val="single" w:sz="4" w:space="0" w:color="auto"/>
              <w:right w:val="single" w:sz="4" w:space="0" w:color="auto"/>
            </w:tcBorders>
            <w:noWrap/>
            <w:hideMark/>
          </w:tcPr>
          <w:p w14:paraId="00000309" w14:textId="77777777" w:rsidR="00F554A7" w:rsidRDefault="007A75BF" w:rsidP="00F92A89">
            <w:pPr>
              <w:pStyle w:val="TableText"/>
              <w:rPr>
                <w:b/>
              </w:rPr>
            </w:pPr>
            <w:r w:rsidRPr="001E7563">
              <w:rPr>
                <w:b/>
              </w:rPr>
              <w:t xml:space="preserve">ICER </w:t>
            </w:r>
          </w:p>
        </w:tc>
        <w:tc>
          <w:tcPr>
            <w:tcW w:w="586" w:type="pct"/>
            <w:tcBorders>
              <w:top w:val="single" w:sz="4" w:space="0" w:color="auto"/>
              <w:left w:val="single" w:sz="4" w:space="0" w:color="auto"/>
              <w:bottom w:val="single" w:sz="4" w:space="0" w:color="auto"/>
              <w:right w:val="nil"/>
            </w:tcBorders>
            <w:noWrap/>
          </w:tcPr>
          <w:p w14:paraId="0000030A" w14:textId="77777777" w:rsidR="00F554A7" w:rsidRPr="001E7563" w:rsidRDefault="00F554A7" w:rsidP="00F92A89">
            <w:pPr>
              <w:pStyle w:val="TableText"/>
              <w:jc w:val="right"/>
              <w:rPr>
                <w:b/>
              </w:rPr>
            </w:pPr>
          </w:p>
        </w:tc>
        <w:tc>
          <w:tcPr>
            <w:tcW w:w="587" w:type="pct"/>
            <w:tcBorders>
              <w:top w:val="single" w:sz="4" w:space="0" w:color="auto"/>
              <w:left w:val="nil"/>
              <w:bottom w:val="single" w:sz="4" w:space="0" w:color="auto"/>
              <w:right w:val="single" w:sz="4" w:space="0" w:color="auto"/>
            </w:tcBorders>
            <w:noWrap/>
          </w:tcPr>
          <w:p w14:paraId="0000030B" w14:textId="77777777" w:rsidR="00F554A7" w:rsidRPr="001E7563" w:rsidRDefault="00F554A7" w:rsidP="00F92A89">
            <w:pPr>
              <w:pStyle w:val="TableText"/>
              <w:jc w:val="right"/>
              <w:rPr>
                <w:b/>
              </w:rPr>
            </w:pPr>
          </w:p>
        </w:tc>
        <w:tc>
          <w:tcPr>
            <w:tcW w:w="586" w:type="pct"/>
            <w:tcBorders>
              <w:top w:val="nil"/>
              <w:left w:val="single" w:sz="4" w:space="0" w:color="auto"/>
              <w:bottom w:val="single" w:sz="4" w:space="0" w:color="auto"/>
              <w:right w:val="double" w:sz="4" w:space="0" w:color="auto"/>
            </w:tcBorders>
            <w:noWrap/>
          </w:tcPr>
          <w:p w14:paraId="0000030C" w14:textId="77777777" w:rsidR="00F554A7" w:rsidRDefault="007A75BF" w:rsidP="00F92A89">
            <w:pPr>
              <w:pStyle w:val="TableText"/>
              <w:jc w:val="right"/>
              <w:rPr>
                <w:b/>
              </w:rPr>
            </w:pPr>
            <w:r w:rsidRPr="001E7563">
              <w:rPr>
                <w:b/>
              </w:rPr>
              <w:t>$140,718</w:t>
            </w:r>
          </w:p>
        </w:tc>
        <w:tc>
          <w:tcPr>
            <w:tcW w:w="530" w:type="pct"/>
            <w:tcBorders>
              <w:top w:val="single" w:sz="4" w:space="0" w:color="auto"/>
              <w:left w:val="double" w:sz="4" w:space="0" w:color="auto"/>
              <w:bottom w:val="single" w:sz="4" w:space="0" w:color="auto"/>
              <w:right w:val="single" w:sz="4" w:space="0" w:color="auto"/>
            </w:tcBorders>
          </w:tcPr>
          <w:p w14:paraId="0000030D" w14:textId="77777777" w:rsidR="00F554A7" w:rsidRPr="001E7563" w:rsidRDefault="00F554A7" w:rsidP="00F92A89">
            <w:pPr>
              <w:pStyle w:val="TableText"/>
              <w:jc w:val="right"/>
              <w:rPr>
                <w:b/>
              </w:rPr>
            </w:pPr>
          </w:p>
        </w:tc>
        <w:tc>
          <w:tcPr>
            <w:tcW w:w="551" w:type="pct"/>
            <w:tcBorders>
              <w:top w:val="single" w:sz="4" w:space="0" w:color="auto"/>
              <w:left w:val="single" w:sz="4" w:space="0" w:color="auto"/>
              <w:bottom w:val="single" w:sz="4" w:space="0" w:color="auto"/>
              <w:right w:val="single" w:sz="4" w:space="0" w:color="auto"/>
            </w:tcBorders>
          </w:tcPr>
          <w:p w14:paraId="0000030E" w14:textId="77777777" w:rsidR="00F554A7" w:rsidRPr="001E7563" w:rsidRDefault="00F554A7" w:rsidP="00F92A89">
            <w:pPr>
              <w:pStyle w:val="TableText"/>
              <w:jc w:val="right"/>
              <w:rPr>
                <w:b/>
              </w:rPr>
            </w:pPr>
          </w:p>
        </w:tc>
        <w:tc>
          <w:tcPr>
            <w:tcW w:w="679" w:type="pct"/>
            <w:tcBorders>
              <w:top w:val="nil"/>
              <w:left w:val="single" w:sz="4" w:space="0" w:color="auto"/>
              <w:bottom w:val="single" w:sz="4" w:space="0" w:color="auto"/>
              <w:right w:val="single" w:sz="4" w:space="0" w:color="auto"/>
            </w:tcBorders>
          </w:tcPr>
          <w:p w14:paraId="0000030F" w14:textId="77777777" w:rsidR="00F554A7" w:rsidRDefault="007A75BF" w:rsidP="00F92A89">
            <w:pPr>
              <w:pStyle w:val="TableText"/>
              <w:jc w:val="right"/>
              <w:rPr>
                <w:b/>
              </w:rPr>
            </w:pPr>
            <w:r w:rsidRPr="001E7563">
              <w:rPr>
                <w:b/>
              </w:rPr>
              <w:t>$13,833,338</w:t>
            </w:r>
          </w:p>
        </w:tc>
      </w:tr>
      <w:tr w:rsidR="00F554A7" w14:paraId="423515FD" w14:textId="77777777" w:rsidTr="00F92A89">
        <w:trPr>
          <w:cantSplit/>
          <w:trHeight w:val="20"/>
        </w:trPr>
        <w:tc>
          <w:tcPr>
            <w:tcW w:w="5000" w:type="pct"/>
            <w:gridSpan w:val="7"/>
            <w:tcBorders>
              <w:top w:val="nil"/>
              <w:left w:val="single" w:sz="4" w:space="0" w:color="auto"/>
              <w:bottom w:val="single" w:sz="4" w:space="0" w:color="auto"/>
              <w:right w:val="single" w:sz="4" w:space="0" w:color="auto"/>
            </w:tcBorders>
            <w:noWrap/>
            <w:hideMark/>
          </w:tcPr>
          <w:p w14:paraId="00000310" w14:textId="77777777" w:rsidR="00F554A7" w:rsidRDefault="007A75BF" w:rsidP="00F92A89">
            <w:pPr>
              <w:pStyle w:val="TableText"/>
              <w:keepNext/>
              <w:rPr>
                <w:b/>
              </w:rPr>
            </w:pPr>
            <w:r w:rsidRPr="001E7563">
              <w:rPr>
                <w:b/>
              </w:rPr>
              <w:t>Step 5</w:t>
            </w:r>
            <w:r>
              <w:rPr>
                <w:b/>
              </w:rPr>
              <w:t xml:space="preserve"> – Incorporating cost of prophylactic treatments and monitoring</w:t>
            </w:r>
          </w:p>
          <w:p w14:paraId="00000311" w14:textId="77777777" w:rsidR="00F554A7" w:rsidRDefault="007A75BF" w:rsidP="00F92A89">
            <w:pPr>
              <w:pStyle w:val="TableText"/>
              <w:keepNext/>
            </w:pPr>
            <w:r w:rsidRPr="001E7563">
              <w:t xml:space="preserve">In cases of SCD identified earlier, the cost of prophylactic treatment (consisting </w:t>
            </w:r>
            <w:r>
              <w:t>of penicillin) and monitoring (consisting of routine health checks and specialist outpatient visits) were included.</w:t>
            </w:r>
          </w:p>
        </w:tc>
      </w:tr>
      <w:tr w:rsidR="00464A41" w14:paraId="09995ADD" w14:textId="77777777" w:rsidTr="003F09BF">
        <w:trPr>
          <w:cantSplit/>
          <w:trHeight w:val="20"/>
        </w:trPr>
        <w:tc>
          <w:tcPr>
            <w:tcW w:w="1481" w:type="pct"/>
            <w:tcBorders>
              <w:top w:val="nil"/>
              <w:left w:val="single" w:sz="4" w:space="0" w:color="auto"/>
              <w:bottom w:val="nil"/>
              <w:right w:val="single" w:sz="4" w:space="0" w:color="auto"/>
            </w:tcBorders>
            <w:noWrap/>
            <w:hideMark/>
          </w:tcPr>
          <w:p w14:paraId="00000318" w14:textId="77777777" w:rsidR="00F554A7" w:rsidRDefault="007A75BF" w:rsidP="00F92A89">
            <w:pPr>
              <w:pStyle w:val="TableText"/>
              <w:keepNext/>
              <w:rPr>
                <w:b/>
              </w:rPr>
            </w:pPr>
            <w:r w:rsidRPr="001E7563">
              <w:t>Costs</w:t>
            </w:r>
          </w:p>
        </w:tc>
        <w:tc>
          <w:tcPr>
            <w:tcW w:w="586" w:type="pct"/>
            <w:tcBorders>
              <w:top w:val="nil"/>
              <w:left w:val="single" w:sz="4" w:space="0" w:color="auto"/>
              <w:bottom w:val="nil"/>
              <w:right w:val="single" w:sz="4" w:space="0" w:color="auto"/>
            </w:tcBorders>
            <w:noWrap/>
          </w:tcPr>
          <w:p w14:paraId="00000319" w14:textId="77777777" w:rsidR="00F554A7" w:rsidRDefault="007A75BF" w:rsidP="00F92A89">
            <w:pPr>
              <w:pStyle w:val="TableText"/>
              <w:keepNext/>
              <w:jc w:val="right"/>
            </w:pPr>
            <w:r w:rsidRPr="001E7563">
              <w:t>$10.28</w:t>
            </w:r>
          </w:p>
        </w:tc>
        <w:tc>
          <w:tcPr>
            <w:tcW w:w="587" w:type="pct"/>
            <w:tcBorders>
              <w:top w:val="nil"/>
              <w:left w:val="single" w:sz="4" w:space="0" w:color="auto"/>
              <w:bottom w:val="nil"/>
              <w:right w:val="single" w:sz="4" w:space="0" w:color="auto"/>
            </w:tcBorders>
            <w:noWrap/>
          </w:tcPr>
          <w:p w14:paraId="0000031A" w14:textId="77777777" w:rsidR="00F554A7" w:rsidRDefault="007A75BF" w:rsidP="00F92A89">
            <w:pPr>
              <w:pStyle w:val="TableText"/>
              <w:keepNext/>
              <w:jc w:val="right"/>
            </w:pPr>
            <w:r w:rsidRPr="001E7563">
              <w:t>$0.26</w:t>
            </w:r>
          </w:p>
        </w:tc>
        <w:tc>
          <w:tcPr>
            <w:tcW w:w="586" w:type="pct"/>
            <w:tcBorders>
              <w:top w:val="nil"/>
              <w:left w:val="single" w:sz="4" w:space="0" w:color="auto"/>
              <w:bottom w:val="nil"/>
              <w:right w:val="double" w:sz="4" w:space="0" w:color="auto"/>
            </w:tcBorders>
            <w:noWrap/>
          </w:tcPr>
          <w:p w14:paraId="0000031B" w14:textId="77777777" w:rsidR="00F554A7" w:rsidRDefault="007A75BF" w:rsidP="00F92A89">
            <w:pPr>
              <w:pStyle w:val="TableText"/>
              <w:keepNext/>
              <w:jc w:val="right"/>
            </w:pPr>
            <w:r w:rsidRPr="001E7563">
              <w:t>$10.02</w:t>
            </w:r>
          </w:p>
        </w:tc>
        <w:tc>
          <w:tcPr>
            <w:tcW w:w="530" w:type="pct"/>
            <w:tcBorders>
              <w:top w:val="nil"/>
              <w:left w:val="double" w:sz="4" w:space="0" w:color="auto"/>
              <w:bottom w:val="nil"/>
              <w:right w:val="single" w:sz="4" w:space="0" w:color="auto"/>
            </w:tcBorders>
          </w:tcPr>
          <w:p w14:paraId="0000031C" w14:textId="77777777" w:rsidR="00F554A7" w:rsidRDefault="007A75BF" w:rsidP="00F92A89">
            <w:pPr>
              <w:pStyle w:val="TableText"/>
              <w:keepNext/>
              <w:jc w:val="right"/>
            </w:pPr>
            <w:r w:rsidRPr="001E7563">
              <w:t>$10.66</w:t>
            </w:r>
          </w:p>
        </w:tc>
        <w:tc>
          <w:tcPr>
            <w:tcW w:w="551" w:type="pct"/>
            <w:tcBorders>
              <w:top w:val="nil"/>
              <w:left w:val="single" w:sz="4" w:space="0" w:color="auto"/>
              <w:bottom w:val="nil"/>
              <w:right w:val="single" w:sz="4" w:space="0" w:color="auto"/>
            </w:tcBorders>
          </w:tcPr>
          <w:p w14:paraId="0000031D" w14:textId="77777777" w:rsidR="00F554A7" w:rsidRDefault="007A75BF" w:rsidP="00F92A89">
            <w:pPr>
              <w:pStyle w:val="TableText"/>
              <w:keepNext/>
              <w:jc w:val="right"/>
            </w:pPr>
            <w:r w:rsidRPr="001E7563">
              <w:t>$0.84</w:t>
            </w:r>
          </w:p>
        </w:tc>
        <w:tc>
          <w:tcPr>
            <w:tcW w:w="679" w:type="pct"/>
            <w:tcBorders>
              <w:top w:val="nil"/>
              <w:left w:val="single" w:sz="4" w:space="0" w:color="auto"/>
              <w:bottom w:val="nil"/>
              <w:right w:val="single" w:sz="4" w:space="0" w:color="auto"/>
            </w:tcBorders>
          </w:tcPr>
          <w:p w14:paraId="0000031E" w14:textId="77777777" w:rsidR="00F554A7" w:rsidRDefault="007A75BF" w:rsidP="00F92A89">
            <w:pPr>
              <w:pStyle w:val="TableText"/>
              <w:keepNext/>
              <w:jc w:val="right"/>
            </w:pPr>
            <w:r w:rsidRPr="001E7563">
              <w:t>$9.81</w:t>
            </w:r>
          </w:p>
        </w:tc>
      </w:tr>
      <w:tr w:rsidR="00753190" w14:paraId="5B3F7C7E" w14:textId="77777777" w:rsidTr="003F09BF">
        <w:trPr>
          <w:cantSplit/>
          <w:trHeight w:val="20"/>
        </w:trPr>
        <w:tc>
          <w:tcPr>
            <w:tcW w:w="1481" w:type="pct"/>
            <w:tcBorders>
              <w:top w:val="nil"/>
              <w:left w:val="single" w:sz="4" w:space="0" w:color="auto"/>
              <w:bottom w:val="single" w:sz="4" w:space="0" w:color="auto"/>
              <w:right w:val="single" w:sz="4" w:space="0" w:color="auto"/>
            </w:tcBorders>
            <w:noWrap/>
            <w:hideMark/>
          </w:tcPr>
          <w:p w14:paraId="0000031F" w14:textId="77777777" w:rsidR="00F554A7" w:rsidRDefault="007A75BF" w:rsidP="00F92A89">
            <w:pPr>
              <w:pStyle w:val="TableText"/>
              <w:keepNext/>
              <w:rPr>
                <w:b/>
              </w:rPr>
            </w:pPr>
            <w:r w:rsidRPr="001E7563">
              <w:t>Early diagnosis of affected cases</w:t>
            </w:r>
          </w:p>
        </w:tc>
        <w:tc>
          <w:tcPr>
            <w:tcW w:w="586" w:type="pct"/>
            <w:tcBorders>
              <w:top w:val="nil"/>
              <w:left w:val="single" w:sz="4" w:space="0" w:color="auto"/>
              <w:bottom w:val="single" w:sz="4" w:space="0" w:color="auto"/>
              <w:right w:val="single" w:sz="4" w:space="0" w:color="auto"/>
            </w:tcBorders>
            <w:noWrap/>
          </w:tcPr>
          <w:p w14:paraId="00000320" w14:textId="77777777" w:rsidR="00F554A7" w:rsidRDefault="007A75BF" w:rsidP="00F92A89">
            <w:pPr>
              <w:pStyle w:val="TableText"/>
              <w:keepNext/>
              <w:jc w:val="right"/>
            </w:pPr>
            <w:r w:rsidRPr="001E7563">
              <w:t>0.00007</w:t>
            </w:r>
          </w:p>
        </w:tc>
        <w:tc>
          <w:tcPr>
            <w:tcW w:w="587" w:type="pct"/>
            <w:tcBorders>
              <w:top w:val="nil"/>
              <w:left w:val="single" w:sz="4" w:space="0" w:color="auto"/>
              <w:bottom w:val="single" w:sz="4" w:space="0" w:color="auto"/>
              <w:right w:val="single" w:sz="4" w:space="0" w:color="auto"/>
            </w:tcBorders>
            <w:noWrap/>
          </w:tcPr>
          <w:p w14:paraId="00000321" w14:textId="77777777" w:rsidR="00F554A7" w:rsidRDefault="007A75BF" w:rsidP="00F92A89">
            <w:pPr>
              <w:pStyle w:val="TableText"/>
              <w:keepNext/>
              <w:jc w:val="right"/>
            </w:pPr>
            <w:r w:rsidRPr="001E7563">
              <w:t>0.00000</w:t>
            </w:r>
          </w:p>
        </w:tc>
        <w:tc>
          <w:tcPr>
            <w:tcW w:w="586" w:type="pct"/>
            <w:tcBorders>
              <w:top w:val="nil"/>
              <w:left w:val="single" w:sz="4" w:space="0" w:color="auto"/>
              <w:bottom w:val="single" w:sz="4" w:space="0" w:color="auto"/>
              <w:right w:val="double" w:sz="4" w:space="0" w:color="auto"/>
            </w:tcBorders>
            <w:noWrap/>
          </w:tcPr>
          <w:p w14:paraId="00000322" w14:textId="77777777" w:rsidR="00F554A7" w:rsidRDefault="007A75BF" w:rsidP="00F92A89">
            <w:pPr>
              <w:pStyle w:val="TableText"/>
              <w:keepNext/>
              <w:jc w:val="right"/>
              <w:rPr>
                <w:b/>
              </w:rPr>
            </w:pPr>
            <w:r w:rsidRPr="001E7563">
              <w:t>0.00007</w:t>
            </w:r>
          </w:p>
        </w:tc>
        <w:tc>
          <w:tcPr>
            <w:tcW w:w="530" w:type="pct"/>
            <w:tcBorders>
              <w:top w:val="nil"/>
              <w:left w:val="double" w:sz="4" w:space="0" w:color="auto"/>
              <w:bottom w:val="single" w:sz="4" w:space="0" w:color="auto"/>
              <w:right w:val="single" w:sz="4" w:space="0" w:color="auto"/>
            </w:tcBorders>
          </w:tcPr>
          <w:p w14:paraId="00000323" w14:textId="77777777" w:rsidR="00F554A7" w:rsidRDefault="007A75BF" w:rsidP="00F92A89">
            <w:pPr>
              <w:pStyle w:val="TableText"/>
              <w:keepNext/>
              <w:jc w:val="right"/>
            </w:pPr>
            <w:r w:rsidRPr="001E7563">
              <w:t>0.00024</w:t>
            </w:r>
          </w:p>
        </w:tc>
        <w:tc>
          <w:tcPr>
            <w:tcW w:w="551" w:type="pct"/>
            <w:tcBorders>
              <w:top w:val="nil"/>
              <w:left w:val="single" w:sz="4" w:space="0" w:color="auto"/>
              <w:bottom w:val="single" w:sz="4" w:space="0" w:color="auto"/>
              <w:right w:val="single" w:sz="4" w:space="0" w:color="auto"/>
            </w:tcBorders>
          </w:tcPr>
          <w:p w14:paraId="00000324" w14:textId="77777777" w:rsidR="00F554A7" w:rsidRDefault="007A75BF" w:rsidP="00F92A89">
            <w:pPr>
              <w:pStyle w:val="TableText"/>
              <w:keepNext/>
              <w:jc w:val="right"/>
            </w:pPr>
            <w:r w:rsidRPr="001E7563">
              <w:t>0.00024</w:t>
            </w:r>
          </w:p>
        </w:tc>
        <w:tc>
          <w:tcPr>
            <w:tcW w:w="679" w:type="pct"/>
            <w:tcBorders>
              <w:top w:val="nil"/>
              <w:left w:val="single" w:sz="4" w:space="0" w:color="auto"/>
              <w:bottom w:val="single" w:sz="4" w:space="0" w:color="auto"/>
              <w:right w:val="single" w:sz="4" w:space="0" w:color="auto"/>
            </w:tcBorders>
          </w:tcPr>
          <w:p w14:paraId="00000325" w14:textId="77777777" w:rsidR="00F554A7" w:rsidRDefault="007A75BF" w:rsidP="00F92A89">
            <w:pPr>
              <w:pStyle w:val="TableText"/>
              <w:keepNext/>
              <w:jc w:val="right"/>
              <w:rPr>
                <w:b/>
              </w:rPr>
            </w:pPr>
            <w:r w:rsidRPr="001E7563">
              <w:t>0.00000</w:t>
            </w:r>
          </w:p>
        </w:tc>
      </w:tr>
      <w:tr w:rsidR="001E7563" w14:paraId="2D97CE0F" w14:textId="77777777" w:rsidTr="003F09BF">
        <w:trPr>
          <w:cantSplit/>
          <w:trHeight w:val="20"/>
        </w:trPr>
        <w:tc>
          <w:tcPr>
            <w:tcW w:w="1481" w:type="pct"/>
            <w:tcBorders>
              <w:top w:val="single" w:sz="4" w:space="0" w:color="auto"/>
              <w:left w:val="single" w:sz="4" w:space="0" w:color="auto"/>
              <w:bottom w:val="single" w:sz="4" w:space="0" w:color="auto"/>
              <w:right w:val="single" w:sz="4" w:space="0" w:color="auto"/>
            </w:tcBorders>
            <w:noWrap/>
            <w:hideMark/>
          </w:tcPr>
          <w:p w14:paraId="00000326" w14:textId="77777777" w:rsidR="00F554A7" w:rsidRDefault="007A75BF" w:rsidP="00F92A89">
            <w:pPr>
              <w:pStyle w:val="TableText"/>
              <w:rPr>
                <w:b/>
              </w:rPr>
            </w:pPr>
            <w:r w:rsidRPr="001E7563">
              <w:rPr>
                <w:b/>
              </w:rPr>
              <w:t xml:space="preserve">ICER </w:t>
            </w:r>
          </w:p>
        </w:tc>
        <w:tc>
          <w:tcPr>
            <w:tcW w:w="586" w:type="pct"/>
            <w:tcBorders>
              <w:top w:val="single" w:sz="4" w:space="0" w:color="auto"/>
              <w:left w:val="single" w:sz="4" w:space="0" w:color="auto"/>
              <w:bottom w:val="single" w:sz="4" w:space="0" w:color="auto"/>
              <w:right w:val="nil"/>
            </w:tcBorders>
            <w:noWrap/>
          </w:tcPr>
          <w:p w14:paraId="00000327" w14:textId="77777777" w:rsidR="00F554A7" w:rsidRPr="001E7563" w:rsidRDefault="00F554A7" w:rsidP="00F92A89">
            <w:pPr>
              <w:pStyle w:val="TableText"/>
              <w:jc w:val="right"/>
              <w:rPr>
                <w:b/>
              </w:rPr>
            </w:pPr>
          </w:p>
        </w:tc>
        <w:tc>
          <w:tcPr>
            <w:tcW w:w="587" w:type="pct"/>
            <w:tcBorders>
              <w:top w:val="single" w:sz="4" w:space="0" w:color="auto"/>
              <w:left w:val="nil"/>
              <w:bottom w:val="single" w:sz="4" w:space="0" w:color="auto"/>
              <w:right w:val="single" w:sz="4" w:space="0" w:color="auto"/>
            </w:tcBorders>
            <w:noWrap/>
          </w:tcPr>
          <w:p w14:paraId="00000328" w14:textId="77777777" w:rsidR="00F554A7" w:rsidRPr="001E7563" w:rsidRDefault="00F554A7" w:rsidP="00F92A89">
            <w:pPr>
              <w:pStyle w:val="TableText"/>
              <w:jc w:val="right"/>
              <w:rPr>
                <w:b/>
              </w:rPr>
            </w:pPr>
          </w:p>
        </w:tc>
        <w:tc>
          <w:tcPr>
            <w:tcW w:w="586" w:type="pct"/>
            <w:tcBorders>
              <w:top w:val="nil"/>
              <w:left w:val="single" w:sz="4" w:space="0" w:color="auto"/>
              <w:bottom w:val="single" w:sz="4" w:space="0" w:color="auto"/>
              <w:right w:val="double" w:sz="4" w:space="0" w:color="auto"/>
            </w:tcBorders>
            <w:noWrap/>
          </w:tcPr>
          <w:p w14:paraId="00000329" w14:textId="77777777" w:rsidR="00F554A7" w:rsidRDefault="007A75BF" w:rsidP="00F92A89">
            <w:pPr>
              <w:pStyle w:val="TableText"/>
              <w:jc w:val="right"/>
              <w:rPr>
                <w:b/>
              </w:rPr>
            </w:pPr>
            <w:r w:rsidRPr="001E7563">
              <w:rPr>
                <w:b/>
              </w:rPr>
              <w:t>$141,338</w:t>
            </w:r>
          </w:p>
        </w:tc>
        <w:tc>
          <w:tcPr>
            <w:tcW w:w="530" w:type="pct"/>
            <w:tcBorders>
              <w:top w:val="nil"/>
              <w:left w:val="double" w:sz="4" w:space="0" w:color="auto"/>
              <w:bottom w:val="single" w:sz="4" w:space="0" w:color="auto"/>
              <w:right w:val="nil"/>
            </w:tcBorders>
          </w:tcPr>
          <w:p w14:paraId="0000032A" w14:textId="77777777" w:rsidR="00F554A7" w:rsidRPr="001E7563" w:rsidRDefault="00F554A7" w:rsidP="00F92A89">
            <w:pPr>
              <w:pStyle w:val="TableText"/>
              <w:jc w:val="right"/>
              <w:rPr>
                <w:b/>
              </w:rPr>
            </w:pPr>
          </w:p>
        </w:tc>
        <w:tc>
          <w:tcPr>
            <w:tcW w:w="551" w:type="pct"/>
            <w:tcBorders>
              <w:top w:val="nil"/>
              <w:left w:val="nil"/>
              <w:bottom w:val="single" w:sz="4" w:space="0" w:color="auto"/>
              <w:right w:val="single" w:sz="4" w:space="0" w:color="auto"/>
            </w:tcBorders>
          </w:tcPr>
          <w:p w14:paraId="0000032B" w14:textId="77777777" w:rsidR="00F554A7" w:rsidRPr="001E7563" w:rsidRDefault="00F554A7" w:rsidP="00F92A89">
            <w:pPr>
              <w:pStyle w:val="TableText"/>
              <w:jc w:val="right"/>
              <w:rPr>
                <w:b/>
              </w:rPr>
            </w:pPr>
          </w:p>
        </w:tc>
        <w:tc>
          <w:tcPr>
            <w:tcW w:w="679" w:type="pct"/>
            <w:tcBorders>
              <w:top w:val="nil"/>
              <w:left w:val="single" w:sz="4" w:space="0" w:color="auto"/>
              <w:bottom w:val="single" w:sz="4" w:space="0" w:color="auto"/>
              <w:right w:val="single" w:sz="4" w:space="0" w:color="auto"/>
            </w:tcBorders>
          </w:tcPr>
          <w:p w14:paraId="0000032C" w14:textId="77777777" w:rsidR="00F554A7" w:rsidRDefault="007A75BF" w:rsidP="00F92A89">
            <w:pPr>
              <w:pStyle w:val="TableText"/>
              <w:jc w:val="right"/>
              <w:rPr>
                <w:b/>
              </w:rPr>
            </w:pPr>
            <w:r w:rsidRPr="001E7563">
              <w:rPr>
                <w:b/>
              </w:rPr>
              <w:t>$13,833,958</w:t>
            </w:r>
          </w:p>
        </w:tc>
      </w:tr>
      <w:tr w:rsidR="00F554A7" w14:paraId="33C8D896" w14:textId="77777777" w:rsidTr="00F92A89">
        <w:trPr>
          <w:cantSplit/>
          <w:trHeight w:val="20"/>
        </w:trPr>
        <w:tc>
          <w:tcPr>
            <w:tcW w:w="5000" w:type="pct"/>
            <w:gridSpan w:val="7"/>
            <w:tcBorders>
              <w:top w:val="nil"/>
              <w:left w:val="single" w:sz="4" w:space="0" w:color="auto"/>
              <w:bottom w:val="single" w:sz="4" w:space="0" w:color="auto"/>
              <w:right w:val="single" w:sz="4" w:space="0" w:color="auto"/>
            </w:tcBorders>
            <w:noWrap/>
            <w:hideMark/>
          </w:tcPr>
          <w:p w14:paraId="0000032D" w14:textId="77777777" w:rsidR="00F554A7" w:rsidRDefault="007A75BF" w:rsidP="00F92A89">
            <w:pPr>
              <w:pStyle w:val="TableText"/>
              <w:keepNext/>
              <w:rPr>
                <w:b/>
              </w:rPr>
            </w:pPr>
            <w:r w:rsidRPr="001E7563">
              <w:rPr>
                <w:b/>
              </w:rPr>
              <w:t xml:space="preserve">Step </w:t>
            </w:r>
            <w:r>
              <w:rPr>
                <w:b/>
              </w:rPr>
              <w:t>6 – Incorporation of cascade testing</w:t>
            </w:r>
          </w:p>
          <w:p w14:paraId="0000032E" w14:textId="77777777" w:rsidR="00F554A7" w:rsidRDefault="007A75BF" w:rsidP="00F92A89">
            <w:pPr>
              <w:pStyle w:val="TableText"/>
              <w:keepNext/>
            </w:pPr>
            <w:r w:rsidRPr="001E7563">
              <w:t xml:space="preserve">The cost of cascade testing in relatives of </w:t>
            </w:r>
            <w:r>
              <w:t>affected cases and carriers is included. Each newborn is assumed to have two parents and one sibling eligible for cascade testing. 100% uptake is assumed in relatives of affected cases.</w:t>
            </w:r>
          </w:p>
        </w:tc>
      </w:tr>
      <w:tr w:rsidR="00753190" w14:paraId="3B29C2BE" w14:textId="77777777" w:rsidTr="003F09BF">
        <w:trPr>
          <w:cantSplit/>
          <w:trHeight w:val="20"/>
        </w:trPr>
        <w:tc>
          <w:tcPr>
            <w:tcW w:w="1481" w:type="pct"/>
            <w:tcBorders>
              <w:top w:val="nil"/>
              <w:left w:val="single" w:sz="4" w:space="0" w:color="auto"/>
              <w:bottom w:val="nil"/>
              <w:right w:val="single" w:sz="4" w:space="0" w:color="auto"/>
            </w:tcBorders>
            <w:noWrap/>
            <w:hideMark/>
          </w:tcPr>
          <w:p w14:paraId="00000335" w14:textId="77777777" w:rsidR="00F554A7" w:rsidRDefault="007A75BF" w:rsidP="00F92A89">
            <w:pPr>
              <w:pStyle w:val="TableText"/>
              <w:keepNext/>
              <w:rPr>
                <w:b/>
              </w:rPr>
            </w:pPr>
            <w:r w:rsidRPr="001E7563">
              <w:t>Costs</w:t>
            </w:r>
          </w:p>
        </w:tc>
        <w:tc>
          <w:tcPr>
            <w:tcW w:w="586" w:type="pct"/>
            <w:tcBorders>
              <w:top w:val="nil"/>
              <w:left w:val="single" w:sz="4" w:space="0" w:color="auto"/>
              <w:bottom w:val="nil"/>
              <w:right w:val="single" w:sz="4" w:space="0" w:color="auto"/>
            </w:tcBorders>
            <w:noWrap/>
          </w:tcPr>
          <w:p w14:paraId="00000336" w14:textId="77777777" w:rsidR="00F554A7" w:rsidRDefault="007A75BF" w:rsidP="00F92A89">
            <w:pPr>
              <w:pStyle w:val="TableText"/>
              <w:keepNext/>
              <w:jc w:val="right"/>
            </w:pPr>
            <w:r w:rsidRPr="001E7563">
              <w:t>$10.35</w:t>
            </w:r>
          </w:p>
        </w:tc>
        <w:tc>
          <w:tcPr>
            <w:tcW w:w="587" w:type="pct"/>
            <w:tcBorders>
              <w:top w:val="nil"/>
              <w:left w:val="single" w:sz="4" w:space="0" w:color="auto"/>
              <w:bottom w:val="nil"/>
              <w:right w:val="single" w:sz="4" w:space="0" w:color="auto"/>
            </w:tcBorders>
            <w:noWrap/>
          </w:tcPr>
          <w:p w14:paraId="00000337" w14:textId="77777777" w:rsidR="00F554A7" w:rsidRDefault="007A75BF" w:rsidP="00F92A89">
            <w:pPr>
              <w:pStyle w:val="TableText"/>
              <w:keepNext/>
              <w:jc w:val="right"/>
            </w:pPr>
            <w:r w:rsidRPr="001E7563">
              <w:t>$0.33</w:t>
            </w:r>
          </w:p>
        </w:tc>
        <w:tc>
          <w:tcPr>
            <w:tcW w:w="586" w:type="pct"/>
            <w:tcBorders>
              <w:top w:val="nil"/>
              <w:left w:val="single" w:sz="4" w:space="0" w:color="auto"/>
              <w:bottom w:val="nil"/>
              <w:right w:val="double" w:sz="4" w:space="0" w:color="auto"/>
            </w:tcBorders>
            <w:shd w:val="clear" w:color="auto" w:fill="auto"/>
            <w:noWrap/>
          </w:tcPr>
          <w:p w14:paraId="00000338" w14:textId="77777777" w:rsidR="00F554A7" w:rsidRDefault="007A75BF" w:rsidP="00F92A89">
            <w:pPr>
              <w:pStyle w:val="TableText"/>
              <w:keepNext/>
              <w:jc w:val="right"/>
            </w:pPr>
            <w:r w:rsidRPr="001E7563">
              <w:t>$10.02</w:t>
            </w:r>
          </w:p>
        </w:tc>
        <w:tc>
          <w:tcPr>
            <w:tcW w:w="530" w:type="pct"/>
            <w:tcBorders>
              <w:top w:val="nil"/>
              <w:left w:val="double" w:sz="4" w:space="0" w:color="auto"/>
              <w:bottom w:val="nil"/>
              <w:right w:val="single" w:sz="4" w:space="0" w:color="auto"/>
            </w:tcBorders>
            <w:shd w:val="clear" w:color="auto" w:fill="auto"/>
          </w:tcPr>
          <w:p w14:paraId="00000339" w14:textId="77777777" w:rsidR="00F554A7" w:rsidRDefault="007A75BF" w:rsidP="00F92A89">
            <w:pPr>
              <w:pStyle w:val="TableText"/>
              <w:keepNext/>
              <w:jc w:val="right"/>
            </w:pPr>
            <w:r w:rsidRPr="001E7563">
              <w:t>$10.72</w:t>
            </w:r>
          </w:p>
        </w:tc>
        <w:tc>
          <w:tcPr>
            <w:tcW w:w="551" w:type="pct"/>
            <w:tcBorders>
              <w:top w:val="nil"/>
              <w:left w:val="single" w:sz="4" w:space="0" w:color="auto"/>
              <w:bottom w:val="nil"/>
              <w:right w:val="single" w:sz="4" w:space="0" w:color="auto"/>
            </w:tcBorders>
            <w:shd w:val="clear" w:color="auto" w:fill="auto"/>
          </w:tcPr>
          <w:p w14:paraId="0000033A" w14:textId="77777777" w:rsidR="00F554A7" w:rsidRDefault="007A75BF" w:rsidP="00F92A89">
            <w:pPr>
              <w:pStyle w:val="TableText"/>
              <w:keepNext/>
              <w:jc w:val="right"/>
            </w:pPr>
            <w:r w:rsidRPr="001E7563">
              <w:t>$0.91</w:t>
            </w:r>
          </w:p>
        </w:tc>
        <w:tc>
          <w:tcPr>
            <w:tcW w:w="679" w:type="pct"/>
            <w:tcBorders>
              <w:top w:val="nil"/>
              <w:left w:val="single" w:sz="4" w:space="0" w:color="auto"/>
              <w:bottom w:val="nil"/>
              <w:right w:val="single" w:sz="4" w:space="0" w:color="auto"/>
            </w:tcBorders>
            <w:shd w:val="clear" w:color="auto" w:fill="auto"/>
          </w:tcPr>
          <w:p w14:paraId="0000033B" w14:textId="77777777" w:rsidR="00F554A7" w:rsidRDefault="007A75BF" w:rsidP="00F92A89">
            <w:pPr>
              <w:pStyle w:val="TableText"/>
              <w:keepNext/>
              <w:jc w:val="right"/>
            </w:pPr>
            <w:r w:rsidRPr="001E7563">
              <w:t>$9.81</w:t>
            </w:r>
          </w:p>
        </w:tc>
      </w:tr>
      <w:tr w:rsidR="00C71AB8" w14:paraId="4C20BB1B" w14:textId="77777777" w:rsidTr="003F09BF">
        <w:trPr>
          <w:cantSplit/>
          <w:trHeight w:val="20"/>
        </w:trPr>
        <w:tc>
          <w:tcPr>
            <w:tcW w:w="1481" w:type="pct"/>
            <w:tcBorders>
              <w:top w:val="nil"/>
              <w:left w:val="single" w:sz="4" w:space="0" w:color="auto"/>
              <w:bottom w:val="single" w:sz="4" w:space="0" w:color="auto"/>
              <w:right w:val="single" w:sz="4" w:space="0" w:color="auto"/>
            </w:tcBorders>
            <w:noWrap/>
            <w:hideMark/>
          </w:tcPr>
          <w:p w14:paraId="0000033C" w14:textId="77777777" w:rsidR="00F554A7" w:rsidRDefault="007A75BF" w:rsidP="00F92A89">
            <w:pPr>
              <w:pStyle w:val="TableText"/>
              <w:keepNext/>
              <w:rPr>
                <w:b/>
              </w:rPr>
            </w:pPr>
            <w:r w:rsidRPr="001E7563">
              <w:t xml:space="preserve">Early </w:t>
            </w:r>
            <w:r>
              <w:t>diagnosis of affected cases</w:t>
            </w:r>
          </w:p>
        </w:tc>
        <w:tc>
          <w:tcPr>
            <w:tcW w:w="586" w:type="pct"/>
            <w:tcBorders>
              <w:top w:val="nil"/>
              <w:left w:val="single" w:sz="4" w:space="0" w:color="auto"/>
              <w:bottom w:val="single" w:sz="4" w:space="0" w:color="auto"/>
              <w:right w:val="single" w:sz="4" w:space="0" w:color="auto"/>
            </w:tcBorders>
            <w:noWrap/>
          </w:tcPr>
          <w:p w14:paraId="0000033D" w14:textId="77777777" w:rsidR="00F554A7" w:rsidRDefault="007A75BF" w:rsidP="00F92A89">
            <w:pPr>
              <w:pStyle w:val="TableText"/>
              <w:keepNext/>
              <w:jc w:val="right"/>
            </w:pPr>
            <w:r w:rsidRPr="001E7563">
              <w:t>0.00007</w:t>
            </w:r>
          </w:p>
        </w:tc>
        <w:tc>
          <w:tcPr>
            <w:tcW w:w="587" w:type="pct"/>
            <w:tcBorders>
              <w:top w:val="nil"/>
              <w:left w:val="single" w:sz="4" w:space="0" w:color="auto"/>
              <w:bottom w:val="single" w:sz="4" w:space="0" w:color="auto"/>
              <w:right w:val="single" w:sz="4" w:space="0" w:color="auto"/>
            </w:tcBorders>
            <w:noWrap/>
          </w:tcPr>
          <w:p w14:paraId="0000033E" w14:textId="77777777" w:rsidR="00F554A7" w:rsidRDefault="007A75BF" w:rsidP="00F92A89">
            <w:pPr>
              <w:pStyle w:val="TableText"/>
              <w:keepNext/>
              <w:jc w:val="right"/>
            </w:pPr>
            <w:r w:rsidRPr="001E7563">
              <w:t>0.00000</w:t>
            </w:r>
          </w:p>
        </w:tc>
        <w:tc>
          <w:tcPr>
            <w:tcW w:w="586" w:type="pct"/>
            <w:tcBorders>
              <w:top w:val="nil"/>
              <w:left w:val="single" w:sz="4" w:space="0" w:color="auto"/>
              <w:bottom w:val="single" w:sz="4" w:space="0" w:color="auto"/>
              <w:right w:val="double" w:sz="4" w:space="0" w:color="auto"/>
            </w:tcBorders>
            <w:shd w:val="clear" w:color="auto" w:fill="auto"/>
            <w:noWrap/>
          </w:tcPr>
          <w:p w14:paraId="0000033F" w14:textId="77777777" w:rsidR="00F554A7" w:rsidRDefault="007A75BF" w:rsidP="00F92A89">
            <w:pPr>
              <w:pStyle w:val="TableText"/>
              <w:keepNext/>
              <w:jc w:val="right"/>
              <w:rPr>
                <w:b/>
              </w:rPr>
            </w:pPr>
            <w:r w:rsidRPr="001E7563">
              <w:t>0.00007</w:t>
            </w:r>
          </w:p>
        </w:tc>
        <w:tc>
          <w:tcPr>
            <w:tcW w:w="530" w:type="pct"/>
            <w:tcBorders>
              <w:top w:val="nil"/>
              <w:left w:val="double" w:sz="4" w:space="0" w:color="auto"/>
              <w:bottom w:val="single" w:sz="4" w:space="0" w:color="auto"/>
              <w:right w:val="single" w:sz="4" w:space="0" w:color="auto"/>
            </w:tcBorders>
            <w:shd w:val="clear" w:color="auto" w:fill="auto"/>
          </w:tcPr>
          <w:p w14:paraId="00000340" w14:textId="77777777" w:rsidR="00F554A7" w:rsidRDefault="007A75BF" w:rsidP="00F92A89">
            <w:pPr>
              <w:pStyle w:val="TableText"/>
              <w:keepNext/>
              <w:jc w:val="right"/>
            </w:pPr>
            <w:r w:rsidRPr="001E7563">
              <w:t>0.00024</w:t>
            </w:r>
          </w:p>
        </w:tc>
        <w:tc>
          <w:tcPr>
            <w:tcW w:w="551" w:type="pct"/>
            <w:tcBorders>
              <w:top w:val="nil"/>
              <w:left w:val="single" w:sz="4" w:space="0" w:color="auto"/>
              <w:bottom w:val="single" w:sz="4" w:space="0" w:color="auto"/>
              <w:right w:val="single" w:sz="4" w:space="0" w:color="auto"/>
            </w:tcBorders>
            <w:shd w:val="clear" w:color="auto" w:fill="auto"/>
          </w:tcPr>
          <w:p w14:paraId="00000341" w14:textId="77777777" w:rsidR="00F554A7" w:rsidRDefault="007A75BF" w:rsidP="00F92A89">
            <w:pPr>
              <w:pStyle w:val="TableText"/>
              <w:keepNext/>
              <w:jc w:val="right"/>
            </w:pPr>
            <w:r w:rsidRPr="001E7563">
              <w:t>0.00024</w:t>
            </w:r>
          </w:p>
        </w:tc>
        <w:tc>
          <w:tcPr>
            <w:tcW w:w="679" w:type="pct"/>
            <w:tcBorders>
              <w:top w:val="nil"/>
              <w:left w:val="single" w:sz="4" w:space="0" w:color="auto"/>
              <w:bottom w:val="single" w:sz="4" w:space="0" w:color="auto"/>
              <w:right w:val="single" w:sz="4" w:space="0" w:color="auto"/>
            </w:tcBorders>
            <w:shd w:val="clear" w:color="auto" w:fill="auto"/>
          </w:tcPr>
          <w:p w14:paraId="00000342" w14:textId="77777777" w:rsidR="00F554A7" w:rsidRDefault="007A75BF" w:rsidP="00F92A89">
            <w:pPr>
              <w:pStyle w:val="TableText"/>
              <w:keepNext/>
              <w:jc w:val="right"/>
              <w:rPr>
                <w:b/>
              </w:rPr>
            </w:pPr>
            <w:r w:rsidRPr="001E7563">
              <w:t>0.00000</w:t>
            </w:r>
          </w:p>
        </w:tc>
      </w:tr>
      <w:tr w:rsidR="001E7563" w14:paraId="1EB6CA9C" w14:textId="77777777" w:rsidTr="003F09BF">
        <w:trPr>
          <w:cantSplit/>
          <w:trHeight w:val="20"/>
        </w:trPr>
        <w:tc>
          <w:tcPr>
            <w:tcW w:w="1481" w:type="pct"/>
            <w:tcBorders>
              <w:top w:val="single" w:sz="4" w:space="0" w:color="auto"/>
              <w:left w:val="single" w:sz="4" w:space="0" w:color="auto"/>
              <w:bottom w:val="single" w:sz="4" w:space="0" w:color="auto"/>
              <w:right w:val="single" w:sz="4" w:space="0" w:color="auto"/>
            </w:tcBorders>
            <w:noWrap/>
            <w:hideMark/>
          </w:tcPr>
          <w:p w14:paraId="00000343" w14:textId="77777777" w:rsidR="00F554A7" w:rsidRDefault="007A75BF" w:rsidP="00F92A89">
            <w:pPr>
              <w:pStyle w:val="TableText"/>
              <w:rPr>
                <w:b/>
              </w:rPr>
            </w:pPr>
            <w:r w:rsidRPr="001E7563">
              <w:rPr>
                <w:b/>
              </w:rPr>
              <w:t xml:space="preserve">ICER </w:t>
            </w:r>
          </w:p>
        </w:tc>
        <w:tc>
          <w:tcPr>
            <w:tcW w:w="586" w:type="pct"/>
            <w:tcBorders>
              <w:top w:val="single" w:sz="4" w:space="0" w:color="auto"/>
              <w:left w:val="single" w:sz="4" w:space="0" w:color="auto"/>
              <w:bottom w:val="single" w:sz="4" w:space="0" w:color="auto"/>
              <w:right w:val="nil"/>
            </w:tcBorders>
            <w:noWrap/>
          </w:tcPr>
          <w:p w14:paraId="00000344" w14:textId="77777777" w:rsidR="00F554A7" w:rsidRPr="001E7563" w:rsidRDefault="00F554A7" w:rsidP="00F92A89">
            <w:pPr>
              <w:pStyle w:val="TableText"/>
              <w:jc w:val="right"/>
              <w:rPr>
                <w:b/>
              </w:rPr>
            </w:pPr>
          </w:p>
        </w:tc>
        <w:tc>
          <w:tcPr>
            <w:tcW w:w="587" w:type="pct"/>
            <w:tcBorders>
              <w:top w:val="single" w:sz="4" w:space="0" w:color="auto"/>
              <w:left w:val="nil"/>
              <w:bottom w:val="single" w:sz="4" w:space="0" w:color="auto"/>
              <w:right w:val="single" w:sz="4" w:space="0" w:color="auto"/>
            </w:tcBorders>
            <w:noWrap/>
          </w:tcPr>
          <w:p w14:paraId="00000345" w14:textId="77777777" w:rsidR="00F554A7" w:rsidRPr="001E7563" w:rsidRDefault="00F554A7" w:rsidP="00F92A89">
            <w:pPr>
              <w:pStyle w:val="TableText"/>
              <w:jc w:val="right"/>
              <w:rPr>
                <w:b/>
              </w:rPr>
            </w:pPr>
          </w:p>
        </w:tc>
        <w:tc>
          <w:tcPr>
            <w:tcW w:w="586" w:type="pct"/>
            <w:tcBorders>
              <w:top w:val="nil"/>
              <w:left w:val="single" w:sz="4" w:space="0" w:color="auto"/>
              <w:bottom w:val="single" w:sz="4" w:space="0" w:color="auto"/>
              <w:right w:val="double" w:sz="4" w:space="0" w:color="auto"/>
            </w:tcBorders>
            <w:shd w:val="clear" w:color="auto" w:fill="auto"/>
            <w:noWrap/>
          </w:tcPr>
          <w:p w14:paraId="00000346" w14:textId="77777777" w:rsidR="00F554A7" w:rsidRDefault="007A75BF" w:rsidP="00F92A89">
            <w:pPr>
              <w:pStyle w:val="TableText"/>
              <w:jc w:val="right"/>
              <w:rPr>
                <w:b/>
              </w:rPr>
            </w:pPr>
            <w:r w:rsidRPr="001E7563">
              <w:rPr>
                <w:b/>
              </w:rPr>
              <w:t>$141,338</w:t>
            </w:r>
          </w:p>
        </w:tc>
        <w:tc>
          <w:tcPr>
            <w:tcW w:w="530" w:type="pct"/>
            <w:tcBorders>
              <w:top w:val="nil"/>
              <w:left w:val="double" w:sz="4" w:space="0" w:color="auto"/>
              <w:bottom w:val="single" w:sz="4" w:space="0" w:color="auto"/>
              <w:right w:val="nil"/>
            </w:tcBorders>
            <w:shd w:val="clear" w:color="auto" w:fill="auto"/>
          </w:tcPr>
          <w:p w14:paraId="00000347" w14:textId="77777777" w:rsidR="00F554A7" w:rsidRPr="001E7563" w:rsidRDefault="00F554A7" w:rsidP="00F92A89">
            <w:pPr>
              <w:pStyle w:val="TableText"/>
              <w:jc w:val="right"/>
              <w:rPr>
                <w:b/>
              </w:rPr>
            </w:pPr>
          </w:p>
        </w:tc>
        <w:tc>
          <w:tcPr>
            <w:tcW w:w="551" w:type="pct"/>
            <w:tcBorders>
              <w:top w:val="nil"/>
              <w:left w:val="nil"/>
              <w:bottom w:val="single" w:sz="4" w:space="0" w:color="auto"/>
              <w:right w:val="single" w:sz="4" w:space="0" w:color="auto"/>
            </w:tcBorders>
            <w:shd w:val="clear" w:color="auto" w:fill="auto"/>
          </w:tcPr>
          <w:p w14:paraId="00000348" w14:textId="77777777" w:rsidR="00F554A7" w:rsidRPr="001E7563" w:rsidRDefault="00F554A7" w:rsidP="00F92A89">
            <w:pPr>
              <w:pStyle w:val="TableText"/>
              <w:jc w:val="right"/>
              <w:rPr>
                <w:b/>
              </w:rPr>
            </w:pPr>
          </w:p>
        </w:tc>
        <w:tc>
          <w:tcPr>
            <w:tcW w:w="679" w:type="pct"/>
            <w:tcBorders>
              <w:top w:val="nil"/>
              <w:left w:val="single" w:sz="4" w:space="0" w:color="auto"/>
              <w:bottom w:val="single" w:sz="4" w:space="0" w:color="auto"/>
              <w:right w:val="single" w:sz="4" w:space="0" w:color="auto"/>
            </w:tcBorders>
            <w:shd w:val="clear" w:color="auto" w:fill="auto"/>
          </w:tcPr>
          <w:p w14:paraId="00000349" w14:textId="77777777" w:rsidR="00F554A7" w:rsidRDefault="007A75BF" w:rsidP="00F92A89">
            <w:pPr>
              <w:pStyle w:val="TableText"/>
              <w:jc w:val="right"/>
              <w:rPr>
                <w:b/>
              </w:rPr>
            </w:pPr>
            <w:r w:rsidRPr="001E7563">
              <w:rPr>
                <w:b/>
              </w:rPr>
              <w:t>$13,833,958</w:t>
            </w:r>
          </w:p>
        </w:tc>
      </w:tr>
      <w:tr w:rsidR="00F554A7" w14:paraId="6587874E" w14:textId="77777777" w:rsidTr="00F92A89">
        <w:trPr>
          <w:cantSplit/>
          <w:trHeight w:val="20"/>
        </w:trPr>
        <w:tc>
          <w:tcPr>
            <w:tcW w:w="5000" w:type="pct"/>
            <w:gridSpan w:val="7"/>
            <w:tcBorders>
              <w:top w:val="nil"/>
              <w:left w:val="single" w:sz="4" w:space="0" w:color="auto"/>
              <w:bottom w:val="single" w:sz="4" w:space="0" w:color="auto"/>
              <w:right w:val="single" w:sz="4" w:space="0" w:color="auto"/>
            </w:tcBorders>
            <w:shd w:val="clear" w:color="auto" w:fill="auto"/>
            <w:noWrap/>
            <w:hideMark/>
          </w:tcPr>
          <w:p w14:paraId="0000034A" w14:textId="77777777" w:rsidR="00F554A7" w:rsidRDefault="007A75BF" w:rsidP="00F92A89">
            <w:pPr>
              <w:pStyle w:val="TableText"/>
              <w:keepNext/>
              <w:rPr>
                <w:b/>
              </w:rPr>
            </w:pPr>
            <w:r w:rsidRPr="001E7563">
              <w:rPr>
                <w:b/>
              </w:rPr>
              <w:t xml:space="preserve">Step </w:t>
            </w:r>
            <w:r>
              <w:rPr>
                <w:b/>
              </w:rPr>
              <w:t>7 – Expansion of the screening program to also include β-thalassemia</w:t>
            </w:r>
          </w:p>
          <w:p w14:paraId="0000034B" w14:textId="77777777" w:rsidR="00F554A7" w:rsidRDefault="007A75BF" w:rsidP="00F92A89">
            <w:pPr>
              <w:pStyle w:val="TableText"/>
              <w:keepNext/>
            </w:pPr>
            <w:r w:rsidRPr="001E7563">
              <w:t xml:space="preserve">Incidence of β-thalassemia assumed to be 17 per 100,000 births and </w:t>
            </w:r>
            <w:r>
              <w:t>screening (by MALDI-TOF) is assumed to identify 74.25% of affected cases. No changes in management (in terms of prophylactic treatment or management) are assumed in these additionally identified cases</w:t>
            </w:r>
          </w:p>
        </w:tc>
      </w:tr>
      <w:tr w:rsidR="00753190" w14:paraId="1B5EA3DD" w14:textId="77777777" w:rsidTr="003F09BF">
        <w:trPr>
          <w:cantSplit/>
          <w:trHeight w:val="20"/>
        </w:trPr>
        <w:tc>
          <w:tcPr>
            <w:tcW w:w="1481" w:type="pct"/>
            <w:tcBorders>
              <w:top w:val="nil"/>
              <w:left w:val="single" w:sz="4" w:space="0" w:color="auto"/>
              <w:bottom w:val="nil"/>
              <w:right w:val="single" w:sz="4" w:space="0" w:color="auto"/>
            </w:tcBorders>
            <w:noWrap/>
            <w:hideMark/>
          </w:tcPr>
          <w:p w14:paraId="00000352" w14:textId="77777777" w:rsidR="00F554A7" w:rsidRDefault="007A75BF" w:rsidP="00F92A89">
            <w:pPr>
              <w:pStyle w:val="TableText"/>
              <w:keepNext/>
              <w:rPr>
                <w:b/>
              </w:rPr>
            </w:pPr>
            <w:r w:rsidRPr="001E7563">
              <w:t>Costs</w:t>
            </w:r>
          </w:p>
        </w:tc>
        <w:tc>
          <w:tcPr>
            <w:tcW w:w="586" w:type="pct"/>
            <w:tcBorders>
              <w:top w:val="nil"/>
              <w:left w:val="single" w:sz="4" w:space="0" w:color="auto"/>
              <w:bottom w:val="nil"/>
              <w:right w:val="single" w:sz="4" w:space="0" w:color="auto"/>
            </w:tcBorders>
            <w:noWrap/>
          </w:tcPr>
          <w:p w14:paraId="00000353" w14:textId="77777777" w:rsidR="00F554A7" w:rsidRDefault="007A75BF" w:rsidP="00F92A89">
            <w:pPr>
              <w:pStyle w:val="TableText"/>
              <w:keepNext/>
              <w:jc w:val="right"/>
            </w:pPr>
            <w:r w:rsidRPr="001E7563">
              <w:t>$10.34</w:t>
            </w:r>
          </w:p>
        </w:tc>
        <w:tc>
          <w:tcPr>
            <w:tcW w:w="587" w:type="pct"/>
            <w:tcBorders>
              <w:top w:val="nil"/>
              <w:left w:val="single" w:sz="4" w:space="0" w:color="auto"/>
              <w:bottom w:val="nil"/>
              <w:right w:val="single" w:sz="4" w:space="0" w:color="auto"/>
            </w:tcBorders>
            <w:noWrap/>
          </w:tcPr>
          <w:p w14:paraId="00000354" w14:textId="77777777" w:rsidR="00F554A7" w:rsidRDefault="007A75BF" w:rsidP="00F92A89">
            <w:pPr>
              <w:pStyle w:val="TableText"/>
              <w:keepNext/>
              <w:jc w:val="right"/>
            </w:pPr>
            <w:r w:rsidRPr="001E7563">
              <w:t>$0.32</w:t>
            </w:r>
          </w:p>
        </w:tc>
        <w:tc>
          <w:tcPr>
            <w:tcW w:w="586" w:type="pct"/>
            <w:tcBorders>
              <w:top w:val="nil"/>
              <w:left w:val="single" w:sz="4" w:space="0" w:color="auto"/>
              <w:bottom w:val="nil"/>
              <w:right w:val="double" w:sz="4" w:space="0" w:color="auto"/>
            </w:tcBorders>
            <w:shd w:val="clear" w:color="auto" w:fill="auto"/>
            <w:noWrap/>
          </w:tcPr>
          <w:p w14:paraId="00000355" w14:textId="77777777" w:rsidR="00F554A7" w:rsidRDefault="007A75BF" w:rsidP="00F92A89">
            <w:pPr>
              <w:pStyle w:val="TableText"/>
              <w:keepNext/>
              <w:jc w:val="right"/>
            </w:pPr>
            <w:r w:rsidRPr="001E7563">
              <w:t>$10.03</w:t>
            </w:r>
          </w:p>
        </w:tc>
        <w:tc>
          <w:tcPr>
            <w:tcW w:w="530" w:type="pct"/>
            <w:tcBorders>
              <w:top w:val="nil"/>
              <w:left w:val="double" w:sz="4" w:space="0" w:color="auto"/>
              <w:bottom w:val="nil"/>
              <w:right w:val="single" w:sz="4" w:space="0" w:color="auto"/>
            </w:tcBorders>
            <w:shd w:val="clear" w:color="auto" w:fill="auto"/>
          </w:tcPr>
          <w:p w14:paraId="00000356" w14:textId="77777777" w:rsidR="00F554A7" w:rsidRDefault="007A75BF" w:rsidP="00F92A89">
            <w:pPr>
              <w:pStyle w:val="TableText"/>
              <w:keepNext/>
              <w:jc w:val="right"/>
            </w:pPr>
            <w:r w:rsidRPr="001E7563">
              <w:t>$10.61</w:t>
            </w:r>
          </w:p>
        </w:tc>
        <w:tc>
          <w:tcPr>
            <w:tcW w:w="551" w:type="pct"/>
            <w:tcBorders>
              <w:top w:val="nil"/>
              <w:left w:val="single" w:sz="4" w:space="0" w:color="auto"/>
              <w:bottom w:val="nil"/>
              <w:right w:val="single" w:sz="4" w:space="0" w:color="auto"/>
            </w:tcBorders>
            <w:shd w:val="clear" w:color="auto" w:fill="auto"/>
          </w:tcPr>
          <w:p w14:paraId="00000357" w14:textId="77777777" w:rsidR="00F554A7" w:rsidRDefault="007A75BF" w:rsidP="00F92A89">
            <w:pPr>
              <w:pStyle w:val="TableText"/>
              <w:keepNext/>
              <w:jc w:val="right"/>
            </w:pPr>
            <w:r w:rsidRPr="001E7563">
              <w:t>$0.80</w:t>
            </w:r>
          </w:p>
        </w:tc>
        <w:tc>
          <w:tcPr>
            <w:tcW w:w="679" w:type="pct"/>
            <w:tcBorders>
              <w:top w:val="nil"/>
              <w:left w:val="single" w:sz="4" w:space="0" w:color="auto"/>
              <w:bottom w:val="nil"/>
              <w:right w:val="single" w:sz="4" w:space="0" w:color="auto"/>
            </w:tcBorders>
            <w:shd w:val="clear" w:color="auto" w:fill="auto"/>
          </w:tcPr>
          <w:p w14:paraId="00000358" w14:textId="77777777" w:rsidR="00F554A7" w:rsidRDefault="007A75BF" w:rsidP="00F92A89">
            <w:pPr>
              <w:pStyle w:val="TableText"/>
              <w:keepNext/>
              <w:jc w:val="right"/>
            </w:pPr>
            <w:r w:rsidRPr="001E7563">
              <w:t>$9.81</w:t>
            </w:r>
          </w:p>
        </w:tc>
      </w:tr>
      <w:tr w:rsidR="00C71AB8" w14:paraId="18C117AD" w14:textId="77777777" w:rsidTr="003F09BF">
        <w:trPr>
          <w:cantSplit/>
          <w:trHeight w:val="20"/>
        </w:trPr>
        <w:tc>
          <w:tcPr>
            <w:tcW w:w="1481" w:type="pct"/>
            <w:tcBorders>
              <w:top w:val="nil"/>
              <w:left w:val="single" w:sz="4" w:space="0" w:color="auto"/>
              <w:bottom w:val="single" w:sz="4" w:space="0" w:color="auto"/>
              <w:right w:val="single" w:sz="4" w:space="0" w:color="auto"/>
            </w:tcBorders>
            <w:noWrap/>
            <w:hideMark/>
          </w:tcPr>
          <w:p w14:paraId="00000359" w14:textId="77777777" w:rsidR="00F554A7" w:rsidRDefault="007A75BF" w:rsidP="00F92A89">
            <w:pPr>
              <w:pStyle w:val="TableText"/>
              <w:keepNext/>
              <w:rPr>
                <w:b/>
              </w:rPr>
            </w:pPr>
            <w:r w:rsidRPr="001E7563">
              <w:t>Early diagnosis of affected cases</w:t>
            </w:r>
          </w:p>
        </w:tc>
        <w:tc>
          <w:tcPr>
            <w:tcW w:w="586" w:type="pct"/>
            <w:tcBorders>
              <w:top w:val="nil"/>
              <w:left w:val="single" w:sz="4" w:space="0" w:color="auto"/>
              <w:bottom w:val="single" w:sz="4" w:space="0" w:color="auto"/>
              <w:right w:val="single" w:sz="4" w:space="0" w:color="auto"/>
            </w:tcBorders>
            <w:noWrap/>
          </w:tcPr>
          <w:p w14:paraId="0000035A" w14:textId="77777777" w:rsidR="00F554A7" w:rsidRDefault="007A75BF" w:rsidP="00F92A89">
            <w:pPr>
              <w:pStyle w:val="TableText"/>
              <w:keepNext/>
              <w:jc w:val="right"/>
            </w:pPr>
            <w:r w:rsidRPr="001E7563">
              <w:t>0.00020</w:t>
            </w:r>
          </w:p>
        </w:tc>
        <w:tc>
          <w:tcPr>
            <w:tcW w:w="587" w:type="pct"/>
            <w:tcBorders>
              <w:top w:val="nil"/>
              <w:left w:val="single" w:sz="4" w:space="0" w:color="auto"/>
              <w:bottom w:val="single" w:sz="4" w:space="0" w:color="auto"/>
              <w:right w:val="single" w:sz="4" w:space="0" w:color="auto"/>
            </w:tcBorders>
            <w:noWrap/>
          </w:tcPr>
          <w:p w14:paraId="0000035B" w14:textId="77777777" w:rsidR="00F554A7" w:rsidRDefault="007A75BF" w:rsidP="00F92A89">
            <w:pPr>
              <w:pStyle w:val="TableText"/>
              <w:keepNext/>
              <w:jc w:val="right"/>
            </w:pPr>
            <w:r w:rsidRPr="001E7563">
              <w:t>0.00000</w:t>
            </w:r>
          </w:p>
        </w:tc>
        <w:tc>
          <w:tcPr>
            <w:tcW w:w="586" w:type="pct"/>
            <w:tcBorders>
              <w:top w:val="nil"/>
              <w:left w:val="single" w:sz="4" w:space="0" w:color="auto"/>
              <w:bottom w:val="single" w:sz="4" w:space="0" w:color="auto"/>
              <w:right w:val="double" w:sz="4" w:space="0" w:color="auto"/>
            </w:tcBorders>
            <w:shd w:val="clear" w:color="auto" w:fill="auto"/>
            <w:noWrap/>
          </w:tcPr>
          <w:p w14:paraId="0000035C" w14:textId="77777777" w:rsidR="00F554A7" w:rsidRDefault="007A75BF" w:rsidP="00F92A89">
            <w:pPr>
              <w:pStyle w:val="TableText"/>
              <w:keepNext/>
              <w:jc w:val="right"/>
              <w:rPr>
                <w:b/>
              </w:rPr>
            </w:pPr>
            <w:r w:rsidRPr="001E7563">
              <w:t>0.00020</w:t>
            </w:r>
          </w:p>
        </w:tc>
        <w:tc>
          <w:tcPr>
            <w:tcW w:w="530" w:type="pct"/>
            <w:tcBorders>
              <w:top w:val="nil"/>
              <w:left w:val="double" w:sz="4" w:space="0" w:color="auto"/>
              <w:bottom w:val="single" w:sz="4" w:space="0" w:color="auto"/>
              <w:right w:val="single" w:sz="4" w:space="0" w:color="auto"/>
            </w:tcBorders>
            <w:shd w:val="clear" w:color="auto" w:fill="auto"/>
          </w:tcPr>
          <w:p w14:paraId="0000035D" w14:textId="77777777" w:rsidR="00F554A7" w:rsidRDefault="007A75BF" w:rsidP="00F92A89">
            <w:pPr>
              <w:pStyle w:val="TableText"/>
              <w:keepNext/>
              <w:jc w:val="right"/>
            </w:pPr>
            <w:r w:rsidRPr="001E7563">
              <w:t>0.00024</w:t>
            </w:r>
          </w:p>
        </w:tc>
        <w:tc>
          <w:tcPr>
            <w:tcW w:w="551" w:type="pct"/>
            <w:tcBorders>
              <w:top w:val="nil"/>
              <w:left w:val="single" w:sz="4" w:space="0" w:color="auto"/>
              <w:bottom w:val="single" w:sz="4" w:space="0" w:color="auto"/>
              <w:right w:val="single" w:sz="4" w:space="0" w:color="auto"/>
            </w:tcBorders>
            <w:shd w:val="clear" w:color="auto" w:fill="auto"/>
          </w:tcPr>
          <w:p w14:paraId="0000035E" w14:textId="77777777" w:rsidR="00F554A7" w:rsidRDefault="007A75BF" w:rsidP="00F92A89">
            <w:pPr>
              <w:pStyle w:val="TableText"/>
              <w:keepNext/>
              <w:jc w:val="right"/>
            </w:pPr>
            <w:r w:rsidRPr="001E7563">
              <w:t>0.00024</w:t>
            </w:r>
          </w:p>
        </w:tc>
        <w:tc>
          <w:tcPr>
            <w:tcW w:w="679" w:type="pct"/>
            <w:tcBorders>
              <w:top w:val="nil"/>
              <w:left w:val="single" w:sz="4" w:space="0" w:color="auto"/>
              <w:bottom w:val="single" w:sz="4" w:space="0" w:color="auto"/>
              <w:right w:val="single" w:sz="4" w:space="0" w:color="auto"/>
            </w:tcBorders>
            <w:shd w:val="clear" w:color="auto" w:fill="auto"/>
          </w:tcPr>
          <w:p w14:paraId="0000035F" w14:textId="77777777" w:rsidR="00F554A7" w:rsidRDefault="007A75BF" w:rsidP="00F92A89">
            <w:pPr>
              <w:pStyle w:val="TableText"/>
              <w:keepNext/>
              <w:jc w:val="right"/>
              <w:rPr>
                <w:b/>
              </w:rPr>
            </w:pPr>
            <w:r w:rsidRPr="001E7563">
              <w:t>0.00000</w:t>
            </w:r>
          </w:p>
        </w:tc>
      </w:tr>
      <w:tr w:rsidR="001E7563" w14:paraId="42B5F8C7" w14:textId="77777777" w:rsidTr="003F09BF">
        <w:trPr>
          <w:cantSplit/>
          <w:trHeight w:val="20"/>
        </w:trPr>
        <w:tc>
          <w:tcPr>
            <w:tcW w:w="1481" w:type="pct"/>
            <w:tcBorders>
              <w:top w:val="single" w:sz="4" w:space="0" w:color="auto"/>
              <w:left w:val="single" w:sz="4" w:space="0" w:color="auto"/>
              <w:bottom w:val="single" w:sz="4" w:space="0" w:color="auto"/>
              <w:right w:val="single" w:sz="4" w:space="0" w:color="auto"/>
            </w:tcBorders>
            <w:noWrap/>
            <w:hideMark/>
          </w:tcPr>
          <w:p w14:paraId="00000360" w14:textId="77777777" w:rsidR="00F554A7" w:rsidRDefault="007A75BF" w:rsidP="00F92A89">
            <w:pPr>
              <w:pStyle w:val="TableText"/>
              <w:rPr>
                <w:b/>
              </w:rPr>
            </w:pPr>
            <w:r w:rsidRPr="001E7563">
              <w:rPr>
                <w:b/>
              </w:rPr>
              <w:t xml:space="preserve">ICER </w:t>
            </w:r>
          </w:p>
        </w:tc>
        <w:tc>
          <w:tcPr>
            <w:tcW w:w="586" w:type="pct"/>
            <w:tcBorders>
              <w:top w:val="single" w:sz="4" w:space="0" w:color="auto"/>
              <w:left w:val="single" w:sz="4" w:space="0" w:color="auto"/>
              <w:bottom w:val="single" w:sz="4" w:space="0" w:color="auto"/>
              <w:right w:val="nil"/>
            </w:tcBorders>
            <w:noWrap/>
          </w:tcPr>
          <w:p w14:paraId="00000361" w14:textId="77777777" w:rsidR="00F554A7" w:rsidRPr="001E7563" w:rsidRDefault="00F554A7" w:rsidP="00F92A89">
            <w:pPr>
              <w:pStyle w:val="TableText"/>
              <w:jc w:val="right"/>
              <w:rPr>
                <w:b/>
              </w:rPr>
            </w:pPr>
          </w:p>
        </w:tc>
        <w:tc>
          <w:tcPr>
            <w:tcW w:w="587" w:type="pct"/>
            <w:tcBorders>
              <w:top w:val="single" w:sz="4" w:space="0" w:color="auto"/>
              <w:left w:val="nil"/>
              <w:bottom w:val="single" w:sz="4" w:space="0" w:color="auto"/>
              <w:right w:val="single" w:sz="4" w:space="0" w:color="auto"/>
            </w:tcBorders>
            <w:noWrap/>
          </w:tcPr>
          <w:p w14:paraId="00000362" w14:textId="77777777" w:rsidR="00F554A7" w:rsidRPr="001E7563" w:rsidRDefault="00F554A7" w:rsidP="00F92A89">
            <w:pPr>
              <w:pStyle w:val="TableText"/>
              <w:jc w:val="right"/>
              <w:rPr>
                <w:b/>
              </w:rPr>
            </w:pPr>
          </w:p>
        </w:tc>
        <w:tc>
          <w:tcPr>
            <w:tcW w:w="586" w:type="pct"/>
            <w:tcBorders>
              <w:top w:val="nil"/>
              <w:left w:val="single" w:sz="4" w:space="0" w:color="auto"/>
              <w:bottom w:val="single" w:sz="4" w:space="0" w:color="auto"/>
              <w:right w:val="double" w:sz="4" w:space="0" w:color="auto"/>
            </w:tcBorders>
            <w:noWrap/>
          </w:tcPr>
          <w:p w14:paraId="00000363" w14:textId="77777777" w:rsidR="00F554A7" w:rsidRDefault="007A75BF" w:rsidP="00F92A89">
            <w:pPr>
              <w:pStyle w:val="TableText"/>
              <w:jc w:val="right"/>
              <w:rPr>
                <w:b/>
              </w:rPr>
            </w:pPr>
            <w:r w:rsidRPr="001E7563">
              <w:rPr>
                <w:b/>
              </w:rPr>
              <w:t>$50,867</w:t>
            </w:r>
          </w:p>
        </w:tc>
        <w:tc>
          <w:tcPr>
            <w:tcW w:w="530" w:type="pct"/>
            <w:tcBorders>
              <w:top w:val="nil"/>
              <w:left w:val="double" w:sz="4" w:space="0" w:color="auto"/>
              <w:bottom w:val="single" w:sz="4" w:space="0" w:color="auto"/>
              <w:right w:val="nil"/>
            </w:tcBorders>
          </w:tcPr>
          <w:p w14:paraId="00000364" w14:textId="77777777" w:rsidR="00F554A7" w:rsidRPr="001E7563" w:rsidRDefault="00F554A7" w:rsidP="00F92A89">
            <w:pPr>
              <w:pStyle w:val="TableText"/>
              <w:jc w:val="right"/>
              <w:rPr>
                <w:b/>
              </w:rPr>
            </w:pPr>
          </w:p>
        </w:tc>
        <w:tc>
          <w:tcPr>
            <w:tcW w:w="551" w:type="pct"/>
            <w:tcBorders>
              <w:top w:val="nil"/>
              <w:left w:val="nil"/>
              <w:bottom w:val="single" w:sz="4" w:space="0" w:color="auto"/>
              <w:right w:val="single" w:sz="4" w:space="0" w:color="auto"/>
            </w:tcBorders>
          </w:tcPr>
          <w:p w14:paraId="00000365" w14:textId="77777777" w:rsidR="00F554A7" w:rsidRPr="001E7563" w:rsidRDefault="00F554A7" w:rsidP="00F92A89">
            <w:pPr>
              <w:pStyle w:val="TableText"/>
              <w:jc w:val="right"/>
              <w:rPr>
                <w:b/>
              </w:rPr>
            </w:pPr>
          </w:p>
        </w:tc>
        <w:tc>
          <w:tcPr>
            <w:tcW w:w="679" w:type="pct"/>
            <w:tcBorders>
              <w:top w:val="nil"/>
              <w:left w:val="single" w:sz="4" w:space="0" w:color="auto"/>
              <w:bottom w:val="single" w:sz="4" w:space="0" w:color="auto"/>
              <w:right w:val="single" w:sz="4" w:space="0" w:color="auto"/>
            </w:tcBorders>
          </w:tcPr>
          <w:p w14:paraId="00000366" w14:textId="77777777" w:rsidR="00F554A7" w:rsidRDefault="007A75BF" w:rsidP="00F92A89">
            <w:pPr>
              <w:pStyle w:val="TableText"/>
              <w:jc w:val="right"/>
              <w:rPr>
                <w:b/>
              </w:rPr>
            </w:pPr>
            <w:r w:rsidRPr="001E7563">
              <w:rPr>
                <w:b/>
              </w:rPr>
              <w:t>$4,977,386</w:t>
            </w:r>
          </w:p>
        </w:tc>
      </w:tr>
    </w:tbl>
    <w:p w14:paraId="00000367" w14:textId="77777777" w:rsidR="00F554A7" w:rsidRPr="00F92A89" w:rsidRDefault="007A75BF" w:rsidP="00F92A89">
      <w:pPr>
        <w:pStyle w:val="TableFigureFooter"/>
        <w:rPr>
          <w:rFonts w:eastAsia="Arial Narrow"/>
        </w:rPr>
      </w:pPr>
      <w:r w:rsidRPr="00F92A89">
        <w:rPr>
          <w:rFonts w:eastAsia="Arial Narrow"/>
        </w:rPr>
        <w:t>ICER = incremental cost-effectiveness ratio; MALDI-TOF = Matrix Assisted Laser Desorption/Ionization time-of-flight mass spectrometry; NBS = newborn bloodspot screening; SCD = sickle cell disease.</w:t>
      </w:r>
    </w:p>
    <w:p w14:paraId="00000368" w14:textId="77777777" w:rsidR="00F554A7" w:rsidRDefault="007A75BF">
      <w:pPr>
        <w:pStyle w:val="TableFigureFooter"/>
        <w:rPr>
          <w:rFonts w:eastAsia="Arial Narrow"/>
        </w:rPr>
      </w:pPr>
      <w:r w:rsidRPr="00F92A89">
        <w:rPr>
          <w:rFonts w:eastAsia="Arial Narrow"/>
          <w:vertAlign w:val="superscript"/>
        </w:rPr>
        <w:t xml:space="preserve">a </w:t>
      </w:r>
      <w:r w:rsidRPr="00F92A89">
        <w:rPr>
          <w:rFonts w:eastAsia="Arial Narrow"/>
        </w:rPr>
        <w:t>Secondary comparison includes parental, fetal and neonatal testing of haemoglobinopathies</w:t>
      </w:r>
    </w:p>
    <w:bookmarkEnd w:id="95"/>
    <w:p w14:paraId="4B479395" w14:textId="6DFDD2A4" w:rsidR="003B5C43" w:rsidRPr="00F92A89" w:rsidRDefault="003B5C43" w:rsidP="00F92A89">
      <w:pPr>
        <w:pStyle w:val="TableFigureFooter"/>
        <w:rPr>
          <w:rFonts w:eastAsia="Arial Narrow"/>
        </w:rPr>
      </w:pPr>
      <w:r>
        <w:rPr>
          <w:rFonts w:eastAsia="Arial Narrow"/>
        </w:rPr>
        <w:t xml:space="preserve">Source: </w:t>
      </w:r>
      <w:r w:rsidR="00EA79C6">
        <w:rPr>
          <w:rFonts w:eastAsia="Arial Narrow"/>
        </w:rPr>
        <w:t xml:space="preserve">DCAR Table </w:t>
      </w:r>
      <w:r w:rsidR="007F6060">
        <w:rPr>
          <w:rFonts w:eastAsia="Arial Narrow"/>
        </w:rPr>
        <w:t>15.</w:t>
      </w:r>
    </w:p>
    <w:p w14:paraId="00000369" w14:textId="310621E0" w:rsidR="00F554A7" w:rsidRDefault="007A75BF">
      <w:r w:rsidRPr="00F92A89">
        <w:lastRenderedPageBreak/>
        <w:t>The marginal cost-effectiveness of expanding the program to include identification of β</w:t>
      </w:r>
      <w:r w:rsidR="00AC3CA4">
        <w:noBreakHyphen/>
      </w:r>
      <w:r w:rsidRPr="00F92A89">
        <w:t xml:space="preserve">thalassemia cases and carriers is presented in </w:t>
      </w:r>
      <w:r w:rsidR="00AC3CA4">
        <w:fldChar w:fldCharType="begin"/>
      </w:r>
      <w:r w:rsidR="00AC3CA4">
        <w:instrText xml:space="preserve"> REF _Ref129791917 \h </w:instrText>
      </w:r>
      <w:r w:rsidR="00AC3CA4">
        <w:fldChar w:fldCharType="separate"/>
      </w:r>
      <w:r w:rsidR="006E058E" w:rsidRPr="00F92A89">
        <w:rPr>
          <w:rFonts w:eastAsia="Arial Narrow"/>
        </w:rPr>
        <w:t>Table </w:t>
      </w:r>
      <w:r w:rsidR="006E058E">
        <w:rPr>
          <w:noProof/>
        </w:rPr>
        <w:t>16</w:t>
      </w:r>
      <w:r w:rsidR="00AC3CA4">
        <w:fldChar w:fldCharType="end"/>
      </w:r>
      <w:r w:rsidR="00AC3CA4">
        <w:t>.</w:t>
      </w:r>
      <w:r w:rsidRPr="00F92A89">
        <w:t xml:space="preserve"> While the marginal ICERs are low for the expansion of the program to include β-thalassemia, as described above, the interpretation of the additional earlier diagnoses of β-thalassemia is less certain.</w:t>
      </w:r>
    </w:p>
    <w:p w14:paraId="0000036A" w14:textId="2811A135" w:rsidR="00F554A7" w:rsidRPr="00F92A89" w:rsidRDefault="007A75BF" w:rsidP="00F92A89">
      <w:pPr>
        <w:pStyle w:val="Caption"/>
        <w:rPr>
          <w:rFonts w:eastAsia="Arial Narrow"/>
          <w:b w:val="0"/>
        </w:rPr>
      </w:pPr>
      <w:bookmarkStart w:id="96" w:name="_heading=h.1mrcu09" w:colFirst="0" w:colLast="0"/>
      <w:bookmarkStart w:id="97" w:name="_Ref129791917"/>
      <w:bookmarkEnd w:id="96"/>
      <w:r w:rsidRPr="00F92A89">
        <w:rPr>
          <w:rFonts w:eastAsia="Arial Narrow"/>
        </w:rPr>
        <w:t>Table </w:t>
      </w:r>
      <w:r w:rsidR="00AC3CA4" w:rsidRPr="00CE28E3">
        <w:rPr>
          <w:noProof/>
        </w:rPr>
        <w:fldChar w:fldCharType="begin"/>
      </w:r>
      <w:r w:rsidR="00AC3CA4" w:rsidRPr="00CE28E3">
        <w:rPr>
          <w:noProof/>
        </w:rPr>
        <w:instrText xml:space="preserve"> SEQ Table \* ARABIC </w:instrText>
      </w:r>
      <w:r w:rsidR="00AC3CA4" w:rsidRPr="00CE28E3">
        <w:rPr>
          <w:noProof/>
        </w:rPr>
        <w:fldChar w:fldCharType="separate"/>
      </w:r>
      <w:r w:rsidR="006E058E">
        <w:rPr>
          <w:noProof/>
        </w:rPr>
        <w:t>16</w:t>
      </w:r>
      <w:r w:rsidR="00AC3CA4" w:rsidRPr="00CE28E3">
        <w:rPr>
          <w:noProof/>
        </w:rPr>
        <w:fldChar w:fldCharType="end"/>
      </w:r>
      <w:bookmarkEnd w:id="97"/>
      <w:r w:rsidRPr="00F92A89">
        <w:rPr>
          <w:rFonts w:eastAsia="Arial Narrow"/>
        </w:rPr>
        <w:t xml:space="preserve"> </w:t>
      </w:r>
      <w:r w:rsidRPr="00F92A89">
        <w:rPr>
          <w:rFonts w:eastAsia="Arial Narrow"/>
        </w:rPr>
        <w:tab/>
        <w:t>Marginal analyses of expanding the NBS to include SCD and β-thalassemia over SCD alone</w:t>
      </w:r>
    </w:p>
    <w:tbl>
      <w:tblPr>
        <w:tblStyle w:val="TableGrid1"/>
        <w:tblW w:w="5000" w:type="pct"/>
        <w:tblLayout w:type="fixed"/>
        <w:tblLook w:val="04A0" w:firstRow="1" w:lastRow="0" w:firstColumn="1" w:lastColumn="0" w:noHBand="0" w:noVBand="1"/>
      </w:tblPr>
      <w:tblGrid>
        <w:gridCol w:w="1271"/>
        <w:gridCol w:w="1549"/>
        <w:gridCol w:w="1549"/>
        <w:gridCol w:w="1549"/>
        <w:gridCol w:w="1549"/>
        <w:gridCol w:w="1549"/>
      </w:tblGrid>
      <w:tr w:rsidR="00F554A7" w14:paraId="695A5553" w14:textId="77777777" w:rsidTr="00F92A89">
        <w:trPr>
          <w:cnfStyle w:val="100000000000" w:firstRow="1" w:lastRow="0" w:firstColumn="0" w:lastColumn="0" w:oddVBand="0" w:evenVBand="0" w:oddHBand="0" w:evenHBand="0" w:firstRowFirstColumn="0" w:firstRowLastColumn="0" w:lastRowFirstColumn="0" w:lastRowLastColumn="0"/>
          <w:trHeight w:val="315"/>
        </w:trPr>
        <w:tc>
          <w:tcPr>
            <w:tcW w:w="705" w:type="pct"/>
            <w:noWrap/>
            <w:hideMark/>
          </w:tcPr>
          <w:p w14:paraId="0000036B" w14:textId="77777777" w:rsidR="00F554A7" w:rsidRPr="001E7563" w:rsidRDefault="00F554A7" w:rsidP="00F92A89">
            <w:pPr>
              <w:pStyle w:val="In-tableHeading"/>
            </w:pPr>
          </w:p>
        </w:tc>
        <w:tc>
          <w:tcPr>
            <w:tcW w:w="859" w:type="pct"/>
            <w:noWrap/>
            <w:hideMark/>
          </w:tcPr>
          <w:p w14:paraId="0000036C" w14:textId="77777777" w:rsidR="00F554A7" w:rsidRPr="001E7563" w:rsidRDefault="007A75BF" w:rsidP="00F92A89">
            <w:pPr>
              <w:pStyle w:val="In-tableHeading"/>
            </w:pPr>
            <w:r w:rsidRPr="00F92A89">
              <w:t>Incremental Cost</w:t>
            </w:r>
          </w:p>
        </w:tc>
        <w:tc>
          <w:tcPr>
            <w:tcW w:w="859" w:type="pct"/>
            <w:noWrap/>
            <w:hideMark/>
          </w:tcPr>
          <w:p w14:paraId="0000036D" w14:textId="77777777" w:rsidR="00F554A7" w:rsidRPr="001E7563" w:rsidRDefault="007A75BF" w:rsidP="00F92A89">
            <w:pPr>
              <w:pStyle w:val="In-tableHeading"/>
            </w:pPr>
            <w:r w:rsidRPr="00F92A89">
              <w:t xml:space="preserve">Incremental </w:t>
            </w:r>
            <w:r>
              <w:rPr>
                <w:rFonts w:eastAsia="Arial Narrow" w:cs="Arial Narrow"/>
              </w:rPr>
              <w:t>earlier diagnoses</w:t>
            </w:r>
          </w:p>
        </w:tc>
        <w:tc>
          <w:tcPr>
            <w:tcW w:w="859" w:type="pct"/>
            <w:noWrap/>
            <w:hideMark/>
          </w:tcPr>
          <w:p w14:paraId="0000036E" w14:textId="77777777" w:rsidR="00F554A7" w:rsidRPr="001E7563" w:rsidRDefault="007A75BF" w:rsidP="00F92A89">
            <w:pPr>
              <w:pStyle w:val="In-tableHeading"/>
            </w:pPr>
            <w:r w:rsidRPr="00F92A89">
              <w:t>Marginal costs</w:t>
            </w:r>
          </w:p>
        </w:tc>
        <w:tc>
          <w:tcPr>
            <w:tcW w:w="859" w:type="pct"/>
            <w:noWrap/>
            <w:hideMark/>
          </w:tcPr>
          <w:p w14:paraId="0000036F" w14:textId="77777777" w:rsidR="00F554A7" w:rsidRPr="001E7563" w:rsidRDefault="007A75BF" w:rsidP="00F92A89">
            <w:pPr>
              <w:pStyle w:val="In-tableHeading"/>
            </w:pPr>
            <w:r w:rsidRPr="00F92A89">
              <w:t xml:space="preserve">Marginal </w:t>
            </w:r>
            <w:r>
              <w:rPr>
                <w:rFonts w:eastAsia="Arial Narrow" w:cs="Arial Narrow"/>
              </w:rPr>
              <w:t>earlier diagnoses</w:t>
            </w:r>
          </w:p>
        </w:tc>
        <w:tc>
          <w:tcPr>
            <w:tcW w:w="859" w:type="pct"/>
            <w:noWrap/>
            <w:hideMark/>
          </w:tcPr>
          <w:p w14:paraId="00000370" w14:textId="77777777" w:rsidR="00F554A7" w:rsidRPr="001E7563" w:rsidRDefault="007A75BF" w:rsidP="00F92A89">
            <w:pPr>
              <w:pStyle w:val="In-tableHeading"/>
            </w:pPr>
            <w:r w:rsidRPr="00F92A89">
              <w:t xml:space="preserve">Marginal ICER of </w:t>
            </w:r>
            <w:r>
              <w:rPr>
                <w:rFonts w:eastAsia="Arial Narrow" w:cs="Arial Narrow"/>
              </w:rPr>
              <w:t>expanding the program</w:t>
            </w:r>
          </w:p>
        </w:tc>
      </w:tr>
      <w:tr w:rsidR="00F554A7" w14:paraId="498847EA" w14:textId="77777777" w:rsidTr="00F92A89">
        <w:tc>
          <w:tcPr>
            <w:tcW w:w="5000" w:type="pct"/>
            <w:gridSpan w:val="6"/>
            <w:noWrap/>
          </w:tcPr>
          <w:p w14:paraId="00000371" w14:textId="77777777" w:rsidR="00F554A7" w:rsidRPr="001E7563" w:rsidRDefault="007A75BF" w:rsidP="00F92A89">
            <w:pPr>
              <w:pStyle w:val="In-tableHeading"/>
            </w:pPr>
            <w:r w:rsidRPr="001E7563">
              <w:t>Primary comparison: symptomatic identification only</w:t>
            </w:r>
          </w:p>
        </w:tc>
      </w:tr>
      <w:tr w:rsidR="00F554A7" w14:paraId="0C3BB207" w14:textId="77777777" w:rsidTr="00F92A89">
        <w:trPr>
          <w:trHeight w:val="315"/>
        </w:trPr>
        <w:tc>
          <w:tcPr>
            <w:tcW w:w="705" w:type="pct"/>
            <w:noWrap/>
            <w:hideMark/>
          </w:tcPr>
          <w:p w14:paraId="00000377" w14:textId="77777777" w:rsidR="00F554A7" w:rsidRDefault="007A75BF" w:rsidP="00F92A89">
            <w:pPr>
              <w:pStyle w:val="TableText"/>
            </w:pPr>
            <w:r w:rsidRPr="001E7563">
              <w:t>SCD only</w:t>
            </w:r>
          </w:p>
        </w:tc>
        <w:tc>
          <w:tcPr>
            <w:tcW w:w="859" w:type="pct"/>
            <w:shd w:val="clear" w:color="auto" w:fill="auto"/>
            <w:noWrap/>
            <w:hideMark/>
          </w:tcPr>
          <w:p w14:paraId="00000378" w14:textId="77777777" w:rsidR="00F554A7" w:rsidRDefault="007A75BF" w:rsidP="00F92A89">
            <w:pPr>
              <w:pStyle w:val="TableText"/>
              <w:jc w:val="right"/>
            </w:pPr>
            <w:r w:rsidRPr="001E7563">
              <w:t>$96.35</w:t>
            </w:r>
          </w:p>
        </w:tc>
        <w:tc>
          <w:tcPr>
            <w:tcW w:w="859" w:type="pct"/>
            <w:shd w:val="clear" w:color="auto" w:fill="auto"/>
            <w:noWrap/>
            <w:hideMark/>
          </w:tcPr>
          <w:p w14:paraId="00000379" w14:textId="77777777" w:rsidR="00F554A7" w:rsidRDefault="007A75BF" w:rsidP="00F92A89">
            <w:pPr>
              <w:pStyle w:val="TableText"/>
              <w:jc w:val="right"/>
            </w:pPr>
            <w:r w:rsidRPr="001E7563">
              <w:t>0.00007</w:t>
            </w:r>
          </w:p>
        </w:tc>
        <w:tc>
          <w:tcPr>
            <w:tcW w:w="859" w:type="pct"/>
            <w:noWrap/>
            <w:hideMark/>
          </w:tcPr>
          <w:p w14:paraId="0000037A" w14:textId="77777777" w:rsidR="00F554A7" w:rsidRPr="001E7563" w:rsidRDefault="00F554A7" w:rsidP="00F92A89">
            <w:pPr>
              <w:pStyle w:val="TableText"/>
              <w:jc w:val="right"/>
            </w:pPr>
          </w:p>
        </w:tc>
        <w:tc>
          <w:tcPr>
            <w:tcW w:w="859" w:type="pct"/>
            <w:noWrap/>
            <w:hideMark/>
          </w:tcPr>
          <w:p w14:paraId="0000037B" w14:textId="77777777" w:rsidR="00F554A7" w:rsidRPr="001E7563" w:rsidRDefault="00F554A7" w:rsidP="00F92A89">
            <w:pPr>
              <w:pStyle w:val="TableText"/>
              <w:jc w:val="right"/>
            </w:pPr>
          </w:p>
        </w:tc>
        <w:tc>
          <w:tcPr>
            <w:tcW w:w="859" w:type="pct"/>
            <w:noWrap/>
            <w:hideMark/>
          </w:tcPr>
          <w:p w14:paraId="0000037C" w14:textId="77777777" w:rsidR="00F554A7" w:rsidRPr="001E7563" w:rsidRDefault="00F554A7" w:rsidP="00F92A89">
            <w:pPr>
              <w:pStyle w:val="TableText"/>
              <w:jc w:val="right"/>
            </w:pPr>
          </w:p>
        </w:tc>
      </w:tr>
      <w:tr w:rsidR="00F554A7" w14:paraId="69297E19" w14:textId="77777777" w:rsidTr="00F92A89">
        <w:trPr>
          <w:trHeight w:val="330"/>
        </w:trPr>
        <w:tc>
          <w:tcPr>
            <w:tcW w:w="705" w:type="pct"/>
            <w:noWrap/>
            <w:hideMark/>
          </w:tcPr>
          <w:p w14:paraId="0000037D" w14:textId="77777777" w:rsidR="00F554A7" w:rsidRDefault="007A75BF" w:rsidP="00F92A89">
            <w:pPr>
              <w:pStyle w:val="TableText"/>
            </w:pPr>
            <w:r w:rsidRPr="001E7563">
              <w:t xml:space="preserve">SCD + </w:t>
            </w:r>
            <w:r>
              <w:t>β-thal</w:t>
            </w:r>
          </w:p>
        </w:tc>
        <w:tc>
          <w:tcPr>
            <w:tcW w:w="859" w:type="pct"/>
            <w:shd w:val="clear" w:color="auto" w:fill="auto"/>
            <w:noWrap/>
            <w:hideMark/>
          </w:tcPr>
          <w:p w14:paraId="0000037E" w14:textId="77777777" w:rsidR="00F554A7" w:rsidRDefault="007A75BF" w:rsidP="00F92A89">
            <w:pPr>
              <w:pStyle w:val="TableText"/>
              <w:jc w:val="right"/>
            </w:pPr>
            <w:r w:rsidRPr="001E7563">
              <w:t>$99.63</w:t>
            </w:r>
          </w:p>
        </w:tc>
        <w:tc>
          <w:tcPr>
            <w:tcW w:w="859" w:type="pct"/>
            <w:shd w:val="clear" w:color="auto" w:fill="auto"/>
            <w:noWrap/>
            <w:hideMark/>
          </w:tcPr>
          <w:p w14:paraId="0000037F" w14:textId="77777777" w:rsidR="00F554A7" w:rsidRDefault="007A75BF" w:rsidP="00F92A89">
            <w:pPr>
              <w:pStyle w:val="TableText"/>
              <w:jc w:val="right"/>
            </w:pPr>
            <w:r w:rsidRPr="001E7563">
              <w:t>0.00024</w:t>
            </w:r>
          </w:p>
        </w:tc>
        <w:tc>
          <w:tcPr>
            <w:tcW w:w="859" w:type="pct"/>
            <w:noWrap/>
            <w:hideMark/>
          </w:tcPr>
          <w:p w14:paraId="00000380" w14:textId="77777777" w:rsidR="00F554A7" w:rsidRDefault="007A75BF" w:rsidP="00F92A89">
            <w:pPr>
              <w:pStyle w:val="TableText"/>
              <w:jc w:val="right"/>
            </w:pPr>
            <w:r w:rsidRPr="001E7563">
              <w:t>$3.29</w:t>
            </w:r>
          </w:p>
        </w:tc>
        <w:tc>
          <w:tcPr>
            <w:tcW w:w="859" w:type="pct"/>
            <w:noWrap/>
            <w:hideMark/>
          </w:tcPr>
          <w:p w14:paraId="00000381" w14:textId="77777777" w:rsidR="00F554A7" w:rsidRDefault="007A75BF" w:rsidP="00F92A89">
            <w:pPr>
              <w:pStyle w:val="TableText"/>
              <w:jc w:val="right"/>
            </w:pPr>
            <w:r w:rsidRPr="001E7563">
              <w:t>0.00016</w:t>
            </w:r>
          </w:p>
        </w:tc>
        <w:tc>
          <w:tcPr>
            <w:tcW w:w="859" w:type="pct"/>
            <w:noWrap/>
            <w:hideMark/>
          </w:tcPr>
          <w:p w14:paraId="00000382" w14:textId="77777777" w:rsidR="00F554A7" w:rsidRDefault="007A75BF" w:rsidP="00F92A89">
            <w:pPr>
              <w:pStyle w:val="TableText"/>
              <w:jc w:val="right"/>
            </w:pPr>
            <w:r w:rsidRPr="001E7563">
              <w:t>$19,940</w:t>
            </w:r>
          </w:p>
        </w:tc>
      </w:tr>
      <w:tr w:rsidR="00F554A7" w14:paraId="77D770D3" w14:textId="77777777" w:rsidTr="00F92A89">
        <w:tc>
          <w:tcPr>
            <w:tcW w:w="5000" w:type="pct"/>
            <w:gridSpan w:val="6"/>
            <w:shd w:val="clear" w:color="auto" w:fill="auto"/>
            <w:noWrap/>
          </w:tcPr>
          <w:p w14:paraId="00000383" w14:textId="77777777" w:rsidR="00F554A7" w:rsidRPr="001E7563" w:rsidRDefault="007A75BF" w:rsidP="00F92A89">
            <w:pPr>
              <w:pStyle w:val="In-tableHeading"/>
            </w:pPr>
            <w:r w:rsidRPr="001E7563">
              <w:t xml:space="preserve">Secondary comparison: </w:t>
            </w:r>
            <w:r>
              <w:t>targeted testing available</w:t>
            </w:r>
            <w:r>
              <w:rPr>
                <w:vertAlign w:val="superscript"/>
              </w:rPr>
              <w:t xml:space="preserve"> a</w:t>
            </w:r>
          </w:p>
        </w:tc>
      </w:tr>
      <w:tr w:rsidR="00F554A7" w14:paraId="1F105680" w14:textId="77777777" w:rsidTr="00F92A89">
        <w:trPr>
          <w:trHeight w:val="315"/>
        </w:trPr>
        <w:tc>
          <w:tcPr>
            <w:tcW w:w="705" w:type="pct"/>
            <w:noWrap/>
            <w:hideMark/>
          </w:tcPr>
          <w:p w14:paraId="00000389" w14:textId="77777777" w:rsidR="00F554A7" w:rsidRDefault="007A75BF" w:rsidP="00F92A89">
            <w:pPr>
              <w:pStyle w:val="TableText"/>
            </w:pPr>
            <w:r w:rsidRPr="001E7563">
              <w:t>SCD only</w:t>
            </w:r>
          </w:p>
        </w:tc>
        <w:tc>
          <w:tcPr>
            <w:tcW w:w="859" w:type="pct"/>
            <w:shd w:val="clear" w:color="auto" w:fill="auto"/>
            <w:noWrap/>
            <w:hideMark/>
          </w:tcPr>
          <w:p w14:paraId="0000038A" w14:textId="77777777" w:rsidR="00F554A7" w:rsidRDefault="007A75BF" w:rsidP="00F92A89">
            <w:pPr>
              <w:pStyle w:val="TableText"/>
              <w:jc w:val="right"/>
            </w:pPr>
            <w:r w:rsidRPr="001E7563">
              <w:t>$81.81</w:t>
            </w:r>
          </w:p>
        </w:tc>
        <w:tc>
          <w:tcPr>
            <w:tcW w:w="859" w:type="pct"/>
            <w:shd w:val="clear" w:color="auto" w:fill="auto"/>
            <w:noWrap/>
            <w:hideMark/>
          </w:tcPr>
          <w:p w14:paraId="0000038B" w14:textId="77777777" w:rsidR="00F554A7" w:rsidRDefault="007A75BF" w:rsidP="00F92A89">
            <w:pPr>
              <w:pStyle w:val="TableText"/>
              <w:jc w:val="right"/>
            </w:pPr>
            <w:r w:rsidRPr="001E7563">
              <w:t>0.00001</w:t>
            </w:r>
          </w:p>
        </w:tc>
        <w:tc>
          <w:tcPr>
            <w:tcW w:w="859" w:type="pct"/>
            <w:noWrap/>
            <w:hideMark/>
          </w:tcPr>
          <w:p w14:paraId="0000038C" w14:textId="77777777" w:rsidR="00F554A7" w:rsidRPr="001E7563" w:rsidRDefault="00F554A7" w:rsidP="00F92A89">
            <w:pPr>
              <w:pStyle w:val="TableText"/>
              <w:jc w:val="right"/>
            </w:pPr>
          </w:p>
        </w:tc>
        <w:tc>
          <w:tcPr>
            <w:tcW w:w="859" w:type="pct"/>
            <w:noWrap/>
            <w:hideMark/>
          </w:tcPr>
          <w:p w14:paraId="0000038D" w14:textId="77777777" w:rsidR="00F554A7" w:rsidRPr="001E7563" w:rsidRDefault="00F554A7" w:rsidP="00F92A89">
            <w:pPr>
              <w:pStyle w:val="TableText"/>
              <w:jc w:val="right"/>
            </w:pPr>
          </w:p>
        </w:tc>
        <w:tc>
          <w:tcPr>
            <w:tcW w:w="859" w:type="pct"/>
            <w:noWrap/>
            <w:hideMark/>
          </w:tcPr>
          <w:p w14:paraId="0000038E" w14:textId="77777777" w:rsidR="00F554A7" w:rsidRPr="001E7563" w:rsidRDefault="00F554A7" w:rsidP="00F92A89">
            <w:pPr>
              <w:pStyle w:val="TableText"/>
              <w:jc w:val="right"/>
            </w:pPr>
          </w:p>
        </w:tc>
      </w:tr>
      <w:tr w:rsidR="00F554A7" w14:paraId="50D32C1D" w14:textId="77777777" w:rsidTr="00F92A89">
        <w:trPr>
          <w:trHeight w:val="330"/>
        </w:trPr>
        <w:tc>
          <w:tcPr>
            <w:tcW w:w="705" w:type="pct"/>
            <w:noWrap/>
            <w:hideMark/>
          </w:tcPr>
          <w:p w14:paraId="0000038F" w14:textId="77777777" w:rsidR="00F554A7" w:rsidRDefault="007A75BF" w:rsidP="00F92A89">
            <w:pPr>
              <w:pStyle w:val="TableText"/>
            </w:pPr>
            <w:r w:rsidRPr="001E7563">
              <w:t xml:space="preserve">SCD + </w:t>
            </w:r>
            <w:r>
              <w:t>β-thal</w:t>
            </w:r>
          </w:p>
        </w:tc>
        <w:tc>
          <w:tcPr>
            <w:tcW w:w="859" w:type="pct"/>
            <w:shd w:val="clear" w:color="auto" w:fill="auto"/>
            <w:noWrap/>
            <w:hideMark/>
          </w:tcPr>
          <w:p w14:paraId="00000390" w14:textId="77777777" w:rsidR="00F554A7" w:rsidRDefault="007A75BF" w:rsidP="00F92A89">
            <w:pPr>
              <w:pStyle w:val="TableText"/>
              <w:jc w:val="right"/>
            </w:pPr>
            <w:r w:rsidRPr="001E7563">
              <w:t>$82.04</w:t>
            </w:r>
          </w:p>
        </w:tc>
        <w:tc>
          <w:tcPr>
            <w:tcW w:w="859" w:type="pct"/>
            <w:shd w:val="clear" w:color="auto" w:fill="auto"/>
            <w:noWrap/>
            <w:hideMark/>
          </w:tcPr>
          <w:p w14:paraId="00000391" w14:textId="77777777" w:rsidR="00F554A7" w:rsidRDefault="007A75BF" w:rsidP="00F92A89">
            <w:pPr>
              <w:pStyle w:val="TableText"/>
              <w:jc w:val="right"/>
            </w:pPr>
            <w:r w:rsidRPr="001E7563">
              <w:t>0.00003</w:t>
            </w:r>
          </w:p>
        </w:tc>
        <w:tc>
          <w:tcPr>
            <w:tcW w:w="859" w:type="pct"/>
            <w:noWrap/>
            <w:hideMark/>
          </w:tcPr>
          <w:p w14:paraId="00000392" w14:textId="77777777" w:rsidR="00F554A7" w:rsidRDefault="007A75BF" w:rsidP="00F92A89">
            <w:pPr>
              <w:pStyle w:val="TableText"/>
              <w:jc w:val="right"/>
            </w:pPr>
            <w:r w:rsidRPr="001E7563">
              <w:t>$0.23</w:t>
            </w:r>
          </w:p>
        </w:tc>
        <w:tc>
          <w:tcPr>
            <w:tcW w:w="859" w:type="pct"/>
            <w:noWrap/>
            <w:hideMark/>
          </w:tcPr>
          <w:p w14:paraId="00000393" w14:textId="77777777" w:rsidR="00F554A7" w:rsidRDefault="007A75BF" w:rsidP="00F92A89">
            <w:pPr>
              <w:pStyle w:val="TableText"/>
              <w:jc w:val="right"/>
            </w:pPr>
            <w:r w:rsidRPr="001E7563">
              <w:t>0.00002</w:t>
            </w:r>
          </w:p>
        </w:tc>
        <w:tc>
          <w:tcPr>
            <w:tcW w:w="859" w:type="pct"/>
            <w:noWrap/>
            <w:hideMark/>
          </w:tcPr>
          <w:p w14:paraId="00000394" w14:textId="77777777" w:rsidR="00F554A7" w:rsidRDefault="007A75BF" w:rsidP="00F92A89">
            <w:pPr>
              <w:pStyle w:val="TableText"/>
              <w:jc w:val="right"/>
            </w:pPr>
            <w:r w:rsidRPr="001E7563">
              <w:t>$9,494</w:t>
            </w:r>
          </w:p>
        </w:tc>
      </w:tr>
    </w:tbl>
    <w:p w14:paraId="00000395" w14:textId="77777777" w:rsidR="00F554A7" w:rsidRPr="00F92A89" w:rsidRDefault="007A75BF" w:rsidP="00F92A89">
      <w:pPr>
        <w:pStyle w:val="TableFigureFooter"/>
        <w:rPr>
          <w:rFonts w:eastAsia="Arial Narrow"/>
        </w:rPr>
      </w:pPr>
      <w:r w:rsidRPr="00F92A89">
        <w:rPr>
          <w:rFonts w:eastAsia="Arial Narrow"/>
        </w:rPr>
        <w:t>β-thal = β-thalassemia, ICER = incremental cost-effectiveness ratio; NBS = newborn bloodspot screening; SCD = sickle cell disease</w:t>
      </w:r>
    </w:p>
    <w:p w14:paraId="00000396" w14:textId="77777777" w:rsidR="00F554A7" w:rsidRDefault="007A75BF">
      <w:pPr>
        <w:pStyle w:val="TableFigureFooter"/>
        <w:rPr>
          <w:rFonts w:eastAsia="Arial Narrow"/>
        </w:rPr>
      </w:pPr>
      <w:r w:rsidRPr="00F92A89">
        <w:rPr>
          <w:rFonts w:eastAsia="Arial Narrow"/>
          <w:vertAlign w:val="superscript"/>
        </w:rPr>
        <w:t xml:space="preserve">a </w:t>
      </w:r>
      <w:r w:rsidRPr="00F92A89">
        <w:rPr>
          <w:rFonts w:eastAsia="Arial Narrow"/>
        </w:rPr>
        <w:t>Secondary comparison includes parental, fetal and neonatal testing of haemoglobinopathies</w:t>
      </w:r>
    </w:p>
    <w:p w14:paraId="4FB74815" w14:textId="2BD3B6AF" w:rsidR="007F6060" w:rsidRPr="00F92A89" w:rsidRDefault="007F6060" w:rsidP="00F92A89">
      <w:pPr>
        <w:pStyle w:val="TableFigureFooter"/>
        <w:rPr>
          <w:rFonts w:eastAsia="Arial Narrow"/>
        </w:rPr>
      </w:pPr>
      <w:r>
        <w:rPr>
          <w:rFonts w:eastAsia="Arial Narrow"/>
        </w:rPr>
        <w:t>Source: DCAR Table 16.</w:t>
      </w:r>
    </w:p>
    <w:p w14:paraId="00000397" w14:textId="1C550A42" w:rsidR="00F554A7" w:rsidRDefault="007A75BF">
      <w:r>
        <w:t xml:space="preserve">Disaggregated costs are presented in </w:t>
      </w:r>
      <w:r w:rsidR="00AC3CA4">
        <w:fldChar w:fldCharType="begin"/>
      </w:r>
      <w:r w:rsidR="00AC3CA4">
        <w:instrText xml:space="preserve"> REF _Ref129792449 \h </w:instrText>
      </w:r>
      <w:r w:rsidR="00AC3CA4">
        <w:fldChar w:fldCharType="separate"/>
      </w:r>
      <w:r w:rsidR="006E058E" w:rsidRPr="00F92A89">
        <w:rPr>
          <w:rFonts w:eastAsia="Arial Narrow"/>
        </w:rPr>
        <w:t>Table </w:t>
      </w:r>
      <w:r w:rsidR="006E058E">
        <w:rPr>
          <w:noProof/>
        </w:rPr>
        <w:t>17</w:t>
      </w:r>
      <w:r w:rsidR="00AC3CA4">
        <w:fldChar w:fldCharType="end"/>
      </w:r>
      <w:r w:rsidR="00AC3CA4">
        <w:t>.</w:t>
      </w:r>
      <w:r>
        <w:t xml:space="preserve"> The incremental cost is driven by the cost of first-tier screening, and to a lesser extent, in the primary comparison to symptomatic identification alone, second-tier screening. The primary cost offsets were due to a reduction in symptomatic identification.</w:t>
      </w:r>
    </w:p>
    <w:p w14:paraId="00000398" w14:textId="77777777" w:rsidR="00F554A7" w:rsidRDefault="007A75BF">
      <w:r>
        <w:t>In the secondary comparison, incremental costs were again driven by the cost of first-tier screening, with some costs due to second-tier screening (though this was noted to be less than observed under the primary comparison). Cost offsets were driven by a reduction in the cost of targeted newborn testing based on ancestry alone (assumed to be replaced by universal NBS).</w:t>
      </w:r>
    </w:p>
    <w:p w14:paraId="00000399" w14:textId="7075A1DA" w:rsidR="00F554A7" w:rsidRPr="00F92A89" w:rsidRDefault="007A75BF" w:rsidP="00F92A89">
      <w:pPr>
        <w:pStyle w:val="Caption"/>
        <w:rPr>
          <w:rFonts w:eastAsia="Arial Narrow"/>
          <w:b w:val="0"/>
        </w:rPr>
      </w:pPr>
      <w:bookmarkStart w:id="98" w:name="_heading=h.46r0co2" w:colFirst="0" w:colLast="0"/>
      <w:bookmarkStart w:id="99" w:name="_Ref129792449"/>
      <w:bookmarkEnd w:id="98"/>
      <w:r w:rsidRPr="00F92A89">
        <w:rPr>
          <w:rFonts w:eastAsia="Arial Narrow"/>
        </w:rPr>
        <w:t>Table </w:t>
      </w:r>
      <w:r w:rsidR="00AC3CA4">
        <w:fldChar w:fldCharType="begin"/>
      </w:r>
      <w:r w:rsidR="00AC3CA4">
        <w:instrText>SEQ Table \* ARABIC</w:instrText>
      </w:r>
      <w:r w:rsidR="00AC3CA4">
        <w:fldChar w:fldCharType="separate"/>
      </w:r>
      <w:r w:rsidR="006E058E">
        <w:rPr>
          <w:noProof/>
        </w:rPr>
        <w:t>17</w:t>
      </w:r>
      <w:r w:rsidR="00AC3CA4">
        <w:fldChar w:fldCharType="end"/>
      </w:r>
      <w:bookmarkEnd w:id="99"/>
      <w:r w:rsidRPr="00F92A89">
        <w:rPr>
          <w:rFonts w:eastAsia="Arial Narrow"/>
        </w:rPr>
        <w:tab/>
        <w:t>Disaggregated modelled costs</w:t>
      </w:r>
    </w:p>
    <w:tbl>
      <w:tblPr>
        <w:tblStyle w:val="TableGrid1"/>
        <w:tblW w:w="5000" w:type="pct"/>
        <w:tblLayout w:type="fixed"/>
        <w:tblLook w:val="04A0" w:firstRow="1" w:lastRow="0" w:firstColumn="1" w:lastColumn="0" w:noHBand="0" w:noVBand="1"/>
      </w:tblPr>
      <w:tblGrid>
        <w:gridCol w:w="2292"/>
        <w:gridCol w:w="1120"/>
        <w:gridCol w:w="1120"/>
        <w:gridCol w:w="1122"/>
        <w:gridCol w:w="1120"/>
        <w:gridCol w:w="1120"/>
        <w:gridCol w:w="1122"/>
      </w:tblGrid>
      <w:tr w:rsidR="00F554A7" w14:paraId="5050368A" w14:textId="77777777" w:rsidTr="00F92A89">
        <w:trPr>
          <w:cnfStyle w:val="100000000000" w:firstRow="1" w:lastRow="0" w:firstColumn="0" w:lastColumn="0" w:oddVBand="0" w:evenVBand="0" w:oddHBand="0" w:evenHBand="0" w:firstRowFirstColumn="0" w:firstRowLastColumn="0" w:lastRowFirstColumn="0" w:lastRowLastColumn="0"/>
          <w:cantSplit/>
          <w:tblHeader/>
        </w:trPr>
        <w:tc>
          <w:tcPr>
            <w:tcW w:w="1271" w:type="pct"/>
            <w:vMerge w:val="restart"/>
            <w:vAlign w:val="bottom"/>
          </w:tcPr>
          <w:p w14:paraId="0000039A" w14:textId="77777777" w:rsidR="00F554A7" w:rsidRPr="001E7563" w:rsidRDefault="007A75BF" w:rsidP="00F92A89">
            <w:pPr>
              <w:pStyle w:val="TableHeading"/>
            </w:pPr>
            <w:r w:rsidRPr="00F92A89">
              <w:t>Type of resource item</w:t>
            </w:r>
          </w:p>
        </w:tc>
        <w:tc>
          <w:tcPr>
            <w:tcW w:w="1864" w:type="pct"/>
            <w:gridSpan w:val="3"/>
            <w:tcBorders>
              <w:right w:val="double" w:sz="4" w:space="0" w:color="auto"/>
            </w:tcBorders>
          </w:tcPr>
          <w:p w14:paraId="0000039B" w14:textId="77777777" w:rsidR="00F554A7" w:rsidRPr="001E7563" w:rsidRDefault="007A75BF" w:rsidP="00F92A89">
            <w:pPr>
              <w:pStyle w:val="TableHeading"/>
              <w:jc w:val="center"/>
            </w:pPr>
            <w:r w:rsidRPr="00F92A89">
              <w:t xml:space="preserve">Primary Comparison: </w:t>
            </w:r>
            <w:r w:rsidRPr="00F92A89">
              <w:br/>
              <w:t>Symptomatic identification only</w:t>
            </w:r>
          </w:p>
        </w:tc>
        <w:tc>
          <w:tcPr>
            <w:tcW w:w="1864" w:type="pct"/>
            <w:gridSpan w:val="3"/>
            <w:tcBorders>
              <w:left w:val="double" w:sz="4" w:space="0" w:color="auto"/>
              <w:right w:val="single" w:sz="4" w:space="0" w:color="auto"/>
            </w:tcBorders>
          </w:tcPr>
          <w:p w14:paraId="0000039E" w14:textId="77777777" w:rsidR="00F554A7" w:rsidRPr="001E7563" w:rsidRDefault="007A75BF" w:rsidP="00F92A89">
            <w:pPr>
              <w:pStyle w:val="TableHeading"/>
              <w:jc w:val="center"/>
            </w:pPr>
            <w:r w:rsidRPr="00F92A89">
              <w:t xml:space="preserve">Secondary Comparison: </w:t>
            </w:r>
            <w:r w:rsidRPr="00F92A89">
              <w:br/>
              <w:t>Targeted testing available</w:t>
            </w:r>
            <w:r>
              <w:rPr>
                <w:rFonts w:eastAsia="Arial Narrow" w:cs="Arial Narrow"/>
                <w:vertAlign w:val="superscript"/>
              </w:rPr>
              <w:t xml:space="preserve"> a</w:t>
            </w:r>
          </w:p>
        </w:tc>
      </w:tr>
      <w:tr w:rsidR="00F554A7" w14:paraId="30493C74" w14:textId="77777777" w:rsidTr="00F92A89">
        <w:trPr>
          <w:cnfStyle w:val="100000000000" w:firstRow="1" w:lastRow="0" w:firstColumn="0" w:lastColumn="0" w:oddVBand="0" w:evenVBand="0" w:oddHBand="0" w:evenHBand="0" w:firstRowFirstColumn="0" w:firstRowLastColumn="0" w:lastRowFirstColumn="0" w:lastRowLastColumn="0"/>
          <w:cantSplit/>
          <w:tblHeader/>
        </w:trPr>
        <w:tc>
          <w:tcPr>
            <w:tcW w:w="1271" w:type="pct"/>
            <w:vMerge/>
          </w:tcPr>
          <w:p w14:paraId="000003A1" w14:textId="77777777" w:rsidR="00F554A7" w:rsidRPr="001E7563" w:rsidRDefault="00F554A7" w:rsidP="00F92A89">
            <w:pPr>
              <w:pStyle w:val="TableHeading"/>
            </w:pPr>
          </w:p>
        </w:tc>
        <w:tc>
          <w:tcPr>
            <w:tcW w:w="621" w:type="pct"/>
          </w:tcPr>
          <w:p w14:paraId="000003A2" w14:textId="77777777" w:rsidR="00F554A7" w:rsidRPr="001E7563" w:rsidRDefault="007A75BF" w:rsidP="00F92A89">
            <w:pPr>
              <w:pStyle w:val="TableHeading"/>
              <w:jc w:val="center"/>
            </w:pPr>
            <w:r w:rsidRPr="00F92A89">
              <w:t>Universal NBS</w:t>
            </w:r>
          </w:p>
        </w:tc>
        <w:tc>
          <w:tcPr>
            <w:tcW w:w="621" w:type="pct"/>
          </w:tcPr>
          <w:p w14:paraId="000003A3" w14:textId="77777777" w:rsidR="00F554A7" w:rsidRPr="001E7563" w:rsidRDefault="007A75BF" w:rsidP="00F92A89">
            <w:pPr>
              <w:pStyle w:val="TableHeading"/>
              <w:jc w:val="center"/>
            </w:pPr>
            <w:r w:rsidRPr="00F92A89">
              <w:t>No Universal NBS</w:t>
            </w:r>
          </w:p>
        </w:tc>
        <w:tc>
          <w:tcPr>
            <w:tcW w:w="622" w:type="pct"/>
            <w:tcBorders>
              <w:right w:val="double" w:sz="4" w:space="0" w:color="auto"/>
            </w:tcBorders>
          </w:tcPr>
          <w:p w14:paraId="000003A4" w14:textId="77777777" w:rsidR="00F554A7" w:rsidRPr="001E7563" w:rsidRDefault="007A75BF" w:rsidP="00F92A89">
            <w:pPr>
              <w:pStyle w:val="TableHeading"/>
              <w:jc w:val="center"/>
            </w:pPr>
            <w:r w:rsidRPr="00F92A89">
              <w:t>Increment</w:t>
            </w:r>
          </w:p>
        </w:tc>
        <w:tc>
          <w:tcPr>
            <w:tcW w:w="621" w:type="pct"/>
            <w:tcBorders>
              <w:left w:val="double" w:sz="4" w:space="0" w:color="auto"/>
            </w:tcBorders>
          </w:tcPr>
          <w:p w14:paraId="000003A5" w14:textId="77777777" w:rsidR="00F554A7" w:rsidRPr="001E7563" w:rsidRDefault="007A75BF" w:rsidP="00F92A89">
            <w:pPr>
              <w:pStyle w:val="TableHeading"/>
              <w:jc w:val="center"/>
            </w:pPr>
            <w:r w:rsidRPr="00F92A89">
              <w:t>Universal NBS</w:t>
            </w:r>
          </w:p>
        </w:tc>
        <w:tc>
          <w:tcPr>
            <w:tcW w:w="621" w:type="pct"/>
          </w:tcPr>
          <w:p w14:paraId="000003A6" w14:textId="77777777" w:rsidR="00F554A7" w:rsidRPr="001E7563" w:rsidRDefault="007A75BF" w:rsidP="00F92A89">
            <w:pPr>
              <w:pStyle w:val="TableHeading"/>
              <w:jc w:val="center"/>
            </w:pPr>
            <w:r w:rsidRPr="00F92A89">
              <w:t>No Universal NBS</w:t>
            </w:r>
          </w:p>
        </w:tc>
        <w:tc>
          <w:tcPr>
            <w:tcW w:w="622" w:type="pct"/>
            <w:tcBorders>
              <w:right w:val="single" w:sz="4" w:space="0" w:color="auto"/>
            </w:tcBorders>
          </w:tcPr>
          <w:p w14:paraId="000003A7" w14:textId="77777777" w:rsidR="00F554A7" w:rsidRPr="001E7563" w:rsidRDefault="007A75BF" w:rsidP="00F92A89">
            <w:pPr>
              <w:pStyle w:val="TableHeading"/>
              <w:jc w:val="center"/>
            </w:pPr>
            <w:r w:rsidRPr="00F92A89">
              <w:t>Increment</w:t>
            </w:r>
          </w:p>
        </w:tc>
      </w:tr>
      <w:tr w:rsidR="00F554A7" w14:paraId="04A0EC56" w14:textId="77777777" w:rsidTr="00F92A89">
        <w:trPr>
          <w:cnfStyle w:val="100000000000" w:firstRow="1" w:lastRow="0" w:firstColumn="0" w:lastColumn="0" w:oddVBand="0" w:evenVBand="0" w:oddHBand="0" w:evenHBand="0" w:firstRowFirstColumn="0" w:firstRowLastColumn="0" w:lastRowFirstColumn="0" w:lastRowLastColumn="0"/>
          <w:cantSplit/>
          <w:tblHeader/>
        </w:trPr>
        <w:tc>
          <w:tcPr>
            <w:tcW w:w="1271" w:type="pct"/>
          </w:tcPr>
          <w:p w14:paraId="000003A8" w14:textId="77777777" w:rsidR="00F554A7" w:rsidRDefault="007A75BF" w:rsidP="00F92A89">
            <w:pPr>
              <w:pStyle w:val="TableText"/>
            </w:pPr>
            <w:r w:rsidRPr="00F92A89">
              <w:t xml:space="preserve">First-tier </w:t>
            </w:r>
            <w:r>
              <w:rPr>
                <w:rFonts w:eastAsia="Arial Narrow" w:cs="Arial Narrow"/>
              </w:rPr>
              <w:t>screening costs</w:t>
            </w:r>
          </w:p>
        </w:tc>
        <w:tc>
          <w:tcPr>
            <w:tcW w:w="621" w:type="pct"/>
          </w:tcPr>
          <w:p w14:paraId="000003A9" w14:textId="77777777" w:rsidR="00F554A7" w:rsidRDefault="007A75BF" w:rsidP="00F92A89">
            <w:pPr>
              <w:pStyle w:val="TableText"/>
              <w:jc w:val="right"/>
            </w:pPr>
            <w:r w:rsidRPr="00F92A89">
              <w:t>$9.93</w:t>
            </w:r>
          </w:p>
        </w:tc>
        <w:tc>
          <w:tcPr>
            <w:tcW w:w="621" w:type="pct"/>
          </w:tcPr>
          <w:p w14:paraId="000003AA" w14:textId="77777777" w:rsidR="00F554A7" w:rsidRDefault="007A75BF" w:rsidP="00F92A89">
            <w:pPr>
              <w:pStyle w:val="TableText"/>
              <w:jc w:val="right"/>
            </w:pPr>
            <w:r w:rsidRPr="00F92A89">
              <w:t>$0.00</w:t>
            </w:r>
          </w:p>
        </w:tc>
        <w:tc>
          <w:tcPr>
            <w:tcW w:w="622" w:type="pct"/>
            <w:tcBorders>
              <w:right w:val="double" w:sz="4" w:space="0" w:color="auto"/>
            </w:tcBorders>
          </w:tcPr>
          <w:p w14:paraId="000003AB" w14:textId="77777777" w:rsidR="00F554A7" w:rsidRDefault="007A75BF" w:rsidP="00F92A89">
            <w:pPr>
              <w:pStyle w:val="TableText"/>
              <w:jc w:val="right"/>
            </w:pPr>
            <w:r w:rsidRPr="00F92A89">
              <w:t>$9.93</w:t>
            </w:r>
          </w:p>
        </w:tc>
        <w:tc>
          <w:tcPr>
            <w:tcW w:w="621" w:type="pct"/>
            <w:tcBorders>
              <w:left w:val="double" w:sz="4" w:space="0" w:color="auto"/>
            </w:tcBorders>
          </w:tcPr>
          <w:p w14:paraId="000003AC" w14:textId="77777777" w:rsidR="00F554A7" w:rsidRDefault="007A75BF" w:rsidP="00F92A89">
            <w:pPr>
              <w:pStyle w:val="TableText"/>
              <w:jc w:val="right"/>
            </w:pPr>
            <w:r w:rsidRPr="00F92A89">
              <w:t>$9.93</w:t>
            </w:r>
          </w:p>
        </w:tc>
        <w:tc>
          <w:tcPr>
            <w:tcW w:w="621" w:type="pct"/>
          </w:tcPr>
          <w:p w14:paraId="000003AD" w14:textId="77777777" w:rsidR="00F554A7" w:rsidRDefault="007A75BF" w:rsidP="00F92A89">
            <w:pPr>
              <w:pStyle w:val="TableText"/>
              <w:jc w:val="right"/>
            </w:pPr>
            <w:r w:rsidRPr="00F92A89">
              <w:t>$0.00</w:t>
            </w:r>
          </w:p>
        </w:tc>
        <w:tc>
          <w:tcPr>
            <w:tcW w:w="622" w:type="pct"/>
            <w:tcBorders>
              <w:right w:val="single" w:sz="4" w:space="0" w:color="auto"/>
            </w:tcBorders>
          </w:tcPr>
          <w:p w14:paraId="000003AE" w14:textId="77777777" w:rsidR="00F554A7" w:rsidRDefault="007A75BF" w:rsidP="00F92A89">
            <w:pPr>
              <w:pStyle w:val="TableText"/>
              <w:jc w:val="right"/>
            </w:pPr>
            <w:r w:rsidRPr="00F92A89">
              <w:t>$9.93</w:t>
            </w:r>
          </w:p>
        </w:tc>
      </w:tr>
      <w:tr w:rsidR="00F554A7" w14:paraId="2C974994" w14:textId="77777777" w:rsidTr="00F92A89">
        <w:trPr>
          <w:cnfStyle w:val="100000000000" w:firstRow="1" w:lastRow="0" w:firstColumn="0" w:lastColumn="0" w:oddVBand="0" w:evenVBand="0" w:oddHBand="0" w:evenHBand="0" w:firstRowFirstColumn="0" w:firstRowLastColumn="0" w:lastRowFirstColumn="0" w:lastRowLastColumn="0"/>
          <w:cantSplit/>
          <w:tblHeader/>
        </w:trPr>
        <w:tc>
          <w:tcPr>
            <w:tcW w:w="1271" w:type="pct"/>
          </w:tcPr>
          <w:p w14:paraId="000003AF" w14:textId="77777777" w:rsidR="00F554A7" w:rsidRDefault="007A75BF" w:rsidP="00F92A89">
            <w:pPr>
              <w:pStyle w:val="TableText"/>
            </w:pPr>
            <w:r w:rsidRPr="00F92A89">
              <w:t xml:space="preserve">Second-tier </w:t>
            </w:r>
            <w:r>
              <w:rPr>
                <w:rFonts w:eastAsia="Arial Narrow" w:cs="Arial Narrow"/>
              </w:rPr>
              <w:t>screening costs</w:t>
            </w:r>
          </w:p>
        </w:tc>
        <w:tc>
          <w:tcPr>
            <w:tcW w:w="621" w:type="pct"/>
          </w:tcPr>
          <w:p w14:paraId="000003B0" w14:textId="77777777" w:rsidR="00F554A7" w:rsidRDefault="007A75BF" w:rsidP="00F92A89">
            <w:pPr>
              <w:pStyle w:val="TableText"/>
              <w:jc w:val="right"/>
            </w:pPr>
            <w:r w:rsidRPr="00F92A89">
              <w:t>$0.15</w:t>
            </w:r>
          </w:p>
        </w:tc>
        <w:tc>
          <w:tcPr>
            <w:tcW w:w="621" w:type="pct"/>
          </w:tcPr>
          <w:p w14:paraId="000003B1" w14:textId="77777777" w:rsidR="00F554A7" w:rsidRDefault="007A75BF" w:rsidP="00F92A89">
            <w:pPr>
              <w:pStyle w:val="TableText"/>
              <w:jc w:val="right"/>
            </w:pPr>
            <w:r w:rsidRPr="00F92A89">
              <w:t>$0.00</w:t>
            </w:r>
          </w:p>
        </w:tc>
        <w:tc>
          <w:tcPr>
            <w:tcW w:w="622" w:type="pct"/>
            <w:tcBorders>
              <w:right w:val="double" w:sz="4" w:space="0" w:color="auto"/>
            </w:tcBorders>
          </w:tcPr>
          <w:p w14:paraId="000003B2" w14:textId="77777777" w:rsidR="00F554A7" w:rsidRDefault="007A75BF" w:rsidP="00F92A89">
            <w:pPr>
              <w:pStyle w:val="TableText"/>
              <w:jc w:val="right"/>
            </w:pPr>
            <w:r w:rsidRPr="00F92A89">
              <w:t>$0.15</w:t>
            </w:r>
          </w:p>
        </w:tc>
        <w:tc>
          <w:tcPr>
            <w:tcW w:w="621" w:type="pct"/>
            <w:tcBorders>
              <w:left w:val="double" w:sz="4" w:space="0" w:color="auto"/>
            </w:tcBorders>
          </w:tcPr>
          <w:p w14:paraId="000003B3" w14:textId="77777777" w:rsidR="00F554A7" w:rsidRDefault="007A75BF" w:rsidP="00F92A89">
            <w:pPr>
              <w:pStyle w:val="TableText"/>
              <w:jc w:val="right"/>
            </w:pPr>
            <w:r w:rsidRPr="00F92A89">
              <w:t>$0.05</w:t>
            </w:r>
          </w:p>
        </w:tc>
        <w:tc>
          <w:tcPr>
            <w:tcW w:w="621" w:type="pct"/>
          </w:tcPr>
          <w:p w14:paraId="000003B4" w14:textId="77777777" w:rsidR="00F554A7" w:rsidRDefault="007A75BF" w:rsidP="00F92A89">
            <w:pPr>
              <w:pStyle w:val="TableText"/>
              <w:jc w:val="right"/>
            </w:pPr>
            <w:r w:rsidRPr="00F92A89">
              <w:t>$0.00</w:t>
            </w:r>
          </w:p>
        </w:tc>
        <w:tc>
          <w:tcPr>
            <w:tcW w:w="622" w:type="pct"/>
            <w:tcBorders>
              <w:right w:val="single" w:sz="4" w:space="0" w:color="auto"/>
            </w:tcBorders>
          </w:tcPr>
          <w:p w14:paraId="000003B5" w14:textId="77777777" w:rsidR="00F554A7" w:rsidRDefault="007A75BF" w:rsidP="00F92A89">
            <w:pPr>
              <w:pStyle w:val="TableText"/>
              <w:jc w:val="right"/>
            </w:pPr>
            <w:r w:rsidRPr="00F92A89">
              <w:t>$0.05</w:t>
            </w:r>
          </w:p>
        </w:tc>
      </w:tr>
      <w:tr w:rsidR="00F554A7" w14:paraId="3686C6C3" w14:textId="77777777" w:rsidTr="00F92A89">
        <w:trPr>
          <w:cnfStyle w:val="100000000000" w:firstRow="1" w:lastRow="0" w:firstColumn="0" w:lastColumn="0" w:oddVBand="0" w:evenVBand="0" w:oddHBand="0" w:evenHBand="0" w:firstRowFirstColumn="0" w:firstRowLastColumn="0" w:lastRowFirstColumn="0" w:lastRowLastColumn="0"/>
          <w:cantSplit/>
          <w:tblHeader/>
        </w:trPr>
        <w:tc>
          <w:tcPr>
            <w:tcW w:w="1271" w:type="pct"/>
          </w:tcPr>
          <w:p w14:paraId="000003B6" w14:textId="77777777" w:rsidR="00F554A7" w:rsidRPr="001E7563" w:rsidRDefault="007A75BF" w:rsidP="00F92A89">
            <w:pPr>
              <w:pStyle w:val="TableText"/>
            </w:pPr>
            <w:r w:rsidRPr="00F92A89">
              <w:t>Symptomatic testing</w:t>
            </w:r>
          </w:p>
        </w:tc>
        <w:tc>
          <w:tcPr>
            <w:tcW w:w="621" w:type="pct"/>
          </w:tcPr>
          <w:p w14:paraId="000003B7" w14:textId="77777777" w:rsidR="00F554A7" w:rsidRPr="001E7563" w:rsidRDefault="007A75BF" w:rsidP="00F92A89">
            <w:pPr>
              <w:pStyle w:val="TableText"/>
              <w:jc w:val="right"/>
            </w:pPr>
            <w:r w:rsidRPr="00F92A89">
              <w:t>$0.02</w:t>
            </w:r>
          </w:p>
        </w:tc>
        <w:tc>
          <w:tcPr>
            <w:tcW w:w="621" w:type="pct"/>
          </w:tcPr>
          <w:p w14:paraId="000003B8" w14:textId="77777777" w:rsidR="00F554A7" w:rsidRPr="001E7563" w:rsidRDefault="007A75BF" w:rsidP="00F92A89">
            <w:pPr>
              <w:pStyle w:val="TableText"/>
              <w:jc w:val="right"/>
            </w:pPr>
            <w:r w:rsidRPr="00F92A89">
              <w:t>$0.12</w:t>
            </w:r>
          </w:p>
        </w:tc>
        <w:tc>
          <w:tcPr>
            <w:tcW w:w="622" w:type="pct"/>
            <w:tcBorders>
              <w:right w:val="double" w:sz="4" w:space="0" w:color="auto"/>
            </w:tcBorders>
          </w:tcPr>
          <w:p w14:paraId="000003B9" w14:textId="7BB25242" w:rsidR="00F554A7" w:rsidRPr="001E7563" w:rsidRDefault="007A75BF" w:rsidP="00F92A89">
            <w:pPr>
              <w:pStyle w:val="TableText"/>
              <w:jc w:val="right"/>
            </w:pPr>
            <w:r w:rsidRPr="00F92A89">
              <w:t>−$0.09</w:t>
            </w:r>
          </w:p>
        </w:tc>
        <w:tc>
          <w:tcPr>
            <w:tcW w:w="621" w:type="pct"/>
            <w:tcBorders>
              <w:left w:val="double" w:sz="4" w:space="0" w:color="auto"/>
            </w:tcBorders>
          </w:tcPr>
          <w:p w14:paraId="000003BA" w14:textId="77777777" w:rsidR="00F554A7" w:rsidRPr="001E7563" w:rsidRDefault="007A75BF" w:rsidP="00F92A89">
            <w:pPr>
              <w:pStyle w:val="TableText"/>
              <w:jc w:val="right"/>
            </w:pPr>
            <w:r w:rsidRPr="00F92A89">
              <w:t>$0.00</w:t>
            </w:r>
          </w:p>
        </w:tc>
        <w:tc>
          <w:tcPr>
            <w:tcW w:w="621" w:type="pct"/>
          </w:tcPr>
          <w:p w14:paraId="000003BB" w14:textId="77777777" w:rsidR="00F554A7" w:rsidRPr="001E7563" w:rsidRDefault="007A75BF" w:rsidP="00F92A89">
            <w:pPr>
              <w:pStyle w:val="TableText"/>
              <w:jc w:val="right"/>
            </w:pPr>
            <w:r w:rsidRPr="00F92A89">
              <w:t>$0.00</w:t>
            </w:r>
          </w:p>
        </w:tc>
        <w:tc>
          <w:tcPr>
            <w:tcW w:w="622" w:type="pct"/>
            <w:tcBorders>
              <w:right w:val="single" w:sz="4" w:space="0" w:color="auto"/>
            </w:tcBorders>
          </w:tcPr>
          <w:p w14:paraId="000003BC" w14:textId="2311CAA1" w:rsidR="00F554A7" w:rsidRPr="001E7563" w:rsidRDefault="007A75BF" w:rsidP="00F92A89">
            <w:pPr>
              <w:pStyle w:val="TableText"/>
              <w:jc w:val="right"/>
            </w:pPr>
            <w:r w:rsidRPr="00F92A89">
              <w:t>−$0.00</w:t>
            </w:r>
          </w:p>
        </w:tc>
      </w:tr>
      <w:tr w:rsidR="00F554A7" w14:paraId="6B84095E" w14:textId="77777777" w:rsidTr="00F92A89">
        <w:trPr>
          <w:cnfStyle w:val="100000000000" w:firstRow="1" w:lastRow="0" w:firstColumn="0" w:lastColumn="0" w:oddVBand="0" w:evenVBand="0" w:oddHBand="0" w:evenHBand="0" w:firstRowFirstColumn="0" w:firstRowLastColumn="0" w:lastRowFirstColumn="0" w:lastRowLastColumn="0"/>
          <w:cantSplit/>
          <w:tblHeader/>
        </w:trPr>
        <w:tc>
          <w:tcPr>
            <w:tcW w:w="1271" w:type="pct"/>
          </w:tcPr>
          <w:p w14:paraId="000003BD" w14:textId="77777777" w:rsidR="00F554A7" w:rsidRDefault="007A75BF" w:rsidP="00F92A89">
            <w:pPr>
              <w:pStyle w:val="TableText"/>
            </w:pPr>
            <w:r w:rsidRPr="00F92A89">
              <w:t>Targeted fetal testing</w:t>
            </w:r>
          </w:p>
        </w:tc>
        <w:tc>
          <w:tcPr>
            <w:tcW w:w="621" w:type="pct"/>
          </w:tcPr>
          <w:p w14:paraId="000003BE" w14:textId="77777777" w:rsidR="00F554A7" w:rsidRDefault="007A75BF" w:rsidP="00F92A89">
            <w:pPr>
              <w:pStyle w:val="TableText"/>
              <w:jc w:val="right"/>
            </w:pPr>
            <w:r w:rsidRPr="00F92A89">
              <w:t>$0.00</w:t>
            </w:r>
          </w:p>
        </w:tc>
        <w:tc>
          <w:tcPr>
            <w:tcW w:w="621" w:type="pct"/>
          </w:tcPr>
          <w:p w14:paraId="000003BF" w14:textId="77777777" w:rsidR="00F554A7" w:rsidRDefault="007A75BF" w:rsidP="00F92A89">
            <w:pPr>
              <w:pStyle w:val="TableText"/>
              <w:jc w:val="right"/>
            </w:pPr>
            <w:r w:rsidRPr="00F92A89">
              <w:t>$0.00</w:t>
            </w:r>
          </w:p>
        </w:tc>
        <w:tc>
          <w:tcPr>
            <w:tcW w:w="622" w:type="pct"/>
            <w:tcBorders>
              <w:right w:val="double" w:sz="4" w:space="0" w:color="auto"/>
            </w:tcBorders>
          </w:tcPr>
          <w:p w14:paraId="000003C0" w14:textId="77777777" w:rsidR="00F554A7" w:rsidRDefault="007A75BF" w:rsidP="00F92A89">
            <w:pPr>
              <w:pStyle w:val="TableText"/>
              <w:jc w:val="right"/>
            </w:pPr>
            <w:r w:rsidRPr="00F92A89">
              <w:t>$0.00</w:t>
            </w:r>
          </w:p>
        </w:tc>
        <w:tc>
          <w:tcPr>
            <w:tcW w:w="621" w:type="pct"/>
            <w:tcBorders>
              <w:left w:val="double" w:sz="4" w:space="0" w:color="auto"/>
            </w:tcBorders>
          </w:tcPr>
          <w:p w14:paraId="000003C1" w14:textId="77777777" w:rsidR="00F554A7" w:rsidRDefault="007A75BF" w:rsidP="00F92A89">
            <w:pPr>
              <w:pStyle w:val="TableText"/>
              <w:jc w:val="right"/>
            </w:pPr>
            <w:r w:rsidRPr="00F92A89">
              <w:t>$0.10</w:t>
            </w:r>
          </w:p>
        </w:tc>
        <w:tc>
          <w:tcPr>
            <w:tcW w:w="621" w:type="pct"/>
          </w:tcPr>
          <w:p w14:paraId="000003C2" w14:textId="77777777" w:rsidR="00F554A7" w:rsidRDefault="007A75BF" w:rsidP="00F92A89">
            <w:pPr>
              <w:pStyle w:val="TableText"/>
              <w:jc w:val="right"/>
            </w:pPr>
            <w:r w:rsidRPr="00F92A89">
              <w:t>$0.10</w:t>
            </w:r>
          </w:p>
        </w:tc>
        <w:tc>
          <w:tcPr>
            <w:tcW w:w="622" w:type="pct"/>
            <w:tcBorders>
              <w:right w:val="single" w:sz="4" w:space="0" w:color="auto"/>
            </w:tcBorders>
          </w:tcPr>
          <w:p w14:paraId="000003C3" w14:textId="77777777" w:rsidR="00F554A7" w:rsidRDefault="007A75BF" w:rsidP="00F92A89">
            <w:pPr>
              <w:pStyle w:val="TableText"/>
              <w:jc w:val="right"/>
            </w:pPr>
            <w:r w:rsidRPr="00F92A89">
              <w:t>$0.00</w:t>
            </w:r>
          </w:p>
        </w:tc>
      </w:tr>
      <w:tr w:rsidR="00F554A7" w14:paraId="464D4643" w14:textId="77777777" w:rsidTr="00F92A89">
        <w:trPr>
          <w:cnfStyle w:val="100000000000" w:firstRow="1" w:lastRow="0" w:firstColumn="0" w:lastColumn="0" w:oddVBand="0" w:evenVBand="0" w:oddHBand="0" w:evenHBand="0" w:firstRowFirstColumn="0" w:firstRowLastColumn="0" w:lastRowFirstColumn="0" w:lastRowLastColumn="0"/>
          <w:cantSplit/>
          <w:tblHeader/>
        </w:trPr>
        <w:tc>
          <w:tcPr>
            <w:tcW w:w="1271" w:type="pct"/>
          </w:tcPr>
          <w:p w14:paraId="000003C4" w14:textId="77777777" w:rsidR="00F554A7" w:rsidRPr="001E7563" w:rsidRDefault="007A75BF" w:rsidP="00F92A89">
            <w:pPr>
              <w:pStyle w:val="TableText"/>
            </w:pPr>
            <w:r w:rsidRPr="00F92A89">
              <w:t>Targeted newborn testing</w:t>
            </w:r>
          </w:p>
        </w:tc>
        <w:tc>
          <w:tcPr>
            <w:tcW w:w="621" w:type="pct"/>
          </w:tcPr>
          <w:p w14:paraId="000003C5" w14:textId="77777777" w:rsidR="00F554A7" w:rsidRPr="001E7563" w:rsidRDefault="007A75BF" w:rsidP="00F92A89">
            <w:pPr>
              <w:pStyle w:val="TableText"/>
              <w:jc w:val="right"/>
            </w:pPr>
            <w:r w:rsidRPr="00F92A89">
              <w:t>$0.00</w:t>
            </w:r>
          </w:p>
        </w:tc>
        <w:tc>
          <w:tcPr>
            <w:tcW w:w="621" w:type="pct"/>
          </w:tcPr>
          <w:p w14:paraId="000003C6" w14:textId="77777777" w:rsidR="00F554A7" w:rsidRPr="001E7563" w:rsidRDefault="007A75BF" w:rsidP="00F92A89">
            <w:pPr>
              <w:pStyle w:val="TableText"/>
              <w:jc w:val="right"/>
            </w:pPr>
            <w:r w:rsidRPr="00F92A89">
              <w:t>$0.00</w:t>
            </w:r>
          </w:p>
        </w:tc>
        <w:tc>
          <w:tcPr>
            <w:tcW w:w="622" w:type="pct"/>
            <w:tcBorders>
              <w:right w:val="double" w:sz="4" w:space="0" w:color="auto"/>
            </w:tcBorders>
          </w:tcPr>
          <w:p w14:paraId="000003C7" w14:textId="77777777" w:rsidR="00F554A7" w:rsidRPr="001E7563" w:rsidRDefault="007A75BF" w:rsidP="00F92A89">
            <w:pPr>
              <w:pStyle w:val="TableText"/>
              <w:jc w:val="right"/>
            </w:pPr>
            <w:r w:rsidRPr="00F92A89">
              <w:t>$0.00</w:t>
            </w:r>
          </w:p>
        </w:tc>
        <w:tc>
          <w:tcPr>
            <w:tcW w:w="621" w:type="pct"/>
            <w:tcBorders>
              <w:left w:val="double" w:sz="4" w:space="0" w:color="auto"/>
            </w:tcBorders>
          </w:tcPr>
          <w:p w14:paraId="000003C8" w14:textId="77777777" w:rsidR="00F554A7" w:rsidRPr="001E7563" w:rsidRDefault="007A75BF" w:rsidP="00F92A89">
            <w:pPr>
              <w:pStyle w:val="TableText"/>
              <w:jc w:val="right"/>
            </w:pPr>
            <w:r w:rsidRPr="00F92A89">
              <w:t>$0.29</w:t>
            </w:r>
          </w:p>
        </w:tc>
        <w:tc>
          <w:tcPr>
            <w:tcW w:w="621" w:type="pct"/>
          </w:tcPr>
          <w:p w14:paraId="000003C9" w14:textId="77777777" w:rsidR="00F554A7" w:rsidRPr="001E7563" w:rsidRDefault="007A75BF" w:rsidP="00F92A89">
            <w:pPr>
              <w:pStyle w:val="TableText"/>
              <w:jc w:val="right"/>
            </w:pPr>
            <w:r w:rsidRPr="00F92A89">
              <w:t>$0.46</w:t>
            </w:r>
          </w:p>
        </w:tc>
        <w:tc>
          <w:tcPr>
            <w:tcW w:w="622" w:type="pct"/>
            <w:tcBorders>
              <w:right w:val="single" w:sz="4" w:space="0" w:color="auto"/>
            </w:tcBorders>
          </w:tcPr>
          <w:p w14:paraId="000003CA" w14:textId="77AAC9D5" w:rsidR="00F554A7" w:rsidRPr="001E7563" w:rsidRDefault="007A75BF" w:rsidP="00F92A89">
            <w:pPr>
              <w:pStyle w:val="TableText"/>
              <w:jc w:val="right"/>
            </w:pPr>
            <w:r w:rsidRPr="00F92A89">
              <w:t>−$0.17</w:t>
            </w:r>
          </w:p>
        </w:tc>
      </w:tr>
      <w:tr w:rsidR="00F554A7" w14:paraId="1D8D4957" w14:textId="77777777" w:rsidTr="00F92A89">
        <w:trPr>
          <w:cnfStyle w:val="100000000000" w:firstRow="1" w:lastRow="0" w:firstColumn="0" w:lastColumn="0" w:oddVBand="0" w:evenVBand="0" w:oddHBand="0" w:evenHBand="0" w:firstRowFirstColumn="0" w:firstRowLastColumn="0" w:lastRowFirstColumn="0" w:lastRowLastColumn="0"/>
          <w:cantSplit/>
          <w:tblHeader/>
        </w:trPr>
        <w:tc>
          <w:tcPr>
            <w:tcW w:w="1271" w:type="pct"/>
          </w:tcPr>
          <w:p w14:paraId="000003CB" w14:textId="77777777" w:rsidR="00F554A7" w:rsidRDefault="007A75BF" w:rsidP="00F92A89">
            <w:pPr>
              <w:pStyle w:val="TableText"/>
            </w:pPr>
            <w:r w:rsidRPr="00F92A89">
              <w:t>SCD antibiotic prophylaxis</w:t>
            </w:r>
          </w:p>
        </w:tc>
        <w:tc>
          <w:tcPr>
            <w:tcW w:w="621" w:type="pct"/>
          </w:tcPr>
          <w:p w14:paraId="000003CC" w14:textId="77777777" w:rsidR="00F554A7" w:rsidRDefault="007A75BF" w:rsidP="00F92A89">
            <w:pPr>
              <w:pStyle w:val="TableText"/>
              <w:jc w:val="right"/>
            </w:pPr>
            <w:r w:rsidRPr="00F92A89">
              <w:t>$0.05</w:t>
            </w:r>
          </w:p>
        </w:tc>
        <w:tc>
          <w:tcPr>
            <w:tcW w:w="621" w:type="pct"/>
          </w:tcPr>
          <w:p w14:paraId="000003CD" w14:textId="77777777" w:rsidR="00F554A7" w:rsidRDefault="007A75BF" w:rsidP="00F92A89">
            <w:pPr>
              <w:pStyle w:val="TableText"/>
              <w:jc w:val="right"/>
            </w:pPr>
            <w:r w:rsidRPr="00F92A89">
              <w:t>$0.02</w:t>
            </w:r>
          </w:p>
        </w:tc>
        <w:tc>
          <w:tcPr>
            <w:tcW w:w="622" w:type="pct"/>
            <w:tcBorders>
              <w:right w:val="double" w:sz="4" w:space="0" w:color="auto"/>
            </w:tcBorders>
          </w:tcPr>
          <w:p w14:paraId="000003CE" w14:textId="77777777" w:rsidR="00F554A7" w:rsidRDefault="007A75BF" w:rsidP="00F92A89">
            <w:pPr>
              <w:pStyle w:val="TableText"/>
              <w:jc w:val="right"/>
            </w:pPr>
            <w:r w:rsidRPr="00F92A89">
              <w:t>$0.03</w:t>
            </w:r>
          </w:p>
        </w:tc>
        <w:tc>
          <w:tcPr>
            <w:tcW w:w="621" w:type="pct"/>
            <w:tcBorders>
              <w:left w:val="double" w:sz="4" w:space="0" w:color="auto"/>
            </w:tcBorders>
          </w:tcPr>
          <w:p w14:paraId="000003CF" w14:textId="77777777" w:rsidR="00F554A7" w:rsidRDefault="007A75BF" w:rsidP="00F92A89">
            <w:pPr>
              <w:pStyle w:val="TableText"/>
              <w:jc w:val="right"/>
            </w:pPr>
            <w:r w:rsidRPr="00F92A89">
              <w:t>$0.05</w:t>
            </w:r>
          </w:p>
        </w:tc>
        <w:tc>
          <w:tcPr>
            <w:tcW w:w="621" w:type="pct"/>
          </w:tcPr>
          <w:p w14:paraId="000003D0" w14:textId="77777777" w:rsidR="00F554A7" w:rsidRDefault="007A75BF" w:rsidP="00F92A89">
            <w:pPr>
              <w:pStyle w:val="TableText"/>
              <w:jc w:val="right"/>
            </w:pPr>
            <w:r w:rsidRPr="00F92A89">
              <w:t>$0.05</w:t>
            </w:r>
          </w:p>
        </w:tc>
        <w:tc>
          <w:tcPr>
            <w:tcW w:w="622" w:type="pct"/>
            <w:tcBorders>
              <w:right w:val="single" w:sz="4" w:space="0" w:color="auto"/>
            </w:tcBorders>
          </w:tcPr>
          <w:p w14:paraId="000003D1" w14:textId="77777777" w:rsidR="00F554A7" w:rsidRDefault="007A75BF" w:rsidP="00F92A89">
            <w:pPr>
              <w:pStyle w:val="TableText"/>
              <w:jc w:val="right"/>
            </w:pPr>
            <w:r w:rsidRPr="00F92A89">
              <w:t>$0.00</w:t>
            </w:r>
          </w:p>
        </w:tc>
      </w:tr>
      <w:tr w:rsidR="00F554A7" w14:paraId="50434FA4" w14:textId="77777777" w:rsidTr="00F92A89">
        <w:trPr>
          <w:cnfStyle w:val="100000000000" w:firstRow="1" w:lastRow="0" w:firstColumn="0" w:lastColumn="0" w:oddVBand="0" w:evenVBand="0" w:oddHBand="0" w:evenHBand="0" w:firstRowFirstColumn="0" w:firstRowLastColumn="0" w:lastRowFirstColumn="0" w:lastRowLastColumn="0"/>
          <w:cantSplit/>
          <w:tblHeader/>
        </w:trPr>
        <w:tc>
          <w:tcPr>
            <w:tcW w:w="1271" w:type="pct"/>
          </w:tcPr>
          <w:p w14:paraId="000003D2" w14:textId="77777777" w:rsidR="00F554A7" w:rsidRDefault="007A75BF" w:rsidP="00F92A89">
            <w:pPr>
              <w:pStyle w:val="TableText"/>
            </w:pPr>
            <w:r w:rsidRPr="00F92A89">
              <w:t>SCD m</w:t>
            </w:r>
            <w:r>
              <w:rPr>
                <w:rFonts w:eastAsia="Arial Narrow" w:cs="Arial Narrow"/>
              </w:rPr>
              <w:t>onitoring</w:t>
            </w:r>
          </w:p>
        </w:tc>
        <w:tc>
          <w:tcPr>
            <w:tcW w:w="621" w:type="pct"/>
          </w:tcPr>
          <w:p w14:paraId="000003D3" w14:textId="77777777" w:rsidR="00F554A7" w:rsidRDefault="007A75BF" w:rsidP="00F92A89">
            <w:pPr>
              <w:pStyle w:val="TableText"/>
              <w:jc w:val="right"/>
            </w:pPr>
            <w:r w:rsidRPr="00F92A89">
              <w:t>$0.05</w:t>
            </w:r>
          </w:p>
        </w:tc>
        <w:tc>
          <w:tcPr>
            <w:tcW w:w="621" w:type="pct"/>
          </w:tcPr>
          <w:p w14:paraId="000003D4" w14:textId="77777777" w:rsidR="00F554A7" w:rsidRDefault="007A75BF" w:rsidP="00F92A89">
            <w:pPr>
              <w:pStyle w:val="TableText"/>
              <w:jc w:val="right"/>
            </w:pPr>
            <w:r w:rsidRPr="00F92A89">
              <w:t>$0.03</w:t>
            </w:r>
          </w:p>
        </w:tc>
        <w:tc>
          <w:tcPr>
            <w:tcW w:w="622" w:type="pct"/>
            <w:tcBorders>
              <w:right w:val="double" w:sz="4" w:space="0" w:color="auto"/>
            </w:tcBorders>
          </w:tcPr>
          <w:p w14:paraId="000003D5" w14:textId="77777777" w:rsidR="00F554A7" w:rsidRDefault="007A75BF" w:rsidP="00F92A89">
            <w:pPr>
              <w:pStyle w:val="TableText"/>
              <w:jc w:val="right"/>
            </w:pPr>
            <w:r w:rsidRPr="00F92A89">
              <w:t>$0.02</w:t>
            </w:r>
          </w:p>
        </w:tc>
        <w:tc>
          <w:tcPr>
            <w:tcW w:w="621" w:type="pct"/>
            <w:tcBorders>
              <w:left w:val="double" w:sz="4" w:space="0" w:color="auto"/>
            </w:tcBorders>
          </w:tcPr>
          <w:p w14:paraId="000003D6" w14:textId="77777777" w:rsidR="00F554A7" w:rsidRDefault="007A75BF" w:rsidP="00F92A89">
            <w:pPr>
              <w:pStyle w:val="TableText"/>
              <w:jc w:val="right"/>
            </w:pPr>
            <w:r w:rsidRPr="00F92A89">
              <w:t>$0.05</w:t>
            </w:r>
          </w:p>
        </w:tc>
        <w:tc>
          <w:tcPr>
            <w:tcW w:w="621" w:type="pct"/>
          </w:tcPr>
          <w:p w14:paraId="000003D7" w14:textId="77777777" w:rsidR="00F554A7" w:rsidRDefault="007A75BF" w:rsidP="00F92A89">
            <w:pPr>
              <w:pStyle w:val="TableText"/>
              <w:jc w:val="right"/>
            </w:pPr>
            <w:r w:rsidRPr="00F92A89">
              <w:t>$0.05</w:t>
            </w:r>
          </w:p>
        </w:tc>
        <w:tc>
          <w:tcPr>
            <w:tcW w:w="622" w:type="pct"/>
            <w:tcBorders>
              <w:right w:val="single" w:sz="4" w:space="0" w:color="auto"/>
            </w:tcBorders>
          </w:tcPr>
          <w:p w14:paraId="000003D8" w14:textId="77777777" w:rsidR="00F554A7" w:rsidRDefault="007A75BF" w:rsidP="00F92A89">
            <w:pPr>
              <w:pStyle w:val="TableText"/>
              <w:jc w:val="right"/>
            </w:pPr>
            <w:r w:rsidRPr="00F92A89">
              <w:t>$0.00</w:t>
            </w:r>
          </w:p>
        </w:tc>
      </w:tr>
      <w:tr w:rsidR="00F554A7" w14:paraId="415339E5" w14:textId="77777777" w:rsidTr="00F92A89">
        <w:trPr>
          <w:cnfStyle w:val="100000000000" w:firstRow="1" w:lastRow="0" w:firstColumn="0" w:lastColumn="0" w:oddVBand="0" w:evenVBand="0" w:oddHBand="0" w:evenHBand="0" w:firstRowFirstColumn="0" w:firstRowLastColumn="0" w:lastRowFirstColumn="0" w:lastRowLastColumn="0"/>
          <w:cantSplit/>
          <w:tblHeader/>
        </w:trPr>
        <w:tc>
          <w:tcPr>
            <w:tcW w:w="1271" w:type="pct"/>
          </w:tcPr>
          <w:p w14:paraId="000003D9" w14:textId="77777777" w:rsidR="00F554A7" w:rsidRDefault="007A75BF" w:rsidP="00F92A89">
            <w:pPr>
              <w:pStyle w:val="TableText"/>
            </w:pPr>
            <w:r w:rsidRPr="00F92A89">
              <w:t>Cascade testing</w:t>
            </w:r>
          </w:p>
        </w:tc>
        <w:tc>
          <w:tcPr>
            <w:tcW w:w="621" w:type="pct"/>
          </w:tcPr>
          <w:p w14:paraId="000003DA" w14:textId="77777777" w:rsidR="00F554A7" w:rsidRDefault="007A75BF" w:rsidP="00F92A89">
            <w:pPr>
              <w:pStyle w:val="TableText"/>
              <w:jc w:val="right"/>
            </w:pPr>
            <w:r w:rsidRPr="00F92A89">
              <w:t>$0.15</w:t>
            </w:r>
          </w:p>
        </w:tc>
        <w:tc>
          <w:tcPr>
            <w:tcW w:w="621" w:type="pct"/>
          </w:tcPr>
          <w:p w14:paraId="000003DB" w14:textId="77777777" w:rsidR="00F554A7" w:rsidRDefault="007A75BF" w:rsidP="00F92A89">
            <w:pPr>
              <w:pStyle w:val="TableText"/>
              <w:jc w:val="right"/>
            </w:pPr>
            <w:r w:rsidRPr="00F92A89">
              <w:t>$0.15</w:t>
            </w:r>
          </w:p>
        </w:tc>
        <w:tc>
          <w:tcPr>
            <w:tcW w:w="622" w:type="pct"/>
            <w:tcBorders>
              <w:right w:val="double" w:sz="4" w:space="0" w:color="auto"/>
            </w:tcBorders>
          </w:tcPr>
          <w:p w14:paraId="000003DC" w14:textId="77777777" w:rsidR="00F554A7" w:rsidRDefault="007A75BF" w:rsidP="00F92A89">
            <w:pPr>
              <w:pStyle w:val="TableText"/>
              <w:jc w:val="right"/>
            </w:pPr>
            <w:r w:rsidRPr="00F92A89">
              <w:t>$0.00</w:t>
            </w:r>
          </w:p>
        </w:tc>
        <w:tc>
          <w:tcPr>
            <w:tcW w:w="621" w:type="pct"/>
            <w:tcBorders>
              <w:left w:val="double" w:sz="4" w:space="0" w:color="auto"/>
            </w:tcBorders>
          </w:tcPr>
          <w:p w14:paraId="000003DD" w14:textId="77777777" w:rsidR="00F554A7" w:rsidRDefault="007A75BF" w:rsidP="00F92A89">
            <w:pPr>
              <w:pStyle w:val="TableText"/>
              <w:jc w:val="right"/>
            </w:pPr>
            <w:r w:rsidRPr="00F92A89">
              <w:t>$0.14</w:t>
            </w:r>
          </w:p>
        </w:tc>
        <w:tc>
          <w:tcPr>
            <w:tcW w:w="621" w:type="pct"/>
          </w:tcPr>
          <w:p w14:paraId="000003DE" w14:textId="77777777" w:rsidR="00F554A7" w:rsidRDefault="007A75BF" w:rsidP="00F92A89">
            <w:pPr>
              <w:pStyle w:val="TableText"/>
              <w:jc w:val="right"/>
            </w:pPr>
            <w:r w:rsidRPr="00F92A89">
              <w:t>$0.14</w:t>
            </w:r>
          </w:p>
        </w:tc>
        <w:tc>
          <w:tcPr>
            <w:tcW w:w="622" w:type="pct"/>
            <w:tcBorders>
              <w:right w:val="single" w:sz="4" w:space="0" w:color="auto"/>
            </w:tcBorders>
          </w:tcPr>
          <w:p w14:paraId="000003DF" w14:textId="77777777" w:rsidR="00F554A7" w:rsidRDefault="007A75BF" w:rsidP="00F92A89">
            <w:pPr>
              <w:pStyle w:val="TableText"/>
              <w:jc w:val="right"/>
            </w:pPr>
            <w:r w:rsidRPr="00F92A89">
              <w:t>$0.00</w:t>
            </w:r>
          </w:p>
        </w:tc>
      </w:tr>
      <w:tr w:rsidR="00F554A7" w14:paraId="30E0CE93" w14:textId="77777777" w:rsidTr="00F92A89">
        <w:trPr>
          <w:cnfStyle w:val="100000000000" w:firstRow="1" w:lastRow="0" w:firstColumn="0" w:lastColumn="0" w:oddVBand="0" w:evenVBand="0" w:oddHBand="0" w:evenHBand="0" w:firstRowFirstColumn="0" w:firstRowLastColumn="0" w:lastRowFirstColumn="0" w:lastRowLastColumn="0"/>
          <w:cantSplit/>
          <w:tblHeader/>
        </w:trPr>
        <w:tc>
          <w:tcPr>
            <w:tcW w:w="1271" w:type="pct"/>
          </w:tcPr>
          <w:p w14:paraId="000003E0" w14:textId="77777777" w:rsidR="00F554A7" w:rsidRDefault="007A75BF" w:rsidP="00F92A89">
            <w:pPr>
              <w:pStyle w:val="TableText"/>
              <w:rPr>
                <w:b/>
              </w:rPr>
            </w:pPr>
            <w:r w:rsidRPr="00F92A89">
              <w:rPr>
                <w:b/>
              </w:rPr>
              <w:t>Total</w:t>
            </w:r>
          </w:p>
        </w:tc>
        <w:tc>
          <w:tcPr>
            <w:tcW w:w="621" w:type="pct"/>
          </w:tcPr>
          <w:p w14:paraId="000003E1" w14:textId="77777777" w:rsidR="00F554A7" w:rsidRDefault="007A75BF" w:rsidP="00F92A89">
            <w:pPr>
              <w:pStyle w:val="TableText"/>
              <w:jc w:val="right"/>
              <w:rPr>
                <w:b/>
              </w:rPr>
            </w:pPr>
            <w:r w:rsidRPr="00F92A89">
              <w:rPr>
                <w:b/>
              </w:rPr>
              <w:t>$10.34</w:t>
            </w:r>
          </w:p>
        </w:tc>
        <w:tc>
          <w:tcPr>
            <w:tcW w:w="621" w:type="pct"/>
          </w:tcPr>
          <w:p w14:paraId="000003E2" w14:textId="77777777" w:rsidR="00F554A7" w:rsidRDefault="007A75BF" w:rsidP="00F92A89">
            <w:pPr>
              <w:pStyle w:val="TableText"/>
              <w:jc w:val="right"/>
              <w:rPr>
                <w:b/>
              </w:rPr>
            </w:pPr>
            <w:r w:rsidRPr="00F92A89">
              <w:rPr>
                <w:b/>
              </w:rPr>
              <w:t>$0.32</w:t>
            </w:r>
          </w:p>
        </w:tc>
        <w:tc>
          <w:tcPr>
            <w:tcW w:w="622" w:type="pct"/>
            <w:tcBorders>
              <w:right w:val="double" w:sz="4" w:space="0" w:color="auto"/>
            </w:tcBorders>
          </w:tcPr>
          <w:p w14:paraId="000003E3" w14:textId="77777777" w:rsidR="00F554A7" w:rsidRDefault="007A75BF" w:rsidP="00F92A89">
            <w:pPr>
              <w:pStyle w:val="TableText"/>
              <w:jc w:val="right"/>
              <w:rPr>
                <w:b/>
              </w:rPr>
            </w:pPr>
            <w:r w:rsidRPr="00F92A89">
              <w:rPr>
                <w:b/>
              </w:rPr>
              <w:t>$10.03</w:t>
            </w:r>
          </w:p>
        </w:tc>
        <w:tc>
          <w:tcPr>
            <w:tcW w:w="621" w:type="pct"/>
            <w:tcBorders>
              <w:left w:val="double" w:sz="4" w:space="0" w:color="auto"/>
            </w:tcBorders>
          </w:tcPr>
          <w:p w14:paraId="000003E4" w14:textId="77777777" w:rsidR="00F554A7" w:rsidRDefault="007A75BF" w:rsidP="00F92A89">
            <w:pPr>
              <w:pStyle w:val="TableText"/>
              <w:jc w:val="right"/>
              <w:rPr>
                <w:b/>
              </w:rPr>
            </w:pPr>
            <w:r w:rsidRPr="00F92A89">
              <w:rPr>
                <w:b/>
              </w:rPr>
              <w:t>$10.61</w:t>
            </w:r>
          </w:p>
        </w:tc>
        <w:tc>
          <w:tcPr>
            <w:tcW w:w="621" w:type="pct"/>
          </w:tcPr>
          <w:p w14:paraId="000003E5" w14:textId="77777777" w:rsidR="00F554A7" w:rsidRDefault="007A75BF" w:rsidP="00F92A89">
            <w:pPr>
              <w:pStyle w:val="TableText"/>
              <w:jc w:val="right"/>
              <w:rPr>
                <w:b/>
              </w:rPr>
            </w:pPr>
            <w:r w:rsidRPr="00F92A89">
              <w:rPr>
                <w:b/>
              </w:rPr>
              <w:t>$0.80</w:t>
            </w:r>
          </w:p>
        </w:tc>
        <w:tc>
          <w:tcPr>
            <w:tcW w:w="622" w:type="pct"/>
            <w:tcBorders>
              <w:right w:val="single" w:sz="4" w:space="0" w:color="auto"/>
            </w:tcBorders>
          </w:tcPr>
          <w:p w14:paraId="000003E6" w14:textId="77777777" w:rsidR="00F554A7" w:rsidRDefault="007A75BF" w:rsidP="00F92A89">
            <w:pPr>
              <w:pStyle w:val="TableText"/>
              <w:jc w:val="right"/>
              <w:rPr>
                <w:b/>
              </w:rPr>
            </w:pPr>
            <w:r w:rsidRPr="00F92A89">
              <w:rPr>
                <w:b/>
              </w:rPr>
              <w:t>$9.81</w:t>
            </w:r>
          </w:p>
        </w:tc>
      </w:tr>
    </w:tbl>
    <w:p w14:paraId="000003E7" w14:textId="77777777" w:rsidR="00F554A7" w:rsidRPr="00F92A89" w:rsidRDefault="007A75BF" w:rsidP="00F92A89">
      <w:pPr>
        <w:pStyle w:val="TableFigureFooter"/>
        <w:rPr>
          <w:rFonts w:eastAsia="Arial Narrow"/>
        </w:rPr>
      </w:pPr>
      <w:r w:rsidRPr="00F92A89">
        <w:rPr>
          <w:rFonts w:eastAsia="Arial Narrow"/>
        </w:rPr>
        <w:t>NBS = newborn bloodspot screening; SCD = sickle-cell disease.</w:t>
      </w:r>
    </w:p>
    <w:p w14:paraId="000003E8" w14:textId="77777777" w:rsidR="00F554A7" w:rsidRDefault="007A75BF">
      <w:pPr>
        <w:pStyle w:val="TableFigureFooter"/>
        <w:rPr>
          <w:rFonts w:eastAsia="Arial Narrow"/>
        </w:rPr>
      </w:pPr>
      <w:r w:rsidRPr="00F92A89">
        <w:rPr>
          <w:rFonts w:eastAsia="Arial Narrow"/>
          <w:vertAlign w:val="superscript"/>
        </w:rPr>
        <w:t xml:space="preserve">a </w:t>
      </w:r>
      <w:r w:rsidRPr="00F92A89">
        <w:rPr>
          <w:rFonts w:eastAsia="Arial Narrow"/>
        </w:rPr>
        <w:t>Secondary comparison includes parental, fetal and neonatal testing of haemoglobinopathies</w:t>
      </w:r>
    </w:p>
    <w:p w14:paraId="670D9A92" w14:textId="5B630AF5" w:rsidR="00353A29" w:rsidRPr="00F92A89" w:rsidRDefault="00353A29" w:rsidP="00F92A89">
      <w:pPr>
        <w:pStyle w:val="TableFigureFooter"/>
        <w:rPr>
          <w:rFonts w:eastAsia="Arial Narrow"/>
        </w:rPr>
      </w:pPr>
      <w:r>
        <w:rPr>
          <w:rFonts w:eastAsia="Arial Narrow"/>
        </w:rPr>
        <w:t>Source: DCAR Table 17.</w:t>
      </w:r>
    </w:p>
    <w:p w14:paraId="000003E9" w14:textId="32883EA9" w:rsidR="00F554A7" w:rsidRDefault="007A75BF">
      <w:bookmarkStart w:id="100" w:name="_heading=h.2lwamvv" w:colFirst="0" w:colLast="0"/>
      <w:bookmarkStart w:id="101" w:name="_Ref69726321"/>
      <w:bookmarkEnd w:id="100"/>
      <w:r>
        <w:lastRenderedPageBreak/>
        <w:t xml:space="preserve">Disaggregated outcomes are presented in </w:t>
      </w:r>
      <w:r w:rsidR="00AC3CA4">
        <w:fldChar w:fldCharType="begin"/>
      </w:r>
      <w:r w:rsidR="00AC3CA4">
        <w:instrText xml:space="preserve"> REF _Ref132812494 \h </w:instrText>
      </w:r>
      <w:r w:rsidR="00AC3CA4">
        <w:fldChar w:fldCharType="separate"/>
      </w:r>
      <w:r w:rsidR="006E058E" w:rsidRPr="00F92A89">
        <w:rPr>
          <w:rFonts w:eastAsia="Arial Narrow"/>
        </w:rPr>
        <w:t>Table </w:t>
      </w:r>
      <w:r w:rsidR="006E058E">
        <w:rPr>
          <w:noProof/>
        </w:rPr>
        <w:t>18</w:t>
      </w:r>
      <w:r w:rsidR="00AC3CA4">
        <w:fldChar w:fldCharType="end"/>
      </w:r>
      <w:r w:rsidR="00AC3CA4">
        <w:t>.</w:t>
      </w:r>
      <w:r>
        <w:t xml:space="preserve"> Fewer affected cases identified earlier were observed in the primary versus secondary comparison. This was because the test strategy chosen was assumed to be unable to identify all affected cases. Where targeted testing was allowed, these cases that were not able to be identified through universal NBS were also identified. Therefore, the analysis assumes no degradation in the use of targeted testing, particularly if a less sensitive test method is chosen for universal NBS.</w:t>
      </w:r>
    </w:p>
    <w:p w14:paraId="000003EA" w14:textId="0E60ED23" w:rsidR="00F554A7" w:rsidRPr="00F92A89" w:rsidRDefault="007A75BF" w:rsidP="00F92A89">
      <w:pPr>
        <w:pStyle w:val="Caption"/>
        <w:rPr>
          <w:rFonts w:eastAsia="Arial Narrow"/>
          <w:b w:val="0"/>
        </w:rPr>
      </w:pPr>
      <w:bookmarkStart w:id="102" w:name="_heading=h.111kx3o" w:colFirst="0" w:colLast="0"/>
      <w:bookmarkStart w:id="103" w:name="_Ref132812494"/>
      <w:bookmarkEnd w:id="102"/>
      <w:r w:rsidRPr="00F92A89">
        <w:rPr>
          <w:rFonts w:eastAsia="Arial Narrow"/>
        </w:rPr>
        <w:t>Table </w:t>
      </w:r>
      <w:r w:rsidR="00AC3CA4">
        <w:fldChar w:fldCharType="begin"/>
      </w:r>
      <w:r w:rsidR="00AC3CA4">
        <w:instrText>SEQ Table \* ARABIC</w:instrText>
      </w:r>
      <w:r w:rsidR="00AC3CA4">
        <w:fldChar w:fldCharType="separate"/>
      </w:r>
      <w:r w:rsidR="006E058E">
        <w:rPr>
          <w:noProof/>
        </w:rPr>
        <w:t>18</w:t>
      </w:r>
      <w:r w:rsidR="00AC3CA4">
        <w:fldChar w:fldCharType="end"/>
      </w:r>
      <w:bookmarkEnd w:id="103"/>
      <w:r w:rsidRPr="00F92A89">
        <w:rPr>
          <w:rFonts w:eastAsia="Arial Narrow"/>
        </w:rPr>
        <w:tab/>
        <w:t xml:space="preserve">Disaggregated health outcomes </w:t>
      </w:r>
    </w:p>
    <w:tbl>
      <w:tblPr>
        <w:tblStyle w:val="TableGrid1"/>
        <w:tblW w:w="5012" w:type="pct"/>
        <w:tblLayout w:type="fixed"/>
        <w:tblLook w:val="04A0" w:firstRow="1" w:lastRow="0" w:firstColumn="1" w:lastColumn="0" w:noHBand="0" w:noVBand="1"/>
      </w:tblPr>
      <w:tblGrid>
        <w:gridCol w:w="2119"/>
        <w:gridCol w:w="1150"/>
        <w:gridCol w:w="1262"/>
        <w:gridCol w:w="1043"/>
        <w:gridCol w:w="1153"/>
        <w:gridCol w:w="1348"/>
        <w:gridCol w:w="963"/>
      </w:tblGrid>
      <w:tr w:rsidR="00F554A7" w14:paraId="3B61A2B6" w14:textId="77777777" w:rsidTr="00F92A89">
        <w:trPr>
          <w:cnfStyle w:val="100000000000" w:firstRow="1" w:lastRow="0" w:firstColumn="0" w:lastColumn="0" w:oddVBand="0" w:evenVBand="0" w:oddHBand="0" w:evenHBand="0" w:firstRowFirstColumn="0" w:firstRowLastColumn="0" w:lastRowFirstColumn="0" w:lastRowLastColumn="0"/>
          <w:cantSplit/>
          <w:tblHeader/>
        </w:trPr>
        <w:tc>
          <w:tcPr>
            <w:tcW w:w="1172" w:type="pct"/>
            <w:vMerge w:val="restart"/>
          </w:tcPr>
          <w:p w14:paraId="000003EB" w14:textId="77777777" w:rsidR="00F554A7" w:rsidRPr="001E7563" w:rsidRDefault="00F554A7" w:rsidP="00F92A89">
            <w:pPr>
              <w:pStyle w:val="TableHeading"/>
            </w:pPr>
          </w:p>
        </w:tc>
        <w:tc>
          <w:tcPr>
            <w:tcW w:w="1911" w:type="pct"/>
            <w:gridSpan w:val="3"/>
            <w:tcBorders>
              <w:right w:val="double" w:sz="4" w:space="0" w:color="auto"/>
            </w:tcBorders>
          </w:tcPr>
          <w:p w14:paraId="000003EC" w14:textId="77777777" w:rsidR="00F554A7" w:rsidRPr="001E7563" w:rsidRDefault="007A75BF" w:rsidP="00F92A89">
            <w:pPr>
              <w:pStyle w:val="TableHeading"/>
              <w:jc w:val="center"/>
            </w:pPr>
            <w:r w:rsidRPr="00F92A89">
              <w:t xml:space="preserve">Primary Comparison: </w:t>
            </w:r>
            <w:r w:rsidRPr="00F92A89">
              <w:br/>
              <w:t>Symptomatic identification only</w:t>
            </w:r>
          </w:p>
        </w:tc>
        <w:tc>
          <w:tcPr>
            <w:tcW w:w="1917" w:type="pct"/>
            <w:gridSpan w:val="3"/>
            <w:tcBorders>
              <w:left w:val="double" w:sz="4" w:space="0" w:color="auto"/>
              <w:right w:val="single" w:sz="4" w:space="0" w:color="auto"/>
            </w:tcBorders>
          </w:tcPr>
          <w:p w14:paraId="000003EF" w14:textId="77777777" w:rsidR="00F554A7" w:rsidRPr="001E7563" w:rsidRDefault="007A75BF" w:rsidP="00F92A89">
            <w:pPr>
              <w:pStyle w:val="TableHeading"/>
              <w:jc w:val="center"/>
            </w:pPr>
            <w:r w:rsidRPr="00F92A89">
              <w:t xml:space="preserve">Secondary Comparison: </w:t>
            </w:r>
            <w:r w:rsidRPr="00F92A89">
              <w:br/>
              <w:t>Targeted testing available</w:t>
            </w:r>
          </w:p>
        </w:tc>
      </w:tr>
      <w:tr w:rsidR="00F554A7" w14:paraId="2BABFAA2" w14:textId="77777777" w:rsidTr="00F92A89">
        <w:trPr>
          <w:cnfStyle w:val="100000000000" w:firstRow="1" w:lastRow="0" w:firstColumn="0" w:lastColumn="0" w:oddVBand="0" w:evenVBand="0" w:oddHBand="0" w:evenHBand="0" w:firstRowFirstColumn="0" w:firstRowLastColumn="0" w:lastRowFirstColumn="0" w:lastRowLastColumn="0"/>
          <w:cantSplit/>
          <w:tblHeader/>
        </w:trPr>
        <w:tc>
          <w:tcPr>
            <w:tcW w:w="1172" w:type="pct"/>
            <w:vMerge/>
          </w:tcPr>
          <w:p w14:paraId="000003F2" w14:textId="77777777" w:rsidR="00F554A7" w:rsidRPr="001E7563" w:rsidRDefault="00F554A7" w:rsidP="00F92A89">
            <w:pPr>
              <w:pStyle w:val="TableHeading"/>
            </w:pPr>
          </w:p>
        </w:tc>
        <w:tc>
          <w:tcPr>
            <w:tcW w:w="636" w:type="pct"/>
          </w:tcPr>
          <w:p w14:paraId="000003F3" w14:textId="77777777" w:rsidR="00F554A7" w:rsidRPr="001E7563" w:rsidRDefault="007A75BF" w:rsidP="00F92A89">
            <w:pPr>
              <w:pStyle w:val="TableHeading"/>
              <w:jc w:val="center"/>
            </w:pPr>
            <w:r w:rsidRPr="00F92A89">
              <w:t>Universal NBS</w:t>
            </w:r>
          </w:p>
        </w:tc>
        <w:tc>
          <w:tcPr>
            <w:tcW w:w="698" w:type="pct"/>
          </w:tcPr>
          <w:p w14:paraId="000003F4" w14:textId="77777777" w:rsidR="00F554A7" w:rsidRPr="001E7563" w:rsidRDefault="007A75BF" w:rsidP="00F92A89">
            <w:pPr>
              <w:pStyle w:val="TableHeading"/>
              <w:jc w:val="center"/>
            </w:pPr>
            <w:r w:rsidRPr="00F92A89">
              <w:t>No Universal NBS</w:t>
            </w:r>
          </w:p>
        </w:tc>
        <w:tc>
          <w:tcPr>
            <w:tcW w:w="577" w:type="pct"/>
            <w:tcBorders>
              <w:right w:val="double" w:sz="4" w:space="0" w:color="auto"/>
            </w:tcBorders>
          </w:tcPr>
          <w:p w14:paraId="000003F5" w14:textId="77777777" w:rsidR="00F554A7" w:rsidRPr="001E7563" w:rsidRDefault="007A75BF" w:rsidP="00F92A89">
            <w:pPr>
              <w:pStyle w:val="TableHeading"/>
              <w:jc w:val="center"/>
            </w:pPr>
            <w:r w:rsidRPr="00F92A89">
              <w:t>Increment</w:t>
            </w:r>
          </w:p>
        </w:tc>
        <w:tc>
          <w:tcPr>
            <w:tcW w:w="638" w:type="pct"/>
            <w:tcBorders>
              <w:left w:val="double" w:sz="4" w:space="0" w:color="auto"/>
            </w:tcBorders>
          </w:tcPr>
          <w:p w14:paraId="000003F6" w14:textId="77777777" w:rsidR="00F554A7" w:rsidRPr="001E7563" w:rsidRDefault="007A75BF" w:rsidP="00F92A89">
            <w:pPr>
              <w:pStyle w:val="TableHeading"/>
              <w:jc w:val="center"/>
            </w:pPr>
            <w:r w:rsidRPr="00F92A89">
              <w:t>Universal NBS</w:t>
            </w:r>
          </w:p>
        </w:tc>
        <w:tc>
          <w:tcPr>
            <w:tcW w:w="746" w:type="pct"/>
          </w:tcPr>
          <w:p w14:paraId="000003F7" w14:textId="77777777" w:rsidR="00F554A7" w:rsidRPr="001E7563" w:rsidRDefault="007A75BF" w:rsidP="00F92A89">
            <w:pPr>
              <w:pStyle w:val="TableHeading"/>
              <w:jc w:val="center"/>
            </w:pPr>
            <w:r w:rsidRPr="00F92A89">
              <w:t>No Universal NBS</w:t>
            </w:r>
          </w:p>
        </w:tc>
        <w:tc>
          <w:tcPr>
            <w:tcW w:w="533" w:type="pct"/>
            <w:tcBorders>
              <w:right w:val="single" w:sz="4" w:space="0" w:color="auto"/>
            </w:tcBorders>
          </w:tcPr>
          <w:p w14:paraId="000003F8" w14:textId="77777777" w:rsidR="00F554A7" w:rsidRPr="001E7563" w:rsidRDefault="007A75BF" w:rsidP="00F92A89">
            <w:pPr>
              <w:pStyle w:val="TableHeading"/>
              <w:jc w:val="center"/>
            </w:pPr>
            <w:r w:rsidRPr="00F92A89">
              <w:t>Increment</w:t>
            </w:r>
          </w:p>
        </w:tc>
      </w:tr>
      <w:tr w:rsidR="00F554A7" w14:paraId="7FBADC82" w14:textId="77777777" w:rsidTr="00F92A89">
        <w:trPr>
          <w:cantSplit/>
        </w:trPr>
        <w:tc>
          <w:tcPr>
            <w:tcW w:w="1172" w:type="pct"/>
            <w:tcBorders>
              <w:bottom w:val="single" w:sz="4" w:space="0" w:color="auto"/>
            </w:tcBorders>
          </w:tcPr>
          <w:p w14:paraId="000003F9" w14:textId="77777777" w:rsidR="00F554A7" w:rsidRDefault="007A75BF" w:rsidP="00F92A89">
            <w:pPr>
              <w:pStyle w:val="TableText"/>
              <w:rPr>
                <w:b/>
              </w:rPr>
            </w:pPr>
            <w:r w:rsidRPr="001E7563">
              <w:rPr>
                <w:b/>
              </w:rPr>
              <w:t>Early diagnosis of affected cases</w:t>
            </w:r>
          </w:p>
        </w:tc>
        <w:tc>
          <w:tcPr>
            <w:tcW w:w="636" w:type="pct"/>
            <w:tcBorders>
              <w:bottom w:val="single" w:sz="4" w:space="0" w:color="auto"/>
            </w:tcBorders>
          </w:tcPr>
          <w:p w14:paraId="000003FA" w14:textId="77777777" w:rsidR="00F554A7" w:rsidRDefault="007A75BF" w:rsidP="00F92A89">
            <w:pPr>
              <w:pStyle w:val="TableText"/>
              <w:jc w:val="right"/>
              <w:rPr>
                <w:b/>
              </w:rPr>
            </w:pPr>
            <w:r w:rsidRPr="001E7563">
              <w:rPr>
                <w:b/>
              </w:rPr>
              <w:t>0.000</w:t>
            </w:r>
            <w:r>
              <w:rPr>
                <w:b/>
              </w:rPr>
              <w:t>197</w:t>
            </w:r>
          </w:p>
        </w:tc>
        <w:tc>
          <w:tcPr>
            <w:tcW w:w="698" w:type="pct"/>
            <w:tcBorders>
              <w:bottom w:val="single" w:sz="4" w:space="0" w:color="auto"/>
            </w:tcBorders>
          </w:tcPr>
          <w:p w14:paraId="000003FB" w14:textId="77777777" w:rsidR="00F554A7" w:rsidRDefault="007A75BF" w:rsidP="00F92A89">
            <w:pPr>
              <w:pStyle w:val="TableText"/>
              <w:jc w:val="right"/>
              <w:rPr>
                <w:b/>
              </w:rPr>
            </w:pPr>
            <w:r w:rsidRPr="001E7563">
              <w:rPr>
                <w:b/>
              </w:rPr>
              <w:t>0.00000</w:t>
            </w:r>
          </w:p>
        </w:tc>
        <w:tc>
          <w:tcPr>
            <w:tcW w:w="577" w:type="pct"/>
            <w:tcBorders>
              <w:bottom w:val="single" w:sz="4" w:space="0" w:color="auto"/>
              <w:right w:val="double" w:sz="4" w:space="0" w:color="auto"/>
            </w:tcBorders>
          </w:tcPr>
          <w:p w14:paraId="000003FC" w14:textId="77777777" w:rsidR="00F554A7" w:rsidRDefault="007A75BF" w:rsidP="00F92A89">
            <w:pPr>
              <w:pStyle w:val="TableText"/>
              <w:jc w:val="right"/>
              <w:rPr>
                <w:b/>
              </w:rPr>
            </w:pPr>
            <w:r w:rsidRPr="001E7563">
              <w:rPr>
                <w:b/>
              </w:rPr>
              <w:t>0.000</w:t>
            </w:r>
            <w:r>
              <w:rPr>
                <w:b/>
              </w:rPr>
              <w:t>197</w:t>
            </w:r>
          </w:p>
        </w:tc>
        <w:tc>
          <w:tcPr>
            <w:tcW w:w="638" w:type="pct"/>
            <w:tcBorders>
              <w:left w:val="double" w:sz="4" w:space="0" w:color="auto"/>
              <w:bottom w:val="single" w:sz="4" w:space="0" w:color="auto"/>
            </w:tcBorders>
          </w:tcPr>
          <w:p w14:paraId="000003FD" w14:textId="77777777" w:rsidR="00F554A7" w:rsidRDefault="007A75BF" w:rsidP="00F92A89">
            <w:pPr>
              <w:pStyle w:val="TableText"/>
              <w:jc w:val="right"/>
              <w:rPr>
                <w:b/>
              </w:rPr>
            </w:pPr>
            <w:r w:rsidRPr="001E7563">
              <w:rPr>
                <w:b/>
              </w:rPr>
              <w:t>0.00024</w:t>
            </w:r>
            <w:r>
              <w:rPr>
                <w:b/>
              </w:rPr>
              <w:t>2</w:t>
            </w:r>
          </w:p>
        </w:tc>
        <w:tc>
          <w:tcPr>
            <w:tcW w:w="746" w:type="pct"/>
            <w:tcBorders>
              <w:bottom w:val="single" w:sz="4" w:space="0" w:color="auto"/>
            </w:tcBorders>
          </w:tcPr>
          <w:p w14:paraId="000003FE" w14:textId="77777777" w:rsidR="00F554A7" w:rsidRDefault="007A75BF" w:rsidP="00F92A89">
            <w:pPr>
              <w:pStyle w:val="TableText"/>
              <w:jc w:val="right"/>
              <w:rPr>
                <w:b/>
              </w:rPr>
            </w:pPr>
            <w:r w:rsidRPr="001E7563">
              <w:rPr>
                <w:b/>
              </w:rPr>
              <w:t>0.00024</w:t>
            </w:r>
            <w:r>
              <w:rPr>
                <w:b/>
              </w:rPr>
              <w:t>0</w:t>
            </w:r>
          </w:p>
        </w:tc>
        <w:tc>
          <w:tcPr>
            <w:tcW w:w="533" w:type="pct"/>
            <w:tcBorders>
              <w:bottom w:val="single" w:sz="4" w:space="0" w:color="auto"/>
            </w:tcBorders>
          </w:tcPr>
          <w:p w14:paraId="000003FF" w14:textId="77777777" w:rsidR="00F554A7" w:rsidRDefault="007A75BF" w:rsidP="00F92A89">
            <w:pPr>
              <w:pStyle w:val="TableText"/>
              <w:jc w:val="right"/>
              <w:rPr>
                <w:b/>
              </w:rPr>
            </w:pPr>
            <w:r w:rsidRPr="001E7563">
              <w:rPr>
                <w:b/>
              </w:rPr>
              <w:t>0.00000</w:t>
            </w:r>
            <w:r>
              <w:rPr>
                <w:b/>
              </w:rPr>
              <w:t>2</w:t>
            </w:r>
          </w:p>
        </w:tc>
      </w:tr>
      <w:tr w:rsidR="00F554A7" w14:paraId="3EAA6841" w14:textId="77777777" w:rsidTr="00F92A89">
        <w:trPr>
          <w:cantSplit/>
        </w:trPr>
        <w:tc>
          <w:tcPr>
            <w:tcW w:w="1172" w:type="pct"/>
            <w:tcBorders>
              <w:bottom w:val="nil"/>
            </w:tcBorders>
          </w:tcPr>
          <w:p w14:paraId="00000400" w14:textId="77777777" w:rsidR="00F554A7" w:rsidRDefault="007A75BF" w:rsidP="00F92A89">
            <w:pPr>
              <w:pStyle w:val="TableText"/>
              <w:numPr>
                <w:ilvl w:val="0"/>
                <w:numId w:val="33"/>
              </w:numPr>
              <w:ind w:left="171" w:hanging="124"/>
            </w:pPr>
            <w:r w:rsidRPr="001E7563">
              <w:t>Identified through NBS</w:t>
            </w:r>
          </w:p>
        </w:tc>
        <w:tc>
          <w:tcPr>
            <w:tcW w:w="636" w:type="pct"/>
            <w:tcBorders>
              <w:bottom w:val="nil"/>
            </w:tcBorders>
          </w:tcPr>
          <w:p w14:paraId="00000401" w14:textId="77777777" w:rsidR="00F554A7" w:rsidRDefault="007A75BF" w:rsidP="00F92A89">
            <w:pPr>
              <w:pStyle w:val="TableText"/>
              <w:jc w:val="right"/>
            </w:pPr>
            <w:r w:rsidRPr="001E7563">
              <w:t>0.000197</w:t>
            </w:r>
          </w:p>
        </w:tc>
        <w:tc>
          <w:tcPr>
            <w:tcW w:w="698" w:type="pct"/>
            <w:tcBorders>
              <w:bottom w:val="nil"/>
            </w:tcBorders>
          </w:tcPr>
          <w:p w14:paraId="00000402" w14:textId="77777777" w:rsidR="00F554A7" w:rsidRDefault="007A75BF" w:rsidP="00F92A89">
            <w:pPr>
              <w:pStyle w:val="TableText"/>
              <w:jc w:val="right"/>
            </w:pPr>
            <w:r w:rsidRPr="001E7563">
              <w:t>0.000000</w:t>
            </w:r>
          </w:p>
        </w:tc>
        <w:tc>
          <w:tcPr>
            <w:tcW w:w="577" w:type="pct"/>
            <w:tcBorders>
              <w:bottom w:val="nil"/>
              <w:right w:val="double" w:sz="4" w:space="0" w:color="auto"/>
            </w:tcBorders>
          </w:tcPr>
          <w:p w14:paraId="00000403" w14:textId="77777777" w:rsidR="00F554A7" w:rsidRDefault="007A75BF" w:rsidP="00F92A89">
            <w:pPr>
              <w:pStyle w:val="TableText"/>
              <w:jc w:val="right"/>
            </w:pPr>
            <w:r w:rsidRPr="001E7563">
              <w:t>0.000197</w:t>
            </w:r>
          </w:p>
        </w:tc>
        <w:tc>
          <w:tcPr>
            <w:tcW w:w="638" w:type="pct"/>
            <w:tcBorders>
              <w:left w:val="double" w:sz="4" w:space="0" w:color="auto"/>
              <w:bottom w:val="nil"/>
            </w:tcBorders>
          </w:tcPr>
          <w:p w14:paraId="00000404" w14:textId="77777777" w:rsidR="00F554A7" w:rsidRDefault="007A75BF" w:rsidP="00F92A89">
            <w:pPr>
              <w:pStyle w:val="TableText"/>
              <w:jc w:val="right"/>
            </w:pPr>
            <w:r w:rsidRPr="001E7563">
              <w:t>0.000002</w:t>
            </w:r>
          </w:p>
        </w:tc>
        <w:tc>
          <w:tcPr>
            <w:tcW w:w="746" w:type="pct"/>
            <w:tcBorders>
              <w:bottom w:val="nil"/>
            </w:tcBorders>
          </w:tcPr>
          <w:p w14:paraId="00000405" w14:textId="77777777" w:rsidR="00F554A7" w:rsidRDefault="007A75BF" w:rsidP="00F92A89">
            <w:pPr>
              <w:pStyle w:val="TableText"/>
              <w:jc w:val="right"/>
            </w:pPr>
            <w:r w:rsidRPr="001E7563">
              <w:t>0.00000</w:t>
            </w:r>
            <w:r>
              <w:t>0</w:t>
            </w:r>
          </w:p>
        </w:tc>
        <w:tc>
          <w:tcPr>
            <w:tcW w:w="533" w:type="pct"/>
            <w:tcBorders>
              <w:bottom w:val="nil"/>
            </w:tcBorders>
          </w:tcPr>
          <w:p w14:paraId="00000406" w14:textId="77777777" w:rsidR="00F554A7" w:rsidRDefault="007A75BF" w:rsidP="00F92A89">
            <w:pPr>
              <w:pStyle w:val="TableText"/>
              <w:jc w:val="right"/>
            </w:pPr>
            <w:r w:rsidRPr="001E7563">
              <w:t>0.000002</w:t>
            </w:r>
          </w:p>
        </w:tc>
      </w:tr>
      <w:tr w:rsidR="00F554A7" w14:paraId="2A6E575D" w14:textId="77777777" w:rsidTr="00F92A89">
        <w:trPr>
          <w:cantSplit/>
        </w:trPr>
        <w:tc>
          <w:tcPr>
            <w:tcW w:w="1172" w:type="pct"/>
            <w:tcBorders>
              <w:top w:val="nil"/>
            </w:tcBorders>
          </w:tcPr>
          <w:p w14:paraId="00000407" w14:textId="77777777" w:rsidR="00F554A7" w:rsidRDefault="007A75BF" w:rsidP="00F92A89">
            <w:pPr>
              <w:pStyle w:val="TableText"/>
              <w:numPr>
                <w:ilvl w:val="0"/>
                <w:numId w:val="33"/>
              </w:numPr>
              <w:ind w:left="171" w:hanging="124"/>
            </w:pPr>
            <w:r w:rsidRPr="001E7563">
              <w:t>Identified through targeted testing</w:t>
            </w:r>
          </w:p>
        </w:tc>
        <w:tc>
          <w:tcPr>
            <w:tcW w:w="636" w:type="pct"/>
            <w:tcBorders>
              <w:top w:val="nil"/>
            </w:tcBorders>
            <w:vAlign w:val="bottom"/>
          </w:tcPr>
          <w:p w14:paraId="00000408" w14:textId="77777777" w:rsidR="00F554A7" w:rsidRDefault="007A75BF" w:rsidP="00F92A89">
            <w:pPr>
              <w:pStyle w:val="TableText"/>
              <w:jc w:val="right"/>
            </w:pPr>
            <w:r w:rsidRPr="001E7563">
              <w:t>0.000000</w:t>
            </w:r>
          </w:p>
        </w:tc>
        <w:tc>
          <w:tcPr>
            <w:tcW w:w="698" w:type="pct"/>
            <w:tcBorders>
              <w:top w:val="nil"/>
            </w:tcBorders>
            <w:vAlign w:val="bottom"/>
          </w:tcPr>
          <w:p w14:paraId="00000409" w14:textId="77777777" w:rsidR="00F554A7" w:rsidRDefault="007A75BF" w:rsidP="00F92A89">
            <w:pPr>
              <w:pStyle w:val="TableText"/>
              <w:jc w:val="right"/>
            </w:pPr>
            <w:r w:rsidRPr="001E7563">
              <w:t>0.000000</w:t>
            </w:r>
          </w:p>
        </w:tc>
        <w:tc>
          <w:tcPr>
            <w:tcW w:w="577" w:type="pct"/>
            <w:tcBorders>
              <w:top w:val="nil"/>
              <w:right w:val="double" w:sz="4" w:space="0" w:color="auto"/>
            </w:tcBorders>
            <w:vAlign w:val="bottom"/>
          </w:tcPr>
          <w:p w14:paraId="0000040A" w14:textId="77777777" w:rsidR="00F554A7" w:rsidRDefault="007A75BF" w:rsidP="00F92A89">
            <w:pPr>
              <w:pStyle w:val="TableText"/>
              <w:jc w:val="right"/>
            </w:pPr>
            <w:r w:rsidRPr="001E7563">
              <w:t>0.000000</w:t>
            </w:r>
          </w:p>
        </w:tc>
        <w:tc>
          <w:tcPr>
            <w:tcW w:w="638" w:type="pct"/>
            <w:tcBorders>
              <w:top w:val="nil"/>
              <w:left w:val="double" w:sz="4" w:space="0" w:color="auto"/>
            </w:tcBorders>
            <w:vAlign w:val="bottom"/>
          </w:tcPr>
          <w:p w14:paraId="0000040B" w14:textId="77777777" w:rsidR="00F554A7" w:rsidRDefault="007A75BF" w:rsidP="00F92A89">
            <w:pPr>
              <w:pStyle w:val="TableText"/>
              <w:jc w:val="right"/>
            </w:pPr>
            <w:r w:rsidRPr="001E7563">
              <w:t>0.000240</w:t>
            </w:r>
          </w:p>
        </w:tc>
        <w:tc>
          <w:tcPr>
            <w:tcW w:w="746" w:type="pct"/>
            <w:tcBorders>
              <w:top w:val="nil"/>
            </w:tcBorders>
            <w:vAlign w:val="bottom"/>
          </w:tcPr>
          <w:p w14:paraId="0000040C" w14:textId="77777777" w:rsidR="00F554A7" w:rsidRDefault="007A75BF" w:rsidP="00F92A89">
            <w:pPr>
              <w:pStyle w:val="TableText"/>
              <w:jc w:val="right"/>
            </w:pPr>
            <w:r w:rsidRPr="001E7563">
              <w:t>0.000240</w:t>
            </w:r>
          </w:p>
        </w:tc>
        <w:tc>
          <w:tcPr>
            <w:tcW w:w="533" w:type="pct"/>
            <w:tcBorders>
              <w:top w:val="nil"/>
            </w:tcBorders>
            <w:vAlign w:val="bottom"/>
          </w:tcPr>
          <w:p w14:paraId="0000040D" w14:textId="77777777" w:rsidR="00F554A7" w:rsidRDefault="007A75BF" w:rsidP="00F92A89">
            <w:pPr>
              <w:pStyle w:val="TableText"/>
              <w:jc w:val="right"/>
            </w:pPr>
            <w:r w:rsidRPr="001E7563">
              <w:t>0.000000</w:t>
            </w:r>
          </w:p>
        </w:tc>
      </w:tr>
    </w:tbl>
    <w:p w14:paraId="0000040E" w14:textId="77777777" w:rsidR="00F554A7" w:rsidRDefault="007A75BF">
      <w:pPr>
        <w:pStyle w:val="TableFigureFooter"/>
        <w:rPr>
          <w:rFonts w:eastAsia="Arial Narrow"/>
        </w:rPr>
      </w:pPr>
      <w:r w:rsidRPr="00F92A89">
        <w:rPr>
          <w:rFonts w:eastAsia="Arial Narrow"/>
        </w:rPr>
        <w:t>NBS = newborn bloodspot screening.</w:t>
      </w:r>
    </w:p>
    <w:p w14:paraId="10716FC8" w14:textId="54D482BC" w:rsidR="001B5FA6" w:rsidRPr="00F92A89" w:rsidRDefault="001B5FA6" w:rsidP="00F92A89">
      <w:pPr>
        <w:pStyle w:val="TableFigureFooter"/>
        <w:rPr>
          <w:rFonts w:eastAsia="Arial Narrow"/>
        </w:rPr>
      </w:pPr>
      <w:r>
        <w:rPr>
          <w:rFonts w:eastAsia="Arial Narrow"/>
        </w:rPr>
        <w:t xml:space="preserve">Source: </w:t>
      </w:r>
      <w:r w:rsidR="004C0D3E">
        <w:rPr>
          <w:rFonts w:eastAsia="Arial Narrow"/>
        </w:rPr>
        <w:t xml:space="preserve">DCAR </w:t>
      </w:r>
      <w:r>
        <w:rPr>
          <w:rFonts w:eastAsia="Arial Narrow"/>
        </w:rPr>
        <w:t xml:space="preserve">Table </w:t>
      </w:r>
      <w:r w:rsidR="00BB645A">
        <w:rPr>
          <w:rFonts w:eastAsia="Arial Narrow"/>
        </w:rPr>
        <w:t>18.</w:t>
      </w:r>
      <w:r>
        <w:rPr>
          <w:rFonts w:eastAsia="Arial Narrow"/>
        </w:rPr>
        <w:t xml:space="preserve"> </w:t>
      </w:r>
    </w:p>
    <w:p w14:paraId="0000040F" w14:textId="5230C46E" w:rsidR="00F554A7" w:rsidRDefault="007A75BF">
      <w:r>
        <w:t xml:space="preserve">The key drivers of the model are presented in </w:t>
      </w:r>
      <w:r w:rsidR="00AC3CA4">
        <w:fldChar w:fldCharType="begin"/>
      </w:r>
      <w:r w:rsidR="00AC3CA4">
        <w:instrText xml:space="preserve"> REF _Ref129793097 \h </w:instrText>
      </w:r>
      <w:r w:rsidR="00AC3CA4">
        <w:fldChar w:fldCharType="separate"/>
      </w:r>
      <w:r w:rsidR="006E058E" w:rsidRPr="00F92A89">
        <w:rPr>
          <w:rFonts w:eastAsia="Arial Narrow"/>
        </w:rPr>
        <w:t>Table </w:t>
      </w:r>
      <w:r w:rsidR="006E058E">
        <w:rPr>
          <w:noProof/>
        </w:rPr>
        <w:t>19</w:t>
      </w:r>
      <w:r w:rsidR="00AC3CA4">
        <w:fldChar w:fldCharType="end"/>
      </w:r>
      <w:r w:rsidR="00AC3CA4" w:rsidRPr="00570A8C">
        <w:t>.</w:t>
      </w:r>
    </w:p>
    <w:p w14:paraId="00000410" w14:textId="2DA19C9A" w:rsidR="00F554A7" w:rsidRPr="00F92A89" w:rsidRDefault="007A75BF" w:rsidP="00F92A89">
      <w:pPr>
        <w:pStyle w:val="Caption"/>
        <w:rPr>
          <w:rFonts w:eastAsia="Arial Narrow"/>
          <w:b w:val="0"/>
        </w:rPr>
      </w:pPr>
      <w:bookmarkStart w:id="104" w:name="_heading=h.3l18frh" w:colFirst="0" w:colLast="0"/>
      <w:bookmarkStart w:id="105" w:name="_Ref129793097"/>
      <w:bookmarkEnd w:id="104"/>
      <w:r w:rsidRPr="00F92A89">
        <w:rPr>
          <w:rFonts w:eastAsia="Arial Narrow"/>
        </w:rPr>
        <w:t>Table </w:t>
      </w:r>
      <w:r w:rsidR="00AC3CA4">
        <w:fldChar w:fldCharType="begin"/>
      </w:r>
      <w:r w:rsidR="00AC3CA4">
        <w:instrText>SEQ Table \* ARABIC</w:instrText>
      </w:r>
      <w:r w:rsidR="00AC3CA4">
        <w:fldChar w:fldCharType="separate"/>
      </w:r>
      <w:r w:rsidR="006E058E">
        <w:rPr>
          <w:noProof/>
        </w:rPr>
        <w:t>19</w:t>
      </w:r>
      <w:r w:rsidR="00AC3CA4">
        <w:fldChar w:fldCharType="end"/>
      </w:r>
      <w:bookmarkEnd w:id="101"/>
      <w:bookmarkEnd w:id="105"/>
      <w:r w:rsidRPr="00F92A89">
        <w:rPr>
          <w:rFonts w:eastAsia="Arial Narrow"/>
        </w:rPr>
        <w:tab/>
        <w:t>Key drivers of the model</w:t>
      </w:r>
    </w:p>
    <w:tbl>
      <w:tblPr>
        <w:tblStyle w:val="TableGrid1"/>
        <w:tblW w:w="5000" w:type="pct"/>
        <w:tblLayout w:type="fixed"/>
        <w:tblCellMar>
          <w:left w:w="28" w:type="dxa"/>
          <w:right w:w="28" w:type="dxa"/>
        </w:tblCellMar>
        <w:tblLook w:val="04A0" w:firstRow="1" w:lastRow="0" w:firstColumn="1" w:lastColumn="0" w:noHBand="0" w:noVBand="1"/>
      </w:tblPr>
      <w:tblGrid>
        <w:gridCol w:w="1271"/>
        <w:gridCol w:w="4961"/>
        <w:gridCol w:w="2784"/>
      </w:tblGrid>
      <w:tr w:rsidR="00F554A7" w14:paraId="661A44C7" w14:textId="77777777" w:rsidTr="00F92A89">
        <w:trPr>
          <w:cnfStyle w:val="100000000000" w:firstRow="1" w:lastRow="0" w:firstColumn="0" w:lastColumn="0" w:oddVBand="0" w:evenVBand="0" w:oddHBand="0" w:evenHBand="0" w:firstRowFirstColumn="0" w:firstRowLastColumn="0" w:lastRowFirstColumn="0" w:lastRowLastColumn="0"/>
          <w:tblHeader/>
        </w:trPr>
        <w:tc>
          <w:tcPr>
            <w:tcW w:w="705" w:type="pct"/>
            <w:shd w:val="clear" w:color="auto" w:fill="auto"/>
            <w:vAlign w:val="center"/>
          </w:tcPr>
          <w:p w14:paraId="00000411" w14:textId="77777777" w:rsidR="00F554A7" w:rsidRPr="001E7563" w:rsidRDefault="007A75BF" w:rsidP="00F92A89">
            <w:pPr>
              <w:pStyle w:val="In-tableHeading"/>
              <w:jc w:val="center"/>
            </w:pPr>
            <w:bookmarkStart w:id="106" w:name="bookmark=id.206ipza" w:colFirst="0" w:colLast="0"/>
            <w:bookmarkStart w:id="107" w:name="_heading=h.4k668n3" w:colFirst="0" w:colLast="0"/>
            <w:bookmarkStart w:id="108" w:name="Title_Table10" w:colFirst="0" w:colLast="0"/>
            <w:bookmarkStart w:id="109" w:name="_Hlk68276626"/>
            <w:bookmarkEnd w:id="106"/>
            <w:bookmarkEnd w:id="107"/>
            <w:r w:rsidRPr="00F92A89">
              <w:t>Description</w:t>
            </w:r>
          </w:p>
        </w:tc>
        <w:tc>
          <w:tcPr>
            <w:tcW w:w="2751" w:type="pct"/>
            <w:shd w:val="clear" w:color="auto" w:fill="auto"/>
            <w:vAlign w:val="center"/>
          </w:tcPr>
          <w:p w14:paraId="00000412" w14:textId="77777777" w:rsidR="00F554A7" w:rsidRPr="001E7563" w:rsidRDefault="007A75BF" w:rsidP="00F92A89">
            <w:pPr>
              <w:pStyle w:val="In-tableHeading"/>
              <w:jc w:val="center"/>
            </w:pPr>
            <w:r w:rsidRPr="00F92A89">
              <w:t>Method/Value</w:t>
            </w:r>
          </w:p>
        </w:tc>
        <w:tc>
          <w:tcPr>
            <w:tcW w:w="1544" w:type="pct"/>
            <w:shd w:val="clear" w:color="auto" w:fill="auto"/>
            <w:vAlign w:val="center"/>
          </w:tcPr>
          <w:p w14:paraId="00000413" w14:textId="77777777" w:rsidR="00F554A7" w:rsidRPr="001E7563" w:rsidRDefault="007A75BF" w:rsidP="00F92A89">
            <w:pPr>
              <w:pStyle w:val="In-tableHeading"/>
              <w:jc w:val="center"/>
            </w:pPr>
            <w:r w:rsidRPr="00F92A89">
              <w:t>Impact</w:t>
            </w:r>
          </w:p>
          <w:p w14:paraId="00000414" w14:textId="77777777" w:rsidR="00F554A7" w:rsidRPr="001E7563" w:rsidRDefault="007A75BF" w:rsidP="00F92A89">
            <w:pPr>
              <w:pStyle w:val="In-tableHeading"/>
              <w:spacing w:after="160"/>
              <w:jc w:val="center"/>
            </w:pPr>
            <w:r w:rsidRPr="00F92A89">
              <w:t>Base case: $</w:t>
            </w:r>
            <w:r>
              <w:rPr>
                <w:rFonts w:eastAsia="Arial Narrow" w:cs="Arial Narrow"/>
              </w:rPr>
              <w:t>50,867 per additional case of SCD or β-thalassemia identified earlier</w:t>
            </w:r>
          </w:p>
        </w:tc>
      </w:tr>
      <w:tr w:rsidR="00F554A7" w14:paraId="18CD76C3" w14:textId="77777777" w:rsidTr="00F92A89">
        <w:tc>
          <w:tcPr>
            <w:tcW w:w="705" w:type="pct"/>
            <w:shd w:val="clear" w:color="auto" w:fill="auto"/>
            <w:vAlign w:val="center"/>
          </w:tcPr>
          <w:p w14:paraId="00000415" w14:textId="77777777" w:rsidR="00F554A7" w:rsidRPr="00F92A89" w:rsidRDefault="007A75BF" w:rsidP="00F92A89">
            <w:pPr>
              <w:pStyle w:val="TableText"/>
              <w:jc w:val="center"/>
              <w:rPr>
                <w:lang w:val="en-US"/>
              </w:rPr>
            </w:pPr>
            <w:r w:rsidRPr="00F92A89">
              <w:rPr>
                <w:lang w:val="en-US"/>
              </w:rPr>
              <w:t>Extent of targeted testing</w:t>
            </w:r>
          </w:p>
        </w:tc>
        <w:tc>
          <w:tcPr>
            <w:tcW w:w="2751" w:type="pct"/>
            <w:shd w:val="clear" w:color="auto" w:fill="auto"/>
            <w:vAlign w:val="center"/>
          </w:tcPr>
          <w:p w14:paraId="00000416" w14:textId="77777777" w:rsidR="00F554A7" w:rsidRPr="00F92A89" w:rsidRDefault="007A75BF" w:rsidP="00F92A89">
            <w:pPr>
              <w:pStyle w:val="TableText"/>
              <w:rPr>
                <w:lang w:val="en-US"/>
              </w:rPr>
            </w:pPr>
            <w:r w:rsidRPr="00F92A89">
              <w:rPr>
                <w:lang w:val="en-US"/>
              </w:rPr>
              <w:t xml:space="preserve">As data were not available to estimate the incidence of cases of haemoglobinopathy missed through current targeted testing (i.e. predominantly fetal or neonatal testing where parental risk is known), the approach to quantify the extent of benefit from universal NBS was to estimate the overall incidence of haemoglobinopathies and then apply best estimates of targeted testing uptake. However, the primary comparison scenario assumes no targeted testing (i.e. no fetal testing or neonatal testing either where parental risk is known, or through targeted screening of newborns based on ancestry alone). Expert opinion </w:t>
            </w:r>
            <w:r w:rsidRPr="00F92A89">
              <w:rPr>
                <w:vertAlign w:val="superscript"/>
                <w:lang w:val="en-US"/>
              </w:rPr>
              <w:t>a</w:t>
            </w:r>
            <w:r w:rsidRPr="00F92A89">
              <w:rPr>
                <w:lang w:val="en-US"/>
              </w:rPr>
              <w:t xml:space="preserve"> suggests that the majority of cases are identified through current targeted testing. </w:t>
            </w:r>
          </w:p>
        </w:tc>
        <w:tc>
          <w:tcPr>
            <w:tcW w:w="1544" w:type="pct"/>
            <w:shd w:val="clear" w:color="auto" w:fill="auto"/>
            <w:vAlign w:val="center"/>
          </w:tcPr>
          <w:p w14:paraId="00000417" w14:textId="77777777" w:rsidR="00F554A7" w:rsidRDefault="007A75BF" w:rsidP="00F92A89">
            <w:pPr>
              <w:pStyle w:val="TableText"/>
            </w:pPr>
            <w:r w:rsidRPr="00F92A89">
              <w:rPr>
                <w:lang w:val="en-US"/>
              </w:rPr>
              <w:t>High, favours universal NBS.</w:t>
            </w:r>
          </w:p>
          <w:p w14:paraId="00000418" w14:textId="77777777" w:rsidR="00F554A7" w:rsidRPr="00F92A89" w:rsidRDefault="007A75BF" w:rsidP="00F92A89">
            <w:pPr>
              <w:pStyle w:val="TableText"/>
              <w:spacing w:after="160"/>
              <w:rPr>
                <w:i/>
                <w:lang w:val="en-US"/>
              </w:rPr>
            </w:pPr>
            <w:r w:rsidRPr="00F92A89">
              <w:rPr>
                <w:lang w:val="en-US"/>
              </w:rPr>
              <w:t>Inclusion of targeted testing in the comparator increased the ICER to $4,977,386.</w:t>
            </w:r>
          </w:p>
        </w:tc>
      </w:tr>
      <w:bookmarkEnd w:id="108"/>
      <w:tr w:rsidR="00F554A7" w14:paraId="7D57497F" w14:textId="77777777" w:rsidTr="00F92A89">
        <w:tc>
          <w:tcPr>
            <w:tcW w:w="705" w:type="pct"/>
            <w:shd w:val="clear" w:color="auto" w:fill="auto"/>
            <w:vAlign w:val="center"/>
          </w:tcPr>
          <w:p w14:paraId="00000419" w14:textId="77777777" w:rsidR="00F554A7" w:rsidRPr="00F92A89" w:rsidRDefault="007A75BF" w:rsidP="00F92A89">
            <w:pPr>
              <w:pStyle w:val="TableText"/>
              <w:jc w:val="center"/>
              <w:rPr>
                <w:lang w:val="en-US"/>
              </w:rPr>
            </w:pPr>
            <w:r w:rsidRPr="00F92A89">
              <w:rPr>
                <w:lang w:val="en-US"/>
              </w:rPr>
              <w:t>Incidence</w:t>
            </w:r>
          </w:p>
        </w:tc>
        <w:tc>
          <w:tcPr>
            <w:tcW w:w="2751" w:type="pct"/>
            <w:shd w:val="clear" w:color="auto" w:fill="auto"/>
            <w:vAlign w:val="center"/>
          </w:tcPr>
          <w:p w14:paraId="0000041A" w14:textId="326874D7" w:rsidR="00F554A7" w:rsidRPr="00F92A89" w:rsidRDefault="007A75BF" w:rsidP="00F92A89">
            <w:pPr>
              <w:pStyle w:val="TableText"/>
              <w:rPr>
                <w:lang w:val="en-US"/>
              </w:rPr>
            </w:pPr>
            <w:r w:rsidRPr="00F92A89">
              <w:rPr>
                <w:lang w:val="en-US"/>
              </w:rPr>
              <w:t>The incidence of hemoglobinopathies modelled was 24 per 100,000, comprised of 7 per 100,000 SCD and 17 per 100,000 β-thalassemia. This was based on consultation on the Nomination Form (from PathWest on SCD incidence) and expert opinion</w:t>
            </w:r>
            <w:r w:rsidRPr="00F92A89">
              <w:rPr>
                <w:vertAlign w:val="superscript"/>
                <w:lang w:val="en-US"/>
              </w:rPr>
              <w:t>a</w:t>
            </w:r>
            <w:r w:rsidRPr="00F92A89">
              <w:rPr>
                <w:lang w:val="en-US"/>
              </w:rPr>
              <w:t xml:space="preserve"> provided during the preparation of the DCAR. The only published data on the incidence in Australia identified (Modell 2008) was </w:t>
            </w:r>
            <w:r w:rsidRPr="00F92A89">
              <w:t xml:space="preserve">based on data collected 1953−84 </w:t>
            </w:r>
            <w:r w:rsidR="00AC3CA4">
              <w:fldChar w:fldCharType="begin">
                <w:fldData xml:space="preserve">PEVuZE5vdGU+PENpdGU+PEF1dGhvcj5DcmlnaHRvbjwvQXV0aG9yPjxZZWFyPjIwMTY8L1llYXI+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=
</w:fldData>
              </w:fldChar>
            </w:r>
            <w:r w:rsidR="00AC3CA4">
              <w:instrText xml:space="preserve"> ADDIN EN.CITE </w:instrText>
            </w:r>
            <w:r w:rsidR="00AC3CA4">
              <w:fldChar w:fldCharType="begin">
                <w:fldData xml:space="preserve">PEVuZE5vdGU+PENpdGU+PEF1dGhvcj5DcmlnaHRvbjwvQXV0aG9yPjxZZWFyPjIwMTY8L1llYXI+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=
</w:fldData>
              </w:fldChar>
            </w:r>
            <w:r w:rsidR="00AC3CA4">
              <w:instrText xml:space="preserve"> ADDIN EN.CITE.DATA </w:instrText>
            </w:r>
            <w:r w:rsidR="00AC3CA4">
              <w:fldChar w:fldCharType="end"/>
            </w:r>
            <w:r w:rsidR="00AC3CA4">
              <w:fldChar w:fldCharType="separate"/>
            </w:r>
            <w:r w:rsidR="00AC3CA4">
              <w:rPr>
                <w:noProof/>
              </w:rPr>
              <w:t>(Crighton et al. 2016; Modell &amp; Darlison 2008)</w:t>
            </w:r>
            <w:r w:rsidR="00AC3CA4">
              <w:fldChar w:fldCharType="end"/>
            </w:r>
            <w:r w:rsidRPr="00F92A89">
              <w:t xml:space="preserve"> and so may have limited applicability to the current setting. Lower and upper estimates of incidence are explored using the Modell (2008) data – either directly, or by applying the distribution of haemoglobinopathy type to contemporary estimates from PathWest.</w:t>
            </w:r>
          </w:p>
        </w:tc>
        <w:tc>
          <w:tcPr>
            <w:tcW w:w="1544" w:type="pct"/>
            <w:shd w:val="clear" w:color="auto" w:fill="auto"/>
            <w:vAlign w:val="center"/>
          </w:tcPr>
          <w:p w14:paraId="0000041B" w14:textId="77777777" w:rsidR="00F554A7" w:rsidRPr="00F92A89" w:rsidRDefault="007A75BF" w:rsidP="00F92A89">
            <w:pPr>
              <w:pStyle w:val="TableText"/>
              <w:rPr>
                <w:lang w:val="en-US"/>
              </w:rPr>
            </w:pPr>
            <w:r w:rsidRPr="00F92A89">
              <w:rPr>
                <w:lang w:val="en-US"/>
              </w:rPr>
              <w:t>High, direction unknown.</w:t>
            </w:r>
          </w:p>
          <w:p w14:paraId="0000041C" w14:textId="77777777" w:rsidR="00F554A7" w:rsidRPr="00F92A89" w:rsidRDefault="007A75BF" w:rsidP="00F92A89">
            <w:pPr>
              <w:pStyle w:val="TableText"/>
              <w:spacing w:after="160"/>
              <w:rPr>
                <w:lang w:val="en-US"/>
              </w:rPr>
            </w:pPr>
            <w:r w:rsidRPr="00F92A89">
              <w:rPr>
                <w:lang w:val="en-US"/>
              </w:rPr>
              <w:t xml:space="preserve">When the Modell (2008) data were used directly (total incidence 7 per 100,000), the ICER was observed to increase to </w:t>
            </w:r>
            <w:r w:rsidRPr="00F92A89">
              <w:rPr>
                <w:color w:val="000000"/>
              </w:rPr>
              <w:t xml:space="preserve">$192,631; however when the distribution </w:t>
            </w:r>
            <w:r w:rsidRPr="001E7563">
              <w:t>of haemoglobinopathy type to contemporary estimates from PathWest (total incidence 78 per 100,000), the ICER reduced to $16,701.</w:t>
            </w:r>
          </w:p>
        </w:tc>
      </w:tr>
      <w:tr w:rsidR="00F554A7" w14:paraId="18AB89E5" w14:textId="77777777" w:rsidTr="00F92A89">
        <w:tc>
          <w:tcPr>
            <w:tcW w:w="705" w:type="pct"/>
            <w:shd w:val="clear" w:color="auto" w:fill="auto"/>
            <w:vAlign w:val="center"/>
          </w:tcPr>
          <w:p w14:paraId="0000041D" w14:textId="77777777" w:rsidR="00F554A7" w:rsidRPr="00F92A89" w:rsidRDefault="007A75BF" w:rsidP="00F92A89">
            <w:pPr>
              <w:pStyle w:val="TableText"/>
              <w:jc w:val="center"/>
              <w:rPr>
                <w:lang w:val="en-US"/>
              </w:rPr>
            </w:pPr>
            <w:r w:rsidRPr="00F92A89">
              <w:rPr>
                <w:lang w:val="en-US"/>
              </w:rPr>
              <w:lastRenderedPageBreak/>
              <w:t>Cost of first-tier screening</w:t>
            </w:r>
          </w:p>
        </w:tc>
        <w:tc>
          <w:tcPr>
            <w:tcW w:w="2751" w:type="pct"/>
            <w:shd w:val="clear" w:color="auto" w:fill="auto"/>
            <w:vAlign w:val="center"/>
          </w:tcPr>
          <w:p w14:paraId="0000041E" w14:textId="6580B9E7" w:rsidR="00F554A7" w:rsidRPr="00F92A89" w:rsidRDefault="007A75BF" w:rsidP="00F92A89">
            <w:pPr>
              <w:pStyle w:val="TableText"/>
              <w:rPr>
                <w:lang w:val="en-US"/>
              </w:rPr>
            </w:pPr>
            <w:r w:rsidRPr="00F92A89">
              <w:rPr>
                <w:lang w:val="en-US"/>
              </w:rPr>
              <w:t xml:space="preserve">The base case assumes first-tier screening using MALDI-TOF. This was based on consultation on the Nomination Form received from the NSW NBS laboratory and that testing </w:t>
            </w:r>
            <w:r>
              <w:t>may be able to detect SCD and some β-thalassemia, whereas other less expensive options (e.g. quantitative PCR) may currently be only able to detect SCD</w:t>
            </w:r>
            <w:r w:rsidRPr="00F92A89">
              <w:rPr>
                <w:lang w:val="en-US"/>
              </w:rPr>
              <w:t xml:space="preserve">. The cost of MALDI-TOF was assumed to be $10, based on </w:t>
            </w:r>
            <w:r>
              <w:t xml:space="preserve">the cost of testing by mass spectrometry as indicated by providers of NBS in WA. </w:t>
            </w:r>
            <w:r w:rsidR="00783108" w:rsidRPr="00783108">
              <w:rPr>
                <w:lang w:val="en-US"/>
              </w:rPr>
              <w:t>I</w:t>
            </w:r>
            <w:r w:rsidRPr="00F92A89">
              <w:rPr>
                <w:lang w:val="en-US"/>
              </w:rPr>
              <w:t xml:space="preserve">n </w:t>
            </w:r>
          </w:p>
        </w:tc>
        <w:tc>
          <w:tcPr>
            <w:tcW w:w="1544" w:type="pct"/>
            <w:shd w:val="clear" w:color="auto" w:fill="auto"/>
            <w:vAlign w:val="center"/>
          </w:tcPr>
          <w:p w14:paraId="0000041F" w14:textId="77777777" w:rsidR="00F554A7" w:rsidRPr="00F92A89" w:rsidRDefault="007A75BF" w:rsidP="00F92A89">
            <w:pPr>
              <w:pStyle w:val="TableText"/>
              <w:rPr>
                <w:lang w:val="en-US"/>
              </w:rPr>
            </w:pPr>
            <w:r w:rsidRPr="00F92A89">
              <w:rPr>
                <w:lang w:val="en-US"/>
              </w:rPr>
              <w:t>High, favours universal NBS.</w:t>
            </w:r>
          </w:p>
          <w:p w14:paraId="00000420" w14:textId="77777777" w:rsidR="00F554A7" w:rsidRPr="00F92A89" w:rsidRDefault="007A75BF" w:rsidP="00F92A89">
            <w:pPr>
              <w:pStyle w:val="TableText"/>
              <w:rPr>
                <w:lang w:val="en-US"/>
              </w:rPr>
            </w:pPr>
            <w:r w:rsidRPr="00F92A89">
              <w:rPr>
                <w:lang w:val="en-US"/>
              </w:rPr>
              <w:t>When higher first-tier test costs are assumed, the ICER increased to:</w:t>
            </w:r>
          </w:p>
          <w:p w14:paraId="00000421" w14:textId="77777777" w:rsidR="00F554A7" w:rsidRPr="00F92A89" w:rsidRDefault="007A75BF" w:rsidP="00F92A89">
            <w:pPr>
              <w:pStyle w:val="TableText"/>
              <w:numPr>
                <w:ilvl w:val="0"/>
                <w:numId w:val="33"/>
              </w:numPr>
              <w:ind w:left="261" w:hanging="142"/>
              <w:rPr>
                <w:lang w:val="en-US"/>
              </w:rPr>
            </w:pPr>
            <w:r w:rsidRPr="00F92A89">
              <w:rPr>
                <w:lang w:val="en-US"/>
              </w:rPr>
              <w:t>$101,238 with a test cost of $20;</w:t>
            </w:r>
          </w:p>
          <w:p w14:paraId="00000422" w14:textId="77777777" w:rsidR="00F554A7" w:rsidRPr="00F92A89" w:rsidRDefault="007A75BF" w:rsidP="00F92A89">
            <w:pPr>
              <w:pStyle w:val="TableText"/>
              <w:numPr>
                <w:ilvl w:val="0"/>
                <w:numId w:val="33"/>
              </w:numPr>
              <w:ind w:left="261" w:hanging="142"/>
              <w:rPr>
                <w:lang w:val="en-US"/>
              </w:rPr>
            </w:pPr>
            <w:r w:rsidRPr="00F92A89">
              <w:rPr>
                <w:lang w:val="en-US"/>
              </w:rPr>
              <w:t xml:space="preserve">$252,351 with a cost of $50; and </w:t>
            </w:r>
          </w:p>
          <w:p w14:paraId="00000423" w14:textId="77777777" w:rsidR="00F554A7" w:rsidRPr="00F92A89" w:rsidRDefault="007A75BF" w:rsidP="00F92A89">
            <w:pPr>
              <w:pStyle w:val="TableText"/>
              <w:numPr>
                <w:ilvl w:val="0"/>
                <w:numId w:val="33"/>
              </w:numPr>
              <w:ind w:left="261" w:hanging="142"/>
              <w:rPr>
                <w:lang w:val="en-US"/>
              </w:rPr>
            </w:pPr>
            <w:r w:rsidRPr="00F92A89">
              <w:rPr>
                <w:lang w:val="en-US"/>
              </w:rPr>
              <w:t>$487,081 with a cost of $96.60.</w:t>
            </w:r>
          </w:p>
        </w:tc>
      </w:tr>
    </w:tbl>
    <w:p w14:paraId="00000424" w14:textId="77777777" w:rsidR="00F554A7" w:rsidRPr="00F92A89" w:rsidRDefault="007A75BF" w:rsidP="00F92A89">
      <w:pPr>
        <w:pStyle w:val="TableFigureFooter"/>
        <w:rPr>
          <w:rFonts w:eastAsia="Arial Narrow"/>
        </w:rPr>
      </w:pPr>
      <w:bookmarkStart w:id="110" w:name="_heading=h.2zbgiuw" w:colFirst="0" w:colLast="0"/>
      <w:bookmarkStart w:id="111" w:name="_Hlk68276635"/>
      <w:bookmarkEnd w:id="109"/>
      <w:bookmarkEnd w:id="110"/>
      <w:r w:rsidRPr="00F92A89">
        <w:rPr>
          <w:rFonts w:eastAsia="Arial Narrow"/>
          <w:vertAlign w:val="superscript"/>
        </w:rPr>
        <w:t>a</w:t>
      </w:r>
      <w:r w:rsidRPr="00F92A89">
        <w:rPr>
          <w:rFonts w:eastAsia="Arial Narrow"/>
        </w:rPr>
        <w:t xml:space="preserve"> Received from Monash by teleconference, 21/2/23.</w:t>
      </w:r>
    </w:p>
    <w:p w14:paraId="00000425" w14:textId="77777777" w:rsidR="00F554A7" w:rsidRDefault="007A75BF">
      <w:pPr>
        <w:pStyle w:val="TableFigureFooter"/>
        <w:rPr>
          <w:rFonts w:eastAsia="Arial Narrow"/>
        </w:rPr>
      </w:pPr>
      <w:r w:rsidRPr="00F92A89">
        <w:rPr>
          <w:rFonts w:eastAsia="Arial Narrow"/>
        </w:rPr>
        <w:t>ICER = incremental cost-effectiveness ratio; MALDI-TOF = Matrix Assisted Laser Desorption/Ionization time-of-flight mass spectrometry; NBS = newborn bloodspot screening; PCR = polymerase chain reaction; SCD = sickle cell disease.</w:t>
      </w:r>
    </w:p>
    <w:bookmarkEnd w:id="111"/>
    <w:p w14:paraId="0ABB4527" w14:textId="176C4AFE" w:rsidR="00783108" w:rsidRPr="00F92A89" w:rsidRDefault="00783108" w:rsidP="00F92A89">
      <w:pPr>
        <w:pStyle w:val="TableFigureFooter"/>
        <w:rPr>
          <w:rFonts w:eastAsia="Arial Narrow"/>
        </w:rPr>
      </w:pPr>
      <w:r>
        <w:rPr>
          <w:rFonts w:eastAsia="Arial Narrow"/>
        </w:rPr>
        <w:t>Source: DCAR Table 19</w:t>
      </w:r>
    </w:p>
    <w:p w14:paraId="00000426" w14:textId="49A0DE75" w:rsidR="00F554A7" w:rsidRDefault="007A75BF">
      <w:r>
        <w:t xml:space="preserve">The results of key sensitivity analyses are presented in </w:t>
      </w:r>
      <w:r w:rsidR="00AC3CA4">
        <w:fldChar w:fldCharType="begin"/>
      </w:r>
      <w:r w:rsidR="00AC3CA4">
        <w:instrText xml:space="preserve"> REF _Ref69726347 \h </w:instrText>
      </w:r>
      <w:r w:rsidR="00AC3CA4">
        <w:fldChar w:fldCharType="separate"/>
      </w:r>
      <w:r w:rsidR="006E058E" w:rsidRPr="00F92A89">
        <w:rPr>
          <w:rFonts w:eastAsia="Arial Narrow"/>
        </w:rPr>
        <w:t>Table </w:t>
      </w:r>
      <w:r w:rsidR="006E058E">
        <w:rPr>
          <w:noProof/>
        </w:rPr>
        <w:t>20</w:t>
      </w:r>
      <w:r w:rsidR="00AC3CA4">
        <w:fldChar w:fldCharType="end"/>
      </w:r>
      <w:r>
        <w:t xml:space="preserve"> for the primary comparison. Analyses around the secondary comparison were similarly affected by the analyses explored. </w:t>
      </w:r>
    </w:p>
    <w:p w14:paraId="00000427" w14:textId="4C9B5B26" w:rsidR="00F554A7" w:rsidRPr="00F92A89" w:rsidRDefault="007A75BF" w:rsidP="00F92A89">
      <w:pPr>
        <w:pStyle w:val="Caption"/>
        <w:rPr>
          <w:rFonts w:eastAsia="Arial Narrow"/>
          <w:b w:val="0"/>
        </w:rPr>
      </w:pPr>
      <w:bookmarkStart w:id="112" w:name="_heading=h.1egqt2p" w:colFirst="0" w:colLast="0"/>
      <w:bookmarkStart w:id="113" w:name="_Ref69726347"/>
      <w:bookmarkEnd w:id="112"/>
      <w:r w:rsidRPr="00F92A89">
        <w:rPr>
          <w:rFonts w:eastAsia="Arial Narrow"/>
        </w:rPr>
        <w:t>Table </w:t>
      </w:r>
      <w:r w:rsidR="00AC3CA4">
        <w:fldChar w:fldCharType="begin"/>
      </w:r>
      <w:r w:rsidR="00AC3CA4">
        <w:instrText>SEQ Table \* ARABIC</w:instrText>
      </w:r>
      <w:r w:rsidR="00AC3CA4">
        <w:fldChar w:fldCharType="separate"/>
      </w:r>
      <w:r w:rsidR="006E058E">
        <w:rPr>
          <w:noProof/>
        </w:rPr>
        <w:t>20</w:t>
      </w:r>
      <w:r w:rsidR="00AC3CA4">
        <w:fldChar w:fldCharType="end"/>
      </w:r>
      <w:bookmarkEnd w:id="113"/>
      <w:r w:rsidRPr="00F92A89">
        <w:rPr>
          <w:rFonts w:eastAsia="Arial Narrow"/>
        </w:rPr>
        <w:tab/>
        <w:t>Results of key sensitivity analyses, primary comparison (symptomatic identification only)</w:t>
      </w:r>
    </w:p>
    <w:tbl>
      <w:tblPr>
        <w:tblStyle w:val="TableGrid1"/>
        <w:tblW w:w="5000" w:type="pct"/>
        <w:tblLayout w:type="fixed"/>
        <w:tblLook w:val="04A0" w:firstRow="1" w:lastRow="0" w:firstColumn="1" w:lastColumn="0" w:noHBand="0" w:noVBand="1"/>
      </w:tblPr>
      <w:tblGrid>
        <w:gridCol w:w="5097"/>
        <w:gridCol w:w="992"/>
        <w:gridCol w:w="994"/>
        <w:gridCol w:w="1134"/>
        <w:gridCol w:w="799"/>
      </w:tblGrid>
      <w:tr w:rsidR="00F554A7" w14:paraId="07D5DA4E" w14:textId="77777777" w:rsidTr="00F92A89">
        <w:trPr>
          <w:cnfStyle w:val="100000000000" w:firstRow="1" w:lastRow="0" w:firstColumn="0" w:lastColumn="0" w:oddVBand="0" w:evenVBand="0" w:oddHBand="0" w:evenHBand="0" w:firstRowFirstColumn="0" w:firstRowLastColumn="0" w:lastRowFirstColumn="0" w:lastRowLastColumn="0"/>
          <w:trHeight w:val="279"/>
          <w:tblHeader/>
        </w:trPr>
        <w:tc>
          <w:tcPr>
            <w:tcW w:w="2827" w:type="pct"/>
            <w:shd w:val="clear" w:color="auto" w:fill="auto"/>
            <w:noWrap/>
            <w:vAlign w:val="center"/>
            <w:hideMark/>
          </w:tcPr>
          <w:p w14:paraId="00000428" w14:textId="77777777" w:rsidR="00F554A7" w:rsidRPr="00F92A89" w:rsidRDefault="00F554A7" w:rsidP="001E7563">
            <w:pPr>
              <w:spacing w:before="0" w:after="0"/>
              <w:rPr>
                <w:rFonts w:ascii="Arial Narrow" w:hAnsi="Arial Narrow"/>
                <w:b/>
                <w:color w:val="000000"/>
              </w:rPr>
            </w:pPr>
            <w:bookmarkStart w:id="114" w:name="_heading=h.3ygebqi" w:colFirst="0" w:colLast="0"/>
            <w:bookmarkStart w:id="115" w:name="_Hlk68276759"/>
            <w:bookmarkEnd w:id="114"/>
          </w:p>
        </w:tc>
        <w:tc>
          <w:tcPr>
            <w:tcW w:w="550" w:type="pct"/>
            <w:tcBorders>
              <w:right w:val="single" w:sz="4" w:space="0" w:color="auto"/>
            </w:tcBorders>
            <w:shd w:val="clear" w:color="auto" w:fill="auto"/>
            <w:noWrap/>
            <w:vAlign w:val="center"/>
            <w:hideMark/>
          </w:tcPr>
          <w:p w14:paraId="00000429" w14:textId="77777777" w:rsidR="00F554A7" w:rsidRPr="00F92A89" w:rsidRDefault="007A75BF" w:rsidP="001E7563">
            <w:pPr>
              <w:spacing w:before="0" w:after="0"/>
              <w:rPr>
                <w:rFonts w:ascii="Arial Narrow" w:hAnsi="Arial Narrow"/>
                <w:b/>
                <w:color w:val="000000"/>
              </w:rPr>
            </w:pPr>
            <w:r w:rsidRPr="00F92A89">
              <w:rPr>
                <w:rFonts w:ascii="Arial Narrow" w:hAnsi="Arial Narrow"/>
                <w:b/>
                <w:color w:val="000000"/>
              </w:rPr>
              <w:t>Inc. cost</w:t>
            </w:r>
          </w:p>
        </w:tc>
        <w:tc>
          <w:tcPr>
            <w:tcW w:w="551" w:type="pct"/>
            <w:tcBorders>
              <w:left w:val="single" w:sz="4" w:space="0" w:color="auto"/>
              <w:right w:val="single" w:sz="4" w:space="0" w:color="auto"/>
            </w:tcBorders>
            <w:shd w:val="clear" w:color="auto" w:fill="auto"/>
            <w:noWrap/>
            <w:vAlign w:val="center"/>
            <w:hideMark/>
          </w:tcPr>
          <w:p w14:paraId="0000042A" w14:textId="77777777" w:rsidR="00F554A7" w:rsidRPr="00F92A89" w:rsidRDefault="007A75BF" w:rsidP="001E7563">
            <w:pPr>
              <w:spacing w:before="0" w:after="0"/>
              <w:rPr>
                <w:rFonts w:ascii="Arial Narrow" w:hAnsi="Arial Narrow"/>
                <w:b/>
                <w:color w:val="000000"/>
              </w:rPr>
            </w:pPr>
            <w:r w:rsidRPr="00F92A89">
              <w:rPr>
                <w:rFonts w:ascii="Arial Narrow" w:hAnsi="Arial Narrow"/>
                <w:b/>
                <w:color w:val="000000"/>
              </w:rPr>
              <w:t>Inc. effect</w:t>
            </w:r>
          </w:p>
        </w:tc>
        <w:tc>
          <w:tcPr>
            <w:tcW w:w="629" w:type="pct"/>
            <w:tcBorders>
              <w:left w:val="single" w:sz="4" w:space="0" w:color="auto"/>
              <w:right w:val="single" w:sz="4" w:space="0" w:color="auto"/>
            </w:tcBorders>
            <w:shd w:val="clear" w:color="auto" w:fill="auto"/>
            <w:noWrap/>
            <w:vAlign w:val="center"/>
            <w:hideMark/>
          </w:tcPr>
          <w:p w14:paraId="0000042B" w14:textId="77777777" w:rsidR="00F554A7" w:rsidRPr="00F92A89" w:rsidRDefault="007A75BF" w:rsidP="001E7563">
            <w:pPr>
              <w:spacing w:before="0" w:after="0"/>
              <w:rPr>
                <w:rFonts w:ascii="Arial Narrow" w:hAnsi="Arial Narrow"/>
                <w:b/>
                <w:color w:val="000000"/>
              </w:rPr>
            </w:pPr>
            <w:r w:rsidRPr="00F92A89">
              <w:rPr>
                <w:rFonts w:ascii="Arial Narrow" w:hAnsi="Arial Narrow"/>
                <w:b/>
                <w:color w:val="000000"/>
              </w:rPr>
              <w:t>ICER</w:t>
            </w:r>
          </w:p>
        </w:tc>
        <w:tc>
          <w:tcPr>
            <w:tcW w:w="443" w:type="pct"/>
            <w:tcBorders>
              <w:left w:val="single" w:sz="4" w:space="0" w:color="auto"/>
              <w:right w:val="single" w:sz="4" w:space="0" w:color="auto"/>
            </w:tcBorders>
            <w:vAlign w:val="center"/>
          </w:tcPr>
          <w:p w14:paraId="0000042C" w14:textId="77777777" w:rsidR="00F554A7" w:rsidRPr="00F92A89" w:rsidRDefault="007A75BF" w:rsidP="001E7563">
            <w:pPr>
              <w:spacing w:before="0" w:after="0"/>
              <w:rPr>
                <w:rFonts w:ascii="Arial Narrow" w:hAnsi="Arial Narrow"/>
                <w:b/>
                <w:color w:val="000000"/>
              </w:rPr>
            </w:pPr>
            <w:r w:rsidRPr="00F92A89">
              <w:rPr>
                <w:rFonts w:ascii="Arial Narrow" w:hAnsi="Arial Narrow"/>
                <w:b/>
                <w:color w:val="000000"/>
              </w:rPr>
              <w:t>% change</w:t>
            </w:r>
          </w:p>
        </w:tc>
      </w:tr>
      <w:tr w:rsidR="00F554A7" w14:paraId="1B0650F5" w14:textId="77777777" w:rsidTr="00F92A89">
        <w:trPr>
          <w:cnfStyle w:val="100000000000" w:firstRow="1" w:lastRow="0" w:firstColumn="0" w:lastColumn="0" w:oddVBand="0" w:evenVBand="0" w:oddHBand="0" w:evenHBand="0" w:firstRowFirstColumn="0" w:firstRowLastColumn="0" w:lastRowFirstColumn="0" w:lastRowLastColumn="0"/>
          <w:trHeight w:val="279"/>
          <w:tblHeader/>
        </w:trPr>
        <w:tc>
          <w:tcPr>
            <w:tcW w:w="2827" w:type="pct"/>
            <w:shd w:val="clear" w:color="auto" w:fill="auto"/>
            <w:noWrap/>
            <w:vAlign w:val="center"/>
            <w:hideMark/>
          </w:tcPr>
          <w:p w14:paraId="0000042D" w14:textId="77777777" w:rsidR="00F554A7" w:rsidRPr="00F92A89" w:rsidRDefault="007A75BF" w:rsidP="001E7563">
            <w:pPr>
              <w:spacing w:before="0" w:after="0"/>
              <w:rPr>
                <w:rFonts w:ascii="Arial Narrow" w:hAnsi="Arial Narrow"/>
                <w:b/>
                <w:color w:val="000000"/>
              </w:rPr>
            </w:pPr>
            <w:r w:rsidRPr="00F92A89">
              <w:rPr>
                <w:rFonts w:ascii="Arial Narrow" w:hAnsi="Arial Narrow"/>
                <w:b/>
                <w:color w:val="000000"/>
              </w:rPr>
              <w:t>Base-case</w:t>
            </w:r>
          </w:p>
        </w:tc>
        <w:tc>
          <w:tcPr>
            <w:tcW w:w="550" w:type="pct"/>
            <w:tcBorders>
              <w:right w:val="single" w:sz="4" w:space="0" w:color="auto"/>
            </w:tcBorders>
            <w:shd w:val="clear" w:color="auto" w:fill="auto"/>
            <w:noWrap/>
          </w:tcPr>
          <w:p w14:paraId="0000042E" w14:textId="77777777" w:rsidR="00F554A7" w:rsidRPr="001E7563" w:rsidRDefault="007A75BF" w:rsidP="00F92A89">
            <w:pPr>
              <w:pStyle w:val="Tabletext0"/>
              <w:keepNext/>
              <w:jc w:val="right"/>
              <w:rPr>
                <w:b/>
              </w:rPr>
            </w:pPr>
            <w:r w:rsidRPr="001E7563">
              <w:rPr>
                <w:rFonts w:eastAsia="Arial Narrow"/>
                <w:b/>
              </w:rPr>
              <w:t>$10.03</w:t>
            </w:r>
          </w:p>
        </w:tc>
        <w:tc>
          <w:tcPr>
            <w:tcW w:w="551" w:type="pct"/>
            <w:tcBorders>
              <w:left w:val="single" w:sz="4" w:space="0" w:color="auto"/>
              <w:right w:val="single" w:sz="4" w:space="0" w:color="auto"/>
            </w:tcBorders>
            <w:shd w:val="clear" w:color="auto" w:fill="auto"/>
            <w:noWrap/>
          </w:tcPr>
          <w:p w14:paraId="0000042F" w14:textId="77777777" w:rsidR="00F554A7" w:rsidRPr="001E7563" w:rsidRDefault="007A75BF" w:rsidP="00F92A89">
            <w:pPr>
              <w:pStyle w:val="Tabletext0"/>
              <w:keepNext/>
              <w:jc w:val="right"/>
              <w:rPr>
                <w:b/>
              </w:rPr>
            </w:pPr>
            <w:r w:rsidRPr="001E7563">
              <w:rPr>
                <w:rFonts w:eastAsia="Arial Narrow"/>
                <w:b/>
              </w:rPr>
              <w:t>0.00020</w:t>
            </w:r>
          </w:p>
        </w:tc>
        <w:tc>
          <w:tcPr>
            <w:tcW w:w="629" w:type="pct"/>
            <w:tcBorders>
              <w:left w:val="single" w:sz="4" w:space="0" w:color="auto"/>
              <w:right w:val="single" w:sz="4" w:space="0" w:color="auto"/>
            </w:tcBorders>
            <w:shd w:val="clear" w:color="auto" w:fill="auto"/>
            <w:noWrap/>
          </w:tcPr>
          <w:p w14:paraId="00000430" w14:textId="77777777" w:rsidR="00F554A7" w:rsidRPr="001E7563" w:rsidRDefault="007A75BF" w:rsidP="00F92A89">
            <w:pPr>
              <w:pStyle w:val="Tabletext0"/>
              <w:keepNext/>
              <w:jc w:val="right"/>
              <w:rPr>
                <w:b/>
              </w:rPr>
            </w:pPr>
            <w:r w:rsidRPr="001E7563">
              <w:rPr>
                <w:rFonts w:eastAsia="Arial Narrow"/>
                <w:b/>
              </w:rPr>
              <w:t>$50,867</w:t>
            </w:r>
          </w:p>
        </w:tc>
        <w:tc>
          <w:tcPr>
            <w:tcW w:w="443" w:type="pct"/>
            <w:tcBorders>
              <w:left w:val="single" w:sz="4" w:space="0" w:color="auto"/>
              <w:right w:val="single" w:sz="4" w:space="0" w:color="auto"/>
            </w:tcBorders>
            <w:vAlign w:val="center"/>
          </w:tcPr>
          <w:p w14:paraId="00000431" w14:textId="160D0791" w:rsidR="00F554A7" w:rsidRPr="001E7563" w:rsidRDefault="00AC3CA4" w:rsidP="00F92A89">
            <w:pPr>
              <w:pStyle w:val="Tabletext0"/>
              <w:keepNext/>
              <w:jc w:val="right"/>
              <w:rPr>
                <w:b/>
              </w:rPr>
            </w:pPr>
            <w:r>
              <w:rPr>
                <w:b/>
              </w:rPr>
              <w:t>−</w:t>
            </w:r>
          </w:p>
        </w:tc>
      </w:tr>
      <w:tr w:rsidR="00F554A7" w14:paraId="5C5C8438" w14:textId="77777777" w:rsidTr="00F92A89">
        <w:trPr>
          <w:trHeight w:val="279"/>
        </w:trPr>
        <w:tc>
          <w:tcPr>
            <w:tcW w:w="5000" w:type="pct"/>
            <w:gridSpan w:val="5"/>
            <w:shd w:val="clear" w:color="auto" w:fill="auto"/>
            <w:noWrap/>
            <w:vAlign w:val="center"/>
            <w:hideMark/>
          </w:tcPr>
          <w:p w14:paraId="00000432" w14:textId="77777777" w:rsidR="00F554A7" w:rsidRDefault="007A75BF" w:rsidP="00F92A89">
            <w:pPr>
              <w:pStyle w:val="TableText"/>
              <w:rPr>
                <w:b/>
              </w:rPr>
            </w:pPr>
            <w:r w:rsidRPr="001E7563">
              <w:rPr>
                <w:b/>
              </w:rPr>
              <w:t>First-tier screening test (base case: MALDI-TOF, $10)</w:t>
            </w:r>
          </w:p>
        </w:tc>
      </w:tr>
      <w:tr w:rsidR="00F554A7" w14:paraId="6449418B" w14:textId="77777777" w:rsidTr="00F92A89">
        <w:trPr>
          <w:trHeight w:val="279"/>
        </w:trPr>
        <w:tc>
          <w:tcPr>
            <w:tcW w:w="2827" w:type="pct"/>
            <w:shd w:val="clear" w:color="auto" w:fill="auto"/>
            <w:noWrap/>
          </w:tcPr>
          <w:p w14:paraId="00000437" w14:textId="77777777" w:rsidR="00F554A7" w:rsidRDefault="007A75BF" w:rsidP="00F92A89">
            <w:pPr>
              <w:pStyle w:val="TableText"/>
            </w:pPr>
            <w:r w:rsidRPr="001E7563">
              <w:t>IEF, $49.05</w:t>
            </w:r>
          </w:p>
        </w:tc>
        <w:tc>
          <w:tcPr>
            <w:tcW w:w="550" w:type="pct"/>
            <w:tcBorders>
              <w:right w:val="single" w:sz="4" w:space="0" w:color="auto"/>
            </w:tcBorders>
            <w:shd w:val="clear" w:color="auto" w:fill="auto"/>
            <w:noWrap/>
          </w:tcPr>
          <w:p w14:paraId="00000438" w14:textId="77777777" w:rsidR="00F554A7" w:rsidRDefault="007A75BF" w:rsidP="00F92A89">
            <w:pPr>
              <w:pStyle w:val="TableText"/>
              <w:jc w:val="right"/>
            </w:pPr>
            <w:r w:rsidRPr="001E7563">
              <w:t>$48.81</w:t>
            </w:r>
          </w:p>
        </w:tc>
        <w:tc>
          <w:tcPr>
            <w:tcW w:w="551" w:type="pct"/>
            <w:tcBorders>
              <w:left w:val="single" w:sz="4" w:space="0" w:color="auto"/>
              <w:right w:val="single" w:sz="4" w:space="0" w:color="auto"/>
            </w:tcBorders>
            <w:shd w:val="clear" w:color="auto" w:fill="auto"/>
            <w:noWrap/>
          </w:tcPr>
          <w:p w14:paraId="00000439" w14:textId="77777777" w:rsidR="00F554A7" w:rsidRDefault="007A75BF" w:rsidP="00F92A89">
            <w:pPr>
              <w:pStyle w:val="TableText"/>
              <w:jc w:val="right"/>
            </w:pPr>
            <w:r w:rsidRPr="001E7563">
              <w:t>0.00024</w:t>
            </w:r>
          </w:p>
        </w:tc>
        <w:tc>
          <w:tcPr>
            <w:tcW w:w="629" w:type="pct"/>
            <w:tcBorders>
              <w:left w:val="single" w:sz="4" w:space="0" w:color="auto"/>
              <w:right w:val="single" w:sz="4" w:space="0" w:color="auto"/>
            </w:tcBorders>
            <w:shd w:val="clear" w:color="auto" w:fill="auto"/>
            <w:noWrap/>
          </w:tcPr>
          <w:p w14:paraId="0000043A" w14:textId="77777777" w:rsidR="00F554A7" w:rsidRDefault="007A75BF" w:rsidP="00F92A89">
            <w:pPr>
              <w:pStyle w:val="TableText"/>
              <w:jc w:val="right"/>
            </w:pPr>
            <w:r w:rsidRPr="001E7563">
              <w:t>$204,763</w:t>
            </w:r>
          </w:p>
        </w:tc>
        <w:tc>
          <w:tcPr>
            <w:tcW w:w="443" w:type="pct"/>
            <w:tcBorders>
              <w:left w:val="single" w:sz="4" w:space="0" w:color="auto"/>
              <w:right w:val="single" w:sz="4" w:space="0" w:color="auto"/>
            </w:tcBorders>
          </w:tcPr>
          <w:p w14:paraId="0000043B" w14:textId="77777777" w:rsidR="00F554A7" w:rsidRDefault="007A75BF" w:rsidP="00F92A89">
            <w:pPr>
              <w:pStyle w:val="TableText"/>
              <w:jc w:val="right"/>
            </w:pPr>
            <w:r w:rsidRPr="001E7563">
              <w:t>303%</w:t>
            </w:r>
          </w:p>
        </w:tc>
      </w:tr>
      <w:tr w:rsidR="00F554A7" w14:paraId="69644C3B" w14:textId="77777777" w:rsidTr="00F92A89">
        <w:trPr>
          <w:trHeight w:val="279"/>
        </w:trPr>
        <w:tc>
          <w:tcPr>
            <w:tcW w:w="2827" w:type="pct"/>
            <w:shd w:val="clear" w:color="auto" w:fill="auto"/>
            <w:noWrap/>
          </w:tcPr>
          <w:p w14:paraId="0000043C" w14:textId="77777777" w:rsidR="00F554A7" w:rsidRDefault="007A75BF" w:rsidP="00F92A89">
            <w:pPr>
              <w:pStyle w:val="TableText"/>
            </w:pPr>
            <w:r w:rsidRPr="001E7563">
              <w:t>HPLC, $96.60</w:t>
            </w:r>
          </w:p>
        </w:tc>
        <w:tc>
          <w:tcPr>
            <w:tcW w:w="550" w:type="pct"/>
            <w:tcBorders>
              <w:right w:val="single" w:sz="4" w:space="0" w:color="auto"/>
            </w:tcBorders>
            <w:shd w:val="clear" w:color="auto" w:fill="auto"/>
            <w:noWrap/>
          </w:tcPr>
          <w:p w14:paraId="0000043D" w14:textId="77777777" w:rsidR="00F554A7" w:rsidRDefault="007A75BF" w:rsidP="00F92A89">
            <w:pPr>
              <w:pStyle w:val="TableText"/>
              <w:jc w:val="right"/>
            </w:pPr>
            <w:r w:rsidRPr="001E7563">
              <w:t>$96.02</w:t>
            </w:r>
          </w:p>
        </w:tc>
        <w:tc>
          <w:tcPr>
            <w:tcW w:w="551" w:type="pct"/>
            <w:tcBorders>
              <w:left w:val="single" w:sz="4" w:space="0" w:color="auto"/>
              <w:right w:val="single" w:sz="4" w:space="0" w:color="auto"/>
            </w:tcBorders>
            <w:shd w:val="clear" w:color="auto" w:fill="auto"/>
            <w:noWrap/>
          </w:tcPr>
          <w:p w14:paraId="0000043E" w14:textId="77777777" w:rsidR="00F554A7" w:rsidRDefault="007A75BF" w:rsidP="00F92A89">
            <w:pPr>
              <w:pStyle w:val="TableText"/>
              <w:jc w:val="right"/>
            </w:pPr>
            <w:r w:rsidRPr="001E7563">
              <w:t>0.00024</w:t>
            </w:r>
          </w:p>
        </w:tc>
        <w:tc>
          <w:tcPr>
            <w:tcW w:w="629" w:type="pct"/>
            <w:tcBorders>
              <w:left w:val="single" w:sz="4" w:space="0" w:color="auto"/>
              <w:right w:val="single" w:sz="4" w:space="0" w:color="auto"/>
            </w:tcBorders>
            <w:shd w:val="clear" w:color="auto" w:fill="auto"/>
            <w:noWrap/>
          </w:tcPr>
          <w:p w14:paraId="0000043F" w14:textId="77777777" w:rsidR="00F554A7" w:rsidRDefault="007A75BF" w:rsidP="00F92A89">
            <w:pPr>
              <w:pStyle w:val="TableText"/>
              <w:jc w:val="right"/>
            </w:pPr>
            <w:r w:rsidRPr="001E7563">
              <w:t>$402,863</w:t>
            </w:r>
          </w:p>
        </w:tc>
        <w:tc>
          <w:tcPr>
            <w:tcW w:w="443" w:type="pct"/>
            <w:tcBorders>
              <w:left w:val="single" w:sz="4" w:space="0" w:color="auto"/>
              <w:right w:val="single" w:sz="4" w:space="0" w:color="auto"/>
            </w:tcBorders>
          </w:tcPr>
          <w:p w14:paraId="00000440" w14:textId="77777777" w:rsidR="00F554A7" w:rsidRDefault="007A75BF" w:rsidP="00F92A89">
            <w:pPr>
              <w:pStyle w:val="TableText"/>
              <w:jc w:val="right"/>
            </w:pPr>
            <w:r w:rsidRPr="001E7563">
              <w:t>692%</w:t>
            </w:r>
          </w:p>
        </w:tc>
      </w:tr>
      <w:tr w:rsidR="00F554A7" w14:paraId="47CD725D" w14:textId="77777777" w:rsidTr="00F92A89">
        <w:trPr>
          <w:trHeight w:val="279"/>
        </w:trPr>
        <w:tc>
          <w:tcPr>
            <w:tcW w:w="2827" w:type="pct"/>
            <w:shd w:val="clear" w:color="auto" w:fill="auto"/>
            <w:noWrap/>
          </w:tcPr>
          <w:p w14:paraId="00000441" w14:textId="77777777" w:rsidR="00F554A7" w:rsidRDefault="007A75BF" w:rsidP="00F92A89">
            <w:pPr>
              <w:pStyle w:val="TableText"/>
            </w:pPr>
            <w:r w:rsidRPr="001E7563">
              <w:t>CE, $96.60</w:t>
            </w:r>
          </w:p>
        </w:tc>
        <w:tc>
          <w:tcPr>
            <w:tcW w:w="550" w:type="pct"/>
            <w:tcBorders>
              <w:right w:val="single" w:sz="4" w:space="0" w:color="auto"/>
            </w:tcBorders>
            <w:shd w:val="clear" w:color="auto" w:fill="auto"/>
            <w:noWrap/>
          </w:tcPr>
          <w:p w14:paraId="00000442" w14:textId="77777777" w:rsidR="00F554A7" w:rsidRDefault="007A75BF" w:rsidP="00F92A89">
            <w:pPr>
              <w:pStyle w:val="TableText"/>
              <w:jc w:val="right"/>
            </w:pPr>
            <w:r w:rsidRPr="001E7563">
              <w:t>$96.02</w:t>
            </w:r>
          </w:p>
        </w:tc>
        <w:tc>
          <w:tcPr>
            <w:tcW w:w="551" w:type="pct"/>
            <w:tcBorders>
              <w:left w:val="single" w:sz="4" w:space="0" w:color="auto"/>
              <w:right w:val="single" w:sz="4" w:space="0" w:color="auto"/>
            </w:tcBorders>
            <w:shd w:val="clear" w:color="auto" w:fill="auto"/>
            <w:noWrap/>
          </w:tcPr>
          <w:p w14:paraId="00000443" w14:textId="77777777" w:rsidR="00F554A7" w:rsidRDefault="007A75BF" w:rsidP="00F92A89">
            <w:pPr>
              <w:pStyle w:val="TableText"/>
              <w:jc w:val="right"/>
            </w:pPr>
            <w:r w:rsidRPr="001E7563">
              <w:t>0.00024</w:t>
            </w:r>
          </w:p>
        </w:tc>
        <w:tc>
          <w:tcPr>
            <w:tcW w:w="629" w:type="pct"/>
            <w:tcBorders>
              <w:left w:val="single" w:sz="4" w:space="0" w:color="auto"/>
              <w:right w:val="single" w:sz="4" w:space="0" w:color="auto"/>
            </w:tcBorders>
            <w:shd w:val="clear" w:color="auto" w:fill="auto"/>
            <w:noWrap/>
          </w:tcPr>
          <w:p w14:paraId="00000444" w14:textId="77777777" w:rsidR="00F554A7" w:rsidRDefault="007A75BF" w:rsidP="00F92A89">
            <w:pPr>
              <w:pStyle w:val="TableText"/>
              <w:jc w:val="right"/>
            </w:pPr>
            <w:r w:rsidRPr="001E7563">
              <w:t>$402,863</w:t>
            </w:r>
          </w:p>
        </w:tc>
        <w:tc>
          <w:tcPr>
            <w:tcW w:w="443" w:type="pct"/>
            <w:tcBorders>
              <w:left w:val="single" w:sz="4" w:space="0" w:color="auto"/>
              <w:right w:val="single" w:sz="4" w:space="0" w:color="auto"/>
            </w:tcBorders>
          </w:tcPr>
          <w:p w14:paraId="00000445" w14:textId="77777777" w:rsidR="00F554A7" w:rsidRDefault="007A75BF" w:rsidP="00F92A89">
            <w:pPr>
              <w:pStyle w:val="TableText"/>
              <w:jc w:val="right"/>
            </w:pPr>
            <w:r w:rsidRPr="001E7563">
              <w:t>692%</w:t>
            </w:r>
          </w:p>
        </w:tc>
      </w:tr>
      <w:tr w:rsidR="00F554A7" w14:paraId="2FA92816" w14:textId="77777777" w:rsidTr="00F92A89">
        <w:trPr>
          <w:trHeight w:val="279"/>
        </w:trPr>
        <w:tc>
          <w:tcPr>
            <w:tcW w:w="2827" w:type="pct"/>
            <w:shd w:val="clear" w:color="auto" w:fill="auto"/>
            <w:noWrap/>
          </w:tcPr>
          <w:p w14:paraId="00000446" w14:textId="77777777" w:rsidR="00F554A7" w:rsidRDefault="007A75BF" w:rsidP="00F92A89">
            <w:pPr>
              <w:pStyle w:val="TableText"/>
            </w:pPr>
            <w:r w:rsidRPr="001E7563">
              <w:t>ESI-MS/MS</w:t>
            </w:r>
            <w:r>
              <w:t>, $10</w:t>
            </w:r>
          </w:p>
        </w:tc>
        <w:tc>
          <w:tcPr>
            <w:tcW w:w="550" w:type="pct"/>
            <w:tcBorders>
              <w:right w:val="single" w:sz="4" w:space="0" w:color="auto"/>
            </w:tcBorders>
            <w:shd w:val="clear" w:color="auto" w:fill="auto"/>
            <w:noWrap/>
          </w:tcPr>
          <w:p w14:paraId="00000447" w14:textId="77777777" w:rsidR="00F554A7" w:rsidRDefault="007A75BF" w:rsidP="00F92A89">
            <w:pPr>
              <w:pStyle w:val="TableText"/>
              <w:jc w:val="right"/>
            </w:pPr>
            <w:r w:rsidRPr="001E7563">
              <w:t>$10.03</w:t>
            </w:r>
          </w:p>
        </w:tc>
        <w:tc>
          <w:tcPr>
            <w:tcW w:w="551" w:type="pct"/>
            <w:tcBorders>
              <w:left w:val="single" w:sz="4" w:space="0" w:color="auto"/>
              <w:right w:val="single" w:sz="4" w:space="0" w:color="auto"/>
            </w:tcBorders>
            <w:shd w:val="clear" w:color="auto" w:fill="auto"/>
            <w:noWrap/>
          </w:tcPr>
          <w:p w14:paraId="00000448" w14:textId="77777777" w:rsidR="00F554A7" w:rsidRDefault="007A75BF" w:rsidP="00F92A89">
            <w:pPr>
              <w:pStyle w:val="TableText"/>
              <w:jc w:val="right"/>
            </w:pPr>
            <w:r w:rsidRPr="001E7563">
              <w:t>0.00020</w:t>
            </w:r>
          </w:p>
        </w:tc>
        <w:tc>
          <w:tcPr>
            <w:tcW w:w="629" w:type="pct"/>
            <w:tcBorders>
              <w:left w:val="single" w:sz="4" w:space="0" w:color="auto"/>
              <w:right w:val="single" w:sz="4" w:space="0" w:color="auto"/>
            </w:tcBorders>
            <w:shd w:val="clear" w:color="auto" w:fill="auto"/>
            <w:noWrap/>
          </w:tcPr>
          <w:p w14:paraId="00000449" w14:textId="77777777" w:rsidR="00F554A7" w:rsidRDefault="007A75BF" w:rsidP="00F92A89">
            <w:pPr>
              <w:pStyle w:val="TableText"/>
              <w:jc w:val="right"/>
            </w:pPr>
            <w:r w:rsidRPr="001E7563">
              <w:t>$50,867</w:t>
            </w:r>
          </w:p>
        </w:tc>
        <w:tc>
          <w:tcPr>
            <w:tcW w:w="443" w:type="pct"/>
            <w:tcBorders>
              <w:left w:val="single" w:sz="4" w:space="0" w:color="auto"/>
              <w:right w:val="single" w:sz="4" w:space="0" w:color="auto"/>
            </w:tcBorders>
          </w:tcPr>
          <w:p w14:paraId="0000044A" w14:textId="77777777" w:rsidR="00F554A7" w:rsidRDefault="007A75BF" w:rsidP="00F92A89">
            <w:pPr>
              <w:pStyle w:val="TableText"/>
              <w:jc w:val="right"/>
            </w:pPr>
            <w:r w:rsidRPr="001E7563">
              <w:t>0%</w:t>
            </w:r>
          </w:p>
        </w:tc>
      </w:tr>
      <w:tr w:rsidR="00F554A7" w14:paraId="0773A6B8" w14:textId="77777777" w:rsidTr="00F92A89">
        <w:trPr>
          <w:trHeight w:val="279"/>
        </w:trPr>
        <w:tc>
          <w:tcPr>
            <w:tcW w:w="2827" w:type="pct"/>
            <w:shd w:val="clear" w:color="auto" w:fill="auto"/>
            <w:noWrap/>
          </w:tcPr>
          <w:p w14:paraId="0000044B" w14:textId="77777777" w:rsidR="00F554A7" w:rsidRDefault="007A75BF" w:rsidP="00F92A89">
            <w:pPr>
              <w:pStyle w:val="TableText"/>
            </w:pPr>
            <w:r w:rsidRPr="001E7563">
              <w:t>HbS</w:t>
            </w:r>
            <w:r>
              <w:t xml:space="preserve"> allele-specific PCR, $13</w:t>
            </w:r>
          </w:p>
        </w:tc>
        <w:tc>
          <w:tcPr>
            <w:tcW w:w="550" w:type="pct"/>
            <w:tcBorders>
              <w:right w:val="single" w:sz="4" w:space="0" w:color="auto"/>
            </w:tcBorders>
            <w:shd w:val="clear" w:color="auto" w:fill="auto"/>
            <w:noWrap/>
          </w:tcPr>
          <w:p w14:paraId="0000044C" w14:textId="77777777" w:rsidR="00F554A7" w:rsidRDefault="007A75BF" w:rsidP="00F92A89">
            <w:pPr>
              <w:pStyle w:val="TableText"/>
              <w:jc w:val="right"/>
            </w:pPr>
            <w:r w:rsidRPr="001E7563">
              <w:t>$13.00</w:t>
            </w:r>
          </w:p>
        </w:tc>
        <w:tc>
          <w:tcPr>
            <w:tcW w:w="551" w:type="pct"/>
            <w:tcBorders>
              <w:left w:val="single" w:sz="4" w:space="0" w:color="auto"/>
              <w:right w:val="single" w:sz="4" w:space="0" w:color="auto"/>
            </w:tcBorders>
            <w:shd w:val="clear" w:color="auto" w:fill="auto"/>
            <w:noWrap/>
          </w:tcPr>
          <w:p w14:paraId="0000044D" w14:textId="77777777" w:rsidR="00F554A7" w:rsidRDefault="007A75BF" w:rsidP="00F92A89">
            <w:pPr>
              <w:pStyle w:val="TableText"/>
              <w:jc w:val="right"/>
            </w:pPr>
            <w:r w:rsidRPr="001E7563">
              <w:t>0.00007</w:t>
            </w:r>
          </w:p>
        </w:tc>
        <w:tc>
          <w:tcPr>
            <w:tcW w:w="629" w:type="pct"/>
            <w:tcBorders>
              <w:left w:val="single" w:sz="4" w:space="0" w:color="auto"/>
              <w:right w:val="single" w:sz="4" w:space="0" w:color="auto"/>
            </w:tcBorders>
            <w:shd w:val="clear" w:color="auto" w:fill="auto"/>
            <w:noWrap/>
          </w:tcPr>
          <w:p w14:paraId="0000044E" w14:textId="77777777" w:rsidR="00F554A7" w:rsidRDefault="007A75BF" w:rsidP="00F92A89">
            <w:pPr>
              <w:pStyle w:val="TableText"/>
              <w:jc w:val="right"/>
            </w:pPr>
            <w:r w:rsidRPr="001E7563">
              <w:t>$183,338</w:t>
            </w:r>
          </w:p>
        </w:tc>
        <w:tc>
          <w:tcPr>
            <w:tcW w:w="443" w:type="pct"/>
            <w:tcBorders>
              <w:left w:val="single" w:sz="4" w:space="0" w:color="auto"/>
              <w:right w:val="single" w:sz="4" w:space="0" w:color="auto"/>
            </w:tcBorders>
          </w:tcPr>
          <w:p w14:paraId="0000044F" w14:textId="77777777" w:rsidR="00F554A7" w:rsidRDefault="007A75BF" w:rsidP="00F92A89">
            <w:pPr>
              <w:pStyle w:val="TableText"/>
              <w:jc w:val="right"/>
            </w:pPr>
            <w:r w:rsidRPr="001E7563">
              <w:t>260%</w:t>
            </w:r>
          </w:p>
        </w:tc>
      </w:tr>
      <w:tr w:rsidR="00F554A7" w14:paraId="7ACF8255" w14:textId="77777777" w:rsidTr="00F92A89">
        <w:trPr>
          <w:trHeight w:val="279"/>
        </w:trPr>
        <w:tc>
          <w:tcPr>
            <w:tcW w:w="5000" w:type="pct"/>
            <w:gridSpan w:val="5"/>
            <w:shd w:val="clear" w:color="auto" w:fill="auto"/>
            <w:noWrap/>
            <w:vAlign w:val="center"/>
            <w:hideMark/>
          </w:tcPr>
          <w:p w14:paraId="00000450" w14:textId="77777777" w:rsidR="00F554A7" w:rsidRDefault="007A75BF" w:rsidP="00F92A89">
            <w:pPr>
              <w:pStyle w:val="TableText"/>
              <w:rPr>
                <w:b/>
              </w:rPr>
            </w:pPr>
            <w:r w:rsidRPr="001E7563">
              <w:rPr>
                <w:b/>
              </w:rPr>
              <w:t>Haemoglobinopathy incidence</w:t>
            </w:r>
            <w:r>
              <w:rPr>
                <w:b/>
              </w:rPr>
              <w:br/>
              <w:t>(base case: VIC/TAS total incidence and PathWest SCD incidence: 7 per 100,000 SCD; 17 per 100,000 β-thal)</w:t>
            </w:r>
            <w:r>
              <w:rPr>
                <w:b/>
                <w:vertAlign w:val="superscript"/>
              </w:rPr>
              <w:t>a</w:t>
            </w:r>
          </w:p>
        </w:tc>
      </w:tr>
      <w:tr w:rsidR="00F554A7" w14:paraId="05C7FE81" w14:textId="77777777" w:rsidTr="00F92A89">
        <w:trPr>
          <w:trHeight w:val="279"/>
        </w:trPr>
        <w:tc>
          <w:tcPr>
            <w:tcW w:w="2827" w:type="pct"/>
            <w:shd w:val="clear" w:color="auto" w:fill="auto"/>
            <w:noWrap/>
          </w:tcPr>
          <w:p w14:paraId="00000455" w14:textId="77777777" w:rsidR="00F554A7" w:rsidRDefault="007A75BF" w:rsidP="00F92A89">
            <w:pPr>
              <w:pStyle w:val="TableText"/>
            </w:pPr>
            <w:r w:rsidRPr="001E7563">
              <w:t>Model</w:t>
            </w:r>
            <w:r>
              <w:t>l (2008)</w:t>
            </w:r>
            <w:r>
              <w:br/>
              <w:t>1 per 100,000 SCD; 6 per 100,000 β-thal</w:t>
            </w:r>
          </w:p>
        </w:tc>
        <w:tc>
          <w:tcPr>
            <w:tcW w:w="550" w:type="pct"/>
            <w:tcBorders>
              <w:right w:val="single" w:sz="4" w:space="0" w:color="auto"/>
            </w:tcBorders>
            <w:shd w:val="clear" w:color="auto" w:fill="auto"/>
            <w:noWrap/>
          </w:tcPr>
          <w:p w14:paraId="00000456" w14:textId="77777777" w:rsidR="00F554A7" w:rsidRDefault="007A75BF" w:rsidP="00F92A89">
            <w:pPr>
              <w:pStyle w:val="TableText"/>
              <w:jc w:val="right"/>
            </w:pPr>
            <w:r w:rsidRPr="001E7563">
              <w:t>$9.98</w:t>
            </w:r>
          </w:p>
        </w:tc>
        <w:tc>
          <w:tcPr>
            <w:tcW w:w="551" w:type="pct"/>
            <w:tcBorders>
              <w:left w:val="single" w:sz="4" w:space="0" w:color="auto"/>
              <w:right w:val="single" w:sz="4" w:space="0" w:color="auto"/>
            </w:tcBorders>
            <w:shd w:val="clear" w:color="auto" w:fill="auto"/>
            <w:noWrap/>
          </w:tcPr>
          <w:p w14:paraId="00000457" w14:textId="77777777" w:rsidR="00F554A7" w:rsidRDefault="007A75BF" w:rsidP="00F92A89">
            <w:pPr>
              <w:pStyle w:val="TableText"/>
              <w:jc w:val="right"/>
            </w:pPr>
            <w:r w:rsidRPr="001E7563">
              <w:t>0.00005</w:t>
            </w:r>
          </w:p>
        </w:tc>
        <w:tc>
          <w:tcPr>
            <w:tcW w:w="629" w:type="pct"/>
            <w:tcBorders>
              <w:left w:val="single" w:sz="4" w:space="0" w:color="auto"/>
              <w:right w:val="single" w:sz="4" w:space="0" w:color="auto"/>
            </w:tcBorders>
            <w:shd w:val="clear" w:color="auto" w:fill="auto"/>
            <w:noWrap/>
          </w:tcPr>
          <w:p w14:paraId="00000458" w14:textId="77777777" w:rsidR="00F554A7" w:rsidRDefault="007A75BF" w:rsidP="00F92A89">
            <w:pPr>
              <w:pStyle w:val="TableText"/>
              <w:jc w:val="right"/>
            </w:pPr>
            <w:r w:rsidRPr="001E7563">
              <w:t>$192,631</w:t>
            </w:r>
          </w:p>
        </w:tc>
        <w:tc>
          <w:tcPr>
            <w:tcW w:w="443" w:type="pct"/>
            <w:tcBorders>
              <w:left w:val="single" w:sz="4" w:space="0" w:color="auto"/>
              <w:right w:val="single" w:sz="4" w:space="0" w:color="auto"/>
            </w:tcBorders>
          </w:tcPr>
          <w:p w14:paraId="00000459" w14:textId="77777777" w:rsidR="00F554A7" w:rsidRDefault="007A75BF" w:rsidP="00F92A89">
            <w:pPr>
              <w:pStyle w:val="TableText"/>
              <w:jc w:val="right"/>
            </w:pPr>
            <w:r w:rsidRPr="001E7563">
              <w:t>279%</w:t>
            </w:r>
          </w:p>
        </w:tc>
      </w:tr>
      <w:tr w:rsidR="00F554A7" w14:paraId="717C4EDD" w14:textId="77777777" w:rsidTr="00F92A89">
        <w:trPr>
          <w:trHeight w:val="279"/>
        </w:trPr>
        <w:tc>
          <w:tcPr>
            <w:tcW w:w="2827" w:type="pct"/>
            <w:shd w:val="clear" w:color="auto" w:fill="auto"/>
            <w:noWrap/>
          </w:tcPr>
          <w:p w14:paraId="0000045A" w14:textId="77777777" w:rsidR="00F554A7" w:rsidRPr="001E7563" w:rsidRDefault="007A75BF" w:rsidP="00F92A89">
            <w:pPr>
              <w:pStyle w:val="TableText"/>
            </w:pPr>
            <w:r w:rsidRPr="001E7563">
              <w:t>PathWest, assuming proportions from Modell (2008)</w:t>
            </w:r>
            <w:r w:rsidRPr="001E7563">
              <w:br/>
              <w:t>7 per 100,000 SCD; 71 per 100,000 β-thal</w:t>
            </w:r>
          </w:p>
        </w:tc>
        <w:tc>
          <w:tcPr>
            <w:tcW w:w="550" w:type="pct"/>
            <w:tcBorders>
              <w:right w:val="single" w:sz="4" w:space="0" w:color="auto"/>
            </w:tcBorders>
            <w:shd w:val="clear" w:color="auto" w:fill="auto"/>
            <w:noWrap/>
          </w:tcPr>
          <w:p w14:paraId="0000045B" w14:textId="77777777" w:rsidR="00F554A7" w:rsidRPr="001E7563" w:rsidRDefault="007A75BF" w:rsidP="00F92A89">
            <w:pPr>
              <w:pStyle w:val="TableText"/>
              <w:jc w:val="right"/>
            </w:pPr>
            <w:r w:rsidRPr="001E7563">
              <w:t>$9.99</w:t>
            </w:r>
          </w:p>
        </w:tc>
        <w:tc>
          <w:tcPr>
            <w:tcW w:w="551" w:type="pct"/>
            <w:tcBorders>
              <w:left w:val="single" w:sz="4" w:space="0" w:color="auto"/>
              <w:right w:val="single" w:sz="4" w:space="0" w:color="auto"/>
            </w:tcBorders>
            <w:shd w:val="clear" w:color="auto" w:fill="auto"/>
            <w:noWrap/>
          </w:tcPr>
          <w:p w14:paraId="0000045C" w14:textId="77777777" w:rsidR="00F554A7" w:rsidRPr="001E7563" w:rsidRDefault="007A75BF" w:rsidP="00F92A89">
            <w:pPr>
              <w:pStyle w:val="TableText"/>
              <w:jc w:val="right"/>
            </w:pPr>
            <w:r w:rsidRPr="001E7563">
              <w:t>0.00060</w:t>
            </w:r>
          </w:p>
        </w:tc>
        <w:tc>
          <w:tcPr>
            <w:tcW w:w="629" w:type="pct"/>
            <w:tcBorders>
              <w:left w:val="single" w:sz="4" w:space="0" w:color="auto"/>
              <w:right w:val="single" w:sz="4" w:space="0" w:color="auto"/>
            </w:tcBorders>
            <w:shd w:val="clear" w:color="auto" w:fill="auto"/>
            <w:noWrap/>
          </w:tcPr>
          <w:p w14:paraId="0000045D" w14:textId="77777777" w:rsidR="00F554A7" w:rsidRPr="001E7563" w:rsidRDefault="007A75BF" w:rsidP="00F92A89">
            <w:pPr>
              <w:pStyle w:val="TableText"/>
              <w:jc w:val="right"/>
            </w:pPr>
            <w:r w:rsidRPr="001E7563">
              <w:t>$16,701</w:t>
            </w:r>
          </w:p>
        </w:tc>
        <w:tc>
          <w:tcPr>
            <w:tcW w:w="443" w:type="pct"/>
            <w:tcBorders>
              <w:left w:val="single" w:sz="4" w:space="0" w:color="auto"/>
              <w:right w:val="single" w:sz="4" w:space="0" w:color="auto"/>
            </w:tcBorders>
          </w:tcPr>
          <w:p w14:paraId="0000045E" w14:textId="3D397D37" w:rsidR="00F554A7" w:rsidRPr="001E7563" w:rsidRDefault="007A75BF" w:rsidP="00F92A89">
            <w:pPr>
              <w:pStyle w:val="TableText"/>
              <w:jc w:val="right"/>
            </w:pPr>
            <w:r w:rsidRPr="00F92A89">
              <w:t>−67%</w:t>
            </w:r>
          </w:p>
        </w:tc>
      </w:tr>
      <w:tr w:rsidR="00F554A7" w14:paraId="48EA63C7" w14:textId="77777777" w:rsidTr="00F92A89">
        <w:trPr>
          <w:trHeight w:val="279"/>
        </w:trPr>
        <w:tc>
          <w:tcPr>
            <w:tcW w:w="2827" w:type="pct"/>
            <w:shd w:val="clear" w:color="auto" w:fill="auto"/>
            <w:noWrap/>
          </w:tcPr>
          <w:p w14:paraId="0000045F" w14:textId="61858311" w:rsidR="00F554A7" w:rsidRPr="001E7563" w:rsidRDefault="007A75BF" w:rsidP="00F92A89">
            <w:pPr>
              <w:pStyle w:val="TableText"/>
            </w:pPr>
            <w:r w:rsidRPr="001E7563">
              <w:t>PathWest for SCD, Modell (2008) for β</w:t>
            </w:r>
            <w:r w:rsidR="00AC3CA4" w:rsidRPr="0003061A">
              <w:noBreakHyphen/>
            </w:r>
            <w:r w:rsidRPr="001E7563">
              <w:t>thal</w:t>
            </w:r>
            <w:r w:rsidRPr="001E7563">
              <w:br/>
              <w:t>7 per 100,000 SCD; 6 per 100,000 β-thal</w:t>
            </w:r>
          </w:p>
        </w:tc>
        <w:tc>
          <w:tcPr>
            <w:tcW w:w="550" w:type="pct"/>
            <w:tcBorders>
              <w:right w:val="single" w:sz="4" w:space="0" w:color="auto"/>
            </w:tcBorders>
            <w:shd w:val="clear" w:color="auto" w:fill="auto"/>
            <w:noWrap/>
          </w:tcPr>
          <w:p w14:paraId="00000460" w14:textId="77777777" w:rsidR="00F554A7" w:rsidRPr="001E7563" w:rsidRDefault="007A75BF" w:rsidP="00F92A89">
            <w:pPr>
              <w:pStyle w:val="TableText"/>
              <w:jc w:val="right"/>
            </w:pPr>
            <w:r w:rsidRPr="001E7563">
              <w:t>$10.04</w:t>
            </w:r>
          </w:p>
        </w:tc>
        <w:tc>
          <w:tcPr>
            <w:tcW w:w="551" w:type="pct"/>
            <w:tcBorders>
              <w:left w:val="single" w:sz="4" w:space="0" w:color="auto"/>
              <w:right w:val="single" w:sz="4" w:space="0" w:color="auto"/>
            </w:tcBorders>
            <w:shd w:val="clear" w:color="auto" w:fill="auto"/>
            <w:noWrap/>
          </w:tcPr>
          <w:p w14:paraId="00000461" w14:textId="77777777" w:rsidR="00F554A7" w:rsidRPr="001E7563" w:rsidRDefault="007A75BF" w:rsidP="00F92A89">
            <w:pPr>
              <w:pStyle w:val="TableText"/>
              <w:jc w:val="right"/>
            </w:pPr>
            <w:r w:rsidRPr="001E7563">
              <w:t>0.00012</w:t>
            </w:r>
          </w:p>
        </w:tc>
        <w:tc>
          <w:tcPr>
            <w:tcW w:w="629" w:type="pct"/>
            <w:tcBorders>
              <w:left w:val="single" w:sz="4" w:space="0" w:color="auto"/>
              <w:right w:val="single" w:sz="4" w:space="0" w:color="auto"/>
            </w:tcBorders>
            <w:shd w:val="clear" w:color="auto" w:fill="auto"/>
            <w:noWrap/>
          </w:tcPr>
          <w:p w14:paraId="00000462" w14:textId="77777777" w:rsidR="00F554A7" w:rsidRPr="001E7563" w:rsidRDefault="007A75BF" w:rsidP="00F92A89">
            <w:pPr>
              <w:pStyle w:val="TableText"/>
              <w:jc w:val="right"/>
            </w:pPr>
            <w:r w:rsidRPr="001E7563">
              <w:t>$86,089</w:t>
            </w:r>
          </w:p>
        </w:tc>
        <w:tc>
          <w:tcPr>
            <w:tcW w:w="443" w:type="pct"/>
            <w:tcBorders>
              <w:left w:val="single" w:sz="4" w:space="0" w:color="auto"/>
              <w:right w:val="single" w:sz="4" w:space="0" w:color="auto"/>
            </w:tcBorders>
          </w:tcPr>
          <w:p w14:paraId="00000463" w14:textId="77777777" w:rsidR="00F554A7" w:rsidRPr="001E7563" w:rsidRDefault="007A75BF" w:rsidP="00F92A89">
            <w:pPr>
              <w:pStyle w:val="TableText"/>
              <w:jc w:val="right"/>
            </w:pPr>
            <w:r w:rsidRPr="001E7563">
              <w:t>69%</w:t>
            </w:r>
          </w:p>
        </w:tc>
      </w:tr>
      <w:tr w:rsidR="00F554A7" w14:paraId="6302ADEB" w14:textId="77777777" w:rsidTr="00F92A89">
        <w:trPr>
          <w:trHeight w:val="279"/>
        </w:trPr>
        <w:tc>
          <w:tcPr>
            <w:tcW w:w="2827" w:type="pct"/>
            <w:shd w:val="clear" w:color="auto" w:fill="auto"/>
            <w:noWrap/>
          </w:tcPr>
          <w:p w14:paraId="00000464" w14:textId="77777777" w:rsidR="00F554A7" w:rsidRDefault="007A75BF" w:rsidP="00F92A89">
            <w:pPr>
              <w:pStyle w:val="TableText"/>
            </w:pPr>
            <w:r w:rsidRPr="001E7563">
              <w:t>VIC/TAS total incidence, proportions from Modell</w:t>
            </w:r>
            <w:r>
              <w:t xml:space="preserve"> (2008): </w:t>
            </w:r>
            <w:r>
              <w:br/>
              <w:t>2 per 100,000 SCD; 22 per 100,000 β-thal</w:t>
            </w:r>
          </w:p>
        </w:tc>
        <w:tc>
          <w:tcPr>
            <w:tcW w:w="550" w:type="pct"/>
            <w:tcBorders>
              <w:right w:val="single" w:sz="4" w:space="0" w:color="auto"/>
            </w:tcBorders>
            <w:shd w:val="clear" w:color="auto" w:fill="auto"/>
            <w:noWrap/>
          </w:tcPr>
          <w:p w14:paraId="00000465" w14:textId="77777777" w:rsidR="00F554A7" w:rsidRDefault="007A75BF" w:rsidP="00F92A89">
            <w:pPr>
              <w:pStyle w:val="TableText"/>
              <w:jc w:val="right"/>
            </w:pPr>
            <w:r w:rsidRPr="001E7563">
              <w:t>$9.98</w:t>
            </w:r>
          </w:p>
        </w:tc>
        <w:tc>
          <w:tcPr>
            <w:tcW w:w="551" w:type="pct"/>
            <w:tcBorders>
              <w:left w:val="single" w:sz="4" w:space="0" w:color="auto"/>
              <w:right w:val="single" w:sz="4" w:space="0" w:color="auto"/>
            </w:tcBorders>
            <w:shd w:val="clear" w:color="auto" w:fill="auto"/>
            <w:noWrap/>
          </w:tcPr>
          <w:p w14:paraId="00000466" w14:textId="77777777" w:rsidR="00F554A7" w:rsidRDefault="007A75BF" w:rsidP="00F92A89">
            <w:pPr>
              <w:pStyle w:val="TableText"/>
              <w:jc w:val="right"/>
            </w:pPr>
            <w:r w:rsidRPr="001E7563">
              <w:t>0.00018</w:t>
            </w:r>
          </w:p>
        </w:tc>
        <w:tc>
          <w:tcPr>
            <w:tcW w:w="629" w:type="pct"/>
            <w:tcBorders>
              <w:left w:val="single" w:sz="4" w:space="0" w:color="auto"/>
              <w:right w:val="single" w:sz="4" w:space="0" w:color="auto"/>
            </w:tcBorders>
            <w:shd w:val="clear" w:color="auto" w:fill="auto"/>
            <w:noWrap/>
          </w:tcPr>
          <w:p w14:paraId="00000467" w14:textId="77777777" w:rsidR="00F554A7" w:rsidRDefault="007A75BF" w:rsidP="00F92A89">
            <w:pPr>
              <w:pStyle w:val="TableText"/>
              <w:jc w:val="right"/>
            </w:pPr>
            <w:r w:rsidRPr="001E7563">
              <w:t>$54,099</w:t>
            </w:r>
          </w:p>
        </w:tc>
        <w:tc>
          <w:tcPr>
            <w:tcW w:w="443" w:type="pct"/>
            <w:tcBorders>
              <w:left w:val="single" w:sz="4" w:space="0" w:color="auto"/>
              <w:right w:val="single" w:sz="4" w:space="0" w:color="auto"/>
            </w:tcBorders>
          </w:tcPr>
          <w:p w14:paraId="00000468" w14:textId="77777777" w:rsidR="00F554A7" w:rsidRDefault="007A75BF" w:rsidP="00F92A89">
            <w:pPr>
              <w:pStyle w:val="TableText"/>
              <w:jc w:val="right"/>
            </w:pPr>
            <w:r w:rsidRPr="001E7563">
              <w:t>6%</w:t>
            </w:r>
          </w:p>
        </w:tc>
      </w:tr>
      <w:tr w:rsidR="00F554A7" w14:paraId="78D70E66" w14:textId="77777777" w:rsidTr="00F92A89">
        <w:trPr>
          <w:trHeight w:val="279"/>
        </w:trPr>
        <w:tc>
          <w:tcPr>
            <w:tcW w:w="5000" w:type="pct"/>
            <w:gridSpan w:val="5"/>
            <w:shd w:val="clear" w:color="auto" w:fill="auto"/>
            <w:noWrap/>
            <w:vAlign w:val="center"/>
          </w:tcPr>
          <w:p w14:paraId="00000469" w14:textId="5A020614" w:rsidR="00F554A7" w:rsidRPr="001E7563" w:rsidRDefault="007A75BF" w:rsidP="00F92A89">
            <w:pPr>
              <w:pStyle w:val="TableText"/>
              <w:rPr>
                <w:b/>
              </w:rPr>
            </w:pPr>
            <w:r w:rsidRPr="001E7563">
              <w:rPr>
                <w:b/>
              </w:rPr>
              <w:t>Sensitivity of β</w:t>
            </w:r>
            <w:r w:rsidR="00AC3CA4" w:rsidRPr="00294FF2">
              <w:rPr>
                <w:b/>
              </w:rPr>
              <w:noBreakHyphen/>
            </w:r>
            <w:r w:rsidRPr="001E7563">
              <w:rPr>
                <w:b/>
              </w:rPr>
              <w:t>thal screening (base case: 98.5%)</w:t>
            </w:r>
          </w:p>
        </w:tc>
      </w:tr>
      <w:tr w:rsidR="00F554A7" w14:paraId="6D504CD2" w14:textId="77777777" w:rsidTr="00F92A89">
        <w:trPr>
          <w:trHeight w:val="279"/>
        </w:trPr>
        <w:tc>
          <w:tcPr>
            <w:tcW w:w="2827" w:type="pct"/>
            <w:shd w:val="clear" w:color="auto" w:fill="auto"/>
            <w:noWrap/>
            <w:vAlign w:val="center"/>
          </w:tcPr>
          <w:p w14:paraId="0000046E" w14:textId="77777777" w:rsidR="00F554A7" w:rsidRPr="00F92A89" w:rsidRDefault="007A75BF" w:rsidP="001E7563">
            <w:pPr>
              <w:spacing w:before="0" w:after="0"/>
              <w:rPr>
                <w:rFonts w:ascii="Arial Narrow" w:hAnsi="Arial Narrow"/>
                <w:color w:val="000000"/>
              </w:rPr>
            </w:pPr>
            <w:r w:rsidRPr="00F92A89">
              <w:rPr>
                <w:rFonts w:ascii="Arial Narrow" w:hAnsi="Arial Narrow"/>
                <w:color w:val="000000"/>
              </w:rPr>
              <w:t>88.8%</w:t>
            </w:r>
          </w:p>
        </w:tc>
        <w:tc>
          <w:tcPr>
            <w:tcW w:w="550" w:type="pct"/>
            <w:tcBorders>
              <w:right w:val="single" w:sz="4" w:space="0" w:color="auto"/>
            </w:tcBorders>
            <w:shd w:val="clear" w:color="auto" w:fill="auto"/>
            <w:noWrap/>
          </w:tcPr>
          <w:p w14:paraId="0000046F" w14:textId="77777777" w:rsidR="00F554A7" w:rsidRPr="00F92A89" w:rsidRDefault="007A75BF" w:rsidP="00F92A89">
            <w:pPr>
              <w:pStyle w:val="TableText"/>
              <w:jc w:val="right"/>
              <w:rPr>
                <w:color w:val="000000"/>
              </w:rPr>
            </w:pPr>
            <w:r w:rsidRPr="001E7563">
              <w:t>$10.03</w:t>
            </w:r>
          </w:p>
        </w:tc>
        <w:tc>
          <w:tcPr>
            <w:tcW w:w="551" w:type="pct"/>
            <w:tcBorders>
              <w:left w:val="single" w:sz="4" w:space="0" w:color="auto"/>
              <w:right w:val="single" w:sz="4" w:space="0" w:color="auto"/>
            </w:tcBorders>
            <w:shd w:val="clear" w:color="auto" w:fill="auto"/>
            <w:noWrap/>
          </w:tcPr>
          <w:p w14:paraId="00000470" w14:textId="77777777" w:rsidR="00F554A7" w:rsidRPr="00F92A89" w:rsidRDefault="007A75BF" w:rsidP="00F92A89">
            <w:pPr>
              <w:pStyle w:val="TableText"/>
              <w:jc w:val="right"/>
              <w:rPr>
                <w:color w:val="000000"/>
              </w:rPr>
            </w:pPr>
            <w:r w:rsidRPr="001E7563">
              <w:t>0.00018</w:t>
            </w:r>
          </w:p>
        </w:tc>
        <w:tc>
          <w:tcPr>
            <w:tcW w:w="629" w:type="pct"/>
            <w:tcBorders>
              <w:left w:val="single" w:sz="4" w:space="0" w:color="auto"/>
              <w:right w:val="single" w:sz="4" w:space="0" w:color="auto"/>
            </w:tcBorders>
            <w:shd w:val="clear" w:color="auto" w:fill="auto"/>
            <w:noWrap/>
          </w:tcPr>
          <w:p w14:paraId="00000471" w14:textId="77777777" w:rsidR="00F554A7" w:rsidRPr="00F92A89" w:rsidRDefault="007A75BF" w:rsidP="00F92A89">
            <w:pPr>
              <w:pStyle w:val="TableText"/>
              <w:jc w:val="right"/>
              <w:rPr>
                <w:color w:val="000000"/>
              </w:rPr>
            </w:pPr>
            <w:r w:rsidRPr="001E7563">
              <w:t>$54,288</w:t>
            </w:r>
          </w:p>
        </w:tc>
        <w:tc>
          <w:tcPr>
            <w:tcW w:w="443" w:type="pct"/>
            <w:tcBorders>
              <w:left w:val="single" w:sz="4" w:space="0" w:color="auto"/>
              <w:right w:val="single" w:sz="4" w:space="0" w:color="auto"/>
            </w:tcBorders>
          </w:tcPr>
          <w:p w14:paraId="00000472" w14:textId="77777777" w:rsidR="00F554A7" w:rsidRPr="00F92A89" w:rsidRDefault="007A75BF" w:rsidP="00F92A89">
            <w:pPr>
              <w:pStyle w:val="TableText"/>
              <w:jc w:val="right"/>
              <w:rPr>
                <w:color w:val="000000"/>
              </w:rPr>
            </w:pPr>
            <w:r w:rsidRPr="001E7563">
              <w:t>7%</w:t>
            </w:r>
          </w:p>
        </w:tc>
      </w:tr>
    </w:tbl>
    <w:p w14:paraId="00000473" w14:textId="1AB0247B" w:rsidR="00F554A7" w:rsidRPr="00F92A89" w:rsidRDefault="007A75BF" w:rsidP="00F92A89">
      <w:pPr>
        <w:pStyle w:val="TableFigureFooter"/>
        <w:rPr>
          <w:rFonts w:eastAsia="Arial Narrow"/>
        </w:rPr>
      </w:pPr>
      <w:r w:rsidRPr="00F92A89">
        <w:rPr>
          <w:rFonts w:eastAsia="Arial Narrow"/>
        </w:rPr>
        <w:t>β</w:t>
      </w:r>
      <w:r w:rsidR="00AC3CA4">
        <w:noBreakHyphen/>
      </w:r>
      <w:r w:rsidRPr="00F92A89">
        <w:rPr>
          <w:rFonts w:eastAsia="Arial Narrow"/>
        </w:rPr>
        <w:t>thal = beta-thalassemia; CE = capillary electrophoresis; ESI-MS/MS = Electrospray Ionization tandem mass spectrometry; HbS = haemoglobin S; HPLC = high performance liquid chromatography; ICER = incremental cost-effectiveness ratio; Inc. = incremental; IEF = isoelectric focusing; MALDI-TOF = Matrix Assisted Laser Desorption/Ionization time-of-flight mass spectrometry; PCR = polymerase chain reaction; SCD = sickle cell disease.</w:t>
      </w:r>
    </w:p>
    <w:p w14:paraId="00000474" w14:textId="340D1A21" w:rsidR="00F554A7" w:rsidRDefault="007A75BF">
      <w:pPr>
        <w:pStyle w:val="TableFigureFooter"/>
        <w:rPr>
          <w:rFonts w:eastAsia="Arial Narrow"/>
        </w:rPr>
      </w:pPr>
      <w:r w:rsidRPr="00F92A89">
        <w:rPr>
          <w:rFonts w:eastAsia="Arial Narrow"/>
          <w:b/>
          <w:bCs/>
        </w:rPr>
        <w:t>a</w:t>
      </w:r>
      <w:r w:rsidRPr="00F92A89">
        <w:rPr>
          <w:rFonts w:eastAsia="Arial Narrow"/>
        </w:rPr>
        <w:t xml:space="preserve"> Total incidence estimated to be 24 per 100,000 (from 20 cases of haemoglobinopathy identified each year of approx. 82,400 births). Incidence of SCD was assumed as for PathWest, with the remaining incident cases assumed to be β-thal. The distribution of β-thal major to β-thal intermedia was assumed as for the Modell’s Almanac (2008) data.</w:t>
      </w:r>
    </w:p>
    <w:p w14:paraId="79F2E263" w14:textId="240F7960" w:rsidR="00783108" w:rsidRPr="00F92A89" w:rsidRDefault="00783108" w:rsidP="00F92A89">
      <w:pPr>
        <w:pStyle w:val="TableFigureFooter"/>
        <w:rPr>
          <w:rFonts w:eastAsia="Arial Narrow"/>
        </w:rPr>
      </w:pPr>
      <w:r>
        <w:rPr>
          <w:rFonts w:eastAsia="Arial Narrow"/>
        </w:rPr>
        <w:t>Source: DCAR Table 20</w:t>
      </w:r>
      <w:r w:rsidR="00EE1F22">
        <w:rPr>
          <w:rFonts w:eastAsia="Arial Narrow"/>
        </w:rPr>
        <w:t>.</w:t>
      </w:r>
    </w:p>
    <w:p w14:paraId="00000475" w14:textId="77777777" w:rsidR="00F554A7" w:rsidRDefault="007A75BF" w:rsidP="001E7563">
      <w:pPr>
        <w:pStyle w:val="Heading2"/>
        <w:numPr>
          <w:ilvl w:val="0"/>
          <w:numId w:val="0"/>
        </w:numPr>
      </w:pPr>
      <w:bookmarkStart w:id="116" w:name="_heading=h.2dlolyb" w:colFirst="0" w:colLast="0"/>
      <w:bookmarkStart w:id="117" w:name="_Toc132821930"/>
      <w:bookmarkEnd w:id="115"/>
      <w:bookmarkEnd w:id="116"/>
      <w:r>
        <w:lastRenderedPageBreak/>
        <w:t>14.</w:t>
      </w:r>
      <w:r>
        <w:tab/>
        <w:t>Financial/budgetary impacts</w:t>
      </w:r>
      <w:bookmarkEnd w:id="117"/>
    </w:p>
    <w:p w14:paraId="00000476" w14:textId="77777777" w:rsidR="00F554A7" w:rsidRDefault="007A75BF">
      <w:r>
        <w:t>An epidemiological approach is presented to estimate the use and financial impact of expanding NBS programs to include haemoglobinopathies. This includes the estimated use and cost of first- and second-tier testing (including genetic testing, where used as the second-tier test). The financial impact for other changes to state budgets (including changes in the use of current targeted testing) is presented separately.</w:t>
      </w:r>
    </w:p>
    <w:p w14:paraId="00000477" w14:textId="6414FA7A" w:rsidR="00F554A7" w:rsidRDefault="007A75BF">
      <w:r>
        <w:t xml:space="preserve">The financial implications to the NBS resulting from the proposed addition of haemoglobinopathies to the screening program are summarised in </w:t>
      </w:r>
      <w:r w:rsidR="00B445BF">
        <w:fldChar w:fldCharType="begin"/>
      </w:r>
      <w:r w:rsidR="00B445BF">
        <w:instrText xml:space="preserve"> REF _Ref69726382 \h </w:instrText>
      </w:r>
      <w:r w:rsidR="00B445BF">
        <w:fldChar w:fldCharType="separate"/>
      </w:r>
      <w:r w:rsidR="006E058E" w:rsidRPr="00F92A89">
        <w:rPr>
          <w:rFonts w:eastAsia="Arial Narrow"/>
        </w:rPr>
        <w:t>Table </w:t>
      </w:r>
      <w:r w:rsidR="006E058E">
        <w:rPr>
          <w:noProof/>
        </w:rPr>
        <w:t>21</w:t>
      </w:r>
      <w:r w:rsidR="00B445BF">
        <w:fldChar w:fldCharType="end"/>
      </w:r>
      <w:r w:rsidR="00B445BF" w:rsidRPr="000D6613">
        <w:t>.</w:t>
      </w:r>
    </w:p>
    <w:p w14:paraId="00000478" w14:textId="703B5109" w:rsidR="00F554A7" w:rsidRPr="00F92A89" w:rsidRDefault="007A75BF" w:rsidP="00E22945">
      <w:pPr>
        <w:pStyle w:val="Caption"/>
        <w:spacing w:after="0"/>
        <w:rPr>
          <w:rFonts w:eastAsia="Arial Narrow"/>
          <w:b w:val="0"/>
        </w:rPr>
      </w:pPr>
      <w:bookmarkStart w:id="118" w:name="_heading=h.sqyw64" w:colFirst="0" w:colLast="0"/>
      <w:bookmarkStart w:id="119" w:name="_Ref69726382"/>
      <w:bookmarkEnd w:id="118"/>
      <w:r w:rsidRPr="00F92A89">
        <w:rPr>
          <w:rFonts w:eastAsia="Arial Narrow"/>
        </w:rPr>
        <w:t>Table </w:t>
      </w:r>
      <w:r w:rsidR="00B445BF">
        <w:fldChar w:fldCharType="begin"/>
      </w:r>
      <w:r w:rsidR="00B445BF">
        <w:instrText>SEQ Table \* ARABIC</w:instrText>
      </w:r>
      <w:r w:rsidR="00B445BF">
        <w:fldChar w:fldCharType="separate"/>
      </w:r>
      <w:r w:rsidR="006E058E">
        <w:rPr>
          <w:noProof/>
        </w:rPr>
        <w:t>21</w:t>
      </w:r>
      <w:r w:rsidR="00B445BF">
        <w:fldChar w:fldCharType="end"/>
      </w:r>
      <w:bookmarkEnd w:id="119"/>
      <w:r w:rsidRPr="00F92A89">
        <w:rPr>
          <w:rFonts w:eastAsia="Arial Narrow"/>
        </w:rPr>
        <w:tab/>
        <w:t>Net financial implications of adding haemoglobinopathies to NBS programs</w:t>
      </w:r>
    </w:p>
    <w:tbl>
      <w:tblPr>
        <w:tblStyle w:val="TableGrid1"/>
        <w:tblW w:w="5000" w:type="pct"/>
        <w:tblLayout w:type="fixed"/>
        <w:tblLook w:val="04A0" w:firstRow="1" w:lastRow="0" w:firstColumn="1" w:lastColumn="0" w:noHBand="0" w:noVBand="1"/>
      </w:tblPr>
      <w:tblGrid>
        <w:gridCol w:w="2122"/>
        <w:gridCol w:w="1149"/>
        <w:gridCol w:w="1149"/>
        <w:gridCol w:w="1149"/>
        <w:gridCol w:w="1149"/>
        <w:gridCol w:w="1149"/>
        <w:gridCol w:w="1149"/>
      </w:tblGrid>
      <w:tr w:rsidR="00F554A7" w14:paraId="51E9232D" w14:textId="77777777" w:rsidTr="00F92A89">
        <w:trPr>
          <w:cnfStyle w:val="100000000000" w:firstRow="1" w:lastRow="0" w:firstColumn="0" w:lastColumn="0" w:oddVBand="0" w:evenVBand="0" w:oddHBand="0" w:evenHBand="0" w:firstRowFirstColumn="0" w:firstRowLastColumn="0" w:lastRowFirstColumn="0" w:lastRowLastColumn="0"/>
          <w:tblHeader/>
        </w:trPr>
        <w:tc>
          <w:tcPr>
            <w:tcW w:w="1177" w:type="pct"/>
            <w:noWrap/>
            <w:hideMark/>
          </w:tcPr>
          <w:p w14:paraId="00000479" w14:textId="77777777" w:rsidR="00F554A7" w:rsidRPr="001E7563" w:rsidRDefault="00F554A7" w:rsidP="00F92A89">
            <w:pPr>
              <w:pStyle w:val="In-tableHeading"/>
            </w:pPr>
            <w:bookmarkStart w:id="120" w:name="_heading=h.3cqmetx" w:colFirst="0" w:colLast="0"/>
            <w:bookmarkStart w:id="121" w:name="_Hlk68276814"/>
            <w:bookmarkEnd w:id="120"/>
          </w:p>
        </w:tc>
        <w:tc>
          <w:tcPr>
            <w:tcW w:w="637" w:type="pct"/>
            <w:noWrap/>
            <w:hideMark/>
          </w:tcPr>
          <w:p w14:paraId="0000047A" w14:textId="0FE208F1" w:rsidR="00F554A7" w:rsidRPr="001E7563" w:rsidRDefault="007A75BF" w:rsidP="00F92A89">
            <w:pPr>
              <w:pStyle w:val="In-tableHeading"/>
              <w:jc w:val="center"/>
            </w:pPr>
            <w:r w:rsidRPr="00F92A89">
              <w:t>2023−24</w:t>
            </w:r>
          </w:p>
        </w:tc>
        <w:tc>
          <w:tcPr>
            <w:tcW w:w="637" w:type="pct"/>
            <w:noWrap/>
            <w:hideMark/>
          </w:tcPr>
          <w:p w14:paraId="0000047B" w14:textId="0BD3EBD9" w:rsidR="00F554A7" w:rsidRPr="001E7563" w:rsidRDefault="007A75BF" w:rsidP="00F92A89">
            <w:pPr>
              <w:pStyle w:val="In-tableHeading"/>
              <w:jc w:val="center"/>
            </w:pPr>
            <w:r w:rsidRPr="00F92A89">
              <w:t>2024−25</w:t>
            </w:r>
          </w:p>
        </w:tc>
        <w:tc>
          <w:tcPr>
            <w:tcW w:w="637" w:type="pct"/>
            <w:noWrap/>
            <w:hideMark/>
          </w:tcPr>
          <w:p w14:paraId="0000047C" w14:textId="42F50C2A" w:rsidR="00F554A7" w:rsidRPr="001E7563" w:rsidRDefault="007A75BF" w:rsidP="00F92A89">
            <w:pPr>
              <w:pStyle w:val="In-tableHeading"/>
              <w:jc w:val="center"/>
            </w:pPr>
            <w:r w:rsidRPr="00F92A89">
              <w:t>2025−26</w:t>
            </w:r>
          </w:p>
        </w:tc>
        <w:tc>
          <w:tcPr>
            <w:tcW w:w="637" w:type="pct"/>
            <w:noWrap/>
            <w:hideMark/>
          </w:tcPr>
          <w:p w14:paraId="0000047D" w14:textId="3A749A5B" w:rsidR="00F554A7" w:rsidRPr="001E7563" w:rsidRDefault="007A75BF" w:rsidP="00F92A89">
            <w:pPr>
              <w:pStyle w:val="In-tableHeading"/>
              <w:jc w:val="center"/>
            </w:pPr>
            <w:r w:rsidRPr="00F92A89">
              <w:t>2027−28</w:t>
            </w:r>
          </w:p>
        </w:tc>
        <w:tc>
          <w:tcPr>
            <w:tcW w:w="637" w:type="pct"/>
            <w:noWrap/>
            <w:hideMark/>
          </w:tcPr>
          <w:p w14:paraId="0000047E" w14:textId="42BD4781" w:rsidR="00F554A7" w:rsidRPr="001E7563" w:rsidRDefault="007A75BF" w:rsidP="00F92A89">
            <w:pPr>
              <w:pStyle w:val="In-tableHeading"/>
              <w:jc w:val="center"/>
            </w:pPr>
            <w:r w:rsidRPr="00F92A89">
              <w:t>2028−29</w:t>
            </w:r>
          </w:p>
        </w:tc>
        <w:tc>
          <w:tcPr>
            <w:tcW w:w="637" w:type="pct"/>
            <w:noWrap/>
            <w:hideMark/>
          </w:tcPr>
          <w:p w14:paraId="0000047F" w14:textId="58EB091D" w:rsidR="00F554A7" w:rsidRPr="001E7563" w:rsidRDefault="007A75BF" w:rsidP="00F92A89">
            <w:pPr>
              <w:pStyle w:val="In-tableHeading"/>
              <w:jc w:val="center"/>
            </w:pPr>
            <w:r w:rsidRPr="00F92A89">
              <w:t>2029−30</w:t>
            </w:r>
          </w:p>
        </w:tc>
      </w:tr>
      <w:tr w:rsidR="00F554A7" w14:paraId="77F768A9" w14:textId="77777777" w:rsidTr="00F92A89">
        <w:tc>
          <w:tcPr>
            <w:tcW w:w="1177" w:type="pct"/>
            <w:noWrap/>
          </w:tcPr>
          <w:p w14:paraId="00000480" w14:textId="77777777" w:rsidR="00F554A7" w:rsidRDefault="007A75BF" w:rsidP="00F92A89">
            <w:pPr>
              <w:pStyle w:val="TableText"/>
              <w:keepNext/>
            </w:pPr>
            <w:r w:rsidRPr="001E7563">
              <w:t>No. babies born</w:t>
            </w:r>
          </w:p>
        </w:tc>
        <w:tc>
          <w:tcPr>
            <w:tcW w:w="637" w:type="pct"/>
            <w:noWrap/>
          </w:tcPr>
          <w:p w14:paraId="00000481" w14:textId="77777777" w:rsidR="00F554A7" w:rsidRDefault="007A75BF" w:rsidP="00F92A89">
            <w:pPr>
              <w:pStyle w:val="TableText"/>
              <w:keepNext/>
              <w:jc w:val="right"/>
            </w:pPr>
            <w:r w:rsidRPr="001E7563">
              <w:t>313,259</w:t>
            </w:r>
          </w:p>
        </w:tc>
        <w:tc>
          <w:tcPr>
            <w:tcW w:w="637" w:type="pct"/>
            <w:noWrap/>
          </w:tcPr>
          <w:p w14:paraId="00000482" w14:textId="77777777" w:rsidR="00F554A7" w:rsidRDefault="007A75BF" w:rsidP="00F92A89">
            <w:pPr>
              <w:pStyle w:val="TableText"/>
              <w:keepNext/>
              <w:jc w:val="right"/>
            </w:pPr>
            <w:r w:rsidRPr="001E7563">
              <w:t>313,993</w:t>
            </w:r>
          </w:p>
        </w:tc>
        <w:tc>
          <w:tcPr>
            <w:tcW w:w="637" w:type="pct"/>
            <w:noWrap/>
          </w:tcPr>
          <w:p w14:paraId="00000483" w14:textId="77777777" w:rsidR="00F554A7" w:rsidRDefault="007A75BF" w:rsidP="00F92A89">
            <w:pPr>
              <w:pStyle w:val="TableText"/>
              <w:keepNext/>
              <w:jc w:val="right"/>
            </w:pPr>
            <w:r w:rsidRPr="001E7563">
              <w:t>314,727</w:t>
            </w:r>
          </w:p>
        </w:tc>
        <w:tc>
          <w:tcPr>
            <w:tcW w:w="637" w:type="pct"/>
            <w:noWrap/>
          </w:tcPr>
          <w:p w14:paraId="00000484" w14:textId="77777777" w:rsidR="00F554A7" w:rsidRDefault="007A75BF" w:rsidP="00F92A89">
            <w:pPr>
              <w:pStyle w:val="TableText"/>
              <w:keepNext/>
              <w:jc w:val="right"/>
            </w:pPr>
            <w:r w:rsidRPr="001E7563">
              <w:t>315,462</w:t>
            </w:r>
          </w:p>
        </w:tc>
        <w:tc>
          <w:tcPr>
            <w:tcW w:w="637" w:type="pct"/>
            <w:noWrap/>
          </w:tcPr>
          <w:p w14:paraId="00000485" w14:textId="77777777" w:rsidR="00F554A7" w:rsidRDefault="007A75BF" w:rsidP="00F92A89">
            <w:pPr>
              <w:pStyle w:val="TableText"/>
              <w:keepNext/>
              <w:jc w:val="right"/>
            </w:pPr>
            <w:r w:rsidRPr="001E7563">
              <w:t>316,196</w:t>
            </w:r>
          </w:p>
        </w:tc>
        <w:tc>
          <w:tcPr>
            <w:tcW w:w="637" w:type="pct"/>
            <w:noWrap/>
          </w:tcPr>
          <w:p w14:paraId="00000486" w14:textId="77777777" w:rsidR="00F554A7" w:rsidRDefault="007A75BF" w:rsidP="00F92A89">
            <w:pPr>
              <w:pStyle w:val="TableText"/>
              <w:keepNext/>
              <w:jc w:val="right"/>
            </w:pPr>
            <w:r w:rsidRPr="001E7563">
              <w:t>316,930</w:t>
            </w:r>
          </w:p>
        </w:tc>
      </w:tr>
      <w:tr w:rsidR="00F554A7" w14:paraId="69770A23" w14:textId="77777777" w:rsidTr="00F92A89">
        <w:tc>
          <w:tcPr>
            <w:tcW w:w="1177" w:type="pct"/>
            <w:noWrap/>
          </w:tcPr>
          <w:p w14:paraId="00000487" w14:textId="77777777" w:rsidR="00F554A7" w:rsidRDefault="007A75BF" w:rsidP="00F92A89">
            <w:pPr>
              <w:pStyle w:val="TableText"/>
              <w:keepNext/>
            </w:pPr>
            <w:r w:rsidRPr="001E7563">
              <w:t>No. babies who uptake NBS (99.3%)</w:t>
            </w:r>
          </w:p>
        </w:tc>
        <w:tc>
          <w:tcPr>
            <w:tcW w:w="637" w:type="pct"/>
            <w:noWrap/>
          </w:tcPr>
          <w:p w14:paraId="00000488" w14:textId="77777777" w:rsidR="00F554A7" w:rsidRDefault="007A75BF" w:rsidP="00F92A89">
            <w:pPr>
              <w:pStyle w:val="TableText"/>
              <w:keepNext/>
              <w:jc w:val="right"/>
            </w:pPr>
            <w:r w:rsidRPr="001E7563">
              <w:t>310,922</w:t>
            </w:r>
          </w:p>
        </w:tc>
        <w:tc>
          <w:tcPr>
            <w:tcW w:w="637" w:type="pct"/>
            <w:noWrap/>
          </w:tcPr>
          <w:p w14:paraId="00000489" w14:textId="77777777" w:rsidR="00F554A7" w:rsidRDefault="007A75BF" w:rsidP="00F92A89">
            <w:pPr>
              <w:pStyle w:val="TableText"/>
              <w:keepNext/>
              <w:jc w:val="right"/>
            </w:pPr>
            <w:r w:rsidRPr="001E7563">
              <w:t>311,651</w:t>
            </w:r>
          </w:p>
        </w:tc>
        <w:tc>
          <w:tcPr>
            <w:tcW w:w="637" w:type="pct"/>
            <w:noWrap/>
          </w:tcPr>
          <w:p w14:paraId="0000048A" w14:textId="77777777" w:rsidR="00F554A7" w:rsidRDefault="007A75BF" w:rsidP="00F92A89">
            <w:pPr>
              <w:pStyle w:val="TableText"/>
              <w:keepNext/>
              <w:jc w:val="right"/>
            </w:pPr>
            <w:r w:rsidRPr="001E7563">
              <w:t>312,380</w:t>
            </w:r>
          </w:p>
        </w:tc>
        <w:tc>
          <w:tcPr>
            <w:tcW w:w="637" w:type="pct"/>
            <w:noWrap/>
          </w:tcPr>
          <w:p w14:paraId="0000048B" w14:textId="77777777" w:rsidR="00F554A7" w:rsidRDefault="007A75BF" w:rsidP="00F92A89">
            <w:pPr>
              <w:pStyle w:val="TableText"/>
              <w:keepNext/>
              <w:jc w:val="right"/>
            </w:pPr>
            <w:r w:rsidRPr="001E7563">
              <w:t>313,109</w:t>
            </w:r>
          </w:p>
        </w:tc>
        <w:tc>
          <w:tcPr>
            <w:tcW w:w="637" w:type="pct"/>
            <w:noWrap/>
          </w:tcPr>
          <w:p w14:paraId="0000048C" w14:textId="77777777" w:rsidR="00F554A7" w:rsidRDefault="007A75BF" w:rsidP="00F92A89">
            <w:pPr>
              <w:pStyle w:val="TableText"/>
              <w:keepNext/>
              <w:jc w:val="right"/>
            </w:pPr>
            <w:r w:rsidRPr="001E7563">
              <w:t>313,837</w:t>
            </w:r>
          </w:p>
        </w:tc>
        <w:tc>
          <w:tcPr>
            <w:tcW w:w="637" w:type="pct"/>
            <w:noWrap/>
          </w:tcPr>
          <w:p w14:paraId="0000048D" w14:textId="77777777" w:rsidR="00F554A7" w:rsidRDefault="007A75BF" w:rsidP="00F92A89">
            <w:pPr>
              <w:pStyle w:val="TableText"/>
              <w:keepNext/>
              <w:jc w:val="right"/>
            </w:pPr>
            <w:r w:rsidRPr="001E7563">
              <w:t>314,566</w:t>
            </w:r>
          </w:p>
        </w:tc>
      </w:tr>
      <w:tr w:rsidR="00F554A7" w14:paraId="16CCCC8A" w14:textId="77777777" w:rsidTr="00F92A89">
        <w:tc>
          <w:tcPr>
            <w:tcW w:w="1177" w:type="pct"/>
            <w:noWrap/>
          </w:tcPr>
          <w:p w14:paraId="0000048E" w14:textId="77777777" w:rsidR="00F554A7" w:rsidRDefault="007A75BF" w:rsidP="00F92A89">
            <w:pPr>
              <w:pStyle w:val="TableText"/>
              <w:keepNext/>
              <w:rPr>
                <w:b/>
              </w:rPr>
            </w:pPr>
            <w:r w:rsidRPr="001E7563">
              <w:rPr>
                <w:b/>
              </w:rPr>
              <w:t xml:space="preserve">Cost of first-tier </w:t>
            </w:r>
            <w:r>
              <w:rPr>
                <w:b/>
              </w:rPr>
              <w:t xml:space="preserve">(MALDI-TOF) screening </w:t>
            </w:r>
            <w:r>
              <w:br/>
              <w:t>($10.00 per test)</w:t>
            </w:r>
          </w:p>
        </w:tc>
        <w:tc>
          <w:tcPr>
            <w:tcW w:w="637" w:type="pct"/>
            <w:noWrap/>
          </w:tcPr>
          <w:p w14:paraId="0000048F" w14:textId="77777777" w:rsidR="00F554A7" w:rsidRDefault="007A75BF" w:rsidP="00F92A89">
            <w:pPr>
              <w:pStyle w:val="TableText"/>
              <w:keepNext/>
              <w:jc w:val="right"/>
              <w:rPr>
                <w:b/>
              </w:rPr>
            </w:pPr>
            <w:r w:rsidRPr="001E7563">
              <w:rPr>
                <w:b/>
              </w:rPr>
              <w:t>$3,109,219</w:t>
            </w:r>
          </w:p>
        </w:tc>
        <w:tc>
          <w:tcPr>
            <w:tcW w:w="637" w:type="pct"/>
            <w:noWrap/>
          </w:tcPr>
          <w:p w14:paraId="00000490" w14:textId="77777777" w:rsidR="00F554A7" w:rsidRDefault="007A75BF" w:rsidP="00F92A89">
            <w:pPr>
              <w:pStyle w:val="TableText"/>
              <w:keepNext/>
              <w:jc w:val="right"/>
              <w:rPr>
                <w:b/>
              </w:rPr>
            </w:pPr>
            <w:r w:rsidRPr="001E7563">
              <w:rPr>
                <w:b/>
              </w:rPr>
              <w:t>$3,116,508</w:t>
            </w:r>
          </w:p>
        </w:tc>
        <w:tc>
          <w:tcPr>
            <w:tcW w:w="637" w:type="pct"/>
            <w:noWrap/>
          </w:tcPr>
          <w:p w14:paraId="00000491" w14:textId="77777777" w:rsidR="00F554A7" w:rsidRDefault="007A75BF" w:rsidP="00F92A89">
            <w:pPr>
              <w:pStyle w:val="TableText"/>
              <w:keepNext/>
              <w:jc w:val="right"/>
              <w:rPr>
                <w:b/>
              </w:rPr>
            </w:pPr>
            <w:r w:rsidRPr="001E7563">
              <w:rPr>
                <w:b/>
              </w:rPr>
              <w:t>$3,123,797</w:t>
            </w:r>
          </w:p>
        </w:tc>
        <w:tc>
          <w:tcPr>
            <w:tcW w:w="637" w:type="pct"/>
            <w:noWrap/>
          </w:tcPr>
          <w:p w14:paraId="00000492" w14:textId="77777777" w:rsidR="00F554A7" w:rsidRDefault="007A75BF" w:rsidP="00F92A89">
            <w:pPr>
              <w:pStyle w:val="TableText"/>
              <w:keepNext/>
              <w:jc w:val="right"/>
              <w:rPr>
                <w:b/>
              </w:rPr>
            </w:pPr>
            <w:r w:rsidRPr="001E7563">
              <w:rPr>
                <w:b/>
              </w:rPr>
              <w:t>$3,131,086</w:t>
            </w:r>
          </w:p>
        </w:tc>
        <w:tc>
          <w:tcPr>
            <w:tcW w:w="637" w:type="pct"/>
            <w:noWrap/>
          </w:tcPr>
          <w:p w14:paraId="00000493" w14:textId="77777777" w:rsidR="00F554A7" w:rsidRDefault="007A75BF" w:rsidP="00F92A89">
            <w:pPr>
              <w:pStyle w:val="TableText"/>
              <w:keepNext/>
              <w:jc w:val="right"/>
              <w:rPr>
                <w:b/>
              </w:rPr>
            </w:pPr>
            <w:r w:rsidRPr="001E7563">
              <w:rPr>
                <w:b/>
              </w:rPr>
              <w:t>$3,138,375</w:t>
            </w:r>
          </w:p>
        </w:tc>
        <w:tc>
          <w:tcPr>
            <w:tcW w:w="637" w:type="pct"/>
            <w:noWrap/>
          </w:tcPr>
          <w:p w14:paraId="00000494" w14:textId="77777777" w:rsidR="00F554A7" w:rsidRDefault="007A75BF" w:rsidP="00F92A89">
            <w:pPr>
              <w:pStyle w:val="TableText"/>
              <w:keepNext/>
              <w:jc w:val="right"/>
              <w:rPr>
                <w:b/>
              </w:rPr>
            </w:pPr>
            <w:r w:rsidRPr="001E7563">
              <w:rPr>
                <w:b/>
              </w:rPr>
              <w:t>$3,145,663</w:t>
            </w:r>
          </w:p>
        </w:tc>
      </w:tr>
      <w:tr w:rsidR="00F554A7" w14:paraId="49CF8C38" w14:textId="77777777" w:rsidTr="00F92A89">
        <w:tc>
          <w:tcPr>
            <w:tcW w:w="1177" w:type="pct"/>
            <w:noWrap/>
            <w:hideMark/>
          </w:tcPr>
          <w:p w14:paraId="00000495" w14:textId="77777777" w:rsidR="00F554A7" w:rsidRDefault="007A75BF" w:rsidP="00F92A89">
            <w:pPr>
              <w:pStyle w:val="TableText"/>
              <w:keepNext/>
            </w:pPr>
            <w:r w:rsidRPr="001E7563">
              <w:t xml:space="preserve">No. with SCD that is correctly identified </w:t>
            </w:r>
            <w:r>
              <w:br/>
              <w:t xml:space="preserve">(7 per 100,000 </w:t>
            </w:r>
            <w:r>
              <w:rPr>
                <w:vertAlign w:val="superscript"/>
              </w:rPr>
              <w:t>a</w:t>
            </w:r>
            <w:r>
              <w:t xml:space="preserve">, of which 100% identified </w:t>
            </w:r>
            <w:r>
              <w:rPr>
                <w:vertAlign w:val="superscript"/>
              </w:rPr>
              <w:t>b</w:t>
            </w:r>
            <w:r>
              <w:t>)</w:t>
            </w:r>
          </w:p>
        </w:tc>
        <w:tc>
          <w:tcPr>
            <w:tcW w:w="637" w:type="pct"/>
            <w:noWrap/>
            <w:hideMark/>
          </w:tcPr>
          <w:p w14:paraId="00000496" w14:textId="77777777" w:rsidR="00F554A7" w:rsidRDefault="007A75BF" w:rsidP="00F92A89">
            <w:pPr>
              <w:pStyle w:val="TableText"/>
              <w:keepNext/>
              <w:jc w:val="right"/>
            </w:pPr>
            <w:r w:rsidRPr="001E7563">
              <w:t>22</w:t>
            </w:r>
          </w:p>
        </w:tc>
        <w:tc>
          <w:tcPr>
            <w:tcW w:w="637" w:type="pct"/>
            <w:noWrap/>
            <w:hideMark/>
          </w:tcPr>
          <w:p w14:paraId="00000497" w14:textId="77777777" w:rsidR="00F554A7" w:rsidRDefault="007A75BF" w:rsidP="00F92A89">
            <w:pPr>
              <w:pStyle w:val="TableText"/>
              <w:keepNext/>
              <w:jc w:val="right"/>
            </w:pPr>
            <w:r w:rsidRPr="001E7563">
              <w:t>22</w:t>
            </w:r>
          </w:p>
        </w:tc>
        <w:tc>
          <w:tcPr>
            <w:tcW w:w="637" w:type="pct"/>
            <w:noWrap/>
            <w:hideMark/>
          </w:tcPr>
          <w:p w14:paraId="00000498" w14:textId="77777777" w:rsidR="00F554A7" w:rsidRDefault="007A75BF" w:rsidP="00F92A89">
            <w:pPr>
              <w:pStyle w:val="TableText"/>
              <w:keepNext/>
              <w:jc w:val="right"/>
            </w:pPr>
            <w:r w:rsidRPr="001E7563">
              <w:t>22</w:t>
            </w:r>
          </w:p>
        </w:tc>
        <w:tc>
          <w:tcPr>
            <w:tcW w:w="637" w:type="pct"/>
            <w:noWrap/>
            <w:hideMark/>
          </w:tcPr>
          <w:p w14:paraId="00000499" w14:textId="77777777" w:rsidR="00F554A7" w:rsidRDefault="007A75BF" w:rsidP="00F92A89">
            <w:pPr>
              <w:pStyle w:val="TableText"/>
              <w:keepNext/>
              <w:jc w:val="right"/>
            </w:pPr>
            <w:r w:rsidRPr="001E7563">
              <w:t>22</w:t>
            </w:r>
          </w:p>
        </w:tc>
        <w:tc>
          <w:tcPr>
            <w:tcW w:w="637" w:type="pct"/>
            <w:noWrap/>
            <w:hideMark/>
          </w:tcPr>
          <w:p w14:paraId="0000049A" w14:textId="77777777" w:rsidR="00F554A7" w:rsidRDefault="007A75BF" w:rsidP="00F92A89">
            <w:pPr>
              <w:pStyle w:val="TableText"/>
              <w:keepNext/>
              <w:jc w:val="right"/>
            </w:pPr>
            <w:r w:rsidRPr="001E7563">
              <w:t>22</w:t>
            </w:r>
          </w:p>
        </w:tc>
        <w:tc>
          <w:tcPr>
            <w:tcW w:w="637" w:type="pct"/>
            <w:noWrap/>
            <w:hideMark/>
          </w:tcPr>
          <w:p w14:paraId="0000049B" w14:textId="77777777" w:rsidR="00F554A7" w:rsidRDefault="007A75BF" w:rsidP="00F92A89">
            <w:pPr>
              <w:pStyle w:val="TableText"/>
              <w:keepNext/>
              <w:jc w:val="right"/>
            </w:pPr>
            <w:r w:rsidRPr="001E7563">
              <w:t>22</w:t>
            </w:r>
          </w:p>
        </w:tc>
      </w:tr>
      <w:tr w:rsidR="00F554A7" w14:paraId="3A432220" w14:textId="77777777" w:rsidTr="00F92A89">
        <w:tc>
          <w:tcPr>
            <w:tcW w:w="1177" w:type="pct"/>
            <w:noWrap/>
            <w:hideMark/>
          </w:tcPr>
          <w:p w14:paraId="0000049C" w14:textId="77777777" w:rsidR="00F554A7" w:rsidRDefault="007A75BF" w:rsidP="00F92A89">
            <w:pPr>
              <w:pStyle w:val="TableText"/>
              <w:keepNext/>
            </w:pPr>
            <w:r w:rsidRPr="001E7563">
              <w:t xml:space="preserve">No. with </w:t>
            </w:r>
            <w:r>
              <w:t>β-thal that is correctly identified</w:t>
            </w:r>
            <w:r>
              <w:br/>
              <w:t xml:space="preserve">(17 per 100,000 </w:t>
            </w:r>
            <w:r>
              <w:rPr>
                <w:vertAlign w:val="superscript"/>
              </w:rPr>
              <w:t>c</w:t>
            </w:r>
            <w:r>
              <w:t xml:space="preserve">, of which 74.25% identified </w:t>
            </w:r>
            <w:r>
              <w:rPr>
                <w:vertAlign w:val="superscript"/>
              </w:rPr>
              <w:t>b</w:t>
            </w:r>
            <w:r>
              <w:t>)</w:t>
            </w:r>
          </w:p>
        </w:tc>
        <w:tc>
          <w:tcPr>
            <w:tcW w:w="637" w:type="pct"/>
            <w:noWrap/>
          </w:tcPr>
          <w:p w14:paraId="0000049D" w14:textId="77777777" w:rsidR="00F554A7" w:rsidRDefault="007A75BF" w:rsidP="00F92A89">
            <w:pPr>
              <w:pStyle w:val="TableText"/>
              <w:keepNext/>
              <w:jc w:val="right"/>
            </w:pPr>
            <w:r w:rsidRPr="001E7563">
              <w:t>40</w:t>
            </w:r>
          </w:p>
        </w:tc>
        <w:tc>
          <w:tcPr>
            <w:tcW w:w="637" w:type="pct"/>
            <w:noWrap/>
          </w:tcPr>
          <w:p w14:paraId="0000049E" w14:textId="77777777" w:rsidR="00F554A7" w:rsidRDefault="007A75BF" w:rsidP="00F92A89">
            <w:pPr>
              <w:pStyle w:val="TableText"/>
              <w:keepNext/>
              <w:jc w:val="right"/>
            </w:pPr>
            <w:r w:rsidRPr="001E7563">
              <w:t>40</w:t>
            </w:r>
          </w:p>
        </w:tc>
        <w:tc>
          <w:tcPr>
            <w:tcW w:w="637" w:type="pct"/>
            <w:noWrap/>
          </w:tcPr>
          <w:p w14:paraId="0000049F" w14:textId="77777777" w:rsidR="00F554A7" w:rsidRDefault="007A75BF" w:rsidP="00F92A89">
            <w:pPr>
              <w:pStyle w:val="TableText"/>
              <w:keepNext/>
              <w:jc w:val="right"/>
            </w:pPr>
            <w:r w:rsidRPr="001E7563">
              <w:t>40</w:t>
            </w:r>
          </w:p>
        </w:tc>
        <w:tc>
          <w:tcPr>
            <w:tcW w:w="637" w:type="pct"/>
            <w:noWrap/>
          </w:tcPr>
          <w:p w14:paraId="000004A0" w14:textId="77777777" w:rsidR="00F554A7" w:rsidRDefault="007A75BF" w:rsidP="00F92A89">
            <w:pPr>
              <w:pStyle w:val="TableText"/>
              <w:keepNext/>
              <w:jc w:val="right"/>
            </w:pPr>
            <w:r w:rsidRPr="001E7563">
              <w:t>40</w:t>
            </w:r>
          </w:p>
        </w:tc>
        <w:tc>
          <w:tcPr>
            <w:tcW w:w="637" w:type="pct"/>
            <w:noWrap/>
          </w:tcPr>
          <w:p w14:paraId="000004A1" w14:textId="77777777" w:rsidR="00F554A7" w:rsidRDefault="007A75BF" w:rsidP="00F92A89">
            <w:pPr>
              <w:pStyle w:val="TableText"/>
              <w:keepNext/>
              <w:jc w:val="right"/>
            </w:pPr>
            <w:r w:rsidRPr="001E7563">
              <w:t>40</w:t>
            </w:r>
          </w:p>
        </w:tc>
        <w:tc>
          <w:tcPr>
            <w:tcW w:w="637" w:type="pct"/>
            <w:noWrap/>
          </w:tcPr>
          <w:p w14:paraId="000004A2" w14:textId="77777777" w:rsidR="00F554A7" w:rsidRDefault="007A75BF" w:rsidP="00F92A89">
            <w:pPr>
              <w:pStyle w:val="TableText"/>
              <w:keepNext/>
              <w:jc w:val="right"/>
            </w:pPr>
            <w:r w:rsidRPr="001E7563">
              <w:t>40</w:t>
            </w:r>
          </w:p>
        </w:tc>
      </w:tr>
      <w:tr w:rsidR="00F554A7" w14:paraId="3C81010A" w14:textId="77777777" w:rsidTr="00F92A89">
        <w:tc>
          <w:tcPr>
            <w:tcW w:w="1177" w:type="pct"/>
            <w:noWrap/>
            <w:hideMark/>
          </w:tcPr>
          <w:p w14:paraId="000004A3" w14:textId="77777777" w:rsidR="00F554A7" w:rsidRDefault="007A75BF" w:rsidP="00F92A89">
            <w:pPr>
              <w:pStyle w:val="TableText"/>
              <w:keepNext/>
            </w:pPr>
            <w:r w:rsidRPr="001E7563">
              <w:t xml:space="preserve">No. false-positive screens </w:t>
            </w:r>
            <w:r>
              <w:br/>
              <w:t>(0.01% of true negatives)</w:t>
            </w:r>
            <w:r>
              <w:rPr>
                <w:vertAlign w:val="superscript"/>
              </w:rPr>
              <w:t>d</w:t>
            </w:r>
          </w:p>
        </w:tc>
        <w:tc>
          <w:tcPr>
            <w:tcW w:w="637" w:type="pct"/>
            <w:noWrap/>
            <w:hideMark/>
          </w:tcPr>
          <w:p w14:paraId="000004A4" w14:textId="77777777" w:rsidR="00F554A7" w:rsidRDefault="007A75BF" w:rsidP="00F92A89">
            <w:pPr>
              <w:pStyle w:val="TableText"/>
              <w:keepNext/>
              <w:jc w:val="right"/>
            </w:pPr>
            <w:r w:rsidRPr="001E7563">
              <w:t>31</w:t>
            </w:r>
          </w:p>
        </w:tc>
        <w:tc>
          <w:tcPr>
            <w:tcW w:w="637" w:type="pct"/>
            <w:noWrap/>
            <w:hideMark/>
          </w:tcPr>
          <w:p w14:paraId="000004A5" w14:textId="77777777" w:rsidR="00F554A7" w:rsidRDefault="007A75BF" w:rsidP="00F92A89">
            <w:pPr>
              <w:pStyle w:val="TableText"/>
              <w:keepNext/>
              <w:jc w:val="right"/>
            </w:pPr>
            <w:r w:rsidRPr="001E7563">
              <w:t>31</w:t>
            </w:r>
          </w:p>
        </w:tc>
        <w:tc>
          <w:tcPr>
            <w:tcW w:w="637" w:type="pct"/>
            <w:noWrap/>
            <w:hideMark/>
          </w:tcPr>
          <w:p w14:paraId="000004A6" w14:textId="77777777" w:rsidR="00F554A7" w:rsidRDefault="007A75BF" w:rsidP="00F92A89">
            <w:pPr>
              <w:pStyle w:val="TableText"/>
              <w:keepNext/>
              <w:jc w:val="right"/>
            </w:pPr>
            <w:r w:rsidRPr="001E7563">
              <w:t>31</w:t>
            </w:r>
          </w:p>
        </w:tc>
        <w:tc>
          <w:tcPr>
            <w:tcW w:w="637" w:type="pct"/>
            <w:noWrap/>
            <w:hideMark/>
          </w:tcPr>
          <w:p w14:paraId="000004A7" w14:textId="77777777" w:rsidR="00F554A7" w:rsidRDefault="007A75BF" w:rsidP="00F92A89">
            <w:pPr>
              <w:pStyle w:val="TableText"/>
              <w:keepNext/>
              <w:jc w:val="right"/>
            </w:pPr>
            <w:r w:rsidRPr="001E7563">
              <w:t>31</w:t>
            </w:r>
          </w:p>
        </w:tc>
        <w:tc>
          <w:tcPr>
            <w:tcW w:w="637" w:type="pct"/>
            <w:noWrap/>
            <w:hideMark/>
          </w:tcPr>
          <w:p w14:paraId="000004A8" w14:textId="77777777" w:rsidR="00F554A7" w:rsidRDefault="007A75BF" w:rsidP="00F92A89">
            <w:pPr>
              <w:pStyle w:val="TableText"/>
              <w:keepNext/>
              <w:jc w:val="right"/>
            </w:pPr>
            <w:r w:rsidRPr="001E7563">
              <w:t>31</w:t>
            </w:r>
          </w:p>
        </w:tc>
        <w:tc>
          <w:tcPr>
            <w:tcW w:w="637" w:type="pct"/>
            <w:noWrap/>
            <w:hideMark/>
          </w:tcPr>
          <w:p w14:paraId="000004A9" w14:textId="77777777" w:rsidR="00F554A7" w:rsidRDefault="007A75BF" w:rsidP="00F92A89">
            <w:pPr>
              <w:pStyle w:val="TableText"/>
              <w:keepNext/>
              <w:jc w:val="right"/>
            </w:pPr>
            <w:r w:rsidRPr="001E7563">
              <w:t>31</w:t>
            </w:r>
          </w:p>
        </w:tc>
      </w:tr>
      <w:tr w:rsidR="00F554A7" w14:paraId="3C11A730" w14:textId="77777777" w:rsidTr="00F92A89">
        <w:tc>
          <w:tcPr>
            <w:tcW w:w="1177" w:type="pct"/>
            <w:noWrap/>
            <w:hideMark/>
          </w:tcPr>
          <w:p w14:paraId="000004AA" w14:textId="77777777" w:rsidR="00F554A7" w:rsidRDefault="007A75BF" w:rsidP="00F92A89">
            <w:pPr>
              <w:pStyle w:val="TableText"/>
              <w:keepNext/>
            </w:pPr>
            <w:r w:rsidRPr="001E7563">
              <w:t>No.</w:t>
            </w:r>
            <w:r>
              <w:t xml:space="preserve"> SCD second-tier screens </w:t>
            </w:r>
            <w:r>
              <w:rPr>
                <w:vertAlign w:val="superscript"/>
              </w:rPr>
              <w:t>e</w:t>
            </w:r>
          </w:p>
        </w:tc>
        <w:tc>
          <w:tcPr>
            <w:tcW w:w="637" w:type="pct"/>
            <w:noWrap/>
          </w:tcPr>
          <w:p w14:paraId="000004AB" w14:textId="77777777" w:rsidR="00F554A7" w:rsidRDefault="007A75BF" w:rsidP="00F92A89">
            <w:pPr>
              <w:pStyle w:val="TableText"/>
              <w:keepNext/>
              <w:jc w:val="right"/>
            </w:pPr>
            <w:r w:rsidRPr="001E7563">
              <w:t>38</w:t>
            </w:r>
          </w:p>
        </w:tc>
        <w:tc>
          <w:tcPr>
            <w:tcW w:w="637" w:type="pct"/>
            <w:noWrap/>
          </w:tcPr>
          <w:p w14:paraId="000004AC" w14:textId="77777777" w:rsidR="00F554A7" w:rsidRDefault="007A75BF" w:rsidP="00F92A89">
            <w:pPr>
              <w:pStyle w:val="TableText"/>
              <w:keepNext/>
              <w:jc w:val="right"/>
            </w:pPr>
            <w:r w:rsidRPr="001E7563">
              <w:t>38</w:t>
            </w:r>
          </w:p>
        </w:tc>
        <w:tc>
          <w:tcPr>
            <w:tcW w:w="637" w:type="pct"/>
            <w:noWrap/>
          </w:tcPr>
          <w:p w14:paraId="000004AD" w14:textId="77777777" w:rsidR="00F554A7" w:rsidRDefault="007A75BF" w:rsidP="00F92A89">
            <w:pPr>
              <w:pStyle w:val="TableText"/>
              <w:keepNext/>
              <w:jc w:val="right"/>
            </w:pPr>
            <w:r w:rsidRPr="001E7563">
              <w:t>38</w:t>
            </w:r>
          </w:p>
        </w:tc>
        <w:tc>
          <w:tcPr>
            <w:tcW w:w="637" w:type="pct"/>
            <w:noWrap/>
          </w:tcPr>
          <w:p w14:paraId="000004AE" w14:textId="77777777" w:rsidR="00F554A7" w:rsidRDefault="007A75BF" w:rsidP="00F92A89">
            <w:pPr>
              <w:pStyle w:val="TableText"/>
              <w:keepNext/>
              <w:jc w:val="right"/>
            </w:pPr>
            <w:r w:rsidRPr="001E7563">
              <w:t>38</w:t>
            </w:r>
          </w:p>
        </w:tc>
        <w:tc>
          <w:tcPr>
            <w:tcW w:w="637" w:type="pct"/>
            <w:noWrap/>
          </w:tcPr>
          <w:p w14:paraId="000004AF" w14:textId="77777777" w:rsidR="00F554A7" w:rsidRDefault="007A75BF" w:rsidP="00F92A89">
            <w:pPr>
              <w:pStyle w:val="TableText"/>
              <w:keepNext/>
              <w:jc w:val="right"/>
            </w:pPr>
            <w:r w:rsidRPr="001E7563">
              <w:t>38</w:t>
            </w:r>
          </w:p>
        </w:tc>
        <w:tc>
          <w:tcPr>
            <w:tcW w:w="637" w:type="pct"/>
            <w:noWrap/>
          </w:tcPr>
          <w:p w14:paraId="000004B0" w14:textId="77777777" w:rsidR="00F554A7" w:rsidRDefault="007A75BF" w:rsidP="00F92A89">
            <w:pPr>
              <w:pStyle w:val="TableText"/>
              <w:keepNext/>
              <w:jc w:val="right"/>
            </w:pPr>
            <w:r w:rsidRPr="001E7563">
              <w:t>38</w:t>
            </w:r>
          </w:p>
        </w:tc>
      </w:tr>
      <w:tr w:rsidR="00F554A7" w14:paraId="0C47AC04" w14:textId="77777777" w:rsidTr="00F92A89">
        <w:tc>
          <w:tcPr>
            <w:tcW w:w="1177" w:type="pct"/>
            <w:noWrap/>
            <w:hideMark/>
          </w:tcPr>
          <w:p w14:paraId="000004B1" w14:textId="77777777" w:rsidR="00F554A7" w:rsidRDefault="007A75BF" w:rsidP="00F92A89">
            <w:pPr>
              <w:pStyle w:val="TableText"/>
              <w:keepNext/>
            </w:pPr>
            <w:r w:rsidRPr="001E7563">
              <w:t xml:space="preserve">Cost of second-tier SCD screening </w:t>
            </w:r>
            <w:r>
              <w:t>(by CE)</w:t>
            </w:r>
            <w:r>
              <w:br/>
              <w:t>($96.60 per test)</w:t>
            </w:r>
          </w:p>
        </w:tc>
        <w:tc>
          <w:tcPr>
            <w:tcW w:w="637" w:type="pct"/>
            <w:noWrap/>
          </w:tcPr>
          <w:p w14:paraId="000004B2" w14:textId="77777777" w:rsidR="00F554A7" w:rsidRDefault="007A75BF" w:rsidP="00F92A89">
            <w:pPr>
              <w:pStyle w:val="TableText"/>
              <w:keepNext/>
              <w:jc w:val="right"/>
            </w:pPr>
            <w:r w:rsidRPr="001E7563">
              <w:t>$18,832</w:t>
            </w:r>
          </w:p>
        </w:tc>
        <w:tc>
          <w:tcPr>
            <w:tcW w:w="637" w:type="pct"/>
            <w:noWrap/>
          </w:tcPr>
          <w:p w14:paraId="000004B3" w14:textId="77777777" w:rsidR="00F554A7" w:rsidRDefault="007A75BF" w:rsidP="00F92A89">
            <w:pPr>
              <w:pStyle w:val="TableText"/>
              <w:keepNext/>
              <w:jc w:val="right"/>
            </w:pPr>
            <w:r w:rsidRPr="001E7563">
              <w:t>$18,876</w:t>
            </w:r>
          </w:p>
        </w:tc>
        <w:tc>
          <w:tcPr>
            <w:tcW w:w="637" w:type="pct"/>
            <w:noWrap/>
          </w:tcPr>
          <w:p w14:paraId="000004B4" w14:textId="77777777" w:rsidR="00F554A7" w:rsidRDefault="007A75BF" w:rsidP="00F92A89">
            <w:pPr>
              <w:pStyle w:val="TableText"/>
              <w:keepNext/>
              <w:jc w:val="right"/>
            </w:pPr>
            <w:r w:rsidRPr="001E7563">
              <w:t>$18,920</w:t>
            </w:r>
          </w:p>
        </w:tc>
        <w:tc>
          <w:tcPr>
            <w:tcW w:w="637" w:type="pct"/>
            <w:noWrap/>
          </w:tcPr>
          <w:p w14:paraId="000004B5" w14:textId="77777777" w:rsidR="00F554A7" w:rsidRDefault="007A75BF" w:rsidP="00F92A89">
            <w:pPr>
              <w:pStyle w:val="TableText"/>
              <w:keepNext/>
              <w:jc w:val="right"/>
            </w:pPr>
            <w:r w:rsidRPr="001E7563">
              <w:t>$18,964</w:t>
            </w:r>
          </w:p>
        </w:tc>
        <w:tc>
          <w:tcPr>
            <w:tcW w:w="637" w:type="pct"/>
            <w:noWrap/>
          </w:tcPr>
          <w:p w14:paraId="000004B6" w14:textId="77777777" w:rsidR="00F554A7" w:rsidRDefault="007A75BF" w:rsidP="00F92A89">
            <w:pPr>
              <w:pStyle w:val="TableText"/>
              <w:keepNext/>
              <w:jc w:val="right"/>
            </w:pPr>
            <w:r w:rsidRPr="001E7563">
              <w:t>$19,008</w:t>
            </w:r>
          </w:p>
        </w:tc>
        <w:tc>
          <w:tcPr>
            <w:tcW w:w="637" w:type="pct"/>
            <w:noWrap/>
          </w:tcPr>
          <w:p w14:paraId="000004B7" w14:textId="77777777" w:rsidR="00F554A7" w:rsidRDefault="007A75BF" w:rsidP="00F92A89">
            <w:pPr>
              <w:pStyle w:val="TableText"/>
              <w:keepNext/>
              <w:jc w:val="right"/>
            </w:pPr>
            <w:r w:rsidRPr="001E7563">
              <w:t>$19,053</w:t>
            </w:r>
          </w:p>
        </w:tc>
      </w:tr>
      <w:tr w:rsidR="00F554A7" w14:paraId="349EC52F" w14:textId="77777777" w:rsidTr="00F92A89">
        <w:tc>
          <w:tcPr>
            <w:tcW w:w="1177" w:type="pct"/>
            <w:noWrap/>
            <w:hideMark/>
          </w:tcPr>
          <w:p w14:paraId="000004B8" w14:textId="77777777" w:rsidR="00F554A7" w:rsidRDefault="007A75BF" w:rsidP="00F92A89">
            <w:pPr>
              <w:pStyle w:val="TableText"/>
              <w:keepNext/>
            </w:pPr>
            <w:r w:rsidRPr="001E7563">
              <w:t>No.</w:t>
            </w:r>
            <w:r>
              <w:t xml:space="preserve"> β-thal second-tier screens </w:t>
            </w:r>
            <w:r>
              <w:rPr>
                <w:vertAlign w:val="superscript"/>
              </w:rPr>
              <w:t>f</w:t>
            </w:r>
          </w:p>
        </w:tc>
        <w:tc>
          <w:tcPr>
            <w:tcW w:w="637" w:type="pct"/>
            <w:noWrap/>
          </w:tcPr>
          <w:p w14:paraId="000004B9" w14:textId="77777777" w:rsidR="00F554A7" w:rsidRDefault="007A75BF" w:rsidP="00F92A89">
            <w:pPr>
              <w:pStyle w:val="TableText"/>
              <w:keepNext/>
              <w:jc w:val="right"/>
            </w:pPr>
            <w:r w:rsidRPr="001E7563">
              <w:t>55</w:t>
            </w:r>
          </w:p>
        </w:tc>
        <w:tc>
          <w:tcPr>
            <w:tcW w:w="637" w:type="pct"/>
            <w:noWrap/>
          </w:tcPr>
          <w:p w14:paraId="000004BA" w14:textId="77777777" w:rsidR="00F554A7" w:rsidRDefault="007A75BF" w:rsidP="00F92A89">
            <w:pPr>
              <w:pStyle w:val="TableText"/>
              <w:keepNext/>
              <w:jc w:val="right"/>
            </w:pPr>
            <w:r w:rsidRPr="001E7563">
              <w:t>55</w:t>
            </w:r>
          </w:p>
        </w:tc>
        <w:tc>
          <w:tcPr>
            <w:tcW w:w="637" w:type="pct"/>
            <w:noWrap/>
          </w:tcPr>
          <w:p w14:paraId="000004BB" w14:textId="77777777" w:rsidR="00F554A7" w:rsidRDefault="007A75BF" w:rsidP="00F92A89">
            <w:pPr>
              <w:pStyle w:val="TableText"/>
              <w:keepNext/>
              <w:jc w:val="right"/>
            </w:pPr>
            <w:r w:rsidRPr="001E7563">
              <w:t>55</w:t>
            </w:r>
          </w:p>
        </w:tc>
        <w:tc>
          <w:tcPr>
            <w:tcW w:w="637" w:type="pct"/>
            <w:noWrap/>
          </w:tcPr>
          <w:p w14:paraId="000004BC" w14:textId="77777777" w:rsidR="00F554A7" w:rsidRDefault="007A75BF" w:rsidP="00F92A89">
            <w:pPr>
              <w:pStyle w:val="TableText"/>
              <w:keepNext/>
              <w:jc w:val="right"/>
            </w:pPr>
            <w:r w:rsidRPr="001E7563">
              <w:t>55</w:t>
            </w:r>
          </w:p>
        </w:tc>
        <w:tc>
          <w:tcPr>
            <w:tcW w:w="637" w:type="pct"/>
            <w:noWrap/>
          </w:tcPr>
          <w:p w14:paraId="000004BD" w14:textId="77777777" w:rsidR="00F554A7" w:rsidRDefault="007A75BF" w:rsidP="00F92A89">
            <w:pPr>
              <w:pStyle w:val="TableText"/>
              <w:keepNext/>
              <w:jc w:val="right"/>
            </w:pPr>
            <w:r w:rsidRPr="001E7563">
              <w:t>55</w:t>
            </w:r>
          </w:p>
        </w:tc>
        <w:tc>
          <w:tcPr>
            <w:tcW w:w="637" w:type="pct"/>
            <w:noWrap/>
          </w:tcPr>
          <w:p w14:paraId="000004BE" w14:textId="77777777" w:rsidR="00F554A7" w:rsidRDefault="007A75BF" w:rsidP="00F92A89">
            <w:pPr>
              <w:pStyle w:val="TableText"/>
              <w:keepNext/>
              <w:jc w:val="right"/>
            </w:pPr>
            <w:r w:rsidRPr="001E7563">
              <w:t>56</w:t>
            </w:r>
          </w:p>
        </w:tc>
      </w:tr>
      <w:tr w:rsidR="00F554A7" w14:paraId="49FF6A99" w14:textId="77777777" w:rsidTr="00F92A89">
        <w:tc>
          <w:tcPr>
            <w:tcW w:w="1177" w:type="pct"/>
            <w:noWrap/>
            <w:hideMark/>
          </w:tcPr>
          <w:p w14:paraId="000004BF" w14:textId="77777777" w:rsidR="00F554A7" w:rsidRDefault="007A75BF" w:rsidP="00F92A89">
            <w:pPr>
              <w:pStyle w:val="TableText"/>
              <w:keepNext/>
            </w:pPr>
            <w:r w:rsidRPr="001E7563">
              <w:t xml:space="preserve">Cost of second-tier </w:t>
            </w:r>
            <w:r>
              <w:t>β-thal screening (sequencing)</w:t>
            </w:r>
            <w:r>
              <w:br/>
              <w:t>($500.00 per test)</w:t>
            </w:r>
          </w:p>
        </w:tc>
        <w:tc>
          <w:tcPr>
            <w:tcW w:w="637" w:type="pct"/>
            <w:noWrap/>
          </w:tcPr>
          <w:p w14:paraId="000004C0" w14:textId="77777777" w:rsidR="00F554A7" w:rsidRDefault="007A75BF" w:rsidP="00F92A89">
            <w:pPr>
              <w:pStyle w:val="TableText"/>
              <w:keepNext/>
              <w:jc w:val="right"/>
            </w:pPr>
            <w:r w:rsidRPr="001E7563">
              <w:t>$27,486</w:t>
            </w:r>
          </w:p>
        </w:tc>
        <w:tc>
          <w:tcPr>
            <w:tcW w:w="637" w:type="pct"/>
            <w:noWrap/>
          </w:tcPr>
          <w:p w14:paraId="000004C1" w14:textId="77777777" w:rsidR="00F554A7" w:rsidRDefault="007A75BF" w:rsidP="00F92A89">
            <w:pPr>
              <w:pStyle w:val="TableText"/>
              <w:keepNext/>
              <w:jc w:val="right"/>
            </w:pPr>
            <w:r w:rsidRPr="001E7563">
              <w:t>$27,551</w:t>
            </w:r>
          </w:p>
        </w:tc>
        <w:tc>
          <w:tcPr>
            <w:tcW w:w="637" w:type="pct"/>
            <w:noWrap/>
          </w:tcPr>
          <w:p w14:paraId="000004C2" w14:textId="77777777" w:rsidR="00F554A7" w:rsidRDefault="007A75BF" w:rsidP="00F92A89">
            <w:pPr>
              <w:pStyle w:val="TableText"/>
              <w:keepNext/>
              <w:jc w:val="right"/>
            </w:pPr>
            <w:r w:rsidRPr="001E7563">
              <w:t>$27,615</w:t>
            </w:r>
          </w:p>
        </w:tc>
        <w:tc>
          <w:tcPr>
            <w:tcW w:w="637" w:type="pct"/>
            <w:noWrap/>
          </w:tcPr>
          <w:p w14:paraId="000004C3" w14:textId="77777777" w:rsidR="00F554A7" w:rsidRDefault="007A75BF" w:rsidP="00F92A89">
            <w:pPr>
              <w:pStyle w:val="TableText"/>
              <w:keepNext/>
              <w:jc w:val="right"/>
            </w:pPr>
            <w:r w:rsidRPr="001E7563">
              <w:t>$27,680</w:t>
            </w:r>
          </w:p>
        </w:tc>
        <w:tc>
          <w:tcPr>
            <w:tcW w:w="637" w:type="pct"/>
            <w:noWrap/>
          </w:tcPr>
          <w:p w14:paraId="000004C4" w14:textId="77777777" w:rsidR="00F554A7" w:rsidRDefault="007A75BF" w:rsidP="00F92A89">
            <w:pPr>
              <w:pStyle w:val="TableText"/>
              <w:keepNext/>
              <w:jc w:val="right"/>
            </w:pPr>
            <w:r w:rsidRPr="001E7563">
              <w:t>$27,744</w:t>
            </w:r>
          </w:p>
        </w:tc>
        <w:tc>
          <w:tcPr>
            <w:tcW w:w="637" w:type="pct"/>
            <w:noWrap/>
          </w:tcPr>
          <w:p w14:paraId="000004C5" w14:textId="77777777" w:rsidR="00F554A7" w:rsidRDefault="007A75BF" w:rsidP="00F92A89">
            <w:pPr>
              <w:pStyle w:val="TableText"/>
              <w:keepNext/>
              <w:jc w:val="right"/>
            </w:pPr>
            <w:r w:rsidRPr="001E7563">
              <w:t>$27,808</w:t>
            </w:r>
          </w:p>
        </w:tc>
      </w:tr>
      <w:tr w:rsidR="00F554A7" w14:paraId="66A95735" w14:textId="77777777" w:rsidTr="00F92A89">
        <w:tc>
          <w:tcPr>
            <w:tcW w:w="1177" w:type="pct"/>
            <w:noWrap/>
            <w:hideMark/>
          </w:tcPr>
          <w:p w14:paraId="000004C6" w14:textId="77777777" w:rsidR="00F554A7" w:rsidRDefault="007A75BF" w:rsidP="00F92A89">
            <w:pPr>
              <w:pStyle w:val="TableText"/>
              <w:keepNext/>
              <w:rPr>
                <w:b/>
              </w:rPr>
            </w:pPr>
            <w:r w:rsidRPr="001E7563">
              <w:rPr>
                <w:b/>
              </w:rPr>
              <w:t>Total cost of second-tier screening</w:t>
            </w:r>
          </w:p>
        </w:tc>
        <w:tc>
          <w:tcPr>
            <w:tcW w:w="637" w:type="pct"/>
            <w:noWrap/>
          </w:tcPr>
          <w:p w14:paraId="000004C7" w14:textId="77777777" w:rsidR="00F554A7" w:rsidRDefault="007A75BF" w:rsidP="00F92A89">
            <w:pPr>
              <w:pStyle w:val="TableText"/>
              <w:keepNext/>
              <w:jc w:val="right"/>
              <w:rPr>
                <w:b/>
              </w:rPr>
            </w:pPr>
            <w:r w:rsidRPr="001E7563">
              <w:rPr>
                <w:b/>
              </w:rPr>
              <w:t>$46,318</w:t>
            </w:r>
          </w:p>
        </w:tc>
        <w:tc>
          <w:tcPr>
            <w:tcW w:w="637" w:type="pct"/>
            <w:noWrap/>
          </w:tcPr>
          <w:p w14:paraId="000004C8" w14:textId="77777777" w:rsidR="00F554A7" w:rsidRDefault="007A75BF" w:rsidP="00F92A89">
            <w:pPr>
              <w:pStyle w:val="TableText"/>
              <w:keepNext/>
              <w:jc w:val="right"/>
              <w:rPr>
                <w:b/>
              </w:rPr>
            </w:pPr>
            <w:r w:rsidRPr="001E7563">
              <w:rPr>
                <w:b/>
              </w:rPr>
              <w:t>$46,427</w:t>
            </w:r>
          </w:p>
        </w:tc>
        <w:tc>
          <w:tcPr>
            <w:tcW w:w="637" w:type="pct"/>
            <w:noWrap/>
          </w:tcPr>
          <w:p w14:paraId="000004C9" w14:textId="77777777" w:rsidR="00F554A7" w:rsidRDefault="007A75BF" w:rsidP="00F92A89">
            <w:pPr>
              <w:pStyle w:val="TableText"/>
              <w:keepNext/>
              <w:jc w:val="right"/>
              <w:rPr>
                <w:b/>
              </w:rPr>
            </w:pPr>
            <w:r w:rsidRPr="001E7563">
              <w:rPr>
                <w:b/>
              </w:rPr>
              <w:t>$46,535</w:t>
            </w:r>
          </w:p>
        </w:tc>
        <w:tc>
          <w:tcPr>
            <w:tcW w:w="637" w:type="pct"/>
            <w:noWrap/>
          </w:tcPr>
          <w:p w14:paraId="000004CA" w14:textId="77777777" w:rsidR="00F554A7" w:rsidRDefault="007A75BF" w:rsidP="00F92A89">
            <w:pPr>
              <w:pStyle w:val="TableText"/>
              <w:keepNext/>
              <w:jc w:val="right"/>
              <w:rPr>
                <w:b/>
              </w:rPr>
            </w:pPr>
            <w:r w:rsidRPr="001E7563">
              <w:rPr>
                <w:b/>
              </w:rPr>
              <w:t>$46,644</w:t>
            </w:r>
          </w:p>
        </w:tc>
        <w:tc>
          <w:tcPr>
            <w:tcW w:w="637" w:type="pct"/>
            <w:noWrap/>
          </w:tcPr>
          <w:p w14:paraId="000004CB" w14:textId="77777777" w:rsidR="00F554A7" w:rsidRDefault="007A75BF" w:rsidP="00F92A89">
            <w:pPr>
              <w:pStyle w:val="TableText"/>
              <w:keepNext/>
              <w:jc w:val="right"/>
              <w:rPr>
                <w:b/>
              </w:rPr>
            </w:pPr>
            <w:r w:rsidRPr="001E7563">
              <w:rPr>
                <w:b/>
              </w:rPr>
              <w:t>$46,752</w:t>
            </w:r>
          </w:p>
        </w:tc>
        <w:tc>
          <w:tcPr>
            <w:tcW w:w="637" w:type="pct"/>
            <w:noWrap/>
          </w:tcPr>
          <w:p w14:paraId="000004CC" w14:textId="77777777" w:rsidR="00F554A7" w:rsidRDefault="007A75BF" w:rsidP="00F92A89">
            <w:pPr>
              <w:pStyle w:val="TableText"/>
              <w:keepNext/>
              <w:jc w:val="right"/>
              <w:rPr>
                <w:b/>
              </w:rPr>
            </w:pPr>
            <w:r w:rsidRPr="001E7563">
              <w:rPr>
                <w:b/>
              </w:rPr>
              <w:t>$46,861</w:t>
            </w:r>
          </w:p>
        </w:tc>
      </w:tr>
      <w:tr w:rsidR="00F554A7" w14:paraId="09836E1D" w14:textId="77777777" w:rsidTr="00F92A89">
        <w:tc>
          <w:tcPr>
            <w:tcW w:w="1177" w:type="pct"/>
            <w:noWrap/>
          </w:tcPr>
          <w:p w14:paraId="000004CD" w14:textId="77777777" w:rsidR="00F554A7" w:rsidRDefault="007A75BF" w:rsidP="00F92A89">
            <w:pPr>
              <w:pStyle w:val="TableText"/>
              <w:keepNext/>
              <w:rPr>
                <w:b/>
              </w:rPr>
            </w:pPr>
            <w:r w:rsidRPr="001E7563">
              <w:rPr>
                <w:b/>
              </w:rPr>
              <w:t xml:space="preserve">Total </w:t>
            </w:r>
            <w:r>
              <w:rPr>
                <w:b/>
              </w:rPr>
              <w:t>cost to the NBS</w:t>
            </w:r>
          </w:p>
        </w:tc>
        <w:tc>
          <w:tcPr>
            <w:tcW w:w="637" w:type="pct"/>
            <w:noWrap/>
          </w:tcPr>
          <w:p w14:paraId="000004CE" w14:textId="77777777" w:rsidR="00F554A7" w:rsidRDefault="007A75BF" w:rsidP="00F92A89">
            <w:pPr>
              <w:pStyle w:val="TableText"/>
              <w:keepNext/>
              <w:jc w:val="right"/>
              <w:rPr>
                <w:b/>
              </w:rPr>
            </w:pPr>
            <w:r w:rsidRPr="001E7563">
              <w:rPr>
                <w:b/>
              </w:rPr>
              <w:t>$3,155,537</w:t>
            </w:r>
          </w:p>
        </w:tc>
        <w:tc>
          <w:tcPr>
            <w:tcW w:w="637" w:type="pct"/>
            <w:noWrap/>
          </w:tcPr>
          <w:p w14:paraId="000004CF" w14:textId="77777777" w:rsidR="00F554A7" w:rsidRDefault="007A75BF" w:rsidP="00F92A89">
            <w:pPr>
              <w:pStyle w:val="TableText"/>
              <w:keepNext/>
              <w:jc w:val="right"/>
              <w:rPr>
                <w:b/>
              </w:rPr>
            </w:pPr>
            <w:r w:rsidRPr="001E7563">
              <w:rPr>
                <w:b/>
              </w:rPr>
              <w:t>$3,162,935</w:t>
            </w:r>
          </w:p>
        </w:tc>
        <w:tc>
          <w:tcPr>
            <w:tcW w:w="637" w:type="pct"/>
            <w:noWrap/>
          </w:tcPr>
          <w:p w14:paraId="000004D0" w14:textId="77777777" w:rsidR="00F554A7" w:rsidRDefault="007A75BF" w:rsidP="00F92A89">
            <w:pPr>
              <w:pStyle w:val="TableText"/>
              <w:keepNext/>
              <w:jc w:val="right"/>
              <w:rPr>
                <w:b/>
              </w:rPr>
            </w:pPr>
            <w:r w:rsidRPr="001E7563">
              <w:rPr>
                <w:b/>
              </w:rPr>
              <w:t>$3,170,332</w:t>
            </w:r>
          </w:p>
        </w:tc>
        <w:tc>
          <w:tcPr>
            <w:tcW w:w="637" w:type="pct"/>
            <w:noWrap/>
          </w:tcPr>
          <w:p w14:paraId="000004D1" w14:textId="77777777" w:rsidR="00F554A7" w:rsidRDefault="007A75BF" w:rsidP="00F92A89">
            <w:pPr>
              <w:pStyle w:val="TableText"/>
              <w:keepNext/>
              <w:jc w:val="right"/>
              <w:rPr>
                <w:b/>
              </w:rPr>
            </w:pPr>
            <w:r w:rsidRPr="001E7563">
              <w:rPr>
                <w:b/>
              </w:rPr>
              <w:t>$3,177,730</w:t>
            </w:r>
          </w:p>
        </w:tc>
        <w:tc>
          <w:tcPr>
            <w:tcW w:w="637" w:type="pct"/>
            <w:noWrap/>
          </w:tcPr>
          <w:p w14:paraId="000004D2" w14:textId="77777777" w:rsidR="00F554A7" w:rsidRDefault="007A75BF" w:rsidP="00F92A89">
            <w:pPr>
              <w:pStyle w:val="TableText"/>
              <w:keepNext/>
              <w:jc w:val="right"/>
              <w:rPr>
                <w:b/>
              </w:rPr>
            </w:pPr>
            <w:r w:rsidRPr="001E7563">
              <w:rPr>
                <w:b/>
              </w:rPr>
              <w:t>$3,185,127</w:t>
            </w:r>
          </w:p>
        </w:tc>
        <w:tc>
          <w:tcPr>
            <w:tcW w:w="637" w:type="pct"/>
            <w:noWrap/>
          </w:tcPr>
          <w:p w14:paraId="000004D3" w14:textId="77777777" w:rsidR="00F554A7" w:rsidRDefault="007A75BF" w:rsidP="00F92A89">
            <w:pPr>
              <w:pStyle w:val="TableText"/>
              <w:keepNext/>
              <w:jc w:val="right"/>
              <w:rPr>
                <w:b/>
              </w:rPr>
            </w:pPr>
            <w:r w:rsidRPr="001E7563">
              <w:rPr>
                <w:b/>
              </w:rPr>
              <w:t>$3,192,524</w:t>
            </w:r>
          </w:p>
        </w:tc>
      </w:tr>
    </w:tbl>
    <w:bookmarkEnd w:id="121"/>
    <w:p w14:paraId="000004D4" w14:textId="77777777" w:rsidR="00F554A7" w:rsidRPr="00F92A89" w:rsidRDefault="007A75BF" w:rsidP="00F92A89">
      <w:pPr>
        <w:pStyle w:val="TableFigureFooter"/>
        <w:rPr>
          <w:rFonts w:eastAsia="Arial Narrow"/>
        </w:rPr>
      </w:pPr>
      <w:r w:rsidRPr="00F92A89">
        <w:rPr>
          <w:rFonts w:eastAsia="Arial Narrow"/>
          <w:vertAlign w:val="superscript"/>
        </w:rPr>
        <w:t>a</w:t>
      </w:r>
      <w:r w:rsidRPr="00F92A89">
        <w:rPr>
          <w:rFonts w:eastAsia="Arial Narrow"/>
        </w:rPr>
        <w:t xml:space="preserve"> Based on incidence of SCD reported in Consultation on the Nomination Form (PathWest)</w:t>
      </w:r>
    </w:p>
    <w:p w14:paraId="000004D5" w14:textId="77777777" w:rsidR="00F554A7" w:rsidRPr="00F92A89" w:rsidRDefault="007A75BF" w:rsidP="00F92A89">
      <w:pPr>
        <w:pStyle w:val="TableFigureFooter"/>
        <w:rPr>
          <w:rFonts w:eastAsia="Arial Narrow"/>
        </w:rPr>
      </w:pPr>
      <w:r w:rsidRPr="00F92A89">
        <w:rPr>
          <w:rFonts w:eastAsia="Arial Narrow"/>
          <w:vertAlign w:val="superscript"/>
        </w:rPr>
        <w:t>b</w:t>
      </w:r>
      <w:r w:rsidRPr="00F92A89">
        <w:rPr>
          <w:rFonts w:eastAsia="Arial Narrow"/>
        </w:rPr>
        <w:t xml:space="preserve"> Sensitivity estimates reported in the evidence for ‘Test accuracy’</w:t>
      </w:r>
    </w:p>
    <w:p w14:paraId="000004D6" w14:textId="77777777" w:rsidR="00F554A7" w:rsidRPr="00F92A89" w:rsidRDefault="007A75BF" w:rsidP="00F92A89">
      <w:pPr>
        <w:pStyle w:val="TableFigureFooter"/>
        <w:rPr>
          <w:rFonts w:eastAsia="Arial Narrow"/>
        </w:rPr>
      </w:pPr>
      <w:r w:rsidRPr="00F92A89">
        <w:rPr>
          <w:rFonts w:eastAsia="Arial Narrow"/>
          <w:vertAlign w:val="superscript"/>
        </w:rPr>
        <w:t>c</w:t>
      </w:r>
      <w:r w:rsidRPr="00F92A89">
        <w:rPr>
          <w:rFonts w:eastAsia="Arial Narrow"/>
        </w:rPr>
        <w:t xml:space="preserve"> Total incidence of haemoglobinopathies was estimated from expert opinion provided from Monash (by teleconference, 21/2/23) to be 24 per 100,000 (based on 20 affected cases of approx. 82,400 births each year in VIC/TAS). The difference between the total incidence and incidence of SCD was estimated to be β-thalassemia incidence.</w:t>
      </w:r>
    </w:p>
    <w:p w14:paraId="000004D7" w14:textId="2EF8BCFE" w:rsidR="00F554A7" w:rsidRPr="00F92A89" w:rsidRDefault="007A75BF" w:rsidP="00F92A89">
      <w:pPr>
        <w:pStyle w:val="TableFigureFooter"/>
        <w:rPr>
          <w:rFonts w:eastAsia="Arial Narrow"/>
        </w:rPr>
      </w:pPr>
      <w:r w:rsidRPr="00F92A89">
        <w:rPr>
          <w:rFonts w:eastAsia="Arial Narrow"/>
          <w:vertAlign w:val="superscript"/>
        </w:rPr>
        <w:t>d</w:t>
      </w:r>
      <w:r w:rsidRPr="00F92A89">
        <w:rPr>
          <w:rFonts w:eastAsia="Arial Unicode MS"/>
        </w:rPr>
        <w:t xml:space="preserve"> While test specificity in the evidence for ‘Test accuracy’ ranged &gt;99-100% for SCD and 98.7−100%for β</w:t>
      </w:r>
      <w:r w:rsidR="008A5731">
        <w:noBreakHyphen/>
      </w:r>
      <w:r w:rsidRPr="00F92A89">
        <w:rPr>
          <w:rFonts w:eastAsia="Arial Unicode MS"/>
        </w:rPr>
        <w:t>thalassaemia, the estimate applied was 99.99% as near complete concordance between tests was also observed (i.e. positives on the first-tier test were highly likely to truly have disease).</w:t>
      </w:r>
    </w:p>
    <w:p w14:paraId="000004D8" w14:textId="77777777" w:rsidR="00F554A7" w:rsidRPr="00F92A89" w:rsidRDefault="007A75BF" w:rsidP="00F92A89">
      <w:pPr>
        <w:pStyle w:val="TableFigureFooter"/>
        <w:rPr>
          <w:rFonts w:eastAsia="Arial Narrow"/>
        </w:rPr>
      </w:pPr>
      <w:r w:rsidRPr="00F92A89">
        <w:rPr>
          <w:rFonts w:eastAsia="Arial Narrow"/>
          <w:vertAlign w:val="superscript"/>
        </w:rPr>
        <w:t>e</w:t>
      </w:r>
      <w:r w:rsidRPr="00F92A89">
        <w:rPr>
          <w:rFonts w:eastAsia="Arial Narrow"/>
        </w:rPr>
        <w:t xml:space="preserve"> The sum of SCD cases identified, SCD carriers identified and 50% of false positive screens.</w:t>
      </w:r>
    </w:p>
    <w:p w14:paraId="000004D9" w14:textId="7802584E" w:rsidR="00F554A7" w:rsidRPr="00F92A89" w:rsidRDefault="007A75BF" w:rsidP="00F92A89">
      <w:pPr>
        <w:pStyle w:val="TableFigureFooter"/>
        <w:rPr>
          <w:rFonts w:eastAsia="Arial Narrow"/>
        </w:rPr>
      </w:pPr>
      <w:r w:rsidRPr="00F92A89">
        <w:rPr>
          <w:rFonts w:eastAsia="Arial Narrow"/>
          <w:vertAlign w:val="superscript"/>
        </w:rPr>
        <w:t xml:space="preserve">f </w:t>
      </w:r>
      <w:r w:rsidRPr="00F92A89">
        <w:rPr>
          <w:rFonts w:eastAsia="Arial Narrow"/>
        </w:rPr>
        <w:t xml:space="preserve"> The sum of β</w:t>
      </w:r>
      <w:r w:rsidR="008A5731">
        <w:noBreakHyphen/>
      </w:r>
      <w:r w:rsidRPr="00F92A89">
        <w:rPr>
          <w:rFonts w:eastAsia="Arial Narrow"/>
        </w:rPr>
        <w:t>thal cases identified, β</w:t>
      </w:r>
      <w:r w:rsidR="008A5731">
        <w:noBreakHyphen/>
      </w:r>
      <w:r w:rsidRPr="00F92A89">
        <w:rPr>
          <w:rFonts w:eastAsia="Arial Narrow"/>
        </w:rPr>
        <w:t>thal carriers identified and 50% of false positive screens.</w:t>
      </w:r>
    </w:p>
    <w:p w14:paraId="000004DA" w14:textId="0D029429" w:rsidR="00F554A7" w:rsidRDefault="007A75BF">
      <w:pPr>
        <w:pStyle w:val="TableFigureFooter"/>
        <w:rPr>
          <w:rFonts w:eastAsia="Arial Narrow"/>
        </w:rPr>
      </w:pPr>
      <w:r w:rsidRPr="00F92A89">
        <w:rPr>
          <w:rFonts w:eastAsia="Arial Narrow"/>
        </w:rPr>
        <w:t>β</w:t>
      </w:r>
      <w:r w:rsidR="00B445BF">
        <w:noBreakHyphen/>
      </w:r>
      <w:r w:rsidRPr="00F92A89">
        <w:rPr>
          <w:rFonts w:eastAsia="Arial Narrow"/>
        </w:rPr>
        <w:t>thal = beta-thalassemia; CE = capillary electrophoresis; HPLC = high-performance liquid chromatography; NBS = newborn bloodspot screening; SCD = sickle-cell disease.</w:t>
      </w:r>
    </w:p>
    <w:p w14:paraId="1966EB3D" w14:textId="70475959" w:rsidR="00EE1F22" w:rsidRPr="00F92A89" w:rsidRDefault="00EE1F22" w:rsidP="00F92A89">
      <w:pPr>
        <w:pStyle w:val="TableFigureFooter"/>
        <w:rPr>
          <w:rFonts w:eastAsia="Arial Narrow"/>
        </w:rPr>
      </w:pPr>
      <w:r>
        <w:rPr>
          <w:rFonts w:eastAsia="Arial Narrow"/>
        </w:rPr>
        <w:t>Source: DCAR Table 21</w:t>
      </w:r>
    </w:p>
    <w:p w14:paraId="000004DB" w14:textId="0FF6E933" w:rsidR="00F554A7" w:rsidRDefault="007A75BF">
      <w:r>
        <w:lastRenderedPageBreak/>
        <w:t xml:space="preserve">The financial impact </w:t>
      </w:r>
      <w:r w:rsidR="00AE4525">
        <w:t>wa</w:t>
      </w:r>
      <w:r>
        <w:t xml:space="preserve">s driven by the cost of first-tier screening. Given that the data available to inform the extent of use of first-tier screening (i.e. the number of newborns and uptake of NBS) </w:t>
      </w:r>
      <w:r w:rsidR="00AE4525">
        <w:t xml:space="preserve">were </w:t>
      </w:r>
      <w:r>
        <w:t xml:space="preserve">reasonably robust, the main driver of total first-tier screening costs </w:t>
      </w:r>
      <w:r w:rsidR="00AE4525">
        <w:t>wa</w:t>
      </w:r>
      <w:r>
        <w:t>s the test strategy chosen. Second-tier screening costs ma</w:t>
      </w:r>
      <w:r w:rsidR="00AE4525">
        <w:t>d</w:t>
      </w:r>
      <w:r>
        <w:t xml:space="preserve">e up a small proportion of the estimated cost to the NBS. </w:t>
      </w:r>
    </w:p>
    <w:p w14:paraId="10ECC57E" w14:textId="4F0D52B1" w:rsidR="00B445BF" w:rsidRDefault="007A75BF" w:rsidP="00AE4859">
      <w:r>
        <w:t xml:space="preserve">Relevant alternate funding scenarios are presented in </w:t>
      </w:r>
      <w:r w:rsidR="00B445BF">
        <w:fldChar w:fldCharType="begin"/>
      </w:r>
      <w:r w:rsidR="00B445BF">
        <w:instrText xml:space="preserve"> REF _Ref129722149 \h </w:instrText>
      </w:r>
      <w:r w:rsidR="00B445BF">
        <w:fldChar w:fldCharType="separate"/>
      </w:r>
      <w:r w:rsidR="006E058E" w:rsidRPr="00F92A89">
        <w:rPr>
          <w:rFonts w:eastAsia="Arial Narrow"/>
        </w:rPr>
        <w:t>Table </w:t>
      </w:r>
      <w:r w:rsidR="006E058E">
        <w:rPr>
          <w:noProof/>
        </w:rPr>
        <w:t>22</w:t>
      </w:r>
      <w:r w:rsidR="00B445BF">
        <w:fldChar w:fldCharType="end"/>
      </w:r>
      <w:r w:rsidR="00B445BF">
        <w:t>,</w:t>
      </w:r>
      <w:r>
        <w:t xml:space="preserve"> varying the haemoglobinopathy screened for (i.e. SCD only or SCD and </w:t>
      </w:r>
      <w:r>
        <w:rPr>
          <w:rFonts w:ascii="Calibri" w:eastAsia="Calibri" w:hAnsi="Calibri" w:cs="Calibri"/>
        </w:rPr>
        <w:t>β</w:t>
      </w:r>
      <w:r>
        <w:t>-thalassaemia) and varying the first-tier screening strategy. Scenarios were additionally explored in the DCAR where carrier status was also reported.</w:t>
      </w:r>
    </w:p>
    <w:p w14:paraId="000004DC" w14:textId="66613C33" w:rsidR="00F554A7" w:rsidRDefault="00F554A7" w:rsidP="001E7563">
      <w:pPr>
        <w:spacing w:after="0" w:line="240" w:lineRule="auto"/>
        <w:sectPr w:rsidR="00F554A7" w:rsidSect="001E7563">
          <w:headerReference w:type="even" r:id="rId11"/>
          <w:headerReference w:type="default" r:id="rId12"/>
          <w:footerReference w:type="even" r:id="rId13"/>
          <w:footerReference w:type="default" r:id="rId14"/>
          <w:headerReference w:type="first" r:id="rId15"/>
          <w:footerReference w:type="first" r:id="rId16"/>
          <w:type w:val="oddPage"/>
          <w:pgSz w:w="11906" w:h="16838"/>
          <w:pgMar w:top="1440" w:right="1440" w:bottom="1440" w:left="1440" w:header="708" w:footer="708" w:gutter="0"/>
          <w:cols w:space="708"/>
          <w:docGrid w:linePitch="360"/>
        </w:sectPr>
      </w:pPr>
    </w:p>
    <w:p w14:paraId="000004DD" w14:textId="073A129F" w:rsidR="00F554A7" w:rsidRPr="00F92A89" w:rsidRDefault="007A75BF" w:rsidP="00F92A89">
      <w:pPr>
        <w:pStyle w:val="Caption"/>
        <w:rPr>
          <w:rFonts w:eastAsia="Arial Narrow"/>
          <w:b w:val="0"/>
        </w:rPr>
      </w:pPr>
      <w:bookmarkStart w:id="122" w:name="_heading=h.1rvwp1q" w:colFirst="0" w:colLast="0"/>
      <w:bookmarkStart w:id="123" w:name="_Ref129722149"/>
      <w:bookmarkEnd w:id="122"/>
      <w:r w:rsidRPr="00F92A89">
        <w:rPr>
          <w:rFonts w:eastAsia="Arial Narrow"/>
        </w:rPr>
        <w:lastRenderedPageBreak/>
        <w:t>Table </w:t>
      </w:r>
      <w:r w:rsidR="00B445BF">
        <w:fldChar w:fldCharType="begin"/>
      </w:r>
      <w:r w:rsidR="00B445BF">
        <w:instrText>SEQ Table \* ARABIC</w:instrText>
      </w:r>
      <w:r w:rsidR="00B445BF">
        <w:fldChar w:fldCharType="separate"/>
      </w:r>
      <w:r w:rsidR="006E058E">
        <w:rPr>
          <w:noProof/>
        </w:rPr>
        <w:t>22</w:t>
      </w:r>
      <w:r w:rsidR="00B445BF">
        <w:fldChar w:fldCharType="end"/>
      </w:r>
      <w:bookmarkEnd w:id="123"/>
      <w:r w:rsidRPr="00F92A89">
        <w:rPr>
          <w:rFonts w:eastAsia="Arial Narrow"/>
        </w:rPr>
        <w:tab/>
        <w:t>Net financial impact to NBS programs, alternate funding scenarios</w:t>
      </w:r>
    </w:p>
    <w:tbl>
      <w:tblPr>
        <w:tblStyle w:val="TableGrid1"/>
        <w:tblW w:w="5000" w:type="pct"/>
        <w:tblLayout w:type="fixed"/>
        <w:tblLook w:val="04A0" w:firstRow="1" w:lastRow="0" w:firstColumn="1" w:lastColumn="0" w:noHBand="0" w:noVBand="1"/>
      </w:tblPr>
      <w:tblGrid>
        <w:gridCol w:w="2688"/>
        <w:gridCol w:w="993"/>
        <w:gridCol w:w="851"/>
        <w:gridCol w:w="851"/>
        <w:gridCol w:w="851"/>
        <w:gridCol w:w="856"/>
        <w:gridCol w:w="1144"/>
        <w:gridCol w:w="1144"/>
        <w:gridCol w:w="1144"/>
        <w:gridCol w:w="1144"/>
        <w:gridCol w:w="1144"/>
        <w:gridCol w:w="1138"/>
      </w:tblGrid>
      <w:tr w:rsidR="00F554A7" w14:paraId="0ED44B56" w14:textId="77777777" w:rsidTr="00F92A89">
        <w:trPr>
          <w:cnfStyle w:val="100000000000" w:firstRow="1" w:lastRow="0" w:firstColumn="0" w:lastColumn="0" w:oddVBand="0" w:evenVBand="0" w:oddHBand="0" w:evenHBand="0" w:firstRowFirstColumn="0" w:firstRowLastColumn="0" w:lastRowFirstColumn="0" w:lastRowLastColumn="0"/>
          <w:trHeight w:val="300"/>
        </w:trPr>
        <w:tc>
          <w:tcPr>
            <w:tcW w:w="964" w:type="pct"/>
            <w:tcBorders>
              <w:bottom w:val="nil"/>
            </w:tcBorders>
            <w:noWrap/>
            <w:hideMark/>
          </w:tcPr>
          <w:p w14:paraId="000004DE" w14:textId="77777777" w:rsidR="00F554A7" w:rsidRPr="001E7563" w:rsidRDefault="00F554A7" w:rsidP="00F92A89">
            <w:pPr>
              <w:pStyle w:val="In-tableHeading"/>
            </w:pPr>
          </w:p>
        </w:tc>
        <w:tc>
          <w:tcPr>
            <w:tcW w:w="356" w:type="pct"/>
            <w:vMerge w:val="restart"/>
            <w:hideMark/>
          </w:tcPr>
          <w:p w14:paraId="000004DF" w14:textId="77777777" w:rsidR="00F554A7" w:rsidRPr="001E7563" w:rsidRDefault="007A75BF" w:rsidP="00F92A89">
            <w:pPr>
              <w:pStyle w:val="In-tableHeading"/>
              <w:jc w:val="center"/>
            </w:pPr>
            <w:r w:rsidRPr="00F92A89">
              <w:t>First-tier screen cost</w:t>
            </w:r>
          </w:p>
        </w:tc>
        <w:tc>
          <w:tcPr>
            <w:tcW w:w="1222" w:type="pct"/>
            <w:gridSpan w:val="4"/>
            <w:noWrap/>
            <w:hideMark/>
          </w:tcPr>
          <w:p w14:paraId="000004E0" w14:textId="77777777" w:rsidR="00F554A7" w:rsidRPr="001E7563" w:rsidRDefault="007A75BF" w:rsidP="00F92A89">
            <w:pPr>
              <w:pStyle w:val="In-tableHeading"/>
              <w:jc w:val="center"/>
            </w:pPr>
            <w:r w:rsidRPr="00F92A89">
              <w:t xml:space="preserve">Proportion </w:t>
            </w:r>
            <w:r>
              <w:rPr>
                <w:rFonts w:eastAsia="Arial Narrow" w:cs="Arial Narrow"/>
              </w:rPr>
              <w:t>first-tier screening identifies</w:t>
            </w:r>
          </w:p>
        </w:tc>
        <w:tc>
          <w:tcPr>
            <w:tcW w:w="2458" w:type="pct"/>
            <w:gridSpan w:val="6"/>
            <w:noWrap/>
            <w:hideMark/>
          </w:tcPr>
          <w:p w14:paraId="000004E4" w14:textId="77777777" w:rsidR="00F554A7" w:rsidRPr="001E7563" w:rsidRDefault="007A75BF" w:rsidP="00F92A89">
            <w:pPr>
              <w:pStyle w:val="In-tableHeading"/>
              <w:jc w:val="center"/>
            </w:pPr>
            <w:r w:rsidRPr="00F92A89">
              <w:t xml:space="preserve">Net cost to the </w:t>
            </w:r>
            <w:r>
              <w:rPr>
                <w:rFonts w:eastAsia="Arial Narrow" w:cs="Arial Narrow"/>
              </w:rPr>
              <w:t>Newborn Bloodspot Screening program</w:t>
            </w:r>
          </w:p>
        </w:tc>
      </w:tr>
      <w:tr w:rsidR="00F554A7" w14:paraId="1DB9F038" w14:textId="77777777" w:rsidTr="00F92A89">
        <w:trPr>
          <w:trHeight w:val="600"/>
        </w:trPr>
        <w:tc>
          <w:tcPr>
            <w:tcW w:w="964" w:type="pct"/>
            <w:tcBorders>
              <w:top w:val="nil"/>
              <w:bottom w:val="single" w:sz="4" w:space="0" w:color="auto"/>
            </w:tcBorders>
            <w:noWrap/>
            <w:hideMark/>
          </w:tcPr>
          <w:p w14:paraId="000004EA" w14:textId="77777777" w:rsidR="00F554A7" w:rsidRPr="001E7563" w:rsidRDefault="00F554A7" w:rsidP="00F92A89">
            <w:pPr>
              <w:pStyle w:val="In-tableHeading"/>
            </w:pPr>
          </w:p>
        </w:tc>
        <w:tc>
          <w:tcPr>
            <w:tcW w:w="356" w:type="pct"/>
            <w:vMerge/>
            <w:tcBorders>
              <w:bottom w:val="single" w:sz="4" w:space="0" w:color="auto"/>
            </w:tcBorders>
            <w:hideMark/>
          </w:tcPr>
          <w:p w14:paraId="000004EB" w14:textId="77777777" w:rsidR="00F554A7" w:rsidRPr="001E7563" w:rsidRDefault="00F554A7" w:rsidP="00F92A89">
            <w:pPr>
              <w:pStyle w:val="In-tableHeading"/>
              <w:jc w:val="center"/>
            </w:pPr>
          </w:p>
        </w:tc>
        <w:tc>
          <w:tcPr>
            <w:tcW w:w="305" w:type="pct"/>
            <w:tcBorders>
              <w:bottom w:val="single" w:sz="4" w:space="0" w:color="auto"/>
            </w:tcBorders>
            <w:hideMark/>
          </w:tcPr>
          <w:p w14:paraId="000004EC" w14:textId="77777777" w:rsidR="00F554A7" w:rsidRPr="001E7563" w:rsidRDefault="007A75BF" w:rsidP="00F92A89">
            <w:pPr>
              <w:pStyle w:val="In-tableHeading"/>
              <w:jc w:val="center"/>
            </w:pPr>
            <w:r w:rsidRPr="001E7563">
              <w:t>SCD cases</w:t>
            </w:r>
          </w:p>
        </w:tc>
        <w:tc>
          <w:tcPr>
            <w:tcW w:w="305" w:type="pct"/>
            <w:tcBorders>
              <w:bottom w:val="single" w:sz="4" w:space="0" w:color="auto"/>
            </w:tcBorders>
            <w:hideMark/>
          </w:tcPr>
          <w:p w14:paraId="000004ED" w14:textId="77777777" w:rsidR="00F554A7" w:rsidRPr="001E7563" w:rsidRDefault="007A75BF" w:rsidP="00F92A89">
            <w:pPr>
              <w:pStyle w:val="In-tableHeading"/>
              <w:jc w:val="center"/>
            </w:pPr>
            <w:r w:rsidRPr="001E7563">
              <w:t>β thal cases</w:t>
            </w:r>
          </w:p>
        </w:tc>
        <w:tc>
          <w:tcPr>
            <w:tcW w:w="305" w:type="pct"/>
            <w:tcBorders>
              <w:bottom w:val="single" w:sz="4" w:space="0" w:color="auto"/>
            </w:tcBorders>
            <w:hideMark/>
          </w:tcPr>
          <w:p w14:paraId="000004EE" w14:textId="77777777" w:rsidR="00F554A7" w:rsidRPr="001E7563" w:rsidRDefault="007A75BF" w:rsidP="00F92A89">
            <w:pPr>
              <w:pStyle w:val="In-tableHeading"/>
              <w:jc w:val="center"/>
            </w:pPr>
            <w:r w:rsidRPr="001E7563">
              <w:t>SCD carriers</w:t>
            </w:r>
          </w:p>
        </w:tc>
        <w:tc>
          <w:tcPr>
            <w:tcW w:w="307" w:type="pct"/>
            <w:tcBorders>
              <w:bottom w:val="single" w:sz="4" w:space="0" w:color="auto"/>
            </w:tcBorders>
            <w:hideMark/>
          </w:tcPr>
          <w:p w14:paraId="000004EF" w14:textId="77777777" w:rsidR="00F554A7" w:rsidRPr="001E7563" w:rsidRDefault="007A75BF" w:rsidP="00F92A89">
            <w:pPr>
              <w:pStyle w:val="In-tableHeading"/>
              <w:jc w:val="center"/>
            </w:pPr>
            <w:r w:rsidRPr="001E7563">
              <w:t>β thal carriers</w:t>
            </w:r>
          </w:p>
        </w:tc>
        <w:tc>
          <w:tcPr>
            <w:tcW w:w="410" w:type="pct"/>
            <w:tcBorders>
              <w:bottom w:val="single" w:sz="4" w:space="0" w:color="auto"/>
            </w:tcBorders>
            <w:noWrap/>
            <w:hideMark/>
          </w:tcPr>
          <w:p w14:paraId="000004F0" w14:textId="67D9C786" w:rsidR="00F554A7" w:rsidRPr="001E7563" w:rsidRDefault="007A75BF" w:rsidP="00F92A89">
            <w:pPr>
              <w:pStyle w:val="In-tableHeading"/>
              <w:jc w:val="center"/>
            </w:pPr>
            <w:r w:rsidRPr="00F92A89">
              <w:t>2023−24</w:t>
            </w:r>
          </w:p>
        </w:tc>
        <w:tc>
          <w:tcPr>
            <w:tcW w:w="410" w:type="pct"/>
            <w:tcBorders>
              <w:bottom w:val="single" w:sz="4" w:space="0" w:color="auto"/>
            </w:tcBorders>
            <w:noWrap/>
            <w:hideMark/>
          </w:tcPr>
          <w:p w14:paraId="000004F1" w14:textId="2616C0B0" w:rsidR="00F554A7" w:rsidRPr="001E7563" w:rsidRDefault="007A75BF" w:rsidP="00F92A89">
            <w:pPr>
              <w:pStyle w:val="In-tableHeading"/>
              <w:jc w:val="center"/>
            </w:pPr>
            <w:r w:rsidRPr="00F92A89">
              <w:t>2024−25</w:t>
            </w:r>
          </w:p>
        </w:tc>
        <w:tc>
          <w:tcPr>
            <w:tcW w:w="410" w:type="pct"/>
            <w:tcBorders>
              <w:bottom w:val="single" w:sz="4" w:space="0" w:color="auto"/>
            </w:tcBorders>
            <w:noWrap/>
            <w:hideMark/>
          </w:tcPr>
          <w:p w14:paraId="000004F2" w14:textId="39727308" w:rsidR="00F554A7" w:rsidRPr="001E7563" w:rsidRDefault="007A75BF" w:rsidP="00F92A89">
            <w:pPr>
              <w:pStyle w:val="In-tableHeading"/>
              <w:jc w:val="center"/>
            </w:pPr>
            <w:r w:rsidRPr="00F92A89">
              <w:t>2025−26</w:t>
            </w:r>
          </w:p>
        </w:tc>
        <w:tc>
          <w:tcPr>
            <w:tcW w:w="410" w:type="pct"/>
            <w:tcBorders>
              <w:bottom w:val="single" w:sz="4" w:space="0" w:color="auto"/>
            </w:tcBorders>
            <w:noWrap/>
            <w:hideMark/>
          </w:tcPr>
          <w:p w14:paraId="000004F3" w14:textId="6D13E971" w:rsidR="00F554A7" w:rsidRPr="001E7563" w:rsidRDefault="007A75BF" w:rsidP="00F92A89">
            <w:pPr>
              <w:pStyle w:val="In-tableHeading"/>
              <w:jc w:val="center"/>
            </w:pPr>
            <w:r w:rsidRPr="00F92A89">
              <w:t>2027−28</w:t>
            </w:r>
          </w:p>
        </w:tc>
        <w:tc>
          <w:tcPr>
            <w:tcW w:w="410" w:type="pct"/>
            <w:tcBorders>
              <w:bottom w:val="single" w:sz="4" w:space="0" w:color="auto"/>
            </w:tcBorders>
            <w:noWrap/>
            <w:hideMark/>
          </w:tcPr>
          <w:p w14:paraId="000004F4" w14:textId="143CDD31" w:rsidR="00F554A7" w:rsidRPr="001E7563" w:rsidRDefault="007A75BF" w:rsidP="00F92A89">
            <w:pPr>
              <w:pStyle w:val="In-tableHeading"/>
              <w:jc w:val="center"/>
            </w:pPr>
            <w:r w:rsidRPr="00F92A89">
              <w:t>2028−29</w:t>
            </w:r>
          </w:p>
        </w:tc>
        <w:tc>
          <w:tcPr>
            <w:tcW w:w="408" w:type="pct"/>
            <w:tcBorders>
              <w:bottom w:val="single" w:sz="4" w:space="0" w:color="auto"/>
            </w:tcBorders>
            <w:noWrap/>
            <w:hideMark/>
          </w:tcPr>
          <w:p w14:paraId="000004F5" w14:textId="22DF835A" w:rsidR="00F554A7" w:rsidRPr="001E7563" w:rsidRDefault="007A75BF" w:rsidP="00F92A89">
            <w:pPr>
              <w:pStyle w:val="In-tableHeading"/>
              <w:jc w:val="center"/>
            </w:pPr>
            <w:r w:rsidRPr="00F92A89">
              <w:t>2029−30</w:t>
            </w:r>
          </w:p>
        </w:tc>
      </w:tr>
      <w:tr w:rsidR="00F554A7" w14:paraId="01416891" w14:textId="77777777" w:rsidTr="00F92A89">
        <w:trPr>
          <w:trHeight w:val="300"/>
        </w:trPr>
        <w:tc>
          <w:tcPr>
            <w:tcW w:w="964" w:type="pct"/>
            <w:tcBorders>
              <w:right w:val="nil"/>
            </w:tcBorders>
            <w:noWrap/>
            <w:hideMark/>
          </w:tcPr>
          <w:p w14:paraId="000004F6" w14:textId="77777777" w:rsidR="00F554A7" w:rsidRDefault="007A75BF" w:rsidP="00F92A89">
            <w:pPr>
              <w:pStyle w:val="TableText"/>
              <w:rPr>
                <w:b/>
              </w:rPr>
            </w:pPr>
            <w:r w:rsidRPr="001E7563">
              <w:rPr>
                <w:b/>
              </w:rPr>
              <w:t>Haemoglobinopathy identified</w:t>
            </w:r>
          </w:p>
        </w:tc>
        <w:tc>
          <w:tcPr>
            <w:tcW w:w="356" w:type="pct"/>
            <w:tcBorders>
              <w:left w:val="nil"/>
              <w:right w:val="nil"/>
            </w:tcBorders>
            <w:noWrap/>
            <w:hideMark/>
          </w:tcPr>
          <w:p w14:paraId="000004F7" w14:textId="77777777" w:rsidR="00F554A7" w:rsidRPr="001E7563" w:rsidRDefault="00F554A7" w:rsidP="00F92A89">
            <w:pPr>
              <w:pStyle w:val="TableText"/>
              <w:jc w:val="right"/>
              <w:rPr>
                <w:b/>
              </w:rPr>
            </w:pPr>
          </w:p>
        </w:tc>
        <w:tc>
          <w:tcPr>
            <w:tcW w:w="305" w:type="pct"/>
            <w:tcBorders>
              <w:left w:val="nil"/>
              <w:right w:val="nil"/>
            </w:tcBorders>
            <w:noWrap/>
            <w:hideMark/>
          </w:tcPr>
          <w:p w14:paraId="000004F8" w14:textId="77777777" w:rsidR="00F554A7" w:rsidRPr="001E7563" w:rsidRDefault="00F554A7" w:rsidP="00F92A89">
            <w:pPr>
              <w:pStyle w:val="TableText"/>
              <w:jc w:val="right"/>
              <w:rPr>
                <w:b/>
              </w:rPr>
            </w:pPr>
          </w:p>
        </w:tc>
        <w:tc>
          <w:tcPr>
            <w:tcW w:w="305" w:type="pct"/>
            <w:tcBorders>
              <w:left w:val="nil"/>
              <w:right w:val="nil"/>
            </w:tcBorders>
            <w:noWrap/>
            <w:hideMark/>
          </w:tcPr>
          <w:p w14:paraId="000004F9" w14:textId="77777777" w:rsidR="00F554A7" w:rsidRPr="001E7563" w:rsidRDefault="00F554A7" w:rsidP="00F92A89">
            <w:pPr>
              <w:pStyle w:val="TableText"/>
              <w:jc w:val="right"/>
              <w:rPr>
                <w:b/>
              </w:rPr>
            </w:pPr>
          </w:p>
        </w:tc>
        <w:tc>
          <w:tcPr>
            <w:tcW w:w="305" w:type="pct"/>
            <w:tcBorders>
              <w:left w:val="nil"/>
              <w:right w:val="nil"/>
            </w:tcBorders>
            <w:noWrap/>
            <w:hideMark/>
          </w:tcPr>
          <w:p w14:paraId="000004FA" w14:textId="77777777" w:rsidR="00F554A7" w:rsidRPr="001E7563" w:rsidRDefault="00F554A7" w:rsidP="00F92A89">
            <w:pPr>
              <w:pStyle w:val="TableText"/>
              <w:jc w:val="right"/>
              <w:rPr>
                <w:b/>
              </w:rPr>
            </w:pPr>
          </w:p>
        </w:tc>
        <w:tc>
          <w:tcPr>
            <w:tcW w:w="307" w:type="pct"/>
            <w:tcBorders>
              <w:left w:val="nil"/>
              <w:right w:val="nil"/>
            </w:tcBorders>
            <w:noWrap/>
            <w:hideMark/>
          </w:tcPr>
          <w:p w14:paraId="000004FB" w14:textId="77777777" w:rsidR="00F554A7" w:rsidRPr="001E7563" w:rsidRDefault="00F554A7" w:rsidP="00F92A89">
            <w:pPr>
              <w:pStyle w:val="TableText"/>
              <w:jc w:val="right"/>
              <w:rPr>
                <w:b/>
              </w:rPr>
            </w:pPr>
          </w:p>
        </w:tc>
        <w:tc>
          <w:tcPr>
            <w:tcW w:w="410" w:type="pct"/>
            <w:tcBorders>
              <w:left w:val="nil"/>
              <w:right w:val="nil"/>
            </w:tcBorders>
            <w:noWrap/>
            <w:hideMark/>
          </w:tcPr>
          <w:p w14:paraId="000004FC" w14:textId="77777777" w:rsidR="00F554A7" w:rsidRPr="001E7563" w:rsidRDefault="00F554A7" w:rsidP="00F92A89">
            <w:pPr>
              <w:pStyle w:val="TableText"/>
              <w:jc w:val="right"/>
              <w:rPr>
                <w:b/>
              </w:rPr>
            </w:pPr>
          </w:p>
        </w:tc>
        <w:tc>
          <w:tcPr>
            <w:tcW w:w="410" w:type="pct"/>
            <w:tcBorders>
              <w:left w:val="nil"/>
              <w:right w:val="nil"/>
            </w:tcBorders>
            <w:noWrap/>
            <w:hideMark/>
          </w:tcPr>
          <w:p w14:paraId="000004FD" w14:textId="77777777" w:rsidR="00F554A7" w:rsidRPr="001E7563" w:rsidRDefault="00F554A7" w:rsidP="00F92A89">
            <w:pPr>
              <w:pStyle w:val="TableText"/>
              <w:jc w:val="right"/>
              <w:rPr>
                <w:b/>
              </w:rPr>
            </w:pPr>
          </w:p>
        </w:tc>
        <w:tc>
          <w:tcPr>
            <w:tcW w:w="410" w:type="pct"/>
            <w:tcBorders>
              <w:left w:val="nil"/>
              <w:right w:val="nil"/>
            </w:tcBorders>
            <w:noWrap/>
            <w:hideMark/>
          </w:tcPr>
          <w:p w14:paraId="000004FE" w14:textId="77777777" w:rsidR="00F554A7" w:rsidRPr="001E7563" w:rsidRDefault="00F554A7" w:rsidP="00F92A89">
            <w:pPr>
              <w:pStyle w:val="TableText"/>
              <w:jc w:val="right"/>
              <w:rPr>
                <w:b/>
              </w:rPr>
            </w:pPr>
          </w:p>
        </w:tc>
        <w:tc>
          <w:tcPr>
            <w:tcW w:w="410" w:type="pct"/>
            <w:tcBorders>
              <w:left w:val="nil"/>
              <w:right w:val="nil"/>
            </w:tcBorders>
            <w:noWrap/>
            <w:hideMark/>
          </w:tcPr>
          <w:p w14:paraId="000004FF" w14:textId="77777777" w:rsidR="00F554A7" w:rsidRPr="001E7563" w:rsidRDefault="00F554A7" w:rsidP="00F92A89">
            <w:pPr>
              <w:pStyle w:val="TableText"/>
              <w:jc w:val="right"/>
              <w:rPr>
                <w:b/>
              </w:rPr>
            </w:pPr>
          </w:p>
        </w:tc>
        <w:tc>
          <w:tcPr>
            <w:tcW w:w="410" w:type="pct"/>
            <w:tcBorders>
              <w:left w:val="nil"/>
              <w:right w:val="nil"/>
            </w:tcBorders>
            <w:noWrap/>
            <w:hideMark/>
          </w:tcPr>
          <w:p w14:paraId="00000500" w14:textId="77777777" w:rsidR="00F554A7" w:rsidRPr="001E7563" w:rsidRDefault="00F554A7" w:rsidP="00F92A89">
            <w:pPr>
              <w:pStyle w:val="TableText"/>
              <w:jc w:val="right"/>
              <w:rPr>
                <w:b/>
              </w:rPr>
            </w:pPr>
          </w:p>
        </w:tc>
        <w:tc>
          <w:tcPr>
            <w:tcW w:w="408" w:type="pct"/>
            <w:tcBorders>
              <w:left w:val="nil"/>
            </w:tcBorders>
            <w:noWrap/>
            <w:hideMark/>
          </w:tcPr>
          <w:p w14:paraId="00000501" w14:textId="77777777" w:rsidR="00F554A7" w:rsidRPr="001E7563" w:rsidRDefault="00F554A7" w:rsidP="00F92A89">
            <w:pPr>
              <w:pStyle w:val="TableText"/>
              <w:jc w:val="right"/>
              <w:rPr>
                <w:b/>
              </w:rPr>
            </w:pPr>
          </w:p>
        </w:tc>
      </w:tr>
      <w:tr w:rsidR="00F554A7" w14:paraId="45553C72" w14:textId="77777777" w:rsidTr="00F92A89">
        <w:trPr>
          <w:trHeight w:val="300"/>
        </w:trPr>
        <w:tc>
          <w:tcPr>
            <w:tcW w:w="964" w:type="pct"/>
            <w:noWrap/>
            <w:hideMark/>
          </w:tcPr>
          <w:p w14:paraId="00000502" w14:textId="77777777" w:rsidR="00F554A7" w:rsidRDefault="007A75BF" w:rsidP="00F92A89">
            <w:pPr>
              <w:pStyle w:val="TableText"/>
              <w:numPr>
                <w:ilvl w:val="0"/>
                <w:numId w:val="30"/>
              </w:numPr>
              <w:ind w:left="164" w:hanging="142"/>
            </w:pPr>
            <w:r w:rsidRPr="001E7563">
              <w:t>SCD only</w:t>
            </w:r>
          </w:p>
        </w:tc>
        <w:tc>
          <w:tcPr>
            <w:tcW w:w="356" w:type="pct"/>
            <w:noWrap/>
          </w:tcPr>
          <w:p w14:paraId="00000503" w14:textId="77777777" w:rsidR="00F554A7" w:rsidRDefault="007A75BF" w:rsidP="00F92A89">
            <w:pPr>
              <w:pStyle w:val="TableText"/>
              <w:jc w:val="right"/>
            </w:pPr>
            <w:r w:rsidRPr="001E7563">
              <w:t>$10.00</w:t>
            </w:r>
          </w:p>
        </w:tc>
        <w:tc>
          <w:tcPr>
            <w:tcW w:w="305" w:type="pct"/>
            <w:noWrap/>
          </w:tcPr>
          <w:p w14:paraId="00000504" w14:textId="77777777" w:rsidR="00F554A7" w:rsidRDefault="007A75BF" w:rsidP="00F92A89">
            <w:pPr>
              <w:pStyle w:val="TableText"/>
              <w:jc w:val="right"/>
            </w:pPr>
            <w:r w:rsidRPr="001E7563">
              <w:t>100.0%</w:t>
            </w:r>
          </w:p>
        </w:tc>
        <w:tc>
          <w:tcPr>
            <w:tcW w:w="305" w:type="pct"/>
            <w:noWrap/>
          </w:tcPr>
          <w:p w14:paraId="00000505" w14:textId="77777777" w:rsidR="00F554A7" w:rsidRDefault="007A75BF" w:rsidP="00F92A89">
            <w:pPr>
              <w:pStyle w:val="TableText"/>
              <w:jc w:val="right"/>
            </w:pPr>
            <w:r w:rsidRPr="001E7563">
              <w:t>0.0%</w:t>
            </w:r>
          </w:p>
        </w:tc>
        <w:tc>
          <w:tcPr>
            <w:tcW w:w="305" w:type="pct"/>
            <w:noWrap/>
          </w:tcPr>
          <w:p w14:paraId="00000506" w14:textId="77777777" w:rsidR="00F554A7" w:rsidRDefault="007A75BF" w:rsidP="00F92A89">
            <w:pPr>
              <w:pStyle w:val="TableText"/>
              <w:jc w:val="right"/>
            </w:pPr>
            <w:r w:rsidRPr="001E7563">
              <w:t>0.0%</w:t>
            </w:r>
          </w:p>
        </w:tc>
        <w:tc>
          <w:tcPr>
            <w:tcW w:w="307" w:type="pct"/>
            <w:noWrap/>
          </w:tcPr>
          <w:p w14:paraId="00000507" w14:textId="77777777" w:rsidR="00F554A7" w:rsidRDefault="007A75BF" w:rsidP="00F92A89">
            <w:pPr>
              <w:pStyle w:val="TableText"/>
              <w:jc w:val="right"/>
            </w:pPr>
            <w:r w:rsidRPr="001E7563">
              <w:t>0.0%</w:t>
            </w:r>
          </w:p>
        </w:tc>
        <w:tc>
          <w:tcPr>
            <w:tcW w:w="410" w:type="pct"/>
            <w:noWrap/>
          </w:tcPr>
          <w:p w14:paraId="00000508" w14:textId="77777777" w:rsidR="00F554A7" w:rsidRDefault="007A75BF" w:rsidP="00F92A89">
            <w:pPr>
              <w:pStyle w:val="TableText"/>
              <w:jc w:val="right"/>
            </w:pPr>
            <w:r w:rsidRPr="001E7563">
              <w:t>$3,135,779</w:t>
            </w:r>
          </w:p>
        </w:tc>
        <w:tc>
          <w:tcPr>
            <w:tcW w:w="410" w:type="pct"/>
            <w:noWrap/>
          </w:tcPr>
          <w:p w14:paraId="00000509" w14:textId="77777777" w:rsidR="00F554A7" w:rsidRDefault="007A75BF" w:rsidP="00F92A89">
            <w:pPr>
              <w:pStyle w:val="TableText"/>
              <w:jc w:val="right"/>
            </w:pPr>
            <w:r w:rsidRPr="001E7563">
              <w:t>$3,143,130</w:t>
            </w:r>
          </w:p>
        </w:tc>
        <w:tc>
          <w:tcPr>
            <w:tcW w:w="410" w:type="pct"/>
            <w:noWrap/>
          </w:tcPr>
          <w:p w14:paraId="0000050A" w14:textId="77777777" w:rsidR="00F554A7" w:rsidRDefault="007A75BF" w:rsidP="00F92A89">
            <w:pPr>
              <w:pStyle w:val="TableText"/>
              <w:jc w:val="right"/>
            </w:pPr>
            <w:r w:rsidRPr="001E7563">
              <w:t>$3,150,481</w:t>
            </w:r>
          </w:p>
        </w:tc>
        <w:tc>
          <w:tcPr>
            <w:tcW w:w="410" w:type="pct"/>
            <w:noWrap/>
          </w:tcPr>
          <w:p w14:paraId="0000050B" w14:textId="77777777" w:rsidR="00F554A7" w:rsidRDefault="007A75BF" w:rsidP="00F92A89">
            <w:pPr>
              <w:pStyle w:val="TableText"/>
              <w:jc w:val="right"/>
            </w:pPr>
            <w:r w:rsidRPr="001E7563">
              <w:t>$3,157,832</w:t>
            </w:r>
          </w:p>
        </w:tc>
        <w:tc>
          <w:tcPr>
            <w:tcW w:w="410" w:type="pct"/>
            <w:noWrap/>
          </w:tcPr>
          <w:p w14:paraId="0000050C" w14:textId="77777777" w:rsidR="00F554A7" w:rsidRDefault="007A75BF" w:rsidP="00F92A89">
            <w:pPr>
              <w:pStyle w:val="TableText"/>
              <w:jc w:val="right"/>
            </w:pPr>
            <w:r w:rsidRPr="001E7563">
              <w:t>$3,165,183</w:t>
            </w:r>
          </w:p>
        </w:tc>
        <w:tc>
          <w:tcPr>
            <w:tcW w:w="408" w:type="pct"/>
            <w:noWrap/>
          </w:tcPr>
          <w:p w14:paraId="0000050D" w14:textId="77777777" w:rsidR="00F554A7" w:rsidRDefault="007A75BF" w:rsidP="00F92A89">
            <w:pPr>
              <w:pStyle w:val="TableText"/>
              <w:jc w:val="right"/>
            </w:pPr>
            <w:r w:rsidRPr="001E7563">
              <w:t>$3,172,534</w:t>
            </w:r>
          </w:p>
        </w:tc>
      </w:tr>
      <w:tr w:rsidR="00F554A7" w14:paraId="71FCBCFA" w14:textId="77777777" w:rsidTr="00F92A89">
        <w:trPr>
          <w:trHeight w:val="300"/>
        </w:trPr>
        <w:tc>
          <w:tcPr>
            <w:tcW w:w="964" w:type="pct"/>
            <w:noWrap/>
            <w:hideMark/>
          </w:tcPr>
          <w:p w14:paraId="0000050E" w14:textId="73BEDEFF" w:rsidR="00F554A7" w:rsidRPr="001E7563" w:rsidRDefault="007A75BF" w:rsidP="00F92A89">
            <w:pPr>
              <w:pStyle w:val="TableText"/>
              <w:numPr>
                <w:ilvl w:val="0"/>
                <w:numId w:val="30"/>
              </w:numPr>
              <w:ind w:left="164" w:hanging="142"/>
            </w:pPr>
            <w:r w:rsidRPr="001E7563">
              <w:t>SCD and β</w:t>
            </w:r>
            <w:r w:rsidR="008A5731">
              <w:noBreakHyphen/>
            </w:r>
            <w:r w:rsidRPr="001E7563">
              <w:t>thal (major only)</w:t>
            </w:r>
          </w:p>
        </w:tc>
        <w:tc>
          <w:tcPr>
            <w:tcW w:w="356" w:type="pct"/>
            <w:noWrap/>
          </w:tcPr>
          <w:p w14:paraId="0000050F" w14:textId="77777777" w:rsidR="00F554A7" w:rsidRPr="001E7563" w:rsidRDefault="007A75BF" w:rsidP="00F92A89">
            <w:pPr>
              <w:pStyle w:val="TableText"/>
              <w:jc w:val="right"/>
            </w:pPr>
            <w:r w:rsidRPr="001E7563">
              <w:t>$10.00</w:t>
            </w:r>
          </w:p>
        </w:tc>
        <w:tc>
          <w:tcPr>
            <w:tcW w:w="305" w:type="pct"/>
            <w:noWrap/>
          </w:tcPr>
          <w:p w14:paraId="00000510" w14:textId="77777777" w:rsidR="00F554A7" w:rsidRPr="001E7563" w:rsidRDefault="007A75BF" w:rsidP="00F92A89">
            <w:pPr>
              <w:pStyle w:val="TableText"/>
              <w:jc w:val="right"/>
            </w:pPr>
            <w:r w:rsidRPr="001E7563">
              <w:t>100.0%</w:t>
            </w:r>
          </w:p>
        </w:tc>
        <w:tc>
          <w:tcPr>
            <w:tcW w:w="305" w:type="pct"/>
            <w:noWrap/>
          </w:tcPr>
          <w:p w14:paraId="00000511" w14:textId="77777777" w:rsidR="00F554A7" w:rsidRPr="001E7563" w:rsidRDefault="007A75BF" w:rsidP="00F92A89">
            <w:pPr>
              <w:pStyle w:val="TableText"/>
              <w:jc w:val="right"/>
            </w:pPr>
            <w:r w:rsidRPr="001E7563">
              <w:t>74.3%</w:t>
            </w:r>
          </w:p>
        </w:tc>
        <w:tc>
          <w:tcPr>
            <w:tcW w:w="305" w:type="pct"/>
            <w:noWrap/>
          </w:tcPr>
          <w:p w14:paraId="00000512" w14:textId="77777777" w:rsidR="00F554A7" w:rsidRPr="001E7563" w:rsidRDefault="007A75BF" w:rsidP="00F92A89">
            <w:pPr>
              <w:pStyle w:val="TableText"/>
              <w:jc w:val="right"/>
            </w:pPr>
            <w:r w:rsidRPr="001E7563">
              <w:t>0.0%</w:t>
            </w:r>
          </w:p>
        </w:tc>
        <w:tc>
          <w:tcPr>
            <w:tcW w:w="307" w:type="pct"/>
            <w:noWrap/>
          </w:tcPr>
          <w:p w14:paraId="00000513" w14:textId="77777777" w:rsidR="00F554A7" w:rsidRPr="001E7563" w:rsidRDefault="007A75BF" w:rsidP="00F92A89">
            <w:pPr>
              <w:pStyle w:val="TableText"/>
              <w:jc w:val="right"/>
            </w:pPr>
            <w:r w:rsidRPr="001E7563">
              <w:t>0.0%</w:t>
            </w:r>
          </w:p>
        </w:tc>
        <w:tc>
          <w:tcPr>
            <w:tcW w:w="410" w:type="pct"/>
            <w:noWrap/>
          </w:tcPr>
          <w:p w14:paraId="00000514" w14:textId="77777777" w:rsidR="00F554A7" w:rsidRPr="001E7563" w:rsidRDefault="007A75BF" w:rsidP="00F92A89">
            <w:pPr>
              <w:pStyle w:val="TableText"/>
              <w:jc w:val="right"/>
            </w:pPr>
            <w:r w:rsidRPr="001E7563">
              <w:t>$3,155,537</w:t>
            </w:r>
          </w:p>
        </w:tc>
        <w:tc>
          <w:tcPr>
            <w:tcW w:w="410" w:type="pct"/>
            <w:noWrap/>
          </w:tcPr>
          <w:p w14:paraId="00000515" w14:textId="77777777" w:rsidR="00F554A7" w:rsidRPr="001E7563" w:rsidRDefault="007A75BF" w:rsidP="00F92A89">
            <w:pPr>
              <w:pStyle w:val="TableText"/>
              <w:jc w:val="right"/>
            </w:pPr>
            <w:r w:rsidRPr="001E7563">
              <w:t>$3,162,935</w:t>
            </w:r>
          </w:p>
        </w:tc>
        <w:tc>
          <w:tcPr>
            <w:tcW w:w="410" w:type="pct"/>
            <w:noWrap/>
          </w:tcPr>
          <w:p w14:paraId="00000516" w14:textId="77777777" w:rsidR="00F554A7" w:rsidRPr="001E7563" w:rsidRDefault="007A75BF" w:rsidP="00F92A89">
            <w:pPr>
              <w:pStyle w:val="TableText"/>
              <w:jc w:val="right"/>
            </w:pPr>
            <w:r w:rsidRPr="001E7563">
              <w:t>$3,170,332</w:t>
            </w:r>
          </w:p>
        </w:tc>
        <w:tc>
          <w:tcPr>
            <w:tcW w:w="410" w:type="pct"/>
            <w:noWrap/>
          </w:tcPr>
          <w:p w14:paraId="00000517" w14:textId="77777777" w:rsidR="00F554A7" w:rsidRPr="001E7563" w:rsidRDefault="007A75BF" w:rsidP="00F92A89">
            <w:pPr>
              <w:pStyle w:val="TableText"/>
              <w:jc w:val="right"/>
            </w:pPr>
            <w:r w:rsidRPr="001E7563">
              <w:t>$3,177,730</w:t>
            </w:r>
          </w:p>
        </w:tc>
        <w:tc>
          <w:tcPr>
            <w:tcW w:w="410" w:type="pct"/>
            <w:noWrap/>
          </w:tcPr>
          <w:p w14:paraId="00000518" w14:textId="77777777" w:rsidR="00F554A7" w:rsidRPr="001E7563" w:rsidRDefault="007A75BF" w:rsidP="00F92A89">
            <w:pPr>
              <w:pStyle w:val="TableText"/>
              <w:jc w:val="right"/>
            </w:pPr>
            <w:r w:rsidRPr="001E7563">
              <w:t>$3,185,127</w:t>
            </w:r>
          </w:p>
        </w:tc>
        <w:tc>
          <w:tcPr>
            <w:tcW w:w="408" w:type="pct"/>
            <w:noWrap/>
          </w:tcPr>
          <w:p w14:paraId="00000519" w14:textId="77777777" w:rsidR="00F554A7" w:rsidRPr="001E7563" w:rsidRDefault="007A75BF" w:rsidP="00F92A89">
            <w:pPr>
              <w:pStyle w:val="TableText"/>
              <w:jc w:val="right"/>
            </w:pPr>
            <w:r w:rsidRPr="001E7563">
              <w:t>$3,192,524</w:t>
            </w:r>
          </w:p>
        </w:tc>
      </w:tr>
      <w:tr w:rsidR="00F554A7" w14:paraId="07EAA6C7" w14:textId="77777777" w:rsidTr="00F92A89">
        <w:trPr>
          <w:trHeight w:val="300"/>
        </w:trPr>
        <w:tc>
          <w:tcPr>
            <w:tcW w:w="964" w:type="pct"/>
            <w:tcBorders>
              <w:bottom w:val="single" w:sz="4" w:space="0" w:color="auto"/>
            </w:tcBorders>
            <w:noWrap/>
            <w:hideMark/>
          </w:tcPr>
          <w:p w14:paraId="0000051A" w14:textId="7C7DCB87" w:rsidR="00F554A7" w:rsidRPr="001E7563" w:rsidRDefault="007A75BF" w:rsidP="00F92A89">
            <w:pPr>
              <w:pStyle w:val="TableText"/>
              <w:numPr>
                <w:ilvl w:val="0"/>
                <w:numId w:val="30"/>
              </w:numPr>
              <w:ind w:left="164" w:hanging="142"/>
            </w:pPr>
            <w:r w:rsidRPr="001E7563">
              <w:t>SCD and β</w:t>
            </w:r>
            <w:r w:rsidR="008A5731">
              <w:noBreakHyphen/>
            </w:r>
            <w:r w:rsidRPr="001E7563">
              <w:t>thal (major and intermedia) [base case]</w:t>
            </w:r>
          </w:p>
        </w:tc>
        <w:tc>
          <w:tcPr>
            <w:tcW w:w="356" w:type="pct"/>
            <w:tcBorders>
              <w:bottom w:val="single" w:sz="4" w:space="0" w:color="auto"/>
            </w:tcBorders>
            <w:noWrap/>
          </w:tcPr>
          <w:p w14:paraId="0000051B" w14:textId="77777777" w:rsidR="00F554A7" w:rsidRPr="001E7563" w:rsidRDefault="007A75BF" w:rsidP="00F92A89">
            <w:pPr>
              <w:pStyle w:val="TableText"/>
              <w:jc w:val="right"/>
            </w:pPr>
            <w:r w:rsidRPr="001E7563">
              <w:t>$10.00</w:t>
            </w:r>
          </w:p>
        </w:tc>
        <w:tc>
          <w:tcPr>
            <w:tcW w:w="305" w:type="pct"/>
            <w:tcBorders>
              <w:bottom w:val="single" w:sz="4" w:space="0" w:color="auto"/>
            </w:tcBorders>
            <w:noWrap/>
          </w:tcPr>
          <w:p w14:paraId="0000051C" w14:textId="77777777" w:rsidR="00F554A7" w:rsidRPr="001E7563" w:rsidRDefault="007A75BF" w:rsidP="00F92A89">
            <w:pPr>
              <w:pStyle w:val="TableText"/>
              <w:jc w:val="right"/>
            </w:pPr>
            <w:r w:rsidRPr="001E7563">
              <w:t>100.0%</w:t>
            </w:r>
          </w:p>
        </w:tc>
        <w:tc>
          <w:tcPr>
            <w:tcW w:w="305" w:type="pct"/>
            <w:tcBorders>
              <w:bottom w:val="single" w:sz="4" w:space="0" w:color="auto"/>
            </w:tcBorders>
            <w:noWrap/>
          </w:tcPr>
          <w:p w14:paraId="0000051D" w14:textId="77777777" w:rsidR="00F554A7" w:rsidRPr="001E7563" w:rsidRDefault="007A75BF" w:rsidP="00F92A89">
            <w:pPr>
              <w:pStyle w:val="TableText"/>
              <w:jc w:val="right"/>
            </w:pPr>
            <w:r w:rsidRPr="001E7563">
              <w:t>74.3%</w:t>
            </w:r>
          </w:p>
        </w:tc>
        <w:tc>
          <w:tcPr>
            <w:tcW w:w="305" w:type="pct"/>
            <w:tcBorders>
              <w:bottom w:val="single" w:sz="4" w:space="0" w:color="auto"/>
            </w:tcBorders>
            <w:noWrap/>
          </w:tcPr>
          <w:p w14:paraId="0000051E" w14:textId="77777777" w:rsidR="00F554A7" w:rsidRPr="001E7563" w:rsidRDefault="007A75BF" w:rsidP="00F92A89">
            <w:pPr>
              <w:pStyle w:val="TableText"/>
              <w:jc w:val="right"/>
            </w:pPr>
            <w:r w:rsidRPr="001E7563">
              <w:t>0.0%</w:t>
            </w:r>
          </w:p>
        </w:tc>
        <w:tc>
          <w:tcPr>
            <w:tcW w:w="307" w:type="pct"/>
            <w:tcBorders>
              <w:bottom w:val="single" w:sz="4" w:space="0" w:color="auto"/>
            </w:tcBorders>
            <w:noWrap/>
          </w:tcPr>
          <w:p w14:paraId="0000051F" w14:textId="77777777" w:rsidR="00F554A7" w:rsidRPr="001E7563" w:rsidRDefault="007A75BF" w:rsidP="00F92A89">
            <w:pPr>
              <w:pStyle w:val="TableText"/>
              <w:jc w:val="right"/>
            </w:pPr>
            <w:r w:rsidRPr="001E7563">
              <w:t>0.0%</w:t>
            </w:r>
          </w:p>
        </w:tc>
        <w:tc>
          <w:tcPr>
            <w:tcW w:w="410" w:type="pct"/>
            <w:tcBorders>
              <w:bottom w:val="single" w:sz="4" w:space="0" w:color="auto"/>
            </w:tcBorders>
            <w:noWrap/>
          </w:tcPr>
          <w:p w14:paraId="00000520" w14:textId="77777777" w:rsidR="00F554A7" w:rsidRPr="001E7563" w:rsidRDefault="007A75BF" w:rsidP="00F92A89">
            <w:pPr>
              <w:pStyle w:val="TableText"/>
              <w:jc w:val="right"/>
            </w:pPr>
            <w:r w:rsidRPr="001E7563">
              <w:t>$3,155,537</w:t>
            </w:r>
          </w:p>
        </w:tc>
        <w:tc>
          <w:tcPr>
            <w:tcW w:w="410" w:type="pct"/>
            <w:tcBorders>
              <w:bottom w:val="single" w:sz="4" w:space="0" w:color="auto"/>
            </w:tcBorders>
            <w:noWrap/>
          </w:tcPr>
          <w:p w14:paraId="00000521" w14:textId="77777777" w:rsidR="00F554A7" w:rsidRPr="001E7563" w:rsidRDefault="007A75BF" w:rsidP="00F92A89">
            <w:pPr>
              <w:pStyle w:val="TableText"/>
              <w:jc w:val="right"/>
            </w:pPr>
            <w:r w:rsidRPr="001E7563">
              <w:t>$3,162,935</w:t>
            </w:r>
          </w:p>
        </w:tc>
        <w:tc>
          <w:tcPr>
            <w:tcW w:w="410" w:type="pct"/>
            <w:tcBorders>
              <w:bottom w:val="single" w:sz="4" w:space="0" w:color="auto"/>
            </w:tcBorders>
            <w:noWrap/>
          </w:tcPr>
          <w:p w14:paraId="00000522" w14:textId="77777777" w:rsidR="00F554A7" w:rsidRPr="001E7563" w:rsidRDefault="007A75BF" w:rsidP="00F92A89">
            <w:pPr>
              <w:pStyle w:val="TableText"/>
              <w:jc w:val="right"/>
            </w:pPr>
            <w:r w:rsidRPr="001E7563">
              <w:t>$3,170,332</w:t>
            </w:r>
          </w:p>
        </w:tc>
        <w:tc>
          <w:tcPr>
            <w:tcW w:w="410" w:type="pct"/>
            <w:tcBorders>
              <w:bottom w:val="single" w:sz="4" w:space="0" w:color="auto"/>
            </w:tcBorders>
            <w:noWrap/>
          </w:tcPr>
          <w:p w14:paraId="00000523" w14:textId="77777777" w:rsidR="00F554A7" w:rsidRPr="001E7563" w:rsidRDefault="007A75BF" w:rsidP="00F92A89">
            <w:pPr>
              <w:pStyle w:val="TableText"/>
              <w:jc w:val="right"/>
            </w:pPr>
            <w:r w:rsidRPr="001E7563">
              <w:t>$3,177,730</w:t>
            </w:r>
          </w:p>
        </w:tc>
        <w:tc>
          <w:tcPr>
            <w:tcW w:w="410" w:type="pct"/>
            <w:tcBorders>
              <w:bottom w:val="single" w:sz="4" w:space="0" w:color="auto"/>
            </w:tcBorders>
            <w:noWrap/>
          </w:tcPr>
          <w:p w14:paraId="00000524" w14:textId="77777777" w:rsidR="00F554A7" w:rsidRPr="001E7563" w:rsidRDefault="007A75BF" w:rsidP="00F92A89">
            <w:pPr>
              <w:pStyle w:val="TableText"/>
              <w:jc w:val="right"/>
            </w:pPr>
            <w:r w:rsidRPr="001E7563">
              <w:t>$3,185,127</w:t>
            </w:r>
          </w:p>
        </w:tc>
        <w:tc>
          <w:tcPr>
            <w:tcW w:w="408" w:type="pct"/>
            <w:tcBorders>
              <w:bottom w:val="single" w:sz="4" w:space="0" w:color="auto"/>
            </w:tcBorders>
            <w:noWrap/>
          </w:tcPr>
          <w:p w14:paraId="00000525" w14:textId="77777777" w:rsidR="00F554A7" w:rsidRPr="001E7563" w:rsidRDefault="007A75BF" w:rsidP="00F92A89">
            <w:pPr>
              <w:pStyle w:val="TableText"/>
              <w:jc w:val="right"/>
            </w:pPr>
            <w:r w:rsidRPr="001E7563">
              <w:t>$3,192,524</w:t>
            </w:r>
          </w:p>
        </w:tc>
      </w:tr>
      <w:tr w:rsidR="00F554A7" w14:paraId="500CDFC2" w14:textId="77777777" w:rsidTr="00F92A89">
        <w:trPr>
          <w:trHeight w:val="300"/>
        </w:trPr>
        <w:tc>
          <w:tcPr>
            <w:tcW w:w="964" w:type="pct"/>
            <w:tcBorders>
              <w:right w:val="nil"/>
            </w:tcBorders>
            <w:noWrap/>
            <w:hideMark/>
          </w:tcPr>
          <w:p w14:paraId="00000526" w14:textId="77777777" w:rsidR="00F554A7" w:rsidRDefault="007A75BF" w:rsidP="00F92A89">
            <w:pPr>
              <w:pStyle w:val="TableText"/>
              <w:rPr>
                <w:b/>
              </w:rPr>
            </w:pPr>
            <w:r w:rsidRPr="001E7563">
              <w:rPr>
                <w:b/>
              </w:rPr>
              <w:t xml:space="preserve">First-tier screening strategy </w:t>
            </w:r>
            <w:r>
              <w:rPr>
                <w:b/>
                <w:vertAlign w:val="superscript"/>
              </w:rPr>
              <w:t>a</w:t>
            </w:r>
          </w:p>
        </w:tc>
        <w:tc>
          <w:tcPr>
            <w:tcW w:w="356" w:type="pct"/>
            <w:tcBorders>
              <w:left w:val="nil"/>
              <w:right w:val="nil"/>
            </w:tcBorders>
            <w:noWrap/>
            <w:hideMark/>
          </w:tcPr>
          <w:p w14:paraId="00000527" w14:textId="77777777" w:rsidR="00F554A7" w:rsidRPr="001E7563" w:rsidRDefault="00F554A7" w:rsidP="00F92A89">
            <w:pPr>
              <w:pStyle w:val="TableText"/>
              <w:jc w:val="right"/>
              <w:rPr>
                <w:b/>
              </w:rPr>
            </w:pPr>
          </w:p>
        </w:tc>
        <w:tc>
          <w:tcPr>
            <w:tcW w:w="305" w:type="pct"/>
            <w:tcBorders>
              <w:left w:val="nil"/>
              <w:right w:val="nil"/>
            </w:tcBorders>
            <w:noWrap/>
            <w:hideMark/>
          </w:tcPr>
          <w:p w14:paraId="00000528" w14:textId="77777777" w:rsidR="00F554A7" w:rsidRPr="001E7563" w:rsidRDefault="00F554A7" w:rsidP="00F92A89">
            <w:pPr>
              <w:pStyle w:val="TableText"/>
              <w:jc w:val="right"/>
              <w:rPr>
                <w:b/>
              </w:rPr>
            </w:pPr>
          </w:p>
        </w:tc>
        <w:tc>
          <w:tcPr>
            <w:tcW w:w="305" w:type="pct"/>
            <w:tcBorders>
              <w:left w:val="nil"/>
              <w:right w:val="nil"/>
            </w:tcBorders>
            <w:noWrap/>
            <w:hideMark/>
          </w:tcPr>
          <w:p w14:paraId="00000529" w14:textId="77777777" w:rsidR="00F554A7" w:rsidRPr="001E7563" w:rsidRDefault="00F554A7" w:rsidP="00F92A89">
            <w:pPr>
              <w:pStyle w:val="TableText"/>
              <w:jc w:val="right"/>
              <w:rPr>
                <w:b/>
              </w:rPr>
            </w:pPr>
          </w:p>
        </w:tc>
        <w:tc>
          <w:tcPr>
            <w:tcW w:w="305" w:type="pct"/>
            <w:tcBorders>
              <w:left w:val="nil"/>
              <w:right w:val="nil"/>
            </w:tcBorders>
            <w:noWrap/>
            <w:hideMark/>
          </w:tcPr>
          <w:p w14:paraId="0000052A" w14:textId="77777777" w:rsidR="00F554A7" w:rsidRPr="001E7563" w:rsidRDefault="00F554A7" w:rsidP="00F92A89">
            <w:pPr>
              <w:pStyle w:val="TableText"/>
              <w:jc w:val="right"/>
              <w:rPr>
                <w:b/>
              </w:rPr>
            </w:pPr>
          </w:p>
        </w:tc>
        <w:tc>
          <w:tcPr>
            <w:tcW w:w="307" w:type="pct"/>
            <w:tcBorders>
              <w:left w:val="nil"/>
              <w:right w:val="nil"/>
            </w:tcBorders>
            <w:noWrap/>
            <w:hideMark/>
          </w:tcPr>
          <w:p w14:paraId="0000052B" w14:textId="77777777" w:rsidR="00F554A7" w:rsidRPr="001E7563" w:rsidRDefault="00F554A7" w:rsidP="00F92A89">
            <w:pPr>
              <w:pStyle w:val="TableText"/>
              <w:jc w:val="right"/>
              <w:rPr>
                <w:b/>
              </w:rPr>
            </w:pPr>
          </w:p>
        </w:tc>
        <w:tc>
          <w:tcPr>
            <w:tcW w:w="410" w:type="pct"/>
            <w:tcBorders>
              <w:left w:val="nil"/>
              <w:right w:val="nil"/>
            </w:tcBorders>
            <w:noWrap/>
            <w:hideMark/>
          </w:tcPr>
          <w:p w14:paraId="0000052C" w14:textId="77777777" w:rsidR="00F554A7" w:rsidRPr="001E7563" w:rsidRDefault="00F554A7" w:rsidP="00F92A89">
            <w:pPr>
              <w:pStyle w:val="TableText"/>
              <w:jc w:val="right"/>
              <w:rPr>
                <w:b/>
              </w:rPr>
            </w:pPr>
          </w:p>
        </w:tc>
        <w:tc>
          <w:tcPr>
            <w:tcW w:w="410" w:type="pct"/>
            <w:tcBorders>
              <w:left w:val="nil"/>
              <w:right w:val="nil"/>
            </w:tcBorders>
            <w:noWrap/>
            <w:hideMark/>
          </w:tcPr>
          <w:p w14:paraId="0000052D" w14:textId="77777777" w:rsidR="00F554A7" w:rsidRPr="001E7563" w:rsidRDefault="00F554A7" w:rsidP="00F92A89">
            <w:pPr>
              <w:pStyle w:val="TableText"/>
              <w:jc w:val="right"/>
              <w:rPr>
                <w:b/>
              </w:rPr>
            </w:pPr>
          </w:p>
        </w:tc>
        <w:tc>
          <w:tcPr>
            <w:tcW w:w="410" w:type="pct"/>
            <w:tcBorders>
              <w:left w:val="nil"/>
              <w:right w:val="nil"/>
            </w:tcBorders>
            <w:noWrap/>
            <w:hideMark/>
          </w:tcPr>
          <w:p w14:paraId="0000052E" w14:textId="77777777" w:rsidR="00F554A7" w:rsidRPr="001E7563" w:rsidRDefault="00F554A7" w:rsidP="00F92A89">
            <w:pPr>
              <w:pStyle w:val="TableText"/>
              <w:jc w:val="right"/>
              <w:rPr>
                <w:b/>
              </w:rPr>
            </w:pPr>
          </w:p>
        </w:tc>
        <w:tc>
          <w:tcPr>
            <w:tcW w:w="410" w:type="pct"/>
            <w:tcBorders>
              <w:left w:val="nil"/>
              <w:right w:val="nil"/>
            </w:tcBorders>
            <w:noWrap/>
            <w:hideMark/>
          </w:tcPr>
          <w:p w14:paraId="0000052F" w14:textId="77777777" w:rsidR="00F554A7" w:rsidRPr="001E7563" w:rsidRDefault="00F554A7" w:rsidP="00F92A89">
            <w:pPr>
              <w:pStyle w:val="TableText"/>
              <w:jc w:val="right"/>
              <w:rPr>
                <w:b/>
              </w:rPr>
            </w:pPr>
          </w:p>
        </w:tc>
        <w:tc>
          <w:tcPr>
            <w:tcW w:w="410" w:type="pct"/>
            <w:tcBorders>
              <w:left w:val="nil"/>
              <w:right w:val="nil"/>
            </w:tcBorders>
            <w:noWrap/>
            <w:hideMark/>
          </w:tcPr>
          <w:p w14:paraId="00000530" w14:textId="77777777" w:rsidR="00F554A7" w:rsidRPr="001E7563" w:rsidRDefault="00F554A7" w:rsidP="00F92A89">
            <w:pPr>
              <w:pStyle w:val="TableText"/>
              <w:jc w:val="right"/>
              <w:rPr>
                <w:b/>
              </w:rPr>
            </w:pPr>
          </w:p>
        </w:tc>
        <w:tc>
          <w:tcPr>
            <w:tcW w:w="408" w:type="pct"/>
            <w:tcBorders>
              <w:left w:val="nil"/>
            </w:tcBorders>
            <w:noWrap/>
            <w:hideMark/>
          </w:tcPr>
          <w:p w14:paraId="00000531" w14:textId="77777777" w:rsidR="00F554A7" w:rsidRPr="001E7563" w:rsidRDefault="00F554A7" w:rsidP="00F92A89">
            <w:pPr>
              <w:pStyle w:val="TableText"/>
              <w:jc w:val="right"/>
              <w:rPr>
                <w:b/>
              </w:rPr>
            </w:pPr>
          </w:p>
        </w:tc>
      </w:tr>
      <w:tr w:rsidR="00F554A7" w14:paraId="18F0E98C" w14:textId="77777777" w:rsidTr="00F92A89">
        <w:trPr>
          <w:trHeight w:val="300"/>
        </w:trPr>
        <w:tc>
          <w:tcPr>
            <w:tcW w:w="964" w:type="pct"/>
            <w:noWrap/>
            <w:hideMark/>
          </w:tcPr>
          <w:p w14:paraId="00000532" w14:textId="77777777" w:rsidR="00F554A7" w:rsidRDefault="007A75BF" w:rsidP="00F92A89">
            <w:pPr>
              <w:pStyle w:val="TableText"/>
              <w:numPr>
                <w:ilvl w:val="0"/>
                <w:numId w:val="30"/>
              </w:numPr>
              <w:ind w:left="164" w:hanging="142"/>
            </w:pPr>
            <w:r w:rsidRPr="001E7563">
              <w:t>IEF</w:t>
            </w:r>
          </w:p>
        </w:tc>
        <w:tc>
          <w:tcPr>
            <w:tcW w:w="356" w:type="pct"/>
            <w:noWrap/>
          </w:tcPr>
          <w:p w14:paraId="00000533" w14:textId="77777777" w:rsidR="00F554A7" w:rsidRDefault="007A75BF" w:rsidP="00F92A89">
            <w:pPr>
              <w:pStyle w:val="TableText"/>
              <w:jc w:val="right"/>
            </w:pPr>
            <w:r w:rsidRPr="001E7563">
              <w:t>$49.05</w:t>
            </w:r>
          </w:p>
        </w:tc>
        <w:tc>
          <w:tcPr>
            <w:tcW w:w="305" w:type="pct"/>
            <w:noWrap/>
          </w:tcPr>
          <w:p w14:paraId="00000534" w14:textId="77777777" w:rsidR="00F554A7" w:rsidRDefault="007A75BF" w:rsidP="00F92A89">
            <w:pPr>
              <w:pStyle w:val="TableText"/>
              <w:jc w:val="right"/>
            </w:pPr>
            <w:r w:rsidRPr="001E7563">
              <w:t>100.0%</w:t>
            </w:r>
          </w:p>
        </w:tc>
        <w:tc>
          <w:tcPr>
            <w:tcW w:w="305" w:type="pct"/>
            <w:noWrap/>
          </w:tcPr>
          <w:p w14:paraId="00000535" w14:textId="77777777" w:rsidR="00F554A7" w:rsidRDefault="007A75BF" w:rsidP="00F92A89">
            <w:pPr>
              <w:pStyle w:val="TableText"/>
              <w:jc w:val="right"/>
            </w:pPr>
            <w:r w:rsidRPr="001E7563">
              <w:t>98.5%</w:t>
            </w:r>
          </w:p>
        </w:tc>
        <w:tc>
          <w:tcPr>
            <w:tcW w:w="305" w:type="pct"/>
            <w:noWrap/>
          </w:tcPr>
          <w:p w14:paraId="00000536" w14:textId="77777777" w:rsidR="00F554A7" w:rsidRDefault="007A75BF" w:rsidP="00F92A89">
            <w:pPr>
              <w:pStyle w:val="TableText"/>
              <w:jc w:val="right"/>
            </w:pPr>
            <w:r w:rsidRPr="001E7563">
              <w:t>0.0%</w:t>
            </w:r>
          </w:p>
        </w:tc>
        <w:tc>
          <w:tcPr>
            <w:tcW w:w="307" w:type="pct"/>
            <w:noWrap/>
          </w:tcPr>
          <w:p w14:paraId="00000537" w14:textId="77777777" w:rsidR="00F554A7" w:rsidRDefault="007A75BF" w:rsidP="00F92A89">
            <w:pPr>
              <w:pStyle w:val="TableText"/>
              <w:jc w:val="right"/>
            </w:pPr>
            <w:r w:rsidRPr="001E7563">
              <w:t>0.0%</w:t>
            </w:r>
          </w:p>
        </w:tc>
        <w:tc>
          <w:tcPr>
            <w:tcW w:w="410" w:type="pct"/>
            <w:noWrap/>
          </w:tcPr>
          <w:p w14:paraId="00000538" w14:textId="77777777" w:rsidR="00F554A7" w:rsidRDefault="007A75BF" w:rsidP="00F92A89">
            <w:pPr>
              <w:pStyle w:val="TableText"/>
              <w:jc w:val="right"/>
            </w:pPr>
            <w:r w:rsidRPr="001E7563">
              <w:t>$15,303,491</w:t>
            </w:r>
          </w:p>
        </w:tc>
        <w:tc>
          <w:tcPr>
            <w:tcW w:w="410" w:type="pct"/>
            <w:noWrap/>
          </w:tcPr>
          <w:p w14:paraId="00000539" w14:textId="77777777" w:rsidR="00F554A7" w:rsidRDefault="007A75BF" w:rsidP="00F92A89">
            <w:pPr>
              <w:pStyle w:val="TableText"/>
              <w:jc w:val="right"/>
            </w:pPr>
            <w:r w:rsidRPr="001E7563">
              <w:t>$15,339,366</w:t>
            </w:r>
          </w:p>
        </w:tc>
        <w:tc>
          <w:tcPr>
            <w:tcW w:w="410" w:type="pct"/>
            <w:noWrap/>
          </w:tcPr>
          <w:p w14:paraId="0000053A" w14:textId="77777777" w:rsidR="00F554A7" w:rsidRDefault="007A75BF" w:rsidP="00F92A89">
            <w:pPr>
              <w:pStyle w:val="TableText"/>
              <w:jc w:val="right"/>
            </w:pPr>
            <w:r w:rsidRPr="001E7563">
              <w:t>$15,375,242</w:t>
            </w:r>
          </w:p>
        </w:tc>
        <w:tc>
          <w:tcPr>
            <w:tcW w:w="410" w:type="pct"/>
            <w:noWrap/>
          </w:tcPr>
          <w:p w14:paraId="0000053B" w14:textId="77777777" w:rsidR="00F554A7" w:rsidRDefault="007A75BF" w:rsidP="00F92A89">
            <w:pPr>
              <w:pStyle w:val="TableText"/>
              <w:jc w:val="right"/>
            </w:pPr>
            <w:r w:rsidRPr="001E7563">
              <w:t>$15,411,117</w:t>
            </w:r>
          </w:p>
        </w:tc>
        <w:tc>
          <w:tcPr>
            <w:tcW w:w="410" w:type="pct"/>
            <w:noWrap/>
          </w:tcPr>
          <w:p w14:paraId="0000053C" w14:textId="77777777" w:rsidR="00F554A7" w:rsidRDefault="007A75BF" w:rsidP="00F92A89">
            <w:pPr>
              <w:pStyle w:val="TableText"/>
              <w:jc w:val="right"/>
            </w:pPr>
            <w:r w:rsidRPr="001E7563">
              <w:t>$15,446,992</w:t>
            </w:r>
          </w:p>
        </w:tc>
        <w:tc>
          <w:tcPr>
            <w:tcW w:w="408" w:type="pct"/>
            <w:noWrap/>
          </w:tcPr>
          <w:p w14:paraId="0000053D" w14:textId="77777777" w:rsidR="00F554A7" w:rsidRDefault="007A75BF" w:rsidP="00F92A89">
            <w:pPr>
              <w:pStyle w:val="TableText"/>
              <w:jc w:val="right"/>
            </w:pPr>
            <w:r w:rsidRPr="001E7563">
              <w:t>$15,482,868</w:t>
            </w:r>
          </w:p>
        </w:tc>
      </w:tr>
      <w:tr w:rsidR="00F554A7" w14:paraId="6D3C720E" w14:textId="77777777" w:rsidTr="00F92A89">
        <w:trPr>
          <w:trHeight w:val="300"/>
        </w:trPr>
        <w:tc>
          <w:tcPr>
            <w:tcW w:w="964" w:type="pct"/>
            <w:noWrap/>
            <w:hideMark/>
          </w:tcPr>
          <w:p w14:paraId="0000053E" w14:textId="77777777" w:rsidR="00F554A7" w:rsidRDefault="007A75BF" w:rsidP="00F92A89">
            <w:pPr>
              <w:pStyle w:val="TableText"/>
              <w:numPr>
                <w:ilvl w:val="0"/>
                <w:numId w:val="30"/>
              </w:numPr>
              <w:ind w:left="164" w:hanging="142"/>
            </w:pPr>
            <w:r w:rsidRPr="001E7563">
              <w:t>HPLC</w:t>
            </w:r>
          </w:p>
        </w:tc>
        <w:tc>
          <w:tcPr>
            <w:tcW w:w="356" w:type="pct"/>
            <w:noWrap/>
          </w:tcPr>
          <w:p w14:paraId="0000053F" w14:textId="77777777" w:rsidR="00F554A7" w:rsidRDefault="007A75BF" w:rsidP="00F92A89">
            <w:pPr>
              <w:pStyle w:val="TableText"/>
              <w:jc w:val="right"/>
            </w:pPr>
            <w:r w:rsidRPr="001E7563">
              <w:t>$96.60</w:t>
            </w:r>
          </w:p>
        </w:tc>
        <w:tc>
          <w:tcPr>
            <w:tcW w:w="305" w:type="pct"/>
            <w:noWrap/>
          </w:tcPr>
          <w:p w14:paraId="00000540" w14:textId="77777777" w:rsidR="00F554A7" w:rsidRDefault="007A75BF" w:rsidP="00F92A89">
            <w:pPr>
              <w:pStyle w:val="TableText"/>
              <w:jc w:val="right"/>
            </w:pPr>
            <w:r w:rsidRPr="001E7563">
              <w:t>100.0%</w:t>
            </w:r>
          </w:p>
        </w:tc>
        <w:tc>
          <w:tcPr>
            <w:tcW w:w="305" w:type="pct"/>
            <w:noWrap/>
          </w:tcPr>
          <w:p w14:paraId="00000541" w14:textId="77777777" w:rsidR="00F554A7" w:rsidRDefault="007A75BF" w:rsidP="00F92A89">
            <w:pPr>
              <w:pStyle w:val="TableText"/>
              <w:jc w:val="right"/>
            </w:pPr>
            <w:r w:rsidRPr="001E7563">
              <w:t>98.5%</w:t>
            </w:r>
          </w:p>
        </w:tc>
        <w:tc>
          <w:tcPr>
            <w:tcW w:w="305" w:type="pct"/>
            <w:noWrap/>
          </w:tcPr>
          <w:p w14:paraId="00000542" w14:textId="77777777" w:rsidR="00F554A7" w:rsidRDefault="007A75BF" w:rsidP="00F92A89">
            <w:pPr>
              <w:pStyle w:val="TableText"/>
              <w:jc w:val="right"/>
            </w:pPr>
            <w:r w:rsidRPr="001E7563">
              <w:t>0.0%</w:t>
            </w:r>
          </w:p>
        </w:tc>
        <w:tc>
          <w:tcPr>
            <w:tcW w:w="307" w:type="pct"/>
            <w:noWrap/>
          </w:tcPr>
          <w:p w14:paraId="00000543" w14:textId="77777777" w:rsidR="00F554A7" w:rsidRDefault="007A75BF" w:rsidP="00F92A89">
            <w:pPr>
              <w:pStyle w:val="TableText"/>
              <w:jc w:val="right"/>
            </w:pPr>
            <w:r w:rsidRPr="001E7563">
              <w:t>0.0%</w:t>
            </w:r>
          </w:p>
        </w:tc>
        <w:tc>
          <w:tcPr>
            <w:tcW w:w="410" w:type="pct"/>
            <w:noWrap/>
          </w:tcPr>
          <w:p w14:paraId="00000544" w14:textId="77777777" w:rsidR="00F554A7" w:rsidRDefault="007A75BF" w:rsidP="00F92A89">
            <w:pPr>
              <w:pStyle w:val="TableText"/>
              <w:jc w:val="right"/>
            </w:pPr>
            <w:r w:rsidRPr="001E7563">
              <w:t>$30,087,829</w:t>
            </w:r>
          </w:p>
        </w:tc>
        <w:tc>
          <w:tcPr>
            <w:tcW w:w="410" w:type="pct"/>
            <w:noWrap/>
          </w:tcPr>
          <w:p w14:paraId="00000545" w14:textId="77777777" w:rsidR="00F554A7" w:rsidRDefault="007A75BF" w:rsidP="00F92A89">
            <w:pPr>
              <w:pStyle w:val="TableText"/>
              <w:jc w:val="right"/>
            </w:pPr>
            <w:r w:rsidRPr="001E7563">
              <w:t>$30,158,363</w:t>
            </w:r>
          </w:p>
        </w:tc>
        <w:tc>
          <w:tcPr>
            <w:tcW w:w="410" w:type="pct"/>
            <w:noWrap/>
          </w:tcPr>
          <w:p w14:paraId="00000546" w14:textId="77777777" w:rsidR="00F554A7" w:rsidRDefault="007A75BF" w:rsidP="00F92A89">
            <w:pPr>
              <w:pStyle w:val="TableText"/>
              <w:jc w:val="right"/>
            </w:pPr>
            <w:r w:rsidRPr="001E7563">
              <w:t>$30,228,896</w:t>
            </w:r>
          </w:p>
        </w:tc>
        <w:tc>
          <w:tcPr>
            <w:tcW w:w="410" w:type="pct"/>
            <w:noWrap/>
          </w:tcPr>
          <w:p w14:paraId="00000547" w14:textId="77777777" w:rsidR="00F554A7" w:rsidRDefault="007A75BF" w:rsidP="00F92A89">
            <w:pPr>
              <w:pStyle w:val="TableText"/>
              <w:jc w:val="right"/>
            </w:pPr>
            <w:r w:rsidRPr="001E7563">
              <w:t>$30,299,430</w:t>
            </w:r>
          </w:p>
        </w:tc>
        <w:tc>
          <w:tcPr>
            <w:tcW w:w="410" w:type="pct"/>
            <w:noWrap/>
          </w:tcPr>
          <w:p w14:paraId="00000548" w14:textId="77777777" w:rsidR="00F554A7" w:rsidRDefault="007A75BF" w:rsidP="00F92A89">
            <w:pPr>
              <w:pStyle w:val="TableText"/>
              <w:jc w:val="right"/>
            </w:pPr>
            <w:r w:rsidRPr="001E7563">
              <w:t>$30,369,964</w:t>
            </w:r>
          </w:p>
        </w:tc>
        <w:tc>
          <w:tcPr>
            <w:tcW w:w="408" w:type="pct"/>
            <w:noWrap/>
          </w:tcPr>
          <w:p w14:paraId="00000549" w14:textId="77777777" w:rsidR="00F554A7" w:rsidRDefault="007A75BF" w:rsidP="00F92A89">
            <w:pPr>
              <w:pStyle w:val="TableText"/>
              <w:jc w:val="right"/>
            </w:pPr>
            <w:r w:rsidRPr="001E7563">
              <w:t>$30,440,497</w:t>
            </w:r>
          </w:p>
        </w:tc>
      </w:tr>
      <w:tr w:rsidR="00F554A7" w14:paraId="42F066E4" w14:textId="77777777" w:rsidTr="00F92A89">
        <w:trPr>
          <w:trHeight w:val="300"/>
        </w:trPr>
        <w:tc>
          <w:tcPr>
            <w:tcW w:w="964" w:type="pct"/>
            <w:noWrap/>
            <w:hideMark/>
          </w:tcPr>
          <w:p w14:paraId="0000054A" w14:textId="77777777" w:rsidR="00F554A7" w:rsidRDefault="007A75BF" w:rsidP="00F92A89">
            <w:pPr>
              <w:pStyle w:val="TableText"/>
              <w:numPr>
                <w:ilvl w:val="0"/>
                <w:numId w:val="30"/>
              </w:numPr>
              <w:ind w:left="164" w:hanging="142"/>
            </w:pPr>
            <w:r w:rsidRPr="001E7563">
              <w:t>CE</w:t>
            </w:r>
          </w:p>
        </w:tc>
        <w:tc>
          <w:tcPr>
            <w:tcW w:w="356" w:type="pct"/>
            <w:noWrap/>
          </w:tcPr>
          <w:p w14:paraId="0000054B" w14:textId="77777777" w:rsidR="00F554A7" w:rsidRDefault="007A75BF" w:rsidP="00F92A89">
            <w:pPr>
              <w:pStyle w:val="TableText"/>
              <w:jc w:val="right"/>
            </w:pPr>
            <w:r w:rsidRPr="001E7563">
              <w:t>$96.60</w:t>
            </w:r>
          </w:p>
        </w:tc>
        <w:tc>
          <w:tcPr>
            <w:tcW w:w="305" w:type="pct"/>
            <w:noWrap/>
          </w:tcPr>
          <w:p w14:paraId="0000054C" w14:textId="77777777" w:rsidR="00F554A7" w:rsidRDefault="007A75BF" w:rsidP="00F92A89">
            <w:pPr>
              <w:pStyle w:val="TableText"/>
              <w:jc w:val="right"/>
            </w:pPr>
            <w:r w:rsidRPr="001E7563">
              <w:t>100.0%</w:t>
            </w:r>
          </w:p>
        </w:tc>
        <w:tc>
          <w:tcPr>
            <w:tcW w:w="305" w:type="pct"/>
            <w:noWrap/>
          </w:tcPr>
          <w:p w14:paraId="0000054D" w14:textId="77777777" w:rsidR="00F554A7" w:rsidRDefault="007A75BF" w:rsidP="00F92A89">
            <w:pPr>
              <w:pStyle w:val="TableText"/>
              <w:jc w:val="right"/>
            </w:pPr>
            <w:r w:rsidRPr="001E7563">
              <w:t>98.5%</w:t>
            </w:r>
          </w:p>
        </w:tc>
        <w:tc>
          <w:tcPr>
            <w:tcW w:w="305" w:type="pct"/>
            <w:noWrap/>
          </w:tcPr>
          <w:p w14:paraId="0000054E" w14:textId="77777777" w:rsidR="00F554A7" w:rsidRDefault="007A75BF" w:rsidP="00F92A89">
            <w:pPr>
              <w:pStyle w:val="TableText"/>
              <w:jc w:val="right"/>
            </w:pPr>
            <w:r w:rsidRPr="001E7563">
              <w:t>0.0%</w:t>
            </w:r>
          </w:p>
        </w:tc>
        <w:tc>
          <w:tcPr>
            <w:tcW w:w="307" w:type="pct"/>
            <w:noWrap/>
          </w:tcPr>
          <w:p w14:paraId="0000054F" w14:textId="77777777" w:rsidR="00F554A7" w:rsidRDefault="007A75BF" w:rsidP="00F92A89">
            <w:pPr>
              <w:pStyle w:val="TableText"/>
              <w:jc w:val="right"/>
            </w:pPr>
            <w:r w:rsidRPr="001E7563">
              <w:t>0.0%</w:t>
            </w:r>
          </w:p>
        </w:tc>
        <w:tc>
          <w:tcPr>
            <w:tcW w:w="410" w:type="pct"/>
            <w:noWrap/>
          </w:tcPr>
          <w:p w14:paraId="00000550" w14:textId="77777777" w:rsidR="00F554A7" w:rsidRDefault="007A75BF" w:rsidP="00F92A89">
            <w:pPr>
              <w:pStyle w:val="TableText"/>
              <w:jc w:val="right"/>
            </w:pPr>
            <w:r w:rsidRPr="001E7563">
              <w:t>$30,087,829</w:t>
            </w:r>
          </w:p>
        </w:tc>
        <w:tc>
          <w:tcPr>
            <w:tcW w:w="410" w:type="pct"/>
            <w:noWrap/>
          </w:tcPr>
          <w:p w14:paraId="00000551" w14:textId="77777777" w:rsidR="00F554A7" w:rsidRDefault="007A75BF" w:rsidP="00F92A89">
            <w:pPr>
              <w:pStyle w:val="TableText"/>
              <w:jc w:val="right"/>
            </w:pPr>
            <w:r w:rsidRPr="001E7563">
              <w:t>$30,158,363</w:t>
            </w:r>
          </w:p>
        </w:tc>
        <w:tc>
          <w:tcPr>
            <w:tcW w:w="410" w:type="pct"/>
            <w:noWrap/>
          </w:tcPr>
          <w:p w14:paraId="00000552" w14:textId="77777777" w:rsidR="00F554A7" w:rsidRDefault="007A75BF" w:rsidP="00F92A89">
            <w:pPr>
              <w:pStyle w:val="TableText"/>
              <w:jc w:val="right"/>
            </w:pPr>
            <w:r w:rsidRPr="001E7563">
              <w:t>$30,228,896</w:t>
            </w:r>
          </w:p>
        </w:tc>
        <w:tc>
          <w:tcPr>
            <w:tcW w:w="410" w:type="pct"/>
            <w:noWrap/>
          </w:tcPr>
          <w:p w14:paraId="00000553" w14:textId="77777777" w:rsidR="00F554A7" w:rsidRDefault="007A75BF" w:rsidP="00F92A89">
            <w:pPr>
              <w:pStyle w:val="TableText"/>
              <w:jc w:val="right"/>
            </w:pPr>
            <w:r w:rsidRPr="001E7563">
              <w:t>$30,299,430</w:t>
            </w:r>
          </w:p>
        </w:tc>
        <w:tc>
          <w:tcPr>
            <w:tcW w:w="410" w:type="pct"/>
            <w:noWrap/>
          </w:tcPr>
          <w:p w14:paraId="00000554" w14:textId="77777777" w:rsidR="00F554A7" w:rsidRDefault="007A75BF" w:rsidP="00F92A89">
            <w:pPr>
              <w:pStyle w:val="TableText"/>
              <w:jc w:val="right"/>
            </w:pPr>
            <w:r w:rsidRPr="001E7563">
              <w:t>$30,369,964</w:t>
            </w:r>
          </w:p>
        </w:tc>
        <w:tc>
          <w:tcPr>
            <w:tcW w:w="408" w:type="pct"/>
            <w:noWrap/>
          </w:tcPr>
          <w:p w14:paraId="00000555" w14:textId="77777777" w:rsidR="00F554A7" w:rsidRDefault="007A75BF" w:rsidP="00F92A89">
            <w:pPr>
              <w:pStyle w:val="TableText"/>
              <w:jc w:val="right"/>
            </w:pPr>
            <w:r w:rsidRPr="001E7563">
              <w:t>$30,440,497</w:t>
            </w:r>
          </w:p>
        </w:tc>
      </w:tr>
      <w:tr w:rsidR="00F554A7" w14:paraId="1BA81092" w14:textId="77777777" w:rsidTr="00F92A89">
        <w:trPr>
          <w:trHeight w:val="300"/>
        </w:trPr>
        <w:tc>
          <w:tcPr>
            <w:tcW w:w="964" w:type="pct"/>
            <w:noWrap/>
            <w:hideMark/>
          </w:tcPr>
          <w:p w14:paraId="00000556" w14:textId="77777777" w:rsidR="00F554A7" w:rsidRDefault="007A75BF" w:rsidP="00F92A89">
            <w:pPr>
              <w:pStyle w:val="TableText"/>
              <w:numPr>
                <w:ilvl w:val="0"/>
                <w:numId w:val="30"/>
              </w:numPr>
              <w:ind w:left="164" w:hanging="142"/>
            </w:pPr>
            <w:r w:rsidRPr="001E7563">
              <w:t>ESI-MS/MS</w:t>
            </w:r>
          </w:p>
        </w:tc>
        <w:tc>
          <w:tcPr>
            <w:tcW w:w="356" w:type="pct"/>
            <w:noWrap/>
          </w:tcPr>
          <w:p w14:paraId="00000557" w14:textId="77777777" w:rsidR="00F554A7" w:rsidRDefault="007A75BF" w:rsidP="00F92A89">
            <w:pPr>
              <w:pStyle w:val="TableText"/>
              <w:jc w:val="right"/>
            </w:pPr>
            <w:r w:rsidRPr="001E7563">
              <w:t>$10.00</w:t>
            </w:r>
          </w:p>
        </w:tc>
        <w:tc>
          <w:tcPr>
            <w:tcW w:w="305" w:type="pct"/>
            <w:noWrap/>
          </w:tcPr>
          <w:p w14:paraId="00000558" w14:textId="77777777" w:rsidR="00F554A7" w:rsidRDefault="007A75BF" w:rsidP="00F92A89">
            <w:pPr>
              <w:pStyle w:val="TableText"/>
              <w:jc w:val="right"/>
            </w:pPr>
            <w:r w:rsidRPr="001E7563">
              <w:t>100.0%</w:t>
            </w:r>
          </w:p>
        </w:tc>
        <w:tc>
          <w:tcPr>
            <w:tcW w:w="305" w:type="pct"/>
            <w:noWrap/>
          </w:tcPr>
          <w:p w14:paraId="00000559" w14:textId="77777777" w:rsidR="00F554A7" w:rsidRDefault="007A75BF" w:rsidP="00F92A89">
            <w:pPr>
              <w:pStyle w:val="TableText"/>
              <w:jc w:val="right"/>
            </w:pPr>
            <w:r w:rsidRPr="001E7563">
              <w:t>74.3%</w:t>
            </w:r>
          </w:p>
        </w:tc>
        <w:tc>
          <w:tcPr>
            <w:tcW w:w="305" w:type="pct"/>
            <w:noWrap/>
          </w:tcPr>
          <w:p w14:paraId="0000055A" w14:textId="77777777" w:rsidR="00F554A7" w:rsidRDefault="007A75BF" w:rsidP="00F92A89">
            <w:pPr>
              <w:pStyle w:val="TableText"/>
              <w:jc w:val="right"/>
            </w:pPr>
            <w:r w:rsidRPr="001E7563">
              <w:t>0.0%</w:t>
            </w:r>
          </w:p>
        </w:tc>
        <w:tc>
          <w:tcPr>
            <w:tcW w:w="307" w:type="pct"/>
            <w:noWrap/>
          </w:tcPr>
          <w:p w14:paraId="0000055B" w14:textId="77777777" w:rsidR="00F554A7" w:rsidRDefault="007A75BF" w:rsidP="00F92A89">
            <w:pPr>
              <w:pStyle w:val="TableText"/>
              <w:jc w:val="right"/>
            </w:pPr>
            <w:r w:rsidRPr="001E7563">
              <w:t>0.0%</w:t>
            </w:r>
          </w:p>
        </w:tc>
        <w:tc>
          <w:tcPr>
            <w:tcW w:w="410" w:type="pct"/>
            <w:noWrap/>
          </w:tcPr>
          <w:p w14:paraId="0000055C" w14:textId="77777777" w:rsidR="00F554A7" w:rsidRDefault="007A75BF" w:rsidP="00F92A89">
            <w:pPr>
              <w:pStyle w:val="TableText"/>
              <w:jc w:val="right"/>
            </w:pPr>
            <w:r w:rsidRPr="001E7563">
              <w:t>$3,155,537</w:t>
            </w:r>
          </w:p>
        </w:tc>
        <w:tc>
          <w:tcPr>
            <w:tcW w:w="410" w:type="pct"/>
            <w:noWrap/>
          </w:tcPr>
          <w:p w14:paraId="0000055D" w14:textId="77777777" w:rsidR="00F554A7" w:rsidRDefault="007A75BF" w:rsidP="00F92A89">
            <w:pPr>
              <w:pStyle w:val="TableText"/>
              <w:jc w:val="right"/>
            </w:pPr>
            <w:r w:rsidRPr="001E7563">
              <w:t>$3,162,935</w:t>
            </w:r>
          </w:p>
        </w:tc>
        <w:tc>
          <w:tcPr>
            <w:tcW w:w="410" w:type="pct"/>
            <w:noWrap/>
          </w:tcPr>
          <w:p w14:paraId="0000055E" w14:textId="77777777" w:rsidR="00F554A7" w:rsidRDefault="007A75BF" w:rsidP="00F92A89">
            <w:pPr>
              <w:pStyle w:val="TableText"/>
              <w:jc w:val="right"/>
            </w:pPr>
            <w:r w:rsidRPr="001E7563">
              <w:t>$3,170,332</w:t>
            </w:r>
          </w:p>
        </w:tc>
        <w:tc>
          <w:tcPr>
            <w:tcW w:w="410" w:type="pct"/>
            <w:noWrap/>
          </w:tcPr>
          <w:p w14:paraId="0000055F" w14:textId="77777777" w:rsidR="00F554A7" w:rsidRDefault="007A75BF" w:rsidP="00F92A89">
            <w:pPr>
              <w:pStyle w:val="TableText"/>
              <w:jc w:val="right"/>
            </w:pPr>
            <w:r w:rsidRPr="001E7563">
              <w:t>$3,177,730</w:t>
            </w:r>
          </w:p>
        </w:tc>
        <w:tc>
          <w:tcPr>
            <w:tcW w:w="410" w:type="pct"/>
            <w:noWrap/>
          </w:tcPr>
          <w:p w14:paraId="00000560" w14:textId="77777777" w:rsidR="00F554A7" w:rsidRDefault="007A75BF" w:rsidP="00F92A89">
            <w:pPr>
              <w:pStyle w:val="TableText"/>
              <w:jc w:val="right"/>
            </w:pPr>
            <w:r w:rsidRPr="001E7563">
              <w:t>$3,185,127</w:t>
            </w:r>
          </w:p>
        </w:tc>
        <w:tc>
          <w:tcPr>
            <w:tcW w:w="408" w:type="pct"/>
            <w:noWrap/>
          </w:tcPr>
          <w:p w14:paraId="00000561" w14:textId="77777777" w:rsidR="00F554A7" w:rsidRDefault="007A75BF" w:rsidP="00F92A89">
            <w:pPr>
              <w:pStyle w:val="TableText"/>
              <w:jc w:val="right"/>
            </w:pPr>
            <w:r w:rsidRPr="001E7563">
              <w:t>$3,192,524</w:t>
            </w:r>
          </w:p>
        </w:tc>
      </w:tr>
      <w:tr w:rsidR="00F554A7" w14:paraId="19907F6B" w14:textId="77777777" w:rsidTr="00F92A89">
        <w:trPr>
          <w:trHeight w:val="300"/>
        </w:trPr>
        <w:tc>
          <w:tcPr>
            <w:tcW w:w="964" w:type="pct"/>
            <w:noWrap/>
            <w:hideMark/>
          </w:tcPr>
          <w:p w14:paraId="00000562" w14:textId="77777777" w:rsidR="00F554A7" w:rsidRDefault="007A75BF" w:rsidP="00F92A89">
            <w:pPr>
              <w:pStyle w:val="TableText"/>
              <w:numPr>
                <w:ilvl w:val="0"/>
                <w:numId w:val="30"/>
              </w:numPr>
              <w:ind w:left="164" w:hanging="142"/>
            </w:pPr>
            <w:r w:rsidRPr="001E7563">
              <w:t>MALDI-TOF</w:t>
            </w:r>
            <w:r>
              <w:t xml:space="preserve"> [base case]</w:t>
            </w:r>
          </w:p>
        </w:tc>
        <w:tc>
          <w:tcPr>
            <w:tcW w:w="356" w:type="pct"/>
            <w:noWrap/>
          </w:tcPr>
          <w:p w14:paraId="00000563" w14:textId="77777777" w:rsidR="00F554A7" w:rsidRDefault="007A75BF" w:rsidP="00F92A89">
            <w:pPr>
              <w:pStyle w:val="TableText"/>
              <w:jc w:val="right"/>
            </w:pPr>
            <w:r w:rsidRPr="001E7563">
              <w:t>$10.00</w:t>
            </w:r>
          </w:p>
        </w:tc>
        <w:tc>
          <w:tcPr>
            <w:tcW w:w="305" w:type="pct"/>
            <w:noWrap/>
          </w:tcPr>
          <w:p w14:paraId="00000564" w14:textId="77777777" w:rsidR="00F554A7" w:rsidRDefault="007A75BF" w:rsidP="00F92A89">
            <w:pPr>
              <w:pStyle w:val="TableText"/>
              <w:jc w:val="right"/>
            </w:pPr>
            <w:r w:rsidRPr="001E7563">
              <w:t>100.0%</w:t>
            </w:r>
          </w:p>
        </w:tc>
        <w:tc>
          <w:tcPr>
            <w:tcW w:w="305" w:type="pct"/>
            <w:noWrap/>
          </w:tcPr>
          <w:p w14:paraId="00000565" w14:textId="77777777" w:rsidR="00F554A7" w:rsidRDefault="007A75BF" w:rsidP="00F92A89">
            <w:pPr>
              <w:pStyle w:val="TableText"/>
              <w:jc w:val="right"/>
            </w:pPr>
            <w:r w:rsidRPr="001E7563">
              <w:t>74.3%</w:t>
            </w:r>
          </w:p>
        </w:tc>
        <w:tc>
          <w:tcPr>
            <w:tcW w:w="305" w:type="pct"/>
            <w:noWrap/>
          </w:tcPr>
          <w:p w14:paraId="00000566" w14:textId="77777777" w:rsidR="00F554A7" w:rsidRDefault="007A75BF" w:rsidP="00F92A89">
            <w:pPr>
              <w:pStyle w:val="TableText"/>
              <w:jc w:val="right"/>
            </w:pPr>
            <w:r w:rsidRPr="001E7563">
              <w:t>0.0%</w:t>
            </w:r>
          </w:p>
        </w:tc>
        <w:tc>
          <w:tcPr>
            <w:tcW w:w="307" w:type="pct"/>
            <w:noWrap/>
          </w:tcPr>
          <w:p w14:paraId="00000567" w14:textId="77777777" w:rsidR="00F554A7" w:rsidRDefault="007A75BF" w:rsidP="00F92A89">
            <w:pPr>
              <w:pStyle w:val="TableText"/>
              <w:jc w:val="right"/>
            </w:pPr>
            <w:r w:rsidRPr="001E7563">
              <w:t>0.0%</w:t>
            </w:r>
          </w:p>
        </w:tc>
        <w:tc>
          <w:tcPr>
            <w:tcW w:w="410" w:type="pct"/>
            <w:noWrap/>
          </w:tcPr>
          <w:p w14:paraId="00000568" w14:textId="77777777" w:rsidR="00F554A7" w:rsidRDefault="007A75BF" w:rsidP="00F92A89">
            <w:pPr>
              <w:pStyle w:val="TableText"/>
              <w:jc w:val="right"/>
            </w:pPr>
            <w:r w:rsidRPr="001E7563">
              <w:t>$3,155,537</w:t>
            </w:r>
          </w:p>
        </w:tc>
        <w:tc>
          <w:tcPr>
            <w:tcW w:w="410" w:type="pct"/>
            <w:noWrap/>
          </w:tcPr>
          <w:p w14:paraId="00000569" w14:textId="77777777" w:rsidR="00F554A7" w:rsidRDefault="007A75BF" w:rsidP="00F92A89">
            <w:pPr>
              <w:pStyle w:val="TableText"/>
              <w:jc w:val="right"/>
            </w:pPr>
            <w:r w:rsidRPr="001E7563">
              <w:t>$3,162,935</w:t>
            </w:r>
          </w:p>
        </w:tc>
        <w:tc>
          <w:tcPr>
            <w:tcW w:w="410" w:type="pct"/>
            <w:noWrap/>
          </w:tcPr>
          <w:p w14:paraId="0000056A" w14:textId="77777777" w:rsidR="00F554A7" w:rsidRDefault="007A75BF" w:rsidP="00F92A89">
            <w:pPr>
              <w:pStyle w:val="TableText"/>
              <w:jc w:val="right"/>
            </w:pPr>
            <w:r w:rsidRPr="001E7563">
              <w:t>$3,170,332</w:t>
            </w:r>
          </w:p>
        </w:tc>
        <w:tc>
          <w:tcPr>
            <w:tcW w:w="410" w:type="pct"/>
            <w:noWrap/>
          </w:tcPr>
          <w:p w14:paraId="0000056B" w14:textId="77777777" w:rsidR="00F554A7" w:rsidRDefault="007A75BF" w:rsidP="00F92A89">
            <w:pPr>
              <w:pStyle w:val="TableText"/>
              <w:jc w:val="right"/>
            </w:pPr>
            <w:r w:rsidRPr="001E7563">
              <w:t>$3,177,730</w:t>
            </w:r>
          </w:p>
        </w:tc>
        <w:tc>
          <w:tcPr>
            <w:tcW w:w="410" w:type="pct"/>
            <w:noWrap/>
          </w:tcPr>
          <w:p w14:paraId="0000056C" w14:textId="77777777" w:rsidR="00F554A7" w:rsidRDefault="007A75BF" w:rsidP="00F92A89">
            <w:pPr>
              <w:pStyle w:val="TableText"/>
              <w:jc w:val="right"/>
            </w:pPr>
            <w:r w:rsidRPr="001E7563">
              <w:t>$3,185,127</w:t>
            </w:r>
          </w:p>
        </w:tc>
        <w:tc>
          <w:tcPr>
            <w:tcW w:w="408" w:type="pct"/>
            <w:noWrap/>
          </w:tcPr>
          <w:p w14:paraId="0000056D" w14:textId="77777777" w:rsidR="00F554A7" w:rsidRDefault="007A75BF" w:rsidP="00F92A89">
            <w:pPr>
              <w:pStyle w:val="TableText"/>
              <w:jc w:val="right"/>
            </w:pPr>
            <w:r w:rsidRPr="001E7563">
              <w:t>$3,192,524</w:t>
            </w:r>
          </w:p>
        </w:tc>
      </w:tr>
      <w:tr w:rsidR="00F554A7" w14:paraId="5774DF32" w14:textId="77777777" w:rsidTr="00F92A89">
        <w:trPr>
          <w:trHeight w:val="300"/>
        </w:trPr>
        <w:tc>
          <w:tcPr>
            <w:tcW w:w="964" w:type="pct"/>
            <w:noWrap/>
            <w:hideMark/>
          </w:tcPr>
          <w:p w14:paraId="0000056E" w14:textId="77777777" w:rsidR="00F554A7" w:rsidRDefault="007A75BF" w:rsidP="00F92A89">
            <w:pPr>
              <w:pStyle w:val="TableText"/>
              <w:numPr>
                <w:ilvl w:val="0"/>
                <w:numId w:val="30"/>
              </w:numPr>
              <w:ind w:left="164" w:hanging="142"/>
            </w:pPr>
            <w:r w:rsidRPr="001E7563">
              <w:t>HbS</w:t>
            </w:r>
            <w:r>
              <w:t xml:space="preserve"> allele-specific PCR</w:t>
            </w:r>
          </w:p>
        </w:tc>
        <w:tc>
          <w:tcPr>
            <w:tcW w:w="356" w:type="pct"/>
            <w:noWrap/>
          </w:tcPr>
          <w:p w14:paraId="0000056F" w14:textId="77777777" w:rsidR="00F554A7" w:rsidRDefault="007A75BF" w:rsidP="00F92A89">
            <w:pPr>
              <w:pStyle w:val="TableText"/>
              <w:jc w:val="right"/>
            </w:pPr>
            <w:r w:rsidRPr="001E7563">
              <w:t>$13.00</w:t>
            </w:r>
          </w:p>
        </w:tc>
        <w:tc>
          <w:tcPr>
            <w:tcW w:w="305" w:type="pct"/>
            <w:noWrap/>
          </w:tcPr>
          <w:p w14:paraId="00000570" w14:textId="77777777" w:rsidR="00F554A7" w:rsidRDefault="007A75BF" w:rsidP="00F92A89">
            <w:pPr>
              <w:pStyle w:val="TableText"/>
              <w:jc w:val="right"/>
            </w:pPr>
            <w:r w:rsidRPr="001E7563">
              <w:t>100.0%</w:t>
            </w:r>
          </w:p>
        </w:tc>
        <w:tc>
          <w:tcPr>
            <w:tcW w:w="305" w:type="pct"/>
            <w:noWrap/>
          </w:tcPr>
          <w:p w14:paraId="00000571" w14:textId="77777777" w:rsidR="00F554A7" w:rsidRDefault="007A75BF" w:rsidP="00F92A89">
            <w:pPr>
              <w:pStyle w:val="TableText"/>
              <w:jc w:val="right"/>
            </w:pPr>
            <w:r w:rsidRPr="001E7563">
              <w:t>0.0%</w:t>
            </w:r>
          </w:p>
        </w:tc>
        <w:tc>
          <w:tcPr>
            <w:tcW w:w="305" w:type="pct"/>
            <w:noWrap/>
          </w:tcPr>
          <w:p w14:paraId="00000572" w14:textId="77777777" w:rsidR="00F554A7" w:rsidRDefault="007A75BF" w:rsidP="00F92A89">
            <w:pPr>
              <w:pStyle w:val="TableText"/>
              <w:jc w:val="right"/>
            </w:pPr>
            <w:r w:rsidRPr="001E7563">
              <w:t>0.0%</w:t>
            </w:r>
          </w:p>
        </w:tc>
        <w:tc>
          <w:tcPr>
            <w:tcW w:w="307" w:type="pct"/>
            <w:noWrap/>
          </w:tcPr>
          <w:p w14:paraId="00000573" w14:textId="77777777" w:rsidR="00F554A7" w:rsidRDefault="007A75BF" w:rsidP="00F92A89">
            <w:pPr>
              <w:pStyle w:val="TableText"/>
              <w:jc w:val="right"/>
            </w:pPr>
            <w:r w:rsidRPr="001E7563">
              <w:t>0.0%</w:t>
            </w:r>
          </w:p>
        </w:tc>
        <w:tc>
          <w:tcPr>
            <w:tcW w:w="410" w:type="pct"/>
            <w:noWrap/>
          </w:tcPr>
          <w:p w14:paraId="00000574" w14:textId="77777777" w:rsidR="00F554A7" w:rsidRDefault="007A75BF" w:rsidP="00F92A89">
            <w:pPr>
              <w:pStyle w:val="TableText"/>
              <w:jc w:val="right"/>
            </w:pPr>
            <w:r w:rsidRPr="001E7563">
              <w:t>$4,068,609</w:t>
            </w:r>
          </w:p>
        </w:tc>
        <w:tc>
          <w:tcPr>
            <w:tcW w:w="410" w:type="pct"/>
            <w:noWrap/>
          </w:tcPr>
          <w:p w14:paraId="00000575" w14:textId="77777777" w:rsidR="00F554A7" w:rsidRDefault="007A75BF" w:rsidP="00F92A89">
            <w:pPr>
              <w:pStyle w:val="TableText"/>
              <w:jc w:val="right"/>
            </w:pPr>
            <w:r w:rsidRPr="001E7563">
              <w:t>$4,078,147</w:t>
            </w:r>
          </w:p>
        </w:tc>
        <w:tc>
          <w:tcPr>
            <w:tcW w:w="410" w:type="pct"/>
            <w:noWrap/>
          </w:tcPr>
          <w:p w14:paraId="00000576" w14:textId="77777777" w:rsidR="00F554A7" w:rsidRDefault="007A75BF" w:rsidP="00F92A89">
            <w:pPr>
              <w:pStyle w:val="TableText"/>
              <w:jc w:val="right"/>
            </w:pPr>
            <w:r w:rsidRPr="001E7563">
              <w:t>$4,087,684</w:t>
            </w:r>
          </w:p>
        </w:tc>
        <w:tc>
          <w:tcPr>
            <w:tcW w:w="410" w:type="pct"/>
            <w:noWrap/>
          </w:tcPr>
          <w:p w14:paraId="00000577" w14:textId="77777777" w:rsidR="00F554A7" w:rsidRDefault="007A75BF" w:rsidP="00F92A89">
            <w:pPr>
              <w:pStyle w:val="TableText"/>
              <w:jc w:val="right"/>
            </w:pPr>
            <w:r w:rsidRPr="001E7563">
              <w:t>$4,097,222</w:t>
            </w:r>
          </w:p>
        </w:tc>
        <w:tc>
          <w:tcPr>
            <w:tcW w:w="410" w:type="pct"/>
            <w:noWrap/>
          </w:tcPr>
          <w:p w14:paraId="00000578" w14:textId="77777777" w:rsidR="00F554A7" w:rsidRDefault="007A75BF" w:rsidP="00F92A89">
            <w:pPr>
              <w:pStyle w:val="TableText"/>
              <w:jc w:val="right"/>
            </w:pPr>
            <w:r w:rsidRPr="001E7563">
              <w:t>$4,106,760</w:t>
            </w:r>
          </w:p>
        </w:tc>
        <w:tc>
          <w:tcPr>
            <w:tcW w:w="408" w:type="pct"/>
            <w:noWrap/>
          </w:tcPr>
          <w:p w14:paraId="00000579" w14:textId="77777777" w:rsidR="00F554A7" w:rsidRDefault="007A75BF" w:rsidP="00F92A89">
            <w:pPr>
              <w:pStyle w:val="TableText"/>
              <w:jc w:val="right"/>
            </w:pPr>
            <w:r w:rsidRPr="001E7563">
              <w:t>$4,116,298</w:t>
            </w:r>
          </w:p>
        </w:tc>
      </w:tr>
      <w:tr w:rsidR="00F554A7" w14:paraId="39A36B43" w14:textId="77777777" w:rsidTr="00F92A89">
        <w:trPr>
          <w:trHeight w:val="300"/>
        </w:trPr>
        <w:tc>
          <w:tcPr>
            <w:tcW w:w="1320" w:type="pct"/>
            <w:gridSpan w:val="2"/>
            <w:tcBorders>
              <w:right w:val="nil"/>
            </w:tcBorders>
            <w:noWrap/>
            <w:hideMark/>
          </w:tcPr>
          <w:p w14:paraId="0000057A" w14:textId="77777777" w:rsidR="00F554A7" w:rsidRDefault="007A75BF" w:rsidP="00F92A89">
            <w:pPr>
              <w:pStyle w:val="TableText"/>
              <w:rPr>
                <w:b/>
              </w:rPr>
            </w:pPr>
            <w:r w:rsidRPr="001E7563">
              <w:rPr>
                <w:b/>
              </w:rPr>
              <w:t>Second-tier SCD screening strategy</w:t>
            </w:r>
          </w:p>
        </w:tc>
        <w:tc>
          <w:tcPr>
            <w:tcW w:w="305" w:type="pct"/>
            <w:tcBorders>
              <w:left w:val="nil"/>
              <w:right w:val="nil"/>
            </w:tcBorders>
            <w:noWrap/>
            <w:hideMark/>
          </w:tcPr>
          <w:p w14:paraId="0000057C" w14:textId="77777777" w:rsidR="00F554A7" w:rsidRPr="001E7563" w:rsidRDefault="00F554A7" w:rsidP="00F92A89">
            <w:pPr>
              <w:pStyle w:val="TableText"/>
              <w:jc w:val="right"/>
              <w:rPr>
                <w:b/>
              </w:rPr>
            </w:pPr>
          </w:p>
        </w:tc>
        <w:tc>
          <w:tcPr>
            <w:tcW w:w="305" w:type="pct"/>
            <w:tcBorders>
              <w:left w:val="nil"/>
              <w:right w:val="nil"/>
            </w:tcBorders>
            <w:noWrap/>
            <w:hideMark/>
          </w:tcPr>
          <w:p w14:paraId="0000057D" w14:textId="77777777" w:rsidR="00F554A7" w:rsidRPr="001E7563" w:rsidRDefault="00F554A7" w:rsidP="00F92A89">
            <w:pPr>
              <w:pStyle w:val="TableText"/>
              <w:jc w:val="right"/>
              <w:rPr>
                <w:b/>
              </w:rPr>
            </w:pPr>
          </w:p>
        </w:tc>
        <w:tc>
          <w:tcPr>
            <w:tcW w:w="305" w:type="pct"/>
            <w:tcBorders>
              <w:left w:val="nil"/>
              <w:right w:val="nil"/>
            </w:tcBorders>
            <w:noWrap/>
            <w:hideMark/>
          </w:tcPr>
          <w:p w14:paraId="0000057E" w14:textId="77777777" w:rsidR="00F554A7" w:rsidRPr="001E7563" w:rsidRDefault="00F554A7" w:rsidP="00F92A89">
            <w:pPr>
              <w:pStyle w:val="TableText"/>
              <w:jc w:val="right"/>
              <w:rPr>
                <w:b/>
              </w:rPr>
            </w:pPr>
          </w:p>
        </w:tc>
        <w:tc>
          <w:tcPr>
            <w:tcW w:w="307" w:type="pct"/>
            <w:tcBorders>
              <w:left w:val="nil"/>
              <w:right w:val="nil"/>
            </w:tcBorders>
            <w:noWrap/>
            <w:hideMark/>
          </w:tcPr>
          <w:p w14:paraId="0000057F" w14:textId="77777777" w:rsidR="00F554A7" w:rsidRPr="001E7563" w:rsidRDefault="00F554A7" w:rsidP="00F92A89">
            <w:pPr>
              <w:pStyle w:val="TableText"/>
              <w:jc w:val="right"/>
              <w:rPr>
                <w:b/>
              </w:rPr>
            </w:pPr>
          </w:p>
        </w:tc>
        <w:tc>
          <w:tcPr>
            <w:tcW w:w="410" w:type="pct"/>
            <w:tcBorders>
              <w:left w:val="nil"/>
              <w:right w:val="nil"/>
            </w:tcBorders>
            <w:noWrap/>
            <w:hideMark/>
          </w:tcPr>
          <w:p w14:paraId="00000580" w14:textId="77777777" w:rsidR="00F554A7" w:rsidRPr="001E7563" w:rsidRDefault="00F554A7" w:rsidP="00F92A89">
            <w:pPr>
              <w:pStyle w:val="TableText"/>
              <w:jc w:val="right"/>
              <w:rPr>
                <w:b/>
              </w:rPr>
            </w:pPr>
          </w:p>
        </w:tc>
        <w:tc>
          <w:tcPr>
            <w:tcW w:w="410" w:type="pct"/>
            <w:tcBorders>
              <w:left w:val="nil"/>
              <w:right w:val="nil"/>
            </w:tcBorders>
            <w:noWrap/>
            <w:hideMark/>
          </w:tcPr>
          <w:p w14:paraId="00000581" w14:textId="77777777" w:rsidR="00F554A7" w:rsidRPr="001E7563" w:rsidRDefault="00F554A7" w:rsidP="00F92A89">
            <w:pPr>
              <w:pStyle w:val="TableText"/>
              <w:jc w:val="right"/>
              <w:rPr>
                <w:b/>
              </w:rPr>
            </w:pPr>
          </w:p>
        </w:tc>
        <w:tc>
          <w:tcPr>
            <w:tcW w:w="410" w:type="pct"/>
            <w:tcBorders>
              <w:left w:val="nil"/>
              <w:right w:val="nil"/>
            </w:tcBorders>
            <w:noWrap/>
            <w:hideMark/>
          </w:tcPr>
          <w:p w14:paraId="00000582" w14:textId="77777777" w:rsidR="00F554A7" w:rsidRPr="001E7563" w:rsidRDefault="00F554A7" w:rsidP="00F92A89">
            <w:pPr>
              <w:pStyle w:val="TableText"/>
              <w:jc w:val="right"/>
              <w:rPr>
                <w:b/>
              </w:rPr>
            </w:pPr>
          </w:p>
        </w:tc>
        <w:tc>
          <w:tcPr>
            <w:tcW w:w="410" w:type="pct"/>
            <w:tcBorders>
              <w:left w:val="nil"/>
              <w:right w:val="nil"/>
            </w:tcBorders>
            <w:noWrap/>
            <w:hideMark/>
          </w:tcPr>
          <w:p w14:paraId="00000583" w14:textId="77777777" w:rsidR="00F554A7" w:rsidRPr="001E7563" w:rsidRDefault="00F554A7" w:rsidP="00F92A89">
            <w:pPr>
              <w:pStyle w:val="TableText"/>
              <w:jc w:val="right"/>
              <w:rPr>
                <w:b/>
              </w:rPr>
            </w:pPr>
          </w:p>
        </w:tc>
        <w:tc>
          <w:tcPr>
            <w:tcW w:w="410" w:type="pct"/>
            <w:tcBorders>
              <w:left w:val="nil"/>
              <w:right w:val="nil"/>
            </w:tcBorders>
            <w:noWrap/>
            <w:hideMark/>
          </w:tcPr>
          <w:p w14:paraId="00000584" w14:textId="77777777" w:rsidR="00F554A7" w:rsidRPr="001E7563" w:rsidRDefault="00F554A7" w:rsidP="00F92A89">
            <w:pPr>
              <w:pStyle w:val="TableText"/>
              <w:jc w:val="right"/>
              <w:rPr>
                <w:b/>
              </w:rPr>
            </w:pPr>
          </w:p>
        </w:tc>
        <w:tc>
          <w:tcPr>
            <w:tcW w:w="408" w:type="pct"/>
            <w:tcBorders>
              <w:left w:val="nil"/>
            </w:tcBorders>
            <w:noWrap/>
            <w:hideMark/>
          </w:tcPr>
          <w:p w14:paraId="00000585" w14:textId="77777777" w:rsidR="00F554A7" w:rsidRPr="001E7563" w:rsidRDefault="00F554A7" w:rsidP="00F92A89">
            <w:pPr>
              <w:pStyle w:val="TableText"/>
              <w:jc w:val="right"/>
              <w:rPr>
                <w:b/>
              </w:rPr>
            </w:pPr>
          </w:p>
        </w:tc>
      </w:tr>
      <w:tr w:rsidR="00F554A7" w14:paraId="4D56CAF9" w14:textId="77777777" w:rsidTr="00F92A89">
        <w:trPr>
          <w:trHeight w:val="300"/>
        </w:trPr>
        <w:tc>
          <w:tcPr>
            <w:tcW w:w="964" w:type="pct"/>
            <w:noWrap/>
            <w:hideMark/>
          </w:tcPr>
          <w:p w14:paraId="00000586" w14:textId="77777777" w:rsidR="00F554A7" w:rsidRDefault="007A75BF" w:rsidP="00F92A89">
            <w:pPr>
              <w:pStyle w:val="TableText"/>
              <w:numPr>
                <w:ilvl w:val="0"/>
                <w:numId w:val="30"/>
              </w:numPr>
              <w:ind w:left="164" w:hanging="142"/>
            </w:pPr>
            <w:r w:rsidRPr="001E7563">
              <w:t>IEF</w:t>
            </w:r>
          </w:p>
        </w:tc>
        <w:tc>
          <w:tcPr>
            <w:tcW w:w="356" w:type="pct"/>
            <w:noWrap/>
          </w:tcPr>
          <w:p w14:paraId="00000587" w14:textId="77777777" w:rsidR="00F554A7" w:rsidRDefault="007A75BF" w:rsidP="00F92A89">
            <w:pPr>
              <w:pStyle w:val="TableText"/>
              <w:jc w:val="right"/>
            </w:pPr>
            <w:r w:rsidRPr="001E7563">
              <w:t>$10.00</w:t>
            </w:r>
          </w:p>
        </w:tc>
        <w:tc>
          <w:tcPr>
            <w:tcW w:w="305" w:type="pct"/>
            <w:noWrap/>
          </w:tcPr>
          <w:p w14:paraId="00000588" w14:textId="77777777" w:rsidR="00F554A7" w:rsidRDefault="007A75BF" w:rsidP="00F92A89">
            <w:pPr>
              <w:pStyle w:val="TableText"/>
              <w:jc w:val="right"/>
            </w:pPr>
            <w:r w:rsidRPr="001E7563">
              <w:t>100.0%</w:t>
            </w:r>
          </w:p>
        </w:tc>
        <w:tc>
          <w:tcPr>
            <w:tcW w:w="305" w:type="pct"/>
            <w:noWrap/>
          </w:tcPr>
          <w:p w14:paraId="00000589" w14:textId="77777777" w:rsidR="00F554A7" w:rsidRDefault="007A75BF" w:rsidP="00F92A89">
            <w:pPr>
              <w:pStyle w:val="TableText"/>
              <w:jc w:val="right"/>
            </w:pPr>
            <w:r w:rsidRPr="001E7563">
              <w:t>74.3%</w:t>
            </w:r>
          </w:p>
        </w:tc>
        <w:tc>
          <w:tcPr>
            <w:tcW w:w="305" w:type="pct"/>
            <w:noWrap/>
          </w:tcPr>
          <w:p w14:paraId="0000058A" w14:textId="77777777" w:rsidR="00F554A7" w:rsidRDefault="007A75BF" w:rsidP="00F92A89">
            <w:pPr>
              <w:pStyle w:val="TableText"/>
              <w:jc w:val="right"/>
            </w:pPr>
            <w:r w:rsidRPr="001E7563">
              <w:t>0.0%</w:t>
            </w:r>
          </w:p>
        </w:tc>
        <w:tc>
          <w:tcPr>
            <w:tcW w:w="307" w:type="pct"/>
            <w:noWrap/>
          </w:tcPr>
          <w:p w14:paraId="0000058B" w14:textId="77777777" w:rsidR="00F554A7" w:rsidRDefault="007A75BF" w:rsidP="00F92A89">
            <w:pPr>
              <w:pStyle w:val="TableText"/>
              <w:jc w:val="right"/>
            </w:pPr>
            <w:r w:rsidRPr="001E7563">
              <w:t>0.0%</w:t>
            </w:r>
          </w:p>
        </w:tc>
        <w:tc>
          <w:tcPr>
            <w:tcW w:w="410" w:type="pct"/>
            <w:noWrap/>
          </w:tcPr>
          <w:p w14:paraId="0000058C" w14:textId="77777777" w:rsidR="00F554A7" w:rsidRDefault="007A75BF" w:rsidP="00F92A89">
            <w:pPr>
              <w:pStyle w:val="TableText"/>
              <w:jc w:val="right"/>
            </w:pPr>
            <w:r w:rsidRPr="001E7563">
              <w:t>$3,138,553</w:t>
            </w:r>
          </w:p>
        </w:tc>
        <w:tc>
          <w:tcPr>
            <w:tcW w:w="410" w:type="pct"/>
            <w:noWrap/>
          </w:tcPr>
          <w:p w14:paraId="0000058D" w14:textId="77777777" w:rsidR="00F554A7" w:rsidRDefault="007A75BF" w:rsidP="00F92A89">
            <w:pPr>
              <w:pStyle w:val="TableText"/>
              <w:jc w:val="right"/>
            </w:pPr>
            <w:r w:rsidRPr="001E7563">
              <w:t>$3,145,911</w:t>
            </w:r>
          </w:p>
        </w:tc>
        <w:tc>
          <w:tcPr>
            <w:tcW w:w="410" w:type="pct"/>
            <w:noWrap/>
          </w:tcPr>
          <w:p w14:paraId="0000058E" w14:textId="77777777" w:rsidR="00F554A7" w:rsidRDefault="007A75BF" w:rsidP="00F92A89">
            <w:pPr>
              <w:pStyle w:val="TableText"/>
              <w:jc w:val="right"/>
            </w:pPr>
            <w:r w:rsidRPr="001E7563">
              <w:t>$3,153,268</w:t>
            </w:r>
          </w:p>
        </w:tc>
        <w:tc>
          <w:tcPr>
            <w:tcW w:w="410" w:type="pct"/>
            <w:noWrap/>
          </w:tcPr>
          <w:p w14:paraId="0000058F" w14:textId="77777777" w:rsidR="00F554A7" w:rsidRDefault="007A75BF" w:rsidP="00F92A89">
            <w:pPr>
              <w:pStyle w:val="TableText"/>
              <w:jc w:val="right"/>
            </w:pPr>
            <w:r w:rsidRPr="001E7563">
              <w:t>$3,160,626</w:t>
            </w:r>
          </w:p>
        </w:tc>
        <w:tc>
          <w:tcPr>
            <w:tcW w:w="410" w:type="pct"/>
            <w:noWrap/>
          </w:tcPr>
          <w:p w14:paraId="00000590" w14:textId="77777777" w:rsidR="00F554A7" w:rsidRDefault="007A75BF" w:rsidP="00F92A89">
            <w:pPr>
              <w:pStyle w:val="TableText"/>
              <w:jc w:val="right"/>
            </w:pPr>
            <w:r w:rsidRPr="001E7563">
              <w:t>$3,167,983</w:t>
            </w:r>
          </w:p>
        </w:tc>
        <w:tc>
          <w:tcPr>
            <w:tcW w:w="408" w:type="pct"/>
            <w:noWrap/>
          </w:tcPr>
          <w:p w14:paraId="00000591" w14:textId="77777777" w:rsidR="00F554A7" w:rsidRDefault="007A75BF" w:rsidP="00F92A89">
            <w:pPr>
              <w:pStyle w:val="TableText"/>
              <w:jc w:val="right"/>
            </w:pPr>
            <w:r w:rsidRPr="001E7563">
              <w:t>$3,175,341</w:t>
            </w:r>
          </w:p>
        </w:tc>
      </w:tr>
      <w:tr w:rsidR="00F554A7" w14:paraId="15B57FF0" w14:textId="77777777" w:rsidTr="00F92A89">
        <w:trPr>
          <w:trHeight w:val="300"/>
        </w:trPr>
        <w:tc>
          <w:tcPr>
            <w:tcW w:w="964" w:type="pct"/>
            <w:noWrap/>
            <w:hideMark/>
          </w:tcPr>
          <w:p w14:paraId="00000592" w14:textId="77777777" w:rsidR="00F554A7" w:rsidRDefault="007A75BF" w:rsidP="00F92A89">
            <w:pPr>
              <w:pStyle w:val="TableText"/>
              <w:numPr>
                <w:ilvl w:val="0"/>
                <w:numId w:val="30"/>
              </w:numPr>
              <w:ind w:left="164" w:hanging="142"/>
            </w:pPr>
            <w:r w:rsidRPr="001E7563">
              <w:t>HPLC</w:t>
            </w:r>
          </w:p>
        </w:tc>
        <w:tc>
          <w:tcPr>
            <w:tcW w:w="356" w:type="pct"/>
            <w:noWrap/>
          </w:tcPr>
          <w:p w14:paraId="00000593" w14:textId="77777777" w:rsidR="00F554A7" w:rsidRDefault="007A75BF" w:rsidP="00F92A89">
            <w:pPr>
              <w:pStyle w:val="TableText"/>
              <w:jc w:val="right"/>
            </w:pPr>
            <w:r w:rsidRPr="001E7563">
              <w:t>$10.00</w:t>
            </w:r>
          </w:p>
        </w:tc>
        <w:tc>
          <w:tcPr>
            <w:tcW w:w="305" w:type="pct"/>
            <w:noWrap/>
          </w:tcPr>
          <w:p w14:paraId="00000594" w14:textId="77777777" w:rsidR="00F554A7" w:rsidRDefault="007A75BF" w:rsidP="00F92A89">
            <w:pPr>
              <w:pStyle w:val="TableText"/>
              <w:jc w:val="right"/>
            </w:pPr>
            <w:r w:rsidRPr="001E7563">
              <w:t>100.0%</w:t>
            </w:r>
          </w:p>
        </w:tc>
        <w:tc>
          <w:tcPr>
            <w:tcW w:w="305" w:type="pct"/>
            <w:noWrap/>
          </w:tcPr>
          <w:p w14:paraId="00000595" w14:textId="77777777" w:rsidR="00F554A7" w:rsidRDefault="007A75BF" w:rsidP="00F92A89">
            <w:pPr>
              <w:pStyle w:val="TableText"/>
              <w:jc w:val="right"/>
            </w:pPr>
            <w:r w:rsidRPr="001E7563">
              <w:t>74.3%</w:t>
            </w:r>
          </w:p>
        </w:tc>
        <w:tc>
          <w:tcPr>
            <w:tcW w:w="305" w:type="pct"/>
            <w:noWrap/>
          </w:tcPr>
          <w:p w14:paraId="00000596" w14:textId="77777777" w:rsidR="00F554A7" w:rsidRDefault="007A75BF" w:rsidP="00F92A89">
            <w:pPr>
              <w:pStyle w:val="TableText"/>
              <w:jc w:val="right"/>
            </w:pPr>
            <w:r w:rsidRPr="001E7563">
              <w:t>0.0%</w:t>
            </w:r>
          </w:p>
        </w:tc>
        <w:tc>
          <w:tcPr>
            <w:tcW w:w="307" w:type="pct"/>
            <w:noWrap/>
          </w:tcPr>
          <w:p w14:paraId="00000597" w14:textId="77777777" w:rsidR="00F554A7" w:rsidRDefault="007A75BF" w:rsidP="00F92A89">
            <w:pPr>
              <w:pStyle w:val="TableText"/>
              <w:jc w:val="right"/>
            </w:pPr>
            <w:r w:rsidRPr="001E7563">
              <w:t>0.0%</w:t>
            </w:r>
          </w:p>
        </w:tc>
        <w:tc>
          <w:tcPr>
            <w:tcW w:w="410" w:type="pct"/>
            <w:noWrap/>
          </w:tcPr>
          <w:p w14:paraId="00000598" w14:textId="77777777" w:rsidR="00F554A7" w:rsidRDefault="007A75BF" w:rsidP="00F92A89">
            <w:pPr>
              <w:pStyle w:val="TableText"/>
              <w:jc w:val="right"/>
            </w:pPr>
            <w:r w:rsidRPr="001E7563">
              <w:t>$3,140,344</w:t>
            </w:r>
          </w:p>
        </w:tc>
        <w:tc>
          <w:tcPr>
            <w:tcW w:w="410" w:type="pct"/>
            <w:noWrap/>
          </w:tcPr>
          <w:p w14:paraId="00000599" w14:textId="77777777" w:rsidR="00F554A7" w:rsidRDefault="007A75BF" w:rsidP="00F92A89">
            <w:pPr>
              <w:pStyle w:val="TableText"/>
              <w:jc w:val="right"/>
            </w:pPr>
            <w:r w:rsidRPr="001E7563">
              <w:t>$3,147,706</w:t>
            </w:r>
          </w:p>
        </w:tc>
        <w:tc>
          <w:tcPr>
            <w:tcW w:w="410" w:type="pct"/>
            <w:noWrap/>
          </w:tcPr>
          <w:p w14:paraId="0000059A" w14:textId="77777777" w:rsidR="00F554A7" w:rsidRDefault="007A75BF" w:rsidP="00F92A89">
            <w:pPr>
              <w:pStyle w:val="TableText"/>
              <w:jc w:val="right"/>
            </w:pPr>
            <w:r w:rsidRPr="001E7563">
              <w:t>$3,155,067</w:t>
            </w:r>
          </w:p>
        </w:tc>
        <w:tc>
          <w:tcPr>
            <w:tcW w:w="410" w:type="pct"/>
            <w:noWrap/>
          </w:tcPr>
          <w:p w14:paraId="0000059B" w14:textId="77777777" w:rsidR="00F554A7" w:rsidRDefault="007A75BF" w:rsidP="00F92A89">
            <w:pPr>
              <w:pStyle w:val="TableText"/>
              <w:jc w:val="right"/>
            </w:pPr>
            <w:r w:rsidRPr="001E7563">
              <w:t>$3,162,429</w:t>
            </w:r>
          </w:p>
        </w:tc>
        <w:tc>
          <w:tcPr>
            <w:tcW w:w="410" w:type="pct"/>
            <w:noWrap/>
          </w:tcPr>
          <w:p w14:paraId="0000059C" w14:textId="77777777" w:rsidR="00F554A7" w:rsidRDefault="007A75BF" w:rsidP="00F92A89">
            <w:pPr>
              <w:pStyle w:val="TableText"/>
              <w:jc w:val="right"/>
            </w:pPr>
            <w:r w:rsidRPr="001E7563">
              <w:t>$3,169,791</w:t>
            </w:r>
          </w:p>
        </w:tc>
        <w:tc>
          <w:tcPr>
            <w:tcW w:w="408" w:type="pct"/>
            <w:noWrap/>
          </w:tcPr>
          <w:p w14:paraId="0000059D" w14:textId="77777777" w:rsidR="00F554A7" w:rsidRDefault="007A75BF" w:rsidP="00F92A89">
            <w:pPr>
              <w:pStyle w:val="TableText"/>
              <w:jc w:val="right"/>
            </w:pPr>
            <w:r w:rsidRPr="001E7563">
              <w:t>$3,177,153</w:t>
            </w:r>
          </w:p>
        </w:tc>
      </w:tr>
      <w:tr w:rsidR="00F554A7" w14:paraId="6EF9C69E" w14:textId="77777777" w:rsidTr="00F92A89">
        <w:trPr>
          <w:trHeight w:val="300"/>
        </w:trPr>
        <w:tc>
          <w:tcPr>
            <w:tcW w:w="964" w:type="pct"/>
            <w:noWrap/>
            <w:hideMark/>
          </w:tcPr>
          <w:p w14:paraId="0000059E" w14:textId="77777777" w:rsidR="00F554A7" w:rsidRDefault="007A75BF" w:rsidP="00F92A89">
            <w:pPr>
              <w:pStyle w:val="TableText"/>
              <w:numPr>
                <w:ilvl w:val="0"/>
                <w:numId w:val="30"/>
              </w:numPr>
              <w:ind w:left="164" w:hanging="142"/>
            </w:pPr>
            <w:r w:rsidRPr="001E7563">
              <w:t>DNA sequencing [base case]</w:t>
            </w:r>
          </w:p>
        </w:tc>
        <w:tc>
          <w:tcPr>
            <w:tcW w:w="356" w:type="pct"/>
            <w:noWrap/>
          </w:tcPr>
          <w:p w14:paraId="0000059F" w14:textId="77777777" w:rsidR="00F554A7" w:rsidRDefault="007A75BF" w:rsidP="00F92A89">
            <w:pPr>
              <w:pStyle w:val="TableText"/>
              <w:jc w:val="right"/>
            </w:pPr>
            <w:r w:rsidRPr="001E7563">
              <w:t>$10.00</w:t>
            </w:r>
          </w:p>
        </w:tc>
        <w:tc>
          <w:tcPr>
            <w:tcW w:w="305" w:type="pct"/>
            <w:noWrap/>
          </w:tcPr>
          <w:p w14:paraId="000005A0" w14:textId="77777777" w:rsidR="00F554A7" w:rsidRDefault="007A75BF" w:rsidP="00F92A89">
            <w:pPr>
              <w:pStyle w:val="TableText"/>
              <w:jc w:val="right"/>
            </w:pPr>
            <w:r w:rsidRPr="001E7563">
              <w:t>100.0%</w:t>
            </w:r>
          </w:p>
        </w:tc>
        <w:tc>
          <w:tcPr>
            <w:tcW w:w="305" w:type="pct"/>
            <w:noWrap/>
          </w:tcPr>
          <w:p w14:paraId="000005A1" w14:textId="77777777" w:rsidR="00F554A7" w:rsidRDefault="007A75BF" w:rsidP="00F92A89">
            <w:pPr>
              <w:pStyle w:val="TableText"/>
              <w:jc w:val="right"/>
            </w:pPr>
            <w:r w:rsidRPr="001E7563">
              <w:t>74.3%</w:t>
            </w:r>
          </w:p>
        </w:tc>
        <w:tc>
          <w:tcPr>
            <w:tcW w:w="305" w:type="pct"/>
            <w:noWrap/>
          </w:tcPr>
          <w:p w14:paraId="000005A2" w14:textId="77777777" w:rsidR="00F554A7" w:rsidRDefault="007A75BF" w:rsidP="00F92A89">
            <w:pPr>
              <w:pStyle w:val="TableText"/>
              <w:jc w:val="right"/>
            </w:pPr>
            <w:r w:rsidRPr="001E7563">
              <w:t>0.0%</w:t>
            </w:r>
          </w:p>
        </w:tc>
        <w:tc>
          <w:tcPr>
            <w:tcW w:w="307" w:type="pct"/>
            <w:noWrap/>
          </w:tcPr>
          <w:p w14:paraId="000005A3" w14:textId="77777777" w:rsidR="00F554A7" w:rsidRDefault="007A75BF" w:rsidP="00F92A89">
            <w:pPr>
              <w:pStyle w:val="TableText"/>
              <w:jc w:val="right"/>
            </w:pPr>
            <w:r w:rsidRPr="001E7563">
              <w:t>0.0%</w:t>
            </w:r>
          </w:p>
        </w:tc>
        <w:tc>
          <w:tcPr>
            <w:tcW w:w="410" w:type="pct"/>
            <w:noWrap/>
          </w:tcPr>
          <w:p w14:paraId="000005A4" w14:textId="77777777" w:rsidR="00F554A7" w:rsidRDefault="007A75BF" w:rsidP="00F92A89">
            <w:pPr>
              <w:pStyle w:val="TableText"/>
              <w:jc w:val="right"/>
            </w:pPr>
            <w:r w:rsidRPr="001E7563">
              <w:t>$3,155,537</w:t>
            </w:r>
          </w:p>
        </w:tc>
        <w:tc>
          <w:tcPr>
            <w:tcW w:w="410" w:type="pct"/>
            <w:noWrap/>
          </w:tcPr>
          <w:p w14:paraId="000005A5" w14:textId="77777777" w:rsidR="00F554A7" w:rsidRDefault="007A75BF" w:rsidP="00F92A89">
            <w:pPr>
              <w:pStyle w:val="TableText"/>
              <w:jc w:val="right"/>
            </w:pPr>
            <w:r w:rsidRPr="001E7563">
              <w:t>$3,162,935</w:t>
            </w:r>
          </w:p>
        </w:tc>
        <w:tc>
          <w:tcPr>
            <w:tcW w:w="410" w:type="pct"/>
            <w:noWrap/>
          </w:tcPr>
          <w:p w14:paraId="000005A6" w14:textId="77777777" w:rsidR="00F554A7" w:rsidRDefault="007A75BF" w:rsidP="00F92A89">
            <w:pPr>
              <w:pStyle w:val="TableText"/>
              <w:jc w:val="right"/>
            </w:pPr>
            <w:r w:rsidRPr="001E7563">
              <w:t>$3,170,332</w:t>
            </w:r>
          </w:p>
        </w:tc>
        <w:tc>
          <w:tcPr>
            <w:tcW w:w="410" w:type="pct"/>
            <w:noWrap/>
          </w:tcPr>
          <w:p w14:paraId="000005A7" w14:textId="77777777" w:rsidR="00F554A7" w:rsidRDefault="007A75BF" w:rsidP="00F92A89">
            <w:pPr>
              <w:pStyle w:val="TableText"/>
              <w:jc w:val="right"/>
            </w:pPr>
            <w:r w:rsidRPr="001E7563">
              <w:t>$3,177,730</w:t>
            </w:r>
          </w:p>
        </w:tc>
        <w:tc>
          <w:tcPr>
            <w:tcW w:w="410" w:type="pct"/>
            <w:noWrap/>
          </w:tcPr>
          <w:p w14:paraId="000005A8" w14:textId="77777777" w:rsidR="00F554A7" w:rsidRDefault="007A75BF" w:rsidP="00F92A89">
            <w:pPr>
              <w:pStyle w:val="TableText"/>
              <w:jc w:val="right"/>
            </w:pPr>
            <w:r w:rsidRPr="001E7563">
              <w:t>$3,185,127</w:t>
            </w:r>
          </w:p>
        </w:tc>
        <w:tc>
          <w:tcPr>
            <w:tcW w:w="408" w:type="pct"/>
            <w:noWrap/>
          </w:tcPr>
          <w:p w14:paraId="000005A9" w14:textId="77777777" w:rsidR="00F554A7" w:rsidRDefault="007A75BF" w:rsidP="00F92A89">
            <w:pPr>
              <w:pStyle w:val="TableText"/>
              <w:jc w:val="right"/>
            </w:pPr>
            <w:r w:rsidRPr="001E7563">
              <w:t>$3,192,524</w:t>
            </w:r>
          </w:p>
        </w:tc>
      </w:tr>
    </w:tbl>
    <w:p w14:paraId="000005AA" w14:textId="77777777" w:rsidR="00F554A7" w:rsidRPr="00F92A89" w:rsidRDefault="007A75BF" w:rsidP="00F92A89">
      <w:pPr>
        <w:pStyle w:val="TableFigureFooter"/>
        <w:rPr>
          <w:rFonts w:eastAsia="Arial Narrow"/>
        </w:rPr>
      </w:pPr>
      <w:r w:rsidRPr="00F92A89">
        <w:rPr>
          <w:rFonts w:eastAsia="Arial Narrow"/>
          <w:vertAlign w:val="superscript"/>
        </w:rPr>
        <w:t>a</w:t>
      </w:r>
      <w:r w:rsidRPr="00F92A89">
        <w:rPr>
          <w:rFonts w:eastAsia="Arial Narrow"/>
        </w:rPr>
        <w:t xml:space="preserve">  Second-tier screening for all scenarios was assumed to be by DNA sequencing.</w:t>
      </w:r>
    </w:p>
    <w:p w14:paraId="4A1EC823" w14:textId="77777777" w:rsidR="00B445BF" w:rsidRDefault="007A75BF" w:rsidP="00B445BF">
      <w:pPr>
        <w:pStyle w:val="TableFigureFooter"/>
        <w:rPr>
          <w:rFonts w:eastAsia="Arial Narrow"/>
        </w:rPr>
      </w:pPr>
      <w:r w:rsidRPr="00F92A89">
        <w:rPr>
          <w:rFonts w:eastAsia="Arial Narrow"/>
        </w:rPr>
        <w:t>β-thal = β-thalassemia; CE = capillary electrophoresis; ESI-MS/MS = Electrospray Ionization tandem mass spectrometry; HbS = haemoglobin S; HPLC = high performance liquid chromatography; IEF = isoelectric focusing; MALDI-TOF = Matrix Assisted Laser Desorption/Ionization time-of-flight mass spectrometry; PCR = polymerase chain reaction; SCD = sickle-cell disease.</w:t>
      </w:r>
    </w:p>
    <w:p w14:paraId="537E829E" w14:textId="7E2418CA" w:rsidR="00FC3CD5" w:rsidRDefault="00FC3CD5" w:rsidP="00B445BF">
      <w:pPr>
        <w:pStyle w:val="TableFigureFooter"/>
      </w:pPr>
      <w:r>
        <w:rPr>
          <w:rFonts w:eastAsia="Arial Narrow"/>
        </w:rPr>
        <w:t>Source: DCAR Table 22</w:t>
      </w:r>
    </w:p>
    <w:p w14:paraId="19F0D1B7" w14:textId="77777777" w:rsidR="00B445BF" w:rsidRDefault="00B445BF" w:rsidP="00B445BF">
      <w:pPr>
        <w:pStyle w:val="TableFigureFooter"/>
        <w:sectPr w:rsidR="00B445BF" w:rsidSect="0003613A">
          <w:headerReference w:type="even" r:id="rId17"/>
          <w:headerReference w:type="default" r:id="rId18"/>
          <w:pgSz w:w="16838" w:h="11906" w:orient="landscape"/>
          <w:pgMar w:top="1440" w:right="1440" w:bottom="1440" w:left="1440" w:header="708" w:footer="708" w:gutter="0"/>
          <w:cols w:space="708"/>
          <w:docGrid w:linePitch="360"/>
        </w:sectPr>
      </w:pPr>
    </w:p>
    <w:p w14:paraId="000005AC" w14:textId="08743A6C" w:rsidR="00F554A7" w:rsidRDefault="007A75BF">
      <w:r w:rsidRPr="00F92A89">
        <w:lastRenderedPageBreak/>
        <w:t xml:space="preserve">Little variation was observed across the scenarios that explored the haemoglobinopathy identified. This was because first-tier screening costs were unchanged across these analyses (i.e. affected only the extent of use of second-tier screening) and because the test assumed in the base case (i.e. MALDI-TOF) is not able to detect β-thalassemia intermedia. Expanding second-tier screening from SCD affected cases only to also include those with β-thalassemia was associated with an additional annual cost of approximately $20,000. </w:t>
      </w:r>
    </w:p>
    <w:p w14:paraId="000005AD" w14:textId="74827017" w:rsidR="00F554A7" w:rsidRDefault="007A75BF">
      <w:r w:rsidRPr="00F92A89">
        <w:t>The results of the alternate first-tier screening scenarios were more variable and ranged from $3−30 million per year. The most expensive options (HPLC and CE) were more comprehensive in the haemoglobinopathies they were able to detect (all SCD and most β-thalassemia cases). The least expensive options (ESI-MS/MS, MALDI-TOF and HbS allele-specific PCR) were more limited in the haemoglobinopathies they were able to detect (all SCD cases and the majority of β-thalassemia cases).</w:t>
      </w:r>
    </w:p>
    <w:p w14:paraId="000005AE" w14:textId="374CE344" w:rsidR="00F554A7" w:rsidRDefault="007A75BF">
      <w:r w:rsidRPr="00F92A89">
        <w:t>The addition of haemoglobinopathies to the NBS program would also affect other health budgets, due to the change in current targeted testing practices. The extent of the change in the use (and therefore cost) of testing is unclear and will likely be influenced by the test method chosen for NBS e.g. if MALDI-TOF is used for NBS this may not identify all cases of β-thalassemia, and so as current testing is targeted to those at high-risk or who are demonstrating symptoms, more comprehensive testing (e.g. HPLC) may be used. Further, the timing of testing may also affect the extent in the change in use of current testing (as testing during pregnancy will be unchanged, and so universal NBS would likely be performed in addition to prenatal testing). Given the small number of cases per year, the impact is likely to range from a small reduction in cost to other health budgets (~$46,000 per year, assuming a reduction in a higher cost first-tier targeted testing) to no difference in cost (assuming current testing practices remain in place due to the requirement for a more sensitive test and/or timing of testing).</w:t>
      </w:r>
    </w:p>
    <w:p w14:paraId="000005AF" w14:textId="77777777" w:rsidR="00F554A7" w:rsidRDefault="007A75BF">
      <w:r>
        <w:t>No change was expected in the use or cost of cascade testing of relatives of affected cases (as all affected cases are currently identified).</w:t>
      </w:r>
    </w:p>
    <w:p w14:paraId="000005B0" w14:textId="77777777" w:rsidR="00F554A7" w:rsidRDefault="007A75BF">
      <w:r>
        <w:t>The net effect of these changes is estimated to range from a reduction of up to approximately $46,000 per year, assuming the maximum reduction in the use and cost of current testing, to no change, assuming current testing practices remain in place (due to the test method requested and/or timing of testing).</w:t>
      </w:r>
    </w:p>
    <w:p w14:paraId="000005B1" w14:textId="77777777" w:rsidR="00F554A7" w:rsidRDefault="007A75BF" w:rsidP="001E7563">
      <w:pPr>
        <w:pStyle w:val="Heading2"/>
        <w:numPr>
          <w:ilvl w:val="0"/>
          <w:numId w:val="0"/>
        </w:numPr>
      </w:pPr>
      <w:bookmarkStart w:id="124" w:name="_heading=h.4bvk7pj" w:colFirst="0" w:colLast="0"/>
      <w:bookmarkStart w:id="125" w:name="_Toc132821931"/>
      <w:bookmarkEnd w:id="124"/>
      <w:r>
        <w:t>15.</w:t>
      </w:r>
      <w:r>
        <w:tab/>
        <w:t>Other relevant information</w:t>
      </w:r>
      <w:bookmarkEnd w:id="125"/>
    </w:p>
    <w:p w14:paraId="000005B2" w14:textId="77777777" w:rsidR="00F554A7" w:rsidRDefault="007A75BF">
      <w:pPr>
        <w:pStyle w:val="Heading3"/>
      </w:pPr>
      <w:bookmarkStart w:id="126" w:name="_heading=h.2r0uhxc" w:colFirst="0" w:colLast="0"/>
      <w:bookmarkStart w:id="127" w:name="_Toc132821932"/>
      <w:bookmarkEnd w:id="126"/>
      <w:r>
        <w:t>Ethics review</w:t>
      </w:r>
      <w:bookmarkEnd w:id="127"/>
    </w:p>
    <w:p w14:paraId="000005B3" w14:textId="77777777" w:rsidR="00F554A7" w:rsidRDefault="007A75BF">
      <w:r>
        <w:t>Ethical considerations concern equity of access; consent; emotional, social and family impacts; notification of sickle cell trait (SCT, i.e., carrier status), especially for newborns; and reproductive planning.</w:t>
      </w:r>
    </w:p>
    <w:p w14:paraId="000005B4" w14:textId="39190841" w:rsidR="00F554A7" w:rsidRDefault="007A75BF">
      <w:r>
        <w:t>In the US, families of children with SCD tend to be socioeconomically disadvantaged. This suggests that, in the US, screening for SCD, where beneficial, may be of additional value by virtue of especially helping disadvantaged populations and thereby helping to reduce existing health inequities.</w:t>
      </w:r>
    </w:p>
    <w:p w14:paraId="000005B5" w14:textId="359DDCE7" w:rsidR="00F554A7" w:rsidRDefault="007A75BF">
      <w:r>
        <w:t xml:space="preserve">There is mixed evidence concerning parental knowledge of SCD in affected populations prior to newborn screening. This suggests that particular attention should be paid to adequately informing parents as part of the newborn screening consent process. </w:t>
      </w:r>
      <w:r w:rsidR="0040250E">
        <w:t>I</w:t>
      </w:r>
      <w:r>
        <w:t>t may also be justifiable for health professionals to "nudge" people toward screening (e.g., by emphasising its benefits) where treatment effectiveness warrants this.</w:t>
      </w:r>
    </w:p>
    <w:p w14:paraId="000005B6" w14:textId="7E20D840" w:rsidR="00F554A7" w:rsidRDefault="007A75BF">
      <w:r>
        <w:lastRenderedPageBreak/>
        <w:t>UK parents who received a SCD-positive test result after newborn bloodspot screening experienced fears about SCD-related stigma. These fears often led to parents withholding the SCD diagnosis from family or friends, which may reduce cascade testing. This suggests that tailored genetic counselling following an SCD-positive test result may be important.</w:t>
      </w:r>
    </w:p>
    <w:p w14:paraId="000005B7" w14:textId="77777777" w:rsidR="00F554A7" w:rsidRDefault="007A75BF">
      <w:r>
        <w:t>In the Netherlands the introduction of hemoglobinopathy into newborn screening did not result in expected increases in parents getting cascade testing.</w:t>
      </w:r>
    </w:p>
    <w:p w14:paraId="000005B8" w14:textId="20592247" w:rsidR="00F554A7" w:rsidRDefault="007A75BF">
      <w:r>
        <w:t>Multiple studies discuss how to best notify parents of an SCD-positive or SCT-positive result following newborn bloodspot screening. Face-to-face notification from a confident and knowledgeable healthcare professional seems recommended.</w:t>
      </w:r>
    </w:p>
    <w:p w14:paraId="000005B9" w14:textId="56177176" w:rsidR="00F554A7" w:rsidRDefault="007A75BF">
      <w:r>
        <w:t>Most healthcare providers and parents support the disclosure of SCT-positive results. Healthcare providers often see the results as belonging to the patient, while parents emphasise that their child has a right to know. Many parents want more information about SCT, especially rare symptomatology. Parents often seek to inform their child, with professional support, generally from adolescence, though the best timing seems difficult to pinpoint. Parents are often ambivalent about how the information will affect their child, with “the value of knowing being balanced against the burden of responsibility” placed on their child [13]. There is evidence that parents also value SCT results to inform their own future reproductive intentions.</w:t>
      </w:r>
    </w:p>
    <w:p w14:paraId="000005BA" w14:textId="77777777" w:rsidR="00F554A7" w:rsidRDefault="007A75BF">
      <w:pPr>
        <w:pStyle w:val="Heading3"/>
      </w:pPr>
      <w:bookmarkStart w:id="128" w:name="_heading=h.1664s55" w:colFirst="0" w:colLast="0"/>
      <w:bookmarkStart w:id="129" w:name="_Toc132821933"/>
      <w:bookmarkEnd w:id="128"/>
      <w:r>
        <w:t>Organisational issues</w:t>
      </w:r>
      <w:bookmarkEnd w:id="129"/>
    </w:p>
    <w:p w14:paraId="000005BB" w14:textId="77777777" w:rsidR="00F554A7" w:rsidRDefault="007A75BF" w:rsidP="0040250E">
      <w:r>
        <w:t xml:space="preserve">Feedback was sought from the laboratories conducting NBS throughout Australia regarding the type of testing platform they would be likely to use, should SCD and/or </w:t>
      </w:r>
      <w:r>
        <w:rPr>
          <w:rFonts w:ascii="Calibri" w:eastAsia="Calibri" w:hAnsi="Calibri" w:cs="Calibri"/>
        </w:rPr>
        <w:t>β</w:t>
      </w:r>
      <w:r>
        <w:t xml:space="preserve">-thalassaemia screening be implemented, and any additional concerns they may have. Consistent feedback indicated that there was no impact on uptake of NBS expected through the implementation of SCD and/or </w:t>
      </w:r>
      <w:r>
        <w:rPr>
          <w:rFonts w:ascii="Calibri" w:eastAsia="Calibri" w:hAnsi="Calibri" w:cs="Calibri"/>
        </w:rPr>
        <w:t>β</w:t>
      </w:r>
      <w:r>
        <w:t xml:space="preserve">-thalassaemia screening, but this should be monitored for changes. </w:t>
      </w:r>
    </w:p>
    <w:p w14:paraId="000005BC" w14:textId="5719DB9D" w:rsidR="00F554A7" w:rsidRDefault="0042566A" w:rsidP="0040250E">
      <w:sdt>
        <w:sdtPr>
          <w:tag w:val="goog_rdk_145"/>
          <w:id w:val="-79220092"/>
        </w:sdtPr>
        <w:sdtEndPr/>
        <w:sdtContent/>
      </w:sdt>
      <w:r w:rsidR="007A75BF">
        <w:t>State</w:t>
      </w:r>
      <w:r w:rsidR="004141BF">
        <w:t>s</w:t>
      </w:r>
      <w:r w:rsidR="007A75BF">
        <w:t xml:space="preserve"> and territor</w:t>
      </w:r>
      <w:r w:rsidR="004141BF">
        <w:t>ies</w:t>
      </w:r>
      <w:r w:rsidR="007A75BF">
        <w:t xml:space="preserve"> would make individual choices regarding the</w:t>
      </w:r>
      <w:r w:rsidR="004B5D95">
        <w:t>ir preferred</w:t>
      </w:r>
      <w:r w:rsidR="007A75BF">
        <w:t xml:space="preserve"> testing protocol, </w:t>
      </w:r>
      <w:r w:rsidR="004B5D95">
        <w:t>taking into account factors including</w:t>
      </w:r>
      <w:r w:rsidR="007A75BF">
        <w:t xml:space="preserve"> </w:t>
      </w:r>
      <w:r w:rsidR="00E3245C">
        <w:t xml:space="preserve">each NBS </w:t>
      </w:r>
      <w:r w:rsidR="004141BF">
        <w:t>laborator</w:t>
      </w:r>
      <w:r w:rsidR="00E3245C">
        <w:t>y’s</w:t>
      </w:r>
      <w:r w:rsidR="007A75BF">
        <w:t xml:space="preserve"> needs. Laboratories choosing testing platforms for SCD screening should keep in mind the capabilities of the test for identifying carriers, as this has major implications for the options that follow screening for families and individuals at risk of SCD. Additionally, identification of carriers can increase the workload significantly through the follow up testing of family members.</w:t>
      </w:r>
    </w:p>
    <w:p w14:paraId="6648FE59" w14:textId="10121687" w:rsidR="00E22945" w:rsidRDefault="007A75BF" w:rsidP="0040250E">
      <w:r>
        <w:t>All the NBS laboratories in Australia have expressed they could only introduce screening for haemoglobinopathies if additional funding was provided (for staff and reagents), and most laboratories also suggested they would require new space capital equipment, and training.</w:t>
      </w:r>
      <w:r w:rsidR="00E22945">
        <w:br w:type="page"/>
      </w:r>
    </w:p>
    <w:p w14:paraId="000005BF" w14:textId="77777777" w:rsidR="00F554A7" w:rsidRDefault="007A75BF" w:rsidP="001E7563">
      <w:pPr>
        <w:pStyle w:val="Heading2"/>
        <w:numPr>
          <w:ilvl w:val="0"/>
          <w:numId w:val="0"/>
        </w:numPr>
      </w:pPr>
      <w:bookmarkStart w:id="130" w:name="_heading=h.3q5sasy" w:colFirst="0" w:colLast="0"/>
      <w:bookmarkEnd w:id="130"/>
      <w:r>
        <w:lastRenderedPageBreak/>
        <w:t>16.</w:t>
      </w:r>
      <w:r>
        <w:tab/>
        <w:t>Key issues from ESC to MSAC</w:t>
      </w:r>
    </w:p>
    <w:p w14:paraId="000005C0" w14:textId="77777777" w:rsidR="00F554A7" w:rsidRPr="00F92A89" w:rsidRDefault="007A75BF" w:rsidP="00F92A89">
      <w:pPr>
        <w:pStyle w:val="BoxName0"/>
        <w:rPr>
          <w:b w:val="0"/>
        </w:rPr>
      </w:pPr>
      <w:r w:rsidRPr="00F92A89">
        <w:t>Main issues for MSAC consideration</w:t>
      </w:r>
    </w:p>
    <w:p w14:paraId="000005C1" w14:textId="77777777" w:rsidR="00F554A7" w:rsidRPr="00F92A89" w:rsidRDefault="007A75BF" w:rsidP="00F92A89">
      <w:pPr>
        <w:pStyle w:val="BoxHeading"/>
        <w:rPr>
          <w:b w:val="0"/>
        </w:rPr>
      </w:pPr>
      <w:r w:rsidRPr="00F92A89">
        <w:t>Clinical issues:</w:t>
      </w:r>
    </w:p>
    <w:p w14:paraId="000005C2" w14:textId="77777777" w:rsidR="00F554A7" w:rsidRDefault="007A75BF" w:rsidP="00F92A89">
      <w:pPr>
        <w:pStyle w:val="BoxBullet"/>
      </w:pPr>
      <w:r w:rsidRPr="00F92A89">
        <w:t>The proposed haemoglobinopathies have an uncertain but low incidence in Australia, estimated to be 0.53 per 100,000 births. The incidence may be increasing over time with demographic change due to migration from countries that have a higher sickle cell disease (SCD) and haemoglobinopathy incidence. Australian registry data may underestimate the incidence.</w:t>
      </w:r>
    </w:p>
    <w:p w14:paraId="000005C3" w14:textId="77777777" w:rsidR="00F554A7" w:rsidRDefault="007A75BF" w:rsidP="00F92A89">
      <w:pPr>
        <w:pStyle w:val="BoxBullet"/>
      </w:pPr>
      <w:r w:rsidRPr="00F92A89">
        <w:t>The use of newborn bloodspot screening (NBS) for SCD (early diagnosis) had superior effectiveness and non-inferior safety compared with no NBS for SCD (late diagnosis) (primary comparator). However, this outcome was highly dependent on the prevalence of SCD and the effectiveness of targeted testing approaches.</w:t>
      </w:r>
    </w:p>
    <w:p w14:paraId="000005C4" w14:textId="77777777" w:rsidR="00F554A7" w:rsidRDefault="007A75BF" w:rsidP="00F92A89">
      <w:pPr>
        <w:pStyle w:val="BoxBullet"/>
      </w:pPr>
      <w:r w:rsidRPr="00F92A89">
        <w:t>Earlier diagnosis through NBS could lead to early interventions such as commencement of prophylactic antibiotics and administration of additional vaccinations over routine schedule, and engagement with specialist services, thereby improving health outcomes. Changes in clinical management upon a positive diagnosis of haemoglobinopathy through NBS may be broader than those assessed in the DCAR, and there may also be non-health benefits such as parental education and value of knowing.</w:t>
      </w:r>
    </w:p>
    <w:p w14:paraId="000005C5" w14:textId="77777777" w:rsidR="00F554A7" w:rsidRDefault="007A75BF" w:rsidP="00F92A89">
      <w:pPr>
        <w:pStyle w:val="BoxBullet"/>
      </w:pPr>
      <w:r w:rsidRPr="00F92A89">
        <w:t xml:space="preserve">Targeted neonatal testing of infants at high risk (secondary comparator) currently occurs only in Western Australia (comprising ~11% of the national birth cohort), although expert opinion suggested the majority of cases are already detected through targeted testing. There were insufficient data to determine the incremental effectiveness or safety of NBS for SCD over targeted neonatal testing. Other states and territories are not actively considering targeted neonatal testing at this time. </w:t>
      </w:r>
    </w:p>
    <w:p w14:paraId="000005C6" w14:textId="3E060155" w:rsidR="00F554A7" w:rsidRDefault="007A75BF" w:rsidP="00F92A89">
      <w:pPr>
        <w:pStyle w:val="BoxBullet"/>
      </w:pPr>
      <w:r w:rsidRPr="00F92A89">
        <w:rPr>
          <w:rFonts w:eastAsia="Cardo"/>
        </w:rPr>
        <w:t>There were insufficient data to determine the incremental effectiveness or safety of NBS for β-thalassaemia and SCD compared to SCD alone. However, it can be assumed that NBS would identify additional β-thalassaemia cases in the pre-symptomatic period.</w:t>
      </w:r>
    </w:p>
    <w:p w14:paraId="000005C7" w14:textId="20D26404" w:rsidR="00F554A7" w:rsidRDefault="007A75BF" w:rsidP="00F92A89">
      <w:pPr>
        <w:pStyle w:val="BoxBullet"/>
      </w:pPr>
      <w:r w:rsidRPr="00F92A89">
        <w:rPr>
          <w:rFonts w:eastAsia="Cardo"/>
        </w:rPr>
        <w:t>There were insufficient data to determine the safety and effectiveness of cascade testing of the family members of newborns diagnosed with SCD or β-thalassaemia. The key benefit of cascade testing is to inform future reproductive choices, and identify first-degree relatives who are pre-symptomatic, which may include those with carrier state.</w:t>
      </w:r>
    </w:p>
    <w:p w14:paraId="000005C8" w14:textId="77777777" w:rsidR="00F554A7" w:rsidRPr="00F92A89" w:rsidRDefault="007A75BF" w:rsidP="00F92A89">
      <w:pPr>
        <w:pStyle w:val="BoxHeading"/>
        <w:rPr>
          <w:b w:val="0"/>
        </w:rPr>
      </w:pPr>
      <w:r w:rsidRPr="00F92A89">
        <w:t>Economic issues:</w:t>
      </w:r>
    </w:p>
    <w:p w14:paraId="000005C9" w14:textId="77777777" w:rsidR="00F554A7" w:rsidRDefault="007A75BF" w:rsidP="00F92A89">
      <w:pPr>
        <w:pStyle w:val="BoxBullet"/>
      </w:pPr>
      <w:r w:rsidRPr="00F92A89">
        <w:t>Given the limited availability of high-quality data due to the small patient population with this rare condition, the estimated cost-effectiveness was uncertain. Universal newborn screening is unlikely to demonstrate cost-effectiveness in the Australian context, given the current strategy of targeted neonatal testing and pneumococcal vaccination availability to newborns, which resulted in an uncertain clinical claim of superiority. However, NBS may lead to administration of the additional pneumococcal vaccinations required for management of identified newborns at increased risk for pneumococcal disease.</w:t>
      </w:r>
    </w:p>
    <w:p w14:paraId="000005CA" w14:textId="435CDEEC" w:rsidR="00F554A7" w:rsidRDefault="007A75BF" w:rsidP="00F92A89">
      <w:pPr>
        <w:pStyle w:val="BoxBullet"/>
      </w:pPr>
      <w:r w:rsidRPr="00F92A89">
        <w:t>NBS for SCD had a very small incremental benefit but was also of modest cost</w:t>
      </w:r>
      <w:r w:rsidRPr="00F92A89">
        <w:rPr>
          <w:rFonts w:eastAsia="Cardo"/>
        </w:rPr>
        <w:t>, resulting in an ICER of $141,000 per affected case diagnosed earlier against the comparator of no NBS. Against targeted neonatal testing, NBS for SCD had an ICER of $14 million per affected case diagnosed earlier. Adding NBS for β-thalassaemia improved the ICERs, however also made them even more uncertain.</w:t>
      </w:r>
    </w:p>
    <w:p w14:paraId="000005CB" w14:textId="77777777" w:rsidR="00F554A7" w:rsidRDefault="007A75BF" w:rsidP="00F92A89">
      <w:pPr>
        <w:pStyle w:val="BoxBullet"/>
      </w:pPr>
      <w:r w:rsidRPr="00F92A89">
        <w:t>The economic model used a time horizon of 1 year as this captured the differences from the comparator while maintaining the robustness of the model given highly uncertain inputs, although may have underestimated the long-term health benefits and long-term costs.</w:t>
      </w:r>
    </w:p>
    <w:p w14:paraId="000005CC" w14:textId="77777777" w:rsidR="00F554A7" w:rsidRDefault="007A75BF" w:rsidP="00F92A89">
      <w:pPr>
        <w:pStyle w:val="BoxBullet"/>
      </w:pPr>
      <w:r w:rsidRPr="00F92A89">
        <w:lastRenderedPageBreak/>
        <w:t>The cost of the tier 1 test and the haemoglobinopathy incidence were uncertain, and were the main drivers of the cost-effectiveness.</w:t>
      </w:r>
    </w:p>
    <w:p w14:paraId="000005CD" w14:textId="77777777" w:rsidR="00F554A7" w:rsidRPr="00F92A89" w:rsidRDefault="007A75BF" w:rsidP="00F92A89">
      <w:pPr>
        <w:pStyle w:val="BoxHeading"/>
        <w:rPr>
          <w:b w:val="0"/>
        </w:rPr>
      </w:pPr>
      <w:r w:rsidRPr="00F92A89">
        <w:t>Financial issues:</w:t>
      </w:r>
    </w:p>
    <w:p w14:paraId="000005CE" w14:textId="77777777" w:rsidR="00F554A7" w:rsidRDefault="007A75BF" w:rsidP="00F92A89">
      <w:pPr>
        <w:pStyle w:val="BoxBullet"/>
      </w:pPr>
      <w:r w:rsidRPr="00F92A89">
        <w:t>The cost of the tier 1 test in the test strategy chosen was the main driver of the total financial cost. The total financial cost was estimated to be $3 million per year, though this increased to $30 million per year when a more costly tier 1 test was used.</w:t>
      </w:r>
    </w:p>
    <w:p w14:paraId="000005CF" w14:textId="77777777" w:rsidR="00F554A7" w:rsidRPr="00F92A89" w:rsidRDefault="007A75BF">
      <w:pPr>
        <w:spacing w:before="240"/>
        <w:rPr>
          <w:rStyle w:val="Strong"/>
        </w:rPr>
      </w:pPr>
      <w:r w:rsidRPr="00F92A89">
        <w:rPr>
          <w:rStyle w:val="Strong"/>
        </w:rPr>
        <w:t>ESC discussion</w:t>
      </w:r>
    </w:p>
    <w:p w14:paraId="000005D0" w14:textId="39B82C81" w:rsidR="00F554A7" w:rsidRDefault="007A75BF">
      <w:r w:rsidRPr="00F92A89">
        <w:t>ESC noted that this application from the Australian Sickle Cell Advocacy Inc was for inclusion of sickle cell disease (SCD) and beta (β) thalassaemia in the Australian newborn bloodspot screening (NBS) programs. ESC noted that applications 1737 and 1710 were the first applications to be considered for inclusion in the Australian NBS programs by ESC and MSAC, and following disbandment of the Standing Committee on Screening (SCoS) in 2021.</w:t>
      </w:r>
    </w:p>
    <w:p w14:paraId="000005D1" w14:textId="5A4D325D" w:rsidR="00F554A7" w:rsidRDefault="007A75BF">
      <w:r w:rsidRPr="00F92A89">
        <w:t>ESC noted that SCD is an autosomal recessive genetic blood disorder associated with episodes of acute illness and progressive organ damage. Complications of SCD result in frequent hospitalisation for treatment, lead to poor health outcomes, and are burdensome for families and healthcare systems. Anaemia, acute chest syndrome, cerebrovascular disease, infections (invasive pneumococcal disease), and veno-occlusive crisis are the most prevalent co-morbidities. β-thalassaemia is an autosomal recessive genetic disorder that causes iron overload and lifelong anaemia due to reduced levels of functional haemoglobin. ESC noted that the initial application was for SCD only; the Sickle Cell Disease Expert Working Group recommended that β-thalassaemia, haemoglobin E–β-thalassaemia and δβ-thalassaemia also be included (note that this application excludes α-thalassaemia). Collectively, these conditions are referred to as haemoglobinopathies, which for the purposes of this document excludes α-thalassaemia.</w:t>
      </w:r>
    </w:p>
    <w:p w14:paraId="000005D2" w14:textId="77777777" w:rsidR="00F554A7" w:rsidRDefault="007A75BF">
      <w:r>
        <w:t>ESC noted that NBS programs are delivered by state and territory governments, and that screening takes place in five laboratories across Australia. The Australian Government contributes funding to hospital services, including those for NBS, through the National Health Reform Agreement (NHRA). The Australian Government also announced funding of $39.0 million in the 2022–23 Budget, of which $25.3 million has been offered directly to states and territories through a Schedule under the Federation Funding Agreement – Health to support expanding the number of conditions included in NBS programs and increasing consistency between the states and territories. ESC noted the NBS National Policy Framework (NBS NPF)</w:t>
      </w:r>
      <w:r w:rsidRPr="00F92A89">
        <w:footnoteReference w:id="18"/>
      </w:r>
      <w:r>
        <w:t xml:space="preserve"> and its decision-making criteria, which provided context for ESC’s consideration of this application. </w:t>
      </w:r>
    </w:p>
    <w:p w14:paraId="000005D3" w14:textId="227DD8CE" w:rsidR="00F554A7" w:rsidRDefault="007A75BF">
      <w:r w:rsidRPr="00F92A89">
        <w:t>ESC noted that the true incidence of haemoglobinopathies in Australia was uncertain, but was estimated by the Department-contracted assessment report (DCAR) to be 0.53 per 100,000 births based on data from the Australian Haemoglobinopathy Registry. ESC considered that these registry data were likely to be an underestimate as they did not include still births, terminated pregnancies or deaths before diagnosis. ESC also noted that the incidence of haemoglobinopathies may be increasing in Australia due to increased migration from places where these conditions are more prevalent (i.e. people of African ancestry for SCD, and of Middle Eastern and Asian ancestry for β-thalassaemia). ESC noted that PathWest data indicated a much higher incidence of the nominated haemoglobinopathies of 8.6 per 100,000 births.</w:t>
      </w:r>
    </w:p>
    <w:p w14:paraId="000005D4" w14:textId="1926F67C" w:rsidR="00F554A7" w:rsidRDefault="007A75BF">
      <w:r w:rsidRPr="00F92A89">
        <w:t xml:space="preserve">ESC noted that both SCD and β-thalassemia are clinically significant diseases, and the burden of disease for these conditions is high. If untreated, outcomes are poor and many children with SCD </w:t>
      </w:r>
      <w:r w:rsidRPr="00F92A89">
        <w:lastRenderedPageBreak/>
        <w:t>die before the age of 3, or have disabling silent, or overt, cerebrovascular disease. Children with SCD have high mortality rates due to splenic sequestration-mediated pneumococcal sepsis and also have high disease-related morbidity requiring frequent hospitalisation. ESC noted, the American Society of Hematology (ASH) Guidelines for sickle cell disease for the prevention, diagnosis and treatment of cerebrovascular disease (2020) recommend annual transcranial doppler (TCD) imaging for children aged 2-16 years, and for those with abnormal TCD doppler to have 3-4 weekly transfusions to maintain the maximum HbS level &lt;30% and maintain the haemoglobin concentration &gt;9.0 g/dL. ESC noted recommendations from the ASH Guideline for stem cell transplantation in SCD include consideration of transplantation in patients with neurological injury where a matched related sibling is available, and consideration of transplantation where frequent painful crises or acute chest syndrome (ACS) occur despite optimised medical therapy.</w:t>
      </w:r>
    </w:p>
    <w:p w14:paraId="000005D5" w14:textId="77777777" w:rsidR="00F554A7" w:rsidRDefault="007A75BF">
      <w:r>
        <w:t>ESC noted that most public consultation feedback acknowledged the benefits of addition of the conditions to Australian NBS program and were supportive of the application. However, there were also several respondents that were not supportive of implementing the proposed service. Feedback highlighted that a targeted testing approach based on ancestry can result in missed cases, as people’s ancestry or family history are not always known, and this is especially true in a multicultural country like Australia. Feedback also noted that an earlier treatment leads to improved health outcomes. Some feedback also highlighted that cascade testing may result in a need for genetic counselling.</w:t>
      </w:r>
    </w:p>
    <w:p w14:paraId="000005D6" w14:textId="77777777" w:rsidR="00F554A7" w:rsidRPr="00F92A89" w:rsidRDefault="007A75BF" w:rsidP="00F92A89">
      <w:pPr>
        <w:pStyle w:val="NormalBeforeBullet0"/>
      </w:pPr>
      <w:r w:rsidRPr="00F92A89">
        <w:t>ESC noted that the application had two PICO sets:</w:t>
      </w:r>
    </w:p>
    <w:p w14:paraId="000005D7" w14:textId="77777777" w:rsidR="00F554A7" w:rsidRPr="00F92A89" w:rsidRDefault="007A75BF" w:rsidP="00F92A89">
      <w:pPr>
        <w:pStyle w:val="Bullet"/>
        <w:numPr>
          <w:ilvl w:val="0"/>
          <w:numId w:val="55"/>
        </w:numPr>
        <w:spacing w:before="0"/>
        <w:rPr>
          <w:rFonts w:ascii="Franklin Gothic Book" w:hAnsi="Franklin Gothic Book"/>
        </w:rPr>
      </w:pPr>
      <w:r w:rsidRPr="00F92A89">
        <w:rPr>
          <w:rFonts w:ascii="Franklin Gothic Book" w:hAnsi="Franklin Gothic Book"/>
        </w:rPr>
        <w:t>NBS for all newborns in Australia, which is the focus of the application, and</w:t>
      </w:r>
    </w:p>
    <w:p w14:paraId="000005D8" w14:textId="77777777" w:rsidR="00F554A7" w:rsidRDefault="007A75BF" w:rsidP="00F92A89">
      <w:pPr>
        <w:pStyle w:val="BulletLast"/>
        <w:numPr>
          <w:ilvl w:val="0"/>
          <w:numId w:val="55"/>
        </w:numPr>
      </w:pPr>
      <w:r w:rsidRPr="00F92A89">
        <w:t>Cascade testing of family members of newborns who test positive through NBS.</w:t>
      </w:r>
    </w:p>
    <w:p w14:paraId="000005D9" w14:textId="286E8853" w:rsidR="00F554A7" w:rsidRDefault="007A75BF">
      <w:r w:rsidRPr="00F92A89">
        <w:t>ESC considered a further issue for consumers was potential inequity of access if the follow-on monitoring and treatment required after a diagnosis were not available nationwide, including remote and rural areas in particular. Also if NBS for SCD and β-thalassemia were not implemented nationwide, this also risks inequity for families in accessing effective screening services. Further accessibility concerns were around access to genetic counselling and clinical expertise in remote and rural areas.</w:t>
      </w:r>
    </w:p>
    <w:p w14:paraId="000005DA" w14:textId="77777777" w:rsidR="00F554A7" w:rsidRDefault="007A75BF">
      <w:r>
        <w:t>ESC considered the comparators for both populations were appropriate: for PICO set 1, the primary comparator was no NBS and the secondary comparator was targeted testing of at-risk newborns, and for PICO set 2 the comparator to cascade testing using genetic methods was cascade testing using phenotypic methods. ESC noted the DCAR stated that targeted testing of at-risk neonates is current clinical practice in Australia, which according to expert opinion already detects 95-99% of babies with haemoglobinopathies, and that the vaccination program already has high uptake so babies would likely still be protected in the absence of NBS. However, ESC noted Department advice that targeted neonatal testing likely only takes place at present in Western Australia (comprising ~11% of the national birth cohort), not nationally. Given its effectiveness ESC queried whether other states or territories were considering taking up targeted testing, and noted Department advice that the other states and territories are not actively considering taking up targeted neonatal testing at this time. ESC considered that although targeted neonatal testing is not nationwide, that did not mean it should not be compared against, and considered there was merit in both comparators.</w:t>
      </w:r>
    </w:p>
    <w:p w14:paraId="000005DB" w14:textId="05664F14" w:rsidR="00F554A7" w:rsidRDefault="007A75BF">
      <w:r w:rsidRPr="00F92A89">
        <w:t xml:space="preserve">ESC noted the current and proposed clinical management algorithms for SCD and β-thalassaemia. The current algorithms identified babies who present clinically with signs and symptoms of a haemoglobinopathy, who then undergo diagnostic testing followed by confirmatory genetic testing. High-risk neonates identified by family history undergo targeted </w:t>
      </w:r>
      <w:r w:rsidRPr="00F92A89">
        <w:lastRenderedPageBreak/>
        <w:t>testing on cord or venous blood (in Western Australia). ESC noted that under the proposed clinical management algorithms all newborns receive tier 1 (and tier 2, depending on the strategy) screening, followed by confirmatory genetic testing for babies who have a positive result. Family members of newborns found to have a haemoglobinopathy through NBS would have access to cascade testing (PICO set 2), genetic counselling, and reproductive planning if appropriate.</w:t>
      </w:r>
    </w:p>
    <w:p w14:paraId="000005DC" w14:textId="77777777" w:rsidR="00F554A7" w:rsidRDefault="007A75BF">
      <w:r>
        <w:t>ESC noted that there were several bloodspot screening testing methodologies available for the tier 1 testing, but most studies used high-performance liquid chromatography (HPLC). The available methods varied substantially in cost: from $10 for matrix-assisted laser desorption/ionisation time-of-flight mass spectrometry (MALDI-TOF, the base case method), to $96 for HPLC.</w:t>
      </w:r>
    </w:p>
    <w:p w14:paraId="000005DD" w14:textId="7B7CD55B" w:rsidR="00F554A7" w:rsidRDefault="007A75BF">
      <w:r w:rsidRPr="00F92A89">
        <w:t xml:space="preserve">ESC noted that the evidence base included both direct and indirect evidence, and considered that the DCAR’s separation of the evidence into direct versus indirect evidence was useful because for universal screening programs MSAC has a clear preference for direct from test to health outcomes evidence as stated in the MSAC Guidelines. ESC noted the clinical claim that early diagnosis (through NBS) and early intervention, education and genetic counselling are superior to late diagnosis (without NBS). ESC noted most of the direct evidence was from countries where the incidence of SCD was much higher than in Australia, which ESC considered had low applicability to the Australian context. ESC noted that direct evidence for the effectiveness of including β-thalassaemia in NBS programs was scarce. </w:t>
      </w:r>
    </w:p>
    <w:p w14:paraId="000005DE" w14:textId="6FA50265" w:rsidR="00F554A7" w:rsidRDefault="007A75BF">
      <w:r w:rsidRPr="00F92A89">
        <w:t>ESC noted that there was no explicit claim regarding the comparative safety of adding haemoglobinopathies to the NBS programs. However, ESC considered that there were no additional safety issues regarding the test itself, as newborns already undergo a heel prick test, and no additional heel prick would be required. ESC considered the main safety consideration was risk associated with treatments for SCD or β-thalassaemia, such as hydroxyurea (HU), received by newborns diagnosed early by NBS that are over and above those received by babies clinically diagnosed at a later age. HU administration is associated with reduced neutrophil counts, which require regular monitoring, and consequent risk for sepsis or bacteraemia. Other safety considerations included overdiagnosis or false positive test results, but given the type of disease and the accuracy of the tests ESC considered both of these were unlikely. The psychological and social impacts associated with receiving a positive result were also potential safety concerns, however ESC considered given the high penetrance these were not incremental, and with NBS would only be experienced earlier than with diagnosis upon clinical presentation.</w:t>
      </w:r>
    </w:p>
    <w:p w14:paraId="000005DF" w14:textId="77777777" w:rsidR="00F554A7" w:rsidRDefault="007A75BF">
      <w:r>
        <w:t>ESC noted that the direct evidence showed that earlier diagnosis led to earlier commencement of prophylactic treatments significantly reducing mortality for children with SCD. On morbidity, ESC noted direct evidence that NBS for SCD reduced the number of hospitalisations and median days spent in hospital. ESC considered that, in Australia, the age difference between proposed NBS diagnosis and diagnosis made through targeted neonatal testing or symptomatic diagnosis is likely to be smaller than that in the published studies. Therefore, the impact of early diagnosis on population-level mortality would likely be smaller in Australia. ESC considered that, when compared to earlier studies in Jamaica or the United States, the Australian healthcare system was likely to offer health benefits for survival that would largely mitigate the impact of early infection and splenic sequestration on mortality.</w:t>
      </w:r>
    </w:p>
    <w:p w14:paraId="000005E0" w14:textId="179C300C" w:rsidR="00F554A7" w:rsidRDefault="007A75BF">
      <w:r w:rsidRPr="00F92A89">
        <w:t xml:space="preserve">ESC noted indirect or linked evidence on the clinical effectiveness of screening was also presented. On test accuracy, ESC noted the sensitivity and specificity of testing were 100% and &gt;99–100% respectively for SCD and 88.8–98.5% and 98.73–100% respectively for β-thalassaemia, and considered that the test accuracy was high for both conditions. ESC noted that the positive predictive value (PPV) and negative predictive value (NPV) of testing were 100%, </w:t>
      </w:r>
      <w:r w:rsidRPr="00F92A89">
        <w:lastRenderedPageBreak/>
        <w:t xml:space="preserve">however considered this should be interpreted with caution because the PPV was 0% if prevalence is &lt;0.01% (as is the case in Australia) and sensitivity is &lt;100%. In considering the linked evidence for changes in clinical management, ESC noted that earlier access to prophylactic antibiotics, risk-based pneumococcal vaccination and HU treatment did result in improved outcomes for newborns with SCD. However, ESC considered that the clinical utility in Australia may be lower than reported in the literature, because Australia has high uptake of the standard pneumococcal vaccine schedule for the general population-risk individuals as part of the National Immunisation Program. ESC considered that NBS would result in earlier prophylactic antibiotic treatment for babies found to be positive for a haemoglobinopathy and access to additional vaccination administered for high-risk children with SCD, and treatment with HU, which trial data showed significantly improved multiple outcomes. ESC noted that there is no liquid formulation of HU either currently registered or reimbursed in Australia that is required for young children – access is required through the Authorised Prescriber pathway or Special Access Scheme to an imported product. ESC noted that antibiotic prophylaxis reduced infections in children with SCD aged &lt;5 years. According to data from the Australian Haemoglobinopathy Registry, the median age of diagnosis of SCD in children was 8.4 months, indicating that prophylactic antibiotic therapy is likely started within the first year of birth. ESC noted that there was little evidence that reported on treatments for β-thalassemia (one small level IV study provided inconclusive data), but that these patients can receive prophylactic antibiotics and regular transfusions. Treatments recommended for babies with SCD or β-thalassaemia up to 12 months of age were considered because treatments after that age were not likely to be changed by earlier diagnosis via NBS. </w:t>
      </w:r>
    </w:p>
    <w:p w14:paraId="000005E1" w14:textId="087CE9AD" w:rsidR="00F554A7" w:rsidRDefault="007A75BF">
      <w:r>
        <w:t xml:space="preserve">ESC considered that the uncertainty around the incidence of haemoglobinopathies in Australia resulted in considerable uncertainty in the estimated clinical utility and incremental benefit of NBS, as demonstrated by the wide range of estimated numbers of incremental diagnoses. ESC noted that NBS would result in an incremental 5-86 diagnoses per 1,000,000 newborns screened against no NBS (and no targeted testing). However, if 64–99% of all cases are identified by targeted neonatal testing </w:t>
      </w:r>
      <w:r w:rsidR="00D27DA2">
        <w:t>(</w:t>
      </w:r>
      <w:r w:rsidR="00D27DA2">
        <w:fldChar w:fldCharType="begin"/>
      </w:r>
      <w:r w:rsidR="00D27DA2">
        <w:instrText xml:space="preserve"> REF _Ref128997597 \h </w:instrText>
      </w:r>
      <w:r w:rsidR="00D27DA2">
        <w:fldChar w:fldCharType="separate"/>
      </w:r>
      <w:r w:rsidR="006E058E" w:rsidRPr="00F92A89">
        <w:rPr>
          <w:rFonts w:eastAsia="Arial Narrow"/>
        </w:rPr>
        <w:t xml:space="preserve">Table </w:t>
      </w:r>
      <w:r w:rsidR="006E058E">
        <w:rPr>
          <w:noProof/>
        </w:rPr>
        <w:t>12</w:t>
      </w:r>
      <w:r w:rsidR="00D27DA2">
        <w:fldChar w:fldCharType="end"/>
      </w:r>
      <w:r w:rsidR="00D27DA2">
        <w:t>;</w:t>
      </w:r>
      <w:r>
        <w:t xml:space="preserve"> although this may be an overestimate if targeted testing is only done in Western Australia), then the incremental benefit of additional newborns diagnosed by NBS would be between:</w:t>
      </w:r>
    </w:p>
    <w:p w14:paraId="000005E2" w14:textId="77777777" w:rsidR="00F554A7" w:rsidRPr="00F92A89" w:rsidRDefault="007A75BF" w:rsidP="00F92A89">
      <w:pPr>
        <w:pStyle w:val="Bullet"/>
        <w:numPr>
          <w:ilvl w:val="0"/>
          <w:numId w:val="34"/>
        </w:numPr>
        <w:spacing w:before="0"/>
        <w:rPr>
          <w:rFonts w:ascii="Franklin Gothic Book" w:hAnsi="Franklin Gothic Book"/>
        </w:rPr>
      </w:pPr>
      <w:r w:rsidRPr="00F92A89">
        <w:rPr>
          <w:rFonts w:ascii="Franklin Gothic Book" w:hAnsi="Franklin Gothic Book"/>
        </w:rPr>
        <w:t xml:space="preserve">2 to 31 more newborns diagnosed per 1,000,000 newborns screened (worst case scenario of 64% identified by targeted testing) </w:t>
      </w:r>
    </w:p>
    <w:p w14:paraId="000005E3" w14:textId="77777777" w:rsidR="00F554A7" w:rsidRDefault="007A75BF" w:rsidP="00F92A89">
      <w:pPr>
        <w:pStyle w:val="BulletLast"/>
        <w:numPr>
          <w:ilvl w:val="0"/>
          <w:numId w:val="34"/>
        </w:numPr>
      </w:pPr>
      <w:r w:rsidRPr="00F92A89">
        <w:t>0 to 1 more newborn diagnosed per 1,000,000 newborns screened (best case scenario of 99% identified by targeted testing).</w:t>
      </w:r>
    </w:p>
    <w:p w14:paraId="000005E4" w14:textId="77777777" w:rsidR="00F554A7" w:rsidRPr="00F92A89" w:rsidRDefault="007A75BF" w:rsidP="00F92A89">
      <w:pPr>
        <w:pStyle w:val="BulletBeforeDash"/>
        <w:numPr>
          <w:ilvl w:val="0"/>
          <w:numId w:val="0"/>
        </w:numPr>
      </w:pPr>
      <w:r w:rsidRPr="00F92A89">
        <w:t>ESC noted that there were little data (direct or linked) regarding comparative safety or effectiveness for population 2 (cascade testing), but considered that the key benefit of cascade testing was to inform reproductive choices and identify siblings who are pre-symptomatic.</w:t>
      </w:r>
    </w:p>
    <w:p w14:paraId="000005E5" w14:textId="2326BA66" w:rsidR="00F554A7" w:rsidRDefault="007A75BF">
      <w:r w:rsidRPr="00F92A89">
        <w:t>Overall, ESC considered the clinical evidence supported superior effectiveness of NBS for SCD compared to no NBS (late diagnosis), however this was highly dependent on the incidence of SCD and the effectiveness of targeted testing. ESC considered the evidence also supported non-inferior safety of NBS for SCD compared to no NBS. ESC considered there were insufficient data to accurately determine the incremental effectiveness or safety of NBS against targeted testing, of NBS for SCD and β-thalassaemia over NBS for SCD alone, and of cascade testing.</w:t>
      </w:r>
    </w:p>
    <w:p w14:paraId="000005E6" w14:textId="77777777" w:rsidR="00F554A7" w:rsidRDefault="007A75BF">
      <w:r>
        <w:t xml:space="preserve">ESC noted that the economic model used a decision tree analysis incorporating estimates of the incidence of haemoglobinopathies, performance of screening tests and extent of current testing (where appropriate). The DCAR commented that insufficient evidence was available to translate the incremental benefit of a diagnosis into patient-relevant outcomes beyond early diagnosis, therefore conducted a cost-effectiveness analysis (CEA) with effectiveness measured in terms of </w:t>
      </w:r>
      <w:r>
        <w:lastRenderedPageBreak/>
        <w:t>the incremental cost per additional early diagnosis of a clinically significant case. ESC considered cost-utility analyses are preferred as they are in general more informative for MSAC, but considered that a CEA was reasonable for this assessment. ESC noted the base case assumed that universal NBS will not report on carrier status, in line with the Department’s policy position that carrier results should not be reported in NBS.</w:t>
      </w:r>
    </w:p>
    <w:p w14:paraId="000005E7" w14:textId="487F29CF" w:rsidR="00F554A7" w:rsidRPr="00F92A89" w:rsidRDefault="007A75BF" w:rsidP="00F92A89">
      <w:pPr>
        <w:pStyle w:val="NormalBeforeBullet0"/>
      </w:pPr>
      <w:r w:rsidRPr="00F92A89">
        <w:rPr>
          <w:rFonts w:eastAsia="Cardo"/>
        </w:rPr>
        <w:t xml:space="preserve">Overall, ESC considered the uncertainty of the evidence used in the economic model for SCD was high, and the uncertainty of the evidence for β-thalassemia was very high </w:t>
      </w:r>
      <w:r w:rsidR="00D27DA2">
        <w:t>(</w:t>
      </w:r>
      <w:r w:rsidR="00D27DA2">
        <w:fldChar w:fldCharType="begin"/>
      </w:r>
      <w:r w:rsidR="00D27DA2">
        <w:instrText xml:space="preserve"> REF _Ref129793069 \h </w:instrText>
      </w:r>
      <w:r w:rsidR="00D27DA2">
        <w:fldChar w:fldCharType="separate"/>
      </w:r>
      <w:r w:rsidR="006E058E" w:rsidRPr="00F92A89">
        <w:rPr>
          <w:rFonts w:eastAsia="Arial Narrow"/>
        </w:rPr>
        <w:t>Table </w:t>
      </w:r>
      <w:r w:rsidR="006E058E">
        <w:rPr>
          <w:noProof/>
        </w:rPr>
        <w:t>14</w:t>
      </w:r>
      <w:r w:rsidR="00D27DA2">
        <w:fldChar w:fldCharType="end"/>
      </w:r>
      <w:r w:rsidR="00D27DA2">
        <w:t>).</w:t>
      </w:r>
      <w:r w:rsidRPr="00F92A89">
        <w:rPr>
          <w:rFonts w:eastAsia="Cardo"/>
        </w:rPr>
        <w:t xml:space="preserve"> ESC noted that the key areas of uncertainty in the economic evaluation were:</w:t>
      </w:r>
    </w:p>
    <w:p w14:paraId="000005E8" w14:textId="77777777" w:rsidR="00F554A7" w:rsidRPr="00F92A89" w:rsidRDefault="007A75BF" w:rsidP="00F92A89">
      <w:pPr>
        <w:pStyle w:val="Bullet"/>
        <w:numPr>
          <w:ilvl w:val="0"/>
          <w:numId w:val="34"/>
        </w:numPr>
        <w:spacing w:before="0"/>
        <w:rPr>
          <w:rFonts w:ascii="Franklin Gothic Book" w:hAnsi="Franklin Gothic Book"/>
        </w:rPr>
      </w:pPr>
      <w:r w:rsidRPr="00F92A89">
        <w:rPr>
          <w:rFonts w:ascii="Franklin Gothic Book" w:hAnsi="Franklin Gothic Book"/>
        </w:rPr>
        <w:t>Applicability, as ESC considered there was uncertainty about the superiority claim: because missed cases would likely be treated and protected by pneumococcal vaccination anyway, noting newborns with SCD need more doses than those offered through routine vaccination, and targeted neonatal testing already detects most cases, noting only Western Australia has targeted testing (WA representing 11% of Australian births).</w:t>
      </w:r>
    </w:p>
    <w:p w14:paraId="000005E9" w14:textId="77777777" w:rsidR="00F554A7" w:rsidRDefault="007A75BF" w:rsidP="00F92A89">
      <w:pPr>
        <w:pStyle w:val="BulletBeforeDash"/>
      </w:pPr>
      <w:r w:rsidRPr="00F92A89">
        <w:t>Many of the data inputs were of low-quality:</w:t>
      </w:r>
    </w:p>
    <w:p w14:paraId="000005EA" w14:textId="204E9496" w:rsidR="00F554A7" w:rsidRPr="00F92A89" w:rsidRDefault="007A75BF" w:rsidP="00F92A89">
      <w:pPr>
        <w:pStyle w:val="Dash"/>
        <w:numPr>
          <w:ilvl w:val="0"/>
          <w:numId w:val="35"/>
        </w:numPr>
        <w:tabs>
          <w:tab w:val="clear" w:pos="216"/>
          <w:tab w:val="left" w:pos="720"/>
        </w:tabs>
        <w:spacing w:before="0" w:after="0"/>
        <w:ind w:left="720" w:hanging="360"/>
        <w:rPr>
          <w:rFonts w:ascii="Franklin Gothic Book" w:hAnsi="Franklin Gothic Book"/>
        </w:rPr>
      </w:pPr>
      <w:r w:rsidRPr="00F92A89">
        <w:rPr>
          <w:rFonts w:ascii="Franklin Gothic Book" w:hAnsi="Franklin Gothic Book"/>
        </w:rPr>
        <w:t xml:space="preserve">There was a paucity of data for incidence of SCD and β-thalassaemia in Australia. Estimates were largely based on pathology data, expert opinion, or international data. </w:t>
      </w:r>
    </w:p>
    <w:p w14:paraId="000005EB" w14:textId="77777777" w:rsidR="00F554A7" w:rsidRDefault="007A75BF" w:rsidP="00F92A89">
      <w:pPr>
        <w:pStyle w:val="Dash"/>
        <w:numPr>
          <w:ilvl w:val="0"/>
          <w:numId w:val="35"/>
        </w:numPr>
        <w:tabs>
          <w:tab w:val="clear" w:pos="216"/>
          <w:tab w:val="left" w:pos="720"/>
        </w:tabs>
        <w:spacing w:before="0" w:after="0"/>
        <w:ind w:left="720" w:hanging="360"/>
      </w:pPr>
      <w:r w:rsidRPr="00F92A89">
        <w:rPr>
          <w:rFonts w:ascii="Franklin Gothic Book" w:hAnsi="Franklin Gothic Book"/>
        </w:rPr>
        <w:t xml:space="preserve">The choice of tier 1 testing methodology was the main driver of the cost-effectiveness, as costs ranged from $10 to $96, and all newborns screened receive the tier 1 test. </w:t>
      </w:r>
    </w:p>
    <w:p w14:paraId="000005EC" w14:textId="77777777" w:rsidR="00F554A7" w:rsidRDefault="007A75BF" w:rsidP="00F92A89">
      <w:pPr>
        <w:pStyle w:val="DashLastSpace"/>
        <w:numPr>
          <w:ilvl w:val="0"/>
          <w:numId w:val="35"/>
        </w:numPr>
        <w:tabs>
          <w:tab w:val="clear" w:pos="216"/>
        </w:tabs>
        <w:ind w:left="720" w:hanging="360"/>
      </w:pPr>
      <w:r w:rsidRPr="00F92A89">
        <w:t>The PPV heavily depended on the estimates of incidence, which were highly uncertain.</w:t>
      </w:r>
    </w:p>
    <w:p w14:paraId="000005ED" w14:textId="77777777" w:rsidR="00F554A7" w:rsidRPr="00F92A89" w:rsidRDefault="007A75BF" w:rsidP="00F92A89">
      <w:pPr>
        <w:pStyle w:val="NormalBeforeBullet0"/>
      </w:pPr>
      <w:r w:rsidRPr="00F92A89">
        <w:t>ESC noted the most recent Australian estimates of incidence were 10 years old, and considered the incidence in Australia may be increasing over time, with demographic change due to migration from countries that have a higher incidence of SCD (Africa) and haemoglobinopathies (Middle East and Asia). ESC considered that an alternate estimate of current Australian incidence constructed using demographic data from the most recent census data would require further assumptions around nationality and ancestry and only add to the uncertainty.</w:t>
      </w:r>
    </w:p>
    <w:p w14:paraId="000005EE" w14:textId="77777777" w:rsidR="00F554A7" w:rsidRPr="00F92A89" w:rsidRDefault="007A75BF" w:rsidP="00F92A89">
      <w:pPr>
        <w:pStyle w:val="NormalBeforeBullet0"/>
      </w:pPr>
      <w:r w:rsidRPr="00F92A89">
        <w:t>Given the cost of the tier 1 test was the main driver of cost-effectiveness and the applicant had commented that there were ‘much cheaper test options’ in other parts of the world, ESC contemplated whether more competitive quotes would improve the ICER, but considered $10 was already relatively low cost and the cost in Australia was unlikely to be lower than this.</w:t>
      </w:r>
    </w:p>
    <w:p w14:paraId="000005EF" w14:textId="77777777" w:rsidR="00F554A7" w:rsidRPr="00F92A89" w:rsidRDefault="007A75BF" w:rsidP="00F92A89">
      <w:pPr>
        <w:pStyle w:val="NormalBeforeBullet0"/>
      </w:pPr>
      <w:r w:rsidRPr="00F92A89">
        <w:t xml:space="preserve">ESC noted the incremental benefit was small, and considered this was mainly because the population of affected newborns is small while the population of tested newborns is large. </w:t>
      </w:r>
    </w:p>
    <w:p w14:paraId="000005F0" w14:textId="5EB635F9" w:rsidR="00F554A7" w:rsidRDefault="007A75BF">
      <w:r w:rsidRPr="00F92A89">
        <w:t xml:space="preserve">ESC noted that ICERs were presented for comparisons against the primary and secondary comparator, screening for SCD or SCD and β-thalassaemia, and considered that the cost-effectiveness differed substantially across these scenarios and also depended on the method used for tier 1 screening. ESC noted the reported ICERs in terms of incremental cost per incremental early diagnosis were, for SCD $141,000 (against no NBS) and $13.8 million (against targeted neonatal testing), and for SCD and β-thalassaemia $51,000 (against no NBS) and $5 million (against targeted neonatal testing) </w:t>
      </w:r>
      <w:r w:rsidR="00D27DA2">
        <w:t>(</w:t>
      </w:r>
      <w:r w:rsidR="00D27DA2">
        <w:fldChar w:fldCharType="begin"/>
      </w:r>
      <w:r w:rsidR="00D27DA2">
        <w:instrText xml:space="preserve"> REF _Ref69725876 \h  \* MERGEFORMAT </w:instrText>
      </w:r>
      <w:r w:rsidR="00D27DA2">
        <w:fldChar w:fldCharType="separate"/>
      </w:r>
      <w:r w:rsidR="006E058E" w:rsidRPr="006E058E">
        <w:t>Table </w:t>
      </w:r>
      <w:r w:rsidR="006E058E">
        <w:t>15</w:t>
      </w:r>
      <w:r w:rsidR="00D27DA2">
        <w:fldChar w:fldCharType="end"/>
      </w:r>
      <w:r w:rsidR="00D27DA2">
        <w:t>).</w:t>
      </w:r>
      <w:r w:rsidRPr="00F92A89">
        <w:t xml:space="preserve"> ESC considered that comparisons against the primary comparator were more cost-effective, and that while on face value adding β-thalassaemia improved the cost-effectiveness, introducing data for β-thalassaemia increased the uncertainty of the ICERs. ESC’s interrogation of the model for SCD only (given the very high uncertainty when β-thalassaemia was added) showed that when more costly tier 1 screening methods were used the ICERs increased substantially (to $1.4 million against no NBS and to $133 million against targeted neonatal testing), and that using alternative estimates of incidence also substantially increased the ICERs (to $4.4 million against no NBS and $431 million against targeted neonatal testing). ESC considered the substantial increase to ICERs in these sensitivity analyses highlighted that there was substantial uncertainty in the model.</w:t>
      </w:r>
    </w:p>
    <w:p w14:paraId="000005F1" w14:textId="77777777" w:rsidR="00F554A7" w:rsidRDefault="007A75BF">
      <w:r>
        <w:t xml:space="preserve">In contextualising these ICERs ESC noted that previous economic analyses for Australian NBS had been published in some cases, but that these had not been considered by MSAC. ESC </w:t>
      </w:r>
      <w:r>
        <w:lastRenderedPageBreak/>
        <w:t xml:space="preserve">considered that NBS was a new area of screening for MSAC to assess, and that while MSAC had previously considered the cost-effectiveness for genetic testing in terms of cost per proband or similar measures, the willingness to pay (WTP) threshold may differ for NBS compared to non-screening testing of affected individuals. </w:t>
      </w:r>
    </w:p>
    <w:p w14:paraId="000005F2" w14:textId="77777777" w:rsidR="00F554A7" w:rsidRDefault="007A75BF">
      <w:r>
        <w:t>ESC considered the model’s 1-year time horizon was appropriate, as it reflected the timeframe within which affected babies would be identified and interventions initiated, in both a world with NBS and without it. ESC considered that using the shorter time horizon had made the model more robust, however also meant the model may not have fully captured the longer-term benefits of NBS (potentially including reduced mortality), and may also have underestimated the longer-term incremental costs (such as increased long-term monitoring costs) and cost-offsets. However, ESC considered that extending the time horizon would only increase uncertainty due to the low-quality inputs. ESC considered that because NBS conditions are typically rare conditions, low incidence and low quality and uncertain inputs were likely to be a recurring issue for future assessments, which may make striking the appropriate balance between time horizon and level of robustness a recurring complexity in economic modelling of NBS.</w:t>
      </w:r>
    </w:p>
    <w:p w14:paraId="000005F3" w14:textId="665FB077" w:rsidR="00F554A7" w:rsidRDefault="007A75BF">
      <w:r>
        <w:t xml:space="preserve">ESC noted that utilisation was estimated using an epidemiological approach that assumed approximately 310,000 to 315,000 babies born each year, with an NBS uptake of &gt;98% based on current uptake, which ESC considered was reasonable. ESC noted the financial cost was $3.2 million per year, assuming the tier 1 test method was MALDI-TOF (approximately $10 per test). ESC considered that using a more costly tier 1 method substantially increased the financial cost, for example if HPLC was used instead (approximately $96 per test) then the financial impact increased to $30 million per year </w:t>
      </w:r>
      <w:r w:rsidR="00D27DA2">
        <w:t>(</w:t>
      </w:r>
      <w:r w:rsidR="00D27DA2">
        <w:fldChar w:fldCharType="begin"/>
      </w:r>
      <w:r w:rsidR="00D27DA2">
        <w:instrText xml:space="preserve"> REF _Ref129722149 \h </w:instrText>
      </w:r>
      <w:r w:rsidR="00D27DA2">
        <w:fldChar w:fldCharType="separate"/>
      </w:r>
      <w:r w:rsidR="006E058E" w:rsidRPr="00F92A89">
        <w:rPr>
          <w:rFonts w:eastAsia="Arial Narrow"/>
        </w:rPr>
        <w:t>Table </w:t>
      </w:r>
      <w:r w:rsidR="006E058E">
        <w:rPr>
          <w:noProof/>
        </w:rPr>
        <w:t>22</w:t>
      </w:r>
      <w:r w:rsidR="00D27DA2">
        <w:fldChar w:fldCharType="end"/>
      </w:r>
      <w:r w:rsidR="00D27DA2">
        <w:t>).</w:t>
      </w:r>
    </w:p>
    <w:p w14:paraId="000005F4" w14:textId="77777777" w:rsidR="00F554A7" w:rsidRDefault="007A75BF">
      <w:r>
        <w:t>ESC also speculated on developments that may be relevant to NBS for haemoglobinopathies in the future. ESC commented that if expanded reproductive carrier testing (as proposed in MSAC application 1637</w:t>
      </w:r>
      <w:r w:rsidRPr="00F92A89">
        <w:rPr>
          <w:rStyle w:val="FootnoteReference"/>
        </w:rPr>
        <w:footnoteReference w:id="19"/>
      </w:r>
      <w:r>
        <w:t xml:space="preserve">) were implemented in Australia, then this would screen for conditions including haemoglobinopathies, which may result in their incidence decreasing over time. ESC also commented that if or when genomic newborn screening is introduced this would be a substantial shift, and may improve the cost-effectiveness of NBS. ESC commented that gene therapies such as CRISPR-based treatment are emerging, and Australian patients may be able to access these through the Medical Treatment Overseas Program. </w:t>
      </w:r>
    </w:p>
    <w:p w14:paraId="000005F5" w14:textId="77777777" w:rsidR="00F554A7" w:rsidRDefault="007A75BF">
      <w:r>
        <w:t>Lastly, ESC commented that at present HU is not a Therapeutic Goods Administration (TGA)-registered therapy for SCD in Australia, but if SCD were to be included in NBS then this could motivate registration of HU.</w:t>
      </w:r>
    </w:p>
    <w:p w14:paraId="000005F6" w14:textId="77777777" w:rsidR="00F554A7" w:rsidRDefault="007A75BF" w:rsidP="001E7563">
      <w:pPr>
        <w:pStyle w:val="Heading2"/>
        <w:numPr>
          <w:ilvl w:val="0"/>
          <w:numId w:val="0"/>
        </w:numPr>
      </w:pPr>
      <w:r>
        <w:t>17.</w:t>
      </w:r>
      <w:r>
        <w:tab/>
        <w:t>Applicant comments on MSAC’s Public Summary Document</w:t>
      </w:r>
    </w:p>
    <w:p w14:paraId="14956FD1" w14:textId="08352F2F" w:rsidR="00D73A0A" w:rsidRPr="00D73A0A" w:rsidRDefault="00D73A0A" w:rsidP="00D73A0A">
      <w:r w:rsidRPr="00D73A0A">
        <w:t>There is evidence that universal screening for SCD has significantly improved outcomes even in the countries comparable to Australian standards although the prevalence of the disease may not be the same. The average age of diagnosis of SCD in Australia is currently beyond the recommended age for initiation of interventions.</w:t>
      </w:r>
    </w:p>
    <w:p w14:paraId="43EF5B79" w14:textId="77777777" w:rsidR="00D73A0A" w:rsidRPr="00D73A0A" w:rsidRDefault="00D73A0A" w:rsidP="00D73A0A">
      <w:r w:rsidRPr="00D73A0A">
        <w:t xml:space="preserve">SCD prevalence was found to be higher than all of the conditions being screened on NBS programs in France, Italy, and Germany in pilot studies. Sweden and Ireland both have a smaller sickle cell populations than Australia, and yet they have NBS for SCD. Historically this condition occurs in people who originate from Sub-Saharan Africa; with immigration this pattern is </w:t>
      </w:r>
      <w:r w:rsidRPr="00D73A0A">
        <w:lastRenderedPageBreak/>
        <w:t>changing and the number of SCD cases is steadily growing. Although the current prevalence of SCD in Australia is unknown or presumed low, the current data available are inaccurate as not all centres contribute to the haemoglobinopathy registry.</w:t>
      </w:r>
    </w:p>
    <w:p w14:paraId="000005F8" w14:textId="77777777" w:rsidR="00F554A7" w:rsidRDefault="007A75BF" w:rsidP="001E7563">
      <w:pPr>
        <w:pStyle w:val="Heading2"/>
        <w:numPr>
          <w:ilvl w:val="0"/>
          <w:numId w:val="0"/>
        </w:numPr>
      </w:pPr>
      <w:r>
        <w:t>18.</w:t>
      </w:r>
      <w:r>
        <w:tab/>
        <w:t>Further information on MSAC</w:t>
      </w:r>
    </w:p>
    <w:p w14:paraId="000005F9" w14:textId="0C55FDAE" w:rsidR="00F554A7" w:rsidRPr="00F92A89" w:rsidRDefault="007A75BF" w:rsidP="00F92A89">
      <w:pPr>
        <w:pStyle w:val="BodyText"/>
        <w:rPr>
          <w:rFonts w:ascii="Franklin Gothic Book" w:hAnsi="Franklin Gothic Book"/>
          <w:b/>
          <w:i/>
        </w:rPr>
      </w:pPr>
      <w:r w:rsidRPr="00F92A89">
        <w:rPr>
          <w:rFonts w:ascii="Franklin Gothic Book" w:hAnsi="Franklin Gothic Book"/>
          <w:sz w:val="22"/>
        </w:rPr>
        <w:t xml:space="preserve">MSAC Terms of Reference and other information are available on the MSAC Website: </w:t>
      </w:r>
      <w:hyperlink r:id="rId19" w:tooltip="Link to the MSAC website" w:history="1">
        <w:r w:rsidR="00BF1809" w:rsidRPr="00F309FA">
          <w:rPr>
            <w:rStyle w:val="Hyperlink"/>
            <w:rFonts w:ascii="Franklin Gothic Book" w:hAnsi="Franklin Gothic Book"/>
            <w:bCs/>
            <w:iCs/>
            <w:sz w:val="22"/>
          </w:rPr>
          <w:t>visit the MSAC website</w:t>
        </w:r>
      </w:hyperlink>
    </w:p>
    <w:sectPr w:rsidR="00F554A7" w:rsidRPr="00F92A89" w:rsidSect="00F92A89">
      <w:headerReference w:type="even" r:id="rId20"/>
      <w:headerReference w:type="default" r:id="rId21"/>
      <w:type w:val="oddPag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CAFE9" w14:textId="77777777" w:rsidR="005A59A4" w:rsidRDefault="005A59A4" w:rsidP="001E7563">
      <w:pPr>
        <w:spacing w:after="0" w:line="240" w:lineRule="auto"/>
      </w:pPr>
      <w:r>
        <w:separator/>
      </w:r>
    </w:p>
  </w:endnote>
  <w:endnote w:type="continuationSeparator" w:id="0">
    <w:p w14:paraId="7B59C166" w14:textId="77777777" w:rsidR="005A59A4" w:rsidRDefault="005A59A4" w:rsidP="001E7563">
      <w:pPr>
        <w:spacing w:after="0" w:line="240" w:lineRule="auto"/>
      </w:pPr>
      <w:r>
        <w:continuationSeparator/>
      </w:r>
    </w:p>
  </w:endnote>
  <w:endnote w:type="continuationNotice" w:id="1">
    <w:p w14:paraId="44EC0F58" w14:textId="77777777" w:rsidR="005A59A4" w:rsidRDefault="005A59A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ibre Franklin">
    <w:altName w:val="Libre Franklin"/>
    <w:charset w:val="00"/>
    <w:family w:val="auto"/>
    <w:pitch w:val="variable"/>
    <w:sig w:usb0="A00000FF" w:usb1="4000205B" w:usb2="00000000" w:usb3="00000000" w:csb0="00000193" w:csb1="00000000"/>
  </w:font>
  <w:font w:name="Franklin Gothic Medium">
    <w:panose1 w:val="020B06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ill Sans">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Bahnschrift SemiLight">
    <w:panose1 w:val="020B0502040204020203"/>
    <w:charset w:val="00"/>
    <w:family w:val="swiss"/>
    <w:pitch w:val="variable"/>
    <w:sig w:usb0="A00002C7" w:usb1="00000002"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Cardo">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60F" w14:textId="46A8E43D" w:rsidR="00F554A7" w:rsidRPr="001E7563" w:rsidRDefault="00D80A45" w:rsidP="001E7563">
    <w:pPr>
      <w:pStyle w:val="Footer"/>
      <w:jc w:val="right"/>
    </w:pPr>
    <w:r>
      <w:fldChar w:fldCharType="begin"/>
    </w:r>
    <w:r>
      <w:instrText xml:space="preserve"> PAGE   \* MERGEFORMAT </w:instrText>
    </w:r>
    <w:r>
      <w:fldChar w:fldCharType="separate"/>
    </w:r>
    <w:r w:rsidR="00C01F1A">
      <w:rPr>
        <w:noProof/>
      </w:rPr>
      <w:t>20</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9333875"/>
      <w:docPartObj>
        <w:docPartGallery w:val="Page Numbers (Bottom of Page)"/>
        <w:docPartUnique/>
      </w:docPartObj>
    </w:sdtPr>
    <w:sdtEndPr>
      <w:rPr>
        <w:noProof/>
      </w:rPr>
    </w:sdtEndPr>
    <w:sdtContent>
      <w:p w14:paraId="4E780C14" w14:textId="5ECA714D" w:rsidR="007A75BF" w:rsidRDefault="00B64038" w:rsidP="00645C22">
        <w:pPr>
          <w:pStyle w:val="Footer"/>
          <w:jc w:val="right"/>
          <w:rPr>
            <w:rFonts w:ascii="Libre Franklin" w:hAnsi="Libre Franklin"/>
            <w:color w:val="000000"/>
          </w:rPr>
        </w:pPr>
        <w:r>
          <w:fldChar w:fldCharType="begin"/>
        </w:r>
        <w:r>
          <w:instrText xml:space="preserve"> PAGE   \* MERGEFORMAT </w:instrText>
        </w:r>
        <w:r>
          <w:fldChar w:fldCharType="separate"/>
        </w:r>
        <w:r w:rsidR="00C01F1A">
          <w:rPr>
            <w:noProof/>
          </w:rPr>
          <w:t>19</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18DAB" w14:textId="77777777" w:rsidR="002B1CA5" w:rsidRDefault="002B1C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9A698" w14:textId="77777777" w:rsidR="005A59A4" w:rsidRDefault="005A59A4" w:rsidP="001E7563">
      <w:pPr>
        <w:spacing w:after="0" w:line="240" w:lineRule="auto"/>
      </w:pPr>
      <w:r>
        <w:separator/>
      </w:r>
    </w:p>
  </w:footnote>
  <w:footnote w:type="continuationSeparator" w:id="0">
    <w:p w14:paraId="0EF04DD3" w14:textId="77777777" w:rsidR="005A59A4" w:rsidRDefault="005A59A4" w:rsidP="001E7563">
      <w:pPr>
        <w:spacing w:after="0" w:line="240" w:lineRule="auto"/>
      </w:pPr>
      <w:r>
        <w:continuationSeparator/>
      </w:r>
    </w:p>
  </w:footnote>
  <w:footnote w:type="continuationNotice" w:id="1">
    <w:p w14:paraId="251F1FB0" w14:textId="77777777" w:rsidR="005A59A4" w:rsidRDefault="005A59A4">
      <w:pPr>
        <w:spacing w:before="0" w:after="0" w:line="240" w:lineRule="auto"/>
      </w:pPr>
    </w:p>
  </w:footnote>
  <w:footnote w:id="2">
    <w:p w14:paraId="000005FA" w14:textId="2C23847B" w:rsidR="00F554A7" w:rsidRPr="001E7563" w:rsidRDefault="007A75BF" w:rsidP="001E7563">
      <w:pPr>
        <w:pStyle w:val="FootnoteText"/>
      </w:pPr>
      <w:r>
        <w:rPr>
          <w:rStyle w:val="FootnoteReference"/>
        </w:rPr>
        <w:footnoteRef/>
      </w:r>
      <w:r w:rsidRPr="001E7563">
        <w:t xml:space="preserve"> MSAC application 1710 - Newborn bloodspot screening for X-linked adrenoleukodystrophy. Available at: </w:t>
      </w:r>
      <w:hyperlink r:id="rId1" w:history="1">
        <w:r w:rsidR="004328CD" w:rsidRPr="00E365BE">
          <w:rPr>
            <w:rStyle w:val="Hyperlink"/>
          </w:rPr>
          <w:t>http://www.msac.gov.au/internet/msac/publishing.nsf/Content/1710-public</w:t>
        </w:r>
      </w:hyperlink>
      <w:r w:rsidR="004328CD">
        <w:t xml:space="preserve"> </w:t>
      </w:r>
    </w:p>
  </w:footnote>
  <w:footnote w:id="3">
    <w:p w14:paraId="000005FB" w14:textId="699E1DCD" w:rsidR="00F554A7" w:rsidRPr="001E7563" w:rsidRDefault="007A75BF" w:rsidP="001E7563">
      <w:pPr>
        <w:pStyle w:val="FootnoteText"/>
      </w:pPr>
      <w:r>
        <w:rPr>
          <w:rStyle w:val="FootnoteReference"/>
        </w:rPr>
        <w:footnoteRef/>
      </w:r>
      <w:r w:rsidRPr="001E7563">
        <w:t xml:space="preserve"> Newborn Bloodspot Screening National Policy Framework (NBS NPF), Department of Health, 2018. Available at: </w:t>
      </w:r>
      <w:hyperlink r:id="rId2" w:history="1">
        <w:r w:rsidR="00333817">
          <w:rPr>
            <w:rStyle w:val="Hyperlink"/>
          </w:rPr>
          <w:t>https://www.health.gov.au/resources/publications/newborn-bloodspot-screening-national-policy-framework?language=en</w:t>
        </w:r>
      </w:hyperlink>
    </w:p>
  </w:footnote>
  <w:footnote w:id="4">
    <w:p w14:paraId="000005FC" w14:textId="77777777" w:rsidR="00F554A7" w:rsidRPr="001E7563" w:rsidRDefault="007A75BF" w:rsidP="001E7563">
      <w:pPr>
        <w:pStyle w:val="FootnoteText"/>
      </w:pPr>
      <w:r>
        <w:rPr>
          <w:rStyle w:val="FootnoteReference"/>
        </w:rPr>
        <w:footnoteRef/>
      </w:r>
      <w:r w:rsidRPr="001E7563">
        <w:t xml:space="preserve"> Piel FB et al. (2023) Defining global strategies to improve outcomes in sickle cell disease: a Lancet Haematology Commission. </w:t>
      </w:r>
      <w:r w:rsidRPr="001E7563">
        <w:rPr>
          <w:i/>
        </w:rPr>
        <w:t>The Lancet Haematology</w:t>
      </w:r>
      <w:r w:rsidRPr="001E7563">
        <w:t>, 10(8): e633 - e686.</w:t>
      </w:r>
    </w:p>
  </w:footnote>
  <w:footnote w:id="5">
    <w:p w14:paraId="000005FD" w14:textId="77777777" w:rsidR="00F554A7" w:rsidRPr="00F92A89" w:rsidRDefault="007A75BF" w:rsidP="001E7563">
      <w:pPr>
        <w:pStyle w:val="FootnoteText"/>
      </w:pPr>
      <w:r>
        <w:rPr>
          <w:rStyle w:val="FootnoteReference"/>
        </w:rPr>
        <w:footnoteRef/>
      </w:r>
      <w:r w:rsidRPr="00F92A89">
        <w:t xml:space="preserve"> Data contained in report “Beyond the crystal ball: the epidemiology of some genetic conditions in Victoria 2002” by Public Health Group, Rural and Regional Health and Aged Care Services Division, Victorian Government Department of Human Services</w:t>
      </w:r>
    </w:p>
  </w:footnote>
  <w:footnote w:id="6">
    <w:p w14:paraId="000005FE" w14:textId="77777777" w:rsidR="00F554A7" w:rsidRPr="00F92A89" w:rsidRDefault="007A75BF" w:rsidP="001E7563">
      <w:pPr>
        <w:pStyle w:val="FootnoteText"/>
      </w:pPr>
      <w:r>
        <w:rPr>
          <w:rStyle w:val="FootnoteReference"/>
        </w:rPr>
        <w:footnoteRef/>
      </w:r>
      <w:r w:rsidRPr="00F92A89">
        <w:t xml:space="preserve"> Chou, ST, et a. </w:t>
      </w:r>
      <w:r w:rsidRPr="00F92A89">
        <w:rPr>
          <w:i/>
        </w:rPr>
        <w:t>Blood Adv</w:t>
      </w:r>
      <w:r w:rsidRPr="00F92A89">
        <w:t xml:space="preserve"> (2020), 'American Society of Hematology 2020 guidelines for sickle cell disease: transfusion support', vol. 4, no. 2, pp. 327-355.</w:t>
      </w:r>
    </w:p>
  </w:footnote>
  <w:footnote w:id="7">
    <w:p w14:paraId="000005FF" w14:textId="2B226235" w:rsidR="00F554A7" w:rsidRDefault="00F554A7">
      <w:pPr>
        <w:pBdr>
          <w:top w:val="nil"/>
          <w:left w:val="nil"/>
          <w:bottom w:val="nil"/>
          <w:right w:val="nil"/>
          <w:between w:val="nil"/>
        </w:pBdr>
        <w:spacing w:after="0" w:line="240" w:lineRule="auto"/>
        <w:rPr>
          <w:rFonts w:ascii="Calibri" w:eastAsia="Calibri" w:hAnsi="Calibri" w:cs="Calibri"/>
          <w:color w:val="000000"/>
          <w:sz w:val="18"/>
          <w:szCs w:val="18"/>
        </w:rPr>
      </w:pPr>
    </w:p>
  </w:footnote>
  <w:footnote w:id="8">
    <w:p w14:paraId="00000600" w14:textId="1E607034" w:rsidR="00F554A7" w:rsidRPr="00F92A89" w:rsidRDefault="007A75BF" w:rsidP="00F92A89">
      <w:pPr>
        <w:pStyle w:val="FootnoteText"/>
      </w:pPr>
      <w:r>
        <w:rPr>
          <w:rStyle w:val="FootnoteReference"/>
        </w:rPr>
        <w:footnoteRef/>
      </w:r>
      <w:r w:rsidR="008277D8">
        <w:t xml:space="preserve"> National Immunisation Schedule: </w:t>
      </w:r>
      <w:hyperlink r:id="rId3" w:history="1">
        <w:r w:rsidR="008277D8" w:rsidRPr="004508B0">
          <w:rPr>
            <w:rStyle w:val="Hyperlink"/>
          </w:rPr>
          <w:t>https://www.health.gov.au/sites/default/files/2023-03/national-immunisation-program-schedule.pdf</w:t>
        </w:r>
      </w:hyperlink>
      <w:r w:rsidR="008277D8">
        <w:rPr>
          <w:rStyle w:val="Hyperlink"/>
        </w:rPr>
        <w:t xml:space="preserve"> </w:t>
      </w:r>
    </w:p>
  </w:footnote>
  <w:footnote w:id="9">
    <w:p w14:paraId="00000601" w14:textId="77777777" w:rsidR="00F554A7" w:rsidRPr="00F92A89" w:rsidRDefault="007A75BF" w:rsidP="00F92A89">
      <w:pPr>
        <w:pStyle w:val="FootnoteText"/>
      </w:pPr>
      <w:r>
        <w:rPr>
          <w:rStyle w:val="FootnoteReference"/>
        </w:rPr>
        <w:footnoteRef/>
      </w:r>
      <w:r w:rsidRPr="00F92A89">
        <w:t xml:space="preserve"> https://www.inspq.qc.ca/pdf/publications/1171_AnemieFalciforme.pdf</w:t>
      </w:r>
    </w:p>
  </w:footnote>
  <w:footnote w:id="10">
    <w:p w14:paraId="00000602" w14:textId="75746407" w:rsidR="00F554A7" w:rsidRPr="00F92A89" w:rsidRDefault="007A75BF" w:rsidP="00F92A89">
      <w:pPr>
        <w:pStyle w:val="FootnoteText"/>
      </w:pPr>
      <w:r w:rsidRPr="00AB7A2F">
        <w:rPr>
          <w:rStyle w:val="TablenotesChar0"/>
          <w:rFonts w:asciiTheme="minorHAnsi" w:hAnsiTheme="minorHAnsi"/>
          <w:vertAlign w:val="superscript"/>
        </w:rPr>
        <w:footnoteRef/>
      </w:r>
      <w:r w:rsidRPr="00F92A89">
        <w:rPr>
          <w:rStyle w:val="TablenotesChar0"/>
          <w:rFonts w:asciiTheme="minorHAnsi" w:hAnsiTheme="minorHAnsi"/>
        </w:rPr>
        <w:t xml:space="preserve"> The risk of penicillin-induced anaphylaxis (type 1 hypersensitivity) in the general population is reported as 0.02% to 0.04% of recipients. </w:t>
      </w:r>
      <w:r w:rsidR="008277D8" w:rsidRPr="00396F9C">
        <w:rPr>
          <w:rStyle w:val="TablenotesChar0"/>
          <w:rFonts w:cstheme="minorHAnsi"/>
        </w:rPr>
        <w:t>Source:</w:t>
      </w:r>
      <w:r w:rsidR="008277D8" w:rsidRPr="003E1C38">
        <w:rPr>
          <w:rStyle w:val="Hyperlink"/>
          <w:rFonts w:cstheme="minorHAnsi"/>
        </w:rPr>
        <w:t xml:space="preserve"> </w:t>
      </w:r>
      <w:hyperlink r:id="rId4" w:anchor=":~:text=The%20incidence%20of%20anaphylaxis%20to,IgE%20antibodies%20decrease%20over%20time" w:history="1">
        <w:r w:rsidR="008277D8" w:rsidRPr="003E1C38">
          <w:rPr>
            <w:rStyle w:val="Hyperlink"/>
            <w:rFonts w:cstheme="minorHAnsi"/>
          </w:rPr>
          <w:t>https://www.ncbi.nlm.nih.gov/books/NBK459320/#:~:text=Th</w:t>
        </w:r>
        <w:r w:rsidR="008277D8" w:rsidRPr="00BC7BEA">
          <w:rPr>
            <w:rStyle w:val="Hyperlink"/>
            <w:rFonts w:cstheme="minorHAnsi"/>
          </w:rPr>
          <w:t>e%20incidence%20of%20</w:t>
        </w:r>
        <w:r w:rsidR="008277D8" w:rsidRPr="00BC7BEA">
          <w:rPr>
            <w:rStyle w:val="Hyperlink"/>
            <w:rFonts w:cstheme="minorHAnsi"/>
          </w:rPr>
          <w:br/>
        </w:r>
        <w:r w:rsidR="008277D8" w:rsidRPr="007F66A5">
          <w:rPr>
            <w:rStyle w:val="Hyperlink"/>
            <w:rFonts w:cstheme="minorHAnsi"/>
          </w:rPr>
          <w:t>anaphylaxis%20to,IgE%20antibodies%20decrease%20over%20time</w:t>
        </w:r>
      </w:hyperlink>
      <w:r w:rsidRPr="00F92A89">
        <w:rPr>
          <w:rStyle w:val="Hyperlink"/>
        </w:rPr>
        <w:t xml:space="preserve"> </w:t>
      </w:r>
    </w:p>
  </w:footnote>
  <w:footnote w:id="11">
    <w:p w14:paraId="00000603" w14:textId="77777777" w:rsidR="00F554A7" w:rsidRPr="00F92A89" w:rsidRDefault="007A75BF" w:rsidP="00F92A89">
      <w:pPr>
        <w:pStyle w:val="FootnoteText"/>
      </w:pPr>
      <w:r>
        <w:rPr>
          <w:rStyle w:val="FootnoteReference"/>
        </w:rPr>
        <w:footnoteRef/>
      </w:r>
      <w:r w:rsidRPr="00F92A89">
        <w:t xml:space="preserve"> King, L, et al. </w:t>
      </w:r>
      <w:r w:rsidRPr="00F92A89">
        <w:rPr>
          <w:i/>
        </w:rPr>
        <w:t>J Med Screen</w:t>
      </w:r>
      <w:r w:rsidRPr="00F92A89">
        <w:t xml:space="preserve"> (2007), 'Newborn sickle cell disease screening: The Jamaican experience (1995-2006)', , vol. 14, 02/01, pp. 117-122.</w:t>
      </w:r>
    </w:p>
  </w:footnote>
  <w:footnote w:id="12">
    <w:p w14:paraId="00000604" w14:textId="77777777" w:rsidR="00F554A7" w:rsidRPr="00F92A89" w:rsidRDefault="007A75BF" w:rsidP="00F92A89">
      <w:pPr>
        <w:pStyle w:val="FootnoteText"/>
      </w:pPr>
      <w:r>
        <w:rPr>
          <w:rStyle w:val="FootnoteReference"/>
        </w:rPr>
        <w:footnoteRef/>
      </w:r>
      <w:r w:rsidRPr="00F92A89">
        <w:t xml:space="preserve"> Le, PQ, et al., </w:t>
      </w:r>
      <w:r w:rsidRPr="00F92A89">
        <w:rPr>
          <w:i/>
        </w:rPr>
        <w:t>J Med Screen</w:t>
      </w:r>
      <w:r w:rsidRPr="00F92A89">
        <w:t xml:space="preserve"> (2018), 'Neonatal screening improves sickle cell disease clinical outcome in Belgium', , vol. 25(2), 01 Jun, pp. 57-63.</w:t>
      </w:r>
    </w:p>
  </w:footnote>
  <w:footnote w:id="13">
    <w:p w14:paraId="00000605" w14:textId="331D1015" w:rsidR="00F554A7" w:rsidRPr="00F92A89" w:rsidRDefault="007A75BF" w:rsidP="002A1FA1">
      <w:pPr>
        <w:pBdr>
          <w:top w:val="nil"/>
          <w:left w:val="nil"/>
          <w:bottom w:val="nil"/>
          <w:right w:val="nil"/>
          <w:between w:val="nil"/>
        </w:pBdr>
        <w:spacing w:after="0" w:line="240" w:lineRule="auto"/>
        <w:rPr>
          <w:rFonts w:asciiTheme="minorHAnsi" w:eastAsia="Calibri" w:hAnsiTheme="minorHAnsi" w:cstheme="minorHAnsi"/>
          <w:color w:val="000000"/>
          <w:sz w:val="14"/>
          <w:szCs w:val="14"/>
        </w:rPr>
      </w:pPr>
      <w:r w:rsidRPr="00F92A89">
        <w:rPr>
          <w:rStyle w:val="FootnoteReference"/>
          <w:rFonts w:asciiTheme="minorHAnsi" w:hAnsiTheme="minorHAnsi" w:cstheme="minorHAnsi"/>
          <w:sz w:val="18"/>
          <w:szCs w:val="18"/>
        </w:rPr>
        <w:footnoteRef/>
      </w:r>
      <w:r w:rsidRPr="00F92A89">
        <w:rPr>
          <w:rFonts w:asciiTheme="minorHAnsi" w:hAnsiTheme="minorHAnsi" w:cstheme="minorHAnsi"/>
          <w:sz w:val="18"/>
          <w:szCs w:val="16"/>
        </w:rPr>
        <w:t xml:space="preserve"> As a comparison, the Australian National Immunisation Program schedule for children recommends the conjugate pneumococcal vaccine Prevenar 13 at 2, 4, and 12 months of age. Children with SCD would be eligible for an additional dose of Prevenar 13 at 6 months of age. Children with SCD would be also eligible for an additional dose of the polysaccharide-based vaccine Pneumovax 23 at 4 years of age. Source</w:t>
      </w:r>
      <w:r w:rsidRPr="00F92A89">
        <w:rPr>
          <w:rFonts w:asciiTheme="minorHAnsi" w:eastAsia="Calibri" w:hAnsiTheme="minorHAnsi" w:cstheme="minorHAnsi"/>
          <w:color w:val="000000"/>
          <w:sz w:val="18"/>
          <w:szCs w:val="14"/>
        </w:rPr>
        <w:t xml:space="preserve">: </w:t>
      </w:r>
      <w:hyperlink r:id="rId5">
        <w:r w:rsidRPr="00F92A89">
          <w:rPr>
            <w:rFonts w:asciiTheme="minorHAnsi" w:eastAsia="Calibri" w:hAnsiTheme="minorHAnsi" w:cstheme="minorHAnsi"/>
            <w:color w:val="0070C0"/>
            <w:sz w:val="18"/>
            <w:szCs w:val="14"/>
            <w:u w:val="single"/>
          </w:rPr>
          <w:t>National Immunisation Program</w:t>
        </w:r>
      </w:hyperlink>
    </w:p>
  </w:footnote>
  <w:footnote w:id="14">
    <w:p w14:paraId="00000606" w14:textId="77777777" w:rsidR="00F554A7" w:rsidRPr="00F92A89" w:rsidRDefault="007A75BF" w:rsidP="00F92A89">
      <w:pPr>
        <w:pStyle w:val="FootnoteText"/>
      </w:pPr>
      <w:r>
        <w:rPr>
          <w:rStyle w:val="FootnoteReference"/>
        </w:rPr>
        <w:footnoteRef/>
      </w:r>
      <w:r w:rsidRPr="00F92A89">
        <w:t xml:space="preserve"> Argent, E, et al</w:t>
      </w:r>
      <w:r w:rsidRPr="00F92A89">
        <w:rPr>
          <w:i/>
        </w:rPr>
        <w:t>. J Paediatr Child Health</w:t>
      </w:r>
      <w:r w:rsidRPr="00F92A89">
        <w:t xml:space="preserve"> (2012), 'Australian Paediatric Surveillance Unit study of haemoglobinopathies in Australian children', , vol. 48, no. 4, Apr, pp. 356-360</w:t>
      </w:r>
    </w:p>
  </w:footnote>
  <w:footnote w:id="15">
    <w:p w14:paraId="31803F41" w14:textId="091ABDB2" w:rsidR="00093B00" w:rsidRDefault="00093B00">
      <w:pPr>
        <w:pStyle w:val="FootnoteText"/>
      </w:pPr>
      <w:r>
        <w:rPr>
          <w:rStyle w:val="FootnoteReference"/>
        </w:rPr>
        <w:footnoteRef/>
      </w:r>
      <w:r>
        <w:t xml:space="preserve"> </w:t>
      </w:r>
      <w:r w:rsidRPr="00F92A89">
        <w:t>Lower limit of range (64%) source: “Beyond the Crystal Ball – Th Epidemiology of Some Genetic Conditions in Victoria, 2002”. Department of Human Services, Victoria.</w:t>
      </w:r>
    </w:p>
  </w:footnote>
  <w:footnote w:id="16">
    <w:p w14:paraId="00000608" w14:textId="7BA4F5BD" w:rsidR="00F554A7" w:rsidRPr="00F92A89" w:rsidRDefault="007A75BF" w:rsidP="00F92A89">
      <w:pPr>
        <w:pStyle w:val="FootnoteText"/>
      </w:pPr>
      <w:r>
        <w:rPr>
          <w:rStyle w:val="FootnoteReference"/>
        </w:rPr>
        <w:footnoteRef/>
      </w:r>
      <w:r w:rsidRPr="00F92A89">
        <w:t>Upper limit of range (99%) source: Clinical opinion from Monash Maternity Hospital (Meeting21 Feb 2023 with DHA, clinical experts, and assessment group)</w:t>
      </w:r>
    </w:p>
  </w:footnote>
  <w:footnote w:id="17">
    <w:p w14:paraId="00000609" w14:textId="77777777" w:rsidR="00F554A7" w:rsidRPr="00F92A89" w:rsidRDefault="007A75BF" w:rsidP="00F92A89">
      <w:pPr>
        <w:pStyle w:val="FootnoteText"/>
        <w:rPr>
          <w:lang w:val="en-US"/>
        </w:rPr>
      </w:pPr>
      <w:r>
        <w:rPr>
          <w:rStyle w:val="FootnoteReference"/>
        </w:rPr>
        <w:footnoteRef/>
      </w:r>
      <w:r w:rsidRPr="00F92A89">
        <w:t xml:space="preserve"> Received 13/2/23 by email</w:t>
      </w:r>
    </w:p>
  </w:footnote>
  <w:footnote w:id="18">
    <w:p w14:paraId="0000060A" w14:textId="0D2E69F7" w:rsidR="00F554A7" w:rsidRPr="00F92A89" w:rsidRDefault="007A75BF" w:rsidP="00F92A89">
      <w:pPr>
        <w:pStyle w:val="FootnoteText"/>
        <w:spacing w:before="0"/>
      </w:pPr>
      <w:r>
        <w:rPr>
          <w:rStyle w:val="FootnoteReference"/>
        </w:rPr>
        <w:footnoteRef/>
      </w:r>
      <w:r w:rsidRPr="00F92A89">
        <w:t xml:space="preserve"> Newborn Bloodspot Screening National Policy Framework (NBS NPF), Department of Health, 2018. Available at: </w:t>
      </w:r>
      <w:hyperlink r:id="rId6" w:history="1">
        <w:r w:rsidR="00D27DA2">
          <w:rPr>
            <w:rStyle w:val="Hyperlink"/>
          </w:rPr>
          <w:t>https://www.health.gov.au/resources/publications/newborn-bloodspot-screening-national-policy-framework?language=en</w:t>
        </w:r>
      </w:hyperlink>
      <w:r w:rsidRPr="00F92A89">
        <w:t xml:space="preserve"> </w:t>
      </w:r>
    </w:p>
  </w:footnote>
  <w:footnote w:id="19">
    <w:p w14:paraId="0000060B" w14:textId="774EB40D" w:rsidR="00F554A7" w:rsidRPr="00F92A89" w:rsidRDefault="007A75BF" w:rsidP="00F92A89">
      <w:pPr>
        <w:pStyle w:val="FootnoteText"/>
      </w:pPr>
      <w:r>
        <w:rPr>
          <w:rStyle w:val="FootnoteReference"/>
        </w:rPr>
        <w:footnoteRef/>
      </w:r>
      <w:r w:rsidRPr="00F92A89">
        <w:t xml:space="preserve"> Public Summary Document for MSAC application 1637 – Expanded Reproductive Carrier Screening of couples for joint carrier status of genes associated with autosomal recessive and X-linked conditions. </w:t>
      </w:r>
      <w:r w:rsidR="00D27DA2">
        <w:t xml:space="preserve">Available at: </w:t>
      </w:r>
      <w:hyperlink r:id="rId7" w:history="1">
        <w:r w:rsidR="00D27DA2" w:rsidRPr="00AC7EF7">
          <w:rPr>
            <w:rStyle w:val="Hyperlink"/>
          </w:rPr>
          <w:t>http://www.msac.gov.au/internet/msac/publishing.nsf/Content/1637-public</w:t>
        </w:r>
      </w:hyperlink>
      <w:r w:rsidR="00D27DA2">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F080D" w14:textId="77777777" w:rsidR="002B1CA5" w:rsidRDefault="002B1C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C3DFA" w14:textId="77777777" w:rsidR="002B1CA5" w:rsidRDefault="002B1C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F50E7" w14:textId="77777777" w:rsidR="002B1CA5" w:rsidRDefault="002B1CA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34B55" w14:textId="77777777" w:rsidR="008277D8" w:rsidRDefault="008277D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B4C21" w14:textId="77777777" w:rsidR="008277D8" w:rsidRDefault="008277D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60D" w14:textId="77777777" w:rsidR="00F554A7" w:rsidRPr="00F92A89" w:rsidRDefault="00F554A7" w:rsidP="00F92A8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60C" w14:textId="77777777" w:rsidR="00F554A7" w:rsidRPr="00F92A89" w:rsidRDefault="00F554A7" w:rsidP="00F92A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4EE470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6971CA"/>
    <w:multiLevelType w:val="hybridMultilevel"/>
    <w:tmpl w:val="AFD04A60"/>
    <w:lvl w:ilvl="0" w:tplc="D69226E4">
      <w:start w:val="1"/>
      <w:numFmt w:val="bullet"/>
      <w:pStyle w:val="BoxDash"/>
      <w:lvlText w:val="o"/>
      <w:lvlJc w:val="left"/>
      <w:pPr>
        <w:ind w:left="360" w:hanging="360"/>
      </w:pPr>
      <w:rPr>
        <w:rFonts w:ascii="Courier New" w:hAnsi="Courier New" w:cs="Courier New"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0A85B81"/>
    <w:multiLevelType w:val="hybridMultilevel"/>
    <w:tmpl w:val="FFFFFFFF"/>
    <w:lvl w:ilvl="0" w:tplc="831684C2">
      <w:start w:val="1"/>
      <w:numFmt w:val="bullet"/>
      <w:lvlText w:val="·"/>
      <w:lvlJc w:val="left"/>
      <w:pPr>
        <w:ind w:left="720" w:hanging="360"/>
      </w:pPr>
      <w:rPr>
        <w:rFonts w:ascii="Symbol" w:hAnsi="Symbol" w:hint="default"/>
      </w:rPr>
    </w:lvl>
    <w:lvl w:ilvl="1" w:tplc="974EFB62">
      <w:start w:val="1"/>
      <w:numFmt w:val="bullet"/>
      <w:lvlText w:val="o"/>
      <w:lvlJc w:val="left"/>
      <w:pPr>
        <w:ind w:left="1440" w:hanging="360"/>
      </w:pPr>
      <w:rPr>
        <w:rFonts w:ascii="Courier New" w:hAnsi="Courier New" w:hint="default"/>
      </w:rPr>
    </w:lvl>
    <w:lvl w:ilvl="2" w:tplc="8D94EE4A">
      <w:start w:val="1"/>
      <w:numFmt w:val="bullet"/>
      <w:lvlText w:val=""/>
      <w:lvlJc w:val="left"/>
      <w:pPr>
        <w:ind w:left="2160" w:hanging="360"/>
      </w:pPr>
      <w:rPr>
        <w:rFonts w:ascii="Wingdings" w:hAnsi="Wingdings" w:hint="default"/>
      </w:rPr>
    </w:lvl>
    <w:lvl w:ilvl="3" w:tplc="1DA825AA">
      <w:start w:val="1"/>
      <w:numFmt w:val="bullet"/>
      <w:lvlText w:val=""/>
      <w:lvlJc w:val="left"/>
      <w:pPr>
        <w:ind w:left="2880" w:hanging="360"/>
      </w:pPr>
      <w:rPr>
        <w:rFonts w:ascii="Symbol" w:hAnsi="Symbol" w:hint="default"/>
      </w:rPr>
    </w:lvl>
    <w:lvl w:ilvl="4" w:tplc="4A7CCF6E">
      <w:start w:val="1"/>
      <w:numFmt w:val="bullet"/>
      <w:lvlText w:val="o"/>
      <w:lvlJc w:val="left"/>
      <w:pPr>
        <w:ind w:left="3600" w:hanging="360"/>
      </w:pPr>
      <w:rPr>
        <w:rFonts w:ascii="Courier New" w:hAnsi="Courier New" w:hint="default"/>
      </w:rPr>
    </w:lvl>
    <w:lvl w:ilvl="5" w:tplc="4DAC0FD6">
      <w:start w:val="1"/>
      <w:numFmt w:val="bullet"/>
      <w:lvlText w:val=""/>
      <w:lvlJc w:val="left"/>
      <w:pPr>
        <w:ind w:left="4320" w:hanging="360"/>
      </w:pPr>
      <w:rPr>
        <w:rFonts w:ascii="Wingdings" w:hAnsi="Wingdings" w:hint="default"/>
      </w:rPr>
    </w:lvl>
    <w:lvl w:ilvl="6" w:tplc="D36436BE">
      <w:start w:val="1"/>
      <w:numFmt w:val="bullet"/>
      <w:lvlText w:val=""/>
      <w:lvlJc w:val="left"/>
      <w:pPr>
        <w:ind w:left="5040" w:hanging="360"/>
      </w:pPr>
      <w:rPr>
        <w:rFonts w:ascii="Symbol" w:hAnsi="Symbol" w:hint="default"/>
      </w:rPr>
    </w:lvl>
    <w:lvl w:ilvl="7" w:tplc="78327ABE">
      <w:start w:val="1"/>
      <w:numFmt w:val="bullet"/>
      <w:lvlText w:val="o"/>
      <w:lvlJc w:val="left"/>
      <w:pPr>
        <w:ind w:left="5760" w:hanging="360"/>
      </w:pPr>
      <w:rPr>
        <w:rFonts w:ascii="Courier New" w:hAnsi="Courier New" w:hint="default"/>
      </w:rPr>
    </w:lvl>
    <w:lvl w:ilvl="8" w:tplc="50263C1C">
      <w:start w:val="1"/>
      <w:numFmt w:val="bullet"/>
      <w:lvlText w:val=""/>
      <w:lvlJc w:val="left"/>
      <w:pPr>
        <w:ind w:left="6480" w:hanging="360"/>
      </w:pPr>
      <w:rPr>
        <w:rFonts w:ascii="Wingdings" w:hAnsi="Wingdings" w:hint="default"/>
      </w:rPr>
    </w:lvl>
  </w:abstractNum>
  <w:abstractNum w:abstractNumId="3" w15:restartNumberingAfterBreak="0">
    <w:nsid w:val="010665A2"/>
    <w:multiLevelType w:val="hybridMultilevel"/>
    <w:tmpl w:val="FFFFFFFF"/>
    <w:lvl w:ilvl="0" w:tplc="97F28950">
      <w:start w:val="1"/>
      <w:numFmt w:val="bullet"/>
      <w:lvlText w:val="·"/>
      <w:lvlJc w:val="left"/>
      <w:pPr>
        <w:ind w:left="720" w:hanging="360"/>
      </w:pPr>
      <w:rPr>
        <w:rFonts w:ascii="Symbol" w:hAnsi="Symbol" w:hint="default"/>
      </w:rPr>
    </w:lvl>
    <w:lvl w:ilvl="1" w:tplc="26F017E8">
      <w:start w:val="1"/>
      <w:numFmt w:val="bullet"/>
      <w:lvlText w:val="o"/>
      <w:lvlJc w:val="left"/>
      <w:pPr>
        <w:ind w:left="1440" w:hanging="360"/>
      </w:pPr>
      <w:rPr>
        <w:rFonts w:ascii="Courier New" w:hAnsi="Courier New" w:hint="default"/>
      </w:rPr>
    </w:lvl>
    <w:lvl w:ilvl="2" w:tplc="6394C23E">
      <w:start w:val="1"/>
      <w:numFmt w:val="bullet"/>
      <w:lvlText w:val=""/>
      <w:lvlJc w:val="left"/>
      <w:pPr>
        <w:ind w:left="2160" w:hanging="360"/>
      </w:pPr>
      <w:rPr>
        <w:rFonts w:ascii="Wingdings" w:hAnsi="Wingdings" w:hint="default"/>
      </w:rPr>
    </w:lvl>
    <w:lvl w:ilvl="3" w:tplc="79808102">
      <w:start w:val="1"/>
      <w:numFmt w:val="bullet"/>
      <w:lvlText w:val=""/>
      <w:lvlJc w:val="left"/>
      <w:pPr>
        <w:ind w:left="2880" w:hanging="360"/>
      </w:pPr>
      <w:rPr>
        <w:rFonts w:ascii="Symbol" w:hAnsi="Symbol" w:hint="default"/>
      </w:rPr>
    </w:lvl>
    <w:lvl w:ilvl="4" w:tplc="9E26A750">
      <w:start w:val="1"/>
      <w:numFmt w:val="bullet"/>
      <w:lvlText w:val="o"/>
      <w:lvlJc w:val="left"/>
      <w:pPr>
        <w:ind w:left="3600" w:hanging="360"/>
      </w:pPr>
      <w:rPr>
        <w:rFonts w:ascii="Courier New" w:hAnsi="Courier New" w:hint="default"/>
      </w:rPr>
    </w:lvl>
    <w:lvl w:ilvl="5" w:tplc="44BAFAC8">
      <w:start w:val="1"/>
      <w:numFmt w:val="bullet"/>
      <w:lvlText w:val=""/>
      <w:lvlJc w:val="left"/>
      <w:pPr>
        <w:ind w:left="4320" w:hanging="360"/>
      </w:pPr>
      <w:rPr>
        <w:rFonts w:ascii="Wingdings" w:hAnsi="Wingdings" w:hint="default"/>
      </w:rPr>
    </w:lvl>
    <w:lvl w:ilvl="6" w:tplc="6B82DB7E">
      <w:start w:val="1"/>
      <w:numFmt w:val="bullet"/>
      <w:lvlText w:val=""/>
      <w:lvlJc w:val="left"/>
      <w:pPr>
        <w:ind w:left="5040" w:hanging="360"/>
      </w:pPr>
      <w:rPr>
        <w:rFonts w:ascii="Symbol" w:hAnsi="Symbol" w:hint="default"/>
      </w:rPr>
    </w:lvl>
    <w:lvl w:ilvl="7" w:tplc="13FCFC10">
      <w:start w:val="1"/>
      <w:numFmt w:val="bullet"/>
      <w:lvlText w:val="o"/>
      <w:lvlJc w:val="left"/>
      <w:pPr>
        <w:ind w:left="5760" w:hanging="360"/>
      </w:pPr>
      <w:rPr>
        <w:rFonts w:ascii="Courier New" w:hAnsi="Courier New" w:hint="default"/>
      </w:rPr>
    </w:lvl>
    <w:lvl w:ilvl="8" w:tplc="9118DA1C">
      <w:start w:val="1"/>
      <w:numFmt w:val="bullet"/>
      <w:lvlText w:val=""/>
      <w:lvlJc w:val="left"/>
      <w:pPr>
        <w:ind w:left="6480" w:hanging="360"/>
      </w:pPr>
      <w:rPr>
        <w:rFonts w:ascii="Wingdings" w:hAnsi="Wingdings" w:hint="default"/>
      </w:rPr>
    </w:lvl>
  </w:abstractNum>
  <w:abstractNum w:abstractNumId="4" w15:restartNumberingAfterBreak="0">
    <w:nsid w:val="06105138"/>
    <w:multiLevelType w:val="hybridMultilevel"/>
    <w:tmpl w:val="0E8C4BC4"/>
    <w:lvl w:ilvl="0" w:tplc="EC840366">
      <w:start w:val="1"/>
      <w:numFmt w:val="bullet"/>
      <w:lvlText w:val="–"/>
      <w:lvlJc w:val="left"/>
      <w:pPr>
        <w:tabs>
          <w:tab w:val="num" w:pos="216"/>
        </w:tabs>
        <w:ind w:left="360" w:firstLine="0"/>
      </w:pPr>
      <w:rPr>
        <w:rFonts w:ascii="Times New Roman" w:hAnsi="Times New Roman" w:cs="Times New Roman" w:hint="default"/>
        <w:sz w:val="16"/>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DB78EE"/>
    <w:multiLevelType w:val="hybridMultilevel"/>
    <w:tmpl w:val="FFFFFFFF"/>
    <w:lvl w:ilvl="0" w:tplc="1FDCA84A">
      <w:start w:val="1"/>
      <w:numFmt w:val="bullet"/>
      <w:lvlText w:val="·"/>
      <w:lvlJc w:val="left"/>
      <w:pPr>
        <w:ind w:left="720" w:hanging="360"/>
      </w:pPr>
      <w:rPr>
        <w:rFonts w:ascii="Symbol" w:hAnsi="Symbol" w:hint="default"/>
      </w:rPr>
    </w:lvl>
    <w:lvl w:ilvl="1" w:tplc="8BBE9304">
      <w:start w:val="1"/>
      <w:numFmt w:val="bullet"/>
      <w:lvlText w:val="o"/>
      <w:lvlJc w:val="left"/>
      <w:pPr>
        <w:ind w:left="1440" w:hanging="360"/>
      </w:pPr>
      <w:rPr>
        <w:rFonts w:ascii="Courier New" w:hAnsi="Courier New" w:hint="default"/>
      </w:rPr>
    </w:lvl>
    <w:lvl w:ilvl="2" w:tplc="63FAC766">
      <w:start w:val="1"/>
      <w:numFmt w:val="bullet"/>
      <w:lvlText w:val=""/>
      <w:lvlJc w:val="left"/>
      <w:pPr>
        <w:ind w:left="2160" w:hanging="360"/>
      </w:pPr>
      <w:rPr>
        <w:rFonts w:ascii="Wingdings" w:hAnsi="Wingdings" w:hint="default"/>
      </w:rPr>
    </w:lvl>
    <w:lvl w:ilvl="3" w:tplc="33DE30F0">
      <w:start w:val="1"/>
      <w:numFmt w:val="bullet"/>
      <w:lvlText w:val=""/>
      <w:lvlJc w:val="left"/>
      <w:pPr>
        <w:ind w:left="2880" w:hanging="360"/>
      </w:pPr>
      <w:rPr>
        <w:rFonts w:ascii="Symbol" w:hAnsi="Symbol" w:hint="default"/>
      </w:rPr>
    </w:lvl>
    <w:lvl w:ilvl="4" w:tplc="B8CE2EB0">
      <w:start w:val="1"/>
      <w:numFmt w:val="bullet"/>
      <w:lvlText w:val="o"/>
      <w:lvlJc w:val="left"/>
      <w:pPr>
        <w:ind w:left="3600" w:hanging="360"/>
      </w:pPr>
      <w:rPr>
        <w:rFonts w:ascii="Courier New" w:hAnsi="Courier New" w:hint="default"/>
      </w:rPr>
    </w:lvl>
    <w:lvl w:ilvl="5" w:tplc="A66C118C">
      <w:start w:val="1"/>
      <w:numFmt w:val="bullet"/>
      <w:lvlText w:val=""/>
      <w:lvlJc w:val="left"/>
      <w:pPr>
        <w:ind w:left="4320" w:hanging="360"/>
      </w:pPr>
      <w:rPr>
        <w:rFonts w:ascii="Wingdings" w:hAnsi="Wingdings" w:hint="default"/>
      </w:rPr>
    </w:lvl>
    <w:lvl w:ilvl="6" w:tplc="6D968B7A">
      <w:start w:val="1"/>
      <w:numFmt w:val="bullet"/>
      <w:lvlText w:val=""/>
      <w:lvlJc w:val="left"/>
      <w:pPr>
        <w:ind w:left="5040" w:hanging="360"/>
      </w:pPr>
      <w:rPr>
        <w:rFonts w:ascii="Symbol" w:hAnsi="Symbol" w:hint="default"/>
      </w:rPr>
    </w:lvl>
    <w:lvl w:ilvl="7" w:tplc="2E8865A4">
      <w:start w:val="1"/>
      <w:numFmt w:val="bullet"/>
      <w:lvlText w:val="o"/>
      <w:lvlJc w:val="left"/>
      <w:pPr>
        <w:ind w:left="5760" w:hanging="360"/>
      </w:pPr>
      <w:rPr>
        <w:rFonts w:ascii="Courier New" w:hAnsi="Courier New" w:hint="default"/>
      </w:rPr>
    </w:lvl>
    <w:lvl w:ilvl="8" w:tplc="B1664B4C">
      <w:start w:val="1"/>
      <w:numFmt w:val="bullet"/>
      <w:lvlText w:val=""/>
      <w:lvlJc w:val="left"/>
      <w:pPr>
        <w:ind w:left="6480" w:hanging="360"/>
      </w:pPr>
      <w:rPr>
        <w:rFonts w:ascii="Wingdings" w:hAnsi="Wingdings" w:hint="default"/>
      </w:rPr>
    </w:lvl>
  </w:abstractNum>
  <w:abstractNum w:abstractNumId="6" w15:restartNumberingAfterBreak="0">
    <w:nsid w:val="0B9F2CE4"/>
    <w:multiLevelType w:val="hybridMultilevel"/>
    <w:tmpl w:val="FFFFFFFF"/>
    <w:lvl w:ilvl="0" w:tplc="2318BA56">
      <w:start w:val="1"/>
      <w:numFmt w:val="bullet"/>
      <w:lvlText w:val="·"/>
      <w:lvlJc w:val="left"/>
      <w:pPr>
        <w:ind w:left="720" w:hanging="360"/>
      </w:pPr>
      <w:rPr>
        <w:rFonts w:ascii="Symbol" w:hAnsi="Symbol" w:hint="default"/>
      </w:rPr>
    </w:lvl>
    <w:lvl w:ilvl="1" w:tplc="FEA00410">
      <w:start w:val="1"/>
      <w:numFmt w:val="bullet"/>
      <w:lvlText w:val="o"/>
      <w:lvlJc w:val="left"/>
      <w:pPr>
        <w:ind w:left="1440" w:hanging="360"/>
      </w:pPr>
      <w:rPr>
        <w:rFonts w:ascii="Courier New" w:hAnsi="Courier New" w:hint="default"/>
      </w:rPr>
    </w:lvl>
    <w:lvl w:ilvl="2" w:tplc="1E448DA6">
      <w:start w:val="1"/>
      <w:numFmt w:val="bullet"/>
      <w:lvlText w:val=""/>
      <w:lvlJc w:val="left"/>
      <w:pPr>
        <w:ind w:left="2160" w:hanging="360"/>
      </w:pPr>
      <w:rPr>
        <w:rFonts w:ascii="Wingdings" w:hAnsi="Wingdings" w:hint="default"/>
      </w:rPr>
    </w:lvl>
    <w:lvl w:ilvl="3" w:tplc="9C2CE0DA">
      <w:start w:val="1"/>
      <w:numFmt w:val="bullet"/>
      <w:lvlText w:val=""/>
      <w:lvlJc w:val="left"/>
      <w:pPr>
        <w:ind w:left="2880" w:hanging="360"/>
      </w:pPr>
      <w:rPr>
        <w:rFonts w:ascii="Symbol" w:hAnsi="Symbol" w:hint="default"/>
      </w:rPr>
    </w:lvl>
    <w:lvl w:ilvl="4" w:tplc="B7E684E6">
      <w:start w:val="1"/>
      <w:numFmt w:val="bullet"/>
      <w:lvlText w:val="o"/>
      <w:lvlJc w:val="left"/>
      <w:pPr>
        <w:ind w:left="3600" w:hanging="360"/>
      </w:pPr>
      <w:rPr>
        <w:rFonts w:ascii="Courier New" w:hAnsi="Courier New" w:hint="default"/>
      </w:rPr>
    </w:lvl>
    <w:lvl w:ilvl="5" w:tplc="E1344C6A">
      <w:start w:val="1"/>
      <w:numFmt w:val="bullet"/>
      <w:lvlText w:val=""/>
      <w:lvlJc w:val="left"/>
      <w:pPr>
        <w:ind w:left="4320" w:hanging="360"/>
      </w:pPr>
      <w:rPr>
        <w:rFonts w:ascii="Wingdings" w:hAnsi="Wingdings" w:hint="default"/>
      </w:rPr>
    </w:lvl>
    <w:lvl w:ilvl="6" w:tplc="176CF988">
      <w:start w:val="1"/>
      <w:numFmt w:val="bullet"/>
      <w:lvlText w:val=""/>
      <w:lvlJc w:val="left"/>
      <w:pPr>
        <w:ind w:left="5040" w:hanging="360"/>
      </w:pPr>
      <w:rPr>
        <w:rFonts w:ascii="Symbol" w:hAnsi="Symbol" w:hint="default"/>
      </w:rPr>
    </w:lvl>
    <w:lvl w:ilvl="7" w:tplc="8DF45160">
      <w:start w:val="1"/>
      <w:numFmt w:val="bullet"/>
      <w:lvlText w:val="o"/>
      <w:lvlJc w:val="left"/>
      <w:pPr>
        <w:ind w:left="5760" w:hanging="360"/>
      </w:pPr>
      <w:rPr>
        <w:rFonts w:ascii="Courier New" w:hAnsi="Courier New" w:hint="default"/>
      </w:rPr>
    </w:lvl>
    <w:lvl w:ilvl="8" w:tplc="66AAE530">
      <w:start w:val="1"/>
      <w:numFmt w:val="bullet"/>
      <w:lvlText w:val=""/>
      <w:lvlJc w:val="left"/>
      <w:pPr>
        <w:ind w:left="6480" w:hanging="360"/>
      </w:pPr>
      <w:rPr>
        <w:rFonts w:ascii="Wingdings" w:hAnsi="Wingdings" w:hint="default"/>
      </w:rPr>
    </w:lvl>
  </w:abstractNum>
  <w:abstractNum w:abstractNumId="7" w15:restartNumberingAfterBreak="0">
    <w:nsid w:val="0C98543B"/>
    <w:multiLevelType w:val="multilevel"/>
    <w:tmpl w:val="3BD25A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0FFF556F"/>
    <w:multiLevelType w:val="hybridMultilevel"/>
    <w:tmpl w:val="6BC035C4"/>
    <w:lvl w:ilvl="0" w:tplc="FB942214">
      <w:start w:val="1"/>
      <w:numFmt w:val="bullet"/>
      <w:pStyle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47D4526"/>
    <w:multiLevelType w:val="hybridMultilevel"/>
    <w:tmpl w:val="D47AE8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6BB4224"/>
    <w:multiLevelType w:val="hybridMultilevel"/>
    <w:tmpl w:val="9A809E82"/>
    <w:lvl w:ilvl="0" w:tplc="288E36DA">
      <w:start w:val="1"/>
      <w:numFmt w:val="bullet"/>
      <w:pStyle w:val="BoxBullet"/>
      <w:lvlText w:val=""/>
      <w:lvlJc w:val="left"/>
      <w:pPr>
        <w:tabs>
          <w:tab w:val="num" w:pos="357"/>
        </w:tabs>
        <w:ind w:left="357" w:hanging="357"/>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BA25DE1"/>
    <w:multiLevelType w:val="hybridMultilevel"/>
    <w:tmpl w:val="B6E4FE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DC12694"/>
    <w:multiLevelType w:val="hybridMultilevel"/>
    <w:tmpl w:val="631EDDC0"/>
    <w:lvl w:ilvl="0" w:tplc="0C09000F">
      <w:start w:val="1"/>
      <w:numFmt w:val="decimal"/>
      <w:lvlText w:val="%1."/>
      <w:lvlJc w:val="left"/>
      <w:pPr>
        <w:tabs>
          <w:tab w:val="num" w:pos="360"/>
        </w:tabs>
        <w:ind w:left="360" w:hanging="360"/>
      </w:p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7C0EE4"/>
    <w:multiLevelType w:val="multilevel"/>
    <w:tmpl w:val="FEE071C8"/>
    <w:styleLink w:val="ESSectionheading-numbered"/>
    <w:lvl w:ilvl="0">
      <w:start w:val="1"/>
      <w:numFmt w:val="none"/>
      <w:lvlText w:val="A.1"/>
      <w:lvlJc w:val="left"/>
      <w:pPr>
        <w:ind w:left="1134" w:hanging="1134"/>
      </w:pPr>
      <w:rPr>
        <w:rFonts w:ascii="Calibri" w:hAnsi="Calibri" w:hint="default"/>
        <w:b/>
        <w:i w:val="0"/>
        <w:color w:val="auto"/>
        <w:sz w:val="24"/>
      </w:rPr>
    </w:lvl>
    <w:lvl w:ilvl="1">
      <w:start w:val="1"/>
      <w:numFmt w:val="decimal"/>
      <w:lvlText w:val="B.%2."/>
      <w:lvlJc w:val="left"/>
      <w:pPr>
        <w:ind w:left="1134" w:hanging="1134"/>
      </w:pPr>
      <w:rPr>
        <w:rFonts w:ascii="Calibri" w:hAnsi="Calibri" w:hint="default"/>
        <w:b/>
        <w:i w:val="0"/>
        <w:sz w:val="24"/>
      </w:rPr>
    </w:lvl>
    <w:lvl w:ilvl="2">
      <w:start w:val="1"/>
      <w:numFmt w:val="decimal"/>
      <w:lvlText w:val="C.%3."/>
      <w:lvlJc w:val="left"/>
      <w:pPr>
        <w:ind w:left="1134" w:hanging="1134"/>
      </w:pPr>
      <w:rPr>
        <w:rFonts w:ascii="Calibri" w:hAnsi="Calibri" w:hint="default"/>
        <w:b/>
        <w:i w:val="0"/>
        <w:sz w:val="24"/>
      </w:rPr>
    </w:lvl>
    <w:lvl w:ilvl="3">
      <w:start w:val="1"/>
      <w:numFmt w:val="decimal"/>
      <w:lvlText w:val="D.%4."/>
      <w:lvlJc w:val="left"/>
      <w:pPr>
        <w:ind w:left="1134" w:hanging="1134"/>
      </w:pPr>
      <w:rPr>
        <w:rFonts w:ascii="Calibri" w:hAnsi="Calibri" w:hint="default"/>
        <w:b/>
        <w:i w:val="0"/>
        <w:sz w:val="24"/>
      </w:rPr>
    </w:lvl>
    <w:lvl w:ilvl="4">
      <w:start w:val="1"/>
      <w:numFmt w:val="decimal"/>
      <w:lvlText w:val="E.%5."/>
      <w:lvlJc w:val="left"/>
      <w:pPr>
        <w:ind w:left="1134" w:hanging="1134"/>
      </w:pPr>
      <w:rPr>
        <w:rFonts w:ascii="Calibri" w:hAnsi="Calibri" w:hint="default"/>
        <w:b/>
        <w:i w:val="0"/>
        <w:sz w:val="24"/>
      </w:rPr>
    </w:lvl>
    <w:lvl w:ilvl="5">
      <w:start w:val="1"/>
      <w:numFmt w:val="decimal"/>
      <w:lvlText w:val="A.%6"/>
      <w:lvlJc w:val="left"/>
      <w:pPr>
        <w:ind w:left="1134" w:hanging="1134"/>
      </w:pPr>
      <w:rPr>
        <w:rFonts w:ascii="Calibri" w:hAnsi="Calibri" w:hint="default"/>
        <w:b/>
        <w:i w:val="0"/>
        <w:color w:val="auto"/>
        <w:sz w:val="24"/>
      </w:rPr>
    </w:lvl>
    <w:lvl w:ilvl="6">
      <w:start w:val="1"/>
      <w:numFmt w:val="none"/>
      <w:lvlText w:val=""/>
      <w:lvlJc w:val="left"/>
      <w:pPr>
        <w:ind w:left="1134" w:hanging="1134"/>
      </w:pPr>
      <w:rPr>
        <w:rFonts w:ascii="Calibri" w:hAnsi="Calibri" w:hint="default"/>
        <w:b/>
        <w:i w:val="0"/>
        <w:sz w:val="24"/>
      </w:rPr>
    </w:lvl>
    <w:lvl w:ilvl="7">
      <w:start w:val="1"/>
      <w:numFmt w:val="none"/>
      <w:lvlText w:val="%8"/>
      <w:lvlJc w:val="left"/>
      <w:pPr>
        <w:ind w:left="1134" w:hanging="1134"/>
      </w:pPr>
      <w:rPr>
        <w:rFonts w:hint="default"/>
      </w:rPr>
    </w:lvl>
    <w:lvl w:ilvl="8">
      <w:start w:val="1"/>
      <w:numFmt w:val="none"/>
      <w:lvlText w:val="%9"/>
      <w:lvlJc w:val="right"/>
      <w:pPr>
        <w:ind w:left="1134" w:hanging="1134"/>
      </w:pPr>
      <w:rPr>
        <w:rFonts w:hint="default"/>
      </w:rPr>
    </w:lvl>
  </w:abstractNum>
  <w:abstractNum w:abstractNumId="14" w15:restartNumberingAfterBreak="0">
    <w:nsid w:val="24784A26"/>
    <w:multiLevelType w:val="hybridMultilevel"/>
    <w:tmpl w:val="479208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5062D6A">
      <w:numFmt w:val="bullet"/>
      <w:lvlText w:val="•"/>
      <w:lvlJc w:val="left"/>
      <w:pPr>
        <w:ind w:left="2520" w:hanging="720"/>
      </w:pPr>
      <w:rPr>
        <w:rFonts w:ascii="Franklin Gothic Book" w:eastAsiaTheme="minorHAnsi" w:hAnsi="Franklin Gothic Book" w:cstheme="minorBidi"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53B7060"/>
    <w:multiLevelType w:val="hybridMultilevel"/>
    <w:tmpl w:val="9F32C20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6390247"/>
    <w:multiLevelType w:val="hybridMultilevel"/>
    <w:tmpl w:val="369091C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7" w15:restartNumberingAfterBreak="0">
    <w:nsid w:val="26734E0A"/>
    <w:multiLevelType w:val="hybridMultilevel"/>
    <w:tmpl w:val="C70EFE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68F05E2"/>
    <w:multiLevelType w:val="hybridMultilevel"/>
    <w:tmpl w:val="BC1E66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7575C58"/>
    <w:multiLevelType w:val="multilevel"/>
    <w:tmpl w:val="BE44A646"/>
    <w:lvl w:ilvl="0">
      <w:start w:val="1"/>
      <w:numFmt w:val="bullet"/>
      <w:pStyle w:val="InstructionBulletpoint"/>
      <w:lvlText w:val=""/>
      <w:lvlJc w:val="left"/>
      <w:pPr>
        <w:ind w:left="720" w:hanging="360"/>
      </w:pPr>
      <w:rPr>
        <w:rFonts w:ascii="Symbol" w:hAnsi="Symbol" w:hint="default"/>
      </w:rPr>
    </w:lvl>
    <w:lvl w:ilvl="1">
      <w:start w:val="1"/>
      <w:numFmt w:val="bullet"/>
      <w:lvlText w:val=""/>
      <w:lvlJc w:val="left"/>
      <w:pPr>
        <w:ind w:left="1440" w:hanging="476"/>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7C454C7"/>
    <w:multiLevelType w:val="multilevel"/>
    <w:tmpl w:val="18829E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2A5E246B"/>
    <w:multiLevelType w:val="hybridMultilevel"/>
    <w:tmpl w:val="C4F2253C"/>
    <w:lvl w:ilvl="0" w:tplc="B0E28340">
      <w:start w:val="1"/>
      <w:numFmt w:val="decimal"/>
      <w:pStyle w:val="ESHeading1"/>
      <w:lvlText w:val="%1."/>
      <w:lvlJc w:val="left"/>
      <w:pPr>
        <w:ind w:left="216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2" w15:restartNumberingAfterBreak="0">
    <w:nsid w:val="2D7E7D92"/>
    <w:multiLevelType w:val="multilevel"/>
    <w:tmpl w:val="23889956"/>
    <w:lvl w:ilvl="0">
      <w:start w:val="8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2E177A8B"/>
    <w:multiLevelType w:val="hybridMultilevel"/>
    <w:tmpl w:val="FFFFFFFF"/>
    <w:lvl w:ilvl="0" w:tplc="A648B4FC">
      <w:start w:val="1"/>
      <w:numFmt w:val="bullet"/>
      <w:lvlText w:val="·"/>
      <w:lvlJc w:val="left"/>
      <w:pPr>
        <w:ind w:left="720" w:hanging="360"/>
      </w:pPr>
      <w:rPr>
        <w:rFonts w:ascii="Symbol" w:hAnsi="Symbol" w:hint="default"/>
      </w:rPr>
    </w:lvl>
    <w:lvl w:ilvl="1" w:tplc="999EBDA4">
      <w:start w:val="1"/>
      <w:numFmt w:val="bullet"/>
      <w:lvlText w:val="o"/>
      <w:lvlJc w:val="left"/>
      <w:pPr>
        <w:ind w:left="1440" w:hanging="360"/>
      </w:pPr>
      <w:rPr>
        <w:rFonts w:ascii="Courier New" w:hAnsi="Courier New" w:hint="default"/>
      </w:rPr>
    </w:lvl>
    <w:lvl w:ilvl="2" w:tplc="F482AC4C">
      <w:start w:val="1"/>
      <w:numFmt w:val="bullet"/>
      <w:lvlText w:val=""/>
      <w:lvlJc w:val="left"/>
      <w:pPr>
        <w:ind w:left="2160" w:hanging="360"/>
      </w:pPr>
      <w:rPr>
        <w:rFonts w:ascii="Wingdings" w:hAnsi="Wingdings" w:hint="default"/>
      </w:rPr>
    </w:lvl>
    <w:lvl w:ilvl="3" w:tplc="71182AA6">
      <w:start w:val="1"/>
      <w:numFmt w:val="bullet"/>
      <w:lvlText w:val=""/>
      <w:lvlJc w:val="left"/>
      <w:pPr>
        <w:ind w:left="2880" w:hanging="360"/>
      </w:pPr>
      <w:rPr>
        <w:rFonts w:ascii="Symbol" w:hAnsi="Symbol" w:hint="default"/>
      </w:rPr>
    </w:lvl>
    <w:lvl w:ilvl="4" w:tplc="88267F8C">
      <w:start w:val="1"/>
      <w:numFmt w:val="bullet"/>
      <w:lvlText w:val="o"/>
      <w:lvlJc w:val="left"/>
      <w:pPr>
        <w:ind w:left="3600" w:hanging="360"/>
      </w:pPr>
      <w:rPr>
        <w:rFonts w:ascii="Courier New" w:hAnsi="Courier New" w:hint="default"/>
      </w:rPr>
    </w:lvl>
    <w:lvl w:ilvl="5" w:tplc="C5C810EA">
      <w:start w:val="1"/>
      <w:numFmt w:val="bullet"/>
      <w:lvlText w:val=""/>
      <w:lvlJc w:val="left"/>
      <w:pPr>
        <w:ind w:left="4320" w:hanging="360"/>
      </w:pPr>
      <w:rPr>
        <w:rFonts w:ascii="Wingdings" w:hAnsi="Wingdings" w:hint="default"/>
      </w:rPr>
    </w:lvl>
    <w:lvl w:ilvl="6" w:tplc="64B28B64">
      <w:start w:val="1"/>
      <w:numFmt w:val="bullet"/>
      <w:lvlText w:val=""/>
      <w:lvlJc w:val="left"/>
      <w:pPr>
        <w:ind w:left="5040" w:hanging="360"/>
      </w:pPr>
      <w:rPr>
        <w:rFonts w:ascii="Symbol" w:hAnsi="Symbol" w:hint="default"/>
      </w:rPr>
    </w:lvl>
    <w:lvl w:ilvl="7" w:tplc="F29ABD66">
      <w:start w:val="1"/>
      <w:numFmt w:val="bullet"/>
      <w:lvlText w:val="o"/>
      <w:lvlJc w:val="left"/>
      <w:pPr>
        <w:ind w:left="5760" w:hanging="360"/>
      </w:pPr>
      <w:rPr>
        <w:rFonts w:ascii="Courier New" w:hAnsi="Courier New" w:hint="default"/>
      </w:rPr>
    </w:lvl>
    <w:lvl w:ilvl="8" w:tplc="766A1D40">
      <w:start w:val="1"/>
      <w:numFmt w:val="bullet"/>
      <w:lvlText w:val=""/>
      <w:lvlJc w:val="left"/>
      <w:pPr>
        <w:ind w:left="6480" w:hanging="360"/>
      </w:pPr>
      <w:rPr>
        <w:rFonts w:ascii="Wingdings" w:hAnsi="Wingdings" w:hint="default"/>
      </w:rPr>
    </w:lvl>
  </w:abstractNum>
  <w:abstractNum w:abstractNumId="24" w15:restartNumberingAfterBreak="0">
    <w:nsid w:val="30530E2C"/>
    <w:multiLevelType w:val="multilevel"/>
    <w:tmpl w:val="C07C08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30B12EB1"/>
    <w:multiLevelType w:val="multilevel"/>
    <w:tmpl w:val="D6D076B6"/>
    <w:lvl w:ilvl="0">
      <w:start w:val="1"/>
      <w:numFmt w:val="bullet"/>
      <w:lvlText w:val="–"/>
      <w:lvlJc w:val="left"/>
      <w:pPr>
        <w:ind w:left="360" w:firstLine="0"/>
      </w:pPr>
      <w:rPr>
        <w:rFonts w:ascii="Times New Roman" w:eastAsia="Times New Roman" w:hAnsi="Times New Roman" w:cs="Times New Roman"/>
        <w:sz w:val="16"/>
        <w:szCs w:val="1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312D5244"/>
    <w:multiLevelType w:val="hybridMultilevel"/>
    <w:tmpl w:val="00E250B2"/>
    <w:lvl w:ilvl="0" w:tplc="32AE89D0">
      <w:start w:val="1"/>
      <w:numFmt w:val="bullet"/>
      <w:pStyle w:val="Das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24371DC"/>
    <w:multiLevelType w:val="multilevel"/>
    <w:tmpl w:val="945E5D88"/>
    <w:lvl w:ilvl="0">
      <w:start w:val="1"/>
      <w:numFmt w:val="decimal"/>
      <w:pStyle w:val="Heading1"/>
      <w:lvlText w:val="Section %1"/>
      <w:lvlJc w:val="left"/>
      <w:pPr>
        <w:ind w:left="786" w:hanging="360"/>
      </w:pPr>
      <w:rPr>
        <w:rFonts w:hint="default"/>
      </w:rPr>
    </w:lvl>
    <w:lvl w:ilvl="1">
      <w:start w:val="1"/>
      <w:numFmt w:val="decimal"/>
      <w:pStyle w:val="Heading2"/>
      <w:lvlText w:val="%1.%2"/>
      <w:lvlJc w:val="left"/>
      <w:pPr>
        <w:ind w:left="72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36F7BD69"/>
    <w:multiLevelType w:val="hybridMultilevel"/>
    <w:tmpl w:val="FFFFFFFF"/>
    <w:lvl w:ilvl="0" w:tplc="B1021C64">
      <w:start w:val="1"/>
      <w:numFmt w:val="bullet"/>
      <w:lvlText w:val="·"/>
      <w:lvlJc w:val="left"/>
      <w:pPr>
        <w:ind w:left="720" w:hanging="360"/>
      </w:pPr>
      <w:rPr>
        <w:rFonts w:ascii="Symbol" w:hAnsi="Symbol" w:hint="default"/>
      </w:rPr>
    </w:lvl>
    <w:lvl w:ilvl="1" w:tplc="8F680C22">
      <w:start w:val="1"/>
      <w:numFmt w:val="bullet"/>
      <w:lvlText w:val="o"/>
      <w:lvlJc w:val="left"/>
      <w:pPr>
        <w:ind w:left="1440" w:hanging="360"/>
      </w:pPr>
      <w:rPr>
        <w:rFonts w:ascii="Courier New" w:hAnsi="Courier New" w:hint="default"/>
      </w:rPr>
    </w:lvl>
    <w:lvl w:ilvl="2" w:tplc="CFB02000">
      <w:start w:val="1"/>
      <w:numFmt w:val="bullet"/>
      <w:lvlText w:val=""/>
      <w:lvlJc w:val="left"/>
      <w:pPr>
        <w:ind w:left="2160" w:hanging="360"/>
      </w:pPr>
      <w:rPr>
        <w:rFonts w:ascii="Wingdings" w:hAnsi="Wingdings" w:hint="default"/>
      </w:rPr>
    </w:lvl>
    <w:lvl w:ilvl="3" w:tplc="E4841D98">
      <w:start w:val="1"/>
      <w:numFmt w:val="bullet"/>
      <w:lvlText w:val=""/>
      <w:lvlJc w:val="left"/>
      <w:pPr>
        <w:ind w:left="2880" w:hanging="360"/>
      </w:pPr>
      <w:rPr>
        <w:rFonts w:ascii="Symbol" w:hAnsi="Symbol" w:hint="default"/>
      </w:rPr>
    </w:lvl>
    <w:lvl w:ilvl="4" w:tplc="C5C6C294">
      <w:start w:val="1"/>
      <w:numFmt w:val="bullet"/>
      <w:lvlText w:val="o"/>
      <w:lvlJc w:val="left"/>
      <w:pPr>
        <w:ind w:left="3600" w:hanging="360"/>
      </w:pPr>
      <w:rPr>
        <w:rFonts w:ascii="Courier New" w:hAnsi="Courier New" w:hint="default"/>
      </w:rPr>
    </w:lvl>
    <w:lvl w:ilvl="5" w:tplc="40C8B5FA">
      <w:start w:val="1"/>
      <w:numFmt w:val="bullet"/>
      <w:lvlText w:val=""/>
      <w:lvlJc w:val="left"/>
      <w:pPr>
        <w:ind w:left="4320" w:hanging="360"/>
      </w:pPr>
      <w:rPr>
        <w:rFonts w:ascii="Wingdings" w:hAnsi="Wingdings" w:hint="default"/>
      </w:rPr>
    </w:lvl>
    <w:lvl w:ilvl="6" w:tplc="B5923468">
      <w:start w:val="1"/>
      <w:numFmt w:val="bullet"/>
      <w:lvlText w:val=""/>
      <w:lvlJc w:val="left"/>
      <w:pPr>
        <w:ind w:left="5040" w:hanging="360"/>
      </w:pPr>
      <w:rPr>
        <w:rFonts w:ascii="Symbol" w:hAnsi="Symbol" w:hint="default"/>
      </w:rPr>
    </w:lvl>
    <w:lvl w:ilvl="7" w:tplc="F78C41F6">
      <w:start w:val="1"/>
      <w:numFmt w:val="bullet"/>
      <w:lvlText w:val="o"/>
      <w:lvlJc w:val="left"/>
      <w:pPr>
        <w:ind w:left="5760" w:hanging="360"/>
      </w:pPr>
      <w:rPr>
        <w:rFonts w:ascii="Courier New" w:hAnsi="Courier New" w:hint="default"/>
      </w:rPr>
    </w:lvl>
    <w:lvl w:ilvl="8" w:tplc="CD189B3E">
      <w:start w:val="1"/>
      <w:numFmt w:val="bullet"/>
      <w:lvlText w:val=""/>
      <w:lvlJc w:val="left"/>
      <w:pPr>
        <w:ind w:left="6480" w:hanging="360"/>
      </w:pPr>
      <w:rPr>
        <w:rFonts w:ascii="Wingdings" w:hAnsi="Wingdings" w:hint="default"/>
      </w:rPr>
    </w:lvl>
  </w:abstractNum>
  <w:abstractNum w:abstractNumId="29" w15:restartNumberingAfterBreak="0">
    <w:nsid w:val="3A02DBB9"/>
    <w:multiLevelType w:val="hybridMultilevel"/>
    <w:tmpl w:val="FFFFFFFF"/>
    <w:lvl w:ilvl="0" w:tplc="150E3EE6">
      <w:start w:val="1"/>
      <w:numFmt w:val="bullet"/>
      <w:lvlText w:val="·"/>
      <w:lvlJc w:val="left"/>
      <w:pPr>
        <w:ind w:left="720" w:hanging="360"/>
      </w:pPr>
      <w:rPr>
        <w:rFonts w:ascii="Symbol" w:hAnsi="Symbol" w:hint="default"/>
      </w:rPr>
    </w:lvl>
    <w:lvl w:ilvl="1" w:tplc="6770B9F6">
      <w:start w:val="1"/>
      <w:numFmt w:val="bullet"/>
      <w:lvlText w:val="o"/>
      <w:lvlJc w:val="left"/>
      <w:pPr>
        <w:ind w:left="1440" w:hanging="360"/>
      </w:pPr>
      <w:rPr>
        <w:rFonts w:ascii="Courier New" w:hAnsi="Courier New" w:hint="default"/>
      </w:rPr>
    </w:lvl>
    <w:lvl w:ilvl="2" w:tplc="BE66FBC0">
      <w:start w:val="1"/>
      <w:numFmt w:val="bullet"/>
      <w:lvlText w:val=""/>
      <w:lvlJc w:val="left"/>
      <w:pPr>
        <w:ind w:left="2160" w:hanging="360"/>
      </w:pPr>
      <w:rPr>
        <w:rFonts w:ascii="Wingdings" w:hAnsi="Wingdings" w:hint="default"/>
      </w:rPr>
    </w:lvl>
    <w:lvl w:ilvl="3" w:tplc="97D67390">
      <w:start w:val="1"/>
      <w:numFmt w:val="bullet"/>
      <w:lvlText w:val=""/>
      <w:lvlJc w:val="left"/>
      <w:pPr>
        <w:ind w:left="2880" w:hanging="360"/>
      </w:pPr>
      <w:rPr>
        <w:rFonts w:ascii="Symbol" w:hAnsi="Symbol" w:hint="default"/>
      </w:rPr>
    </w:lvl>
    <w:lvl w:ilvl="4" w:tplc="F4365DA2">
      <w:start w:val="1"/>
      <w:numFmt w:val="bullet"/>
      <w:lvlText w:val="o"/>
      <w:lvlJc w:val="left"/>
      <w:pPr>
        <w:ind w:left="3600" w:hanging="360"/>
      </w:pPr>
      <w:rPr>
        <w:rFonts w:ascii="Courier New" w:hAnsi="Courier New" w:hint="default"/>
      </w:rPr>
    </w:lvl>
    <w:lvl w:ilvl="5" w:tplc="88F6AFD2">
      <w:start w:val="1"/>
      <w:numFmt w:val="bullet"/>
      <w:lvlText w:val=""/>
      <w:lvlJc w:val="left"/>
      <w:pPr>
        <w:ind w:left="4320" w:hanging="360"/>
      </w:pPr>
      <w:rPr>
        <w:rFonts w:ascii="Wingdings" w:hAnsi="Wingdings" w:hint="default"/>
      </w:rPr>
    </w:lvl>
    <w:lvl w:ilvl="6" w:tplc="808C0AE8">
      <w:start w:val="1"/>
      <w:numFmt w:val="bullet"/>
      <w:lvlText w:val=""/>
      <w:lvlJc w:val="left"/>
      <w:pPr>
        <w:ind w:left="5040" w:hanging="360"/>
      </w:pPr>
      <w:rPr>
        <w:rFonts w:ascii="Symbol" w:hAnsi="Symbol" w:hint="default"/>
      </w:rPr>
    </w:lvl>
    <w:lvl w:ilvl="7" w:tplc="CDBA1470">
      <w:start w:val="1"/>
      <w:numFmt w:val="bullet"/>
      <w:lvlText w:val="o"/>
      <w:lvlJc w:val="left"/>
      <w:pPr>
        <w:ind w:left="5760" w:hanging="360"/>
      </w:pPr>
      <w:rPr>
        <w:rFonts w:ascii="Courier New" w:hAnsi="Courier New" w:hint="default"/>
      </w:rPr>
    </w:lvl>
    <w:lvl w:ilvl="8" w:tplc="8CFE61CC">
      <w:start w:val="1"/>
      <w:numFmt w:val="bullet"/>
      <w:lvlText w:val=""/>
      <w:lvlJc w:val="left"/>
      <w:pPr>
        <w:ind w:left="6480" w:hanging="360"/>
      </w:pPr>
      <w:rPr>
        <w:rFonts w:ascii="Wingdings" w:hAnsi="Wingdings" w:hint="default"/>
      </w:rPr>
    </w:lvl>
  </w:abstractNum>
  <w:abstractNum w:abstractNumId="30" w15:restartNumberingAfterBreak="0">
    <w:nsid w:val="3A7550B2"/>
    <w:multiLevelType w:val="multilevel"/>
    <w:tmpl w:val="03F66D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3C2A48DC"/>
    <w:multiLevelType w:val="multilevel"/>
    <w:tmpl w:val="DF64911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3DAE266B"/>
    <w:multiLevelType w:val="hybridMultilevel"/>
    <w:tmpl w:val="FFFFFFFF"/>
    <w:lvl w:ilvl="0" w:tplc="42704B58">
      <w:start w:val="1"/>
      <w:numFmt w:val="bullet"/>
      <w:lvlText w:val="·"/>
      <w:lvlJc w:val="left"/>
      <w:pPr>
        <w:ind w:left="720" w:hanging="360"/>
      </w:pPr>
      <w:rPr>
        <w:rFonts w:ascii="Symbol" w:hAnsi="Symbol" w:hint="default"/>
      </w:rPr>
    </w:lvl>
    <w:lvl w:ilvl="1" w:tplc="CF02FED8">
      <w:start w:val="1"/>
      <w:numFmt w:val="bullet"/>
      <w:lvlText w:val="o"/>
      <w:lvlJc w:val="left"/>
      <w:pPr>
        <w:ind w:left="1440" w:hanging="360"/>
      </w:pPr>
      <w:rPr>
        <w:rFonts w:ascii="Courier New" w:hAnsi="Courier New" w:hint="default"/>
      </w:rPr>
    </w:lvl>
    <w:lvl w:ilvl="2" w:tplc="66C29E12">
      <w:start w:val="1"/>
      <w:numFmt w:val="bullet"/>
      <w:lvlText w:val=""/>
      <w:lvlJc w:val="left"/>
      <w:pPr>
        <w:ind w:left="2160" w:hanging="360"/>
      </w:pPr>
      <w:rPr>
        <w:rFonts w:ascii="Wingdings" w:hAnsi="Wingdings" w:hint="default"/>
      </w:rPr>
    </w:lvl>
    <w:lvl w:ilvl="3" w:tplc="C150D294">
      <w:start w:val="1"/>
      <w:numFmt w:val="bullet"/>
      <w:lvlText w:val=""/>
      <w:lvlJc w:val="left"/>
      <w:pPr>
        <w:ind w:left="2880" w:hanging="360"/>
      </w:pPr>
      <w:rPr>
        <w:rFonts w:ascii="Symbol" w:hAnsi="Symbol" w:hint="default"/>
      </w:rPr>
    </w:lvl>
    <w:lvl w:ilvl="4" w:tplc="18E08C32">
      <w:start w:val="1"/>
      <w:numFmt w:val="bullet"/>
      <w:lvlText w:val="o"/>
      <w:lvlJc w:val="left"/>
      <w:pPr>
        <w:ind w:left="3600" w:hanging="360"/>
      </w:pPr>
      <w:rPr>
        <w:rFonts w:ascii="Courier New" w:hAnsi="Courier New" w:hint="default"/>
      </w:rPr>
    </w:lvl>
    <w:lvl w:ilvl="5" w:tplc="DC80D51E">
      <w:start w:val="1"/>
      <w:numFmt w:val="bullet"/>
      <w:lvlText w:val=""/>
      <w:lvlJc w:val="left"/>
      <w:pPr>
        <w:ind w:left="4320" w:hanging="360"/>
      </w:pPr>
      <w:rPr>
        <w:rFonts w:ascii="Wingdings" w:hAnsi="Wingdings" w:hint="default"/>
      </w:rPr>
    </w:lvl>
    <w:lvl w:ilvl="6" w:tplc="9BD48530">
      <w:start w:val="1"/>
      <w:numFmt w:val="bullet"/>
      <w:lvlText w:val=""/>
      <w:lvlJc w:val="left"/>
      <w:pPr>
        <w:ind w:left="5040" w:hanging="360"/>
      </w:pPr>
      <w:rPr>
        <w:rFonts w:ascii="Symbol" w:hAnsi="Symbol" w:hint="default"/>
      </w:rPr>
    </w:lvl>
    <w:lvl w:ilvl="7" w:tplc="040C8C9A">
      <w:start w:val="1"/>
      <w:numFmt w:val="bullet"/>
      <w:lvlText w:val="o"/>
      <w:lvlJc w:val="left"/>
      <w:pPr>
        <w:ind w:left="5760" w:hanging="360"/>
      </w:pPr>
      <w:rPr>
        <w:rFonts w:ascii="Courier New" w:hAnsi="Courier New" w:hint="default"/>
      </w:rPr>
    </w:lvl>
    <w:lvl w:ilvl="8" w:tplc="7BF83C04">
      <w:start w:val="1"/>
      <w:numFmt w:val="bullet"/>
      <w:lvlText w:val=""/>
      <w:lvlJc w:val="left"/>
      <w:pPr>
        <w:ind w:left="6480" w:hanging="360"/>
      </w:pPr>
      <w:rPr>
        <w:rFonts w:ascii="Wingdings" w:hAnsi="Wingdings" w:hint="default"/>
      </w:rPr>
    </w:lvl>
  </w:abstractNum>
  <w:abstractNum w:abstractNumId="33" w15:restartNumberingAfterBreak="0">
    <w:nsid w:val="433511FB"/>
    <w:multiLevelType w:val="hybridMultilevel"/>
    <w:tmpl w:val="17F2EE16"/>
    <w:lvl w:ilvl="0" w:tplc="D40C4FCE">
      <w:start w:val="80"/>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3C81AEB"/>
    <w:multiLevelType w:val="hybridMultilevel"/>
    <w:tmpl w:val="C2A4B3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46E9A16A"/>
    <w:multiLevelType w:val="hybridMultilevel"/>
    <w:tmpl w:val="FFFFFFFF"/>
    <w:lvl w:ilvl="0" w:tplc="95206DCE">
      <w:start w:val="1"/>
      <w:numFmt w:val="bullet"/>
      <w:lvlText w:val="·"/>
      <w:lvlJc w:val="left"/>
      <w:pPr>
        <w:ind w:left="720" w:hanging="360"/>
      </w:pPr>
      <w:rPr>
        <w:rFonts w:ascii="Symbol" w:hAnsi="Symbol" w:hint="default"/>
      </w:rPr>
    </w:lvl>
    <w:lvl w:ilvl="1" w:tplc="DE04D2DC">
      <w:start w:val="1"/>
      <w:numFmt w:val="bullet"/>
      <w:lvlText w:val="o"/>
      <w:lvlJc w:val="left"/>
      <w:pPr>
        <w:ind w:left="1440" w:hanging="360"/>
      </w:pPr>
      <w:rPr>
        <w:rFonts w:ascii="Courier New" w:hAnsi="Courier New" w:hint="default"/>
      </w:rPr>
    </w:lvl>
    <w:lvl w:ilvl="2" w:tplc="BA48D06E">
      <w:start w:val="1"/>
      <w:numFmt w:val="bullet"/>
      <w:lvlText w:val=""/>
      <w:lvlJc w:val="left"/>
      <w:pPr>
        <w:ind w:left="2160" w:hanging="360"/>
      </w:pPr>
      <w:rPr>
        <w:rFonts w:ascii="Wingdings" w:hAnsi="Wingdings" w:hint="default"/>
      </w:rPr>
    </w:lvl>
    <w:lvl w:ilvl="3" w:tplc="CBFC2528">
      <w:start w:val="1"/>
      <w:numFmt w:val="bullet"/>
      <w:lvlText w:val=""/>
      <w:lvlJc w:val="left"/>
      <w:pPr>
        <w:ind w:left="2880" w:hanging="360"/>
      </w:pPr>
      <w:rPr>
        <w:rFonts w:ascii="Symbol" w:hAnsi="Symbol" w:hint="default"/>
      </w:rPr>
    </w:lvl>
    <w:lvl w:ilvl="4" w:tplc="EE8C2D1A">
      <w:start w:val="1"/>
      <w:numFmt w:val="bullet"/>
      <w:lvlText w:val="o"/>
      <w:lvlJc w:val="left"/>
      <w:pPr>
        <w:ind w:left="3600" w:hanging="360"/>
      </w:pPr>
      <w:rPr>
        <w:rFonts w:ascii="Courier New" w:hAnsi="Courier New" w:hint="default"/>
      </w:rPr>
    </w:lvl>
    <w:lvl w:ilvl="5" w:tplc="CB4E013C">
      <w:start w:val="1"/>
      <w:numFmt w:val="bullet"/>
      <w:lvlText w:val=""/>
      <w:lvlJc w:val="left"/>
      <w:pPr>
        <w:ind w:left="4320" w:hanging="360"/>
      </w:pPr>
      <w:rPr>
        <w:rFonts w:ascii="Wingdings" w:hAnsi="Wingdings" w:hint="default"/>
      </w:rPr>
    </w:lvl>
    <w:lvl w:ilvl="6" w:tplc="AD449862">
      <w:start w:val="1"/>
      <w:numFmt w:val="bullet"/>
      <w:lvlText w:val=""/>
      <w:lvlJc w:val="left"/>
      <w:pPr>
        <w:ind w:left="5040" w:hanging="360"/>
      </w:pPr>
      <w:rPr>
        <w:rFonts w:ascii="Symbol" w:hAnsi="Symbol" w:hint="default"/>
      </w:rPr>
    </w:lvl>
    <w:lvl w:ilvl="7" w:tplc="7FFC8EB4">
      <w:start w:val="1"/>
      <w:numFmt w:val="bullet"/>
      <w:lvlText w:val="o"/>
      <w:lvlJc w:val="left"/>
      <w:pPr>
        <w:ind w:left="5760" w:hanging="360"/>
      </w:pPr>
      <w:rPr>
        <w:rFonts w:ascii="Courier New" w:hAnsi="Courier New" w:hint="default"/>
      </w:rPr>
    </w:lvl>
    <w:lvl w:ilvl="8" w:tplc="30F8146E">
      <w:start w:val="1"/>
      <w:numFmt w:val="bullet"/>
      <w:lvlText w:val=""/>
      <w:lvlJc w:val="left"/>
      <w:pPr>
        <w:ind w:left="6480" w:hanging="360"/>
      </w:pPr>
      <w:rPr>
        <w:rFonts w:ascii="Wingdings" w:hAnsi="Wingdings" w:hint="default"/>
      </w:rPr>
    </w:lvl>
  </w:abstractNum>
  <w:abstractNum w:abstractNumId="36" w15:restartNumberingAfterBreak="0">
    <w:nsid w:val="47095746"/>
    <w:multiLevelType w:val="hybridMultilevel"/>
    <w:tmpl w:val="3628230A"/>
    <w:lvl w:ilvl="0" w:tplc="A26EFB64">
      <w:start w:val="1"/>
      <w:numFmt w:val="bullet"/>
      <w:pStyle w:val="Instructionaltext-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37" w15:restartNumberingAfterBreak="0">
    <w:nsid w:val="4B7FEF37"/>
    <w:multiLevelType w:val="hybridMultilevel"/>
    <w:tmpl w:val="FFFFFFFF"/>
    <w:lvl w:ilvl="0" w:tplc="B00A19F8">
      <w:start w:val="1"/>
      <w:numFmt w:val="bullet"/>
      <w:lvlText w:val="·"/>
      <w:lvlJc w:val="left"/>
      <w:pPr>
        <w:ind w:left="720" w:hanging="360"/>
      </w:pPr>
      <w:rPr>
        <w:rFonts w:ascii="Symbol" w:hAnsi="Symbol" w:hint="default"/>
      </w:rPr>
    </w:lvl>
    <w:lvl w:ilvl="1" w:tplc="9FA616BE">
      <w:start w:val="1"/>
      <w:numFmt w:val="bullet"/>
      <w:lvlText w:val="o"/>
      <w:lvlJc w:val="left"/>
      <w:pPr>
        <w:ind w:left="1440" w:hanging="360"/>
      </w:pPr>
      <w:rPr>
        <w:rFonts w:ascii="Courier New" w:hAnsi="Courier New" w:hint="default"/>
      </w:rPr>
    </w:lvl>
    <w:lvl w:ilvl="2" w:tplc="C4187A40">
      <w:start w:val="1"/>
      <w:numFmt w:val="bullet"/>
      <w:lvlText w:val=""/>
      <w:lvlJc w:val="left"/>
      <w:pPr>
        <w:ind w:left="2160" w:hanging="360"/>
      </w:pPr>
      <w:rPr>
        <w:rFonts w:ascii="Wingdings" w:hAnsi="Wingdings" w:hint="default"/>
      </w:rPr>
    </w:lvl>
    <w:lvl w:ilvl="3" w:tplc="88D4ABF8">
      <w:start w:val="1"/>
      <w:numFmt w:val="bullet"/>
      <w:lvlText w:val=""/>
      <w:lvlJc w:val="left"/>
      <w:pPr>
        <w:ind w:left="2880" w:hanging="360"/>
      </w:pPr>
      <w:rPr>
        <w:rFonts w:ascii="Symbol" w:hAnsi="Symbol" w:hint="default"/>
      </w:rPr>
    </w:lvl>
    <w:lvl w:ilvl="4" w:tplc="C7045B10">
      <w:start w:val="1"/>
      <w:numFmt w:val="bullet"/>
      <w:lvlText w:val="o"/>
      <w:lvlJc w:val="left"/>
      <w:pPr>
        <w:ind w:left="3600" w:hanging="360"/>
      </w:pPr>
      <w:rPr>
        <w:rFonts w:ascii="Courier New" w:hAnsi="Courier New" w:hint="default"/>
      </w:rPr>
    </w:lvl>
    <w:lvl w:ilvl="5" w:tplc="CE542A9E">
      <w:start w:val="1"/>
      <w:numFmt w:val="bullet"/>
      <w:lvlText w:val=""/>
      <w:lvlJc w:val="left"/>
      <w:pPr>
        <w:ind w:left="4320" w:hanging="360"/>
      </w:pPr>
      <w:rPr>
        <w:rFonts w:ascii="Wingdings" w:hAnsi="Wingdings" w:hint="default"/>
      </w:rPr>
    </w:lvl>
    <w:lvl w:ilvl="6" w:tplc="5E66C82A">
      <w:start w:val="1"/>
      <w:numFmt w:val="bullet"/>
      <w:lvlText w:val=""/>
      <w:lvlJc w:val="left"/>
      <w:pPr>
        <w:ind w:left="5040" w:hanging="360"/>
      </w:pPr>
      <w:rPr>
        <w:rFonts w:ascii="Symbol" w:hAnsi="Symbol" w:hint="default"/>
      </w:rPr>
    </w:lvl>
    <w:lvl w:ilvl="7" w:tplc="8B469084">
      <w:start w:val="1"/>
      <w:numFmt w:val="bullet"/>
      <w:lvlText w:val="o"/>
      <w:lvlJc w:val="left"/>
      <w:pPr>
        <w:ind w:left="5760" w:hanging="360"/>
      </w:pPr>
      <w:rPr>
        <w:rFonts w:ascii="Courier New" w:hAnsi="Courier New" w:hint="default"/>
      </w:rPr>
    </w:lvl>
    <w:lvl w:ilvl="8" w:tplc="ABF8F44C">
      <w:start w:val="1"/>
      <w:numFmt w:val="bullet"/>
      <w:lvlText w:val=""/>
      <w:lvlJc w:val="left"/>
      <w:pPr>
        <w:ind w:left="6480" w:hanging="360"/>
      </w:pPr>
      <w:rPr>
        <w:rFonts w:ascii="Wingdings" w:hAnsi="Wingdings" w:hint="default"/>
      </w:rPr>
    </w:lvl>
  </w:abstractNum>
  <w:abstractNum w:abstractNumId="38" w15:restartNumberingAfterBreak="0">
    <w:nsid w:val="4DC0009E"/>
    <w:multiLevelType w:val="hybridMultilevel"/>
    <w:tmpl w:val="BBB6EC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37572EB"/>
    <w:multiLevelType w:val="multilevel"/>
    <w:tmpl w:val="E8FEDB80"/>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40" w15:restartNumberingAfterBreak="0">
    <w:nsid w:val="57109885"/>
    <w:multiLevelType w:val="hybridMultilevel"/>
    <w:tmpl w:val="FFFFFFFF"/>
    <w:lvl w:ilvl="0" w:tplc="780619E6">
      <w:start w:val="1"/>
      <w:numFmt w:val="bullet"/>
      <w:lvlText w:val="·"/>
      <w:lvlJc w:val="left"/>
      <w:pPr>
        <w:ind w:left="720" w:hanging="360"/>
      </w:pPr>
      <w:rPr>
        <w:rFonts w:ascii="Symbol" w:hAnsi="Symbol" w:hint="default"/>
      </w:rPr>
    </w:lvl>
    <w:lvl w:ilvl="1" w:tplc="FF46EE46">
      <w:start w:val="1"/>
      <w:numFmt w:val="bullet"/>
      <w:lvlText w:val="o"/>
      <w:lvlJc w:val="left"/>
      <w:pPr>
        <w:ind w:left="1440" w:hanging="360"/>
      </w:pPr>
      <w:rPr>
        <w:rFonts w:ascii="Courier New" w:hAnsi="Courier New" w:hint="default"/>
      </w:rPr>
    </w:lvl>
    <w:lvl w:ilvl="2" w:tplc="A27AC2B2">
      <w:start w:val="1"/>
      <w:numFmt w:val="bullet"/>
      <w:lvlText w:val=""/>
      <w:lvlJc w:val="left"/>
      <w:pPr>
        <w:ind w:left="2160" w:hanging="360"/>
      </w:pPr>
      <w:rPr>
        <w:rFonts w:ascii="Wingdings" w:hAnsi="Wingdings" w:hint="default"/>
      </w:rPr>
    </w:lvl>
    <w:lvl w:ilvl="3" w:tplc="B04CFE44">
      <w:start w:val="1"/>
      <w:numFmt w:val="bullet"/>
      <w:lvlText w:val=""/>
      <w:lvlJc w:val="left"/>
      <w:pPr>
        <w:ind w:left="2880" w:hanging="360"/>
      </w:pPr>
      <w:rPr>
        <w:rFonts w:ascii="Symbol" w:hAnsi="Symbol" w:hint="default"/>
      </w:rPr>
    </w:lvl>
    <w:lvl w:ilvl="4" w:tplc="34E478E4">
      <w:start w:val="1"/>
      <w:numFmt w:val="bullet"/>
      <w:lvlText w:val="o"/>
      <w:lvlJc w:val="left"/>
      <w:pPr>
        <w:ind w:left="3600" w:hanging="360"/>
      </w:pPr>
      <w:rPr>
        <w:rFonts w:ascii="Courier New" w:hAnsi="Courier New" w:hint="default"/>
      </w:rPr>
    </w:lvl>
    <w:lvl w:ilvl="5" w:tplc="557CF3F0">
      <w:start w:val="1"/>
      <w:numFmt w:val="bullet"/>
      <w:lvlText w:val=""/>
      <w:lvlJc w:val="left"/>
      <w:pPr>
        <w:ind w:left="4320" w:hanging="360"/>
      </w:pPr>
      <w:rPr>
        <w:rFonts w:ascii="Wingdings" w:hAnsi="Wingdings" w:hint="default"/>
      </w:rPr>
    </w:lvl>
    <w:lvl w:ilvl="6" w:tplc="FB06A456">
      <w:start w:val="1"/>
      <w:numFmt w:val="bullet"/>
      <w:lvlText w:val=""/>
      <w:lvlJc w:val="left"/>
      <w:pPr>
        <w:ind w:left="5040" w:hanging="360"/>
      </w:pPr>
      <w:rPr>
        <w:rFonts w:ascii="Symbol" w:hAnsi="Symbol" w:hint="default"/>
      </w:rPr>
    </w:lvl>
    <w:lvl w:ilvl="7" w:tplc="1E0E7E9A">
      <w:start w:val="1"/>
      <w:numFmt w:val="bullet"/>
      <w:lvlText w:val="o"/>
      <w:lvlJc w:val="left"/>
      <w:pPr>
        <w:ind w:left="5760" w:hanging="360"/>
      </w:pPr>
      <w:rPr>
        <w:rFonts w:ascii="Courier New" w:hAnsi="Courier New" w:hint="default"/>
      </w:rPr>
    </w:lvl>
    <w:lvl w:ilvl="8" w:tplc="5ED2372E">
      <w:start w:val="1"/>
      <w:numFmt w:val="bullet"/>
      <w:lvlText w:val=""/>
      <w:lvlJc w:val="left"/>
      <w:pPr>
        <w:ind w:left="6480" w:hanging="360"/>
      </w:pPr>
      <w:rPr>
        <w:rFonts w:ascii="Wingdings" w:hAnsi="Wingdings" w:hint="default"/>
      </w:rPr>
    </w:lvl>
  </w:abstractNum>
  <w:abstractNum w:abstractNumId="41" w15:restartNumberingAfterBreak="0">
    <w:nsid w:val="5A98400E"/>
    <w:multiLevelType w:val="multilevel"/>
    <w:tmpl w:val="2DF69B8A"/>
    <w:lvl w:ilvl="0">
      <w:start w:val="1"/>
      <w:numFmt w:val="bullet"/>
      <w:lvlText w:val="•"/>
      <w:lvlJc w:val="left"/>
      <w:pPr>
        <w:ind w:left="36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5B0CD555"/>
    <w:multiLevelType w:val="hybridMultilevel"/>
    <w:tmpl w:val="FFFFFFFF"/>
    <w:lvl w:ilvl="0" w:tplc="68726CC8">
      <w:start w:val="1"/>
      <w:numFmt w:val="bullet"/>
      <w:lvlText w:val="·"/>
      <w:lvlJc w:val="left"/>
      <w:pPr>
        <w:ind w:left="720" w:hanging="360"/>
      </w:pPr>
      <w:rPr>
        <w:rFonts w:ascii="Symbol" w:hAnsi="Symbol" w:hint="default"/>
      </w:rPr>
    </w:lvl>
    <w:lvl w:ilvl="1" w:tplc="90E89990">
      <w:start w:val="1"/>
      <w:numFmt w:val="bullet"/>
      <w:lvlText w:val="o"/>
      <w:lvlJc w:val="left"/>
      <w:pPr>
        <w:ind w:left="1440" w:hanging="360"/>
      </w:pPr>
      <w:rPr>
        <w:rFonts w:ascii="Courier New" w:hAnsi="Courier New" w:hint="default"/>
      </w:rPr>
    </w:lvl>
    <w:lvl w:ilvl="2" w:tplc="A61ACE0C">
      <w:start w:val="1"/>
      <w:numFmt w:val="bullet"/>
      <w:lvlText w:val=""/>
      <w:lvlJc w:val="left"/>
      <w:pPr>
        <w:ind w:left="2160" w:hanging="360"/>
      </w:pPr>
      <w:rPr>
        <w:rFonts w:ascii="Wingdings" w:hAnsi="Wingdings" w:hint="default"/>
      </w:rPr>
    </w:lvl>
    <w:lvl w:ilvl="3" w:tplc="4580BEF4">
      <w:start w:val="1"/>
      <w:numFmt w:val="bullet"/>
      <w:lvlText w:val=""/>
      <w:lvlJc w:val="left"/>
      <w:pPr>
        <w:ind w:left="2880" w:hanging="360"/>
      </w:pPr>
      <w:rPr>
        <w:rFonts w:ascii="Symbol" w:hAnsi="Symbol" w:hint="default"/>
      </w:rPr>
    </w:lvl>
    <w:lvl w:ilvl="4" w:tplc="0F92AFB0">
      <w:start w:val="1"/>
      <w:numFmt w:val="bullet"/>
      <w:lvlText w:val="o"/>
      <w:lvlJc w:val="left"/>
      <w:pPr>
        <w:ind w:left="3600" w:hanging="360"/>
      </w:pPr>
      <w:rPr>
        <w:rFonts w:ascii="Courier New" w:hAnsi="Courier New" w:hint="default"/>
      </w:rPr>
    </w:lvl>
    <w:lvl w:ilvl="5" w:tplc="7428BB8E">
      <w:start w:val="1"/>
      <w:numFmt w:val="bullet"/>
      <w:lvlText w:val=""/>
      <w:lvlJc w:val="left"/>
      <w:pPr>
        <w:ind w:left="4320" w:hanging="360"/>
      </w:pPr>
      <w:rPr>
        <w:rFonts w:ascii="Wingdings" w:hAnsi="Wingdings" w:hint="default"/>
      </w:rPr>
    </w:lvl>
    <w:lvl w:ilvl="6" w:tplc="BE94DA7A">
      <w:start w:val="1"/>
      <w:numFmt w:val="bullet"/>
      <w:lvlText w:val=""/>
      <w:lvlJc w:val="left"/>
      <w:pPr>
        <w:ind w:left="5040" w:hanging="360"/>
      </w:pPr>
      <w:rPr>
        <w:rFonts w:ascii="Symbol" w:hAnsi="Symbol" w:hint="default"/>
      </w:rPr>
    </w:lvl>
    <w:lvl w:ilvl="7" w:tplc="02A49824">
      <w:start w:val="1"/>
      <w:numFmt w:val="bullet"/>
      <w:lvlText w:val="o"/>
      <w:lvlJc w:val="left"/>
      <w:pPr>
        <w:ind w:left="5760" w:hanging="360"/>
      </w:pPr>
      <w:rPr>
        <w:rFonts w:ascii="Courier New" w:hAnsi="Courier New" w:hint="default"/>
      </w:rPr>
    </w:lvl>
    <w:lvl w:ilvl="8" w:tplc="3ED8324A">
      <w:start w:val="1"/>
      <w:numFmt w:val="bullet"/>
      <w:lvlText w:val=""/>
      <w:lvlJc w:val="left"/>
      <w:pPr>
        <w:ind w:left="6480" w:hanging="360"/>
      </w:pPr>
      <w:rPr>
        <w:rFonts w:ascii="Wingdings" w:hAnsi="Wingdings" w:hint="default"/>
      </w:rPr>
    </w:lvl>
  </w:abstractNum>
  <w:abstractNum w:abstractNumId="43" w15:restartNumberingAfterBreak="0">
    <w:nsid w:val="5CBFC817"/>
    <w:multiLevelType w:val="hybridMultilevel"/>
    <w:tmpl w:val="FFFFFFFF"/>
    <w:lvl w:ilvl="0" w:tplc="7A8A9128">
      <w:start w:val="1"/>
      <w:numFmt w:val="bullet"/>
      <w:lvlText w:val="·"/>
      <w:lvlJc w:val="left"/>
      <w:pPr>
        <w:ind w:left="720" w:hanging="360"/>
      </w:pPr>
      <w:rPr>
        <w:rFonts w:ascii="Symbol" w:hAnsi="Symbol" w:hint="default"/>
      </w:rPr>
    </w:lvl>
    <w:lvl w:ilvl="1" w:tplc="1DDAAD64">
      <w:start w:val="1"/>
      <w:numFmt w:val="bullet"/>
      <w:lvlText w:val="o"/>
      <w:lvlJc w:val="left"/>
      <w:pPr>
        <w:ind w:left="1440" w:hanging="360"/>
      </w:pPr>
      <w:rPr>
        <w:rFonts w:ascii="Courier New" w:hAnsi="Courier New" w:hint="default"/>
      </w:rPr>
    </w:lvl>
    <w:lvl w:ilvl="2" w:tplc="7F02D8D8">
      <w:start w:val="1"/>
      <w:numFmt w:val="bullet"/>
      <w:lvlText w:val=""/>
      <w:lvlJc w:val="left"/>
      <w:pPr>
        <w:ind w:left="2160" w:hanging="360"/>
      </w:pPr>
      <w:rPr>
        <w:rFonts w:ascii="Wingdings" w:hAnsi="Wingdings" w:hint="default"/>
      </w:rPr>
    </w:lvl>
    <w:lvl w:ilvl="3" w:tplc="69D0D498">
      <w:start w:val="1"/>
      <w:numFmt w:val="bullet"/>
      <w:lvlText w:val=""/>
      <w:lvlJc w:val="left"/>
      <w:pPr>
        <w:ind w:left="2880" w:hanging="360"/>
      </w:pPr>
      <w:rPr>
        <w:rFonts w:ascii="Symbol" w:hAnsi="Symbol" w:hint="default"/>
      </w:rPr>
    </w:lvl>
    <w:lvl w:ilvl="4" w:tplc="4C8C22AC">
      <w:start w:val="1"/>
      <w:numFmt w:val="bullet"/>
      <w:lvlText w:val="o"/>
      <w:lvlJc w:val="left"/>
      <w:pPr>
        <w:ind w:left="3600" w:hanging="360"/>
      </w:pPr>
      <w:rPr>
        <w:rFonts w:ascii="Courier New" w:hAnsi="Courier New" w:hint="default"/>
      </w:rPr>
    </w:lvl>
    <w:lvl w:ilvl="5" w:tplc="8C58A2A4">
      <w:start w:val="1"/>
      <w:numFmt w:val="bullet"/>
      <w:lvlText w:val=""/>
      <w:lvlJc w:val="left"/>
      <w:pPr>
        <w:ind w:left="4320" w:hanging="360"/>
      </w:pPr>
      <w:rPr>
        <w:rFonts w:ascii="Wingdings" w:hAnsi="Wingdings" w:hint="default"/>
      </w:rPr>
    </w:lvl>
    <w:lvl w:ilvl="6" w:tplc="02EEE2D2">
      <w:start w:val="1"/>
      <w:numFmt w:val="bullet"/>
      <w:lvlText w:val=""/>
      <w:lvlJc w:val="left"/>
      <w:pPr>
        <w:ind w:left="5040" w:hanging="360"/>
      </w:pPr>
      <w:rPr>
        <w:rFonts w:ascii="Symbol" w:hAnsi="Symbol" w:hint="default"/>
      </w:rPr>
    </w:lvl>
    <w:lvl w:ilvl="7" w:tplc="50BE10D0">
      <w:start w:val="1"/>
      <w:numFmt w:val="bullet"/>
      <w:lvlText w:val="o"/>
      <w:lvlJc w:val="left"/>
      <w:pPr>
        <w:ind w:left="5760" w:hanging="360"/>
      </w:pPr>
      <w:rPr>
        <w:rFonts w:ascii="Courier New" w:hAnsi="Courier New" w:hint="default"/>
      </w:rPr>
    </w:lvl>
    <w:lvl w:ilvl="8" w:tplc="76A298A6">
      <w:start w:val="1"/>
      <w:numFmt w:val="bullet"/>
      <w:lvlText w:val=""/>
      <w:lvlJc w:val="left"/>
      <w:pPr>
        <w:ind w:left="6480" w:hanging="360"/>
      </w:pPr>
      <w:rPr>
        <w:rFonts w:ascii="Wingdings" w:hAnsi="Wingdings" w:hint="default"/>
      </w:rPr>
    </w:lvl>
  </w:abstractNum>
  <w:abstractNum w:abstractNumId="44" w15:restartNumberingAfterBreak="0">
    <w:nsid w:val="60266F6F"/>
    <w:multiLevelType w:val="hybridMultilevel"/>
    <w:tmpl w:val="81507C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1644579"/>
    <w:multiLevelType w:val="hybridMultilevel"/>
    <w:tmpl w:val="FFFFFFFF"/>
    <w:lvl w:ilvl="0" w:tplc="D132F4FA">
      <w:start w:val="1"/>
      <w:numFmt w:val="bullet"/>
      <w:lvlText w:val="·"/>
      <w:lvlJc w:val="left"/>
      <w:pPr>
        <w:ind w:left="720" w:hanging="360"/>
      </w:pPr>
      <w:rPr>
        <w:rFonts w:ascii="Symbol" w:hAnsi="Symbol" w:hint="default"/>
      </w:rPr>
    </w:lvl>
    <w:lvl w:ilvl="1" w:tplc="CEE4BC5A">
      <w:start w:val="1"/>
      <w:numFmt w:val="bullet"/>
      <w:lvlText w:val="o"/>
      <w:lvlJc w:val="left"/>
      <w:pPr>
        <w:ind w:left="1440" w:hanging="360"/>
      </w:pPr>
      <w:rPr>
        <w:rFonts w:ascii="Courier New" w:hAnsi="Courier New" w:hint="default"/>
      </w:rPr>
    </w:lvl>
    <w:lvl w:ilvl="2" w:tplc="61A46D92">
      <w:start w:val="1"/>
      <w:numFmt w:val="bullet"/>
      <w:lvlText w:val=""/>
      <w:lvlJc w:val="left"/>
      <w:pPr>
        <w:ind w:left="2160" w:hanging="360"/>
      </w:pPr>
      <w:rPr>
        <w:rFonts w:ascii="Wingdings" w:hAnsi="Wingdings" w:hint="default"/>
      </w:rPr>
    </w:lvl>
    <w:lvl w:ilvl="3" w:tplc="06DED336">
      <w:start w:val="1"/>
      <w:numFmt w:val="bullet"/>
      <w:lvlText w:val=""/>
      <w:lvlJc w:val="left"/>
      <w:pPr>
        <w:ind w:left="2880" w:hanging="360"/>
      </w:pPr>
      <w:rPr>
        <w:rFonts w:ascii="Symbol" w:hAnsi="Symbol" w:hint="default"/>
      </w:rPr>
    </w:lvl>
    <w:lvl w:ilvl="4" w:tplc="5546C6DE">
      <w:start w:val="1"/>
      <w:numFmt w:val="bullet"/>
      <w:lvlText w:val="o"/>
      <w:lvlJc w:val="left"/>
      <w:pPr>
        <w:ind w:left="3600" w:hanging="360"/>
      </w:pPr>
      <w:rPr>
        <w:rFonts w:ascii="Courier New" w:hAnsi="Courier New" w:hint="default"/>
      </w:rPr>
    </w:lvl>
    <w:lvl w:ilvl="5" w:tplc="DE12E5C4">
      <w:start w:val="1"/>
      <w:numFmt w:val="bullet"/>
      <w:lvlText w:val=""/>
      <w:lvlJc w:val="left"/>
      <w:pPr>
        <w:ind w:left="4320" w:hanging="360"/>
      </w:pPr>
      <w:rPr>
        <w:rFonts w:ascii="Wingdings" w:hAnsi="Wingdings" w:hint="default"/>
      </w:rPr>
    </w:lvl>
    <w:lvl w:ilvl="6" w:tplc="4D089E0A">
      <w:start w:val="1"/>
      <w:numFmt w:val="bullet"/>
      <w:lvlText w:val=""/>
      <w:lvlJc w:val="left"/>
      <w:pPr>
        <w:ind w:left="5040" w:hanging="360"/>
      </w:pPr>
      <w:rPr>
        <w:rFonts w:ascii="Symbol" w:hAnsi="Symbol" w:hint="default"/>
      </w:rPr>
    </w:lvl>
    <w:lvl w:ilvl="7" w:tplc="8CC4BFB6">
      <w:start w:val="1"/>
      <w:numFmt w:val="bullet"/>
      <w:lvlText w:val="o"/>
      <w:lvlJc w:val="left"/>
      <w:pPr>
        <w:ind w:left="5760" w:hanging="360"/>
      </w:pPr>
      <w:rPr>
        <w:rFonts w:ascii="Courier New" w:hAnsi="Courier New" w:hint="default"/>
      </w:rPr>
    </w:lvl>
    <w:lvl w:ilvl="8" w:tplc="40F09972">
      <w:start w:val="1"/>
      <w:numFmt w:val="bullet"/>
      <w:lvlText w:val=""/>
      <w:lvlJc w:val="left"/>
      <w:pPr>
        <w:ind w:left="6480" w:hanging="360"/>
      </w:pPr>
      <w:rPr>
        <w:rFonts w:ascii="Wingdings" w:hAnsi="Wingdings" w:hint="default"/>
      </w:rPr>
    </w:lvl>
  </w:abstractNum>
  <w:abstractNum w:abstractNumId="46" w15:restartNumberingAfterBreak="0">
    <w:nsid w:val="620E0BC1"/>
    <w:multiLevelType w:val="multilevel"/>
    <w:tmpl w:val="532638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63A1669F"/>
    <w:multiLevelType w:val="hybridMultilevel"/>
    <w:tmpl w:val="3796CA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6521CDCA"/>
    <w:multiLevelType w:val="hybridMultilevel"/>
    <w:tmpl w:val="FFFFFFFF"/>
    <w:lvl w:ilvl="0" w:tplc="4A449B70">
      <w:start w:val="1"/>
      <w:numFmt w:val="bullet"/>
      <w:lvlText w:val="·"/>
      <w:lvlJc w:val="left"/>
      <w:pPr>
        <w:ind w:left="720" w:hanging="360"/>
      </w:pPr>
      <w:rPr>
        <w:rFonts w:ascii="Symbol" w:hAnsi="Symbol" w:hint="default"/>
      </w:rPr>
    </w:lvl>
    <w:lvl w:ilvl="1" w:tplc="7E6C54DE">
      <w:start w:val="1"/>
      <w:numFmt w:val="bullet"/>
      <w:lvlText w:val="o"/>
      <w:lvlJc w:val="left"/>
      <w:pPr>
        <w:ind w:left="1440" w:hanging="360"/>
      </w:pPr>
      <w:rPr>
        <w:rFonts w:ascii="Courier New" w:hAnsi="Courier New" w:hint="default"/>
      </w:rPr>
    </w:lvl>
    <w:lvl w:ilvl="2" w:tplc="1A3237DC">
      <w:start w:val="1"/>
      <w:numFmt w:val="bullet"/>
      <w:lvlText w:val=""/>
      <w:lvlJc w:val="left"/>
      <w:pPr>
        <w:ind w:left="2160" w:hanging="360"/>
      </w:pPr>
      <w:rPr>
        <w:rFonts w:ascii="Wingdings" w:hAnsi="Wingdings" w:hint="default"/>
      </w:rPr>
    </w:lvl>
    <w:lvl w:ilvl="3" w:tplc="52DE9986">
      <w:start w:val="1"/>
      <w:numFmt w:val="bullet"/>
      <w:lvlText w:val=""/>
      <w:lvlJc w:val="left"/>
      <w:pPr>
        <w:ind w:left="2880" w:hanging="360"/>
      </w:pPr>
      <w:rPr>
        <w:rFonts w:ascii="Symbol" w:hAnsi="Symbol" w:hint="default"/>
      </w:rPr>
    </w:lvl>
    <w:lvl w:ilvl="4" w:tplc="1B3AE624">
      <w:start w:val="1"/>
      <w:numFmt w:val="bullet"/>
      <w:lvlText w:val="o"/>
      <w:lvlJc w:val="left"/>
      <w:pPr>
        <w:ind w:left="3600" w:hanging="360"/>
      </w:pPr>
      <w:rPr>
        <w:rFonts w:ascii="Courier New" w:hAnsi="Courier New" w:hint="default"/>
      </w:rPr>
    </w:lvl>
    <w:lvl w:ilvl="5" w:tplc="AA783DF8">
      <w:start w:val="1"/>
      <w:numFmt w:val="bullet"/>
      <w:lvlText w:val=""/>
      <w:lvlJc w:val="left"/>
      <w:pPr>
        <w:ind w:left="4320" w:hanging="360"/>
      </w:pPr>
      <w:rPr>
        <w:rFonts w:ascii="Wingdings" w:hAnsi="Wingdings" w:hint="default"/>
      </w:rPr>
    </w:lvl>
    <w:lvl w:ilvl="6" w:tplc="AB64B5A0">
      <w:start w:val="1"/>
      <w:numFmt w:val="bullet"/>
      <w:lvlText w:val=""/>
      <w:lvlJc w:val="left"/>
      <w:pPr>
        <w:ind w:left="5040" w:hanging="360"/>
      </w:pPr>
      <w:rPr>
        <w:rFonts w:ascii="Symbol" w:hAnsi="Symbol" w:hint="default"/>
      </w:rPr>
    </w:lvl>
    <w:lvl w:ilvl="7" w:tplc="2EC811E2">
      <w:start w:val="1"/>
      <w:numFmt w:val="bullet"/>
      <w:lvlText w:val="o"/>
      <w:lvlJc w:val="left"/>
      <w:pPr>
        <w:ind w:left="5760" w:hanging="360"/>
      </w:pPr>
      <w:rPr>
        <w:rFonts w:ascii="Courier New" w:hAnsi="Courier New" w:hint="default"/>
      </w:rPr>
    </w:lvl>
    <w:lvl w:ilvl="8" w:tplc="5C7C6906">
      <w:start w:val="1"/>
      <w:numFmt w:val="bullet"/>
      <w:lvlText w:val=""/>
      <w:lvlJc w:val="left"/>
      <w:pPr>
        <w:ind w:left="6480" w:hanging="360"/>
      </w:pPr>
      <w:rPr>
        <w:rFonts w:ascii="Wingdings" w:hAnsi="Wingdings" w:hint="default"/>
      </w:rPr>
    </w:lvl>
  </w:abstractNum>
  <w:abstractNum w:abstractNumId="49" w15:restartNumberingAfterBreak="0">
    <w:nsid w:val="652F0204"/>
    <w:multiLevelType w:val="hybridMultilevel"/>
    <w:tmpl w:val="0B38AE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67E4AD75"/>
    <w:multiLevelType w:val="hybridMultilevel"/>
    <w:tmpl w:val="FFFFFFFF"/>
    <w:lvl w:ilvl="0" w:tplc="2A7AFD32">
      <w:start w:val="1"/>
      <w:numFmt w:val="bullet"/>
      <w:lvlText w:val="·"/>
      <w:lvlJc w:val="left"/>
      <w:pPr>
        <w:ind w:left="720" w:hanging="360"/>
      </w:pPr>
      <w:rPr>
        <w:rFonts w:ascii="Symbol" w:hAnsi="Symbol" w:hint="default"/>
      </w:rPr>
    </w:lvl>
    <w:lvl w:ilvl="1" w:tplc="1EAC03E6">
      <w:start w:val="1"/>
      <w:numFmt w:val="bullet"/>
      <w:lvlText w:val="o"/>
      <w:lvlJc w:val="left"/>
      <w:pPr>
        <w:ind w:left="1440" w:hanging="360"/>
      </w:pPr>
      <w:rPr>
        <w:rFonts w:ascii="Courier New" w:hAnsi="Courier New" w:hint="default"/>
      </w:rPr>
    </w:lvl>
    <w:lvl w:ilvl="2" w:tplc="DFA8CE92">
      <w:start w:val="1"/>
      <w:numFmt w:val="bullet"/>
      <w:lvlText w:val=""/>
      <w:lvlJc w:val="left"/>
      <w:pPr>
        <w:ind w:left="2160" w:hanging="360"/>
      </w:pPr>
      <w:rPr>
        <w:rFonts w:ascii="Wingdings" w:hAnsi="Wingdings" w:hint="default"/>
      </w:rPr>
    </w:lvl>
    <w:lvl w:ilvl="3" w:tplc="2E3E7A58">
      <w:start w:val="1"/>
      <w:numFmt w:val="bullet"/>
      <w:lvlText w:val=""/>
      <w:lvlJc w:val="left"/>
      <w:pPr>
        <w:ind w:left="2880" w:hanging="360"/>
      </w:pPr>
      <w:rPr>
        <w:rFonts w:ascii="Symbol" w:hAnsi="Symbol" w:hint="default"/>
      </w:rPr>
    </w:lvl>
    <w:lvl w:ilvl="4" w:tplc="21344684">
      <w:start w:val="1"/>
      <w:numFmt w:val="bullet"/>
      <w:lvlText w:val="o"/>
      <w:lvlJc w:val="left"/>
      <w:pPr>
        <w:ind w:left="3600" w:hanging="360"/>
      </w:pPr>
      <w:rPr>
        <w:rFonts w:ascii="Courier New" w:hAnsi="Courier New" w:hint="default"/>
      </w:rPr>
    </w:lvl>
    <w:lvl w:ilvl="5" w:tplc="B9B83D54">
      <w:start w:val="1"/>
      <w:numFmt w:val="bullet"/>
      <w:lvlText w:val=""/>
      <w:lvlJc w:val="left"/>
      <w:pPr>
        <w:ind w:left="4320" w:hanging="360"/>
      </w:pPr>
      <w:rPr>
        <w:rFonts w:ascii="Wingdings" w:hAnsi="Wingdings" w:hint="default"/>
      </w:rPr>
    </w:lvl>
    <w:lvl w:ilvl="6" w:tplc="21286BD0">
      <w:start w:val="1"/>
      <w:numFmt w:val="bullet"/>
      <w:lvlText w:val=""/>
      <w:lvlJc w:val="left"/>
      <w:pPr>
        <w:ind w:left="5040" w:hanging="360"/>
      </w:pPr>
      <w:rPr>
        <w:rFonts w:ascii="Symbol" w:hAnsi="Symbol" w:hint="default"/>
      </w:rPr>
    </w:lvl>
    <w:lvl w:ilvl="7" w:tplc="6D52654E">
      <w:start w:val="1"/>
      <w:numFmt w:val="bullet"/>
      <w:lvlText w:val="o"/>
      <w:lvlJc w:val="left"/>
      <w:pPr>
        <w:ind w:left="5760" w:hanging="360"/>
      </w:pPr>
      <w:rPr>
        <w:rFonts w:ascii="Courier New" w:hAnsi="Courier New" w:hint="default"/>
      </w:rPr>
    </w:lvl>
    <w:lvl w:ilvl="8" w:tplc="EC2CF34A">
      <w:start w:val="1"/>
      <w:numFmt w:val="bullet"/>
      <w:lvlText w:val=""/>
      <w:lvlJc w:val="left"/>
      <w:pPr>
        <w:ind w:left="6480" w:hanging="360"/>
      </w:pPr>
      <w:rPr>
        <w:rFonts w:ascii="Wingdings" w:hAnsi="Wingdings" w:hint="default"/>
      </w:rPr>
    </w:lvl>
  </w:abstractNum>
  <w:abstractNum w:abstractNumId="51" w15:restartNumberingAfterBreak="0">
    <w:nsid w:val="6C460021"/>
    <w:multiLevelType w:val="hybridMultilevel"/>
    <w:tmpl w:val="45EA747E"/>
    <w:lvl w:ilvl="0" w:tplc="0C09000F">
      <w:start w:val="1"/>
      <w:numFmt w:val="decimal"/>
      <w:lvlText w:val="%1."/>
      <w:lvlJc w:val="left"/>
      <w:pPr>
        <w:tabs>
          <w:tab w:val="num" w:pos="360"/>
        </w:tabs>
        <w:ind w:left="360" w:hanging="360"/>
      </w:p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84D033C"/>
    <w:multiLevelType w:val="multilevel"/>
    <w:tmpl w:val="45FC285E"/>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78E81FDC"/>
    <w:multiLevelType w:val="hybridMultilevel"/>
    <w:tmpl w:val="D5C698E8"/>
    <w:lvl w:ilvl="0" w:tplc="A79EC4F8">
      <w:start w:val="1"/>
      <w:numFmt w:val="bullet"/>
      <w:pStyle w:val="BulletBeforeDash"/>
      <w:lvlText w:val="•"/>
      <w:lvlJc w:val="left"/>
      <w:pPr>
        <w:tabs>
          <w:tab w:val="num" w:pos="360"/>
        </w:tabs>
        <w:ind w:left="360" w:hanging="360"/>
      </w:p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A491CCC"/>
    <w:multiLevelType w:val="multilevel"/>
    <w:tmpl w:val="DDE8C3AE"/>
    <w:lvl w:ilvl="0">
      <w:start w:val="1"/>
      <w:numFmt w:val="bullet"/>
      <w:lvlText w:val="●"/>
      <w:lvlJc w:val="left"/>
      <w:pPr>
        <w:ind w:left="357" w:hanging="357"/>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 w15:restartNumberingAfterBreak="0">
    <w:nsid w:val="7D6F6CD5"/>
    <w:multiLevelType w:val="multilevel"/>
    <w:tmpl w:val="DC648742"/>
    <w:lvl w:ilvl="0">
      <w:start w:val="1"/>
      <w:numFmt w:val="decimal"/>
      <w:lvlText w:val="%1."/>
      <w:lvlJc w:val="left"/>
      <w:pPr>
        <w:ind w:left="36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6" w15:restartNumberingAfterBreak="0">
    <w:nsid w:val="7F181516"/>
    <w:multiLevelType w:val="hybridMultilevel"/>
    <w:tmpl w:val="FF9EE7EA"/>
    <w:lvl w:ilvl="0" w:tplc="99525AAE">
      <w:start w:val="1"/>
      <w:numFmt w:val="decimal"/>
      <w:pStyle w:val="Nnumberedlist"/>
      <w:lvlText w:val="%1."/>
      <w:lvlJc w:val="left"/>
      <w:pPr>
        <w:tabs>
          <w:tab w:val="num" w:pos="1440"/>
        </w:tabs>
        <w:ind w:left="1440" w:hanging="360"/>
      </w:pPr>
    </w:lvl>
    <w:lvl w:ilvl="1" w:tplc="389C2200" w:tentative="1">
      <w:start w:val="1"/>
      <w:numFmt w:val="lowerLetter"/>
      <w:lvlText w:val="%2."/>
      <w:lvlJc w:val="left"/>
      <w:pPr>
        <w:tabs>
          <w:tab w:val="num" w:pos="2160"/>
        </w:tabs>
        <w:ind w:left="2160" w:hanging="360"/>
      </w:pPr>
    </w:lvl>
    <w:lvl w:ilvl="2" w:tplc="C3F8B188" w:tentative="1">
      <w:start w:val="1"/>
      <w:numFmt w:val="lowerRoman"/>
      <w:lvlText w:val="%3."/>
      <w:lvlJc w:val="right"/>
      <w:pPr>
        <w:tabs>
          <w:tab w:val="num" w:pos="2880"/>
        </w:tabs>
        <w:ind w:left="2880" w:hanging="180"/>
      </w:pPr>
    </w:lvl>
    <w:lvl w:ilvl="3" w:tplc="391E97F0" w:tentative="1">
      <w:start w:val="1"/>
      <w:numFmt w:val="decimal"/>
      <w:lvlText w:val="%4."/>
      <w:lvlJc w:val="left"/>
      <w:pPr>
        <w:tabs>
          <w:tab w:val="num" w:pos="3600"/>
        </w:tabs>
        <w:ind w:left="3600" w:hanging="360"/>
      </w:pPr>
    </w:lvl>
    <w:lvl w:ilvl="4" w:tplc="4F42265E" w:tentative="1">
      <w:start w:val="1"/>
      <w:numFmt w:val="lowerLetter"/>
      <w:lvlText w:val="%5."/>
      <w:lvlJc w:val="left"/>
      <w:pPr>
        <w:tabs>
          <w:tab w:val="num" w:pos="4320"/>
        </w:tabs>
        <w:ind w:left="4320" w:hanging="360"/>
      </w:pPr>
    </w:lvl>
    <w:lvl w:ilvl="5" w:tplc="30546058" w:tentative="1">
      <w:start w:val="1"/>
      <w:numFmt w:val="lowerRoman"/>
      <w:lvlText w:val="%6."/>
      <w:lvlJc w:val="right"/>
      <w:pPr>
        <w:tabs>
          <w:tab w:val="num" w:pos="5040"/>
        </w:tabs>
        <w:ind w:left="5040" w:hanging="180"/>
      </w:pPr>
    </w:lvl>
    <w:lvl w:ilvl="6" w:tplc="6E10F0C6" w:tentative="1">
      <w:start w:val="1"/>
      <w:numFmt w:val="decimal"/>
      <w:lvlText w:val="%7."/>
      <w:lvlJc w:val="left"/>
      <w:pPr>
        <w:tabs>
          <w:tab w:val="num" w:pos="5760"/>
        </w:tabs>
        <w:ind w:left="5760" w:hanging="360"/>
      </w:pPr>
    </w:lvl>
    <w:lvl w:ilvl="7" w:tplc="70B07B9C" w:tentative="1">
      <w:start w:val="1"/>
      <w:numFmt w:val="lowerLetter"/>
      <w:lvlText w:val="%8."/>
      <w:lvlJc w:val="left"/>
      <w:pPr>
        <w:tabs>
          <w:tab w:val="num" w:pos="6480"/>
        </w:tabs>
        <w:ind w:left="6480" w:hanging="360"/>
      </w:pPr>
    </w:lvl>
    <w:lvl w:ilvl="8" w:tplc="9BF48AAC" w:tentative="1">
      <w:start w:val="1"/>
      <w:numFmt w:val="lowerRoman"/>
      <w:lvlText w:val="%9."/>
      <w:lvlJc w:val="right"/>
      <w:pPr>
        <w:tabs>
          <w:tab w:val="num" w:pos="7200"/>
        </w:tabs>
        <w:ind w:left="7200" w:hanging="180"/>
      </w:pPr>
    </w:lvl>
  </w:abstractNum>
  <w:num w:numId="1" w16cid:durableId="28577356">
    <w:abstractNumId w:val="55"/>
  </w:num>
  <w:num w:numId="2" w16cid:durableId="313535099">
    <w:abstractNumId w:val="25"/>
  </w:num>
  <w:num w:numId="3" w16cid:durableId="1576235273">
    <w:abstractNumId w:val="46"/>
  </w:num>
  <w:num w:numId="4" w16cid:durableId="1900239077">
    <w:abstractNumId w:val="39"/>
  </w:num>
  <w:num w:numId="5" w16cid:durableId="497426373">
    <w:abstractNumId w:val="54"/>
  </w:num>
  <w:num w:numId="6" w16cid:durableId="173492821">
    <w:abstractNumId w:val="22"/>
  </w:num>
  <w:num w:numId="7" w16cid:durableId="1117800638">
    <w:abstractNumId w:val="7"/>
  </w:num>
  <w:num w:numId="8" w16cid:durableId="1967544399">
    <w:abstractNumId w:val="24"/>
  </w:num>
  <w:num w:numId="9" w16cid:durableId="1502046905">
    <w:abstractNumId w:val="20"/>
  </w:num>
  <w:num w:numId="10" w16cid:durableId="1283417813">
    <w:abstractNumId w:val="30"/>
  </w:num>
  <w:num w:numId="11" w16cid:durableId="2074615788">
    <w:abstractNumId w:val="41"/>
  </w:num>
  <w:num w:numId="12" w16cid:durableId="1789812756">
    <w:abstractNumId w:val="31"/>
  </w:num>
  <w:num w:numId="13" w16cid:durableId="70656799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0815895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811541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31121418">
    <w:abstractNumId w:val="27"/>
  </w:num>
  <w:num w:numId="17" w16cid:durableId="1210414548">
    <w:abstractNumId w:val="56"/>
  </w:num>
  <w:num w:numId="18" w16cid:durableId="1969973453">
    <w:abstractNumId w:val="8"/>
  </w:num>
  <w:num w:numId="19" w16cid:durableId="2034839087">
    <w:abstractNumId w:val="13"/>
  </w:num>
  <w:num w:numId="20" w16cid:durableId="1750496664">
    <w:abstractNumId w:val="52"/>
  </w:num>
  <w:num w:numId="21" w16cid:durableId="96600681">
    <w:abstractNumId w:val="19"/>
  </w:num>
  <w:num w:numId="22" w16cid:durableId="1087577628">
    <w:abstractNumId w:val="21"/>
  </w:num>
  <w:num w:numId="23" w16cid:durableId="543638939">
    <w:abstractNumId w:val="26"/>
  </w:num>
  <w:num w:numId="24" w16cid:durableId="1355956774">
    <w:abstractNumId w:val="36"/>
  </w:num>
  <w:num w:numId="25" w16cid:durableId="1654140568">
    <w:abstractNumId w:val="16"/>
  </w:num>
  <w:num w:numId="26" w16cid:durableId="1666276942">
    <w:abstractNumId w:val="47"/>
  </w:num>
  <w:num w:numId="27" w16cid:durableId="2142066206">
    <w:abstractNumId w:val="14"/>
  </w:num>
  <w:num w:numId="28" w16cid:durableId="2082407801">
    <w:abstractNumId w:val="18"/>
  </w:num>
  <w:num w:numId="29" w16cid:durableId="1608854624">
    <w:abstractNumId w:val="38"/>
  </w:num>
  <w:num w:numId="30" w16cid:durableId="1993561925">
    <w:abstractNumId w:val="33"/>
  </w:num>
  <w:num w:numId="31" w16cid:durableId="2133667567">
    <w:abstractNumId w:val="11"/>
  </w:num>
  <w:num w:numId="32" w16cid:durableId="246308262">
    <w:abstractNumId w:val="0"/>
  </w:num>
  <w:num w:numId="33" w16cid:durableId="290550074">
    <w:abstractNumId w:val="9"/>
  </w:num>
  <w:num w:numId="34" w16cid:durableId="1160273323">
    <w:abstractNumId w:val="53"/>
  </w:num>
  <w:num w:numId="35" w16cid:durableId="758596068">
    <w:abstractNumId w:val="4"/>
  </w:num>
  <w:num w:numId="36" w16cid:durableId="1819108393">
    <w:abstractNumId w:val="10"/>
  </w:num>
  <w:num w:numId="37" w16cid:durableId="1609048890">
    <w:abstractNumId w:val="1"/>
  </w:num>
  <w:num w:numId="38" w16cid:durableId="1364213855">
    <w:abstractNumId w:val="51"/>
    <w:lvlOverride w:ilvl="0">
      <w:startOverride w:val="1"/>
    </w:lvlOverride>
    <w:lvlOverride w:ilvl="1"/>
    <w:lvlOverride w:ilvl="2"/>
    <w:lvlOverride w:ilvl="3"/>
    <w:lvlOverride w:ilvl="4"/>
    <w:lvlOverride w:ilvl="5"/>
    <w:lvlOverride w:ilvl="6"/>
    <w:lvlOverride w:ilvl="7"/>
    <w:lvlOverride w:ilvl="8"/>
  </w:num>
  <w:num w:numId="39" w16cid:durableId="1521895549">
    <w:abstractNumId w:val="42"/>
  </w:num>
  <w:num w:numId="40" w16cid:durableId="1506703094">
    <w:abstractNumId w:val="5"/>
  </w:num>
  <w:num w:numId="41" w16cid:durableId="1598781591">
    <w:abstractNumId w:val="2"/>
  </w:num>
  <w:num w:numId="42" w16cid:durableId="1991395909">
    <w:abstractNumId w:val="50"/>
  </w:num>
  <w:num w:numId="43" w16cid:durableId="1892302335">
    <w:abstractNumId w:val="43"/>
  </w:num>
  <w:num w:numId="44" w16cid:durableId="96607402">
    <w:abstractNumId w:val="45"/>
  </w:num>
  <w:num w:numId="45" w16cid:durableId="852112988">
    <w:abstractNumId w:val="35"/>
  </w:num>
  <w:num w:numId="46" w16cid:durableId="1008823403">
    <w:abstractNumId w:val="37"/>
  </w:num>
  <w:num w:numId="47" w16cid:durableId="946355717">
    <w:abstractNumId w:val="23"/>
  </w:num>
  <w:num w:numId="48" w16cid:durableId="649749605">
    <w:abstractNumId w:val="3"/>
  </w:num>
  <w:num w:numId="49" w16cid:durableId="826943900">
    <w:abstractNumId w:val="6"/>
  </w:num>
  <w:num w:numId="50" w16cid:durableId="1760756174">
    <w:abstractNumId w:val="32"/>
  </w:num>
  <w:num w:numId="51" w16cid:durableId="1987322738">
    <w:abstractNumId w:val="28"/>
  </w:num>
  <w:num w:numId="52" w16cid:durableId="490678379">
    <w:abstractNumId w:val="40"/>
  </w:num>
  <w:num w:numId="53" w16cid:durableId="1904639179">
    <w:abstractNumId w:val="48"/>
  </w:num>
  <w:num w:numId="54" w16cid:durableId="1778061836">
    <w:abstractNumId w:val="29"/>
  </w:num>
  <w:num w:numId="55" w16cid:durableId="1411460702">
    <w:abstractNumId w:val="12"/>
  </w:num>
  <w:num w:numId="56" w16cid:durableId="242374432">
    <w:abstractNumId w:val="17"/>
  </w:num>
  <w:num w:numId="57" w16cid:durableId="1449004494">
    <w:abstractNumId w:val="49"/>
  </w:num>
  <w:num w:numId="58" w16cid:durableId="394738202">
    <w:abstractNumId w:val="34"/>
  </w:num>
  <w:num w:numId="59" w16cid:durableId="202600200">
    <w:abstractNumId w:val="44"/>
  </w:num>
  <w:num w:numId="60" w16cid:durableId="1487479205">
    <w:abstractNumId w:val="15"/>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evenAndOddHeaders/>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4A7"/>
    <w:rsid w:val="00000112"/>
    <w:rsid w:val="00000426"/>
    <w:rsid w:val="000006DF"/>
    <w:rsid w:val="00000E6F"/>
    <w:rsid w:val="0000109A"/>
    <w:rsid w:val="00001A9A"/>
    <w:rsid w:val="00001AE6"/>
    <w:rsid w:val="00001BB7"/>
    <w:rsid w:val="00001CF1"/>
    <w:rsid w:val="00001DB6"/>
    <w:rsid w:val="00001FB8"/>
    <w:rsid w:val="00002121"/>
    <w:rsid w:val="00002229"/>
    <w:rsid w:val="0000235E"/>
    <w:rsid w:val="000024E1"/>
    <w:rsid w:val="000024FF"/>
    <w:rsid w:val="00002621"/>
    <w:rsid w:val="00003323"/>
    <w:rsid w:val="000033B2"/>
    <w:rsid w:val="000034DA"/>
    <w:rsid w:val="00003576"/>
    <w:rsid w:val="00003C5C"/>
    <w:rsid w:val="00003CA8"/>
    <w:rsid w:val="0000416D"/>
    <w:rsid w:val="000042FD"/>
    <w:rsid w:val="000043D2"/>
    <w:rsid w:val="0000453A"/>
    <w:rsid w:val="000045B1"/>
    <w:rsid w:val="00004D39"/>
    <w:rsid w:val="00004D61"/>
    <w:rsid w:val="00004D69"/>
    <w:rsid w:val="00004F7F"/>
    <w:rsid w:val="000054C9"/>
    <w:rsid w:val="000058E3"/>
    <w:rsid w:val="00005BBB"/>
    <w:rsid w:val="00005FB4"/>
    <w:rsid w:val="000063B3"/>
    <w:rsid w:val="0000650B"/>
    <w:rsid w:val="00006625"/>
    <w:rsid w:val="0000686F"/>
    <w:rsid w:val="00006A7C"/>
    <w:rsid w:val="00006D4E"/>
    <w:rsid w:val="00006F6F"/>
    <w:rsid w:val="00007309"/>
    <w:rsid w:val="00007632"/>
    <w:rsid w:val="00007DAA"/>
    <w:rsid w:val="00007EAA"/>
    <w:rsid w:val="00010624"/>
    <w:rsid w:val="00010BE8"/>
    <w:rsid w:val="00011568"/>
    <w:rsid w:val="00011719"/>
    <w:rsid w:val="00011FEA"/>
    <w:rsid w:val="000120E4"/>
    <w:rsid w:val="000124D8"/>
    <w:rsid w:val="00012CBA"/>
    <w:rsid w:val="00012F5F"/>
    <w:rsid w:val="000135B1"/>
    <w:rsid w:val="00013984"/>
    <w:rsid w:val="000139A1"/>
    <w:rsid w:val="00013CCE"/>
    <w:rsid w:val="00013F19"/>
    <w:rsid w:val="00014267"/>
    <w:rsid w:val="000143A2"/>
    <w:rsid w:val="00014679"/>
    <w:rsid w:val="00014974"/>
    <w:rsid w:val="00014A1F"/>
    <w:rsid w:val="00014D43"/>
    <w:rsid w:val="000157BA"/>
    <w:rsid w:val="0001598D"/>
    <w:rsid w:val="00015BD2"/>
    <w:rsid w:val="00015C73"/>
    <w:rsid w:val="00015DC2"/>
    <w:rsid w:val="0001657E"/>
    <w:rsid w:val="000168FE"/>
    <w:rsid w:val="0001690C"/>
    <w:rsid w:val="000169ED"/>
    <w:rsid w:val="000173AD"/>
    <w:rsid w:val="00017509"/>
    <w:rsid w:val="00017787"/>
    <w:rsid w:val="000179D9"/>
    <w:rsid w:val="00017B8A"/>
    <w:rsid w:val="00017F36"/>
    <w:rsid w:val="00017FB3"/>
    <w:rsid w:val="00020221"/>
    <w:rsid w:val="000206C4"/>
    <w:rsid w:val="00020927"/>
    <w:rsid w:val="000211ED"/>
    <w:rsid w:val="0002125A"/>
    <w:rsid w:val="000214F5"/>
    <w:rsid w:val="00021780"/>
    <w:rsid w:val="00021D28"/>
    <w:rsid w:val="00021FB0"/>
    <w:rsid w:val="000220E4"/>
    <w:rsid w:val="000228B8"/>
    <w:rsid w:val="00022BF4"/>
    <w:rsid w:val="0002381B"/>
    <w:rsid w:val="00023D3E"/>
    <w:rsid w:val="00023D58"/>
    <w:rsid w:val="00024086"/>
    <w:rsid w:val="000242B6"/>
    <w:rsid w:val="00024ADF"/>
    <w:rsid w:val="00024EA5"/>
    <w:rsid w:val="00025030"/>
    <w:rsid w:val="000251A5"/>
    <w:rsid w:val="00025381"/>
    <w:rsid w:val="00025500"/>
    <w:rsid w:val="00026147"/>
    <w:rsid w:val="00026440"/>
    <w:rsid w:val="00026775"/>
    <w:rsid w:val="000267FF"/>
    <w:rsid w:val="000268E5"/>
    <w:rsid w:val="00026A33"/>
    <w:rsid w:val="0002755F"/>
    <w:rsid w:val="000277EB"/>
    <w:rsid w:val="00027B18"/>
    <w:rsid w:val="00027CEC"/>
    <w:rsid w:val="00030E17"/>
    <w:rsid w:val="0003117A"/>
    <w:rsid w:val="000313AB"/>
    <w:rsid w:val="00031878"/>
    <w:rsid w:val="00031B5C"/>
    <w:rsid w:val="00031BA3"/>
    <w:rsid w:val="00031C9F"/>
    <w:rsid w:val="00031F5C"/>
    <w:rsid w:val="00032024"/>
    <w:rsid w:val="000321B6"/>
    <w:rsid w:val="000331E4"/>
    <w:rsid w:val="000336D4"/>
    <w:rsid w:val="0003391F"/>
    <w:rsid w:val="00033F68"/>
    <w:rsid w:val="0003423A"/>
    <w:rsid w:val="00034289"/>
    <w:rsid w:val="0003477F"/>
    <w:rsid w:val="000349FD"/>
    <w:rsid w:val="00034CE8"/>
    <w:rsid w:val="00034F7B"/>
    <w:rsid w:val="00035B38"/>
    <w:rsid w:val="00035DBD"/>
    <w:rsid w:val="00035E6C"/>
    <w:rsid w:val="0003613A"/>
    <w:rsid w:val="0003633B"/>
    <w:rsid w:val="00036AD8"/>
    <w:rsid w:val="00036B7C"/>
    <w:rsid w:val="00036C5A"/>
    <w:rsid w:val="00037037"/>
    <w:rsid w:val="0003710B"/>
    <w:rsid w:val="00037302"/>
    <w:rsid w:val="000375A4"/>
    <w:rsid w:val="0003793E"/>
    <w:rsid w:val="00037F9E"/>
    <w:rsid w:val="0004005D"/>
    <w:rsid w:val="0004056F"/>
    <w:rsid w:val="00040686"/>
    <w:rsid w:val="000407D4"/>
    <w:rsid w:val="00040A80"/>
    <w:rsid w:val="00040ADF"/>
    <w:rsid w:val="00040FB4"/>
    <w:rsid w:val="000410B0"/>
    <w:rsid w:val="0004114E"/>
    <w:rsid w:val="00041448"/>
    <w:rsid w:val="0004150B"/>
    <w:rsid w:val="0004178C"/>
    <w:rsid w:val="000419F1"/>
    <w:rsid w:val="00041A2E"/>
    <w:rsid w:val="00041F5D"/>
    <w:rsid w:val="00041FE9"/>
    <w:rsid w:val="00042088"/>
    <w:rsid w:val="0004221A"/>
    <w:rsid w:val="000428D8"/>
    <w:rsid w:val="00043062"/>
    <w:rsid w:val="0004306B"/>
    <w:rsid w:val="00043080"/>
    <w:rsid w:val="0004318E"/>
    <w:rsid w:val="00043AE6"/>
    <w:rsid w:val="00043D67"/>
    <w:rsid w:val="00044301"/>
    <w:rsid w:val="000443A6"/>
    <w:rsid w:val="000446A4"/>
    <w:rsid w:val="000449D1"/>
    <w:rsid w:val="00044C72"/>
    <w:rsid w:val="00044D39"/>
    <w:rsid w:val="00044F8A"/>
    <w:rsid w:val="000451AF"/>
    <w:rsid w:val="00045247"/>
    <w:rsid w:val="00045B8D"/>
    <w:rsid w:val="00045BC5"/>
    <w:rsid w:val="00045CC5"/>
    <w:rsid w:val="00045EAB"/>
    <w:rsid w:val="00045FE6"/>
    <w:rsid w:val="0004603A"/>
    <w:rsid w:val="00046930"/>
    <w:rsid w:val="00046B6A"/>
    <w:rsid w:val="00046F7B"/>
    <w:rsid w:val="00047148"/>
    <w:rsid w:val="000472D4"/>
    <w:rsid w:val="00047DDE"/>
    <w:rsid w:val="000501EF"/>
    <w:rsid w:val="0005031B"/>
    <w:rsid w:val="00050594"/>
    <w:rsid w:val="00050B9C"/>
    <w:rsid w:val="00050DA8"/>
    <w:rsid w:val="0005132E"/>
    <w:rsid w:val="000513E4"/>
    <w:rsid w:val="00051528"/>
    <w:rsid w:val="0005181D"/>
    <w:rsid w:val="000526B3"/>
    <w:rsid w:val="00052A6A"/>
    <w:rsid w:val="00052B74"/>
    <w:rsid w:val="00052DD3"/>
    <w:rsid w:val="0005326D"/>
    <w:rsid w:val="000533A4"/>
    <w:rsid w:val="000534D9"/>
    <w:rsid w:val="00053A99"/>
    <w:rsid w:val="00053BA6"/>
    <w:rsid w:val="00053C4F"/>
    <w:rsid w:val="00053F6C"/>
    <w:rsid w:val="00053F7F"/>
    <w:rsid w:val="00054021"/>
    <w:rsid w:val="000541CE"/>
    <w:rsid w:val="0005429C"/>
    <w:rsid w:val="000542AF"/>
    <w:rsid w:val="00054463"/>
    <w:rsid w:val="00054684"/>
    <w:rsid w:val="0005485D"/>
    <w:rsid w:val="00054884"/>
    <w:rsid w:val="00055118"/>
    <w:rsid w:val="0005568A"/>
    <w:rsid w:val="00055DD5"/>
    <w:rsid w:val="00055F5E"/>
    <w:rsid w:val="00056603"/>
    <w:rsid w:val="00056DAE"/>
    <w:rsid w:val="00057334"/>
    <w:rsid w:val="0005766E"/>
    <w:rsid w:val="00057A48"/>
    <w:rsid w:val="00060C14"/>
    <w:rsid w:val="00060DDD"/>
    <w:rsid w:val="00060FD9"/>
    <w:rsid w:val="00061168"/>
    <w:rsid w:val="00061395"/>
    <w:rsid w:val="000614AC"/>
    <w:rsid w:val="00061C39"/>
    <w:rsid w:val="00061C7A"/>
    <w:rsid w:val="00061E67"/>
    <w:rsid w:val="00062463"/>
    <w:rsid w:val="00062485"/>
    <w:rsid w:val="000629A9"/>
    <w:rsid w:val="000631A8"/>
    <w:rsid w:val="0006335C"/>
    <w:rsid w:val="0006339C"/>
    <w:rsid w:val="00063475"/>
    <w:rsid w:val="000638E4"/>
    <w:rsid w:val="00063EED"/>
    <w:rsid w:val="000640D2"/>
    <w:rsid w:val="00064558"/>
    <w:rsid w:val="000646E1"/>
    <w:rsid w:val="00064783"/>
    <w:rsid w:val="000647C2"/>
    <w:rsid w:val="000647DE"/>
    <w:rsid w:val="000649AE"/>
    <w:rsid w:val="0006513A"/>
    <w:rsid w:val="00065610"/>
    <w:rsid w:val="00065635"/>
    <w:rsid w:val="000656EC"/>
    <w:rsid w:val="00066575"/>
    <w:rsid w:val="0006685C"/>
    <w:rsid w:val="00066A2F"/>
    <w:rsid w:val="0006751D"/>
    <w:rsid w:val="00067A8D"/>
    <w:rsid w:val="00067C56"/>
    <w:rsid w:val="00067D51"/>
    <w:rsid w:val="0007021F"/>
    <w:rsid w:val="000705FF"/>
    <w:rsid w:val="0007076D"/>
    <w:rsid w:val="0007093C"/>
    <w:rsid w:val="000709A0"/>
    <w:rsid w:val="00070E30"/>
    <w:rsid w:val="00070F22"/>
    <w:rsid w:val="00070FA3"/>
    <w:rsid w:val="0007118B"/>
    <w:rsid w:val="000714B3"/>
    <w:rsid w:val="00071A8D"/>
    <w:rsid w:val="000728FC"/>
    <w:rsid w:val="00072A8F"/>
    <w:rsid w:val="00072BDC"/>
    <w:rsid w:val="00072C59"/>
    <w:rsid w:val="00072E28"/>
    <w:rsid w:val="000732A1"/>
    <w:rsid w:val="000732F9"/>
    <w:rsid w:val="00073414"/>
    <w:rsid w:val="00073488"/>
    <w:rsid w:val="000735F3"/>
    <w:rsid w:val="00073652"/>
    <w:rsid w:val="00074030"/>
    <w:rsid w:val="00074199"/>
    <w:rsid w:val="00074383"/>
    <w:rsid w:val="0007452E"/>
    <w:rsid w:val="00074596"/>
    <w:rsid w:val="000745DC"/>
    <w:rsid w:val="0007529A"/>
    <w:rsid w:val="0007536F"/>
    <w:rsid w:val="00075A9A"/>
    <w:rsid w:val="00076038"/>
    <w:rsid w:val="000761F1"/>
    <w:rsid w:val="00076ACB"/>
    <w:rsid w:val="00076D5C"/>
    <w:rsid w:val="00077B56"/>
    <w:rsid w:val="00077ECA"/>
    <w:rsid w:val="00080241"/>
    <w:rsid w:val="0008060E"/>
    <w:rsid w:val="0008070D"/>
    <w:rsid w:val="00080A81"/>
    <w:rsid w:val="00080CFC"/>
    <w:rsid w:val="00080D72"/>
    <w:rsid w:val="00081778"/>
    <w:rsid w:val="0008179F"/>
    <w:rsid w:val="000819A6"/>
    <w:rsid w:val="000819DA"/>
    <w:rsid w:val="00081E46"/>
    <w:rsid w:val="00082881"/>
    <w:rsid w:val="00082C8A"/>
    <w:rsid w:val="00082E81"/>
    <w:rsid w:val="00082F75"/>
    <w:rsid w:val="0008369A"/>
    <w:rsid w:val="00083BCA"/>
    <w:rsid w:val="00084BB7"/>
    <w:rsid w:val="00084D90"/>
    <w:rsid w:val="000858DC"/>
    <w:rsid w:val="00085A64"/>
    <w:rsid w:val="00085DC8"/>
    <w:rsid w:val="000867D9"/>
    <w:rsid w:val="000867DD"/>
    <w:rsid w:val="000868C4"/>
    <w:rsid w:val="000870B6"/>
    <w:rsid w:val="000875FE"/>
    <w:rsid w:val="000876EC"/>
    <w:rsid w:val="0008794F"/>
    <w:rsid w:val="000902D4"/>
    <w:rsid w:val="00090366"/>
    <w:rsid w:val="000904A2"/>
    <w:rsid w:val="000904D9"/>
    <w:rsid w:val="00090613"/>
    <w:rsid w:val="00090B78"/>
    <w:rsid w:val="00090BD1"/>
    <w:rsid w:val="000913D1"/>
    <w:rsid w:val="00091440"/>
    <w:rsid w:val="0009184C"/>
    <w:rsid w:val="00091857"/>
    <w:rsid w:val="00091C59"/>
    <w:rsid w:val="00092286"/>
    <w:rsid w:val="000922F0"/>
    <w:rsid w:val="0009238E"/>
    <w:rsid w:val="00092565"/>
    <w:rsid w:val="00092A1C"/>
    <w:rsid w:val="00092A21"/>
    <w:rsid w:val="00092D59"/>
    <w:rsid w:val="00093062"/>
    <w:rsid w:val="0009317B"/>
    <w:rsid w:val="000934C8"/>
    <w:rsid w:val="000936F8"/>
    <w:rsid w:val="00093902"/>
    <w:rsid w:val="00093A82"/>
    <w:rsid w:val="00093B00"/>
    <w:rsid w:val="00093CA0"/>
    <w:rsid w:val="00093D9A"/>
    <w:rsid w:val="00093F76"/>
    <w:rsid w:val="00094349"/>
    <w:rsid w:val="0009435A"/>
    <w:rsid w:val="00094403"/>
    <w:rsid w:val="00094656"/>
    <w:rsid w:val="00094936"/>
    <w:rsid w:val="00094AA1"/>
    <w:rsid w:val="0009510E"/>
    <w:rsid w:val="000959CB"/>
    <w:rsid w:val="00095B2A"/>
    <w:rsid w:val="00095C5E"/>
    <w:rsid w:val="00095C60"/>
    <w:rsid w:val="00096027"/>
    <w:rsid w:val="000960AB"/>
    <w:rsid w:val="000961A2"/>
    <w:rsid w:val="00096485"/>
    <w:rsid w:val="00096B52"/>
    <w:rsid w:val="00097092"/>
    <w:rsid w:val="000972A3"/>
    <w:rsid w:val="00097A59"/>
    <w:rsid w:val="00097D63"/>
    <w:rsid w:val="000A0089"/>
    <w:rsid w:val="000A0684"/>
    <w:rsid w:val="000A0768"/>
    <w:rsid w:val="000A0FA5"/>
    <w:rsid w:val="000A10BF"/>
    <w:rsid w:val="000A135A"/>
    <w:rsid w:val="000A1AE1"/>
    <w:rsid w:val="000A1B04"/>
    <w:rsid w:val="000A203E"/>
    <w:rsid w:val="000A20E8"/>
    <w:rsid w:val="000A22EE"/>
    <w:rsid w:val="000A266D"/>
    <w:rsid w:val="000A26FE"/>
    <w:rsid w:val="000A2ACD"/>
    <w:rsid w:val="000A2B65"/>
    <w:rsid w:val="000A2DA8"/>
    <w:rsid w:val="000A315B"/>
    <w:rsid w:val="000A33CA"/>
    <w:rsid w:val="000A34F1"/>
    <w:rsid w:val="000A3517"/>
    <w:rsid w:val="000A35E7"/>
    <w:rsid w:val="000A37DB"/>
    <w:rsid w:val="000A3CBE"/>
    <w:rsid w:val="000A4713"/>
    <w:rsid w:val="000A4766"/>
    <w:rsid w:val="000A4C07"/>
    <w:rsid w:val="000A50EA"/>
    <w:rsid w:val="000A5216"/>
    <w:rsid w:val="000A5358"/>
    <w:rsid w:val="000A5449"/>
    <w:rsid w:val="000A5587"/>
    <w:rsid w:val="000A564B"/>
    <w:rsid w:val="000A5C47"/>
    <w:rsid w:val="000A5DBE"/>
    <w:rsid w:val="000A629E"/>
    <w:rsid w:val="000A6338"/>
    <w:rsid w:val="000A64AB"/>
    <w:rsid w:val="000A64D9"/>
    <w:rsid w:val="000A6771"/>
    <w:rsid w:val="000A69F8"/>
    <w:rsid w:val="000A6A1F"/>
    <w:rsid w:val="000A6B30"/>
    <w:rsid w:val="000A6B6E"/>
    <w:rsid w:val="000A6BA9"/>
    <w:rsid w:val="000A6DF3"/>
    <w:rsid w:val="000A779F"/>
    <w:rsid w:val="000A7B43"/>
    <w:rsid w:val="000B00FC"/>
    <w:rsid w:val="000B024D"/>
    <w:rsid w:val="000B0299"/>
    <w:rsid w:val="000B03F6"/>
    <w:rsid w:val="000B0630"/>
    <w:rsid w:val="000B090B"/>
    <w:rsid w:val="000B0917"/>
    <w:rsid w:val="000B0AD2"/>
    <w:rsid w:val="000B0F50"/>
    <w:rsid w:val="000B1414"/>
    <w:rsid w:val="000B1991"/>
    <w:rsid w:val="000B1D8A"/>
    <w:rsid w:val="000B1E38"/>
    <w:rsid w:val="000B2450"/>
    <w:rsid w:val="000B293F"/>
    <w:rsid w:val="000B2FDA"/>
    <w:rsid w:val="000B3330"/>
    <w:rsid w:val="000B38DC"/>
    <w:rsid w:val="000B3C4D"/>
    <w:rsid w:val="000B42EA"/>
    <w:rsid w:val="000B4FFF"/>
    <w:rsid w:val="000B5078"/>
    <w:rsid w:val="000B521E"/>
    <w:rsid w:val="000B5A6D"/>
    <w:rsid w:val="000B6230"/>
    <w:rsid w:val="000B6462"/>
    <w:rsid w:val="000B6A6F"/>
    <w:rsid w:val="000B6B61"/>
    <w:rsid w:val="000B6CF0"/>
    <w:rsid w:val="000B720C"/>
    <w:rsid w:val="000B7538"/>
    <w:rsid w:val="000B7665"/>
    <w:rsid w:val="000B77F3"/>
    <w:rsid w:val="000B7F63"/>
    <w:rsid w:val="000C0715"/>
    <w:rsid w:val="000C0A39"/>
    <w:rsid w:val="000C0DD4"/>
    <w:rsid w:val="000C119D"/>
    <w:rsid w:val="000C1A37"/>
    <w:rsid w:val="000C1ECC"/>
    <w:rsid w:val="000C211C"/>
    <w:rsid w:val="000C2C1F"/>
    <w:rsid w:val="000C2C62"/>
    <w:rsid w:val="000C2CEC"/>
    <w:rsid w:val="000C3559"/>
    <w:rsid w:val="000C36DF"/>
    <w:rsid w:val="000C3848"/>
    <w:rsid w:val="000C3D1F"/>
    <w:rsid w:val="000C3F7B"/>
    <w:rsid w:val="000C4128"/>
    <w:rsid w:val="000C42BE"/>
    <w:rsid w:val="000C468C"/>
    <w:rsid w:val="000C47DC"/>
    <w:rsid w:val="000C4933"/>
    <w:rsid w:val="000C4B75"/>
    <w:rsid w:val="000C4BA5"/>
    <w:rsid w:val="000C4EEC"/>
    <w:rsid w:val="000C5088"/>
    <w:rsid w:val="000C5113"/>
    <w:rsid w:val="000C52EE"/>
    <w:rsid w:val="000C5A05"/>
    <w:rsid w:val="000C641B"/>
    <w:rsid w:val="000C66CC"/>
    <w:rsid w:val="000C6836"/>
    <w:rsid w:val="000C6CDB"/>
    <w:rsid w:val="000C7009"/>
    <w:rsid w:val="000C73DE"/>
    <w:rsid w:val="000C795B"/>
    <w:rsid w:val="000C7A30"/>
    <w:rsid w:val="000C7ABF"/>
    <w:rsid w:val="000C7C46"/>
    <w:rsid w:val="000C7D74"/>
    <w:rsid w:val="000C7F05"/>
    <w:rsid w:val="000D01D8"/>
    <w:rsid w:val="000D0B79"/>
    <w:rsid w:val="000D0DA9"/>
    <w:rsid w:val="000D1B52"/>
    <w:rsid w:val="000D1D26"/>
    <w:rsid w:val="000D2809"/>
    <w:rsid w:val="000D2880"/>
    <w:rsid w:val="000D29D4"/>
    <w:rsid w:val="000D2A11"/>
    <w:rsid w:val="000D2B6D"/>
    <w:rsid w:val="000D31AE"/>
    <w:rsid w:val="000D3633"/>
    <w:rsid w:val="000D3722"/>
    <w:rsid w:val="000D3904"/>
    <w:rsid w:val="000D39B4"/>
    <w:rsid w:val="000D3C50"/>
    <w:rsid w:val="000D3C7F"/>
    <w:rsid w:val="000D3E8E"/>
    <w:rsid w:val="000D3FD3"/>
    <w:rsid w:val="000D40E5"/>
    <w:rsid w:val="000D4299"/>
    <w:rsid w:val="000D4597"/>
    <w:rsid w:val="000D4937"/>
    <w:rsid w:val="000D4C1B"/>
    <w:rsid w:val="000D4E2E"/>
    <w:rsid w:val="000D503F"/>
    <w:rsid w:val="000D5509"/>
    <w:rsid w:val="000D5523"/>
    <w:rsid w:val="000D5DB2"/>
    <w:rsid w:val="000D5EC3"/>
    <w:rsid w:val="000D6201"/>
    <w:rsid w:val="000D64A6"/>
    <w:rsid w:val="000D6543"/>
    <w:rsid w:val="000D6C41"/>
    <w:rsid w:val="000D779B"/>
    <w:rsid w:val="000D7D0B"/>
    <w:rsid w:val="000D7E91"/>
    <w:rsid w:val="000E03DC"/>
    <w:rsid w:val="000E04E1"/>
    <w:rsid w:val="000E0B14"/>
    <w:rsid w:val="000E1124"/>
    <w:rsid w:val="000E11B5"/>
    <w:rsid w:val="000E1222"/>
    <w:rsid w:val="000E1900"/>
    <w:rsid w:val="000E1D3B"/>
    <w:rsid w:val="000E1F72"/>
    <w:rsid w:val="000E2BD6"/>
    <w:rsid w:val="000E2DC3"/>
    <w:rsid w:val="000E324D"/>
    <w:rsid w:val="000E3811"/>
    <w:rsid w:val="000E3E4E"/>
    <w:rsid w:val="000E3ED2"/>
    <w:rsid w:val="000E3FAE"/>
    <w:rsid w:val="000E451E"/>
    <w:rsid w:val="000E470E"/>
    <w:rsid w:val="000E4CB0"/>
    <w:rsid w:val="000E4D40"/>
    <w:rsid w:val="000E500F"/>
    <w:rsid w:val="000E51B0"/>
    <w:rsid w:val="000E5531"/>
    <w:rsid w:val="000E5694"/>
    <w:rsid w:val="000E5BD3"/>
    <w:rsid w:val="000E5DA9"/>
    <w:rsid w:val="000E635F"/>
    <w:rsid w:val="000E6375"/>
    <w:rsid w:val="000E6410"/>
    <w:rsid w:val="000E6641"/>
    <w:rsid w:val="000E678B"/>
    <w:rsid w:val="000E6D70"/>
    <w:rsid w:val="000E6F38"/>
    <w:rsid w:val="000E702F"/>
    <w:rsid w:val="000E70A1"/>
    <w:rsid w:val="000E72B3"/>
    <w:rsid w:val="000E7381"/>
    <w:rsid w:val="000E747B"/>
    <w:rsid w:val="000E7712"/>
    <w:rsid w:val="000E7839"/>
    <w:rsid w:val="000F005E"/>
    <w:rsid w:val="000F0AE6"/>
    <w:rsid w:val="000F0ED4"/>
    <w:rsid w:val="000F13AB"/>
    <w:rsid w:val="000F19D6"/>
    <w:rsid w:val="000F1DE5"/>
    <w:rsid w:val="000F216B"/>
    <w:rsid w:val="000F22CC"/>
    <w:rsid w:val="000F2BE1"/>
    <w:rsid w:val="000F2C1A"/>
    <w:rsid w:val="000F2DA1"/>
    <w:rsid w:val="000F2E01"/>
    <w:rsid w:val="000F3081"/>
    <w:rsid w:val="000F3713"/>
    <w:rsid w:val="000F3B14"/>
    <w:rsid w:val="000F3F7B"/>
    <w:rsid w:val="000F4142"/>
    <w:rsid w:val="000F438E"/>
    <w:rsid w:val="000F4510"/>
    <w:rsid w:val="000F4B7B"/>
    <w:rsid w:val="000F4DFF"/>
    <w:rsid w:val="000F4F7E"/>
    <w:rsid w:val="000F56F5"/>
    <w:rsid w:val="000F5A54"/>
    <w:rsid w:val="000F5E44"/>
    <w:rsid w:val="000F6073"/>
    <w:rsid w:val="000F636C"/>
    <w:rsid w:val="000F693A"/>
    <w:rsid w:val="000F7166"/>
    <w:rsid w:val="000F71F6"/>
    <w:rsid w:val="000F7257"/>
    <w:rsid w:val="000F752A"/>
    <w:rsid w:val="000F7860"/>
    <w:rsid w:val="000F7987"/>
    <w:rsid w:val="000F79AF"/>
    <w:rsid w:val="000F7C2C"/>
    <w:rsid w:val="000F7CCA"/>
    <w:rsid w:val="000FB578"/>
    <w:rsid w:val="001002A4"/>
    <w:rsid w:val="0010051C"/>
    <w:rsid w:val="001006DD"/>
    <w:rsid w:val="001008AF"/>
    <w:rsid w:val="00100EFD"/>
    <w:rsid w:val="00101540"/>
    <w:rsid w:val="001017A3"/>
    <w:rsid w:val="0010188A"/>
    <w:rsid w:val="001018EF"/>
    <w:rsid w:val="00101F09"/>
    <w:rsid w:val="0010222F"/>
    <w:rsid w:val="00103463"/>
    <w:rsid w:val="001034CE"/>
    <w:rsid w:val="0010395A"/>
    <w:rsid w:val="00104410"/>
    <w:rsid w:val="0010448B"/>
    <w:rsid w:val="001045D2"/>
    <w:rsid w:val="0010470D"/>
    <w:rsid w:val="001048D8"/>
    <w:rsid w:val="0010496B"/>
    <w:rsid w:val="001049DD"/>
    <w:rsid w:val="00104A19"/>
    <w:rsid w:val="00104BD4"/>
    <w:rsid w:val="00104BEC"/>
    <w:rsid w:val="00104CDA"/>
    <w:rsid w:val="0010521F"/>
    <w:rsid w:val="001052A6"/>
    <w:rsid w:val="0010534C"/>
    <w:rsid w:val="00105A13"/>
    <w:rsid w:val="00105B40"/>
    <w:rsid w:val="001060E2"/>
    <w:rsid w:val="0010625A"/>
    <w:rsid w:val="0010675D"/>
    <w:rsid w:val="001069A6"/>
    <w:rsid w:val="00107524"/>
    <w:rsid w:val="001075D5"/>
    <w:rsid w:val="0010772B"/>
    <w:rsid w:val="00107782"/>
    <w:rsid w:val="00107784"/>
    <w:rsid w:val="0010787F"/>
    <w:rsid w:val="00107C18"/>
    <w:rsid w:val="00107C2C"/>
    <w:rsid w:val="00107C53"/>
    <w:rsid w:val="00107DCD"/>
    <w:rsid w:val="00107EF0"/>
    <w:rsid w:val="001102CE"/>
    <w:rsid w:val="00110585"/>
    <w:rsid w:val="00111417"/>
    <w:rsid w:val="001114E6"/>
    <w:rsid w:val="001115CA"/>
    <w:rsid w:val="00111941"/>
    <w:rsid w:val="00111A0F"/>
    <w:rsid w:val="00112070"/>
    <w:rsid w:val="0011258F"/>
    <w:rsid w:val="001126C1"/>
    <w:rsid w:val="001127C1"/>
    <w:rsid w:val="00112AD8"/>
    <w:rsid w:val="00112AFF"/>
    <w:rsid w:val="00112C15"/>
    <w:rsid w:val="00112EAC"/>
    <w:rsid w:val="001132B9"/>
    <w:rsid w:val="00113353"/>
    <w:rsid w:val="0011381B"/>
    <w:rsid w:val="00113B9F"/>
    <w:rsid w:val="00113C60"/>
    <w:rsid w:val="001142B8"/>
    <w:rsid w:val="00114449"/>
    <w:rsid w:val="00114C3B"/>
    <w:rsid w:val="001150A6"/>
    <w:rsid w:val="001155F3"/>
    <w:rsid w:val="00115691"/>
    <w:rsid w:val="00115E69"/>
    <w:rsid w:val="00115EF2"/>
    <w:rsid w:val="0011609A"/>
    <w:rsid w:val="001163C1"/>
    <w:rsid w:val="00116D82"/>
    <w:rsid w:val="00116F85"/>
    <w:rsid w:val="00117039"/>
    <w:rsid w:val="001172B9"/>
    <w:rsid w:val="001174B8"/>
    <w:rsid w:val="00117653"/>
    <w:rsid w:val="0011797B"/>
    <w:rsid w:val="00117A89"/>
    <w:rsid w:val="00117F04"/>
    <w:rsid w:val="00117FE7"/>
    <w:rsid w:val="0012000A"/>
    <w:rsid w:val="0012010F"/>
    <w:rsid w:val="00120386"/>
    <w:rsid w:val="001203F5"/>
    <w:rsid w:val="001204FA"/>
    <w:rsid w:val="001206E2"/>
    <w:rsid w:val="0012087E"/>
    <w:rsid w:val="00120A0F"/>
    <w:rsid w:val="00120A5E"/>
    <w:rsid w:val="00121121"/>
    <w:rsid w:val="00121205"/>
    <w:rsid w:val="00121502"/>
    <w:rsid w:val="00121CFA"/>
    <w:rsid w:val="00121F46"/>
    <w:rsid w:val="001223CA"/>
    <w:rsid w:val="001223D8"/>
    <w:rsid w:val="00122705"/>
    <w:rsid w:val="00122AE3"/>
    <w:rsid w:val="00122EE1"/>
    <w:rsid w:val="00123424"/>
    <w:rsid w:val="00123525"/>
    <w:rsid w:val="00123658"/>
    <w:rsid w:val="001237AF"/>
    <w:rsid w:val="0012428A"/>
    <w:rsid w:val="001246B8"/>
    <w:rsid w:val="001247EB"/>
    <w:rsid w:val="001248E9"/>
    <w:rsid w:val="00124F3C"/>
    <w:rsid w:val="0012544C"/>
    <w:rsid w:val="00125561"/>
    <w:rsid w:val="00125804"/>
    <w:rsid w:val="00125B61"/>
    <w:rsid w:val="00126122"/>
    <w:rsid w:val="0012612C"/>
    <w:rsid w:val="001269BE"/>
    <w:rsid w:val="00126A03"/>
    <w:rsid w:val="001270BD"/>
    <w:rsid w:val="001270BE"/>
    <w:rsid w:val="001276D2"/>
    <w:rsid w:val="001276F9"/>
    <w:rsid w:val="00127957"/>
    <w:rsid w:val="00127D03"/>
    <w:rsid w:val="00130120"/>
    <w:rsid w:val="0013039E"/>
    <w:rsid w:val="00130743"/>
    <w:rsid w:val="00130A14"/>
    <w:rsid w:val="00130D66"/>
    <w:rsid w:val="00130E3D"/>
    <w:rsid w:val="00131315"/>
    <w:rsid w:val="00131932"/>
    <w:rsid w:val="00131D45"/>
    <w:rsid w:val="001320C2"/>
    <w:rsid w:val="001320F0"/>
    <w:rsid w:val="001322BD"/>
    <w:rsid w:val="00132641"/>
    <w:rsid w:val="00132BFE"/>
    <w:rsid w:val="00132EE4"/>
    <w:rsid w:val="0013313E"/>
    <w:rsid w:val="001336E0"/>
    <w:rsid w:val="00133F34"/>
    <w:rsid w:val="00134138"/>
    <w:rsid w:val="0013414B"/>
    <w:rsid w:val="001345EA"/>
    <w:rsid w:val="0013492D"/>
    <w:rsid w:val="00134B1C"/>
    <w:rsid w:val="00134FE4"/>
    <w:rsid w:val="00135273"/>
    <w:rsid w:val="00135523"/>
    <w:rsid w:val="00135B1B"/>
    <w:rsid w:val="00135B60"/>
    <w:rsid w:val="00135EDB"/>
    <w:rsid w:val="00135FC9"/>
    <w:rsid w:val="00136002"/>
    <w:rsid w:val="001367D8"/>
    <w:rsid w:val="00136A1F"/>
    <w:rsid w:val="00136FD5"/>
    <w:rsid w:val="00137050"/>
    <w:rsid w:val="0013730D"/>
    <w:rsid w:val="00140338"/>
    <w:rsid w:val="0014075E"/>
    <w:rsid w:val="001408C9"/>
    <w:rsid w:val="00141A9E"/>
    <w:rsid w:val="00141F1C"/>
    <w:rsid w:val="00142087"/>
    <w:rsid w:val="001420DC"/>
    <w:rsid w:val="0014214B"/>
    <w:rsid w:val="0014214C"/>
    <w:rsid w:val="001426F0"/>
    <w:rsid w:val="001429C5"/>
    <w:rsid w:val="00142EA9"/>
    <w:rsid w:val="00143478"/>
    <w:rsid w:val="001438B7"/>
    <w:rsid w:val="00143BB3"/>
    <w:rsid w:val="00143F1E"/>
    <w:rsid w:val="00143F2F"/>
    <w:rsid w:val="0014438F"/>
    <w:rsid w:val="001444DE"/>
    <w:rsid w:val="00144BA3"/>
    <w:rsid w:val="00144CEB"/>
    <w:rsid w:val="00144E6E"/>
    <w:rsid w:val="0014545D"/>
    <w:rsid w:val="001456A1"/>
    <w:rsid w:val="00145BBF"/>
    <w:rsid w:val="00145E7D"/>
    <w:rsid w:val="00146214"/>
    <w:rsid w:val="0014652C"/>
    <w:rsid w:val="0014655B"/>
    <w:rsid w:val="00146624"/>
    <w:rsid w:val="0014668B"/>
    <w:rsid w:val="001468EB"/>
    <w:rsid w:val="00146B09"/>
    <w:rsid w:val="00146EDB"/>
    <w:rsid w:val="001477D0"/>
    <w:rsid w:val="0014798E"/>
    <w:rsid w:val="00147FC4"/>
    <w:rsid w:val="00150376"/>
    <w:rsid w:val="001505DD"/>
    <w:rsid w:val="00150B49"/>
    <w:rsid w:val="00150CEA"/>
    <w:rsid w:val="00151240"/>
    <w:rsid w:val="00151369"/>
    <w:rsid w:val="00151819"/>
    <w:rsid w:val="00151908"/>
    <w:rsid w:val="00151C1B"/>
    <w:rsid w:val="00151DBD"/>
    <w:rsid w:val="00152017"/>
    <w:rsid w:val="00152024"/>
    <w:rsid w:val="00152323"/>
    <w:rsid w:val="00152DC3"/>
    <w:rsid w:val="00152F8A"/>
    <w:rsid w:val="001531D6"/>
    <w:rsid w:val="00153DFA"/>
    <w:rsid w:val="0015406B"/>
    <w:rsid w:val="00154821"/>
    <w:rsid w:val="001548A2"/>
    <w:rsid w:val="001549BD"/>
    <w:rsid w:val="001550C3"/>
    <w:rsid w:val="00155434"/>
    <w:rsid w:val="00155568"/>
    <w:rsid w:val="00155630"/>
    <w:rsid w:val="00155BDA"/>
    <w:rsid w:val="00155C15"/>
    <w:rsid w:val="00155C77"/>
    <w:rsid w:val="00155E0A"/>
    <w:rsid w:val="00156D14"/>
    <w:rsid w:val="00156E4F"/>
    <w:rsid w:val="00156FA7"/>
    <w:rsid w:val="001572C3"/>
    <w:rsid w:val="001574D8"/>
    <w:rsid w:val="00157858"/>
    <w:rsid w:val="001600A9"/>
    <w:rsid w:val="0016023A"/>
    <w:rsid w:val="0016042C"/>
    <w:rsid w:val="001604E1"/>
    <w:rsid w:val="00160667"/>
    <w:rsid w:val="001608AA"/>
    <w:rsid w:val="00160D59"/>
    <w:rsid w:val="00161291"/>
    <w:rsid w:val="0016177B"/>
    <w:rsid w:val="001618F8"/>
    <w:rsid w:val="00161CE9"/>
    <w:rsid w:val="001625EF"/>
    <w:rsid w:val="00162A64"/>
    <w:rsid w:val="00162AEA"/>
    <w:rsid w:val="00162CA6"/>
    <w:rsid w:val="00162DBF"/>
    <w:rsid w:val="00162F53"/>
    <w:rsid w:val="0016358D"/>
    <w:rsid w:val="00163CD9"/>
    <w:rsid w:val="00164098"/>
    <w:rsid w:val="0016420C"/>
    <w:rsid w:val="001643BC"/>
    <w:rsid w:val="001644DD"/>
    <w:rsid w:val="0016471C"/>
    <w:rsid w:val="00164A46"/>
    <w:rsid w:val="00164CF8"/>
    <w:rsid w:val="001653AE"/>
    <w:rsid w:val="00165692"/>
    <w:rsid w:val="00165D62"/>
    <w:rsid w:val="00165F3B"/>
    <w:rsid w:val="00166100"/>
    <w:rsid w:val="001665DE"/>
    <w:rsid w:val="00166C29"/>
    <w:rsid w:val="00167A20"/>
    <w:rsid w:val="00167A3D"/>
    <w:rsid w:val="00170616"/>
    <w:rsid w:val="001707F2"/>
    <w:rsid w:val="00170B5B"/>
    <w:rsid w:val="00170D2C"/>
    <w:rsid w:val="00170D5B"/>
    <w:rsid w:val="00171159"/>
    <w:rsid w:val="00171177"/>
    <w:rsid w:val="001712C2"/>
    <w:rsid w:val="00171BFA"/>
    <w:rsid w:val="00171F58"/>
    <w:rsid w:val="00172324"/>
    <w:rsid w:val="00172531"/>
    <w:rsid w:val="00172614"/>
    <w:rsid w:val="00172B8F"/>
    <w:rsid w:val="001736F8"/>
    <w:rsid w:val="00173D85"/>
    <w:rsid w:val="001743A1"/>
    <w:rsid w:val="00174B07"/>
    <w:rsid w:val="00174FD4"/>
    <w:rsid w:val="00175116"/>
    <w:rsid w:val="001755E5"/>
    <w:rsid w:val="00175696"/>
    <w:rsid w:val="00175A67"/>
    <w:rsid w:val="00175AE8"/>
    <w:rsid w:val="00175F13"/>
    <w:rsid w:val="001769BE"/>
    <w:rsid w:val="0017717A"/>
    <w:rsid w:val="00177C27"/>
    <w:rsid w:val="00180008"/>
    <w:rsid w:val="0018037E"/>
    <w:rsid w:val="00180494"/>
    <w:rsid w:val="00180627"/>
    <w:rsid w:val="00180746"/>
    <w:rsid w:val="00180970"/>
    <w:rsid w:val="00180974"/>
    <w:rsid w:val="00180A73"/>
    <w:rsid w:val="00180B8D"/>
    <w:rsid w:val="00180C20"/>
    <w:rsid w:val="001810F7"/>
    <w:rsid w:val="00181756"/>
    <w:rsid w:val="0018240B"/>
    <w:rsid w:val="001827B8"/>
    <w:rsid w:val="001831A5"/>
    <w:rsid w:val="0018364B"/>
    <w:rsid w:val="001836F9"/>
    <w:rsid w:val="001838D2"/>
    <w:rsid w:val="00184289"/>
    <w:rsid w:val="00184603"/>
    <w:rsid w:val="00184684"/>
    <w:rsid w:val="00184801"/>
    <w:rsid w:val="00184834"/>
    <w:rsid w:val="00184B06"/>
    <w:rsid w:val="00184B84"/>
    <w:rsid w:val="00184BAE"/>
    <w:rsid w:val="001855FD"/>
    <w:rsid w:val="00186025"/>
    <w:rsid w:val="0018609B"/>
    <w:rsid w:val="0018678E"/>
    <w:rsid w:val="001867A5"/>
    <w:rsid w:val="00186C82"/>
    <w:rsid w:val="00186F80"/>
    <w:rsid w:val="0018711C"/>
    <w:rsid w:val="001875BB"/>
    <w:rsid w:val="00187809"/>
    <w:rsid w:val="00187A37"/>
    <w:rsid w:val="00187DD4"/>
    <w:rsid w:val="00187E34"/>
    <w:rsid w:val="00187E3B"/>
    <w:rsid w:val="00190010"/>
    <w:rsid w:val="0019008F"/>
    <w:rsid w:val="0019015B"/>
    <w:rsid w:val="001904B4"/>
    <w:rsid w:val="001904EC"/>
    <w:rsid w:val="001907C4"/>
    <w:rsid w:val="0019085B"/>
    <w:rsid w:val="0019177A"/>
    <w:rsid w:val="001919EB"/>
    <w:rsid w:val="00191C58"/>
    <w:rsid w:val="00191D97"/>
    <w:rsid w:val="00191D98"/>
    <w:rsid w:val="001925DA"/>
    <w:rsid w:val="00192F7E"/>
    <w:rsid w:val="00193140"/>
    <w:rsid w:val="0019360F"/>
    <w:rsid w:val="0019362A"/>
    <w:rsid w:val="00193BA0"/>
    <w:rsid w:val="00194069"/>
    <w:rsid w:val="0019474E"/>
    <w:rsid w:val="00194A88"/>
    <w:rsid w:val="00195588"/>
    <w:rsid w:val="001956DC"/>
    <w:rsid w:val="00195728"/>
    <w:rsid w:val="00195731"/>
    <w:rsid w:val="001960E5"/>
    <w:rsid w:val="00196262"/>
    <w:rsid w:val="001962BD"/>
    <w:rsid w:val="001963F8"/>
    <w:rsid w:val="00196B39"/>
    <w:rsid w:val="00196BE4"/>
    <w:rsid w:val="001970C0"/>
    <w:rsid w:val="00197C16"/>
    <w:rsid w:val="00197DB9"/>
    <w:rsid w:val="00197DE4"/>
    <w:rsid w:val="00197EAA"/>
    <w:rsid w:val="00197FC0"/>
    <w:rsid w:val="001A0918"/>
    <w:rsid w:val="001A0A6F"/>
    <w:rsid w:val="001A1017"/>
    <w:rsid w:val="001A1265"/>
    <w:rsid w:val="001A1422"/>
    <w:rsid w:val="001A1CB7"/>
    <w:rsid w:val="001A1E34"/>
    <w:rsid w:val="001A20A1"/>
    <w:rsid w:val="001A333D"/>
    <w:rsid w:val="001A34D3"/>
    <w:rsid w:val="001A3597"/>
    <w:rsid w:val="001A3AA7"/>
    <w:rsid w:val="001A3BAD"/>
    <w:rsid w:val="001A3FCA"/>
    <w:rsid w:val="001A4038"/>
    <w:rsid w:val="001A420B"/>
    <w:rsid w:val="001A472A"/>
    <w:rsid w:val="001A4A81"/>
    <w:rsid w:val="001A4B97"/>
    <w:rsid w:val="001A4F7D"/>
    <w:rsid w:val="001A56E5"/>
    <w:rsid w:val="001A57A9"/>
    <w:rsid w:val="001A57CD"/>
    <w:rsid w:val="001A5948"/>
    <w:rsid w:val="001A59A0"/>
    <w:rsid w:val="001A5D32"/>
    <w:rsid w:val="001A6240"/>
    <w:rsid w:val="001A62A7"/>
    <w:rsid w:val="001A63E2"/>
    <w:rsid w:val="001A646B"/>
    <w:rsid w:val="001A69E9"/>
    <w:rsid w:val="001A7009"/>
    <w:rsid w:val="001A706C"/>
    <w:rsid w:val="001A7733"/>
    <w:rsid w:val="001A7880"/>
    <w:rsid w:val="001A7B42"/>
    <w:rsid w:val="001A7B7F"/>
    <w:rsid w:val="001A7C17"/>
    <w:rsid w:val="001A7D8F"/>
    <w:rsid w:val="001B0066"/>
    <w:rsid w:val="001B055D"/>
    <w:rsid w:val="001B0568"/>
    <w:rsid w:val="001B062A"/>
    <w:rsid w:val="001B068A"/>
    <w:rsid w:val="001B06CF"/>
    <w:rsid w:val="001B08A5"/>
    <w:rsid w:val="001B0E2F"/>
    <w:rsid w:val="001B0F38"/>
    <w:rsid w:val="001B159D"/>
    <w:rsid w:val="001B198D"/>
    <w:rsid w:val="001B19A4"/>
    <w:rsid w:val="001B201D"/>
    <w:rsid w:val="001B2189"/>
    <w:rsid w:val="001B2A97"/>
    <w:rsid w:val="001B2CD4"/>
    <w:rsid w:val="001B363E"/>
    <w:rsid w:val="001B37EB"/>
    <w:rsid w:val="001B4812"/>
    <w:rsid w:val="001B4877"/>
    <w:rsid w:val="001B48A2"/>
    <w:rsid w:val="001B4AF7"/>
    <w:rsid w:val="001B4F00"/>
    <w:rsid w:val="001B50E8"/>
    <w:rsid w:val="001B564F"/>
    <w:rsid w:val="001B5964"/>
    <w:rsid w:val="001B5C4E"/>
    <w:rsid w:val="001B5FA6"/>
    <w:rsid w:val="001B67EA"/>
    <w:rsid w:val="001B7005"/>
    <w:rsid w:val="001B7329"/>
    <w:rsid w:val="001B746B"/>
    <w:rsid w:val="001B74F4"/>
    <w:rsid w:val="001B783E"/>
    <w:rsid w:val="001B7979"/>
    <w:rsid w:val="001C0506"/>
    <w:rsid w:val="001C0730"/>
    <w:rsid w:val="001C0D91"/>
    <w:rsid w:val="001C0D95"/>
    <w:rsid w:val="001C0FD5"/>
    <w:rsid w:val="001C174A"/>
    <w:rsid w:val="001C1CBC"/>
    <w:rsid w:val="001C1CCF"/>
    <w:rsid w:val="001C1D05"/>
    <w:rsid w:val="001C1F0A"/>
    <w:rsid w:val="001C28CC"/>
    <w:rsid w:val="001C2A48"/>
    <w:rsid w:val="001C2CF0"/>
    <w:rsid w:val="001C2D15"/>
    <w:rsid w:val="001C2ECA"/>
    <w:rsid w:val="001C332A"/>
    <w:rsid w:val="001C33F8"/>
    <w:rsid w:val="001C393A"/>
    <w:rsid w:val="001C4491"/>
    <w:rsid w:val="001C528C"/>
    <w:rsid w:val="001C5440"/>
    <w:rsid w:val="001C54A4"/>
    <w:rsid w:val="001C54CF"/>
    <w:rsid w:val="001C5A92"/>
    <w:rsid w:val="001C5CBF"/>
    <w:rsid w:val="001C5F01"/>
    <w:rsid w:val="001C6270"/>
    <w:rsid w:val="001C628D"/>
    <w:rsid w:val="001C65C6"/>
    <w:rsid w:val="001C6611"/>
    <w:rsid w:val="001C69E3"/>
    <w:rsid w:val="001C6B36"/>
    <w:rsid w:val="001C6DFD"/>
    <w:rsid w:val="001C7150"/>
    <w:rsid w:val="001C75EB"/>
    <w:rsid w:val="001C77DD"/>
    <w:rsid w:val="001C79E9"/>
    <w:rsid w:val="001D010D"/>
    <w:rsid w:val="001D0412"/>
    <w:rsid w:val="001D0459"/>
    <w:rsid w:val="001D1709"/>
    <w:rsid w:val="001D1863"/>
    <w:rsid w:val="001D18A1"/>
    <w:rsid w:val="001D21AD"/>
    <w:rsid w:val="001D2783"/>
    <w:rsid w:val="001D27C0"/>
    <w:rsid w:val="001D28C1"/>
    <w:rsid w:val="001D2E5A"/>
    <w:rsid w:val="001D2EF3"/>
    <w:rsid w:val="001D32C0"/>
    <w:rsid w:val="001D3A64"/>
    <w:rsid w:val="001D3AF5"/>
    <w:rsid w:val="001D462D"/>
    <w:rsid w:val="001D48BE"/>
    <w:rsid w:val="001D4A4E"/>
    <w:rsid w:val="001D4BC0"/>
    <w:rsid w:val="001D4F12"/>
    <w:rsid w:val="001D5311"/>
    <w:rsid w:val="001D5587"/>
    <w:rsid w:val="001D5793"/>
    <w:rsid w:val="001D5932"/>
    <w:rsid w:val="001D5DAF"/>
    <w:rsid w:val="001D65CD"/>
    <w:rsid w:val="001D701F"/>
    <w:rsid w:val="001D7213"/>
    <w:rsid w:val="001D74A7"/>
    <w:rsid w:val="001D77EB"/>
    <w:rsid w:val="001D79D1"/>
    <w:rsid w:val="001D7C07"/>
    <w:rsid w:val="001D7FDB"/>
    <w:rsid w:val="001E0212"/>
    <w:rsid w:val="001E07CF"/>
    <w:rsid w:val="001E0D62"/>
    <w:rsid w:val="001E1175"/>
    <w:rsid w:val="001E13F0"/>
    <w:rsid w:val="001E15F2"/>
    <w:rsid w:val="001E2050"/>
    <w:rsid w:val="001E22F7"/>
    <w:rsid w:val="001E2425"/>
    <w:rsid w:val="001E2749"/>
    <w:rsid w:val="001E3532"/>
    <w:rsid w:val="001E419D"/>
    <w:rsid w:val="001E465F"/>
    <w:rsid w:val="001E4C95"/>
    <w:rsid w:val="001E4FE9"/>
    <w:rsid w:val="001E5321"/>
    <w:rsid w:val="001E5487"/>
    <w:rsid w:val="001E5538"/>
    <w:rsid w:val="001E560F"/>
    <w:rsid w:val="001E5640"/>
    <w:rsid w:val="001E57BD"/>
    <w:rsid w:val="001E59B5"/>
    <w:rsid w:val="001E5A37"/>
    <w:rsid w:val="001E628C"/>
    <w:rsid w:val="001E65A6"/>
    <w:rsid w:val="001E65EC"/>
    <w:rsid w:val="001E695D"/>
    <w:rsid w:val="001E6AE7"/>
    <w:rsid w:val="001E6BCE"/>
    <w:rsid w:val="001E6CA2"/>
    <w:rsid w:val="001E6DF2"/>
    <w:rsid w:val="001E7563"/>
    <w:rsid w:val="001E7AD8"/>
    <w:rsid w:val="001F06C4"/>
    <w:rsid w:val="001F0B75"/>
    <w:rsid w:val="001F0CE0"/>
    <w:rsid w:val="001F10CA"/>
    <w:rsid w:val="001F12CE"/>
    <w:rsid w:val="001F1D20"/>
    <w:rsid w:val="001F1E31"/>
    <w:rsid w:val="001F2474"/>
    <w:rsid w:val="001F26D2"/>
    <w:rsid w:val="001F2902"/>
    <w:rsid w:val="001F2AD0"/>
    <w:rsid w:val="001F3857"/>
    <w:rsid w:val="001F3F36"/>
    <w:rsid w:val="001F40D3"/>
    <w:rsid w:val="001F4415"/>
    <w:rsid w:val="001F4757"/>
    <w:rsid w:val="001F4E92"/>
    <w:rsid w:val="001F56A7"/>
    <w:rsid w:val="001F5B0C"/>
    <w:rsid w:val="001F6126"/>
    <w:rsid w:val="001F658C"/>
    <w:rsid w:val="001F675C"/>
    <w:rsid w:val="001F6C52"/>
    <w:rsid w:val="001F6DF7"/>
    <w:rsid w:val="001F6F01"/>
    <w:rsid w:val="001F6F44"/>
    <w:rsid w:val="001F729F"/>
    <w:rsid w:val="001F72CA"/>
    <w:rsid w:val="001F7563"/>
    <w:rsid w:val="00200171"/>
    <w:rsid w:val="00200264"/>
    <w:rsid w:val="002004D5"/>
    <w:rsid w:val="002004EC"/>
    <w:rsid w:val="00201220"/>
    <w:rsid w:val="00201C81"/>
    <w:rsid w:val="00201DDB"/>
    <w:rsid w:val="00202294"/>
    <w:rsid w:val="002023A0"/>
    <w:rsid w:val="002027A5"/>
    <w:rsid w:val="002027C9"/>
    <w:rsid w:val="002028BF"/>
    <w:rsid w:val="002035E0"/>
    <w:rsid w:val="00203850"/>
    <w:rsid w:val="00203874"/>
    <w:rsid w:val="0020414B"/>
    <w:rsid w:val="002043D5"/>
    <w:rsid w:val="002049EF"/>
    <w:rsid w:val="00204B42"/>
    <w:rsid w:val="0020561B"/>
    <w:rsid w:val="00205BCE"/>
    <w:rsid w:val="00205EAD"/>
    <w:rsid w:val="0020604B"/>
    <w:rsid w:val="00206190"/>
    <w:rsid w:val="00206447"/>
    <w:rsid w:val="00206486"/>
    <w:rsid w:val="002066B0"/>
    <w:rsid w:val="002066FE"/>
    <w:rsid w:val="00206D8E"/>
    <w:rsid w:val="00206DA5"/>
    <w:rsid w:val="00207F59"/>
    <w:rsid w:val="00207FCA"/>
    <w:rsid w:val="00210061"/>
    <w:rsid w:val="002100EA"/>
    <w:rsid w:val="002102EB"/>
    <w:rsid w:val="00210679"/>
    <w:rsid w:val="00210747"/>
    <w:rsid w:val="00211AA4"/>
    <w:rsid w:val="00211DC3"/>
    <w:rsid w:val="00211E86"/>
    <w:rsid w:val="00212009"/>
    <w:rsid w:val="00212081"/>
    <w:rsid w:val="002123C8"/>
    <w:rsid w:val="002128CB"/>
    <w:rsid w:val="00212CA4"/>
    <w:rsid w:val="00212CF1"/>
    <w:rsid w:val="00213100"/>
    <w:rsid w:val="00213B37"/>
    <w:rsid w:val="00214145"/>
    <w:rsid w:val="002148B8"/>
    <w:rsid w:val="002149E6"/>
    <w:rsid w:val="00215328"/>
    <w:rsid w:val="002155B6"/>
    <w:rsid w:val="002157E4"/>
    <w:rsid w:val="00215AFB"/>
    <w:rsid w:val="00215B35"/>
    <w:rsid w:val="00215DEA"/>
    <w:rsid w:val="002161AC"/>
    <w:rsid w:val="002165A6"/>
    <w:rsid w:val="0021693A"/>
    <w:rsid w:val="00216B0B"/>
    <w:rsid w:val="0021767D"/>
    <w:rsid w:val="002176A2"/>
    <w:rsid w:val="00217A63"/>
    <w:rsid w:val="00217F37"/>
    <w:rsid w:val="00217F99"/>
    <w:rsid w:val="00217FE9"/>
    <w:rsid w:val="0021DE77"/>
    <w:rsid w:val="002200D8"/>
    <w:rsid w:val="002202FD"/>
    <w:rsid w:val="00220374"/>
    <w:rsid w:val="0022077C"/>
    <w:rsid w:val="0022092B"/>
    <w:rsid w:val="002209C7"/>
    <w:rsid w:val="002210CF"/>
    <w:rsid w:val="0022129B"/>
    <w:rsid w:val="0022131A"/>
    <w:rsid w:val="00221E8E"/>
    <w:rsid w:val="00221FF4"/>
    <w:rsid w:val="0022204D"/>
    <w:rsid w:val="0022222F"/>
    <w:rsid w:val="002223AB"/>
    <w:rsid w:val="002224F6"/>
    <w:rsid w:val="002228F7"/>
    <w:rsid w:val="002229C7"/>
    <w:rsid w:val="00222BB0"/>
    <w:rsid w:val="00222BE9"/>
    <w:rsid w:val="00222C3A"/>
    <w:rsid w:val="00222FBF"/>
    <w:rsid w:val="00222FC6"/>
    <w:rsid w:val="00223664"/>
    <w:rsid w:val="00223A56"/>
    <w:rsid w:val="00223B13"/>
    <w:rsid w:val="002248F4"/>
    <w:rsid w:val="00224A38"/>
    <w:rsid w:val="00224B75"/>
    <w:rsid w:val="0022521B"/>
    <w:rsid w:val="002253FC"/>
    <w:rsid w:val="00225833"/>
    <w:rsid w:val="00225D2B"/>
    <w:rsid w:val="00226095"/>
    <w:rsid w:val="002265C1"/>
    <w:rsid w:val="00226D37"/>
    <w:rsid w:val="002271BD"/>
    <w:rsid w:val="002274F8"/>
    <w:rsid w:val="00227B89"/>
    <w:rsid w:val="00227BE4"/>
    <w:rsid w:val="00227EB8"/>
    <w:rsid w:val="00227F43"/>
    <w:rsid w:val="00227FC5"/>
    <w:rsid w:val="00230323"/>
    <w:rsid w:val="002303C7"/>
    <w:rsid w:val="00230531"/>
    <w:rsid w:val="00230935"/>
    <w:rsid w:val="002309AD"/>
    <w:rsid w:val="00230AA1"/>
    <w:rsid w:val="00230E7F"/>
    <w:rsid w:val="00231429"/>
    <w:rsid w:val="00231AFB"/>
    <w:rsid w:val="00231B84"/>
    <w:rsid w:val="00231D3A"/>
    <w:rsid w:val="00231E15"/>
    <w:rsid w:val="00231F43"/>
    <w:rsid w:val="002327FC"/>
    <w:rsid w:val="00232970"/>
    <w:rsid w:val="00233DD7"/>
    <w:rsid w:val="00233F03"/>
    <w:rsid w:val="002340D1"/>
    <w:rsid w:val="002343DD"/>
    <w:rsid w:val="00234640"/>
    <w:rsid w:val="00234BFA"/>
    <w:rsid w:val="00234CB0"/>
    <w:rsid w:val="00234D28"/>
    <w:rsid w:val="00235708"/>
    <w:rsid w:val="0023584B"/>
    <w:rsid w:val="0023608D"/>
    <w:rsid w:val="002365BD"/>
    <w:rsid w:val="00236690"/>
    <w:rsid w:val="0023725D"/>
    <w:rsid w:val="002372AF"/>
    <w:rsid w:val="00237B7C"/>
    <w:rsid w:val="00240106"/>
    <w:rsid w:val="00240267"/>
    <w:rsid w:val="00240890"/>
    <w:rsid w:val="00240F8B"/>
    <w:rsid w:val="002411C7"/>
    <w:rsid w:val="00241862"/>
    <w:rsid w:val="00241B64"/>
    <w:rsid w:val="00241C62"/>
    <w:rsid w:val="00242067"/>
    <w:rsid w:val="00242166"/>
    <w:rsid w:val="002427A3"/>
    <w:rsid w:val="002428E8"/>
    <w:rsid w:val="00242F4E"/>
    <w:rsid w:val="00242F8B"/>
    <w:rsid w:val="00243028"/>
    <w:rsid w:val="002437D1"/>
    <w:rsid w:val="00243843"/>
    <w:rsid w:val="00243CBE"/>
    <w:rsid w:val="00243FAD"/>
    <w:rsid w:val="00244035"/>
    <w:rsid w:val="002440A8"/>
    <w:rsid w:val="002447E3"/>
    <w:rsid w:val="0024491A"/>
    <w:rsid w:val="0024492D"/>
    <w:rsid w:val="00244A8D"/>
    <w:rsid w:val="00244C4E"/>
    <w:rsid w:val="00244FD2"/>
    <w:rsid w:val="002452A0"/>
    <w:rsid w:val="002463A6"/>
    <w:rsid w:val="00246472"/>
    <w:rsid w:val="002465C9"/>
    <w:rsid w:val="00246ADB"/>
    <w:rsid w:val="00246F38"/>
    <w:rsid w:val="00247A0C"/>
    <w:rsid w:val="00247C65"/>
    <w:rsid w:val="002501C9"/>
    <w:rsid w:val="002503D2"/>
    <w:rsid w:val="00250C36"/>
    <w:rsid w:val="00250FF2"/>
    <w:rsid w:val="0025122D"/>
    <w:rsid w:val="002517A5"/>
    <w:rsid w:val="002518A8"/>
    <w:rsid w:val="00251B0F"/>
    <w:rsid w:val="00251E6D"/>
    <w:rsid w:val="00251F6C"/>
    <w:rsid w:val="002521B0"/>
    <w:rsid w:val="0025249C"/>
    <w:rsid w:val="00252844"/>
    <w:rsid w:val="00252BDF"/>
    <w:rsid w:val="002531EC"/>
    <w:rsid w:val="0025381B"/>
    <w:rsid w:val="002539ED"/>
    <w:rsid w:val="00253A86"/>
    <w:rsid w:val="00253FA9"/>
    <w:rsid w:val="00254217"/>
    <w:rsid w:val="0025440D"/>
    <w:rsid w:val="0025450E"/>
    <w:rsid w:val="002549DF"/>
    <w:rsid w:val="00254E57"/>
    <w:rsid w:val="00255035"/>
    <w:rsid w:val="00255152"/>
    <w:rsid w:val="0025523B"/>
    <w:rsid w:val="002553AB"/>
    <w:rsid w:val="0025554E"/>
    <w:rsid w:val="00255640"/>
    <w:rsid w:val="00255B8D"/>
    <w:rsid w:val="00256A89"/>
    <w:rsid w:val="00256BD9"/>
    <w:rsid w:val="00257127"/>
    <w:rsid w:val="002574CA"/>
    <w:rsid w:val="00257588"/>
    <w:rsid w:val="00257889"/>
    <w:rsid w:val="00257DEB"/>
    <w:rsid w:val="00257F57"/>
    <w:rsid w:val="00260560"/>
    <w:rsid w:val="00260C62"/>
    <w:rsid w:val="00260CAE"/>
    <w:rsid w:val="00261132"/>
    <w:rsid w:val="00261345"/>
    <w:rsid w:val="002614CF"/>
    <w:rsid w:val="00261715"/>
    <w:rsid w:val="00261E5F"/>
    <w:rsid w:val="0026237D"/>
    <w:rsid w:val="00262DC1"/>
    <w:rsid w:val="00262F32"/>
    <w:rsid w:val="002637D9"/>
    <w:rsid w:val="002638F4"/>
    <w:rsid w:val="00263D77"/>
    <w:rsid w:val="002642FD"/>
    <w:rsid w:val="0026447C"/>
    <w:rsid w:val="002644C7"/>
    <w:rsid w:val="002649C0"/>
    <w:rsid w:val="00265198"/>
    <w:rsid w:val="00265371"/>
    <w:rsid w:val="00265D95"/>
    <w:rsid w:val="0026695A"/>
    <w:rsid w:val="00266BBA"/>
    <w:rsid w:val="00266BCC"/>
    <w:rsid w:val="00266CC6"/>
    <w:rsid w:val="00267099"/>
    <w:rsid w:val="002671C3"/>
    <w:rsid w:val="0026759B"/>
    <w:rsid w:val="00270295"/>
    <w:rsid w:val="0027030A"/>
    <w:rsid w:val="0027067F"/>
    <w:rsid w:val="00270960"/>
    <w:rsid w:val="00271272"/>
    <w:rsid w:val="0027160C"/>
    <w:rsid w:val="00271718"/>
    <w:rsid w:val="00271A2C"/>
    <w:rsid w:val="00271C67"/>
    <w:rsid w:val="0027249A"/>
    <w:rsid w:val="002726B1"/>
    <w:rsid w:val="00272702"/>
    <w:rsid w:val="0027277A"/>
    <w:rsid w:val="00273715"/>
    <w:rsid w:val="00274005"/>
    <w:rsid w:val="0027429D"/>
    <w:rsid w:val="00274B51"/>
    <w:rsid w:val="00274C36"/>
    <w:rsid w:val="00274CFF"/>
    <w:rsid w:val="00274DFA"/>
    <w:rsid w:val="00274F53"/>
    <w:rsid w:val="002751D1"/>
    <w:rsid w:val="00275209"/>
    <w:rsid w:val="00275254"/>
    <w:rsid w:val="002753CB"/>
    <w:rsid w:val="0027568D"/>
    <w:rsid w:val="00275990"/>
    <w:rsid w:val="00275BE3"/>
    <w:rsid w:val="00275C96"/>
    <w:rsid w:val="00275E72"/>
    <w:rsid w:val="00275F7C"/>
    <w:rsid w:val="00276049"/>
    <w:rsid w:val="00276105"/>
    <w:rsid w:val="002762EE"/>
    <w:rsid w:val="00276E60"/>
    <w:rsid w:val="0027718C"/>
    <w:rsid w:val="00277534"/>
    <w:rsid w:val="002777AA"/>
    <w:rsid w:val="0027785D"/>
    <w:rsid w:val="00277934"/>
    <w:rsid w:val="00277D74"/>
    <w:rsid w:val="00277E0A"/>
    <w:rsid w:val="00277FC9"/>
    <w:rsid w:val="002806F8"/>
    <w:rsid w:val="002808EF"/>
    <w:rsid w:val="00280E1D"/>
    <w:rsid w:val="00281504"/>
    <w:rsid w:val="00281638"/>
    <w:rsid w:val="0028165B"/>
    <w:rsid w:val="002817C4"/>
    <w:rsid w:val="002819C9"/>
    <w:rsid w:val="00282083"/>
    <w:rsid w:val="0028231F"/>
    <w:rsid w:val="00282547"/>
    <w:rsid w:val="00282574"/>
    <w:rsid w:val="00282DB8"/>
    <w:rsid w:val="0028326E"/>
    <w:rsid w:val="00283914"/>
    <w:rsid w:val="00283A6D"/>
    <w:rsid w:val="00283B1A"/>
    <w:rsid w:val="00283CAB"/>
    <w:rsid w:val="00283DE8"/>
    <w:rsid w:val="0028418C"/>
    <w:rsid w:val="00284340"/>
    <w:rsid w:val="0028439A"/>
    <w:rsid w:val="0028477E"/>
    <w:rsid w:val="00285391"/>
    <w:rsid w:val="00285E18"/>
    <w:rsid w:val="00285F99"/>
    <w:rsid w:val="00286320"/>
    <w:rsid w:val="002863B9"/>
    <w:rsid w:val="00287437"/>
    <w:rsid w:val="00287A90"/>
    <w:rsid w:val="00287D76"/>
    <w:rsid w:val="00287E78"/>
    <w:rsid w:val="0029066D"/>
    <w:rsid w:val="00290676"/>
    <w:rsid w:val="00290692"/>
    <w:rsid w:val="002907D2"/>
    <w:rsid w:val="00291462"/>
    <w:rsid w:val="00291572"/>
    <w:rsid w:val="002915A4"/>
    <w:rsid w:val="00291816"/>
    <w:rsid w:val="00291D74"/>
    <w:rsid w:val="00291E28"/>
    <w:rsid w:val="00292216"/>
    <w:rsid w:val="0029257F"/>
    <w:rsid w:val="00292D3B"/>
    <w:rsid w:val="00293BF2"/>
    <w:rsid w:val="00293E0E"/>
    <w:rsid w:val="0029407B"/>
    <w:rsid w:val="00294446"/>
    <w:rsid w:val="00294633"/>
    <w:rsid w:val="0029495A"/>
    <w:rsid w:val="0029544E"/>
    <w:rsid w:val="002958BC"/>
    <w:rsid w:val="00295BB2"/>
    <w:rsid w:val="00296290"/>
    <w:rsid w:val="002965F4"/>
    <w:rsid w:val="00296C6A"/>
    <w:rsid w:val="00296D9A"/>
    <w:rsid w:val="0029738C"/>
    <w:rsid w:val="0029758C"/>
    <w:rsid w:val="00297622"/>
    <w:rsid w:val="00297A50"/>
    <w:rsid w:val="00297EA1"/>
    <w:rsid w:val="002A0094"/>
    <w:rsid w:val="002A04B4"/>
    <w:rsid w:val="002A07D1"/>
    <w:rsid w:val="002A0C51"/>
    <w:rsid w:val="002A0EDD"/>
    <w:rsid w:val="002A10A1"/>
    <w:rsid w:val="002A1293"/>
    <w:rsid w:val="002A145B"/>
    <w:rsid w:val="002A18BE"/>
    <w:rsid w:val="002A1AC1"/>
    <w:rsid w:val="002A1B7D"/>
    <w:rsid w:val="002A1C6C"/>
    <w:rsid w:val="002A1D3A"/>
    <w:rsid w:val="002A1DA3"/>
    <w:rsid w:val="002A1ECB"/>
    <w:rsid w:val="002A1FA1"/>
    <w:rsid w:val="002A2087"/>
    <w:rsid w:val="002A20A2"/>
    <w:rsid w:val="002A2110"/>
    <w:rsid w:val="002A21ED"/>
    <w:rsid w:val="002A2398"/>
    <w:rsid w:val="002A23B8"/>
    <w:rsid w:val="002A2513"/>
    <w:rsid w:val="002A2BD9"/>
    <w:rsid w:val="002A2C17"/>
    <w:rsid w:val="002A3247"/>
    <w:rsid w:val="002A36F6"/>
    <w:rsid w:val="002A3A72"/>
    <w:rsid w:val="002A3A75"/>
    <w:rsid w:val="002A3B0B"/>
    <w:rsid w:val="002A4084"/>
    <w:rsid w:val="002A438E"/>
    <w:rsid w:val="002A47E0"/>
    <w:rsid w:val="002A4AD6"/>
    <w:rsid w:val="002A4C67"/>
    <w:rsid w:val="002A53F3"/>
    <w:rsid w:val="002A5A8A"/>
    <w:rsid w:val="002A6036"/>
    <w:rsid w:val="002A68E4"/>
    <w:rsid w:val="002A6B47"/>
    <w:rsid w:val="002A6BE2"/>
    <w:rsid w:val="002A6DFA"/>
    <w:rsid w:val="002A7196"/>
    <w:rsid w:val="002A7563"/>
    <w:rsid w:val="002A76AE"/>
    <w:rsid w:val="002A76DF"/>
    <w:rsid w:val="002A76EC"/>
    <w:rsid w:val="002A781C"/>
    <w:rsid w:val="002A7A70"/>
    <w:rsid w:val="002A7C75"/>
    <w:rsid w:val="002A7ECA"/>
    <w:rsid w:val="002B012F"/>
    <w:rsid w:val="002B0173"/>
    <w:rsid w:val="002B020D"/>
    <w:rsid w:val="002B0B90"/>
    <w:rsid w:val="002B0C79"/>
    <w:rsid w:val="002B1012"/>
    <w:rsid w:val="002B102C"/>
    <w:rsid w:val="002B12B0"/>
    <w:rsid w:val="002B130B"/>
    <w:rsid w:val="002B1384"/>
    <w:rsid w:val="002B14DE"/>
    <w:rsid w:val="002B1CA5"/>
    <w:rsid w:val="002B1F0E"/>
    <w:rsid w:val="002B20A5"/>
    <w:rsid w:val="002B2111"/>
    <w:rsid w:val="002B2127"/>
    <w:rsid w:val="002B2397"/>
    <w:rsid w:val="002B2725"/>
    <w:rsid w:val="002B2A03"/>
    <w:rsid w:val="002B2A9A"/>
    <w:rsid w:val="002B30FD"/>
    <w:rsid w:val="002B3118"/>
    <w:rsid w:val="002B347F"/>
    <w:rsid w:val="002B3681"/>
    <w:rsid w:val="002B3FD0"/>
    <w:rsid w:val="002B4205"/>
    <w:rsid w:val="002B463E"/>
    <w:rsid w:val="002B523F"/>
    <w:rsid w:val="002B5544"/>
    <w:rsid w:val="002B5B60"/>
    <w:rsid w:val="002B6166"/>
    <w:rsid w:val="002B6203"/>
    <w:rsid w:val="002B667C"/>
    <w:rsid w:val="002B66D1"/>
    <w:rsid w:val="002B6701"/>
    <w:rsid w:val="002B67BB"/>
    <w:rsid w:val="002B67CF"/>
    <w:rsid w:val="002B7186"/>
    <w:rsid w:val="002B7337"/>
    <w:rsid w:val="002B73B5"/>
    <w:rsid w:val="002B75CB"/>
    <w:rsid w:val="002C07B6"/>
    <w:rsid w:val="002C11CA"/>
    <w:rsid w:val="002C1880"/>
    <w:rsid w:val="002C1998"/>
    <w:rsid w:val="002C1F55"/>
    <w:rsid w:val="002C2077"/>
    <w:rsid w:val="002C2248"/>
    <w:rsid w:val="002C2461"/>
    <w:rsid w:val="002C2DE3"/>
    <w:rsid w:val="002C3044"/>
    <w:rsid w:val="002C35F6"/>
    <w:rsid w:val="002C3D64"/>
    <w:rsid w:val="002C3EC4"/>
    <w:rsid w:val="002C4289"/>
    <w:rsid w:val="002C45E8"/>
    <w:rsid w:val="002C4963"/>
    <w:rsid w:val="002C4E66"/>
    <w:rsid w:val="002C4F5A"/>
    <w:rsid w:val="002C5064"/>
    <w:rsid w:val="002C5211"/>
    <w:rsid w:val="002C540E"/>
    <w:rsid w:val="002C5562"/>
    <w:rsid w:val="002C5859"/>
    <w:rsid w:val="002C5D96"/>
    <w:rsid w:val="002C6119"/>
    <w:rsid w:val="002C619D"/>
    <w:rsid w:val="002C6324"/>
    <w:rsid w:val="002C645B"/>
    <w:rsid w:val="002C650F"/>
    <w:rsid w:val="002C6CD3"/>
    <w:rsid w:val="002C6E6F"/>
    <w:rsid w:val="002C70CE"/>
    <w:rsid w:val="002C71A7"/>
    <w:rsid w:val="002D04CB"/>
    <w:rsid w:val="002D0A70"/>
    <w:rsid w:val="002D0A8C"/>
    <w:rsid w:val="002D0DB7"/>
    <w:rsid w:val="002D0EA6"/>
    <w:rsid w:val="002D0ECD"/>
    <w:rsid w:val="002D1568"/>
    <w:rsid w:val="002D19EE"/>
    <w:rsid w:val="002D1BC4"/>
    <w:rsid w:val="002D1D0D"/>
    <w:rsid w:val="002D2AB7"/>
    <w:rsid w:val="002D343E"/>
    <w:rsid w:val="002D3661"/>
    <w:rsid w:val="002D3944"/>
    <w:rsid w:val="002D4070"/>
    <w:rsid w:val="002D4364"/>
    <w:rsid w:val="002D449E"/>
    <w:rsid w:val="002D44B4"/>
    <w:rsid w:val="002D45CB"/>
    <w:rsid w:val="002D4937"/>
    <w:rsid w:val="002D4D03"/>
    <w:rsid w:val="002D5097"/>
    <w:rsid w:val="002D51D4"/>
    <w:rsid w:val="002D534F"/>
    <w:rsid w:val="002D55E4"/>
    <w:rsid w:val="002D5B02"/>
    <w:rsid w:val="002D5DCD"/>
    <w:rsid w:val="002D6465"/>
    <w:rsid w:val="002D65EC"/>
    <w:rsid w:val="002D690D"/>
    <w:rsid w:val="002D7160"/>
    <w:rsid w:val="002D7FF0"/>
    <w:rsid w:val="002E0649"/>
    <w:rsid w:val="002E0AAF"/>
    <w:rsid w:val="002E0E6F"/>
    <w:rsid w:val="002E1390"/>
    <w:rsid w:val="002E1CD7"/>
    <w:rsid w:val="002E1DB1"/>
    <w:rsid w:val="002E1DD7"/>
    <w:rsid w:val="002E21DD"/>
    <w:rsid w:val="002E2449"/>
    <w:rsid w:val="002E29C6"/>
    <w:rsid w:val="002E31EB"/>
    <w:rsid w:val="002E3351"/>
    <w:rsid w:val="002E37AE"/>
    <w:rsid w:val="002E3A74"/>
    <w:rsid w:val="002E3B03"/>
    <w:rsid w:val="002E41D0"/>
    <w:rsid w:val="002E4262"/>
    <w:rsid w:val="002E4757"/>
    <w:rsid w:val="002E4A98"/>
    <w:rsid w:val="002E53A1"/>
    <w:rsid w:val="002E598B"/>
    <w:rsid w:val="002E598C"/>
    <w:rsid w:val="002E5A60"/>
    <w:rsid w:val="002E6B2F"/>
    <w:rsid w:val="002E6C04"/>
    <w:rsid w:val="002E6CE2"/>
    <w:rsid w:val="002E6D8A"/>
    <w:rsid w:val="002E720F"/>
    <w:rsid w:val="002E7251"/>
    <w:rsid w:val="002E7775"/>
    <w:rsid w:val="002E7A66"/>
    <w:rsid w:val="002E7AD2"/>
    <w:rsid w:val="002F03DB"/>
    <w:rsid w:val="002F096B"/>
    <w:rsid w:val="002F1399"/>
    <w:rsid w:val="002F1BB1"/>
    <w:rsid w:val="002F20FE"/>
    <w:rsid w:val="002F2813"/>
    <w:rsid w:val="002F2B57"/>
    <w:rsid w:val="002F2D2B"/>
    <w:rsid w:val="002F32AB"/>
    <w:rsid w:val="002F32CF"/>
    <w:rsid w:val="002F32FB"/>
    <w:rsid w:val="002F3321"/>
    <w:rsid w:val="002F3936"/>
    <w:rsid w:val="002F396A"/>
    <w:rsid w:val="002F396B"/>
    <w:rsid w:val="002F3CD1"/>
    <w:rsid w:val="002F3DFB"/>
    <w:rsid w:val="002F3E08"/>
    <w:rsid w:val="002F45BE"/>
    <w:rsid w:val="002F4CCA"/>
    <w:rsid w:val="002F526F"/>
    <w:rsid w:val="002F554E"/>
    <w:rsid w:val="002F5611"/>
    <w:rsid w:val="002F5C3B"/>
    <w:rsid w:val="002F5E2A"/>
    <w:rsid w:val="002F5F5E"/>
    <w:rsid w:val="002F5F85"/>
    <w:rsid w:val="002F60A9"/>
    <w:rsid w:val="002F6145"/>
    <w:rsid w:val="002F61A0"/>
    <w:rsid w:val="002F6651"/>
    <w:rsid w:val="002F693F"/>
    <w:rsid w:val="002F69ED"/>
    <w:rsid w:val="002F6DFB"/>
    <w:rsid w:val="002F6ECE"/>
    <w:rsid w:val="002F738C"/>
    <w:rsid w:val="002F73B2"/>
    <w:rsid w:val="002F7B7B"/>
    <w:rsid w:val="003000EA"/>
    <w:rsid w:val="003008CC"/>
    <w:rsid w:val="00301026"/>
    <w:rsid w:val="0030147B"/>
    <w:rsid w:val="00301763"/>
    <w:rsid w:val="00301A4F"/>
    <w:rsid w:val="00301AAC"/>
    <w:rsid w:val="00301EBA"/>
    <w:rsid w:val="00302252"/>
    <w:rsid w:val="00302280"/>
    <w:rsid w:val="00302475"/>
    <w:rsid w:val="00302601"/>
    <w:rsid w:val="003026FB"/>
    <w:rsid w:val="003027F4"/>
    <w:rsid w:val="00302A06"/>
    <w:rsid w:val="00302A09"/>
    <w:rsid w:val="00302EEF"/>
    <w:rsid w:val="00303383"/>
    <w:rsid w:val="00303735"/>
    <w:rsid w:val="003039A9"/>
    <w:rsid w:val="00303C60"/>
    <w:rsid w:val="00304292"/>
    <w:rsid w:val="003042DF"/>
    <w:rsid w:val="00304362"/>
    <w:rsid w:val="00304517"/>
    <w:rsid w:val="0030456C"/>
    <w:rsid w:val="00304F60"/>
    <w:rsid w:val="00304F81"/>
    <w:rsid w:val="00304FB8"/>
    <w:rsid w:val="003056AB"/>
    <w:rsid w:val="00305CD3"/>
    <w:rsid w:val="00305D46"/>
    <w:rsid w:val="00305DD0"/>
    <w:rsid w:val="003065D6"/>
    <w:rsid w:val="00306630"/>
    <w:rsid w:val="003066BC"/>
    <w:rsid w:val="0030681B"/>
    <w:rsid w:val="003070E0"/>
    <w:rsid w:val="00307140"/>
    <w:rsid w:val="00307299"/>
    <w:rsid w:val="00307463"/>
    <w:rsid w:val="003077E4"/>
    <w:rsid w:val="0030786F"/>
    <w:rsid w:val="00307B64"/>
    <w:rsid w:val="00307E19"/>
    <w:rsid w:val="00310053"/>
    <w:rsid w:val="003100B8"/>
    <w:rsid w:val="0031042B"/>
    <w:rsid w:val="003106F0"/>
    <w:rsid w:val="00310B9B"/>
    <w:rsid w:val="00310C3F"/>
    <w:rsid w:val="00310D5C"/>
    <w:rsid w:val="00311110"/>
    <w:rsid w:val="00311328"/>
    <w:rsid w:val="003114D0"/>
    <w:rsid w:val="003115FA"/>
    <w:rsid w:val="0031161D"/>
    <w:rsid w:val="00311783"/>
    <w:rsid w:val="00311C2E"/>
    <w:rsid w:val="003121FC"/>
    <w:rsid w:val="00312445"/>
    <w:rsid w:val="00312487"/>
    <w:rsid w:val="003125C1"/>
    <w:rsid w:val="003125E9"/>
    <w:rsid w:val="0031295C"/>
    <w:rsid w:val="003129C2"/>
    <w:rsid w:val="00312B34"/>
    <w:rsid w:val="00312DC9"/>
    <w:rsid w:val="00312DF2"/>
    <w:rsid w:val="00313847"/>
    <w:rsid w:val="00313B0E"/>
    <w:rsid w:val="00313D05"/>
    <w:rsid w:val="00313EE2"/>
    <w:rsid w:val="00313FF9"/>
    <w:rsid w:val="003140D2"/>
    <w:rsid w:val="003144E2"/>
    <w:rsid w:val="00314556"/>
    <w:rsid w:val="0031494A"/>
    <w:rsid w:val="00314979"/>
    <w:rsid w:val="00314B10"/>
    <w:rsid w:val="00314E47"/>
    <w:rsid w:val="00314E56"/>
    <w:rsid w:val="00314E6A"/>
    <w:rsid w:val="00314F3A"/>
    <w:rsid w:val="00315158"/>
    <w:rsid w:val="0031545D"/>
    <w:rsid w:val="0031555B"/>
    <w:rsid w:val="00315AA4"/>
    <w:rsid w:val="00315C4F"/>
    <w:rsid w:val="003165AA"/>
    <w:rsid w:val="003165BC"/>
    <w:rsid w:val="00316D80"/>
    <w:rsid w:val="003174E5"/>
    <w:rsid w:val="00317714"/>
    <w:rsid w:val="0031787A"/>
    <w:rsid w:val="00317AEC"/>
    <w:rsid w:val="00320A17"/>
    <w:rsid w:val="00320AB9"/>
    <w:rsid w:val="00320B79"/>
    <w:rsid w:val="00320D57"/>
    <w:rsid w:val="00320DB5"/>
    <w:rsid w:val="00320E7B"/>
    <w:rsid w:val="00320F83"/>
    <w:rsid w:val="003210C2"/>
    <w:rsid w:val="00321465"/>
    <w:rsid w:val="003217AE"/>
    <w:rsid w:val="0032224A"/>
    <w:rsid w:val="003225CF"/>
    <w:rsid w:val="00322846"/>
    <w:rsid w:val="00322AD4"/>
    <w:rsid w:val="00322DA9"/>
    <w:rsid w:val="0032338C"/>
    <w:rsid w:val="003239C5"/>
    <w:rsid w:val="00323AF6"/>
    <w:rsid w:val="00323E8E"/>
    <w:rsid w:val="003240CE"/>
    <w:rsid w:val="00324346"/>
    <w:rsid w:val="003243B8"/>
    <w:rsid w:val="00324937"/>
    <w:rsid w:val="003251C2"/>
    <w:rsid w:val="0032577A"/>
    <w:rsid w:val="00325BB4"/>
    <w:rsid w:val="00325FA0"/>
    <w:rsid w:val="003261BB"/>
    <w:rsid w:val="0032629A"/>
    <w:rsid w:val="00326630"/>
    <w:rsid w:val="0032692E"/>
    <w:rsid w:val="00326F1C"/>
    <w:rsid w:val="00326F4F"/>
    <w:rsid w:val="00327162"/>
    <w:rsid w:val="00330456"/>
    <w:rsid w:val="00330A0A"/>
    <w:rsid w:val="00330AEE"/>
    <w:rsid w:val="00330C4B"/>
    <w:rsid w:val="00330C5D"/>
    <w:rsid w:val="003312BC"/>
    <w:rsid w:val="0033194F"/>
    <w:rsid w:val="003319B3"/>
    <w:rsid w:val="00331A92"/>
    <w:rsid w:val="00331AD8"/>
    <w:rsid w:val="0033255D"/>
    <w:rsid w:val="003328A9"/>
    <w:rsid w:val="00332B2B"/>
    <w:rsid w:val="00332B89"/>
    <w:rsid w:val="00333817"/>
    <w:rsid w:val="003338AF"/>
    <w:rsid w:val="003351E5"/>
    <w:rsid w:val="00335248"/>
    <w:rsid w:val="003352F6"/>
    <w:rsid w:val="00335651"/>
    <w:rsid w:val="00335A39"/>
    <w:rsid w:val="00335A76"/>
    <w:rsid w:val="00336062"/>
    <w:rsid w:val="003371B5"/>
    <w:rsid w:val="00337787"/>
    <w:rsid w:val="00337B01"/>
    <w:rsid w:val="00337BAF"/>
    <w:rsid w:val="00337BDD"/>
    <w:rsid w:val="00337C2C"/>
    <w:rsid w:val="003402FD"/>
    <w:rsid w:val="00340341"/>
    <w:rsid w:val="00340523"/>
    <w:rsid w:val="00340785"/>
    <w:rsid w:val="00340D64"/>
    <w:rsid w:val="00340F5B"/>
    <w:rsid w:val="003411ED"/>
    <w:rsid w:val="003412CD"/>
    <w:rsid w:val="003415F0"/>
    <w:rsid w:val="003416DA"/>
    <w:rsid w:val="003416F5"/>
    <w:rsid w:val="003417B6"/>
    <w:rsid w:val="003417CB"/>
    <w:rsid w:val="00341D05"/>
    <w:rsid w:val="003424E2"/>
    <w:rsid w:val="0034330C"/>
    <w:rsid w:val="003435A9"/>
    <w:rsid w:val="00343788"/>
    <w:rsid w:val="003439D4"/>
    <w:rsid w:val="00343A53"/>
    <w:rsid w:val="00343BA2"/>
    <w:rsid w:val="00343FCC"/>
    <w:rsid w:val="00344068"/>
    <w:rsid w:val="00344419"/>
    <w:rsid w:val="00344649"/>
    <w:rsid w:val="00344BC9"/>
    <w:rsid w:val="003452B1"/>
    <w:rsid w:val="00345496"/>
    <w:rsid w:val="00345BCF"/>
    <w:rsid w:val="00345C0A"/>
    <w:rsid w:val="003466F9"/>
    <w:rsid w:val="0034675E"/>
    <w:rsid w:val="003469A8"/>
    <w:rsid w:val="003469B8"/>
    <w:rsid w:val="00346D22"/>
    <w:rsid w:val="00346EAB"/>
    <w:rsid w:val="00347140"/>
    <w:rsid w:val="0034741F"/>
    <w:rsid w:val="00347532"/>
    <w:rsid w:val="00347854"/>
    <w:rsid w:val="00347EFD"/>
    <w:rsid w:val="00350092"/>
    <w:rsid w:val="0035009E"/>
    <w:rsid w:val="003505B1"/>
    <w:rsid w:val="0035174A"/>
    <w:rsid w:val="003519AD"/>
    <w:rsid w:val="003519EA"/>
    <w:rsid w:val="00351B7A"/>
    <w:rsid w:val="00351BA1"/>
    <w:rsid w:val="00351C64"/>
    <w:rsid w:val="00351E0E"/>
    <w:rsid w:val="00351E13"/>
    <w:rsid w:val="003520A2"/>
    <w:rsid w:val="0035238A"/>
    <w:rsid w:val="00352423"/>
    <w:rsid w:val="00352896"/>
    <w:rsid w:val="00352BB5"/>
    <w:rsid w:val="00352DF9"/>
    <w:rsid w:val="00352E7B"/>
    <w:rsid w:val="00352FEE"/>
    <w:rsid w:val="00353244"/>
    <w:rsid w:val="0035327C"/>
    <w:rsid w:val="00353702"/>
    <w:rsid w:val="003538C2"/>
    <w:rsid w:val="00353A1E"/>
    <w:rsid w:val="00353A29"/>
    <w:rsid w:val="003545B4"/>
    <w:rsid w:val="00354839"/>
    <w:rsid w:val="00354B4E"/>
    <w:rsid w:val="00354EB4"/>
    <w:rsid w:val="00354FAD"/>
    <w:rsid w:val="00355022"/>
    <w:rsid w:val="0035540F"/>
    <w:rsid w:val="00355F8E"/>
    <w:rsid w:val="00356061"/>
    <w:rsid w:val="00356316"/>
    <w:rsid w:val="003569D6"/>
    <w:rsid w:val="003569E5"/>
    <w:rsid w:val="00356D29"/>
    <w:rsid w:val="00356D9F"/>
    <w:rsid w:val="00356EEA"/>
    <w:rsid w:val="003571C2"/>
    <w:rsid w:val="003575B9"/>
    <w:rsid w:val="00357632"/>
    <w:rsid w:val="00357B54"/>
    <w:rsid w:val="00360162"/>
    <w:rsid w:val="00360199"/>
    <w:rsid w:val="003601DA"/>
    <w:rsid w:val="00360301"/>
    <w:rsid w:val="003603DB"/>
    <w:rsid w:val="00360996"/>
    <w:rsid w:val="00360A03"/>
    <w:rsid w:val="00360C23"/>
    <w:rsid w:val="00360E02"/>
    <w:rsid w:val="003612AD"/>
    <w:rsid w:val="0036155E"/>
    <w:rsid w:val="00361C05"/>
    <w:rsid w:val="00361D47"/>
    <w:rsid w:val="00361E04"/>
    <w:rsid w:val="00361EA7"/>
    <w:rsid w:val="003623EC"/>
    <w:rsid w:val="0036253D"/>
    <w:rsid w:val="003626AF"/>
    <w:rsid w:val="00362D4E"/>
    <w:rsid w:val="00363208"/>
    <w:rsid w:val="00363A32"/>
    <w:rsid w:val="00363AB9"/>
    <w:rsid w:val="00363C16"/>
    <w:rsid w:val="00363DFD"/>
    <w:rsid w:val="003640A7"/>
    <w:rsid w:val="0036411E"/>
    <w:rsid w:val="00364380"/>
    <w:rsid w:val="00364A1A"/>
    <w:rsid w:val="00364B68"/>
    <w:rsid w:val="00365447"/>
    <w:rsid w:val="003654D0"/>
    <w:rsid w:val="00365BED"/>
    <w:rsid w:val="00366CC5"/>
    <w:rsid w:val="00366FF4"/>
    <w:rsid w:val="00367170"/>
    <w:rsid w:val="00367716"/>
    <w:rsid w:val="003677C8"/>
    <w:rsid w:val="0036794E"/>
    <w:rsid w:val="00367FFB"/>
    <w:rsid w:val="003702BA"/>
    <w:rsid w:val="00370385"/>
    <w:rsid w:val="003704DB"/>
    <w:rsid w:val="00370517"/>
    <w:rsid w:val="00370842"/>
    <w:rsid w:val="003709B8"/>
    <w:rsid w:val="00370CD2"/>
    <w:rsid w:val="00371526"/>
    <w:rsid w:val="00371B8D"/>
    <w:rsid w:val="00371BEB"/>
    <w:rsid w:val="00371D42"/>
    <w:rsid w:val="00371E15"/>
    <w:rsid w:val="00371FF0"/>
    <w:rsid w:val="00372297"/>
    <w:rsid w:val="003722D1"/>
    <w:rsid w:val="00372507"/>
    <w:rsid w:val="00372B2E"/>
    <w:rsid w:val="00372B6B"/>
    <w:rsid w:val="00372E50"/>
    <w:rsid w:val="00372F85"/>
    <w:rsid w:val="003744E5"/>
    <w:rsid w:val="00374E3F"/>
    <w:rsid w:val="003756DF"/>
    <w:rsid w:val="00375780"/>
    <w:rsid w:val="0037579D"/>
    <w:rsid w:val="00375CEE"/>
    <w:rsid w:val="00375D06"/>
    <w:rsid w:val="00375F68"/>
    <w:rsid w:val="00376626"/>
    <w:rsid w:val="0037675E"/>
    <w:rsid w:val="0037693B"/>
    <w:rsid w:val="00376FA4"/>
    <w:rsid w:val="00377090"/>
    <w:rsid w:val="00377459"/>
    <w:rsid w:val="00377B6D"/>
    <w:rsid w:val="00377EBC"/>
    <w:rsid w:val="00377FEC"/>
    <w:rsid w:val="00380365"/>
    <w:rsid w:val="00380861"/>
    <w:rsid w:val="0038119C"/>
    <w:rsid w:val="0038146C"/>
    <w:rsid w:val="00381669"/>
    <w:rsid w:val="00381D62"/>
    <w:rsid w:val="00382218"/>
    <w:rsid w:val="0038233B"/>
    <w:rsid w:val="00382406"/>
    <w:rsid w:val="0038258A"/>
    <w:rsid w:val="00382609"/>
    <w:rsid w:val="00382731"/>
    <w:rsid w:val="00382753"/>
    <w:rsid w:val="003827CD"/>
    <w:rsid w:val="00383139"/>
    <w:rsid w:val="00383AD6"/>
    <w:rsid w:val="00383B65"/>
    <w:rsid w:val="00383C5D"/>
    <w:rsid w:val="00383D4E"/>
    <w:rsid w:val="00384953"/>
    <w:rsid w:val="00384B26"/>
    <w:rsid w:val="00384B27"/>
    <w:rsid w:val="00384BBC"/>
    <w:rsid w:val="00384D56"/>
    <w:rsid w:val="00384DFA"/>
    <w:rsid w:val="00384EEB"/>
    <w:rsid w:val="0038533E"/>
    <w:rsid w:val="003853A4"/>
    <w:rsid w:val="00385CE4"/>
    <w:rsid w:val="00385D86"/>
    <w:rsid w:val="00385D88"/>
    <w:rsid w:val="00385E5A"/>
    <w:rsid w:val="00386124"/>
    <w:rsid w:val="003864D5"/>
    <w:rsid w:val="00386581"/>
    <w:rsid w:val="003868A1"/>
    <w:rsid w:val="00386BAC"/>
    <w:rsid w:val="00386C13"/>
    <w:rsid w:val="00386EFA"/>
    <w:rsid w:val="00387097"/>
    <w:rsid w:val="0038780F"/>
    <w:rsid w:val="003879BC"/>
    <w:rsid w:val="00387D95"/>
    <w:rsid w:val="003900A6"/>
    <w:rsid w:val="00390202"/>
    <w:rsid w:val="0039021A"/>
    <w:rsid w:val="003902C4"/>
    <w:rsid w:val="00390567"/>
    <w:rsid w:val="0039066F"/>
    <w:rsid w:val="0039080E"/>
    <w:rsid w:val="00390D0F"/>
    <w:rsid w:val="00391359"/>
    <w:rsid w:val="00391B84"/>
    <w:rsid w:val="003920E0"/>
    <w:rsid w:val="00392284"/>
    <w:rsid w:val="00392697"/>
    <w:rsid w:val="00392914"/>
    <w:rsid w:val="00392A73"/>
    <w:rsid w:val="00392AAC"/>
    <w:rsid w:val="00392C5B"/>
    <w:rsid w:val="00392CD1"/>
    <w:rsid w:val="00393227"/>
    <w:rsid w:val="003932B1"/>
    <w:rsid w:val="0039350F"/>
    <w:rsid w:val="00393848"/>
    <w:rsid w:val="00393957"/>
    <w:rsid w:val="00393BFC"/>
    <w:rsid w:val="0039487A"/>
    <w:rsid w:val="003948D2"/>
    <w:rsid w:val="003948D9"/>
    <w:rsid w:val="00394C37"/>
    <w:rsid w:val="00394D10"/>
    <w:rsid w:val="0039522E"/>
    <w:rsid w:val="0039528B"/>
    <w:rsid w:val="003952AE"/>
    <w:rsid w:val="00395380"/>
    <w:rsid w:val="003958E7"/>
    <w:rsid w:val="00395E79"/>
    <w:rsid w:val="00396353"/>
    <w:rsid w:val="003966F6"/>
    <w:rsid w:val="0039677D"/>
    <w:rsid w:val="00396E64"/>
    <w:rsid w:val="00396F9C"/>
    <w:rsid w:val="00397BAD"/>
    <w:rsid w:val="00397CF3"/>
    <w:rsid w:val="003A0087"/>
    <w:rsid w:val="003A021F"/>
    <w:rsid w:val="003A03B4"/>
    <w:rsid w:val="003A0415"/>
    <w:rsid w:val="003A0660"/>
    <w:rsid w:val="003A0B42"/>
    <w:rsid w:val="003A0D52"/>
    <w:rsid w:val="003A0EDD"/>
    <w:rsid w:val="003A2335"/>
    <w:rsid w:val="003A244F"/>
    <w:rsid w:val="003A259B"/>
    <w:rsid w:val="003A2629"/>
    <w:rsid w:val="003A2725"/>
    <w:rsid w:val="003A2A6B"/>
    <w:rsid w:val="003A2B81"/>
    <w:rsid w:val="003A2E8B"/>
    <w:rsid w:val="003A2ED1"/>
    <w:rsid w:val="003A34D6"/>
    <w:rsid w:val="003A3740"/>
    <w:rsid w:val="003A404B"/>
    <w:rsid w:val="003A45FF"/>
    <w:rsid w:val="003A4799"/>
    <w:rsid w:val="003A48B0"/>
    <w:rsid w:val="003A4C47"/>
    <w:rsid w:val="003A5298"/>
    <w:rsid w:val="003A53E7"/>
    <w:rsid w:val="003A5AD4"/>
    <w:rsid w:val="003A5C93"/>
    <w:rsid w:val="003A61AA"/>
    <w:rsid w:val="003A6724"/>
    <w:rsid w:val="003A6E1A"/>
    <w:rsid w:val="003A6EFB"/>
    <w:rsid w:val="003A7471"/>
    <w:rsid w:val="003A7821"/>
    <w:rsid w:val="003A7976"/>
    <w:rsid w:val="003B04CC"/>
    <w:rsid w:val="003B0BA1"/>
    <w:rsid w:val="003B1046"/>
    <w:rsid w:val="003B1545"/>
    <w:rsid w:val="003B1711"/>
    <w:rsid w:val="003B1742"/>
    <w:rsid w:val="003B19EA"/>
    <w:rsid w:val="003B1D32"/>
    <w:rsid w:val="003B2391"/>
    <w:rsid w:val="003B240B"/>
    <w:rsid w:val="003B2637"/>
    <w:rsid w:val="003B272C"/>
    <w:rsid w:val="003B27E0"/>
    <w:rsid w:val="003B2EC4"/>
    <w:rsid w:val="003B2EF4"/>
    <w:rsid w:val="003B2F04"/>
    <w:rsid w:val="003B304C"/>
    <w:rsid w:val="003B32DA"/>
    <w:rsid w:val="003B3654"/>
    <w:rsid w:val="003B4549"/>
    <w:rsid w:val="003B4599"/>
    <w:rsid w:val="003B4AE7"/>
    <w:rsid w:val="003B4DB8"/>
    <w:rsid w:val="003B4F36"/>
    <w:rsid w:val="003B5462"/>
    <w:rsid w:val="003B54B1"/>
    <w:rsid w:val="003B5C43"/>
    <w:rsid w:val="003B5C50"/>
    <w:rsid w:val="003B5F9F"/>
    <w:rsid w:val="003B617A"/>
    <w:rsid w:val="003B61B7"/>
    <w:rsid w:val="003B6F21"/>
    <w:rsid w:val="003B7131"/>
    <w:rsid w:val="003B71F5"/>
    <w:rsid w:val="003B7584"/>
    <w:rsid w:val="003B7775"/>
    <w:rsid w:val="003B79BF"/>
    <w:rsid w:val="003B7DDA"/>
    <w:rsid w:val="003C04FE"/>
    <w:rsid w:val="003C0592"/>
    <w:rsid w:val="003C05C5"/>
    <w:rsid w:val="003C0719"/>
    <w:rsid w:val="003C07BB"/>
    <w:rsid w:val="003C0A8B"/>
    <w:rsid w:val="003C0B26"/>
    <w:rsid w:val="003C11EA"/>
    <w:rsid w:val="003C13DD"/>
    <w:rsid w:val="003C16DA"/>
    <w:rsid w:val="003C16FC"/>
    <w:rsid w:val="003C1800"/>
    <w:rsid w:val="003C1AE2"/>
    <w:rsid w:val="003C1C1C"/>
    <w:rsid w:val="003C216C"/>
    <w:rsid w:val="003C2860"/>
    <w:rsid w:val="003C2EA9"/>
    <w:rsid w:val="003C2F15"/>
    <w:rsid w:val="003C3129"/>
    <w:rsid w:val="003C33E7"/>
    <w:rsid w:val="003C3599"/>
    <w:rsid w:val="003C3AF7"/>
    <w:rsid w:val="003C3F2B"/>
    <w:rsid w:val="003C42F4"/>
    <w:rsid w:val="003C482E"/>
    <w:rsid w:val="003C4915"/>
    <w:rsid w:val="003C4935"/>
    <w:rsid w:val="003C4EBB"/>
    <w:rsid w:val="003C4F42"/>
    <w:rsid w:val="003C4F8F"/>
    <w:rsid w:val="003C501B"/>
    <w:rsid w:val="003C5496"/>
    <w:rsid w:val="003C5D2B"/>
    <w:rsid w:val="003C5EC0"/>
    <w:rsid w:val="003C6444"/>
    <w:rsid w:val="003C6B59"/>
    <w:rsid w:val="003C72D5"/>
    <w:rsid w:val="003C758C"/>
    <w:rsid w:val="003C7AE8"/>
    <w:rsid w:val="003D020A"/>
    <w:rsid w:val="003D0D11"/>
    <w:rsid w:val="003D0ECA"/>
    <w:rsid w:val="003D0F94"/>
    <w:rsid w:val="003D1028"/>
    <w:rsid w:val="003D1044"/>
    <w:rsid w:val="003D1180"/>
    <w:rsid w:val="003D1188"/>
    <w:rsid w:val="003D1566"/>
    <w:rsid w:val="003D1633"/>
    <w:rsid w:val="003D16CA"/>
    <w:rsid w:val="003D18CB"/>
    <w:rsid w:val="003D1A62"/>
    <w:rsid w:val="003D1B1E"/>
    <w:rsid w:val="003D2273"/>
    <w:rsid w:val="003D28CA"/>
    <w:rsid w:val="003D299E"/>
    <w:rsid w:val="003D2F7D"/>
    <w:rsid w:val="003D3112"/>
    <w:rsid w:val="003D4701"/>
    <w:rsid w:val="003D4DDB"/>
    <w:rsid w:val="003D55E1"/>
    <w:rsid w:val="003D56EE"/>
    <w:rsid w:val="003D57F5"/>
    <w:rsid w:val="003D5900"/>
    <w:rsid w:val="003D5A4D"/>
    <w:rsid w:val="003D5D1C"/>
    <w:rsid w:val="003D5FBC"/>
    <w:rsid w:val="003D6299"/>
    <w:rsid w:val="003D641A"/>
    <w:rsid w:val="003D65E7"/>
    <w:rsid w:val="003D66CF"/>
    <w:rsid w:val="003D6B0C"/>
    <w:rsid w:val="003D6D74"/>
    <w:rsid w:val="003D6F12"/>
    <w:rsid w:val="003D71E1"/>
    <w:rsid w:val="003D71EB"/>
    <w:rsid w:val="003D7670"/>
    <w:rsid w:val="003D7D08"/>
    <w:rsid w:val="003D7E78"/>
    <w:rsid w:val="003E03C1"/>
    <w:rsid w:val="003E0510"/>
    <w:rsid w:val="003E05D9"/>
    <w:rsid w:val="003E06BA"/>
    <w:rsid w:val="003E0BFC"/>
    <w:rsid w:val="003E0C73"/>
    <w:rsid w:val="003E0CAA"/>
    <w:rsid w:val="003E1584"/>
    <w:rsid w:val="003E16FD"/>
    <w:rsid w:val="003E1A0E"/>
    <w:rsid w:val="003E1C38"/>
    <w:rsid w:val="003E1DBC"/>
    <w:rsid w:val="003E22CB"/>
    <w:rsid w:val="003E2343"/>
    <w:rsid w:val="003E25EF"/>
    <w:rsid w:val="003E2E73"/>
    <w:rsid w:val="003E31C0"/>
    <w:rsid w:val="003E354E"/>
    <w:rsid w:val="003E4008"/>
    <w:rsid w:val="003E406B"/>
    <w:rsid w:val="003E40B5"/>
    <w:rsid w:val="003E43B9"/>
    <w:rsid w:val="003E4424"/>
    <w:rsid w:val="003E4707"/>
    <w:rsid w:val="003E4774"/>
    <w:rsid w:val="003E4B15"/>
    <w:rsid w:val="003E4D07"/>
    <w:rsid w:val="003E4F4B"/>
    <w:rsid w:val="003E4F96"/>
    <w:rsid w:val="003E5285"/>
    <w:rsid w:val="003E5CCA"/>
    <w:rsid w:val="003E5E57"/>
    <w:rsid w:val="003E5EA1"/>
    <w:rsid w:val="003E5ED4"/>
    <w:rsid w:val="003E5F17"/>
    <w:rsid w:val="003E60C8"/>
    <w:rsid w:val="003E6210"/>
    <w:rsid w:val="003E628A"/>
    <w:rsid w:val="003E6498"/>
    <w:rsid w:val="003E671E"/>
    <w:rsid w:val="003E6E0E"/>
    <w:rsid w:val="003E7773"/>
    <w:rsid w:val="003E7CE6"/>
    <w:rsid w:val="003E7E1E"/>
    <w:rsid w:val="003F02C4"/>
    <w:rsid w:val="003F02D9"/>
    <w:rsid w:val="003F0367"/>
    <w:rsid w:val="003F05AB"/>
    <w:rsid w:val="003F085E"/>
    <w:rsid w:val="003F09BF"/>
    <w:rsid w:val="003F09FC"/>
    <w:rsid w:val="003F115E"/>
    <w:rsid w:val="003F142E"/>
    <w:rsid w:val="003F147C"/>
    <w:rsid w:val="003F14C2"/>
    <w:rsid w:val="003F19FE"/>
    <w:rsid w:val="003F2210"/>
    <w:rsid w:val="003F227B"/>
    <w:rsid w:val="003F22C7"/>
    <w:rsid w:val="003F243A"/>
    <w:rsid w:val="003F25E5"/>
    <w:rsid w:val="003F2C5C"/>
    <w:rsid w:val="003F33A7"/>
    <w:rsid w:val="003F3523"/>
    <w:rsid w:val="003F3661"/>
    <w:rsid w:val="003F3A21"/>
    <w:rsid w:val="003F44FC"/>
    <w:rsid w:val="003F52B8"/>
    <w:rsid w:val="003F52F9"/>
    <w:rsid w:val="003F535C"/>
    <w:rsid w:val="003F5B18"/>
    <w:rsid w:val="003F5C4D"/>
    <w:rsid w:val="003F5C80"/>
    <w:rsid w:val="003F6403"/>
    <w:rsid w:val="003F642A"/>
    <w:rsid w:val="003F66E6"/>
    <w:rsid w:val="003F6C29"/>
    <w:rsid w:val="003F7196"/>
    <w:rsid w:val="003F7369"/>
    <w:rsid w:val="003F752C"/>
    <w:rsid w:val="003F777D"/>
    <w:rsid w:val="00400762"/>
    <w:rsid w:val="004008AF"/>
    <w:rsid w:val="00400A4C"/>
    <w:rsid w:val="00400B5F"/>
    <w:rsid w:val="004013EF"/>
    <w:rsid w:val="004014B1"/>
    <w:rsid w:val="004015D8"/>
    <w:rsid w:val="00401781"/>
    <w:rsid w:val="00401DBF"/>
    <w:rsid w:val="0040250E"/>
    <w:rsid w:val="0040269A"/>
    <w:rsid w:val="00402FBF"/>
    <w:rsid w:val="004033D9"/>
    <w:rsid w:val="0040390E"/>
    <w:rsid w:val="00404956"/>
    <w:rsid w:val="00404A94"/>
    <w:rsid w:val="00404CA9"/>
    <w:rsid w:val="00404DF5"/>
    <w:rsid w:val="00405126"/>
    <w:rsid w:val="00405477"/>
    <w:rsid w:val="0040551F"/>
    <w:rsid w:val="00405FBE"/>
    <w:rsid w:val="00406032"/>
    <w:rsid w:val="00406161"/>
    <w:rsid w:val="00406307"/>
    <w:rsid w:val="00406516"/>
    <w:rsid w:val="00406577"/>
    <w:rsid w:val="0040699A"/>
    <w:rsid w:val="00406AD1"/>
    <w:rsid w:val="00406B6A"/>
    <w:rsid w:val="0040771F"/>
    <w:rsid w:val="00410325"/>
    <w:rsid w:val="00410C7B"/>
    <w:rsid w:val="004111F7"/>
    <w:rsid w:val="0041141E"/>
    <w:rsid w:val="00411F75"/>
    <w:rsid w:val="00412108"/>
    <w:rsid w:val="0041217D"/>
    <w:rsid w:val="00412598"/>
    <w:rsid w:val="004125C6"/>
    <w:rsid w:val="0041275F"/>
    <w:rsid w:val="00412789"/>
    <w:rsid w:val="00412B47"/>
    <w:rsid w:val="00412DEA"/>
    <w:rsid w:val="0041302C"/>
    <w:rsid w:val="00413926"/>
    <w:rsid w:val="00413A7E"/>
    <w:rsid w:val="00413D54"/>
    <w:rsid w:val="004141BF"/>
    <w:rsid w:val="00414723"/>
    <w:rsid w:val="00414C34"/>
    <w:rsid w:val="00414E38"/>
    <w:rsid w:val="004154A1"/>
    <w:rsid w:val="00415555"/>
    <w:rsid w:val="0041563B"/>
    <w:rsid w:val="00415BF7"/>
    <w:rsid w:val="00415F25"/>
    <w:rsid w:val="00416185"/>
    <w:rsid w:val="00416CE5"/>
    <w:rsid w:val="00417715"/>
    <w:rsid w:val="004178CC"/>
    <w:rsid w:val="00417A13"/>
    <w:rsid w:val="0042002B"/>
    <w:rsid w:val="00420243"/>
    <w:rsid w:val="00420457"/>
    <w:rsid w:val="004205E8"/>
    <w:rsid w:val="00420664"/>
    <w:rsid w:val="00421079"/>
    <w:rsid w:val="004216DE"/>
    <w:rsid w:val="0042171C"/>
    <w:rsid w:val="0042173D"/>
    <w:rsid w:val="00421A89"/>
    <w:rsid w:val="00421B5C"/>
    <w:rsid w:val="00421EBC"/>
    <w:rsid w:val="00422897"/>
    <w:rsid w:val="0042298D"/>
    <w:rsid w:val="0042304B"/>
    <w:rsid w:val="00423305"/>
    <w:rsid w:val="00423B0F"/>
    <w:rsid w:val="00424084"/>
    <w:rsid w:val="004241F2"/>
    <w:rsid w:val="00424A55"/>
    <w:rsid w:val="00424D0C"/>
    <w:rsid w:val="004250A9"/>
    <w:rsid w:val="004250F4"/>
    <w:rsid w:val="00425309"/>
    <w:rsid w:val="0042566A"/>
    <w:rsid w:val="00425904"/>
    <w:rsid w:val="004268FE"/>
    <w:rsid w:val="00426DA8"/>
    <w:rsid w:val="00426DFA"/>
    <w:rsid w:val="00426ED6"/>
    <w:rsid w:val="004273AD"/>
    <w:rsid w:val="00427B0F"/>
    <w:rsid w:val="00427CE2"/>
    <w:rsid w:val="00427CE5"/>
    <w:rsid w:val="0043014D"/>
    <w:rsid w:val="00430296"/>
    <w:rsid w:val="004305AE"/>
    <w:rsid w:val="00430D7C"/>
    <w:rsid w:val="00431356"/>
    <w:rsid w:val="004313DD"/>
    <w:rsid w:val="00431800"/>
    <w:rsid w:val="00431DF1"/>
    <w:rsid w:val="0043201F"/>
    <w:rsid w:val="004322FA"/>
    <w:rsid w:val="004328CD"/>
    <w:rsid w:val="00432928"/>
    <w:rsid w:val="00432B65"/>
    <w:rsid w:val="0043313D"/>
    <w:rsid w:val="004332B1"/>
    <w:rsid w:val="004333EB"/>
    <w:rsid w:val="004334E3"/>
    <w:rsid w:val="00433541"/>
    <w:rsid w:val="004336EC"/>
    <w:rsid w:val="0043374F"/>
    <w:rsid w:val="0043424E"/>
    <w:rsid w:val="00434D81"/>
    <w:rsid w:val="00434E56"/>
    <w:rsid w:val="00434EB7"/>
    <w:rsid w:val="00434FC5"/>
    <w:rsid w:val="004357A2"/>
    <w:rsid w:val="004359BE"/>
    <w:rsid w:val="0043632A"/>
    <w:rsid w:val="00436514"/>
    <w:rsid w:val="00436CAD"/>
    <w:rsid w:val="004373AC"/>
    <w:rsid w:val="00437E9A"/>
    <w:rsid w:val="00437EB5"/>
    <w:rsid w:val="0044030B"/>
    <w:rsid w:val="00440AA3"/>
    <w:rsid w:val="00440C72"/>
    <w:rsid w:val="00440F7C"/>
    <w:rsid w:val="00441117"/>
    <w:rsid w:val="00441425"/>
    <w:rsid w:val="00441A97"/>
    <w:rsid w:val="00441C27"/>
    <w:rsid w:val="00441D81"/>
    <w:rsid w:val="004423F7"/>
    <w:rsid w:val="0044273F"/>
    <w:rsid w:val="004428DC"/>
    <w:rsid w:val="00442A32"/>
    <w:rsid w:val="00442A49"/>
    <w:rsid w:val="00442D03"/>
    <w:rsid w:val="00443594"/>
    <w:rsid w:val="00443728"/>
    <w:rsid w:val="00443AD7"/>
    <w:rsid w:val="00443AED"/>
    <w:rsid w:val="00443D72"/>
    <w:rsid w:val="00443E52"/>
    <w:rsid w:val="00443F44"/>
    <w:rsid w:val="00443F9C"/>
    <w:rsid w:val="004440C8"/>
    <w:rsid w:val="004446E5"/>
    <w:rsid w:val="004447FC"/>
    <w:rsid w:val="00444B06"/>
    <w:rsid w:val="00444E5C"/>
    <w:rsid w:val="00445070"/>
    <w:rsid w:val="0044555F"/>
    <w:rsid w:val="00445CFA"/>
    <w:rsid w:val="00445ED3"/>
    <w:rsid w:val="00445F3D"/>
    <w:rsid w:val="004461D0"/>
    <w:rsid w:val="00446451"/>
    <w:rsid w:val="00446699"/>
    <w:rsid w:val="004467A9"/>
    <w:rsid w:val="0044690B"/>
    <w:rsid w:val="00446BBE"/>
    <w:rsid w:val="00446C35"/>
    <w:rsid w:val="00446C9D"/>
    <w:rsid w:val="00446D70"/>
    <w:rsid w:val="004476B7"/>
    <w:rsid w:val="0044782C"/>
    <w:rsid w:val="00447863"/>
    <w:rsid w:val="00447A0B"/>
    <w:rsid w:val="00447FA0"/>
    <w:rsid w:val="004501C5"/>
    <w:rsid w:val="00450760"/>
    <w:rsid w:val="0045093D"/>
    <w:rsid w:val="00450DB0"/>
    <w:rsid w:val="00450F22"/>
    <w:rsid w:val="00451645"/>
    <w:rsid w:val="00451BED"/>
    <w:rsid w:val="00451F20"/>
    <w:rsid w:val="004521F0"/>
    <w:rsid w:val="004523E9"/>
    <w:rsid w:val="004523F7"/>
    <w:rsid w:val="00452738"/>
    <w:rsid w:val="00452BBC"/>
    <w:rsid w:val="004536BF"/>
    <w:rsid w:val="00453B82"/>
    <w:rsid w:val="00453ED7"/>
    <w:rsid w:val="004540B4"/>
    <w:rsid w:val="00454105"/>
    <w:rsid w:val="004546A8"/>
    <w:rsid w:val="00454760"/>
    <w:rsid w:val="00454959"/>
    <w:rsid w:val="00454AAC"/>
    <w:rsid w:val="00454B36"/>
    <w:rsid w:val="00454D1F"/>
    <w:rsid w:val="00454D3F"/>
    <w:rsid w:val="00454F8E"/>
    <w:rsid w:val="00455AB3"/>
    <w:rsid w:val="00455C2A"/>
    <w:rsid w:val="00455DDE"/>
    <w:rsid w:val="00456A1A"/>
    <w:rsid w:val="00456DFB"/>
    <w:rsid w:val="00456F8F"/>
    <w:rsid w:val="00457009"/>
    <w:rsid w:val="004574CB"/>
    <w:rsid w:val="00457CE1"/>
    <w:rsid w:val="00457DBD"/>
    <w:rsid w:val="004604F7"/>
    <w:rsid w:val="00460690"/>
    <w:rsid w:val="00460B90"/>
    <w:rsid w:val="00460D35"/>
    <w:rsid w:val="00460EC0"/>
    <w:rsid w:val="00461090"/>
    <w:rsid w:val="00461A90"/>
    <w:rsid w:val="00462778"/>
    <w:rsid w:val="0046298A"/>
    <w:rsid w:val="00462C01"/>
    <w:rsid w:val="00462CD6"/>
    <w:rsid w:val="00463084"/>
    <w:rsid w:val="00463366"/>
    <w:rsid w:val="0046338A"/>
    <w:rsid w:val="0046380D"/>
    <w:rsid w:val="00463B3C"/>
    <w:rsid w:val="00463CBC"/>
    <w:rsid w:val="00463E5C"/>
    <w:rsid w:val="004644E8"/>
    <w:rsid w:val="00464567"/>
    <w:rsid w:val="00464A41"/>
    <w:rsid w:val="00464BA7"/>
    <w:rsid w:val="00464F6C"/>
    <w:rsid w:val="00465009"/>
    <w:rsid w:val="00465091"/>
    <w:rsid w:val="0046548D"/>
    <w:rsid w:val="00465872"/>
    <w:rsid w:val="00466211"/>
    <w:rsid w:val="00466B62"/>
    <w:rsid w:val="00466C0C"/>
    <w:rsid w:val="00466D6C"/>
    <w:rsid w:val="00466D7E"/>
    <w:rsid w:val="0046720A"/>
    <w:rsid w:val="0046745B"/>
    <w:rsid w:val="00467A7F"/>
    <w:rsid w:val="00471091"/>
    <w:rsid w:val="0047160A"/>
    <w:rsid w:val="004718D1"/>
    <w:rsid w:val="00471D0D"/>
    <w:rsid w:val="004721DA"/>
    <w:rsid w:val="0047257F"/>
    <w:rsid w:val="00472713"/>
    <w:rsid w:val="0047287D"/>
    <w:rsid w:val="004731E7"/>
    <w:rsid w:val="00473205"/>
    <w:rsid w:val="0047328D"/>
    <w:rsid w:val="00473680"/>
    <w:rsid w:val="00473D4A"/>
    <w:rsid w:val="00473E84"/>
    <w:rsid w:val="004740BD"/>
    <w:rsid w:val="00474275"/>
    <w:rsid w:val="00474559"/>
    <w:rsid w:val="00474E01"/>
    <w:rsid w:val="00475363"/>
    <w:rsid w:val="004754B0"/>
    <w:rsid w:val="00475621"/>
    <w:rsid w:val="004759E4"/>
    <w:rsid w:val="00475A30"/>
    <w:rsid w:val="00475CAE"/>
    <w:rsid w:val="00475D68"/>
    <w:rsid w:val="00475F4B"/>
    <w:rsid w:val="00475FB7"/>
    <w:rsid w:val="0047664D"/>
    <w:rsid w:val="00476888"/>
    <w:rsid w:val="00476B8A"/>
    <w:rsid w:val="00477173"/>
    <w:rsid w:val="0047719F"/>
    <w:rsid w:val="00477917"/>
    <w:rsid w:val="00477D12"/>
    <w:rsid w:val="00480114"/>
    <w:rsid w:val="00480B55"/>
    <w:rsid w:val="00480F4F"/>
    <w:rsid w:val="004814DF"/>
    <w:rsid w:val="00481A6B"/>
    <w:rsid w:val="00482804"/>
    <w:rsid w:val="00482980"/>
    <w:rsid w:val="00482B47"/>
    <w:rsid w:val="0048323E"/>
    <w:rsid w:val="004835B4"/>
    <w:rsid w:val="004836AA"/>
    <w:rsid w:val="004837A1"/>
    <w:rsid w:val="004838E1"/>
    <w:rsid w:val="00483A34"/>
    <w:rsid w:val="00483C44"/>
    <w:rsid w:val="0048429F"/>
    <w:rsid w:val="00484DC5"/>
    <w:rsid w:val="00484F66"/>
    <w:rsid w:val="00484FCE"/>
    <w:rsid w:val="004853F6"/>
    <w:rsid w:val="00485675"/>
    <w:rsid w:val="004857E3"/>
    <w:rsid w:val="00485958"/>
    <w:rsid w:val="00485C2E"/>
    <w:rsid w:val="00486026"/>
    <w:rsid w:val="00486D8F"/>
    <w:rsid w:val="00486F8D"/>
    <w:rsid w:val="004871C0"/>
    <w:rsid w:val="00487277"/>
    <w:rsid w:val="004874D2"/>
    <w:rsid w:val="00487C85"/>
    <w:rsid w:val="0048F7FF"/>
    <w:rsid w:val="00490132"/>
    <w:rsid w:val="00490D9A"/>
    <w:rsid w:val="00490DC4"/>
    <w:rsid w:val="004914C9"/>
    <w:rsid w:val="00491517"/>
    <w:rsid w:val="00491664"/>
    <w:rsid w:val="004917D4"/>
    <w:rsid w:val="0049199D"/>
    <w:rsid w:val="0049240F"/>
    <w:rsid w:val="0049246B"/>
    <w:rsid w:val="004928F4"/>
    <w:rsid w:val="00492E72"/>
    <w:rsid w:val="00492E8C"/>
    <w:rsid w:val="00492E90"/>
    <w:rsid w:val="004936C6"/>
    <w:rsid w:val="0049391A"/>
    <w:rsid w:val="00493F40"/>
    <w:rsid w:val="0049422F"/>
    <w:rsid w:val="00494705"/>
    <w:rsid w:val="00494A39"/>
    <w:rsid w:val="00494B9B"/>
    <w:rsid w:val="00494E74"/>
    <w:rsid w:val="00494F64"/>
    <w:rsid w:val="00495086"/>
    <w:rsid w:val="0049549F"/>
    <w:rsid w:val="004961A1"/>
    <w:rsid w:val="004964C5"/>
    <w:rsid w:val="00496559"/>
    <w:rsid w:val="0049655F"/>
    <w:rsid w:val="004967A7"/>
    <w:rsid w:val="00496C5E"/>
    <w:rsid w:val="00496E20"/>
    <w:rsid w:val="00496FB5"/>
    <w:rsid w:val="00497060"/>
    <w:rsid w:val="00497232"/>
    <w:rsid w:val="0049724F"/>
    <w:rsid w:val="00497296"/>
    <w:rsid w:val="0049739F"/>
    <w:rsid w:val="0049745D"/>
    <w:rsid w:val="00497B02"/>
    <w:rsid w:val="00497B9F"/>
    <w:rsid w:val="00497C26"/>
    <w:rsid w:val="00497D69"/>
    <w:rsid w:val="004A024A"/>
    <w:rsid w:val="004A0755"/>
    <w:rsid w:val="004A127F"/>
    <w:rsid w:val="004A14A0"/>
    <w:rsid w:val="004A17ED"/>
    <w:rsid w:val="004A1970"/>
    <w:rsid w:val="004A1D41"/>
    <w:rsid w:val="004A1DF4"/>
    <w:rsid w:val="004A1E08"/>
    <w:rsid w:val="004A1E78"/>
    <w:rsid w:val="004A2084"/>
    <w:rsid w:val="004A22D0"/>
    <w:rsid w:val="004A2B24"/>
    <w:rsid w:val="004A30A8"/>
    <w:rsid w:val="004A3148"/>
    <w:rsid w:val="004A3194"/>
    <w:rsid w:val="004A3371"/>
    <w:rsid w:val="004A3702"/>
    <w:rsid w:val="004A3870"/>
    <w:rsid w:val="004A3A49"/>
    <w:rsid w:val="004A3A5F"/>
    <w:rsid w:val="004A3C80"/>
    <w:rsid w:val="004A3EA9"/>
    <w:rsid w:val="004A4375"/>
    <w:rsid w:val="004A4430"/>
    <w:rsid w:val="004A4555"/>
    <w:rsid w:val="004A489E"/>
    <w:rsid w:val="004A4A4A"/>
    <w:rsid w:val="004A4A9C"/>
    <w:rsid w:val="004A4D1F"/>
    <w:rsid w:val="004A4FDF"/>
    <w:rsid w:val="004A52F7"/>
    <w:rsid w:val="004A5441"/>
    <w:rsid w:val="004A5489"/>
    <w:rsid w:val="004A5585"/>
    <w:rsid w:val="004A55EE"/>
    <w:rsid w:val="004A5618"/>
    <w:rsid w:val="004A589D"/>
    <w:rsid w:val="004A58E7"/>
    <w:rsid w:val="004A5907"/>
    <w:rsid w:val="004A5C48"/>
    <w:rsid w:val="004A5E73"/>
    <w:rsid w:val="004A60FE"/>
    <w:rsid w:val="004A646D"/>
    <w:rsid w:val="004A672E"/>
    <w:rsid w:val="004A689B"/>
    <w:rsid w:val="004A699B"/>
    <w:rsid w:val="004A6A8D"/>
    <w:rsid w:val="004A6BE7"/>
    <w:rsid w:val="004A7412"/>
    <w:rsid w:val="004A7A52"/>
    <w:rsid w:val="004A7B50"/>
    <w:rsid w:val="004A7EB0"/>
    <w:rsid w:val="004B044A"/>
    <w:rsid w:val="004B097D"/>
    <w:rsid w:val="004B0D62"/>
    <w:rsid w:val="004B12E1"/>
    <w:rsid w:val="004B1462"/>
    <w:rsid w:val="004B1881"/>
    <w:rsid w:val="004B19FE"/>
    <w:rsid w:val="004B1C6E"/>
    <w:rsid w:val="004B1D1D"/>
    <w:rsid w:val="004B1D8A"/>
    <w:rsid w:val="004B1F6E"/>
    <w:rsid w:val="004B21CB"/>
    <w:rsid w:val="004B2491"/>
    <w:rsid w:val="004B2A4D"/>
    <w:rsid w:val="004B2F45"/>
    <w:rsid w:val="004B31AA"/>
    <w:rsid w:val="004B31C0"/>
    <w:rsid w:val="004B33C2"/>
    <w:rsid w:val="004B3876"/>
    <w:rsid w:val="004B4214"/>
    <w:rsid w:val="004B466E"/>
    <w:rsid w:val="004B484A"/>
    <w:rsid w:val="004B4D88"/>
    <w:rsid w:val="004B53E6"/>
    <w:rsid w:val="004B54AA"/>
    <w:rsid w:val="004B55C1"/>
    <w:rsid w:val="004B5BA4"/>
    <w:rsid w:val="004B5D95"/>
    <w:rsid w:val="004B6214"/>
    <w:rsid w:val="004B65FE"/>
    <w:rsid w:val="004B6622"/>
    <w:rsid w:val="004B689D"/>
    <w:rsid w:val="004B68F3"/>
    <w:rsid w:val="004B6E85"/>
    <w:rsid w:val="004B76F6"/>
    <w:rsid w:val="004B7C7D"/>
    <w:rsid w:val="004C0224"/>
    <w:rsid w:val="004C0356"/>
    <w:rsid w:val="004C0408"/>
    <w:rsid w:val="004C08AB"/>
    <w:rsid w:val="004C0980"/>
    <w:rsid w:val="004C0B28"/>
    <w:rsid w:val="004C0D3E"/>
    <w:rsid w:val="004C0E97"/>
    <w:rsid w:val="004C10A1"/>
    <w:rsid w:val="004C10B4"/>
    <w:rsid w:val="004C1161"/>
    <w:rsid w:val="004C1869"/>
    <w:rsid w:val="004C1ADE"/>
    <w:rsid w:val="004C1E5E"/>
    <w:rsid w:val="004C2350"/>
    <w:rsid w:val="004C2365"/>
    <w:rsid w:val="004C2BD9"/>
    <w:rsid w:val="004C2C01"/>
    <w:rsid w:val="004C2C28"/>
    <w:rsid w:val="004C2F19"/>
    <w:rsid w:val="004C3077"/>
    <w:rsid w:val="004C382D"/>
    <w:rsid w:val="004C4373"/>
    <w:rsid w:val="004C4449"/>
    <w:rsid w:val="004C4687"/>
    <w:rsid w:val="004C46CE"/>
    <w:rsid w:val="004C48C8"/>
    <w:rsid w:val="004C4BBB"/>
    <w:rsid w:val="004C4C25"/>
    <w:rsid w:val="004C5214"/>
    <w:rsid w:val="004C58F6"/>
    <w:rsid w:val="004C598D"/>
    <w:rsid w:val="004C6243"/>
    <w:rsid w:val="004C6794"/>
    <w:rsid w:val="004C6E86"/>
    <w:rsid w:val="004C76B8"/>
    <w:rsid w:val="004C76BC"/>
    <w:rsid w:val="004C7831"/>
    <w:rsid w:val="004C7A41"/>
    <w:rsid w:val="004C7E4E"/>
    <w:rsid w:val="004CC797"/>
    <w:rsid w:val="004D034A"/>
    <w:rsid w:val="004D064C"/>
    <w:rsid w:val="004D0E55"/>
    <w:rsid w:val="004D0FF0"/>
    <w:rsid w:val="004D196E"/>
    <w:rsid w:val="004D2126"/>
    <w:rsid w:val="004D2349"/>
    <w:rsid w:val="004D242C"/>
    <w:rsid w:val="004D27D4"/>
    <w:rsid w:val="004D298F"/>
    <w:rsid w:val="004D2BE0"/>
    <w:rsid w:val="004D315D"/>
    <w:rsid w:val="004D33C1"/>
    <w:rsid w:val="004D3897"/>
    <w:rsid w:val="004D3C28"/>
    <w:rsid w:val="004D3D53"/>
    <w:rsid w:val="004D3D73"/>
    <w:rsid w:val="004D4425"/>
    <w:rsid w:val="004D475D"/>
    <w:rsid w:val="004D4EA6"/>
    <w:rsid w:val="004D4F63"/>
    <w:rsid w:val="004D534A"/>
    <w:rsid w:val="004D5B4E"/>
    <w:rsid w:val="004D5BA9"/>
    <w:rsid w:val="004D5D26"/>
    <w:rsid w:val="004D5FD7"/>
    <w:rsid w:val="004D6937"/>
    <w:rsid w:val="004D6CFC"/>
    <w:rsid w:val="004D6F0D"/>
    <w:rsid w:val="004D7ACA"/>
    <w:rsid w:val="004D8F96"/>
    <w:rsid w:val="004E0805"/>
    <w:rsid w:val="004E1B67"/>
    <w:rsid w:val="004E2767"/>
    <w:rsid w:val="004E2981"/>
    <w:rsid w:val="004E2A88"/>
    <w:rsid w:val="004E2BD6"/>
    <w:rsid w:val="004E3652"/>
    <w:rsid w:val="004E3685"/>
    <w:rsid w:val="004E373F"/>
    <w:rsid w:val="004E39C6"/>
    <w:rsid w:val="004E3AC9"/>
    <w:rsid w:val="004E3EF3"/>
    <w:rsid w:val="004E41D9"/>
    <w:rsid w:val="004E4A17"/>
    <w:rsid w:val="004E528C"/>
    <w:rsid w:val="004E5446"/>
    <w:rsid w:val="004E5474"/>
    <w:rsid w:val="004E59BC"/>
    <w:rsid w:val="004E5B4E"/>
    <w:rsid w:val="004E5DBF"/>
    <w:rsid w:val="004E5E5D"/>
    <w:rsid w:val="004E5F5A"/>
    <w:rsid w:val="004E61EE"/>
    <w:rsid w:val="004E6661"/>
    <w:rsid w:val="004E785A"/>
    <w:rsid w:val="004E78D6"/>
    <w:rsid w:val="004E7974"/>
    <w:rsid w:val="004E7C3D"/>
    <w:rsid w:val="004E7FD9"/>
    <w:rsid w:val="004F0204"/>
    <w:rsid w:val="004F16D2"/>
    <w:rsid w:val="004F2243"/>
    <w:rsid w:val="004F2407"/>
    <w:rsid w:val="004F288B"/>
    <w:rsid w:val="004F2DC8"/>
    <w:rsid w:val="004F2ED8"/>
    <w:rsid w:val="004F3858"/>
    <w:rsid w:val="004F3C2B"/>
    <w:rsid w:val="004F3CF3"/>
    <w:rsid w:val="004F4345"/>
    <w:rsid w:val="004F447F"/>
    <w:rsid w:val="004F44D9"/>
    <w:rsid w:val="004F45D6"/>
    <w:rsid w:val="004F477B"/>
    <w:rsid w:val="004F4B1A"/>
    <w:rsid w:val="004F4FFB"/>
    <w:rsid w:val="004F50A7"/>
    <w:rsid w:val="004F524A"/>
    <w:rsid w:val="004F5299"/>
    <w:rsid w:val="004F5C2F"/>
    <w:rsid w:val="004F6850"/>
    <w:rsid w:val="004F6A87"/>
    <w:rsid w:val="004F6AD3"/>
    <w:rsid w:val="004F6C0C"/>
    <w:rsid w:val="004F6C9F"/>
    <w:rsid w:val="004F7224"/>
    <w:rsid w:val="004F7249"/>
    <w:rsid w:val="004F7909"/>
    <w:rsid w:val="004F79A6"/>
    <w:rsid w:val="004F7EE0"/>
    <w:rsid w:val="004F7FC8"/>
    <w:rsid w:val="005003CE"/>
    <w:rsid w:val="0050062C"/>
    <w:rsid w:val="00500A17"/>
    <w:rsid w:val="00501292"/>
    <w:rsid w:val="00501386"/>
    <w:rsid w:val="005014B5"/>
    <w:rsid w:val="005018DB"/>
    <w:rsid w:val="00501A09"/>
    <w:rsid w:val="00501A95"/>
    <w:rsid w:val="00501BD9"/>
    <w:rsid w:val="00501C25"/>
    <w:rsid w:val="00501D6A"/>
    <w:rsid w:val="00502394"/>
    <w:rsid w:val="005025A3"/>
    <w:rsid w:val="005027A6"/>
    <w:rsid w:val="005028CE"/>
    <w:rsid w:val="00502DAE"/>
    <w:rsid w:val="00502FFB"/>
    <w:rsid w:val="00503021"/>
    <w:rsid w:val="005030D4"/>
    <w:rsid w:val="005038A0"/>
    <w:rsid w:val="00503996"/>
    <w:rsid w:val="005039EC"/>
    <w:rsid w:val="00503A0C"/>
    <w:rsid w:val="00503AA8"/>
    <w:rsid w:val="00503CCE"/>
    <w:rsid w:val="00504258"/>
    <w:rsid w:val="00504A82"/>
    <w:rsid w:val="00505537"/>
    <w:rsid w:val="00505804"/>
    <w:rsid w:val="00505B67"/>
    <w:rsid w:val="00505E19"/>
    <w:rsid w:val="00506241"/>
    <w:rsid w:val="005064C5"/>
    <w:rsid w:val="00506989"/>
    <w:rsid w:val="005069B1"/>
    <w:rsid w:val="00506F8A"/>
    <w:rsid w:val="005074AE"/>
    <w:rsid w:val="00507F18"/>
    <w:rsid w:val="00507F71"/>
    <w:rsid w:val="005103C5"/>
    <w:rsid w:val="005106F4"/>
    <w:rsid w:val="00510A01"/>
    <w:rsid w:val="00510A0B"/>
    <w:rsid w:val="0051129E"/>
    <w:rsid w:val="00511514"/>
    <w:rsid w:val="005119DA"/>
    <w:rsid w:val="00511C86"/>
    <w:rsid w:val="00511C8B"/>
    <w:rsid w:val="0051232B"/>
    <w:rsid w:val="005123EF"/>
    <w:rsid w:val="00512D04"/>
    <w:rsid w:val="00512EEA"/>
    <w:rsid w:val="00513157"/>
    <w:rsid w:val="005131D3"/>
    <w:rsid w:val="0051332D"/>
    <w:rsid w:val="00513388"/>
    <w:rsid w:val="0051352C"/>
    <w:rsid w:val="0051383D"/>
    <w:rsid w:val="0051394A"/>
    <w:rsid w:val="0051460A"/>
    <w:rsid w:val="0051490F"/>
    <w:rsid w:val="00514EFE"/>
    <w:rsid w:val="00514FC2"/>
    <w:rsid w:val="00515A62"/>
    <w:rsid w:val="00515BEA"/>
    <w:rsid w:val="00515BFA"/>
    <w:rsid w:val="00515C37"/>
    <w:rsid w:val="00515D49"/>
    <w:rsid w:val="00515F00"/>
    <w:rsid w:val="00515FC9"/>
    <w:rsid w:val="00516245"/>
    <w:rsid w:val="0051631B"/>
    <w:rsid w:val="00516359"/>
    <w:rsid w:val="00516573"/>
    <w:rsid w:val="00516983"/>
    <w:rsid w:val="00516CB9"/>
    <w:rsid w:val="00516D37"/>
    <w:rsid w:val="00516E0F"/>
    <w:rsid w:val="00516F9D"/>
    <w:rsid w:val="00517030"/>
    <w:rsid w:val="00517250"/>
    <w:rsid w:val="005174C5"/>
    <w:rsid w:val="00517516"/>
    <w:rsid w:val="00517750"/>
    <w:rsid w:val="00517A86"/>
    <w:rsid w:val="00517D9E"/>
    <w:rsid w:val="00517E1D"/>
    <w:rsid w:val="00520071"/>
    <w:rsid w:val="00520242"/>
    <w:rsid w:val="0052032A"/>
    <w:rsid w:val="005203B5"/>
    <w:rsid w:val="00520923"/>
    <w:rsid w:val="00520C30"/>
    <w:rsid w:val="00521AA7"/>
    <w:rsid w:val="00521B92"/>
    <w:rsid w:val="0052218F"/>
    <w:rsid w:val="0052269F"/>
    <w:rsid w:val="00522D83"/>
    <w:rsid w:val="00523101"/>
    <w:rsid w:val="005232E5"/>
    <w:rsid w:val="0052349D"/>
    <w:rsid w:val="0052365C"/>
    <w:rsid w:val="005238D3"/>
    <w:rsid w:val="00524195"/>
    <w:rsid w:val="0052457D"/>
    <w:rsid w:val="00524B21"/>
    <w:rsid w:val="00524BE8"/>
    <w:rsid w:val="0052575D"/>
    <w:rsid w:val="005259AF"/>
    <w:rsid w:val="00525D8C"/>
    <w:rsid w:val="005260BA"/>
    <w:rsid w:val="005261C4"/>
    <w:rsid w:val="00526C92"/>
    <w:rsid w:val="00526E61"/>
    <w:rsid w:val="00526EA9"/>
    <w:rsid w:val="005271E0"/>
    <w:rsid w:val="00527250"/>
    <w:rsid w:val="00527265"/>
    <w:rsid w:val="005274EF"/>
    <w:rsid w:val="005275FC"/>
    <w:rsid w:val="00527675"/>
    <w:rsid w:val="0052768C"/>
    <w:rsid w:val="005279B3"/>
    <w:rsid w:val="00527F92"/>
    <w:rsid w:val="00527FE0"/>
    <w:rsid w:val="0053006C"/>
    <w:rsid w:val="00530896"/>
    <w:rsid w:val="00530EAA"/>
    <w:rsid w:val="005310AF"/>
    <w:rsid w:val="00531174"/>
    <w:rsid w:val="005314A2"/>
    <w:rsid w:val="00531FA6"/>
    <w:rsid w:val="005320C8"/>
    <w:rsid w:val="005320DB"/>
    <w:rsid w:val="00532277"/>
    <w:rsid w:val="0053268E"/>
    <w:rsid w:val="00532A5F"/>
    <w:rsid w:val="00532AAA"/>
    <w:rsid w:val="00532E45"/>
    <w:rsid w:val="00532F5B"/>
    <w:rsid w:val="0053352A"/>
    <w:rsid w:val="00533541"/>
    <w:rsid w:val="0053369A"/>
    <w:rsid w:val="005338A0"/>
    <w:rsid w:val="00533C02"/>
    <w:rsid w:val="00533E46"/>
    <w:rsid w:val="00533F36"/>
    <w:rsid w:val="005341A7"/>
    <w:rsid w:val="0053420D"/>
    <w:rsid w:val="005342C3"/>
    <w:rsid w:val="0053439A"/>
    <w:rsid w:val="005344F5"/>
    <w:rsid w:val="005345F7"/>
    <w:rsid w:val="00534895"/>
    <w:rsid w:val="005356DB"/>
    <w:rsid w:val="0053572F"/>
    <w:rsid w:val="00535ECD"/>
    <w:rsid w:val="0053620B"/>
    <w:rsid w:val="005362F5"/>
    <w:rsid w:val="0053698E"/>
    <w:rsid w:val="0053725B"/>
    <w:rsid w:val="0053761F"/>
    <w:rsid w:val="005376DE"/>
    <w:rsid w:val="00537731"/>
    <w:rsid w:val="0053793C"/>
    <w:rsid w:val="00537CE1"/>
    <w:rsid w:val="00537F26"/>
    <w:rsid w:val="005404B9"/>
    <w:rsid w:val="0054079D"/>
    <w:rsid w:val="005407BF"/>
    <w:rsid w:val="0054091E"/>
    <w:rsid w:val="00540B22"/>
    <w:rsid w:val="00540C57"/>
    <w:rsid w:val="00540F7B"/>
    <w:rsid w:val="00541082"/>
    <w:rsid w:val="00541447"/>
    <w:rsid w:val="00541BC5"/>
    <w:rsid w:val="00541BF1"/>
    <w:rsid w:val="005420F9"/>
    <w:rsid w:val="00542237"/>
    <w:rsid w:val="00542B8C"/>
    <w:rsid w:val="00542DA5"/>
    <w:rsid w:val="00542EB0"/>
    <w:rsid w:val="005437D7"/>
    <w:rsid w:val="00543B54"/>
    <w:rsid w:val="00543B62"/>
    <w:rsid w:val="00543E41"/>
    <w:rsid w:val="005440C1"/>
    <w:rsid w:val="005445DE"/>
    <w:rsid w:val="00544A29"/>
    <w:rsid w:val="00544F3A"/>
    <w:rsid w:val="0054525C"/>
    <w:rsid w:val="005452DF"/>
    <w:rsid w:val="00545999"/>
    <w:rsid w:val="00545B58"/>
    <w:rsid w:val="005462D3"/>
    <w:rsid w:val="005463E3"/>
    <w:rsid w:val="00546DC3"/>
    <w:rsid w:val="00547085"/>
    <w:rsid w:val="0054724A"/>
    <w:rsid w:val="00547837"/>
    <w:rsid w:val="00547F25"/>
    <w:rsid w:val="005503EA"/>
    <w:rsid w:val="00550B4D"/>
    <w:rsid w:val="00550E93"/>
    <w:rsid w:val="0055192D"/>
    <w:rsid w:val="00551B74"/>
    <w:rsid w:val="00551E33"/>
    <w:rsid w:val="0055235B"/>
    <w:rsid w:val="005525CA"/>
    <w:rsid w:val="005526CD"/>
    <w:rsid w:val="005527F1"/>
    <w:rsid w:val="00553072"/>
    <w:rsid w:val="005531BD"/>
    <w:rsid w:val="005532B7"/>
    <w:rsid w:val="00553605"/>
    <w:rsid w:val="00553CD0"/>
    <w:rsid w:val="005542A0"/>
    <w:rsid w:val="005543FF"/>
    <w:rsid w:val="00555498"/>
    <w:rsid w:val="00555724"/>
    <w:rsid w:val="005564F7"/>
    <w:rsid w:val="005567B2"/>
    <w:rsid w:val="005567B5"/>
    <w:rsid w:val="00557870"/>
    <w:rsid w:val="00557A25"/>
    <w:rsid w:val="00557CE9"/>
    <w:rsid w:val="00557F31"/>
    <w:rsid w:val="00560277"/>
    <w:rsid w:val="005603C3"/>
    <w:rsid w:val="00560437"/>
    <w:rsid w:val="005607CC"/>
    <w:rsid w:val="00560938"/>
    <w:rsid w:val="00560AF1"/>
    <w:rsid w:val="00560B80"/>
    <w:rsid w:val="00560D9F"/>
    <w:rsid w:val="00560E14"/>
    <w:rsid w:val="005613F8"/>
    <w:rsid w:val="00561562"/>
    <w:rsid w:val="00561767"/>
    <w:rsid w:val="00561968"/>
    <w:rsid w:val="00561D0C"/>
    <w:rsid w:val="00561FAF"/>
    <w:rsid w:val="00562035"/>
    <w:rsid w:val="0056220C"/>
    <w:rsid w:val="005625BD"/>
    <w:rsid w:val="00562B28"/>
    <w:rsid w:val="00563DE6"/>
    <w:rsid w:val="00563E75"/>
    <w:rsid w:val="00564617"/>
    <w:rsid w:val="005646B3"/>
    <w:rsid w:val="005647B0"/>
    <w:rsid w:val="00564EFE"/>
    <w:rsid w:val="0056528D"/>
    <w:rsid w:val="005652C2"/>
    <w:rsid w:val="00565381"/>
    <w:rsid w:val="00565485"/>
    <w:rsid w:val="0056565A"/>
    <w:rsid w:val="00565753"/>
    <w:rsid w:val="00565EAF"/>
    <w:rsid w:val="0056628B"/>
    <w:rsid w:val="00566298"/>
    <w:rsid w:val="00566AD2"/>
    <w:rsid w:val="00566C92"/>
    <w:rsid w:val="005675FF"/>
    <w:rsid w:val="005676FB"/>
    <w:rsid w:val="00567E94"/>
    <w:rsid w:val="0057091E"/>
    <w:rsid w:val="00570B5D"/>
    <w:rsid w:val="00570E2A"/>
    <w:rsid w:val="00571696"/>
    <w:rsid w:val="00571972"/>
    <w:rsid w:val="00571CE0"/>
    <w:rsid w:val="00571E9B"/>
    <w:rsid w:val="00572092"/>
    <w:rsid w:val="00572369"/>
    <w:rsid w:val="005723D6"/>
    <w:rsid w:val="00572B50"/>
    <w:rsid w:val="0057332E"/>
    <w:rsid w:val="005733D4"/>
    <w:rsid w:val="00573493"/>
    <w:rsid w:val="00573611"/>
    <w:rsid w:val="00573C40"/>
    <w:rsid w:val="005745DC"/>
    <w:rsid w:val="00574A65"/>
    <w:rsid w:val="00574A6E"/>
    <w:rsid w:val="00574D56"/>
    <w:rsid w:val="00574DC4"/>
    <w:rsid w:val="005751C0"/>
    <w:rsid w:val="005752D0"/>
    <w:rsid w:val="005754B2"/>
    <w:rsid w:val="00575782"/>
    <w:rsid w:val="00575EA6"/>
    <w:rsid w:val="00576529"/>
    <w:rsid w:val="0057662B"/>
    <w:rsid w:val="0057685B"/>
    <w:rsid w:val="00576921"/>
    <w:rsid w:val="00576978"/>
    <w:rsid w:val="00576DA9"/>
    <w:rsid w:val="00577145"/>
    <w:rsid w:val="005773BE"/>
    <w:rsid w:val="00577BE5"/>
    <w:rsid w:val="005804C4"/>
    <w:rsid w:val="005806D6"/>
    <w:rsid w:val="00581264"/>
    <w:rsid w:val="00581343"/>
    <w:rsid w:val="005818AA"/>
    <w:rsid w:val="00581A27"/>
    <w:rsid w:val="00581F02"/>
    <w:rsid w:val="00581F1A"/>
    <w:rsid w:val="00582263"/>
    <w:rsid w:val="00582365"/>
    <w:rsid w:val="0058245A"/>
    <w:rsid w:val="0058255E"/>
    <w:rsid w:val="005825EF"/>
    <w:rsid w:val="00582AE4"/>
    <w:rsid w:val="00582CD2"/>
    <w:rsid w:val="00582D7A"/>
    <w:rsid w:val="00582FA8"/>
    <w:rsid w:val="0058313C"/>
    <w:rsid w:val="005833CB"/>
    <w:rsid w:val="00583535"/>
    <w:rsid w:val="00583EF6"/>
    <w:rsid w:val="005841EB"/>
    <w:rsid w:val="005843E8"/>
    <w:rsid w:val="0058497E"/>
    <w:rsid w:val="0058569C"/>
    <w:rsid w:val="00585B32"/>
    <w:rsid w:val="00585C1B"/>
    <w:rsid w:val="00585F46"/>
    <w:rsid w:val="005869F2"/>
    <w:rsid w:val="00586B76"/>
    <w:rsid w:val="00587639"/>
    <w:rsid w:val="00587EA6"/>
    <w:rsid w:val="00590311"/>
    <w:rsid w:val="005905F8"/>
    <w:rsid w:val="00590621"/>
    <w:rsid w:val="005907F4"/>
    <w:rsid w:val="005908AD"/>
    <w:rsid w:val="00590A77"/>
    <w:rsid w:val="00591070"/>
    <w:rsid w:val="00591244"/>
    <w:rsid w:val="0059165D"/>
    <w:rsid w:val="0059165F"/>
    <w:rsid w:val="0059187E"/>
    <w:rsid w:val="005918F7"/>
    <w:rsid w:val="00591AA9"/>
    <w:rsid w:val="00591F6A"/>
    <w:rsid w:val="00592638"/>
    <w:rsid w:val="00592762"/>
    <w:rsid w:val="0059279B"/>
    <w:rsid w:val="005928BF"/>
    <w:rsid w:val="00592D8A"/>
    <w:rsid w:val="00593138"/>
    <w:rsid w:val="0059373E"/>
    <w:rsid w:val="005938B2"/>
    <w:rsid w:val="00593971"/>
    <w:rsid w:val="005939BE"/>
    <w:rsid w:val="00593A33"/>
    <w:rsid w:val="00593D65"/>
    <w:rsid w:val="00593E3D"/>
    <w:rsid w:val="00593FCE"/>
    <w:rsid w:val="005947B5"/>
    <w:rsid w:val="00594B37"/>
    <w:rsid w:val="00595237"/>
    <w:rsid w:val="00595837"/>
    <w:rsid w:val="00595B55"/>
    <w:rsid w:val="00595EAD"/>
    <w:rsid w:val="00595F5C"/>
    <w:rsid w:val="005960BB"/>
    <w:rsid w:val="0059614C"/>
    <w:rsid w:val="00596E8E"/>
    <w:rsid w:val="00596EE7"/>
    <w:rsid w:val="00596F88"/>
    <w:rsid w:val="005971AF"/>
    <w:rsid w:val="00597301"/>
    <w:rsid w:val="005973B6"/>
    <w:rsid w:val="00597407"/>
    <w:rsid w:val="005977FF"/>
    <w:rsid w:val="00597CFA"/>
    <w:rsid w:val="00597DCB"/>
    <w:rsid w:val="00597F29"/>
    <w:rsid w:val="005A025B"/>
    <w:rsid w:val="005A03E9"/>
    <w:rsid w:val="005A0496"/>
    <w:rsid w:val="005A0DA4"/>
    <w:rsid w:val="005A1460"/>
    <w:rsid w:val="005A1479"/>
    <w:rsid w:val="005A1904"/>
    <w:rsid w:val="005A1BB3"/>
    <w:rsid w:val="005A1D37"/>
    <w:rsid w:val="005A22F8"/>
    <w:rsid w:val="005A2556"/>
    <w:rsid w:val="005A2663"/>
    <w:rsid w:val="005A2BD5"/>
    <w:rsid w:val="005A2ECD"/>
    <w:rsid w:val="005A38ED"/>
    <w:rsid w:val="005A39AB"/>
    <w:rsid w:val="005A3B0D"/>
    <w:rsid w:val="005A3BA7"/>
    <w:rsid w:val="005A4047"/>
    <w:rsid w:val="005A40A1"/>
    <w:rsid w:val="005A4384"/>
    <w:rsid w:val="005A44F8"/>
    <w:rsid w:val="005A452E"/>
    <w:rsid w:val="005A47B3"/>
    <w:rsid w:val="005A4905"/>
    <w:rsid w:val="005A53B0"/>
    <w:rsid w:val="005A59A4"/>
    <w:rsid w:val="005A5B73"/>
    <w:rsid w:val="005A5CED"/>
    <w:rsid w:val="005A5D84"/>
    <w:rsid w:val="005A68F4"/>
    <w:rsid w:val="005A6D2D"/>
    <w:rsid w:val="005A7012"/>
    <w:rsid w:val="005A7525"/>
    <w:rsid w:val="005A7603"/>
    <w:rsid w:val="005A77EC"/>
    <w:rsid w:val="005A7A5E"/>
    <w:rsid w:val="005A7FD4"/>
    <w:rsid w:val="005B0699"/>
    <w:rsid w:val="005B0876"/>
    <w:rsid w:val="005B08FD"/>
    <w:rsid w:val="005B0D46"/>
    <w:rsid w:val="005B1882"/>
    <w:rsid w:val="005B1C07"/>
    <w:rsid w:val="005B2337"/>
    <w:rsid w:val="005B23C1"/>
    <w:rsid w:val="005B24B0"/>
    <w:rsid w:val="005B2758"/>
    <w:rsid w:val="005B2EE3"/>
    <w:rsid w:val="005B31A9"/>
    <w:rsid w:val="005B33BC"/>
    <w:rsid w:val="005B3432"/>
    <w:rsid w:val="005B3BD6"/>
    <w:rsid w:val="005B3F05"/>
    <w:rsid w:val="005B41CC"/>
    <w:rsid w:val="005B422D"/>
    <w:rsid w:val="005B51A0"/>
    <w:rsid w:val="005B649A"/>
    <w:rsid w:val="005B6BEF"/>
    <w:rsid w:val="005B72C0"/>
    <w:rsid w:val="005B74D7"/>
    <w:rsid w:val="005B74DA"/>
    <w:rsid w:val="005B7A06"/>
    <w:rsid w:val="005B7CEB"/>
    <w:rsid w:val="005B7D6C"/>
    <w:rsid w:val="005B7E29"/>
    <w:rsid w:val="005B7ECD"/>
    <w:rsid w:val="005C00A0"/>
    <w:rsid w:val="005C00DC"/>
    <w:rsid w:val="005C1351"/>
    <w:rsid w:val="005C1975"/>
    <w:rsid w:val="005C1B7E"/>
    <w:rsid w:val="005C1CE1"/>
    <w:rsid w:val="005C20A7"/>
    <w:rsid w:val="005C2CB6"/>
    <w:rsid w:val="005C2E79"/>
    <w:rsid w:val="005C33A6"/>
    <w:rsid w:val="005C3796"/>
    <w:rsid w:val="005C39DF"/>
    <w:rsid w:val="005C3AA0"/>
    <w:rsid w:val="005C3B6B"/>
    <w:rsid w:val="005C3E70"/>
    <w:rsid w:val="005C41B3"/>
    <w:rsid w:val="005C49B7"/>
    <w:rsid w:val="005C4ADA"/>
    <w:rsid w:val="005C50B6"/>
    <w:rsid w:val="005C5103"/>
    <w:rsid w:val="005C51E9"/>
    <w:rsid w:val="005C582E"/>
    <w:rsid w:val="005C5C49"/>
    <w:rsid w:val="005C5CB4"/>
    <w:rsid w:val="005C5F6A"/>
    <w:rsid w:val="005C5F7A"/>
    <w:rsid w:val="005C61F8"/>
    <w:rsid w:val="005C7111"/>
    <w:rsid w:val="005C7215"/>
    <w:rsid w:val="005C7363"/>
    <w:rsid w:val="005C73C4"/>
    <w:rsid w:val="005C7539"/>
    <w:rsid w:val="005C76B9"/>
    <w:rsid w:val="005C7701"/>
    <w:rsid w:val="005C7F19"/>
    <w:rsid w:val="005D00EA"/>
    <w:rsid w:val="005D023B"/>
    <w:rsid w:val="005D07E2"/>
    <w:rsid w:val="005D0AC1"/>
    <w:rsid w:val="005D0E38"/>
    <w:rsid w:val="005D0F6E"/>
    <w:rsid w:val="005D1959"/>
    <w:rsid w:val="005D1FA5"/>
    <w:rsid w:val="005D2224"/>
    <w:rsid w:val="005D2304"/>
    <w:rsid w:val="005D26DD"/>
    <w:rsid w:val="005D2B3E"/>
    <w:rsid w:val="005D2E3E"/>
    <w:rsid w:val="005D349C"/>
    <w:rsid w:val="005D3A04"/>
    <w:rsid w:val="005D44FA"/>
    <w:rsid w:val="005D48FE"/>
    <w:rsid w:val="005D4F17"/>
    <w:rsid w:val="005D53BD"/>
    <w:rsid w:val="005D550C"/>
    <w:rsid w:val="005D5665"/>
    <w:rsid w:val="005D577A"/>
    <w:rsid w:val="005D5AFE"/>
    <w:rsid w:val="005D5B47"/>
    <w:rsid w:val="005D5BF4"/>
    <w:rsid w:val="005D61C8"/>
    <w:rsid w:val="005D64C1"/>
    <w:rsid w:val="005D6ADF"/>
    <w:rsid w:val="005D6EF6"/>
    <w:rsid w:val="005D7471"/>
    <w:rsid w:val="005D749D"/>
    <w:rsid w:val="005D7A4A"/>
    <w:rsid w:val="005D7B36"/>
    <w:rsid w:val="005E05C0"/>
    <w:rsid w:val="005E07D6"/>
    <w:rsid w:val="005E0A62"/>
    <w:rsid w:val="005E1859"/>
    <w:rsid w:val="005E192D"/>
    <w:rsid w:val="005E19BC"/>
    <w:rsid w:val="005E1A5A"/>
    <w:rsid w:val="005E1A65"/>
    <w:rsid w:val="005E1B16"/>
    <w:rsid w:val="005E1BE6"/>
    <w:rsid w:val="005E2121"/>
    <w:rsid w:val="005E2404"/>
    <w:rsid w:val="005E2702"/>
    <w:rsid w:val="005E30B0"/>
    <w:rsid w:val="005E3355"/>
    <w:rsid w:val="005E33B4"/>
    <w:rsid w:val="005E37F8"/>
    <w:rsid w:val="005E3D24"/>
    <w:rsid w:val="005E40EB"/>
    <w:rsid w:val="005E40EC"/>
    <w:rsid w:val="005E41BE"/>
    <w:rsid w:val="005E4370"/>
    <w:rsid w:val="005E444C"/>
    <w:rsid w:val="005E507A"/>
    <w:rsid w:val="005E53A6"/>
    <w:rsid w:val="005E5628"/>
    <w:rsid w:val="005E5874"/>
    <w:rsid w:val="005E5903"/>
    <w:rsid w:val="005E61E4"/>
    <w:rsid w:val="005E62FE"/>
    <w:rsid w:val="005E6ED9"/>
    <w:rsid w:val="005E73EA"/>
    <w:rsid w:val="005E75D5"/>
    <w:rsid w:val="005E7726"/>
    <w:rsid w:val="005E77B8"/>
    <w:rsid w:val="005E7FF8"/>
    <w:rsid w:val="005F01CE"/>
    <w:rsid w:val="005F03E2"/>
    <w:rsid w:val="005F044B"/>
    <w:rsid w:val="005F06BF"/>
    <w:rsid w:val="005F0837"/>
    <w:rsid w:val="005F0CF4"/>
    <w:rsid w:val="005F0EB3"/>
    <w:rsid w:val="005F12DE"/>
    <w:rsid w:val="005F1555"/>
    <w:rsid w:val="005F1C0D"/>
    <w:rsid w:val="005F1C32"/>
    <w:rsid w:val="005F1CD4"/>
    <w:rsid w:val="005F1F0D"/>
    <w:rsid w:val="005F2017"/>
    <w:rsid w:val="005F204C"/>
    <w:rsid w:val="005F280A"/>
    <w:rsid w:val="005F2978"/>
    <w:rsid w:val="005F2DAD"/>
    <w:rsid w:val="005F2E5A"/>
    <w:rsid w:val="005F3204"/>
    <w:rsid w:val="005F3895"/>
    <w:rsid w:val="005F3953"/>
    <w:rsid w:val="005F3D1E"/>
    <w:rsid w:val="005F403F"/>
    <w:rsid w:val="005F4504"/>
    <w:rsid w:val="005F4721"/>
    <w:rsid w:val="005F485D"/>
    <w:rsid w:val="005F4E0F"/>
    <w:rsid w:val="005F4F5C"/>
    <w:rsid w:val="005F4FB8"/>
    <w:rsid w:val="005F51A3"/>
    <w:rsid w:val="005F57C8"/>
    <w:rsid w:val="005F5ADA"/>
    <w:rsid w:val="005F5D21"/>
    <w:rsid w:val="005F6F28"/>
    <w:rsid w:val="005F720A"/>
    <w:rsid w:val="005F73C4"/>
    <w:rsid w:val="005F76FD"/>
    <w:rsid w:val="005F7D96"/>
    <w:rsid w:val="005F7FF7"/>
    <w:rsid w:val="0060032B"/>
    <w:rsid w:val="006003C2"/>
    <w:rsid w:val="006004A0"/>
    <w:rsid w:val="006007DC"/>
    <w:rsid w:val="00600B64"/>
    <w:rsid w:val="00600C1F"/>
    <w:rsid w:val="00600C6B"/>
    <w:rsid w:val="00600E40"/>
    <w:rsid w:val="00600EF3"/>
    <w:rsid w:val="006012B6"/>
    <w:rsid w:val="006020AC"/>
    <w:rsid w:val="0060230F"/>
    <w:rsid w:val="006029BF"/>
    <w:rsid w:val="00602AA4"/>
    <w:rsid w:val="00602F43"/>
    <w:rsid w:val="00602FDE"/>
    <w:rsid w:val="00603335"/>
    <w:rsid w:val="0060355D"/>
    <w:rsid w:val="006035A6"/>
    <w:rsid w:val="00603B08"/>
    <w:rsid w:val="00603C78"/>
    <w:rsid w:val="00603E16"/>
    <w:rsid w:val="006040F1"/>
    <w:rsid w:val="00604742"/>
    <w:rsid w:val="006049CD"/>
    <w:rsid w:val="00604F72"/>
    <w:rsid w:val="00605776"/>
    <w:rsid w:val="006057EC"/>
    <w:rsid w:val="00605AFF"/>
    <w:rsid w:val="00605E59"/>
    <w:rsid w:val="0060605A"/>
    <w:rsid w:val="00606182"/>
    <w:rsid w:val="00606338"/>
    <w:rsid w:val="006064DB"/>
    <w:rsid w:val="0060653D"/>
    <w:rsid w:val="00606661"/>
    <w:rsid w:val="00606CD3"/>
    <w:rsid w:val="00606FF4"/>
    <w:rsid w:val="00607123"/>
    <w:rsid w:val="006078AF"/>
    <w:rsid w:val="00607CE1"/>
    <w:rsid w:val="00607DCC"/>
    <w:rsid w:val="00610144"/>
    <w:rsid w:val="00610162"/>
    <w:rsid w:val="006108B8"/>
    <w:rsid w:val="006109C7"/>
    <w:rsid w:val="00610ABA"/>
    <w:rsid w:val="0061112F"/>
    <w:rsid w:val="0061118B"/>
    <w:rsid w:val="006111A8"/>
    <w:rsid w:val="006112B6"/>
    <w:rsid w:val="00611390"/>
    <w:rsid w:val="00611F7B"/>
    <w:rsid w:val="0061209D"/>
    <w:rsid w:val="0061217F"/>
    <w:rsid w:val="00612184"/>
    <w:rsid w:val="00612709"/>
    <w:rsid w:val="00613037"/>
    <w:rsid w:val="006135AB"/>
    <w:rsid w:val="006138E4"/>
    <w:rsid w:val="00614026"/>
    <w:rsid w:val="00614456"/>
    <w:rsid w:val="006144F6"/>
    <w:rsid w:val="006145E0"/>
    <w:rsid w:val="006147ED"/>
    <w:rsid w:val="006154E7"/>
    <w:rsid w:val="00615916"/>
    <w:rsid w:val="00615E1B"/>
    <w:rsid w:val="00616219"/>
    <w:rsid w:val="0061631B"/>
    <w:rsid w:val="00616407"/>
    <w:rsid w:val="00616610"/>
    <w:rsid w:val="00617176"/>
    <w:rsid w:val="00617410"/>
    <w:rsid w:val="00620AE5"/>
    <w:rsid w:val="00620DC2"/>
    <w:rsid w:val="00620E5A"/>
    <w:rsid w:val="00620ECB"/>
    <w:rsid w:val="00621050"/>
    <w:rsid w:val="0062136E"/>
    <w:rsid w:val="0062139E"/>
    <w:rsid w:val="00621A33"/>
    <w:rsid w:val="00621B7D"/>
    <w:rsid w:val="006221F2"/>
    <w:rsid w:val="00622D4C"/>
    <w:rsid w:val="006232FC"/>
    <w:rsid w:val="00623AD9"/>
    <w:rsid w:val="00623DBF"/>
    <w:rsid w:val="00624212"/>
    <w:rsid w:val="00624294"/>
    <w:rsid w:val="006245CB"/>
    <w:rsid w:val="00624707"/>
    <w:rsid w:val="006248D2"/>
    <w:rsid w:val="00624A78"/>
    <w:rsid w:val="00624F0F"/>
    <w:rsid w:val="006250E9"/>
    <w:rsid w:val="00625763"/>
    <w:rsid w:val="00625AB0"/>
    <w:rsid w:val="00625B11"/>
    <w:rsid w:val="00625E27"/>
    <w:rsid w:val="00625ED9"/>
    <w:rsid w:val="0062672A"/>
    <w:rsid w:val="00627051"/>
    <w:rsid w:val="00627769"/>
    <w:rsid w:val="00627A23"/>
    <w:rsid w:val="00627EBE"/>
    <w:rsid w:val="0063007F"/>
    <w:rsid w:val="00630685"/>
    <w:rsid w:val="00630AE8"/>
    <w:rsid w:val="00630EC9"/>
    <w:rsid w:val="00631516"/>
    <w:rsid w:val="00631B20"/>
    <w:rsid w:val="00631B74"/>
    <w:rsid w:val="00631E0C"/>
    <w:rsid w:val="006320E0"/>
    <w:rsid w:val="006323C1"/>
    <w:rsid w:val="00632537"/>
    <w:rsid w:val="0063271B"/>
    <w:rsid w:val="00632814"/>
    <w:rsid w:val="006329CE"/>
    <w:rsid w:val="0063327D"/>
    <w:rsid w:val="00633B2F"/>
    <w:rsid w:val="00634C19"/>
    <w:rsid w:val="006350D8"/>
    <w:rsid w:val="00635657"/>
    <w:rsid w:val="00635AC6"/>
    <w:rsid w:val="00635B20"/>
    <w:rsid w:val="00635C0E"/>
    <w:rsid w:val="00635D1C"/>
    <w:rsid w:val="006360CF"/>
    <w:rsid w:val="00636207"/>
    <w:rsid w:val="0063635B"/>
    <w:rsid w:val="00636454"/>
    <w:rsid w:val="00636BF0"/>
    <w:rsid w:val="00637C00"/>
    <w:rsid w:val="00637E43"/>
    <w:rsid w:val="00640754"/>
    <w:rsid w:val="00640A03"/>
    <w:rsid w:val="00640C31"/>
    <w:rsid w:val="0064116C"/>
    <w:rsid w:val="00641236"/>
    <w:rsid w:val="00641308"/>
    <w:rsid w:val="006415A1"/>
    <w:rsid w:val="006419D2"/>
    <w:rsid w:val="00641A7E"/>
    <w:rsid w:val="00642B56"/>
    <w:rsid w:val="0064302E"/>
    <w:rsid w:val="00643226"/>
    <w:rsid w:val="00643BE4"/>
    <w:rsid w:val="00644005"/>
    <w:rsid w:val="00644205"/>
    <w:rsid w:val="0064428C"/>
    <w:rsid w:val="00644B71"/>
    <w:rsid w:val="00644CF9"/>
    <w:rsid w:val="00644F3D"/>
    <w:rsid w:val="00644F80"/>
    <w:rsid w:val="00645120"/>
    <w:rsid w:val="006455B6"/>
    <w:rsid w:val="006456FC"/>
    <w:rsid w:val="00645924"/>
    <w:rsid w:val="006459EF"/>
    <w:rsid w:val="00645C22"/>
    <w:rsid w:val="00645D12"/>
    <w:rsid w:val="00645DAF"/>
    <w:rsid w:val="00645DC6"/>
    <w:rsid w:val="006465F3"/>
    <w:rsid w:val="006466F5"/>
    <w:rsid w:val="00646B48"/>
    <w:rsid w:val="00646BDD"/>
    <w:rsid w:val="00647F33"/>
    <w:rsid w:val="006508D0"/>
    <w:rsid w:val="0065097D"/>
    <w:rsid w:val="00650B96"/>
    <w:rsid w:val="0065106C"/>
    <w:rsid w:val="006516AC"/>
    <w:rsid w:val="00651CFF"/>
    <w:rsid w:val="0065212C"/>
    <w:rsid w:val="006521A3"/>
    <w:rsid w:val="006522E6"/>
    <w:rsid w:val="00652440"/>
    <w:rsid w:val="00652944"/>
    <w:rsid w:val="00652A4A"/>
    <w:rsid w:val="00652D0B"/>
    <w:rsid w:val="00652DF2"/>
    <w:rsid w:val="00653102"/>
    <w:rsid w:val="006531CC"/>
    <w:rsid w:val="006533DD"/>
    <w:rsid w:val="006534BF"/>
    <w:rsid w:val="00653675"/>
    <w:rsid w:val="006537D7"/>
    <w:rsid w:val="00653A58"/>
    <w:rsid w:val="00653F73"/>
    <w:rsid w:val="0065444A"/>
    <w:rsid w:val="00654497"/>
    <w:rsid w:val="0065466B"/>
    <w:rsid w:val="00654722"/>
    <w:rsid w:val="006549BB"/>
    <w:rsid w:val="00654F68"/>
    <w:rsid w:val="00655198"/>
    <w:rsid w:val="00655780"/>
    <w:rsid w:val="00655B8A"/>
    <w:rsid w:val="00655CF9"/>
    <w:rsid w:val="00655D45"/>
    <w:rsid w:val="00655EC6"/>
    <w:rsid w:val="00655F53"/>
    <w:rsid w:val="0065633A"/>
    <w:rsid w:val="00656625"/>
    <w:rsid w:val="00656747"/>
    <w:rsid w:val="006569D6"/>
    <w:rsid w:val="00656A1B"/>
    <w:rsid w:val="00656BD7"/>
    <w:rsid w:val="00656FA6"/>
    <w:rsid w:val="006570B3"/>
    <w:rsid w:val="00657101"/>
    <w:rsid w:val="0065714C"/>
    <w:rsid w:val="0065715B"/>
    <w:rsid w:val="006571C2"/>
    <w:rsid w:val="00660072"/>
    <w:rsid w:val="00660337"/>
    <w:rsid w:val="0066039E"/>
    <w:rsid w:val="0066042A"/>
    <w:rsid w:val="0066071A"/>
    <w:rsid w:val="0066097C"/>
    <w:rsid w:val="00660A74"/>
    <w:rsid w:val="00660E4E"/>
    <w:rsid w:val="00661137"/>
    <w:rsid w:val="006611C3"/>
    <w:rsid w:val="006611D8"/>
    <w:rsid w:val="00661324"/>
    <w:rsid w:val="0066203E"/>
    <w:rsid w:val="00662201"/>
    <w:rsid w:val="0066281F"/>
    <w:rsid w:val="00662E5F"/>
    <w:rsid w:val="00662EFC"/>
    <w:rsid w:val="00662F39"/>
    <w:rsid w:val="00662F4C"/>
    <w:rsid w:val="00662F70"/>
    <w:rsid w:val="006631BC"/>
    <w:rsid w:val="006634F0"/>
    <w:rsid w:val="006636E3"/>
    <w:rsid w:val="00664212"/>
    <w:rsid w:val="00664434"/>
    <w:rsid w:val="00664501"/>
    <w:rsid w:val="00664737"/>
    <w:rsid w:val="00664AD5"/>
    <w:rsid w:val="00664BEE"/>
    <w:rsid w:val="00665274"/>
    <w:rsid w:val="00665511"/>
    <w:rsid w:val="00665554"/>
    <w:rsid w:val="0066561F"/>
    <w:rsid w:val="00665D88"/>
    <w:rsid w:val="00665DD1"/>
    <w:rsid w:val="00665FF0"/>
    <w:rsid w:val="00666322"/>
    <w:rsid w:val="006668AF"/>
    <w:rsid w:val="00666931"/>
    <w:rsid w:val="00666A20"/>
    <w:rsid w:val="00666A58"/>
    <w:rsid w:val="00667637"/>
    <w:rsid w:val="006676EE"/>
    <w:rsid w:val="00667752"/>
    <w:rsid w:val="00667907"/>
    <w:rsid w:val="00667BD9"/>
    <w:rsid w:val="00670650"/>
    <w:rsid w:val="00670899"/>
    <w:rsid w:val="00670DB5"/>
    <w:rsid w:val="00671074"/>
    <w:rsid w:val="00671135"/>
    <w:rsid w:val="006712C0"/>
    <w:rsid w:val="00671635"/>
    <w:rsid w:val="006718D8"/>
    <w:rsid w:val="00671C4E"/>
    <w:rsid w:val="00671D48"/>
    <w:rsid w:val="00671EDF"/>
    <w:rsid w:val="0067248C"/>
    <w:rsid w:val="0067258A"/>
    <w:rsid w:val="00672C33"/>
    <w:rsid w:val="00673408"/>
    <w:rsid w:val="00673BE8"/>
    <w:rsid w:val="006744AC"/>
    <w:rsid w:val="00674794"/>
    <w:rsid w:val="00674AAC"/>
    <w:rsid w:val="00674C7D"/>
    <w:rsid w:val="00674DF0"/>
    <w:rsid w:val="0067505C"/>
    <w:rsid w:val="006750E4"/>
    <w:rsid w:val="00675289"/>
    <w:rsid w:val="0067529E"/>
    <w:rsid w:val="006754CA"/>
    <w:rsid w:val="006755A0"/>
    <w:rsid w:val="006759B4"/>
    <w:rsid w:val="00675A42"/>
    <w:rsid w:val="00676348"/>
    <w:rsid w:val="006768C2"/>
    <w:rsid w:val="006769ED"/>
    <w:rsid w:val="006769FA"/>
    <w:rsid w:val="00676B93"/>
    <w:rsid w:val="00676E5F"/>
    <w:rsid w:val="00676F6A"/>
    <w:rsid w:val="00677F33"/>
    <w:rsid w:val="00680131"/>
    <w:rsid w:val="0068059E"/>
    <w:rsid w:val="00680634"/>
    <w:rsid w:val="00680675"/>
    <w:rsid w:val="00680863"/>
    <w:rsid w:val="00680893"/>
    <w:rsid w:val="0068099A"/>
    <w:rsid w:val="00680B40"/>
    <w:rsid w:val="00680BEE"/>
    <w:rsid w:val="00680D40"/>
    <w:rsid w:val="0068106A"/>
    <w:rsid w:val="006812D0"/>
    <w:rsid w:val="00681383"/>
    <w:rsid w:val="00681638"/>
    <w:rsid w:val="00681644"/>
    <w:rsid w:val="006817AC"/>
    <w:rsid w:val="00681A71"/>
    <w:rsid w:val="00681EC9"/>
    <w:rsid w:val="00681F6C"/>
    <w:rsid w:val="00682067"/>
    <w:rsid w:val="00682185"/>
    <w:rsid w:val="006822FA"/>
    <w:rsid w:val="006825DF"/>
    <w:rsid w:val="0068268D"/>
    <w:rsid w:val="0068288C"/>
    <w:rsid w:val="00682AB3"/>
    <w:rsid w:val="00682D42"/>
    <w:rsid w:val="00682F4C"/>
    <w:rsid w:val="0068374B"/>
    <w:rsid w:val="0068378D"/>
    <w:rsid w:val="0068380E"/>
    <w:rsid w:val="00683F36"/>
    <w:rsid w:val="00684647"/>
    <w:rsid w:val="00684C78"/>
    <w:rsid w:val="00684F7E"/>
    <w:rsid w:val="0068515E"/>
    <w:rsid w:val="00685589"/>
    <w:rsid w:val="00685A0E"/>
    <w:rsid w:val="0068682C"/>
    <w:rsid w:val="006875A3"/>
    <w:rsid w:val="006876F3"/>
    <w:rsid w:val="0068775C"/>
    <w:rsid w:val="006878F4"/>
    <w:rsid w:val="00690095"/>
    <w:rsid w:val="006910D9"/>
    <w:rsid w:val="00691179"/>
    <w:rsid w:val="006911F2"/>
    <w:rsid w:val="006911FC"/>
    <w:rsid w:val="00691967"/>
    <w:rsid w:val="00691997"/>
    <w:rsid w:val="00691A0B"/>
    <w:rsid w:val="00691C0C"/>
    <w:rsid w:val="006920BC"/>
    <w:rsid w:val="00692109"/>
    <w:rsid w:val="006927F2"/>
    <w:rsid w:val="00692FAC"/>
    <w:rsid w:val="0069387A"/>
    <w:rsid w:val="006938AA"/>
    <w:rsid w:val="00693A2E"/>
    <w:rsid w:val="00693B31"/>
    <w:rsid w:val="00693B39"/>
    <w:rsid w:val="00693D55"/>
    <w:rsid w:val="00693DCD"/>
    <w:rsid w:val="00694547"/>
    <w:rsid w:val="006946E2"/>
    <w:rsid w:val="0069474B"/>
    <w:rsid w:val="0069475D"/>
    <w:rsid w:val="00695048"/>
    <w:rsid w:val="00695056"/>
    <w:rsid w:val="0069505D"/>
    <w:rsid w:val="006951E4"/>
    <w:rsid w:val="00695354"/>
    <w:rsid w:val="00695757"/>
    <w:rsid w:val="00695774"/>
    <w:rsid w:val="006958AB"/>
    <w:rsid w:val="0069592B"/>
    <w:rsid w:val="00695B4A"/>
    <w:rsid w:val="00695B76"/>
    <w:rsid w:val="006967D5"/>
    <w:rsid w:val="006971AC"/>
    <w:rsid w:val="0069721E"/>
    <w:rsid w:val="00697784"/>
    <w:rsid w:val="00697966"/>
    <w:rsid w:val="00697AB3"/>
    <w:rsid w:val="00697EB7"/>
    <w:rsid w:val="006A00B7"/>
    <w:rsid w:val="006A01A1"/>
    <w:rsid w:val="006A0AF4"/>
    <w:rsid w:val="006A0C7B"/>
    <w:rsid w:val="006A1301"/>
    <w:rsid w:val="006A15C3"/>
    <w:rsid w:val="006A1A6F"/>
    <w:rsid w:val="006A22AC"/>
    <w:rsid w:val="006A27CF"/>
    <w:rsid w:val="006A2C54"/>
    <w:rsid w:val="006A2C75"/>
    <w:rsid w:val="006A36B3"/>
    <w:rsid w:val="006A37CF"/>
    <w:rsid w:val="006A3A2B"/>
    <w:rsid w:val="006A4331"/>
    <w:rsid w:val="006A43A9"/>
    <w:rsid w:val="006A4651"/>
    <w:rsid w:val="006A4702"/>
    <w:rsid w:val="006A4EF3"/>
    <w:rsid w:val="006A6024"/>
    <w:rsid w:val="006A6164"/>
    <w:rsid w:val="006A68F5"/>
    <w:rsid w:val="006A6BF1"/>
    <w:rsid w:val="006A6F03"/>
    <w:rsid w:val="006A78A3"/>
    <w:rsid w:val="006B0059"/>
    <w:rsid w:val="006B057D"/>
    <w:rsid w:val="006B0DBE"/>
    <w:rsid w:val="006B1148"/>
    <w:rsid w:val="006B139F"/>
    <w:rsid w:val="006B13EE"/>
    <w:rsid w:val="006B1E88"/>
    <w:rsid w:val="006B2133"/>
    <w:rsid w:val="006B240E"/>
    <w:rsid w:val="006B2AF4"/>
    <w:rsid w:val="006B2C79"/>
    <w:rsid w:val="006B2DA7"/>
    <w:rsid w:val="006B3032"/>
    <w:rsid w:val="006B3202"/>
    <w:rsid w:val="006B323A"/>
    <w:rsid w:val="006B3767"/>
    <w:rsid w:val="006B3D5B"/>
    <w:rsid w:val="006B3F15"/>
    <w:rsid w:val="006B41D6"/>
    <w:rsid w:val="006B42AD"/>
    <w:rsid w:val="006B4496"/>
    <w:rsid w:val="006B44D7"/>
    <w:rsid w:val="006B4853"/>
    <w:rsid w:val="006B4ADC"/>
    <w:rsid w:val="006B4B4A"/>
    <w:rsid w:val="006B4BB8"/>
    <w:rsid w:val="006B4E2A"/>
    <w:rsid w:val="006B5048"/>
    <w:rsid w:val="006B560C"/>
    <w:rsid w:val="006B5615"/>
    <w:rsid w:val="006B58F7"/>
    <w:rsid w:val="006B5921"/>
    <w:rsid w:val="006B5F48"/>
    <w:rsid w:val="006B60A6"/>
    <w:rsid w:val="006B6356"/>
    <w:rsid w:val="006B68D6"/>
    <w:rsid w:val="006B7498"/>
    <w:rsid w:val="006B75C6"/>
    <w:rsid w:val="006B78BA"/>
    <w:rsid w:val="006B78FB"/>
    <w:rsid w:val="006B7B95"/>
    <w:rsid w:val="006B7EB2"/>
    <w:rsid w:val="006B7EBA"/>
    <w:rsid w:val="006C06CB"/>
    <w:rsid w:val="006C09E0"/>
    <w:rsid w:val="006C0ECB"/>
    <w:rsid w:val="006C111D"/>
    <w:rsid w:val="006C1582"/>
    <w:rsid w:val="006C1997"/>
    <w:rsid w:val="006C19B0"/>
    <w:rsid w:val="006C1CAC"/>
    <w:rsid w:val="006C1EC6"/>
    <w:rsid w:val="006C1FF6"/>
    <w:rsid w:val="006C21C5"/>
    <w:rsid w:val="006C295C"/>
    <w:rsid w:val="006C2BAF"/>
    <w:rsid w:val="006C3524"/>
    <w:rsid w:val="006C354C"/>
    <w:rsid w:val="006C374B"/>
    <w:rsid w:val="006C390A"/>
    <w:rsid w:val="006C3B76"/>
    <w:rsid w:val="006C3BBE"/>
    <w:rsid w:val="006C4572"/>
    <w:rsid w:val="006C48C6"/>
    <w:rsid w:val="006C4A14"/>
    <w:rsid w:val="006C4AC2"/>
    <w:rsid w:val="006C543F"/>
    <w:rsid w:val="006C5FBE"/>
    <w:rsid w:val="006C61C9"/>
    <w:rsid w:val="006C62D3"/>
    <w:rsid w:val="006C6354"/>
    <w:rsid w:val="006C66EC"/>
    <w:rsid w:val="006C70C4"/>
    <w:rsid w:val="006C7B03"/>
    <w:rsid w:val="006C7E4F"/>
    <w:rsid w:val="006D096E"/>
    <w:rsid w:val="006D0EC2"/>
    <w:rsid w:val="006D1479"/>
    <w:rsid w:val="006D1B33"/>
    <w:rsid w:val="006D1DB0"/>
    <w:rsid w:val="006D2674"/>
    <w:rsid w:val="006D27DE"/>
    <w:rsid w:val="006D2C06"/>
    <w:rsid w:val="006D35C9"/>
    <w:rsid w:val="006D3829"/>
    <w:rsid w:val="006D41EB"/>
    <w:rsid w:val="006D44FF"/>
    <w:rsid w:val="006D46D3"/>
    <w:rsid w:val="006D48C6"/>
    <w:rsid w:val="006D4C72"/>
    <w:rsid w:val="006D4CF9"/>
    <w:rsid w:val="006D4D60"/>
    <w:rsid w:val="006D4E4C"/>
    <w:rsid w:val="006D52D1"/>
    <w:rsid w:val="006D549E"/>
    <w:rsid w:val="006D5585"/>
    <w:rsid w:val="006D5AA7"/>
    <w:rsid w:val="006D5B29"/>
    <w:rsid w:val="006D5B2D"/>
    <w:rsid w:val="006D5D9B"/>
    <w:rsid w:val="006D5F76"/>
    <w:rsid w:val="006D5F80"/>
    <w:rsid w:val="006D5FAF"/>
    <w:rsid w:val="006D626D"/>
    <w:rsid w:val="006D6445"/>
    <w:rsid w:val="006D64E4"/>
    <w:rsid w:val="006D6B71"/>
    <w:rsid w:val="006D6D96"/>
    <w:rsid w:val="006D6DD6"/>
    <w:rsid w:val="006D7211"/>
    <w:rsid w:val="006D75C8"/>
    <w:rsid w:val="006D7C9C"/>
    <w:rsid w:val="006D7D31"/>
    <w:rsid w:val="006E058E"/>
    <w:rsid w:val="006E09AF"/>
    <w:rsid w:val="006E0A93"/>
    <w:rsid w:val="006E0B47"/>
    <w:rsid w:val="006E0EE4"/>
    <w:rsid w:val="006E0F1A"/>
    <w:rsid w:val="006E118E"/>
    <w:rsid w:val="006E1ACD"/>
    <w:rsid w:val="006E228E"/>
    <w:rsid w:val="006E2CB2"/>
    <w:rsid w:val="006E34CC"/>
    <w:rsid w:val="006E34E9"/>
    <w:rsid w:val="006E382B"/>
    <w:rsid w:val="006E3A61"/>
    <w:rsid w:val="006E3B6B"/>
    <w:rsid w:val="006E40AF"/>
    <w:rsid w:val="006E422B"/>
    <w:rsid w:val="006E4420"/>
    <w:rsid w:val="006E44AB"/>
    <w:rsid w:val="006E477C"/>
    <w:rsid w:val="006E4A2C"/>
    <w:rsid w:val="006E51CA"/>
    <w:rsid w:val="006E52C4"/>
    <w:rsid w:val="006E54F1"/>
    <w:rsid w:val="006E5AC3"/>
    <w:rsid w:val="006E5F5D"/>
    <w:rsid w:val="006E656B"/>
    <w:rsid w:val="006E72AB"/>
    <w:rsid w:val="006E7386"/>
    <w:rsid w:val="006E7934"/>
    <w:rsid w:val="006E7AF0"/>
    <w:rsid w:val="006E7C22"/>
    <w:rsid w:val="006F0023"/>
    <w:rsid w:val="006F055C"/>
    <w:rsid w:val="006F0A58"/>
    <w:rsid w:val="006F0C18"/>
    <w:rsid w:val="006F0D46"/>
    <w:rsid w:val="006F148D"/>
    <w:rsid w:val="006F23DD"/>
    <w:rsid w:val="006F2487"/>
    <w:rsid w:val="006F2562"/>
    <w:rsid w:val="006F2878"/>
    <w:rsid w:val="006F2E3B"/>
    <w:rsid w:val="006F2E62"/>
    <w:rsid w:val="006F3773"/>
    <w:rsid w:val="006F3779"/>
    <w:rsid w:val="006F3A45"/>
    <w:rsid w:val="006F3DBB"/>
    <w:rsid w:val="006F3F74"/>
    <w:rsid w:val="006F453A"/>
    <w:rsid w:val="006F511B"/>
    <w:rsid w:val="006F5158"/>
    <w:rsid w:val="006F552A"/>
    <w:rsid w:val="006F59B0"/>
    <w:rsid w:val="006F5A3C"/>
    <w:rsid w:val="006F5F89"/>
    <w:rsid w:val="006F666A"/>
    <w:rsid w:val="006F6F54"/>
    <w:rsid w:val="006F725D"/>
    <w:rsid w:val="006F78C6"/>
    <w:rsid w:val="007001B8"/>
    <w:rsid w:val="0070027B"/>
    <w:rsid w:val="00700778"/>
    <w:rsid w:val="00700870"/>
    <w:rsid w:val="00700950"/>
    <w:rsid w:val="00700ACB"/>
    <w:rsid w:val="00701136"/>
    <w:rsid w:val="00701154"/>
    <w:rsid w:val="00701472"/>
    <w:rsid w:val="007015A0"/>
    <w:rsid w:val="007015B6"/>
    <w:rsid w:val="00702019"/>
    <w:rsid w:val="007021DC"/>
    <w:rsid w:val="0070306A"/>
    <w:rsid w:val="0070319A"/>
    <w:rsid w:val="00703520"/>
    <w:rsid w:val="0070367E"/>
    <w:rsid w:val="00703CB4"/>
    <w:rsid w:val="00703D84"/>
    <w:rsid w:val="0070469D"/>
    <w:rsid w:val="0070471D"/>
    <w:rsid w:val="007049A5"/>
    <w:rsid w:val="00704A8E"/>
    <w:rsid w:val="00704C46"/>
    <w:rsid w:val="00705224"/>
    <w:rsid w:val="00705BF0"/>
    <w:rsid w:val="00705D82"/>
    <w:rsid w:val="0070604D"/>
    <w:rsid w:val="00706146"/>
    <w:rsid w:val="00706585"/>
    <w:rsid w:val="00706DDF"/>
    <w:rsid w:val="00706F56"/>
    <w:rsid w:val="0070709A"/>
    <w:rsid w:val="007074D5"/>
    <w:rsid w:val="0070755E"/>
    <w:rsid w:val="0070791C"/>
    <w:rsid w:val="00707972"/>
    <w:rsid w:val="00707BE8"/>
    <w:rsid w:val="00707C18"/>
    <w:rsid w:val="0071019C"/>
    <w:rsid w:val="007103A9"/>
    <w:rsid w:val="0071042D"/>
    <w:rsid w:val="00710CDF"/>
    <w:rsid w:val="007110FB"/>
    <w:rsid w:val="00711239"/>
    <w:rsid w:val="007112DF"/>
    <w:rsid w:val="00711376"/>
    <w:rsid w:val="0071187A"/>
    <w:rsid w:val="0071189F"/>
    <w:rsid w:val="00711DF5"/>
    <w:rsid w:val="0071260F"/>
    <w:rsid w:val="00712C47"/>
    <w:rsid w:val="00712D19"/>
    <w:rsid w:val="007134EE"/>
    <w:rsid w:val="007134F1"/>
    <w:rsid w:val="0071394F"/>
    <w:rsid w:val="00713BE3"/>
    <w:rsid w:val="007144A7"/>
    <w:rsid w:val="0071558D"/>
    <w:rsid w:val="007158DC"/>
    <w:rsid w:val="00715A5A"/>
    <w:rsid w:val="00715FE2"/>
    <w:rsid w:val="0071630E"/>
    <w:rsid w:val="0071647E"/>
    <w:rsid w:val="00716643"/>
    <w:rsid w:val="00716AD2"/>
    <w:rsid w:val="0071759E"/>
    <w:rsid w:val="0071C0A0"/>
    <w:rsid w:val="007203CA"/>
    <w:rsid w:val="00720D0D"/>
    <w:rsid w:val="00720E87"/>
    <w:rsid w:val="00720EBD"/>
    <w:rsid w:val="00720EBF"/>
    <w:rsid w:val="00720FBD"/>
    <w:rsid w:val="00721802"/>
    <w:rsid w:val="0072182D"/>
    <w:rsid w:val="0072183E"/>
    <w:rsid w:val="007226F5"/>
    <w:rsid w:val="007229A3"/>
    <w:rsid w:val="00722E5E"/>
    <w:rsid w:val="00723097"/>
    <w:rsid w:val="00723100"/>
    <w:rsid w:val="00723491"/>
    <w:rsid w:val="00723B2C"/>
    <w:rsid w:val="00723E2C"/>
    <w:rsid w:val="00723FCE"/>
    <w:rsid w:val="00724A32"/>
    <w:rsid w:val="00724E06"/>
    <w:rsid w:val="00724ED0"/>
    <w:rsid w:val="00724F71"/>
    <w:rsid w:val="00724F92"/>
    <w:rsid w:val="007252AF"/>
    <w:rsid w:val="007253D6"/>
    <w:rsid w:val="0072578A"/>
    <w:rsid w:val="0072597A"/>
    <w:rsid w:val="00725C8E"/>
    <w:rsid w:val="00726080"/>
    <w:rsid w:val="0072635B"/>
    <w:rsid w:val="00726994"/>
    <w:rsid w:val="0072739C"/>
    <w:rsid w:val="007273E2"/>
    <w:rsid w:val="00727420"/>
    <w:rsid w:val="00727475"/>
    <w:rsid w:val="00727992"/>
    <w:rsid w:val="00727EEF"/>
    <w:rsid w:val="00727EF9"/>
    <w:rsid w:val="0073026D"/>
    <w:rsid w:val="0073070D"/>
    <w:rsid w:val="00730C6F"/>
    <w:rsid w:val="00730DBD"/>
    <w:rsid w:val="007311A0"/>
    <w:rsid w:val="007311C5"/>
    <w:rsid w:val="007313A6"/>
    <w:rsid w:val="00731A4D"/>
    <w:rsid w:val="00731C27"/>
    <w:rsid w:val="00732D20"/>
    <w:rsid w:val="00732DE9"/>
    <w:rsid w:val="007331CF"/>
    <w:rsid w:val="007333A7"/>
    <w:rsid w:val="0073360A"/>
    <w:rsid w:val="00733AF6"/>
    <w:rsid w:val="00733B86"/>
    <w:rsid w:val="00733CEB"/>
    <w:rsid w:val="00733E6C"/>
    <w:rsid w:val="00734061"/>
    <w:rsid w:val="007344E2"/>
    <w:rsid w:val="007349C0"/>
    <w:rsid w:val="00734E8F"/>
    <w:rsid w:val="00734EA8"/>
    <w:rsid w:val="00734EC6"/>
    <w:rsid w:val="00735966"/>
    <w:rsid w:val="00736256"/>
    <w:rsid w:val="0073673C"/>
    <w:rsid w:val="00736C58"/>
    <w:rsid w:val="00736E15"/>
    <w:rsid w:val="00736E95"/>
    <w:rsid w:val="00737124"/>
    <w:rsid w:val="007375B6"/>
    <w:rsid w:val="00737668"/>
    <w:rsid w:val="0073792C"/>
    <w:rsid w:val="00737A77"/>
    <w:rsid w:val="00737BEA"/>
    <w:rsid w:val="0074008E"/>
    <w:rsid w:val="007402AB"/>
    <w:rsid w:val="007403D5"/>
    <w:rsid w:val="00740BED"/>
    <w:rsid w:val="00740CBC"/>
    <w:rsid w:val="00740D0A"/>
    <w:rsid w:val="00741142"/>
    <w:rsid w:val="00741A39"/>
    <w:rsid w:val="00741B41"/>
    <w:rsid w:val="00741E62"/>
    <w:rsid w:val="0074203C"/>
    <w:rsid w:val="0074257A"/>
    <w:rsid w:val="00742643"/>
    <w:rsid w:val="00742ACE"/>
    <w:rsid w:val="00742B39"/>
    <w:rsid w:val="00742EC0"/>
    <w:rsid w:val="007431D5"/>
    <w:rsid w:val="007431E0"/>
    <w:rsid w:val="007434F5"/>
    <w:rsid w:val="00743602"/>
    <w:rsid w:val="007436BD"/>
    <w:rsid w:val="007441B9"/>
    <w:rsid w:val="007443EA"/>
    <w:rsid w:val="007444CF"/>
    <w:rsid w:val="007445D0"/>
    <w:rsid w:val="00744AA7"/>
    <w:rsid w:val="007459B9"/>
    <w:rsid w:val="00745EA8"/>
    <w:rsid w:val="00746516"/>
    <w:rsid w:val="0074656F"/>
    <w:rsid w:val="007467DA"/>
    <w:rsid w:val="00746E42"/>
    <w:rsid w:val="00747434"/>
    <w:rsid w:val="007475C0"/>
    <w:rsid w:val="007475FE"/>
    <w:rsid w:val="00747609"/>
    <w:rsid w:val="00747712"/>
    <w:rsid w:val="0074788B"/>
    <w:rsid w:val="00747951"/>
    <w:rsid w:val="00750147"/>
    <w:rsid w:val="00750452"/>
    <w:rsid w:val="007504A2"/>
    <w:rsid w:val="00750687"/>
    <w:rsid w:val="0075073F"/>
    <w:rsid w:val="0075098B"/>
    <w:rsid w:val="00750A43"/>
    <w:rsid w:val="00751131"/>
    <w:rsid w:val="0075137C"/>
    <w:rsid w:val="007515D0"/>
    <w:rsid w:val="0075169F"/>
    <w:rsid w:val="00752170"/>
    <w:rsid w:val="00752D32"/>
    <w:rsid w:val="00752F91"/>
    <w:rsid w:val="00753190"/>
    <w:rsid w:val="007534E9"/>
    <w:rsid w:val="0075394A"/>
    <w:rsid w:val="00753DA4"/>
    <w:rsid w:val="00753F02"/>
    <w:rsid w:val="0075418A"/>
    <w:rsid w:val="00754858"/>
    <w:rsid w:val="00754DA2"/>
    <w:rsid w:val="00754DB1"/>
    <w:rsid w:val="00755381"/>
    <w:rsid w:val="00755640"/>
    <w:rsid w:val="00755ED8"/>
    <w:rsid w:val="007560F0"/>
    <w:rsid w:val="0075680D"/>
    <w:rsid w:val="00756945"/>
    <w:rsid w:val="00756DA8"/>
    <w:rsid w:val="00756EF0"/>
    <w:rsid w:val="0075730B"/>
    <w:rsid w:val="00757797"/>
    <w:rsid w:val="007579F5"/>
    <w:rsid w:val="007601E9"/>
    <w:rsid w:val="00760225"/>
    <w:rsid w:val="007604EF"/>
    <w:rsid w:val="00760A40"/>
    <w:rsid w:val="0076122A"/>
    <w:rsid w:val="00761309"/>
    <w:rsid w:val="0076203F"/>
    <w:rsid w:val="007624A0"/>
    <w:rsid w:val="0076254D"/>
    <w:rsid w:val="0076260D"/>
    <w:rsid w:val="00762A65"/>
    <w:rsid w:val="00762B1D"/>
    <w:rsid w:val="007638A6"/>
    <w:rsid w:val="00763B77"/>
    <w:rsid w:val="0076409C"/>
    <w:rsid w:val="007649D7"/>
    <w:rsid w:val="00764C89"/>
    <w:rsid w:val="00764ED2"/>
    <w:rsid w:val="00765040"/>
    <w:rsid w:val="0076548C"/>
    <w:rsid w:val="00765513"/>
    <w:rsid w:val="00765E1E"/>
    <w:rsid w:val="00766242"/>
    <w:rsid w:val="0076672B"/>
    <w:rsid w:val="0076693E"/>
    <w:rsid w:val="00766AC6"/>
    <w:rsid w:val="00766E63"/>
    <w:rsid w:val="0076702C"/>
    <w:rsid w:val="00767232"/>
    <w:rsid w:val="00767290"/>
    <w:rsid w:val="007673BF"/>
    <w:rsid w:val="00767615"/>
    <w:rsid w:val="007678B2"/>
    <w:rsid w:val="007679CC"/>
    <w:rsid w:val="00767F6C"/>
    <w:rsid w:val="007700C2"/>
    <w:rsid w:val="00770E67"/>
    <w:rsid w:val="00771335"/>
    <w:rsid w:val="007718D4"/>
    <w:rsid w:val="00771995"/>
    <w:rsid w:val="00771B0A"/>
    <w:rsid w:val="00771B93"/>
    <w:rsid w:val="00772265"/>
    <w:rsid w:val="00772372"/>
    <w:rsid w:val="00772829"/>
    <w:rsid w:val="0077309E"/>
    <w:rsid w:val="00773195"/>
    <w:rsid w:val="007735A9"/>
    <w:rsid w:val="0077362F"/>
    <w:rsid w:val="00773879"/>
    <w:rsid w:val="00773D22"/>
    <w:rsid w:val="0077485B"/>
    <w:rsid w:val="00775782"/>
    <w:rsid w:val="00775A0A"/>
    <w:rsid w:val="00776144"/>
    <w:rsid w:val="007761C4"/>
    <w:rsid w:val="007762AF"/>
    <w:rsid w:val="00776377"/>
    <w:rsid w:val="0077658E"/>
    <w:rsid w:val="007769E1"/>
    <w:rsid w:val="00776A1A"/>
    <w:rsid w:val="00776D86"/>
    <w:rsid w:val="00776DD2"/>
    <w:rsid w:val="00777848"/>
    <w:rsid w:val="00777893"/>
    <w:rsid w:val="00777A77"/>
    <w:rsid w:val="00777A93"/>
    <w:rsid w:val="00777AAA"/>
    <w:rsid w:val="00777BC3"/>
    <w:rsid w:val="007809D2"/>
    <w:rsid w:val="00780EC1"/>
    <w:rsid w:val="0078131C"/>
    <w:rsid w:val="00781396"/>
    <w:rsid w:val="0078156E"/>
    <w:rsid w:val="007824FE"/>
    <w:rsid w:val="00782988"/>
    <w:rsid w:val="00782AAC"/>
    <w:rsid w:val="00782B2D"/>
    <w:rsid w:val="00783108"/>
    <w:rsid w:val="00783435"/>
    <w:rsid w:val="0078351F"/>
    <w:rsid w:val="00784A6A"/>
    <w:rsid w:val="00784DE7"/>
    <w:rsid w:val="00784E2B"/>
    <w:rsid w:val="00785235"/>
    <w:rsid w:val="007852E9"/>
    <w:rsid w:val="007859AD"/>
    <w:rsid w:val="00785E7A"/>
    <w:rsid w:val="00786846"/>
    <w:rsid w:val="0078701B"/>
    <w:rsid w:val="007870D0"/>
    <w:rsid w:val="00787452"/>
    <w:rsid w:val="007877C0"/>
    <w:rsid w:val="00787B1D"/>
    <w:rsid w:val="00790498"/>
    <w:rsid w:val="00790518"/>
    <w:rsid w:val="00790975"/>
    <w:rsid w:val="007909D7"/>
    <w:rsid w:val="00790B15"/>
    <w:rsid w:val="00790F2D"/>
    <w:rsid w:val="00790F49"/>
    <w:rsid w:val="0079137A"/>
    <w:rsid w:val="00791C37"/>
    <w:rsid w:val="00791FBA"/>
    <w:rsid w:val="007931CB"/>
    <w:rsid w:val="00793C21"/>
    <w:rsid w:val="00794290"/>
    <w:rsid w:val="007943E0"/>
    <w:rsid w:val="007951D4"/>
    <w:rsid w:val="0079543E"/>
    <w:rsid w:val="007955A9"/>
    <w:rsid w:val="007956DD"/>
    <w:rsid w:val="00795949"/>
    <w:rsid w:val="00795DC8"/>
    <w:rsid w:val="00796369"/>
    <w:rsid w:val="00796642"/>
    <w:rsid w:val="007967F3"/>
    <w:rsid w:val="00796A37"/>
    <w:rsid w:val="00796DAA"/>
    <w:rsid w:val="0079723A"/>
    <w:rsid w:val="00797541"/>
    <w:rsid w:val="00797674"/>
    <w:rsid w:val="007976D5"/>
    <w:rsid w:val="00797BC1"/>
    <w:rsid w:val="00797C46"/>
    <w:rsid w:val="007A01D6"/>
    <w:rsid w:val="007A027F"/>
    <w:rsid w:val="007A1347"/>
    <w:rsid w:val="007A1949"/>
    <w:rsid w:val="007A19F3"/>
    <w:rsid w:val="007A19F6"/>
    <w:rsid w:val="007A1DFF"/>
    <w:rsid w:val="007A1EFD"/>
    <w:rsid w:val="007A1F44"/>
    <w:rsid w:val="007A2311"/>
    <w:rsid w:val="007A26FB"/>
    <w:rsid w:val="007A27D0"/>
    <w:rsid w:val="007A2A95"/>
    <w:rsid w:val="007A2B65"/>
    <w:rsid w:val="007A3349"/>
    <w:rsid w:val="007A3604"/>
    <w:rsid w:val="007A38C9"/>
    <w:rsid w:val="007A38EB"/>
    <w:rsid w:val="007A38FF"/>
    <w:rsid w:val="007A3B25"/>
    <w:rsid w:val="007A3B3C"/>
    <w:rsid w:val="007A3B92"/>
    <w:rsid w:val="007A3E0B"/>
    <w:rsid w:val="007A41C8"/>
    <w:rsid w:val="007A4DAF"/>
    <w:rsid w:val="007A4FB1"/>
    <w:rsid w:val="007A503C"/>
    <w:rsid w:val="007A5617"/>
    <w:rsid w:val="007A5C31"/>
    <w:rsid w:val="007A5D77"/>
    <w:rsid w:val="007A5F1A"/>
    <w:rsid w:val="007A61EF"/>
    <w:rsid w:val="007A6945"/>
    <w:rsid w:val="007A698B"/>
    <w:rsid w:val="007A6BCD"/>
    <w:rsid w:val="007A6F03"/>
    <w:rsid w:val="007A7019"/>
    <w:rsid w:val="007A754B"/>
    <w:rsid w:val="007A75BF"/>
    <w:rsid w:val="007A7812"/>
    <w:rsid w:val="007A7965"/>
    <w:rsid w:val="007A7B91"/>
    <w:rsid w:val="007A7B97"/>
    <w:rsid w:val="007A7C0D"/>
    <w:rsid w:val="007A7DD9"/>
    <w:rsid w:val="007B0245"/>
    <w:rsid w:val="007B053E"/>
    <w:rsid w:val="007B07A6"/>
    <w:rsid w:val="007B083F"/>
    <w:rsid w:val="007B0880"/>
    <w:rsid w:val="007B0B63"/>
    <w:rsid w:val="007B0D01"/>
    <w:rsid w:val="007B1999"/>
    <w:rsid w:val="007B2085"/>
    <w:rsid w:val="007B21C3"/>
    <w:rsid w:val="007B22D5"/>
    <w:rsid w:val="007B234A"/>
    <w:rsid w:val="007B2582"/>
    <w:rsid w:val="007B2730"/>
    <w:rsid w:val="007B2B5E"/>
    <w:rsid w:val="007B2DC1"/>
    <w:rsid w:val="007B2DF8"/>
    <w:rsid w:val="007B2F52"/>
    <w:rsid w:val="007B2FDC"/>
    <w:rsid w:val="007B32B6"/>
    <w:rsid w:val="007B335F"/>
    <w:rsid w:val="007B3881"/>
    <w:rsid w:val="007B38A0"/>
    <w:rsid w:val="007B38B7"/>
    <w:rsid w:val="007B3C12"/>
    <w:rsid w:val="007B3D83"/>
    <w:rsid w:val="007B40E1"/>
    <w:rsid w:val="007B45AE"/>
    <w:rsid w:val="007B4BEA"/>
    <w:rsid w:val="007B4C59"/>
    <w:rsid w:val="007B4F7B"/>
    <w:rsid w:val="007B4FC9"/>
    <w:rsid w:val="007B51D7"/>
    <w:rsid w:val="007B5689"/>
    <w:rsid w:val="007B583D"/>
    <w:rsid w:val="007B5E75"/>
    <w:rsid w:val="007B5F10"/>
    <w:rsid w:val="007B6228"/>
    <w:rsid w:val="007B6238"/>
    <w:rsid w:val="007B6684"/>
    <w:rsid w:val="007B6797"/>
    <w:rsid w:val="007B69F9"/>
    <w:rsid w:val="007B6B21"/>
    <w:rsid w:val="007B6C77"/>
    <w:rsid w:val="007B7024"/>
    <w:rsid w:val="007B73EC"/>
    <w:rsid w:val="007B75F0"/>
    <w:rsid w:val="007B7610"/>
    <w:rsid w:val="007C0177"/>
    <w:rsid w:val="007C0390"/>
    <w:rsid w:val="007C0742"/>
    <w:rsid w:val="007C094B"/>
    <w:rsid w:val="007C14A2"/>
    <w:rsid w:val="007C18FC"/>
    <w:rsid w:val="007C199E"/>
    <w:rsid w:val="007C26FB"/>
    <w:rsid w:val="007C300E"/>
    <w:rsid w:val="007C3279"/>
    <w:rsid w:val="007C328D"/>
    <w:rsid w:val="007C3320"/>
    <w:rsid w:val="007C336F"/>
    <w:rsid w:val="007C36D0"/>
    <w:rsid w:val="007C393B"/>
    <w:rsid w:val="007C3A0E"/>
    <w:rsid w:val="007C3A41"/>
    <w:rsid w:val="007C40DF"/>
    <w:rsid w:val="007C41B1"/>
    <w:rsid w:val="007C470D"/>
    <w:rsid w:val="007C4852"/>
    <w:rsid w:val="007C543E"/>
    <w:rsid w:val="007C54CF"/>
    <w:rsid w:val="007C586D"/>
    <w:rsid w:val="007C6711"/>
    <w:rsid w:val="007C6FD5"/>
    <w:rsid w:val="007C72B1"/>
    <w:rsid w:val="007C744B"/>
    <w:rsid w:val="007C7DC2"/>
    <w:rsid w:val="007C7F9D"/>
    <w:rsid w:val="007D0746"/>
    <w:rsid w:val="007D0C18"/>
    <w:rsid w:val="007D0D02"/>
    <w:rsid w:val="007D0FDC"/>
    <w:rsid w:val="007D1387"/>
    <w:rsid w:val="007D1526"/>
    <w:rsid w:val="007D1F23"/>
    <w:rsid w:val="007D287C"/>
    <w:rsid w:val="007D290C"/>
    <w:rsid w:val="007D2AA5"/>
    <w:rsid w:val="007D2F59"/>
    <w:rsid w:val="007D30B7"/>
    <w:rsid w:val="007D3234"/>
    <w:rsid w:val="007D333F"/>
    <w:rsid w:val="007D3814"/>
    <w:rsid w:val="007D3A52"/>
    <w:rsid w:val="007D43C7"/>
    <w:rsid w:val="007D44EF"/>
    <w:rsid w:val="007D4566"/>
    <w:rsid w:val="007D4F99"/>
    <w:rsid w:val="007D510C"/>
    <w:rsid w:val="007D5193"/>
    <w:rsid w:val="007D5552"/>
    <w:rsid w:val="007D55E3"/>
    <w:rsid w:val="007D5CD3"/>
    <w:rsid w:val="007D6941"/>
    <w:rsid w:val="007D6987"/>
    <w:rsid w:val="007D698A"/>
    <w:rsid w:val="007D6A29"/>
    <w:rsid w:val="007D70DA"/>
    <w:rsid w:val="007D7C0A"/>
    <w:rsid w:val="007E002E"/>
    <w:rsid w:val="007E048E"/>
    <w:rsid w:val="007E05C2"/>
    <w:rsid w:val="007E06BB"/>
    <w:rsid w:val="007E070D"/>
    <w:rsid w:val="007E0B25"/>
    <w:rsid w:val="007E1297"/>
    <w:rsid w:val="007E12A2"/>
    <w:rsid w:val="007E1573"/>
    <w:rsid w:val="007E15AD"/>
    <w:rsid w:val="007E1B6F"/>
    <w:rsid w:val="007E21EA"/>
    <w:rsid w:val="007E23F4"/>
    <w:rsid w:val="007E24B0"/>
    <w:rsid w:val="007E25ED"/>
    <w:rsid w:val="007E2726"/>
    <w:rsid w:val="007E2BC0"/>
    <w:rsid w:val="007E3291"/>
    <w:rsid w:val="007E343D"/>
    <w:rsid w:val="007E3C62"/>
    <w:rsid w:val="007E435B"/>
    <w:rsid w:val="007E4384"/>
    <w:rsid w:val="007E46F7"/>
    <w:rsid w:val="007E4704"/>
    <w:rsid w:val="007E478A"/>
    <w:rsid w:val="007E4C27"/>
    <w:rsid w:val="007E4D08"/>
    <w:rsid w:val="007E5C91"/>
    <w:rsid w:val="007E5D7D"/>
    <w:rsid w:val="007E682B"/>
    <w:rsid w:val="007E6914"/>
    <w:rsid w:val="007E6952"/>
    <w:rsid w:val="007E6A92"/>
    <w:rsid w:val="007E6CCB"/>
    <w:rsid w:val="007E6D91"/>
    <w:rsid w:val="007E6DDF"/>
    <w:rsid w:val="007E6F0C"/>
    <w:rsid w:val="007E7070"/>
    <w:rsid w:val="007E71B6"/>
    <w:rsid w:val="007E7616"/>
    <w:rsid w:val="007E77D3"/>
    <w:rsid w:val="007E78FD"/>
    <w:rsid w:val="007E796B"/>
    <w:rsid w:val="007E7F11"/>
    <w:rsid w:val="007F052B"/>
    <w:rsid w:val="007F0558"/>
    <w:rsid w:val="007F0C9F"/>
    <w:rsid w:val="007F1487"/>
    <w:rsid w:val="007F1A95"/>
    <w:rsid w:val="007F2033"/>
    <w:rsid w:val="007F2088"/>
    <w:rsid w:val="007F257B"/>
    <w:rsid w:val="007F2E95"/>
    <w:rsid w:val="007F3985"/>
    <w:rsid w:val="007F4AE9"/>
    <w:rsid w:val="007F4F90"/>
    <w:rsid w:val="007F5005"/>
    <w:rsid w:val="007F5050"/>
    <w:rsid w:val="007F5A8F"/>
    <w:rsid w:val="007F5B00"/>
    <w:rsid w:val="007F5F93"/>
    <w:rsid w:val="007F5FF9"/>
    <w:rsid w:val="007F6060"/>
    <w:rsid w:val="007F61D5"/>
    <w:rsid w:val="007F65D2"/>
    <w:rsid w:val="007F6602"/>
    <w:rsid w:val="007F66A5"/>
    <w:rsid w:val="007F67E9"/>
    <w:rsid w:val="007F7455"/>
    <w:rsid w:val="007F7676"/>
    <w:rsid w:val="007F7AED"/>
    <w:rsid w:val="007F7C7B"/>
    <w:rsid w:val="007F7F2F"/>
    <w:rsid w:val="008003A2"/>
    <w:rsid w:val="00800925"/>
    <w:rsid w:val="00800E11"/>
    <w:rsid w:val="00800EC0"/>
    <w:rsid w:val="008012A0"/>
    <w:rsid w:val="008012DB"/>
    <w:rsid w:val="00801340"/>
    <w:rsid w:val="00801BD5"/>
    <w:rsid w:val="00801CC2"/>
    <w:rsid w:val="008020AE"/>
    <w:rsid w:val="008020D2"/>
    <w:rsid w:val="00802764"/>
    <w:rsid w:val="008027BD"/>
    <w:rsid w:val="008029B1"/>
    <w:rsid w:val="00802AB9"/>
    <w:rsid w:val="00802B2F"/>
    <w:rsid w:val="00802F1B"/>
    <w:rsid w:val="00803269"/>
    <w:rsid w:val="0080329A"/>
    <w:rsid w:val="00803966"/>
    <w:rsid w:val="008040A2"/>
    <w:rsid w:val="00804470"/>
    <w:rsid w:val="00804632"/>
    <w:rsid w:val="0080469C"/>
    <w:rsid w:val="008046AA"/>
    <w:rsid w:val="0080470B"/>
    <w:rsid w:val="00804C4A"/>
    <w:rsid w:val="00804DD9"/>
    <w:rsid w:val="008054B0"/>
    <w:rsid w:val="008054D9"/>
    <w:rsid w:val="0080571C"/>
    <w:rsid w:val="00805736"/>
    <w:rsid w:val="00805942"/>
    <w:rsid w:val="00805C50"/>
    <w:rsid w:val="00806095"/>
    <w:rsid w:val="00806688"/>
    <w:rsid w:val="00807266"/>
    <w:rsid w:val="0080754E"/>
    <w:rsid w:val="0080782C"/>
    <w:rsid w:val="00807873"/>
    <w:rsid w:val="00807A3E"/>
    <w:rsid w:val="00807CA3"/>
    <w:rsid w:val="00807D5F"/>
    <w:rsid w:val="00810338"/>
    <w:rsid w:val="00810387"/>
    <w:rsid w:val="00810C01"/>
    <w:rsid w:val="008117EE"/>
    <w:rsid w:val="00811899"/>
    <w:rsid w:val="00811CCC"/>
    <w:rsid w:val="00812282"/>
    <w:rsid w:val="00812BC8"/>
    <w:rsid w:val="00812CD0"/>
    <w:rsid w:val="00812EB5"/>
    <w:rsid w:val="0081319A"/>
    <w:rsid w:val="008132AD"/>
    <w:rsid w:val="0081358C"/>
    <w:rsid w:val="00813689"/>
    <w:rsid w:val="008137CB"/>
    <w:rsid w:val="00813F58"/>
    <w:rsid w:val="00814365"/>
    <w:rsid w:val="0081444D"/>
    <w:rsid w:val="00814694"/>
    <w:rsid w:val="008148E4"/>
    <w:rsid w:val="0081503D"/>
    <w:rsid w:val="008154D3"/>
    <w:rsid w:val="008157F1"/>
    <w:rsid w:val="0081592D"/>
    <w:rsid w:val="00815A7F"/>
    <w:rsid w:val="00816205"/>
    <w:rsid w:val="00816582"/>
    <w:rsid w:val="008168E8"/>
    <w:rsid w:val="00816AD5"/>
    <w:rsid w:val="00816DE4"/>
    <w:rsid w:val="00816EC2"/>
    <w:rsid w:val="00817628"/>
    <w:rsid w:val="00817E5A"/>
    <w:rsid w:val="00817ECD"/>
    <w:rsid w:val="00817EE9"/>
    <w:rsid w:val="00820085"/>
    <w:rsid w:val="008201E6"/>
    <w:rsid w:val="008205BF"/>
    <w:rsid w:val="0082102F"/>
    <w:rsid w:val="0082118A"/>
    <w:rsid w:val="00821989"/>
    <w:rsid w:val="00821EF5"/>
    <w:rsid w:val="00821FEE"/>
    <w:rsid w:val="008222A5"/>
    <w:rsid w:val="008222C2"/>
    <w:rsid w:val="00822310"/>
    <w:rsid w:val="008223E9"/>
    <w:rsid w:val="00822558"/>
    <w:rsid w:val="00822BC2"/>
    <w:rsid w:val="00822C40"/>
    <w:rsid w:val="008230BB"/>
    <w:rsid w:val="00823170"/>
    <w:rsid w:val="008233E9"/>
    <w:rsid w:val="008234B6"/>
    <w:rsid w:val="008234D5"/>
    <w:rsid w:val="008236E1"/>
    <w:rsid w:val="00823C47"/>
    <w:rsid w:val="00824458"/>
    <w:rsid w:val="008249F7"/>
    <w:rsid w:val="00824B74"/>
    <w:rsid w:val="0082586E"/>
    <w:rsid w:val="0082589E"/>
    <w:rsid w:val="00825C31"/>
    <w:rsid w:val="00826599"/>
    <w:rsid w:val="00826A00"/>
    <w:rsid w:val="00826C48"/>
    <w:rsid w:val="00826C81"/>
    <w:rsid w:val="00827027"/>
    <w:rsid w:val="008272AC"/>
    <w:rsid w:val="008275F7"/>
    <w:rsid w:val="008277D8"/>
    <w:rsid w:val="00830232"/>
    <w:rsid w:val="0083058F"/>
    <w:rsid w:val="00830B78"/>
    <w:rsid w:val="00830EB8"/>
    <w:rsid w:val="00830EFC"/>
    <w:rsid w:val="00831241"/>
    <w:rsid w:val="00831C53"/>
    <w:rsid w:val="008320C0"/>
    <w:rsid w:val="0083215A"/>
    <w:rsid w:val="008326A4"/>
    <w:rsid w:val="008326AE"/>
    <w:rsid w:val="00833064"/>
    <w:rsid w:val="008332EF"/>
    <w:rsid w:val="00833DB6"/>
    <w:rsid w:val="00834275"/>
    <w:rsid w:val="008346A1"/>
    <w:rsid w:val="00834ADA"/>
    <w:rsid w:val="00834E25"/>
    <w:rsid w:val="00834F8D"/>
    <w:rsid w:val="00835B92"/>
    <w:rsid w:val="00835CF3"/>
    <w:rsid w:val="00835DA0"/>
    <w:rsid w:val="00835E1F"/>
    <w:rsid w:val="00835EC9"/>
    <w:rsid w:val="00836335"/>
    <w:rsid w:val="008363B9"/>
    <w:rsid w:val="008364FC"/>
    <w:rsid w:val="008368D3"/>
    <w:rsid w:val="00836F89"/>
    <w:rsid w:val="00836F8B"/>
    <w:rsid w:val="008377E9"/>
    <w:rsid w:val="00837ABF"/>
    <w:rsid w:val="008405F4"/>
    <w:rsid w:val="00840AB0"/>
    <w:rsid w:val="00840E38"/>
    <w:rsid w:val="008411B2"/>
    <w:rsid w:val="0084123C"/>
    <w:rsid w:val="00841388"/>
    <w:rsid w:val="008413EC"/>
    <w:rsid w:val="00841656"/>
    <w:rsid w:val="00841781"/>
    <w:rsid w:val="008417AF"/>
    <w:rsid w:val="00841810"/>
    <w:rsid w:val="00841EFB"/>
    <w:rsid w:val="00841F44"/>
    <w:rsid w:val="00841FC9"/>
    <w:rsid w:val="0084202A"/>
    <w:rsid w:val="0084203A"/>
    <w:rsid w:val="00842081"/>
    <w:rsid w:val="008422BB"/>
    <w:rsid w:val="00842C82"/>
    <w:rsid w:val="0084319A"/>
    <w:rsid w:val="00843639"/>
    <w:rsid w:val="008436D7"/>
    <w:rsid w:val="00843A22"/>
    <w:rsid w:val="00843AF1"/>
    <w:rsid w:val="008440E2"/>
    <w:rsid w:val="008440FE"/>
    <w:rsid w:val="008444A4"/>
    <w:rsid w:val="0084452A"/>
    <w:rsid w:val="0084454A"/>
    <w:rsid w:val="008446F7"/>
    <w:rsid w:val="008447DD"/>
    <w:rsid w:val="008449FE"/>
    <w:rsid w:val="0084512B"/>
    <w:rsid w:val="008454E4"/>
    <w:rsid w:val="008455CD"/>
    <w:rsid w:val="00845621"/>
    <w:rsid w:val="008458E3"/>
    <w:rsid w:val="00845B31"/>
    <w:rsid w:val="00845F3D"/>
    <w:rsid w:val="00846119"/>
    <w:rsid w:val="008462B0"/>
    <w:rsid w:val="008462ED"/>
    <w:rsid w:val="00846B42"/>
    <w:rsid w:val="0084733C"/>
    <w:rsid w:val="008474D7"/>
    <w:rsid w:val="008474E3"/>
    <w:rsid w:val="00847CAD"/>
    <w:rsid w:val="00847CBF"/>
    <w:rsid w:val="00847D55"/>
    <w:rsid w:val="00847DFB"/>
    <w:rsid w:val="008507EF"/>
    <w:rsid w:val="00851272"/>
    <w:rsid w:val="00851CEE"/>
    <w:rsid w:val="0085235A"/>
    <w:rsid w:val="00852620"/>
    <w:rsid w:val="008527ED"/>
    <w:rsid w:val="00852CA6"/>
    <w:rsid w:val="008532A3"/>
    <w:rsid w:val="008537F7"/>
    <w:rsid w:val="00853B1B"/>
    <w:rsid w:val="00853C66"/>
    <w:rsid w:val="00854050"/>
    <w:rsid w:val="008545E9"/>
    <w:rsid w:val="008546BE"/>
    <w:rsid w:val="008546F7"/>
    <w:rsid w:val="00854E17"/>
    <w:rsid w:val="00854ED6"/>
    <w:rsid w:val="00854F3C"/>
    <w:rsid w:val="00855140"/>
    <w:rsid w:val="008554E3"/>
    <w:rsid w:val="00855A92"/>
    <w:rsid w:val="0085601B"/>
    <w:rsid w:val="00856074"/>
    <w:rsid w:val="0085613E"/>
    <w:rsid w:val="008566BB"/>
    <w:rsid w:val="008566D8"/>
    <w:rsid w:val="0085730B"/>
    <w:rsid w:val="00857949"/>
    <w:rsid w:val="008609A9"/>
    <w:rsid w:val="00860A6B"/>
    <w:rsid w:val="00861247"/>
    <w:rsid w:val="0086144B"/>
    <w:rsid w:val="00861637"/>
    <w:rsid w:val="0086163B"/>
    <w:rsid w:val="008618C5"/>
    <w:rsid w:val="0086192D"/>
    <w:rsid w:val="00862127"/>
    <w:rsid w:val="008623B8"/>
    <w:rsid w:val="00862850"/>
    <w:rsid w:val="0086286E"/>
    <w:rsid w:val="00862920"/>
    <w:rsid w:val="00862A20"/>
    <w:rsid w:val="00862BE5"/>
    <w:rsid w:val="0086328E"/>
    <w:rsid w:val="00863B3C"/>
    <w:rsid w:val="00863BDB"/>
    <w:rsid w:val="00863D00"/>
    <w:rsid w:val="00863F52"/>
    <w:rsid w:val="00864315"/>
    <w:rsid w:val="00864427"/>
    <w:rsid w:val="008644A4"/>
    <w:rsid w:val="00864583"/>
    <w:rsid w:val="008659CA"/>
    <w:rsid w:val="00865D56"/>
    <w:rsid w:val="008662D5"/>
    <w:rsid w:val="008663F5"/>
    <w:rsid w:val="00866B32"/>
    <w:rsid w:val="00866F93"/>
    <w:rsid w:val="00867193"/>
    <w:rsid w:val="008675B1"/>
    <w:rsid w:val="00867FFE"/>
    <w:rsid w:val="00870273"/>
    <w:rsid w:val="00870441"/>
    <w:rsid w:val="00870564"/>
    <w:rsid w:val="008705F2"/>
    <w:rsid w:val="00870618"/>
    <w:rsid w:val="00870B22"/>
    <w:rsid w:val="00870B88"/>
    <w:rsid w:val="00871490"/>
    <w:rsid w:val="00871686"/>
    <w:rsid w:val="008716B7"/>
    <w:rsid w:val="00871EE9"/>
    <w:rsid w:val="00871F9E"/>
    <w:rsid w:val="00871FFA"/>
    <w:rsid w:val="0087261F"/>
    <w:rsid w:val="0087277A"/>
    <w:rsid w:val="00872A47"/>
    <w:rsid w:val="00872B26"/>
    <w:rsid w:val="00872F17"/>
    <w:rsid w:val="00873045"/>
    <w:rsid w:val="008736E2"/>
    <w:rsid w:val="00873991"/>
    <w:rsid w:val="008740FB"/>
    <w:rsid w:val="00874565"/>
    <w:rsid w:val="0087503D"/>
    <w:rsid w:val="0087523A"/>
    <w:rsid w:val="008757A5"/>
    <w:rsid w:val="00875C00"/>
    <w:rsid w:val="00875DAB"/>
    <w:rsid w:val="00875DD7"/>
    <w:rsid w:val="0087618E"/>
    <w:rsid w:val="00876471"/>
    <w:rsid w:val="008765AC"/>
    <w:rsid w:val="00876723"/>
    <w:rsid w:val="00876E44"/>
    <w:rsid w:val="00877240"/>
    <w:rsid w:val="00877247"/>
    <w:rsid w:val="008779DA"/>
    <w:rsid w:val="00877B96"/>
    <w:rsid w:val="008801AE"/>
    <w:rsid w:val="00880681"/>
    <w:rsid w:val="00880AA3"/>
    <w:rsid w:val="00880C58"/>
    <w:rsid w:val="008812D9"/>
    <w:rsid w:val="008814BA"/>
    <w:rsid w:val="008814CE"/>
    <w:rsid w:val="00881806"/>
    <w:rsid w:val="00881A38"/>
    <w:rsid w:val="00882667"/>
    <w:rsid w:val="008826DF"/>
    <w:rsid w:val="00883143"/>
    <w:rsid w:val="0088324A"/>
    <w:rsid w:val="00883871"/>
    <w:rsid w:val="00883BD4"/>
    <w:rsid w:val="00883EB5"/>
    <w:rsid w:val="00883EEE"/>
    <w:rsid w:val="0088421C"/>
    <w:rsid w:val="008843B6"/>
    <w:rsid w:val="0088445B"/>
    <w:rsid w:val="008844B5"/>
    <w:rsid w:val="008847D3"/>
    <w:rsid w:val="0088488A"/>
    <w:rsid w:val="008851F9"/>
    <w:rsid w:val="008852AC"/>
    <w:rsid w:val="00885751"/>
    <w:rsid w:val="00885EED"/>
    <w:rsid w:val="00886007"/>
    <w:rsid w:val="008864AC"/>
    <w:rsid w:val="008871BC"/>
    <w:rsid w:val="00887487"/>
    <w:rsid w:val="00887596"/>
    <w:rsid w:val="00887C84"/>
    <w:rsid w:val="00887EA2"/>
    <w:rsid w:val="008908AC"/>
    <w:rsid w:val="0089096A"/>
    <w:rsid w:val="00890A14"/>
    <w:rsid w:val="00890D7C"/>
    <w:rsid w:val="00890F23"/>
    <w:rsid w:val="00891855"/>
    <w:rsid w:val="00891AF6"/>
    <w:rsid w:val="00891B7F"/>
    <w:rsid w:val="00891BC3"/>
    <w:rsid w:val="00891C10"/>
    <w:rsid w:val="00891EBF"/>
    <w:rsid w:val="00892137"/>
    <w:rsid w:val="00892C7F"/>
    <w:rsid w:val="008935D3"/>
    <w:rsid w:val="0089375B"/>
    <w:rsid w:val="008937B0"/>
    <w:rsid w:val="008937C8"/>
    <w:rsid w:val="008939F0"/>
    <w:rsid w:val="00893B8E"/>
    <w:rsid w:val="00893C24"/>
    <w:rsid w:val="0089449F"/>
    <w:rsid w:val="00894CDF"/>
    <w:rsid w:val="008951F9"/>
    <w:rsid w:val="008955A2"/>
    <w:rsid w:val="00895719"/>
    <w:rsid w:val="0089585D"/>
    <w:rsid w:val="008958B8"/>
    <w:rsid w:val="0089597F"/>
    <w:rsid w:val="00896296"/>
    <w:rsid w:val="008967C4"/>
    <w:rsid w:val="00897110"/>
    <w:rsid w:val="00897424"/>
    <w:rsid w:val="008978E7"/>
    <w:rsid w:val="008979B2"/>
    <w:rsid w:val="008979CE"/>
    <w:rsid w:val="008A02F7"/>
    <w:rsid w:val="008A056B"/>
    <w:rsid w:val="008A05BD"/>
    <w:rsid w:val="008A096F"/>
    <w:rsid w:val="008A0AB3"/>
    <w:rsid w:val="008A0D2A"/>
    <w:rsid w:val="008A0D7B"/>
    <w:rsid w:val="008A1291"/>
    <w:rsid w:val="008A13F1"/>
    <w:rsid w:val="008A1505"/>
    <w:rsid w:val="008A1693"/>
    <w:rsid w:val="008A180B"/>
    <w:rsid w:val="008A191E"/>
    <w:rsid w:val="008A1943"/>
    <w:rsid w:val="008A1AE0"/>
    <w:rsid w:val="008A1BC1"/>
    <w:rsid w:val="008A1FC0"/>
    <w:rsid w:val="008A254F"/>
    <w:rsid w:val="008A2630"/>
    <w:rsid w:val="008A30C2"/>
    <w:rsid w:val="008A31B8"/>
    <w:rsid w:val="008A3223"/>
    <w:rsid w:val="008A3E1F"/>
    <w:rsid w:val="008A41AF"/>
    <w:rsid w:val="008A4709"/>
    <w:rsid w:val="008A48FC"/>
    <w:rsid w:val="008A49F1"/>
    <w:rsid w:val="008A4D33"/>
    <w:rsid w:val="008A4F23"/>
    <w:rsid w:val="008A50AD"/>
    <w:rsid w:val="008A524E"/>
    <w:rsid w:val="008A557C"/>
    <w:rsid w:val="008A56C9"/>
    <w:rsid w:val="008A5731"/>
    <w:rsid w:val="008A5833"/>
    <w:rsid w:val="008A59A5"/>
    <w:rsid w:val="008A59AA"/>
    <w:rsid w:val="008A59B0"/>
    <w:rsid w:val="008A5E7B"/>
    <w:rsid w:val="008A6044"/>
    <w:rsid w:val="008A6A10"/>
    <w:rsid w:val="008A6B94"/>
    <w:rsid w:val="008A6CAA"/>
    <w:rsid w:val="008A7371"/>
    <w:rsid w:val="008A778B"/>
    <w:rsid w:val="008A78E2"/>
    <w:rsid w:val="008A7A2F"/>
    <w:rsid w:val="008B0033"/>
    <w:rsid w:val="008B0152"/>
    <w:rsid w:val="008B0C4B"/>
    <w:rsid w:val="008B0D13"/>
    <w:rsid w:val="008B1169"/>
    <w:rsid w:val="008B1639"/>
    <w:rsid w:val="008B1718"/>
    <w:rsid w:val="008B1FD9"/>
    <w:rsid w:val="008B2D56"/>
    <w:rsid w:val="008B2F38"/>
    <w:rsid w:val="008B383F"/>
    <w:rsid w:val="008B3A88"/>
    <w:rsid w:val="008B3B64"/>
    <w:rsid w:val="008B3C5B"/>
    <w:rsid w:val="008B4645"/>
    <w:rsid w:val="008B46EA"/>
    <w:rsid w:val="008B4BFC"/>
    <w:rsid w:val="008B4D8C"/>
    <w:rsid w:val="008B51B4"/>
    <w:rsid w:val="008B5236"/>
    <w:rsid w:val="008B52CD"/>
    <w:rsid w:val="008B553C"/>
    <w:rsid w:val="008B5B67"/>
    <w:rsid w:val="008B5D7A"/>
    <w:rsid w:val="008B6404"/>
    <w:rsid w:val="008B66E3"/>
    <w:rsid w:val="008B6A1F"/>
    <w:rsid w:val="008B6C60"/>
    <w:rsid w:val="008B70B9"/>
    <w:rsid w:val="008B72AB"/>
    <w:rsid w:val="008B7848"/>
    <w:rsid w:val="008B7962"/>
    <w:rsid w:val="008B7C3E"/>
    <w:rsid w:val="008B7FA9"/>
    <w:rsid w:val="008C0238"/>
    <w:rsid w:val="008C03E5"/>
    <w:rsid w:val="008C042E"/>
    <w:rsid w:val="008C08E2"/>
    <w:rsid w:val="008C0A6D"/>
    <w:rsid w:val="008C0BA0"/>
    <w:rsid w:val="008C0EDC"/>
    <w:rsid w:val="008C140D"/>
    <w:rsid w:val="008C1CFE"/>
    <w:rsid w:val="008C1E05"/>
    <w:rsid w:val="008C1EB4"/>
    <w:rsid w:val="008C20B2"/>
    <w:rsid w:val="008C2213"/>
    <w:rsid w:val="008C254B"/>
    <w:rsid w:val="008C2CD4"/>
    <w:rsid w:val="008C34BB"/>
    <w:rsid w:val="008C3AF7"/>
    <w:rsid w:val="008C45E2"/>
    <w:rsid w:val="008C5961"/>
    <w:rsid w:val="008C5F13"/>
    <w:rsid w:val="008C629A"/>
    <w:rsid w:val="008C633C"/>
    <w:rsid w:val="008C67A3"/>
    <w:rsid w:val="008C6C22"/>
    <w:rsid w:val="008C6DE4"/>
    <w:rsid w:val="008C6FDB"/>
    <w:rsid w:val="008C701E"/>
    <w:rsid w:val="008C7042"/>
    <w:rsid w:val="008C7430"/>
    <w:rsid w:val="008C7489"/>
    <w:rsid w:val="008C7547"/>
    <w:rsid w:val="008C7745"/>
    <w:rsid w:val="008C788E"/>
    <w:rsid w:val="008C7E22"/>
    <w:rsid w:val="008C7F71"/>
    <w:rsid w:val="008D00CB"/>
    <w:rsid w:val="008D0234"/>
    <w:rsid w:val="008D04DA"/>
    <w:rsid w:val="008D04E0"/>
    <w:rsid w:val="008D0559"/>
    <w:rsid w:val="008D1090"/>
    <w:rsid w:val="008D1AE6"/>
    <w:rsid w:val="008D1DF2"/>
    <w:rsid w:val="008D2092"/>
    <w:rsid w:val="008D2368"/>
    <w:rsid w:val="008D296F"/>
    <w:rsid w:val="008D2C53"/>
    <w:rsid w:val="008D304A"/>
    <w:rsid w:val="008D32BE"/>
    <w:rsid w:val="008D3726"/>
    <w:rsid w:val="008D3AED"/>
    <w:rsid w:val="008D3B38"/>
    <w:rsid w:val="008D42A3"/>
    <w:rsid w:val="008D437A"/>
    <w:rsid w:val="008D4AC8"/>
    <w:rsid w:val="008D4CB0"/>
    <w:rsid w:val="008D4CBF"/>
    <w:rsid w:val="008D4E90"/>
    <w:rsid w:val="008D4EF7"/>
    <w:rsid w:val="008D5068"/>
    <w:rsid w:val="008D53D3"/>
    <w:rsid w:val="008D554E"/>
    <w:rsid w:val="008D5A86"/>
    <w:rsid w:val="008D6397"/>
    <w:rsid w:val="008D643B"/>
    <w:rsid w:val="008D6666"/>
    <w:rsid w:val="008D6D6B"/>
    <w:rsid w:val="008D6F84"/>
    <w:rsid w:val="008D7377"/>
    <w:rsid w:val="008D73C9"/>
    <w:rsid w:val="008D7419"/>
    <w:rsid w:val="008D7C93"/>
    <w:rsid w:val="008E0831"/>
    <w:rsid w:val="008E0F3D"/>
    <w:rsid w:val="008E12A1"/>
    <w:rsid w:val="008E13EB"/>
    <w:rsid w:val="008E16BF"/>
    <w:rsid w:val="008E1EF0"/>
    <w:rsid w:val="008E1F67"/>
    <w:rsid w:val="008E231A"/>
    <w:rsid w:val="008E2664"/>
    <w:rsid w:val="008E289A"/>
    <w:rsid w:val="008E2A78"/>
    <w:rsid w:val="008E2B43"/>
    <w:rsid w:val="008E2C83"/>
    <w:rsid w:val="008E2EF8"/>
    <w:rsid w:val="008E3049"/>
    <w:rsid w:val="008E318B"/>
    <w:rsid w:val="008E3225"/>
    <w:rsid w:val="008E3488"/>
    <w:rsid w:val="008E35A3"/>
    <w:rsid w:val="008E3ABD"/>
    <w:rsid w:val="008E3CF8"/>
    <w:rsid w:val="008E3DD7"/>
    <w:rsid w:val="008E40DA"/>
    <w:rsid w:val="008E4440"/>
    <w:rsid w:val="008E478D"/>
    <w:rsid w:val="008E514B"/>
    <w:rsid w:val="008E5925"/>
    <w:rsid w:val="008E64BB"/>
    <w:rsid w:val="008E6866"/>
    <w:rsid w:val="008E6897"/>
    <w:rsid w:val="008E6D0A"/>
    <w:rsid w:val="008E6E38"/>
    <w:rsid w:val="008E7247"/>
    <w:rsid w:val="008E7274"/>
    <w:rsid w:val="008E7574"/>
    <w:rsid w:val="008E76B9"/>
    <w:rsid w:val="008E7B06"/>
    <w:rsid w:val="008F0562"/>
    <w:rsid w:val="008F098F"/>
    <w:rsid w:val="008F0A43"/>
    <w:rsid w:val="008F0BA9"/>
    <w:rsid w:val="008F117E"/>
    <w:rsid w:val="008F11BF"/>
    <w:rsid w:val="008F173E"/>
    <w:rsid w:val="008F1772"/>
    <w:rsid w:val="008F2405"/>
    <w:rsid w:val="008F2407"/>
    <w:rsid w:val="008F25CE"/>
    <w:rsid w:val="008F260B"/>
    <w:rsid w:val="008F288A"/>
    <w:rsid w:val="008F2A69"/>
    <w:rsid w:val="008F2AB3"/>
    <w:rsid w:val="008F2B66"/>
    <w:rsid w:val="008F2F32"/>
    <w:rsid w:val="008F3607"/>
    <w:rsid w:val="008F372D"/>
    <w:rsid w:val="008F408D"/>
    <w:rsid w:val="008F445E"/>
    <w:rsid w:val="008F44A9"/>
    <w:rsid w:val="008F45E0"/>
    <w:rsid w:val="008F474C"/>
    <w:rsid w:val="008F484C"/>
    <w:rsid w:val="008F4B31"/>
    <w:rsid w:val="008F59C5"/>
    <w:rsid w:val="008F5B6F"/>
    <w:rsid w:val="008F5D7B"/>
    <w:rsid w:val="008F5D92"/>
    <w:rsid w:val="008F5F9E"/>
    <w:rsid w:val="008F5FBD"/>
    <w:rsid w:val="008F6385"/>
    <w:rsid w:val="008F6639"/>
    <w:rsid w:val="008F674B"/>
    <w:rsid w:val="008F7289"/>
    <w:rsid w:val="008F73A3"/>
    <w:rsid w:val="008F79B8"/>
    <w:rsid w:val="008F7C9C"/>
    <w:rsid w:val="008F7F64"/>
    <w:rsid w:val="009000B5"/>
    <w:rsid w:val="00900463"/>
    <w:rsid w:val="00900487"/>
    <w:rsid w:val="0090098C"/>
    <w:rsid w:val="00900BDC"/>
    <w:rsid w:val="00900D5B"/>
    <w:rsid w:val="00900F8A"/>
    <w:rsid w:val="009011E7"/>
    <w:rsid w:val="009014F5"/>
    <w:rsid w:val="00901782"/>
    <w:rsid w:val="00901AED"/>
    <w:rsid w:val="009023EF"/>
    <w:rsid w:val="00902719"/>
    <w:rsid w:val="009029C7"/>
    <w:rsid w:val="00902C26"/>
    <w:rsid w:val="00902E0E"/>
    <w:rsid w:val="00902F46"/>
    <w:rsid w:val="00903056"/>
    <w:rsid w:val="009037B6"/>
    <w:rsid w:val="00903A0E"/>
    <w:rsid w:val="00903C5B"/>
    <w:rsid w:val="00903EC7"/>
    <w:rsid w:val="00904056"/>
    <w:rsid w:val="00904624"/>
    <w:rsid w:val="009046C5"/>
    <w:rsid w:val="00904A18"/>
    <w:rsid w:val="00904E7D"/>
    <w:rsid w:val="00905069"/>
    <w:rsid w:val="009057F8"/>
    <w:rsid w:val="00905A3F"/>
    <w:rsid w:val="00905C7C"/>
    <w:rsid w:val="009060FC"/>
    <w:rsid w:val="00906560"/>
    <w:rsid w:val="009069B0"/>
    <w:rsid w:val="00906D9D"/>
    <w:rsid w:val="00906E65"/>
    <w:rsid w:val="009072B0"/>
    <w:rsid w:val="00910B14"/>
    <w:rsid w:val="00910B67"/>
    <w:rsid w:val="00910B9D"/>
    <w:rsid w:val="00910BBF"/>
    <w:rsid w:val="00910ECE"/>
    <w:rsid w:val="00911A16"/>
    <w:rsid w:val="00912686"/>
    <w:rsid w:val="00912808"/>
    <w:rsid w:val="00912854"/>
    <w:rsid w:val="00912A72"/>
    <w:rsid w:val="00912BB0"/>
    <w:rsid w:val="00912F8F"/>
    <w:rsid w:val="0091347C"/>
    <w:rsid w:val="00913532"/>
    <w:rsid w:val="00914172"/>
    <w:rsid w:val="009144D5"/>
    <w:rsid w:val="00914517"/>
    <w:rsid w:val="009145E0"/>
    <w:rsid w:val="0091489A"/>
    <w:rsid w:val="00915905"/>
    <w:rsid w:val="00915EAA"/>
    <w:rsid w:val="00915F98"/>
    <w:rsid w:val="00915FA3"/>
    <w:rsid w:val="00916421"/>
    <w:rsid w:val="009167A6"/>
    <w:rsid w:val="00916853"/>
    <w:rsid w:val="0091697A"/>
    <w:rsid w:val="00916CA8"/>
    <w:rsid w:val="00916D06"/>
    <w:rsid w:val="00916FA4"/>
    <w:rsid w:val="0091705B"/>
    <w:rsid w:val="00917B97"/>
    <w:rsid w:val="009202EF"/>
    <w:rsid w:val="00920633"/>
    <w:rsid w:val="009209FC"/>
    <w:rsid w:val="00920C25"/>
    <w:rsid w:val="00920C76"/>
    <w:rsid w:val="0092146E"/>
    <w:rsid w:val="00921714"/>
    <w:rsid w:val="009217F8"/>
    <w:rsid w:val="009219F8"/>
    <w:rsid w:val="00921C9F"/>
    <w:rsid w:val="00922222"/>
    <w:rsid w:val="00922560"/>
    <w:rsid w:val="00922B11"/>
    <w:rsid w:val="00922E72"/>
    <w:rsid w:val="00922EB1"/>
    <w:rsid w:val="00923038"/>
    <w:rsid w:val="009233E8"/>
    <w:rsid w:val="0092350A"/>
    <w:rsid w:val="00923592"/>
    <w:rsid w:val="009242DB"/>
    <w:rsid w:val="0092470E"/>
    <w:rsid w:val="00924A99"/>
    <w:rsid w:val="00924AC7"/>
    <w:rsid w:val="00924ECE"/>
    <w:rsid w:val="00925187"/>
    <w:rsid w:val="00925D1B"/>
    <w:rsid w:val="00925E01"/>
    <w:rsid w:val="00926341"/>
    <w:rsid w:val="00926715"/>
    <w:rsid w:val="0092682B"/>
    <w:rsid w:val="00926CA1"/>
    <w:rsid w:val="00926D93"/>
    <w:rsid w:val="0092709C"/>
    <w:rsid w:val="0092717F"/>
    <w:rsid w:val="009273C9"/>
    <w:rsid w:val="00927744"/>
    <w:rsid w:val="00927770"/>
    <w:rsid w:val="00927B05"/>
    <w:rsid w:val="00927BC4"/>
    <w:rsid w:val="0093092B"/>
    <w:rsid w:val="00930BF2"/>
    <w:rsid w:val="00930F4E"/>
    <w:rsid w:val="00931615"/>
    <w:rsid w:val="00931659"/>
    <w:rsid w:val="0093175E"/>
    <w:rsid w:val="00931942"/>
    <w:rsid w:val="00931E3E"/>
    <w:rsid w:val="00931EEF"/>
    <w:rsid w:val="009320C3"/>
    <w:rsid w:val="009324AA"/>
    <w:rsid w:val="00932DFD"/>
    <w:rsid w:val="00933279"/>
    <w:rsid w:val="00933506"/>
    <w:rsid w:val="00934CE8"/>
    <w:rsid w:val="00935076"/>
    <w:rsid w:val="00935861"/>
    <w:rsid w:val="0093589F"/>
    <w:rsid w:val="00935A70"/>
    <w:rsid w:val="00935E71"/>
    <w:rsid w:val="00935F67"/>
    <w:rsid w:val="00936062"/>
    <w:rsid w:val="00936B74"/>
    <w:rsid w:val="009377CE"/>
    <w:rsid w:val="00937A6A"/>
    <w:rsid w:val="00937A81"/>
    <w:rsid w:val="00937CBE"/>
    <w:rsid w:val="0094011E"/>
    <w:rsid w:val="009404B7"/>
    <w:rsid w:val="009405CD"/>
    <w:rsid w:val="009409E4"/>
    <w:rsid w:val="009409EF"/>
    <w:rsid w:val="00940BF4"/>
    <w:rsid w:val="00941662"/>
    <w:rsid w:val="00941982"/>
    <w:rsid w:val="00942126"/>
    <w:rsid w:val="009421D6"/>
    <w:rsid w:val="00942669"/>
    <w:rsid w:val="009429C4"/>
    <w:rsid w:val="009429FD"/>
    <w:rsid w:val="009430D4"/>
    <w:rsid w:val="00943AEA"/>
    <w:rsid w:val="00943C46"/>
    <w:rsid w:val="00943C85"/>
    <w:rsid w:val="00944033"/>
    <w:rsid w:val="00944087"/>
    <w:rsid w:val="00944232"/>
    <w:rsid w:val="00944303"/>
    <w:rsid w:val="0094430F"/>
    <w:rsid w:val="0094452B"/>
    <w:rsid w:val="0094470B"/>
    <w:rsid w:val="00944780"/>
    <w:rsid w:val="0094488D"/>
    <w:rsid w:val="00944CFC"/>
    <w:rsid w:val="00944E0C"/>
    <w:rsid w:val="00944E74"/>
    <w:rsid w:val="009450E1"/>
    <w:rsid w:val="009453BE"/>
    <w:rsid w:val="009457E0"/>
    <w:rsid w:val="00945D39"/>
    <w:rsid w:val="00945F78"/>
    <w:rsid w:val="0094628B"/>
    <w:rsid w:val="0094718F"/>
    <w:rsid w:val="00947BBD"/>
    <w:rsid w:val="00947FF7"/>
    <w:rsid w:val="0095012E"/>
    <w:rsid w:val="009507A3"/>
    <w:rsid w:val="00950CD0"/>
    <w:rsid w:val="0095153F"/>
    <w:rsid w:val="009516EB"/>
    <w:rsid w:val="009518B1"/>
    <w:rsid w:val="00951934"/>
    <w:rsid w:val="00951EFF"/>
    <w:rsid w:val="0095207B"/>
    <w:rsid w:val="0095227F"/>
    <w:rsid w:val="00952465"/>
    <w:rsid w:val="0095279F"/>
    <w:rsid w:val="00952AB9"/>
    <w:rsid w:val="00952CA1"/>
    <w:rsid w:val="00953006"/>
    <w:rsid w:val="009530EA"/>
    <w:rsid w:val="00953365"/>
    <w:rsid w:val="009541AB"/>
    <w:rsid w:val="00954510"/>
    <w:rsid w:val="0095454C"/>
    <w:rsid w:val="00954C8C"/>
    <w:rsid w:val="00955EAE"/>
    <w:rsid w:val="00955FCD"/>
    <w:rsid w:val="009561DD"/>
    <w:rsid w:val="00956ACE"/>
    <w:rsid w:val="009570D7"/>
    <w:rsid w:val="0095712C"/>
    <w:rsid w:val="009572A0"/>
    <w:rsid w:val="00957370"/>
    <w:rsid w:val="0095797C"/>
    <w:rsid w:val="00957CBA"/>
    <w:rsid w:val="00957D24"/>
    <w:rsid w:val="00957FE8"/>
    <w:rsid w:val="00957FF2"/>
    <w:rsid w:val="00960037"/>
    <w:rsid w:val="009600A4"/>
    <w:rsid w:val="00960A84"/>
    <w:rsid w:val="00960DCF"/>
    <w:rsid w:val="00961140"/>
    <w:rsid w:val="009614F4"/>
    <w:rsid w:val="009615CB"/>
    <w:rsid w:val="0096162B"/>
    <w:rsid w:val="0096166A"/>
    <w:rsid w:val="00961979"/>
    <w:rsid w:val="00961B53"/>
    <w:rsid w:val="00961D66"/>
    <w:rsid w:val="00961E47"/>
    <w:rsid w:val="00961F1A"/>
    <w:rsid w:val="00962314"/>
    <w:rsid w:val="009624D4"/>
    <w:rsid w:val="00962D55"/>
    <w:rsid w:val="00962F8E"/>
    <w:rsid w:val="00963264"/>
    <w:rsid w:val="0096333C"/>
    <w:rsid w:val="009633F7"/>
    <w:rsid w:val="0096343D"/>
    <w:rsid w:val="00963826"/>
    <w:rsid w:val="0096389D"/>
    <w:rsid w:val="00963C13"/>
    <w:rsid w:val="0096535A"/>
    <w:rsid w:val="00965C80"/>
    <w:rsid w:val="00965F6A"/>
    <w:rsid w:val="00966581"/>
    <w:rsid w:val="00966A60"/>
    <w:rsid w:val="00966D46"/>
    <w:rsid w:val="00966D52"/>
    <w:rsid w:val="00967549"/>
    <w:rsid w:val="009676C0"/>
    <w:rsid w:val="0097026D"/>
    <w:rsid w:val="00970812"/>
    <w:rsid w:val="00970C63"/>
    <w:rsid w:val="009712B4"/>
    <w:rsid w:val="009718A1"/>
    <w:rsid w:val="009719AB"/>
    <w:rsid w:val="009721AA"/>
    <w:rsid w:val="00972408"/>
    <w:rsid w:val="00972530"/>
    <w:rsid w:val="00972603"/>
    <w:rsid w:val="00972803"/>
    <w:rsid w:val="00972DD1"/>
    <w:rsid w:val="00972E41"/>
    <w:rsid w:val="00972E47"/>
    <w:rsid w:val="00973194"/>
    <w:rsid w:val="0097322B"/>
    <w:rsid w:val="0097406D"/>
    <w:rsid w:val="00974087"/>
    <w:rsid w:val="00974107"/>
    <w:rsid w:val="009746FF"/>
    <w:rsid w:val="00974C38"/>
    <w:rsid w:val="00975189"/>
    <w:rsid w:val="00975609"/>
    <w:rsid w:val="009756C5"/>
    <w:rsid w:val="0097598B"/>
    <w:rsid w:val="009759D5"/>
    <w:rsid w:val="00975CB5"/>
    <w:rsid w:val="00976471"/>
    <w:rsid w:val="00976831"/>
    <w:rsid w:val="00976882"/>
    <w:rsid w:val="00976AEF"/>
    <w:rsid w:val="00976F9B"/>
    <w:rsid w:val="009775BA"/>
    <w:rsid w:val="009777F5"/>
    <w:rsid w:val="009779C6"/>
    <w:rsid w:val="00977A28"/>
    <w:rsid w:val="00977B5A"/>
    <w:rsid w:val="00977F15"/>
    <w:rsid w:val="00980041"/>
    <w:rsid w:val="009803A9"/>
    <w:rsid w:val="009803BA"/>
    <w:rsid w:val="009803CB"/>
    <w:rsid w:val="009803D4"/>
    <w:rsid w:val="00980575"/>
    <w:rsid w:val="0098076B"/>
    <w:rsid w:val="009807A2"/>
    <w:rsid w:val="0098093A"/>
    <w:rsid w:val="00980BC1"/>
    <w:rsid w:val="009811B3"/>
    <w:rsid w:val="00981907"/>
    <w:rsid w:val="0098199C"/>
    <w:rsid w:val="00981C24"/>
    <w:rsid w:val="00982094"/>
    <w:rsid w:val="00982202"/>
    <w:rsid w:val="00982381"/>
    <w:rsid w:val="0098256E"/>
    <w:rsid w:val="0098268D"/>
    <w:rsid w:val="00982823"/>
    <w:rsid w:val="0098316D"/>
    <w:rsid w:val="00983243"/>
    <w:rsid w:val="00983698"/>
    <w:rsid w:val="00984001"/>
    <w:rsid w:val="0098458A"/>
    <w:rsid w:val="00984A42"/>
    <w:rsid w:val="00984B4E"/>
    <w:rsid w:val="00984CFB"/>
    <w:rsid w:val="0098528F"/>
    <w:rsid w:val="00985996"/>
    <w:rsid w:val="00985B95"/>
    <w:rsid w:val="00986591"/>
    <w:rsid w:val="00986622"/>
    <w:rsid w:val="0098683E"/>
    <w:rsid w:val="009871CC"/>
    <w:rsid w:val="009873D8"/>
    <w:rsid w:val="009873F3"/>
    <w:rsid w:val="00987715"/>
    <w:rsid w:val="00990681"/>
    <w:rsid w:val="00990CE9"/>
    <w:rsid w:val="00990D84"/>
    <w:rsid w:val="0099111D"/>
    <w:rsid w:val="009911EF"/>
    <w:rsid w:val="0099125E"/>
    <w:rsid w:val="009912FB"/>
    <w:rsid w:val="009913AC"/>
    <w:rsid w:val="00991763"/>
    <w:rsid w:val="00991AF3"/>
    <w:rsid w:val="00991DFA"/>
    <w:rsid w:val="009921FE"/>
    <w:rsid w:val="00992216"/>
    <w:rsid w:val="00992899"/>
    <w:rsid w:val="00992A8C"/>
    <w:rsid w:val="00992B51"/>
    <w:rsid w:val="00992E23"/>
    <w:rsid w:val="00992FC1"/>
    <w:rsid w:val="00993441"/>
    <w:rsid w:val="00993773"/>
    <w:rsid w:val="00993F79"/>
    <w:rsid w:val="009944F7"/>
    <w:rsid w:val="009945A7"/>
    <w:rsid w:val="0099466D"/>
    <w:rsid w:val="00994D5F"/>
    <w:rsid w:val="00994E42"/>
    <w:rsid w:val="0099594C"/>
    <w:rsid w:val="009959D5"/>
    <w:rsid w:val="00995E5F"/>
    <w:rsid w:val="00995E98"/>
    <w:rsid w:val="00995F29"/>
    <w:rsid w:val="00995F5D"/>
    <w:rsid w:val="009966F6"/>
    <w:rsid w:val="0099697E"/>
    <w:rsid w:val="00996A07"/>
    <w:rsid w:val="00996AA0"/>
    <w:rsid w:val="00996C43"/>
    <w:rsid w:val="00996F15"/>
    <w:rsid w:val="00997629"/>
    <w:rsid w:val="00997B01"/>
    <w:rsid w:val="00997BA8"/>
    <w:rsid w:val="00997E68"/>
    <w:rsid w:val="00997F68"/>
    <w:rsid w:val="009A0132"/>
    <w:rsid w:val="009A06F4"/>
    <w:rsid w:val="009A0ED6"/>
    <w:rsid w:val="009A13B3"/>
    <w:rsid w:val="009A17D2"/>
    <w:rsid w:val="009A1A48"/>
    <w:rsid w:val="009A1F9E"/>
    <w:rsid w:val="009A2046"/>
    <w:rsid w:val="009A21FE"/>
    <w:rsid w:val="009A2D1A"/>
    <w:rsid w:val="009A2D35"/>
    <w:rsid w:val="009A2FBD"/>
    <w:rsid w:val="009A3010"/>
    <w:rsid w:val="009A3608"/>
    <w:rsid w:val="009A3743"/>
    <w:rsid w:val="009A3778"/>
    <w:rsid w:val="009A3E2E"/>
    <w:rsid w:val="009A4002"/>
    <w:rsid w:val="009A437A"/>
    <w:rsid w:val="009A4588"/>
    <w:rsid w:val="009A47A5"/>
    <w:rsid w:val="009A4975"/>
    <w:rsid w:val="009A4E7B"/>
    <w:rsid w:val="009A4F46"/>
    <w:rsid w:val="009A4F56"/>
    <w:rsid w:val="009A5170"/>
    <w:rsid w:val="009A5291"/>
    <w:rsid w:val="009A592C"/>
    <w:rsid w:val="009A5948"/>
    <w:rsid w:val="009A5C08"/>
    <w:rsid w:val="009A5C09"/>
    <w:rsid w:val="009A611D"/>
    <w:rsid w:val="009A6680"/>
    <w:rsid w:val="009A6DF7"/>
    <w:rsid w:val="009A6E61"/>
    <w:rsid w:val="009A79DC"/>
    <w:rsid w:val="009A7A78"/>
    <w:rsid w:val="009A7CAF"/>
    <w:rsid w:val="009A7F34"/>
    <w:rsid w:val="009B0138"/>
    <w:rsid w:val="009B0426"/>
    <w:rsid w:val="009B047E"/>
    <w:rsid w:val="009B08F3"/>
    <w:rsid w:val="009B11AE"/>
    <w:rsid w:val="009B12DD"/>
    <w:rsid w:val="009B1D0D"/>
    <w:rsid w:val="009B1FD8"/>
    <w:rsid w:val="009B2180"/>
    <w:rsid w:val="009B2245"/>
    <w:rsid w:val="009B258E"/>
    <w:rsid w:val="009B2ADD"/>
    <w:rsid w:val="009B32CC"/>
    <w:rsid w:val="009B36A3"/>
    <w:rsid w:val="009B3978"/>
    <w:rsid w:val="009B3CCD"/>
    <w:rsid w:val="009B45BD"/>
    <w:rsid w:val="009B478F"/>
    <w:rsid w:val="009B4BC9"/>
    <w:rsid w:val="009B4CC5"/>
    <w:rsid w:val="009B5211"/>
    <w:rsid w:val="009B52AC"/>
    <w:rsid w:val="009B52B0"/>
    <w:rsid w:val="009B538E"/>
    <w:rsid w:val="009B5997"/>
    <w:rsid w:val="009B5ADB"/>
    <w:rsid w:val="009B5ECA"/>
    <w:rsid w:val="009B6198"/>
    <w:rsid w:val="009B65F1"/>
    <w:rsid w:val="009B67DA"/>
    <w:rsid w:val="009B6B23"/>
    <w:rsid w:val="009B6BFA"/>
    <w:rsid w:val="009B70EA"/>
    <w:rsid w:val="009B75FD"/>
    <w:rsid w:val="009B7ABD"/>
    <w:rsid w:val="009B7DEC"/>
    <w:rsid w:val="009C0156"/>
    <w:rsid w:val="009C034B"/>
    <w:rsid w:val="009C0455"/>
    <w:rsid w:val="009C095B"/>
    <w:rsid w:val="009C1397"/>
    <w:rsid w:val="009C1695"/>
    <w:rsid w:val="009C16CF"/>
    <w:rsid w:val="009C1D27"/>
    <w:rsid w:val="009C1ED7"/>
    <w:rsid w:val="009C2B03"/>
    <w:rsid w:val="009C310E"/>
    <w:rsid w:val="009C340B"/>
    <w:rsid w:val="009C377B"/>
    <w:rsid w:val="009C37E1"/>
    <w:rsid w:val="009C3BCC"/>
    <w:rsid w:val="009C3BD9"/>
    <w:rsid w:val="009C3EDD"/>
    <w:rsid w:val="009C3EF3"/>
    <w:rsid w:val="009C3FB7"/>
    <w:rsid w:val="009C40D8"/>
    <w:rsid w:val="009C42BA"/>
    <w:rsid w:val="009C479A"/>
    <w:rsid w:val="009C4B60"/>
    <w:rsid w:val="009C4D49"/>
    <w:rsid w:val="009C570A"/>
    <w:rsid w:val="009C58E9"/>
    <w:rsid w:val="009C5902"/>
    <w:rsid w:val="009C5B82"/>
    <w:rsid w:val="009C5E83"/>
    <w:rsid w:val="009C5F16"/>
    <w:rsid w:val="009C5F92"/>
    <w:rsid w:val="009C5FDA"/>
    <w:rsid w:val="009C6025"/>
    <w:rsid w:val="009C63D3"/>
    <w:rsid w:val="009C654A"/>
    <w:rsid w:val="009C6593"/>
    <w:rsid w:val="009C712F"/>
    <w:rsid w:val="009C71BC"/>
    <w:rsid w:val="009C756E"/>
    <w:rsid w:val="009D0008"/>
    <w:rsid w:val="009D055A"/>
    <w:rsid w:val="009D09D3"/>
    <w:rsid w:val="009D1CB8"/>
    <w:rsid w:val="009D2042"/>
    <w:rsid w:val="009D2124"/>
    <w:rsid w:val="009D21BE"/>
    <w:rsid w:val="009D223A"/>
    <w:rsid w:val="009D23A7"/>
    <w:rsid w:val="009D2B70"/>
    <w:rsid w:val="009D2DC1"/>
    <w:rsid w:val="009D340A"/>
    <w:rsid w:val="009D34AB"/>
    <w:rsid w:val="009D3C3D"/>
    <w:rsid w:val="009D3D5C"/>
    <w:rsid w:val="009D4674"/>
    <w:rsid w:val="009D4936"/>
    <w:rsid w:val="009D4C94"/>
    <w:rsid w:val="009D4D20"/>
    <w:rsid w:val="009D5288"/>
    <w:rsid w:val="009D55C0"/>
    <w:rsid w:val="009D584F"/>
    <w:rsid w:val="009D5ABA"/>
    <w:rsid w:val="009D5C74"/>
    <w:rsid w:val="009D5E8E"/>
    <w:rsid w:val="009D62B2"/>
    <w:rsid w:val="009D63B3"/>
    <w:rsid w:val="009D6F5F"/>
    <w:rsid w:val="009D777C"/>
    <w:rsid w:val="009D7D61"/>
    <w:rsid w:val="009E11B0"/>
    <w:rsid w:val="009E161B"/>
    <w:rsid w:val="009E17E9"/>
    <w:rsid w:val="009E19EA"/>
    <w:rsid w:val="009E25B9"/>
    <w:rsid w:val="009E2AD3"/>
    <w:rsid w:val="009E2EDE"/>
    <w:rsid w:val="009E326B"/>
    <w:rsid w:val="009E347A"/>
    <w:rsid w:val="009E357D"/>
    <w:rsid w:val="009E3AF0"/>
    <w:rsid w:val="009E3B87"/>
    <w:rsid w:val="009E3BEA"/>
    <w:rsid w:val="009E3C80"/>
    <w:rsid w:val="009E46C1"/>
    <w:rsid w:val="009E475D"/>
    <w:rsid w:val="009E47E5"/>
    <w:rsid w:val="009E4A76"/>
    <w:rsid w:val="009E4A96"/>
    <w:rsid w:val="009E59DE"/>
    <w:rsid w:val="009E5A79"/>
    <w:rsid w:val="009E5B24"/>
    <w:rsid w:val="009E5CBB"/>
    <w:rsid w:val="009E5FC4"/>
    <w:rsid w:val="009E6118"/>
    <w:rsid w:val="009E6123"/>
    <w:rsid w:val="009E64F6"/>
    <w:rsid w:val="009E6BE5"/>
    <w:rsid w:val="009E7142"/>
    <w:rsid w:val="009E77AA"/>
    <w:rsid w:val="009E7924"/>
    <w:rsid w:val="009E7C34"/>
    <w:rsid w:val="009E7D11"/>
    <w:rsid w:val="009F077A"/>
    <w:rsid w:val="009F0B5C"/>
    <w:rsid w:val="009F0CB6"/>
    <w:rsid w:val="009F0EB6"/>
    <w:rsid w:val="009F1067"/>
    <w:rsid w:val="009F11DB"/>
    <w:rsid w:val="009F120F"/>
    <w:rsid w:val="009F146F"/>
    <w:rsid w:val="009F1B09"/>
    <w:rsid w:val="009F23EC"/>
    <w:rsid w:val="009F2B70"/>
    <w:rsid w:val="009F2D45"/>
    <w:rsid w:val="009F3527"/>
    <w:rsid w:val="009F37E4"/>
    <w:rsid w:val="009F3C75"/>
    <w:rsid w:val="009F4020"/>
    <w:rsid w:val="009F46BF"/>
    <w:rsid w:val="009F4EB3"/>
    <w:rsid w:val="009F5C5F"/>
    <w:rsid w:val="009F5D26"/>
    <w:rsid w:val="009F6266"/>
    <w:rsid w:val="009F62CC"/>
    <w:rsid w:val="009F6427"/>
    <w:rsid w:val="009F6578"/>
    <w:rsid w:val="009F68F5"/>
    <w:rsid w:val="009F7007"/>
    <w:rsid w:val="009F7082"/>
    <w:rsid w:val="009F7127"/>
    <w:rsid w:val="009F75FB"/>
    <w:rsid w:val="009F7763"/>
    <w:rsid w:val="009F778A"/>
    <w:rsid w:val="00A00301"/>
    <w:rsid w:val="00A0037E"/>
    <w:rsid w:val="00A0041E"/>
    <w:rsid w:val="00A008AD"/>
    <w:rsid w:val="00A010A9"/>
    <w:rsid w:val="00A01303"/>
    <w:rsid w:val="00A013EA"/>
    <w:rsid w:val="00A01906"/>
    <w:rsid w:val="00A01973"/>
    <w:rsid w:val="00A01AE3"/>
    <w:rsid w:val="00A0228B"/>
    <w:rsid w:val="00A02404"/>
    <w:rsid w:val="00A0248C"/>
    <w:rsid w:val="00A02859"/>
    <w:rsid w:val="00A02C4F"/>
    <w:rsid w:val="00A03058"/>
    <w:rsid w:val="00A0348A"/>
    <w:rsid w:val="00A03624"/>
    <w:rsid w:val="00A037D2"/>
    <w:rsid w:val="00A038BD"/>
    <w:rsid w:val="00A03A41"/>
    <w:rsid w:val="00A03B2F"/>
    <w:rsid w:val="00A03C43"/>
    <w:rsid w:val="00A03D07"/>
    <w:rsid w:val="00A042E6"/>
    <w:rsid w:val="00A0488D"/>
    <w:rsid w:val="00A04923"/>
    <w:rsid w:val="00A04A09"/>
    <w:rsid w:val="00A04CEA"/>
    <w:rsid w:val="00A04ED6"/>
    <w:rsid w:val="00A0548F"/>
    <w:rsid w:val="00A05821"/>
    <w:rsid w:val="00A05AB3"/>
    <w:rsid w:val="00A05B65"/>
    <w:rsid w:val="00A05C5D"/>
    <w:rsid w:val="00A05D1D"/>
    <w:rsid w:val="00A05E46"/>
    <w:rsid w:val="00A05EA2"/>
    <w:rsid w:val="00A0611C"/>
    <w:rsid w:val="00A0616D"/>
    <w:rsid w:val="00A0662A"/>
    <w:rsid w:val="00A06C74"/>
    <w:rsid w:val="00A06E0B"/>
    <w:rsid w:val="00A06EC6"/>
    <w:rsid w:val="00A070DB"/>
    <w:rsid w:val="00A0718D"/>
    <w:rsid w:val="00A075F3"/>
    <w:rsid w:val="00A07673"/>
    <w:rsid w:val="00A076CC"/>
    <w:rsid w:val="00A104DC"/>
    <w:rsid w:val="00A105A5"/>
    <w:rsid w:val="00A10864"/>
    <w:rsid w:val="00A10914"/>
    <w:rsid w:val="00A10E83"/>
    <w:rsid w:val="00A11099"/>
    <w:rsid w:val="00A11164"/>
    <w:rsid w:val="00A1165C"/>
    <w:rsid w:val="00A11732"/>
    <w:rsid w:val="00A11A24"/>
    <w:rsid w:val="00A11FB6"/>
    <w:rsid w:val="00A12213"/>
    <w:rsid w:val="00A125D6"/>
    <w:rsid w:val="00A12906"/>
    <w:rsid w:val="00A12AC8"/>
    <w:rsid w:val="00A12EB2"/>
    <w:rsid w:val="00A130E7"/>
    <w:rsid w:val="00A13153"/>
    <w:rsid w:val="00A131BE"/>
    <w:rsid w:val="00A1343E"/>
    <w:rsid w:val="00A13537"/>
    <w:rsid w:val="00A13854"/>
    <w:rsid w:val="00A13D31"/>
    <w:rsid w:val="00A14035"/>
    <w:rsid w:val="00A14312"/>
    <w:rsid w:val="00A14B7F"/>
    <w:rsid w:val="00A14E00"/>
    <w:rsid w:val="00A14E53"/>
    <w:rsid w:val="00A14F5A"/>
    <w:rsid w:val="00A15580"/>
    <w:rsid w:val="00A15860"/>
    <w:rsid w:val="00A15F78"/>
    <w:rsid w:val="00A1639D"/>
    <w:rsid w:val="00A163A6"/>
    <w:rsid w:val="00A16449"/>
    <w:rsid w:val="00A16D87"/>
    <w:rsid w:val="00A1717A"/>
    <w:rsid w:val="00A172C3"/>
    <w:rsid w:val="00A1736E"/>
    <w:rsid w:val="00A17DCE"/>
    <w:rsid w:val="00A17E9F"/>
    <w:rsid w:val="00A18CC5"/>
    <w:rsid w:val="00A2005F"/>
    <w:rsid w:val="00A20082"/>
    <w:rsid w:val="00A208F9"/>
    <w:rsid w:val="00A209B2"/>
    <w:rsid w:val="00A20D9F"/>
    <w:rsid w:val="00A219FB"/>
    <w:rsid w:val="00A21B1A"/>
    <w:rsid w:val="00A21BC6"/>
    <w:rsid w:val="00A222D1"/>
    <w:rsid w:val="00A22755"/>
    <w:rsid w:val="00A22BD0"/>
    <w:rsid w:val="00A22EFC"/>
    <w:rsid w:val="00A22FBC"/>
    <w:rsid w:val="00A23394"/>
    <w:rsid w:val="00A23424"/>
    <w:rsid w:val="00A236B8"/>
    <w:rsid w:val="00A23888"/>
    <w:rsid w:val="00A23896"/>
    <w:rsid w:val="00A23B8A"/>
    <w:rsid w:val="00A23C90"/>
    <w:rsid w:val="00A23FC9"/>
    <w:rsid w:val="00A247F3"/>
    <w:rsid w:val="00A24E5C"/>
    <w:rsid w:val="00A24F51"/>
    <w:rsid w:val="00A252FB"/>
    <w:rsid w:val="00A2557A"/>
    <w:rsid w:val="00A25A85"/>
    <w:rsid w:val="00A25AD7"/>
    <w:rsid w:val="00A25B79"/>
    <w:rsid w:val="00A25EA2"/>
    <w:rsid w:val="00A25EEF"/>
    <w:rsid w:val="00A26022"/>
    <w:rsid w:val="00A261C8"/>
    <w:rsid w:val="00A26389"/>
    <w:rsid w:val="00A270E8"/>
    <w:rsid w:val="00A27240"/>
    <w:rsid w:val="00A276DE"/>
    <w:rsid w:val="00A303B8"/>
    <w:rsid w:val="00A30527"/>
    <w:rsid w:val="00A3108C"/>
    <w:rsid w:val="00A3157B"/>
    <w:rsid w:val="00A319E9"/>
    <w:rsid w:val="00A31B3D"/>
    <w:rsid w:val="00A31FA2"/>
    <w:rsid w:val="00A3259C"/>
    <w:rsid w:val="00A32CC8"/>
    <w:rsid w:val="00A32D3D"/>
    <w:rsid w:val="00A331B2"/>
    <w:rsid w:val="00A33E32"/>
    <w:rsid w:val="00A342B1"/>
    <w:rsid w:val="00A343F1"/>
    <w:rsid w:val="00A345BF"/>
    <w:rsid w:val="00A34B31"/>
    <w:rsid w:val="00A34B64"/>
    <w:rsid w:val="00A35791"/>
    <w:rsid w:val="00A35CEB"/>
    <w:rsid w:val="00A361C3"/>
    <w:rsid w:val="00A3675D"/>
    <w:rsid w:val="00A36939"/>
    <w:rsid w:val="00A36EFB"/>
    <w:rsid w:val="00A36F57"/>
    <w:rsid w:val="00A370CA"/>
    <w:rsid w:val="00A3718B"/>
    <w:rsid w:val="00A37C67"/>
    <w:rsid w:val="00A37F45"/>
    <w:rsid w:val="00A410F2"/>
    <w:rsid w:val="00A411FA"/>
    <w:rsid w:val="00A4135A"/>
    <w:rsid w:val="00A41421"/>
    <w:rsid w:val="00A41BE5"/>
    <w:rsid w:val="00A41E15"/>
    <w:rsid w:val="00A41E57"/>
    <w:rsid w:val="00A41F4B"/>
    <w:rsid w:val="00A41FC8"/>
    <w:rsid w:val="00A4299F"/>
    <w:rsid w:val="00A42A93"/>
    <w:rsid w:val="00A437B0"/>
    <w:rsid w:val="00A4384B"/>
    <w:rsid w:val="00A43C46"/>
    <w:rsid w:val="00A43EF5"/>
    <w:rsid w:val="00A445D3"/>
    <w:rsid w:val="00A44EC1"/>
    <w:rsid w:val="00A44F1F"/>
    <w:rsid w:val="00A454B3"/>
    <w:rsid w:val="00A455E0"/>
    <w:rsid w:val="00A45BF2"/>
    <w:rsid w:val="00A45C46"/>
    <w:rsid w:val="00A45E46"/>
    <w:rsid w:val="00A45E52"/>
    <w:rsid w:val="00A461FD"/>
    <w:rsid w:val="00A4641A"/>
    <w:rsid w:val="00A46652"/>
    <w:rsid w:val="00A46A47"/>
    <w:rsid w:val="00A46B9D"/>
    <w:rsid w:val="00A46D15"/>
    <w:rsid w:val="00A46E4A"/>
    <w:rsid w:val="00A46FE5"/>
    <w:rsid w:val="00A47009"/>
    <w:rsid w:val="00A4713D"/>
    <w:rsid w:val="00A471B3"/>
    <w:rsid w:val="00A4787D"/>
    <w:rsid w:val="00A47980"/>
    <w:rsid w:val="00A47F5F"/>
    <w:rsid w:val="00A5022A"/>
    <w:rsid w:val="00A503D4"/>
    <w:rsid w:val="00A50B5C"/>
    <w:rsid w:val="00A50EF0"/>
    <w:rsid w:val="00A51078"/>
    <w:rsid w:val="00A5131C"/>
    <w:rsid w:val="00A517DD"/>
    <w:rsid w:val="00A518CE"/>
    <w:rsid w:val="00A51AA3"/>
    <w:rsid w:val="00A523D3"/>
    <w:rsid w:val="00A5256C"/>
    <w:rsid w:val="00A5257F"/>
    <w:rsid w:val="00A52628"/>
    <w:rsid w:val="00A5285B"/>
    <w:rsid w:val="00A5323B"/>
    <w:rsid w:val="00A534E9"/>
    <w:rsid w:val="00A5399D"/>
    <w:rsid w:val="00A53F46"/>
    <w:rsid w:val="00A5490C"/>
    <w:rsid w:val="00A5492F"/>
    <w:rsid w:val="00A54FB4"/>
    <w:rsid w:val="00A55253"/>
    <w:rsid w:val="00A55715"/>
    <w:rsid w:val="00A5582E"/>
    <w:rsid w:val="00A559B3"/>
    <w:rsid w:val="00A55D1D"/>
    <w:rsid w:val="00A55F0D"/>
    <w:rsid w:val="00A56DE0"/>
    <w:rsid w:val="00A56E0D"/>
    <w:rsid w:val="00A56EDA"/>
    <w:rsid w:val="00A5716D"/>
    <w:rsid w:val="00A57252"/>
    <w:rsid w:val="00A577D4"/>
    <w:rsid w:val="00A57835"/>
    <w:rsid w:val="00A57857"/>
    <w:rsid w:val="00A578D9"/>
    <w:rsid w:val="00A57C3A"/>
    <w:rsid w:val="00A57F62"/>
    <w:rsid w:val="00A600C6"/>
    <w:rsid w:val="00A60192"/>
    <w:rsid w:val="00A60659"/>
    <w:rsid w:val="00A6066D"/>
    <w:rsid w:val="00A60774"/>
    <w:rsid w:val="00A60946"/>
    <w:rsid w:val="00A60D9C"/>
    <w:rsid w:val="00A6123C"/>
    <w:rsid w:val="00A617BD"/>
    <w:rsid w:val="00A61EF0"/>
    <w:rsid w:val="00A62352"/>
    <w:rsid w:val="00A63334"/>
    <w:rsid w:val="00A63C18"/>
    <w:rsid w:val="00A63D61"/>
    <w:rsid w:val="00A642AC"/>
    <w:rsid w:val="00A64A67"/>
    <w:rsid w:val="00A64B04"/>
    <w:rsid w:val="00A64C89"/>
    <w:rsid w:val="00A64DAB"/>
    <w:rsid w:val="00A659DE"/>
    <w:rsid w:val="00A65B88"/>
    <w:rsid w:val="00A65CD7"/>
    <w:rsid w:val="00A66091"/>
    <w:rsid w:val="00A662AA"/>
    <w:rsid w:val="00A662DC"/>
    <w:rsid w:val="00A66904"/>
    <w:rsid w:val="00A66994"/>
    <w:rsid w:val="00A66F59"/>
    <w:rsid w:val="00A67149"/>
    <w:rsid w:val="00A671E3"/>
    <w:rsid w:val="00A6741B"/>
    <w:rsid w:val="00A6749A"/>
    <w:rsid w:val="00A678C7"/>
    <w:rsid w:val="00A702A5"/>
    <w:rsid w:val="00A705B2"/>
    <w:rsid w:val="00A70617"/>
    <w:rsid w:val="00A70659"/>
    <w:rsid w:val="00A70784"/>
    <w:rsid w:val="00A70ADD"/>
    <w:rsid w:val="00A711BD"/>
    <w:rsid w:val="00A71353"/>
    <w:rsid w:val="00A7159C"/>
    <w:rsid w:val="00A71759"/>
    <w:rsid w:val="00A718F5"/>
    <w:rsid w:val="00A719C6"/>
    <w:rsid w:val="00A71CCD"/>
    <w:rsid w:val="00A725AD"/>
    <w:rsid w:val="00A73035"/>
    <w:rsid w:val="00A7320D"/>
    <w:rsid w:val="00A734D3"/>
    <w:rsid w:val="00A74226"/>
    <w:rsid w:val="00A74432"/>
    <w:rsid w:val="00A7472F"/>
    <w:rsid w:val="00A74866"/>
    <w:rsid w:val="00A74C59"/>
    <w:rsid w:val="00A74FB8"/>
    <w:rsid w:val="00A7530B"/>
    <w:rsid w:val="00A754F5"/>
    <w:rsid w:val="00A75538"/>
    <w:rsid w:val="00A756A5"/>
    <w:rsid w:val="00A75779"/>
    <w:rsid w:val="00A757B0"/>
    <w:rsid w:val="00A75A3B"/>
    <w:rsid w:val="00A761B8"/>
    <w:rsid w:val="00A7639A"/>
    <w:rsid w:val="00A76878"/>
    <w:rsid w:val="00A768CB"/>
    <w:rsid w:val="00A7698A"/>
    <w:rsid w:val="00A76BC1"/>
    <w:rsid w:val="00A7719D"/>
    <w:rsid w:val="00A77328"/>
    <w:rsid w:val="00A776A4"/>
    <w:rsid w:val="00A77B3B"/>
    <w:rsid w:val="00A77B3E"/>
    <w:rsid w:val="00A80228"/>
    <w:rsid w:val="00A8049D"/>
    <w:rsid w:val="00A80593"/>
    <w:rsid w:val="00A808EF"/>
    <w:rsid w:val="00A80DFE"/>
    <w:rsid w:val="00A80FFF"/>
    <w:rsid w:val="00A81252"/>
    <w:rsid w:val="00A81319"/>
    <w:rsid w:val="00A81340"/>
    <w:rsid w:val="00A82137"/>
    <w:rsid w:val="00A822C2"/>
    <w:rsid w:val="00A82948"/>
    <w:rsid w:val="00A82990"/>
    <w:rsid w:val="00A829C2"/>
    <w:rsid w:val="00A82D82"/>
    <w:rsid w:val="00A831B3"/>
    <w:rsid w:val="00A8334C"/>
    <w:rsid w:val="00A83BCA"/>
    <w:rsid w:val="00A83D14"/>
    <w:rsid w:val="00A84064"/>
    <w:rsid w:val="00A842A5"/>
    <w:rsid w:val="00A844E5"/>
    <w:rsid w:val="00A84720"/>
    <w:rsid w:val="00A84DFE"/>
    <w:rsid w:val="00A85191"/>
    <w:rsid w:val="00A85240"/>
    <w:rsid w:val="00A85CC8"/>
    <w:rsid w:val="00A85D35"/>
    <w:rsid w:val="00A866A7"/>
    <w:rsid w:val="00A8675C"/>
    <w:rsid w:val="00A867A0"/>
    <w:rsid w:val="00A86882"/>
    <w:rsid w:val="00A86928"/>
    <w:rsid w:val="00A86CEA"/>
    <w:rsid w:val="00A86D72"/>
    <w:rsid w:val="00A86FA2"/>
    <w:rsid w:val="00A87495"/>
    <w:rsid w:val="00A8775A"/>
    <w:rsid w:val="00A90401"/>
    <w:rsid w:val="00A90427"/>
    <w:rsid w:val="00A9042A"/>
    <w:rsid w:val="00A909FD"/>
    <w:rsid w:val="00A910A4"/>
    <w:rsid w:val="00A916C7"/>
    <w:rsid w:val="00A91D25"/>
    <w:rsid w:val="00A921CF"/>
    <w:rsid w:val="00A921E3"/>
    <w:rsid w:val="00A923AC"/>
    <w:rsid w:val="00A924A2"/>
    <w:rsid w:val="00A9259F"/>
    <w:rsid w:val="00A925CF"/>
    <w:rsid w:val="00A9282E"/>
    <w:rsid w:val="00A92A05"/>
    <w:rsid w:val="00A92C9C"/>
    <w:rsid w:val="00A933E9"/>
    <w:rsid w:val="00A935B6"/>
    <w:rsid w:val="00A93974"/>
    <w:rsid w:val="00A9400A"/>
    <w:rsid w:val="00A94231"/>
    <w:rsid w:val="00A94302"/>
    <w:rsid w:val="00A943DE"/>
    <w:rsid w:val="00A9483D"/>
    <w:rsid w:val="00A94ACC"/>
    <w:rsid w:val="00A94D20"/>
    <w:rsid w:val="00A95022"/>
    <w:rsid w:val="00A951DE"/>
    <w:rsid w:val="00A95265"/>
    <w:rsid w:val="00A95421"/>
    <w:rsid w:val="00A955FE"/>
    <w:rsid w:val="00A95A61"/>
    <w:rsid w:val="00A95FC1"/>
    <w:rsid w:val="00A96183"/>
    <w:rsid w:val="00A96522"/>
    <w:rsid w:val="00A968AB"/>
    <w:rsid w:val="00A96AC7"/>
    <w:rsid w:val="00A96F3B"/>
    <w:rsid w:val="00A96F81"/>
    <w:rsid w:val="00A973B6"/>
    <w:rsid w:val="00A97435"/>
    <w:rsid w:val="00A9752B"/>
    <w:rsid w:val="00A97602"/>
    <w:rsid w:val="00A9765A"/>
    <w:rsid w:val="00AA00D0"/>
    <w:rsid w:val="00AA0622"/>
    <w:rsid w:val="00AA0768"/>
    <w:rsid w:val="00AA0DC6"/>
    <w:rsid w:val="00AA13A3"/>
    <w:rsid w:val="00AA13FB"/>
    <w:rsid w:val="00AA1659"/>
    <w:rsid w:val="00AA1C79"/>
    <w:rsid w:val="00AA1CF7"/>
    <w:rsid w:val="00AA1F42"/>
    <w:rsid w:val="00AA2461"/>
    <w:rsid w:val="00AA2865"/>
    <w:rsid w:val="00AA2BDB"/>
    <w:rsid w:val="00AA302E"/>
    <w:rsid w:val="00AA37F8"/>
    <w:rsid w:val="00AA3A9B"/>
    <w:rsid w:val="00AA3BF1"/>
    <w:rsid w:val="00AA4008"/>
    <w:rsid w:val="00AA40D3"/>
    <w:rsid w:val="00AA424C"/>
    <w:rsid w:val="00AA44D9"/>
    <w:rsid w:val="00AA45B7"/>
    <w:rsid w:val="00AA4A7A"/>
    <w:rsid w:val="00AA5052"/>
    <w:rsid w:val="00AA53DB"/>
    <w:rsid w:val="00AA5410"/>
    <w:rsid w:val="00AA5F19"/>
    <w:rsid w:val="00AA6B5E"/>
    <w:rsid w:val="00AA6B64"/>
    <w:rsid w:val="00AA750C"/>
    <w:rsid w:val="00AA7975"/>
    <w:rsid w:val="00AA7F5B"/>
    <w:rsid w:val="00AB0AAB"/>
    <w:rsid w:val="00AB0AB2"/>
    <w:rsid w:val="00AB0C33"/>
    <w:rsid w:val="00AB0E78"/>
    <w:rsid w:val="00AB0E7E"/>
    <w:rsid w:val="00AB0FA2"/>
    <w:rsid w:val="00AB11ED"/>
    <w:rsid w:val="00AB1210"/>
    <w:rsid w:val="00AB186A"/>
    <w:rsid w:val="00AB187A"/>
    <w:rsid w:val="00AB1941"/>
    <w:rsid w:val="00AB20DC"/>
    <w:rsid w:val="00AB21C6"/>
    <w:rsid w:val="00AB2252"/>
    <w:rsid w:val="00AB26DD"/>
    <w:rsid w:val="00AB2841"/>
    <w:rsid w:val="00AB2920"/>
    <w:rsid w:val="00AB29EB"/>
    <w:rsid w:val="00AB2B1F"/>
    <w:rsid w:val="00AB2B98"/>
    <w:rsid w:val="00AB2BFF"/>
    <w:rsid w:val="00AB2D43"/>
    <w:rsid w:val="00AB2D7A"/>
    <w:rsid w:val="00AB332A"/>
    <w:rsid w:val="00AB40AC"/>
    <w:rsid w:val="00AB4179"/>
    <w:rsid w:val="00AB4217"/>
    <w:rsid w:val="00AB42B1"/>
    <w:rsid w:val="00AB4344"/>
    <w:rsid w:val="00AB4668"/>
    <w:rsid w:val="00AB4827"/>
    <w:rsid w:val="00AB54B5"/>
    <w:rsid w:val="00AB5517"/>
    <w:rsid w:val="00AB57C1"/>
    <w:rsid w:val="00AB5BAA"/>
    <w:rsid w:val="00AB5E40"/>
    <w:rsid w:val="00AB5FF5"/>
    <w:rsid w:val="00AB65A0"/>
    <w:rsid w:val="00AB69F3"/>
    <w:rsid w:val="00AB6B7D"/>
    <w:rsid w:val="00AB6EB4"/>
    <w:rsid w:val="00AB7216"/>
    <w:rsid w:val="00AB7435"/>
    <w:rsid w:val="00AB7A2F"/>
    <w:rsid w:val="00AB7A3B"/>
    <w:rsid w:val="00AB7F0E"/>
    <w:rsid w:val="00AC0121"/>
    <w:rsid w:val="00AC033B"/>
    <w:rsid w:val="00AC0869"/>
    <w:rsid w:val="00AC161A"/>
    <w:rsid w:val="00AC1711"/>
    <w:rsid w:val="00AC1891"/>
    <w:rsid w:val="00AC1911"/>
    <w:rsid w:val="00AC1B4A"/>
    <w:rsid w:val="00AC1C96"/>
    <w:rsid w:val="00AC2461"/>
    <w:rsid w:val="00AC2798"/>
    <w:rsid w:val="00AC2C81"/>
    <w:rsid w:val="00AC3CA4"/>
    <w:rsid w:val="00AC4139"/>
    <w:rsid w:val="00AC4DB7"/>
    <w:rsid w:val="00AC4DE0"/>
    <w:rsid w:val="00AC4E43"/>
    <w:rsid w:val="00AC4ECC"/>
    <w:rsid w:val="00AC55D8"/>
    <w:rsid w:val="00AC6636"/>
    <w:rsid w:val="00AC6A0D"/>
    <w:rsid w:val="00AC6B32"/>
    <w:rsid w:val="00AC6DEA"/>
    <w:rsid w:val="00AC6F7D"/>
    <w:rsid w:val="00AC720A"/>
    <w:rsid w:val="00AC7211"/>
    <w:rsid w:val="00AC747C"/>
    <w:rsid w:val="00AC75F9"/>
    <w:rsid w:val="00AC793B"/>
    <w:rsid w:val="00AC7A3B"/>
    <w:rsid w:val="00AC7C21"/>
    <w:rsid w:val="00AC7D77"/>
    <w:rsid w:val="00AC7E11"/>
    <w:rsid w:val="00AD0705"/>
    <w:rsid w:val="00AD0C39"/>
    <w:rsid w:val="00AD1263"/>
    <w:rsid w:val="00AD1858"/>
    <w:rsid w:val="00AD20FD"/>
    <w:rsid w:val="00AD26F0"/>
    <w:rsid w:val="00AD2831"/>
    <w:rsid w:val="00AD285B"/>
    <w:rsid w:val="00AD28B7"/>
    <w:rsid w:val="00AD3060"/>
    <w:rsid w:val="00AD308C"/>
    <w:rsid w:val="00AD33A4"/>
    <w:rsid w:val="00AD3D1E"/>
    <w:rsid w:val="00AD3FCD"/>
    <w:rsid w:val="00AD4109"/>
    <w:rsid w:val="00AD4664"/>
    <w:rsid w:val="00AD4790"/>
    <w:rsid w:val="00AD4824"/>
    <w:rsid w:val="00AD4DAC"/>
    <w:rsid w:val="00AD5276"/>
    <w:rsid w:val="00AD55AA"/>
    <w:rsid w:val="00AD58AA"/>
    <w:rsid w:val="00AD604C"/>
    <w:rsid w:val="00AD60EA"/>
    <w:rsid w:val="00AD67D4"/>
    <w:rsid w:val="00AD6E59"/>
    <w:rsid w:val="00AD704F"/>
    <w:rsid w:val="00AD77AE"/>
    <w:rsid w:val="00AE0360"/>
    <w:rsid w:val="00AE0700"/>
    <w:rsid w:val="00AE08EA"/>
    <w:rsid w:val="00AE0B9B"/>
    <w:rsid w:val="00AE0C2F"/>
    <w:rsid w:val="00AE0E82"/>
    <w:rsid w:val="00AE0F0E"/>
    <w:rsid w:val="00AE1812"/>
    <w:rsid w:val="00AE19E4"/>
    <w:rsid w:val="00AE1A2F"/>
    <w:rsid w:val="00AE2A54"/>
    <w:rsid w:val="00AE2DD5"/>
    <w:rsid w:val="00AE2F83"/>
    <w:rsid w:val="00AE32DD"/>
    <w:rsid w:val="00AE359C"/>
    <w:rsid w:val="00AE3698"/>
    <w:rsid w:val="00AE3F70"/>
    <w:rsid w:val="00AE4207"/>
    <w:rsid w:val="00AE4331"/>
    <w:rsid w:val="00AE4525"/>
    <w:rsid w:val="00AE4859"/>
    <w:rsid w:val="00AE4924"/>
    <w:rsid w:val="00AE49CB"/>
    <w:rsid w:val="00AE4A3A"/>
    <w:rsid w:val="00AE4E02"/>
    <w:rsid w:val="00AE5024"/>
    <w:rsid w:val="00AE5BD4"/>
    <w:rsid w:val="00AE5C65"/>
    <w:rsid w:val="00AE5FB2"/>
    <w:rsid w:val="00AE614D"/>
    <w:rsid w:val="00AE6745"/>
    <w:rsid w:val="00AE677E"/>
    <w:rsid w:val="00AE6B6F"/>
    <w:rsid w:val="00AE7849"/>
    <w:rsid w:val="00AE7977"/>
    <w:rsid w:val="00AE7C21"/>
    <w:rsid w:val="00AE7D2C"/>
    <w:rsid w:val="00AE7EDE"/>
    <w:rsid w:val="00AF01E8"/>
    <w:rsid w:val="00AF0594"/>
    <w:rsid w:val="00AF07DF"/>
    <w:rsid w:val="00AF0C0A"/>
    <w:rsid w:val="00AF0F67"/>
    <w:rsid w:val="00AF1130"/>
    <w:rsid w:val="00AF11B9"/>
    <w:rsid w:val="00AF13CD"/>
    <w:rsid w:val="00AF1576"/>
    <w:rsid w:val="00AF17C9"/>
    <w:rsid w:val="00AF1BA6"/>
    <w:rsid w:val="00AF1C6A"/>
    <w:rsid w:val="00AF1F10"/>
    <w:rsid w:val="00AF1F45"/>
    <w:rsid w:val="00AF2FE1"/>
    <w:rsid w:val="00AF2FEB"/>
    <w:rsid w:val="00AF371E"/>
    <w:rsid w:val="00AF3D39"/>
    <w:rsid w:val="00AF3D6E"/>
    <w:rsid w:val="00AF433A"/>
    <w:rsid w:val="00AF44EC"/>
    <w:rsid w:val="00AF458E"/>
    <w:rsid w:val="00AF478B"/>
    <w:rsid w:val="00AF497B"/>
    <w:rsid w:val="00AF4AFE"/>
    <w:rsid w:val="00AF4D4F"/>
    <w:rsid w:val="00AF5267"/>
    <w:rsid w:val="00AF574E"/>
    <w:rsid w:val="00AF589B"/>
    <w:rsid w:val="00AF60CA"/>
    <w:rsid w:val="00AF67B9"/>
    <w:rsid w:val="00AF6A4C"/>
    <w:rsid w:val="00AF6C9A"/>
    <w:rsid w:val="00AF6E59"/>
    <w:rsid w:val="00AF70A8"/>
    <w:rsid w:val="00AF7458"/>
    <w:rsid w:val="00AF7934"/>
    <w:rsid w:val="00B001E4"/>
    <w:rsid w:val="00B001F1"/>
    <w:rsid w:val="00B005DD"/>
    <w:rsid w:val="00B005EF"/>
    <w:rsid w:val="00B006D8"/>
    <w:rsid w:val="00B007B6"/>
    <w:rsid w:val="00B0080B"/>
    <w:rsid w:val="00B00CFC"/>
    <w:rsid w:val="00B00FE0"/>
    <w:rsid w:val="00B01560"/>
    <w:rsid w:val="00B01618"/>
    <w:rsid w:val="00B0165B"/>
    <w:rsid w:val="00B01669"/>
    <w:rsid w:val="00B01933"/>
    <w:rsid w:val="00B01A12"/>
    <w:rsid w:val="00B02183"/>
    <w:rsid w:val="00B023AC"/>
    <w:rsid w:val="00B024AF"/>
    <w:rsid w:val="00B02750"/>
    <w:rsid w:val="00B02858"/>
    <w:rsid w:val="00B028CF"/>
    <w:rsid w:val="00B0295F"/>
    <w:rsid w:val="00B02A05"/>
    <w:rsid w:val="00B02C7E"/>
    <w:rsid w:val="00B03530"/>
    <w:rsid w:val="00B03969"/>
    <w:rsid w:val="00B03C8E"/>
    <w:rsid w:val="00B0430C"/>
    <w:rsid w:val="00B047C2"/>
    <w:rsid w:val="00B04AA1"/>
    <w:rsid w:val="00B04CB1"/>
    <w:rsid w:val="00B04D08"/>
    <w:rsid w:val="00B05635"/>
    <w:rsid w:val="00B056FC"/>
    <w:rsid w:val="00B05A9F"/>
    <w:rsid w:val="00B06A99"/>
    <w:rsid w:val="00B07044"/>
    <w:rsid w:val="00B070E9"/>
    <w:rsid w:val="00B07552"/>
    <w:rsid w:val="00B07620"/>
    <w:rsid w:val="00B07EBE"/>
    <w:rsid w:val="00B1027A"/>
    <w:rsid w:val="00B103F1"/>
    <w:rsid w:val="00B10724"/>
    <w:rsid w:val="00B109EC"/>
    <w:rsid w:val="00B10FEF"/>
    <w:rsid w:val="00B112D2"/>
    <w:rsid w:val="00B113A2"/>
    <w:rsid w:val="00B120BA"/>
    <w:rsid w:val="00B122F5"/>
    <w:rsid w:val="00B12549"/>
    <w:rsid w:val="00B12610"/>
    <w:rsid w:val="00B126F0"/>
    <w:rsid w:val="00B128BF"/>
    <w:rsid w:val="00B128CC"/>
    <w:rsid w:val="00B12DC2"/>
    <w:rsid w:val="00B1314D"/>
    <w:rsid w:val="00B1314F"/>
    <w:rsid w:val="00B139DB"/>
    <w:rsid w:val="00B13F73"/>
    <w:rsid w:val="00B14025"/>
    <w:rsid w:val="00B144E0"/>
    <w:rsid w:val="00B14BC4"/>
    <w:rsid w:val="00B14F7E"/>
    <w:rsid w:val="00B151CF"/>
    <w:rsid w:val="00B151F8"/>
    <w:rsid w:val="00B15D1D"/>
    <w:rsid w:val="00B15D6E"/>
    <w:rsid w:val="00B1642B"/>
    <w:rsid w:val="00B164E3"/>
    <w:rsid w:val="00B16932"/>
    <w:rsid w:val="00B169C4"/>
    <w:rsid w:val="00B16B49"/>
    <w:rsid w:val="00B16D1E"/>
    <w:rsid w:val="00B2041D"/>
    <w:rsid w:val="00B20D5D"/>
    <w:rsid w:val="00B20DD5"/>
    <w:rsid w:val="00B20E39"/>
    <w:rsid w:val="00B20E49"/>
    <w:rsid w:val="00B20F39"/>
    <w:rsid w:val="00B214D3"/>
    <w:rsid w:val="00B2155F"/>
    <w:rsid w:val="00B215C8"/>
    <w:rsid w:val="00B216DF"/>
    <w:rsid w:val="00B21F13"/>
    <w:rsid w:val="00B21F1D"/>
    <w:rsid w:val="00B2233C"/>
    <w:rsid w:val="00B22E91"/>
    <w:rsid w:val="00B22EA1"/>
    <w:rsid w:val="00B23890"/>
    <w:rsid w:val="00B23B26"/>
    <w:rsid w:val="00B23EED"/>
    <w:rsid w:val="00B23F60"/>
    <w:rsid w:val="00B2402A"/>
    <w:rsid w:val="00B24031"/>
    <w:rsid w:val="00B2426A"/>
    <w:rsid w:val="00B247AD"/>
    <w:rsid w:val="00B24B5F"/>
    <w:rsid w:val="00B25734"/>
    <w:rsid w:val="00B2590F"/>
    <w:rsid w:val="00B25BAE"/>
    <w:rsid w:val="00B25D05"/>
    <w:rsid w:val="00B26622"/>
    <w:rsid w:val="00B26669"/>
    <w:rsid w:val="00B268C4"/>
    <w:rsid w:val="00B26ABC"/>
    <w:rsid w:val="00B27343"/>
    <w:rsid w:val="00B274E5"/>
    <w:rsid w:val="00B276B4"/>
    <w:rsid w:val="00B2781B"/>
    <w:rsid w:val="00B2781E"/>
    <w:rsid w:val="00B3008D"/>
    <w:rsid w:val="00B30314"/>
    <w:rsid w:val="00B3032E"/>
    <w:rsid w:val="00B303F6"/>
    <w:rsid w:val="00B30541"/>
    <w:rsid w:val="00B30762"/>
    <w:rsid w:val="00B307B7"/>
    <w:rsid w:val="00B30C4F"/>
    <w:rsid w:val="00B30F1A"/>
    <w:rsid w:val="00B3133E"/>
    <w:rsid w:val="00B31398"/>
    <w:rsid w:val="00B319CD"/>
    <w:rsid w:val="00B31D4C"/>
    <w:rsid w:val="00B320F5"/>
    <w:rsid w:val="00B321EB"/>
    <w:rsid w:val="00B3220F"/>
    <w:rsid w:val="00B32492"/>
    <w:rsid w:val="00B3285A"/>
    <w:rsid w:val="00B32A00"/>
    <w:rsid w:val="00B32CE1"/>
    <w:rsid w:val="00B3328D"/>
    <w:rsid w:val="00B33510"/>
    <w:rsid w:val="00B33516"/>
    <w:rsid w:val="00B33C3E"/>
    <w:rsid w:val="00B3452D"/>
    <w:rsid w:val="00B3483A"/>
    <w:rsid w:val="00B35544"/>
    <w:rsid w:val="00B35C1E"/>
    <w:rsid w:val="00B36028"/>
    <w:rsid w:val="00B3613C"/>
    <w:rsid w:val="00B3629D"/>
    <w:rsid w:val="00B36647"/>
    <w:rsid w:val="00B36F8D"/>
    <w:rsid w:val="00B370CA"/>
    <w:rsid w:val="00B37A4C"/>
    <w:rsid w:val="00B37C2D"/>
    <w:rsid w:val="00B37C45"/>
    <w:rsid w:val="00B37CC7"/>
    <w:rsid w:val="00B37E12"/>
    <w:rsid w:val="00B37F2D"/>
    <w:rsid w:val="00B40064"/>
    <w:rsid w:val="00B40457"/>
    <w:rsid w:val="00B40575"/>
    <w:rsid w:val="00B40804"/>
    <w:rsid w:val="00B40A17"/>
    <w:rsid w:val="00B40D5C"/>
    <w:rsid w:val="00B426D2"/>
    <w:rsid w:val="00B430A3"/>
    <w:rsid w:val="00B43726"/>
    <w:rsid w:val="00B43936"/>
    <w:rsid w:val="00B43B92"/>
    <w:rsid w:val="00B43CC5"/>
    <w:rsid w:val="00B43D4E"/>
    <w:rsid w:val="00B4411C"/>
    <w:rsid w:val="00B44412"/>
    <w:rsid w:val="00B445BF"/>
    <w:rsid w:val="00B44C58"/>
    <w:rsid w:val="00B452AE"/>
    <w:rsid w:val="00B454F8"/>
    <w:rsid w:val="00B45B97"/>
    <w:rsid w:val="00B45D23"/>
    <w:rsid w:val="00B45DB8"/>
    <w:rsid w:val="00B474E6"/>
    <w:rsid w:val="00B477B3"/>
    <w:rsid w:val="00B47823"/>
    <w:rsid w:val="00B501EB"/>
    <w:rsid w:val="00B5021F"/>
    <w:rsid w:val="00B502E5"/>
    <w:rsid w:val="00B50532"/>
    <w:rsid w:val="00B50755"/>
    <w:rsid w:val="00B5077C"/>
    <w:rsid w:val="00B509BA"/>
    <w:rsid w:val="00B50A44"/>
    <w:rsid w:val="00B50F66"/>
    <w:rsid w:val="00B51089"/>
    <w:rsid w:val="00B5153E"/>
    <w:rsid w:val="00B5169D"/>
    <w:rsid w:val="00B516EA"/>
    <w:rsid w:val="00B52786"/>
    <w:rsid w:val="00B52D61"/>
    <w:rsid w:val="00B52F19"/>
    <w:rsid w:val="00B530A9"/>
    <w:rsid w:val="00B5341E"/>
    <w:rsid w:val="00B53C75"/>
    <w:rsid w:val="00B53FC3"/>
    <w:rsid w:val="00B5404E"/>
    <w:rsid w:val="00B54354"/>
    <w:rsid w:val="00B54539"/>
    <w:rsid w:val="00B54658"/>
    <w:rsid w:val="00B54913"/>
    <w:rsid w:val="00B54B26"/>
    <w:rsid w:val="00B54BAA"/>
    <w:rsid w:val="00B54C0D"/>
    <w:rsid w:val="00B55524"/>
    <w:rsid w:val="00B5558B"/>
    <w:rsid w:val="00B55CE3"/>
    <w:rsid w:val="00B55DC0"/>
    <w:rsid w:val="00B56616"/>
    <w:rsid w:val="00B56CAC"/>
    <w:rsid w:val="00B57016"/>
    <w:rsid w:val="00B575BF"/>
    <w:rsid w:val="00B5761B"/>
    <w:rsid w:val="00B576FC"/>
    <w:rsid w:val="00B57A19"/>
    <w:rsid w:val="00B60088"/>
    <w:rsid w:val="00B60452"/>
    <w:rsid w:val="00B6071C"/>
    <w:rsid w:val="00B60808"/>
    <w:rsid w:val="00B60865"/>
    <w:rsid w:val="00B60C55"/>
    <w:rsid w:val="00B60DE2"/>
    <w:rsid w:val="00B60FBB"/>
    <w:rsid w:val="00B612EA"/>
    <w:rsid w:val="00B61384"/>
    <w:rsid w:val="00B6157B"/>
    <w:rsid w:val="00B61A8F"/>
    <w:rsid w:val="00B61C66"/>
    <w:rsid w:val="00B620B3"/>
    <w:rsid w:val="00B62604"/>
    <w:rsid w:val="00B62B49"/>
    <w:rsid w:val="00B62DF2"/>
    <w:rsid w:val="00B63255"/>
    <w:rsid w:val="00B63C39"/>
    <w:rsid w:val="00B63C5B"/>
    <w:rsid w:val="00B63DCA"/>
    <w:rsid w:val="00B64038"/>
    <w:rsid w:val="00B648BA"/>
    <w:rsid w:val="00B65265"/>
    <w:rsid w:val="00B65767"/>
    <w:rsid w:val="00B65A93"/>
    <w:rsid w:val="00B65B84"/>
    <w:rsid w:val="00B65EBC"/>
    <w:rsid w:val="00B66665"/>
    <w:rsid w:val="00B66A87"/>
    <w:rsid w:val="00B67242"/>
    <w:rsid w:val="00B6736F"/>
    <w:rsid w:val="00B6778A"/>
    <w:rsid w:val="00B67803"/>
    <w:rsid w:val="00B67E90"/>
    <w:rsid w:val="00B70AF3"/>
    <w:rsid w:val="00B7117A"/>
    <w:rsid w:val="00B7126D"/>
    <w:rsid w:val="00B712D0"/>
    <w:rsid w:val="00B715D4"/>
    <w:rsid w:val="00B717A4"/>
    <w:rsid w:val="00B71B16"/>
    <w:rsid w:val="00B7200E"/>
    <w:rsid w:val="00B720BD"/>
    <w:rsid w:val="00B722E2"/>
    <w:rsid w:val="00B723B3"/>
    <w:rsid w:val="00B72522"/>
    <w:rsid w:val="00B72831"/>
    <w:rsid w:val="00B72C83"/>
    <w:rsid w:val="00B72F70"/>
    <w:rsid w:val="00B73206"/>
    <w:rsid w:val="00B732CE"/>
    <w:rsid w:val="00B732EC"/>
    <w:rsid w:val="00B733FA"/>
    <w:rsid w:val="00B7362E"/>
    <w:rsid w:val="00B73A8C"/>
    <w:rsid w:val="00B73AD1"/>
    <w:rsid w:val="00B73B32"/>
    <w:rsid w:val="00B73BF3"/>
    <w:rsid w:val="00B73E93"/>
    <w:rsid w:val="00B73F39"/>
    <w:rsid w:val="00B74230"/>
    <w:rsid w:val="00B745EB"/>
    <w:rsid w:val="00B746A3"/>
    <w:rsid w:val="00B74882"/>
    <w:rsid w:val="00B74D7A"/>
    <w:rsid w:val="00B74DD6"/>
    <w:rsid w:val="00B75023"/>
    <w:rsid w:val="00B757E5"/>
    <w:rsid w:val="00B75B07"/>
    <w:rsid w:val="00B75B69"/>
    <w:rsid w:val="00B75BDC"/>
    <w:rsid w:val="00B75F02"/>
    <w:rsid w:val="00B765EC"/>
    <w:rsid w:val="00B76606"/>
    <w:rsid w:val="00B76915"/>
    <w:rsid w:val="00B7698D"/>
    <w:rsid w:val="00B76E87"/>
    <w:rsid w:val="00B7710D"/>
    <w:rsid w:val="00B77490"/>
    <w:rsid w:val="00B779F8"/>
    <w:rsid w:val="00B800B9"/>
    <w:rsid w:val="00B80189"/>
    <w:rsid w:val="00B802B4"/>
    <w:rsid w:val="00B80A05"/>
    <w:rsid w:val="00B80C8B"/>
    <w:rsid w:val="00B80E82"/>
    <w:rsid w:val="00B81178"/>
    <w:rsid w:val="00B8174B"/>
    <w:rsid w:val="00B81C76"/>
    <w:rsid w:val="00B81D67"/>
    <w:rsid w:val="00B81F2B"/>
    <w:rsid w:val="00B81F38"/>
    <w:rsid w:val="00B81F83"/>
    <w:rsid w:val="00B820D5"/>
    <w:rsid w:val="00B8226C"/>
    <w:rsid w:val="00B82406"/>
    <w:rsid w:val="00B8251E"/>
    <w:rsid w:val="00B825B1"/>
    <w:rsid w:val="00B826B7"/>
    <w:rsid w:val="00B827D9"/>
    <w:rsid w:val="00B82C0C"/>
    <w:rsid w:val="00B82FF4"/>
    <w:rsid w:val="00B832D3"/>
    <w:rsid w:val="00B8333C"/>
    <w:rsid w:val="00B8361F"/>
    <w:rsid w:val="00B83768"/>
    <w:rsid w:val="00B8385C"/>
    <w:rsid w:val="00B83962"/>
    <w:rsid w:val="00B83B62"/>
    <w:rsid w:val="00B83F11"/>
    <w:rsid w:val="00B84109"/>
    <w:rsid w:val="00B84FB0"/>
    <w:rsid w:val="00B85217"/>
    <w:rsid w:val="00B8535F"/>
    <w:rsid w:val="00B85409"/>
    <w:rsid w:val="00B855BE"/>
    <w:rsid w:val="00B85D66"/>
    <w:rsid w:val="00B85EE8"/>
    <w:rsid w:val="00B861F6"/>
    <w:rsid w:val="00B86975"/>
    <w:rsid w:val="00B86D48"/>
    <w:rsid w:val="00B8726B"/>
    <w:rsid w:val="00B87882"/>
    <w:rsid w:val="00B878CD"/>
    <w:rsid w:val="00B901A9"/>
    <w:rsid w:val="00B905B4"/>
    <w:rsid w:val="00B90A7E"/>
    <w:rsid w:val="00B90CB5"/>
    <w:rsid w:val="00B91254"/>
    <w:rsid w:val="00B912E1"/>
    <w:rsid w:val="00B914D0"/>
    <w:rsid w:val="00B91949"/>
    <w:rsid w:val="00B91CB1"/>
    <w:rsid w:val="00B9249B"/>
    <w:rsid w:val="00B926DA"/>
    <w:rsid w:val="00B928FC"/>
    <w:rsid w:val="00B92B97"/>
    <w:rsid w:val="00B93289"/>
    <w:rsid w:val="00B9404E"/>
    <w:rsid w:val="00B943D5"/>
    <w:rsid w:val="00B945E7"/>
    <w:rsid w:val="00B94784"/>
    <w:rsid w:val="00B94810"/>
    <w:rsid w:val="00B94BA9"/>
    <w:rsid w:val="00B94BEC"/>
    <w:rsid w:val="00B9536C"/>
    <w:rsid w:val="00B956A3"/>
    <w:rsid w:val="00B95752"/>
    <w:rsid w:val="00B95939"/>
    <w:rsid w:val="00B96229"/>
    <w:rsid w:val="00B964F5"/>
    <w:rsid w:val="00B96F1C"/>
    <w:rsid w:val="00B96F3C"/>
    <w:rsid w:val="00B9709A"/>
    <w:rsid w:val="00B975BD"/>
    <w:rsid w:val="00B97644"/>
    <w:rsid w:val="00B97756"/>
    <w:rsid w:val="00B97A54"/>
    <w:rsid w:val="00B97C4A"/>
    <w:rsid w:val="00B97E8D"/>
    <w:rsid w:val="00BA02EA"/>
    <w:rsid w:val="00BA0A64"/>
    <w:rsid w:val="00BA0B1A"/>
    <w:rsid w:val="00BA0EED"/>
    <w:rsid w:val="00BA1238"/>
    <w:rsid w:val="00BA1898"/>
    <w:rsid w:val="00BA1FEB"/>
    <w:rsid w:val="00BA1FFB"/>
    <w:rsid w:val="00BA25E6"/>
    <w:rsid w:val="00BA2B3F"/>
    <w:rsid w:val="00BA2CA3"/>
    <w:rsid w:val="00BA2EC9"/>
    <w:rsid w:val="00BA3627"/>
    <w:rsid w:val="00BA3F21"/>
    <w:rsid w:val="00BA40B2"/>
    <w:rsid w:val="00BA4A2D"/>
    <w:rsid w:val="00BA4A52"/>
    <w:rsid w:val="00BA4C82"/>
    <w:rsid w:val="00BA4E45"/>
    <w:rsid w:val="00BA51F7"/>
    <w:rsid w:val="00BA5744"/>
    <w:rsid w:val="00BA59FB"/>
    <w:rsid w:val="00BA5A31"/>
    <w:rsid w:val="00BA5A4B"/>
    <w:rsid w:val="00BA5B01"/>
    <w:rsid w:val="00BA692F"/>
    <w:rsid w:val="00BA732E"/>
    <w:rsid w:val="00BA762F"/>
    <w:rsid w:val="00BA7761"/>
    <w:rsid w:val="00BA78D9"/>
    <w:rsid w:val="00BA7A07"/>
    <w:rsid w:val="00BA7AD7"/>
    <w:rsid w:val="00BA7C90"/>
    <w:rsid w:val="00BA7F05"/>
    <w:rsid w:val="00BB0241"/>
    <w:rsid w:val="00BB082C"/>
    <w:rsid w:val="00BB0BD6"/>
    <w:rsid w:val="00BB13B5"/>
    <w:rsid w:val="00BB14A3"/>
    <w:rsid w:val="00BB16D2"/>
    <w:rsid w:val="00BB1798"/>
    <w:rsid w:val="00BB2A7B"/>
    <w:rsid w:val="00BB325B"/>
    <w:rsid w:val="00BB34ED"/>
    <w:rsid w:val="00BB350F"/>
    <w:rsid w:val="00BB3D61"/>
    <w:rsid w:val="00BB3E97"/>
    <w:rsid w:val="00BB4B26"/>
    <w:rsid w:val="00BB5511"/>
    <w:rsid w:val="00BB564D"/>
    <w:rsid w:val="00BB56AC"/>
    <w:rsid w:val="00BB5808"/>
    <w:rsid w:val="00BB5CF9"/>
    <w:rsid w:val="00BB5ED9"/>
    <w:rsid w:val="00BB645A"/>
    <w:rsid w:val="00BB6EED"/>
    <w:rsid w:val="00BB7146"/>
    <w:rsid w:val="00BB7A2F"/>
    <w:rsid w:val="00BB7B8E"/>
    <w:rsid w:val="00BB7BCF"/>
    <w:rsid w:val="00BB7C96"/>
    <w:rsid w:val="00BB7CB4"/>
    <w:rsid w:val="00BC0DFF"/>
    <w:rsid w:val="00BC1082"/>
    <w:rsid w:val="00BC10F5"/>
    <w:rsid w:val="00BC15DE"/>
    <w:rsid w:val="00BC17C8"/>
    <w:rsid w:val="00BC18A4"/>
    <w:rsid w:val="00BC1E28"/>
    <w:rsid w:val="00BC1F69"/>
    <w:rsid w:val="00BC213B"/>
    <w:rsid w:val="00BC2B4A"/>
    <w:rsid w:val="00BC3361"/>
    <w:rsid w:val="00BC3673"/>
    <w:rsid w:val="00BC369C"/>
    <w:rsid w:val="00BC3B08"/>
    <w:rsid w:val="00BC3D7F"/>
    <w:rsid w:val="00BC3ECA"/>
    <w:rsid w:val="00BC3F02"/>
    <w:rsid w:val="00BC4066"/>
    <w:rsid w:val="00BC468B"/>
    <w:rsid w:val="00BC479E"/>
    <w:rsid w:val="00BC4972"/>
    <w:rsid w:val="00BC528B"/>
    <w:rsid w:val="00BC5741"/>
    <w:rsid w:val="00BC6648"/>
    <w:rsid w:val="00BC66C4"/>
    <w:rsid w:val="00BC688B"/>
    <w:rsid w:val="00BC6897"/>
    <w:rsid w:val="00BC6ABC"/>
    <w:rsid w:val="00BC6BB0"/>
    <w:rsid w:val="00BC7466"/>
    <w:rsid w:val="00BC7470"/>
    <w:rsid w:val="00BC773E"/>
    <w:rsid w:val="00BC79DF"/>
    <w:rsid w:val="00BC7AC9"/>
    <w:rsid w:val="00BC7B2C"/>
    <w:rsid w:val="00BC7BE1"/>
    <w:rsid w:val="00BC7BEA"/>
    <w:rsid w:val="00BD0265"/>
    <w:rsid w:val="00BD0487"/>
    <w:rsid w:val="00BD0961"/>
    <w:rsid w:val="00BD09BF"/>
    <w:rsid w:val="00BD0A97"/>
    <w:rsid w:val="00BD1001"/>
    <w:rsid w:val="00BD10BB"/>
    <w:rsid w:val="00BD182C"/>
    <w:rsid w:val="00BD1907"/>
    <w:rsid w:val="00BD1A03"/>
    <w:rsid w:val="00BD20F0"/>
    <w:rsid w:val="00BD23A3"/>
    <w:rsid w:val="00BD2684"/>
    <w:rsid w:val="00BD2C6E"/>
    <w:rsid w:val="00BD2E80"/>
    <w:rsid w:val="00BD323C"/>
    <w:rsid w:val="00BD3266"/>
    <w:rsid w:val="00BD33D4"/>
    <w:rsid w:val="00BD3AAC"/>
    <w:rsid w:val="00BD40B1"/>
    <w:rsid w:val="00BD450C"/>
    <w:rsid w:val="00BD4770"/>
    <w:rsid w:val="00BD4A2C"/>
    <w:rsid w:val="00BD4D5F"/>
    <w:rsid w:val="00BD4EA3"/>
    <w:rsid w:val="00BD5096"/>
    <w:rsid w:val="00BD54E5"/>
    <w:rsid w:val="00BD54FE"/>
    <w:rsid w:val="00BD5A9E"/>
    <w:rsid w:val="00BD65B3"/>
    <w:rsid w:val="00BD65DC"/>
    <w:rsid w:val="00BD6845"/>
    <w:rsid w:val="00BD6AD0"/>
    <w:rsid w:val="00BD730F"/>
    <w:rsid w:val="00BD770F"/>
    <w:rsid w:val="00BD7824"/>
    <w:rsid w:val="00BD7A30"/>
    <w:rsid w:val="00BD7F34"/>
    <w:rsid w:val="00BE0282"/>
    <w:rsid w:val="00BE0D23"/>
    <w:rsid w:val="00BE12DF"/>
    <w:rsid w:val="00BE18F9"/>
    <w:rsid w:val="00BE1CF1"/>
    <w:rsid w:val="00BE1D97"/>
    <w:rsid w:val="00BE22A0"/>
    <w:rsid w:val="00BE2716"/>
    <w:rsid w:val="00BE2D37"/>
    <w:rsid w:val="00BE324F"/>
    <w:rsid w:val="00BE35AB"/>
    <w:rsid w:val="00BE3707"/>
    <w:rsid w:val="00BE3716"/>
    <w:rsid w:val="00BE3CF6"/>
    <w:rsid w:val="00BE47BF"/>
    <w:rsid w:val="00BE4F63"/>
    <w:rsid w:val="00BE503E"/>
    <w:rsid w:val="00BE5374"/>
    <w:rsid w:val="00BE563E"/>
    <w:rsid w:val="00BE5859"/>
    <w:rsid w:val="00BE58F2"/>
    <w:rsid w:val="00BE622F"/>
    <w:rsid w:val="00BE627A"/>
    <w:rsid w:val="00BE6891"/>
    <w:rsid w:val="00BE6AAC"/>
    <w:rsid w:val="00BE6CE8"/>
    <w:rsid w:val="00BE6D3A"/>
    <w:rsid w:val="00BE793A"/>
    <w:rsid w:val="00BE7A2B"/>
    <w:rsid w:val="00BE7B25"/>
    <w:rsid w:val="00BF0529"/>
    <w:rsid w:val="00BF159F"/>
    <w:rsid w:val="00BF1809"/>
    <w:rsid w:val="00BF1A06"/>
    <w:rsid w:val="00BF1C85"/>
    <w:rsid w:val="00BF1F13"/>
    <w:rsid w:val="00BF23C3"/>
    <w:rsid w:val="00BF249A"/>
    <w:rsid w:val="00BF2DB6"/>
    <w:rsid w:val="00BF32BD"/>
    <w:rsid w:val="00BF331E"/>
    <w:rsid w:val="00BF34DA"/>
    <w:rsid w:val="00BF3503"/>
    <w:rsid w:val="00BF384A"/>
    <w:rsid w:val="00BF3CF5"/>
    <w:rsid w:val="00BF401C"/>
    <w:rsid w:val="00BF4088"/>
    <w:rsid w:val="00BF4972"/>
    <w:rsid w:val="00BF49E2"/>
    <w:rsid w:val="00BF4CAE"/>
    <w:rsid w:val="00BF5372"/>
    <w:rsid w:val="00BF54E1"/>
    <w:rsid w:val="00BF5678"/>
    <w:rsid w:val="00BF57A7"/>
    <w:rsid w:val="00BF599C"/>
    <w:rsid w:val="00BF5BE2"/>
    <w:rsid w:val="00BF5D63"/>
    <w:rsid w:val="00BF656C"/>
    <w:rsid w:val="00BF7033"/>
    <w:rsid w:val="00BF71C4"/>
    <w:rsid w:val="00BF7C54"/>
    <w:rsid w:val="00BF7F6E"/>
    <w:rsid w:val="00C0006B"/>
    <w:rsid w:val="00C00236"/>
    <w:rsid w:val="00C00315"/>
    <w:rsid w:val="00C0075B"/>
    <w:rsid w:val="00C0191A"/>
    <w:rsid w:val="00C019BA"/>
    <w:rsid w:val="00C01D5F"/>
    <w:rsid w:val="00C01F1A"/>
    <w:rsid w:val="00C02065"/>
    <w:rsid w:val="00C0227E"/>
    <w:rsid w:val="00C02DE3"/>
    <w:rsid w:val="00C031A5"/>
    <w:rsid w:val="00C0345A"/>
    <w:rsid w:val="00C03511"/>
    <w:rsid w:val="00C03521"/>
    <w:rsid w:val="00C0380B"/>
    <w:rsid w:val="00C03C20"/>
    <w:rsid w:val="00C04138"/>
    <w:rsid w:val="00C04276"/>
    <w:rsid w:val="00C04360"/>
    <w:rsid w:val="00C04796"/>
    <w:rsid w:val="00C04BD9"/>
    <w:rsid w:val="00C04C3A"/>
    <w:rsid w:val="00C0527B"/>
    <w:rsid w:val="00C05557"/>
    <w:rsid w:val="00C05700"/>
    <w:rsid w:val="00C06307"/>
    <w:rsid w:val="00C069E9"/>
    <w:rsid w:val="00C06C17"/>
    <w:rsid w:val="00C06C31"/>
    <w:rsid w:val="00C070F4"/>
    <w:rsid w:val="00C074CD"/>
    <w:rsid w:val="00C07522"/>
    <w:rsid w:val="00C107C3"/>
    <w:rsid w:val="00C10B9E"/>
    <w:rsid w:val="00C10C3A"/>
    <w:rsid w:val="00C110C4"/>
    <w:rsid w:val="00C111A0"/>
    <w:rsid w:val="00C1133F"/>
    <w:rsid w:val="00C11524"/>
    <w:rsid w:val="00C11529"/>
    <w:rsid w:val="00C11ABE"/>
    <w:rsid w:val="00C11D84"/>
    <w:rsid w:val="00C11DCD"/>
    <w:rsid w:val="00C12102"/>
    <w:rsid w:val="00C12692"/>
    <w:rsid w:val="00C12F16"/>
    <w:rsid w:val="00C13253"/>
    <w:rsid w:val="00C13520"/>
    <w:rsid w:val="00C135C0"/>
    <w:rsid w:val="00C13DB0"/>
    <w:rsid w:val="00C142FD"/>
    <w:rsid w:val="00C147A8"/>
    <w:rsid w:val="00C14BAE"/>
    <w:rsid w:val="00C14D6E"/>
    <w:rsid w:val="00C14DA7"/>
    <w:rsid w:val="00C14F9B"/>
    <w:rsid w:val="00C14FAB"/>
    <w:rsid w:val="00C15516"/>
    <w:rsid w:val="00C1570E"/>
    <w:rsid w:val="00C1573F"/>
    <w:rsid w:val="00C15ACD"/>
    <w:rsid w:val="00C15E98"/>
    <w:rsid w:val="00C15F42"/>
    <w:rsid w:val="00C15FD0"/>
    <w:rsid w:val="00C1610B"/>
    <w:rsid w:val="00C1611D"/>
    <w:rsid w:val="00C16311"/>
    <w:rsid w:val="00C1641E"/>
    <w:rsid w:val="00C16864"/>
    <w:rsid w:val="00C168FD"/>
    <w:rsid w:val="00C16C9A"/>
    <w:rsid w:val="00C16F44"/>
    <w:rsid w:val="00C17576"/>
    <w:rsid w:val="00C175E4"/>
    <w:rsid w:val="00C1765D"/>
    <w:rsid w:val="00C2009B"/>
    <w:rsid w:val="00C20364"/>
    <w:rsid w:val="00C20716"/>
    <w:rsid w:val="00C20997"/>
    <w:rsid w:val="00C20AB7"/>
    <w:rsid w:val="00C20DE6"/>
    <w:rsid w:val="00C20F6C"/>
    <w:rsid w:val="00C216CF"/>
    <w:rsid w:val="00C217DB"/>
    <w:rsid w:val="00C21849"/>
    <w:rsid w:val="00C21E09"/>
    <w:rsid w:val="00C228E6"/>
    <w:rsid w:val="00C22BC2"/>
    <w:rsid w:val="00C22C51"/>
    <w:rsid w:val="00C22E90"/>
    <w:rsid w:val="00C22EAF"/>
    <w:rsid w:val="00C22F17"/>
    <w:rsid w:val="00C22F81"/>
    <w:rsid w:val="00C2326A"/>
    <w:rsid w:val="00C232E0"/>
    <w:rsid w:val="00C23688"/>
    <w:rsid w:val="00C238AC"/>
    <w:rsid w:val="00C23B3F"/>
    <w:rsid w:val="00C24770"/>
    <w:rsid w:val="00C248DD"/>
    <w:rsid w:val="00C24B5E"/>
    <w:rsid w:val="00C24BB0"/>
    <w:rsid w:val="00C24D77"/>
    <w:rsid w:val="00C24F97"/>
    <w:rsid w:val="00C2507F"/>
    <w:rsid w:val="00C2534F"/>
    <w:rsid w:val="00C25403"/>
    <w:rsid w:val="00C25A16"/>
    <w:rsid w:val="00C25D63"/>
    <w:rsid w:val="00C25E4B"/>
    <w:rsid w:val="00C27714"/>
    <w:rsid w:val="00C27759"/>
    <w:rsid w:val="00C27BC3"/>
    <w:rsid w:val="00C27FDE"/>
    <w:rsid w:val="00C30058"/>
    <w:rsid w:val="00C302A8"/>
    <w:rsid w:val="00C30370"/>
    <w:rsid w:val="00C3171D"/>
    <w:rsid w:val="00C317A2"/>
    <w:rsid w:val="00C319C0"/>
    <w:rsid w:val="00C31CC6"/>
    <w:rsid w:val="00C327EC"/>
    <w:rsid w:val="00C3342C"/>
    <w:rsid w:val="00C33A1B"/>
    <w:rsid w:val="00C33F23"/>
    <w:rsid w:val="00C343FC"/>
    <w:rsid w:val="00C3452C"/>
    <w:rsid w:val="00C3487C"/>
    <w:rsid w:val="00C35932"/>
    <w:rsid w:val="00C35D13"/>
    <w:rsid w:val="00C36055"/>
    <w:rsid w:val="00C360BC"/>
    <w:rsid w:val="00C3651F"/>
    <w:rsid w:val="00C365AC"/>
    <w:rsid w:val="00C36633"/>
    <w:rsid w:val="00C368D5"/>
    <w:rsid w:val="00C36903"/>
    <w:rsid w:val="00C36C18"/>
    <w:rsid w:val="00C36DB8"/>
    <w:rsid w:val="00C36DC7"/>
    <w:rsid w:val="00C36E9D"/>
    <w:rsid w:val="00C3765D"/>
    <w:rsid w:val="00C376B9"/>
    <w:rsid w:val="00C37760"/>
    <w:rsid w:val="00C378A8"/>
    <w:rsid w:val="00C37A43"/>
    <w:rsid w:val="00C37C86"/>
    <w:rsid w:val="00C37FC4"/>
    <w:rsid w:val="00C4049A"/>
    <w:rsid w:val="00C40D74"/>
    <w:rsid w:val="00C40EA9"/>
    <w:rsid w:val="00C410B6"/>
    <w:rsid w:val="00C412B1"/>
    <w:rsid w:val="00C41798"/>
    <w:rsid w:val="00C4214D"/>
    <w:rsid w:val="00C42C99"/>
    <w:rsid w:val="00C42EE6"/>
    <w:rsid w:val="00C431B8"/>
    <w:rsid w:val="00C43469"/>
    <w:rsid w:val="00C43577"/>
    <w:rsid w:val="00C4361A"/>
    <w:rsid w:val="00C4364F"/>
    <w:rsid w:val="00C43B3A"/>
    <w:rsid w:val="00C4436C"/>
    <w:rsid w:val="00C4490E"/>
    <w:rsid w:val="00C4553C"/>
    <w:rsid w:val="00C458DA"/>
    <w:rsid w:val="00C45A7F"/>
    <w:rsid w:val="00C45E7C"/>
    <w:rsid w:val="00C461B2"/>
    <w:rsid w:val="00C4643A"/>
    <w:rsid w:val="00C47348"/>
    <w:rsid w:val="00C478AB"/>
    <w:rsid w:val="00C47C8E"/>
    <w:rsid w:val="00C508BA"/>
    <w:rsid w:val="00C50D5B"/>
    <w:rsid w:val="00C5125E"/>
    <w:rsid w:val="00C51E07"/>
    <w:rsid w:val="00C520CB"/>
    <w:rsid w:val="00C52B04"/>
    <w:rsid w:val="00C52C06"/>
    <w:rsid w:val="00C52E02"/>
    <w:rsid w:val="00C52FD1"/>
    <w:rsid w:val="00C532FC"/>
    <w:rsid w:val="00C5359B"/>
    <w:rsid w:val="00C53941"/>
    <w:rsid w:val="00C53AF7"/>
    <w:rsid w:val="00C53D0A"/>
    <w:rsid w:val="00C53F7D"/>
    <w:rsid w:val="00C5400F"/>
    <w:rsid w:val="00C5428F"/>
    <w:rsid w:val="00C544AC"/>
    <w:rsid w:val="00C54791"/>
    <w:rsid w:val="00C5510B"/>
    <w:rsid w:val="00C554B5"/>
    <w:rsid w:val="00C5561B"/>
    <w:rsid w:val="00C55B9C"/>
    <w:rsid w:val="00C55BA8"/>
    <w:rsid w:val="00C55D43"/>
    <w:rsid w:val="00C56588"/>
    <w:rsid w:val="00C56949"/>
    <w:rsid w:val="00C56A37"/>
    <w:rsid w:val="00C56EF2"/>
    <w:rsid w:val="00C570A6"/>
    <w:rsid w:val="00C570BE"/>
    <w:rsid w:val="00C57163"/>
    <w:rsid w:val="00C5791F"/>
    <w:rsid w:val="00C579F3"/>
    <w:rsid w:val="00C57A39"/>
    <w:rsid w:val="00C57A59"/>
    <w:rsid w:val="00C57D1F"/>
    <w:rsid w:val="00C57F7B"/>
    <w:rsid w:val="00C600B3"/>
    <w:rsid w:val="00C60334"/>
    <w:rsid w:val="00C60D50"/>
    <w:rsid w:val="00C60DD3"/>
    <w:rsid w:val="00C61368"/>
    <w:rsid w:val="00C61464"/>
    <w:rsid w:val="00C61784"/>
    <w:rsid w:val="00C61B50"/>
    <w:rsid w:val="00C61BF7"/>
    <w:rsid w:val="00C61D97"/>
    <w:rsid w:val="00C62130"/>
    <w:rsid w:val="00C62569"/>
    <w:rsid w:val="00C62DE4"/>
    <w:rsid w:val="00C6333A"/>
    <w:rsid w:val="00C63343"/>
    <w:rsid w:val="00C6433C"/>
    <w:rsid w:val="00C64A6A"/>
    <w:rsid w:val="00C64CA0"/>
    <w:rsid w:val="00C65019"/>
    <w:rsid w:val="00C66376"/>
    <w:rsid w:val="00C66888"/>
    <w:rsid w:val="00C67A3F"/>
    <w:rsid w:val="00C67E8E"/>
    <w:rsid w:val="00C70795"/>
    <w:rsid w:val="00C7112D"/>
    <w:rsid w:val="00C71280"/>
    <w:rsid w:val="00C71AB8"/>
    <w:rsid w:val="00C71D61"/>
    <w:rsid w:val="00C72177"/>
    <w:rsid w:val="00C723AF"/>
    <w:rsid w:val="00C72751"/>
    <w:rsid w:val="00C72CEC"/>
    <w:rsid w:val="00C73115"/>
    <w:rsid w:val="00C73257"/>
    <w:rsid w:val="00C73A73"/>
    <w:rsid w:val="00C7402D"/>
    <w:rsid w:val="00C7404F"/>
    <w:rsid w:val="00C740F3"/>
    <w:rsid w:val="00C742AF"/>
    <w:rsid w:val="00C743F0"/>
    <w:rsid w:val="00C74ADF"/>
    <w:rsid w:val="00C74B8C"/>
    <w:rsid w:val="00C75059"/>
    <w:rsid w:val="00C75532"/>
    <w:rsid w:val="00C756FD"/>
    <w:rsid w:val="00C75E28"/>
    <w:rsid w:val="00C75F1B"/>
    <w:rsid w:val="00C7601A"/>
    <w:rsid w:val="00C764FD"/>
    <w:rsid w:val="00C766B9"/>
    <w:rsid w:val="00C76A3D"/>
    <w:rsid w:val="00C76FCB"/>
    <w:rsid w:val="00C77361"/>
    <w:rsid w:val="00C77DBF"/>
    <w:rsid w:val="00C80A76"/>
    <w:rsid w:val="00C81009"/>
    <w:rsid w:val="00C810F9"/>
    <w:rsid w:val="00C81A82"/>
    <w:rsid w:val="00C81B2C"/>
    <w:rsid w:val="00C81BFE"/>
    <w:rsid w:val="00C8240E"/>
    <w:rsid w:val="00C8268F"/>
    <w:rsid w:val="00C830DA"/>
    <w:rsid w:val="00C8339F"/>
    <w:rsid w:val="00C83535"/>
    <w:rsid w:val="00C83646"/>
    <w:rsid w:val="00C83D84"/>
    <w:rsid w:val="00C84036"/>
    <w:rsid w:val="00C84124"/>
    <w:rsid w:val="00C8415B"/>
    <w:rsid w:val="00C84E1A"/>
    <w:rsid w:val="00C8513D"/>
    <w:rsid w:val="00C856B7"/>
    <w:rsid w:val="00C856C8"/>
    <w:rsid w:val="00C86056"/>
    <w:rsid w:val="00C86739"/>
    <w:rsid w:val="00C86A51"/>
    <w:rsid w:val="00C86A70"/>
    <w:rsid w:val="00C87048"/>
    <w:rsid w:val="00C87436"/>
    <w:rsid w:val="00C8780E"/>
    <w:rsid w:val="00C87B19"/>
    <w:rsid w:val="00C905C0"/>
    <w:rsid w:val="00C905E9"/>
    <w:rsid w:val="00C907A6"/>
    <w:rsid w:val="00C909BC"/>
    <w:rsid w:val="00C909D2"/>
    <w:rsid w:val="00C90A15"/>
    <w:rsid w:val="00C90B60"/>
    <w:rsid w:val="00C90ED6"/>
    <w:rsid w:val="00C91393"/>
    <w:rsid w:val="00C91651"/>
    <w:rsid w:val="00C917A4"/>
    <w:rsid w:val="00C917D0"/>
    <w:rsid w:val="00C919CF"/>
    <w:rsid w:val="00C92139"/>
    <w:rsid w:val="00C9222A"/>
    <w:rsid w:val="00C922A2"/>
    <w:rsid w:val="00C927EE"/>
    <w:rsid w:val="00C92807"/>
    <w:rsid w:val="00C92D00"/>
    <w:rsid w:val="00C938DA"/>
    <w:rsid w:val="00C9391C"/>
    <w:rsid w:val="00C93C18"/>
    <w:rsid w:val="00C93C2F"/>
    <w:rsid w:val="00C93CFE"/>
    <w:rsid w:val="00C93F72"/>
    <w:rsid w:val="00C9409E"/>
    <w:rsid w:val="00C9436A"/>
    <w:rsid w:val="00C943FF"/>
    <w:rsid w:val="00C9497D"/>
    <w:rsid w:val="00C949B2"/>
    <w:rsid w:val="00C94A25"/>
    <w:rsid w:val="00C94C1F"/>
    <w:rsid w:val="00C94DC3"/>
    <w:rsid w:val="00C95207"/>
    <w:rsid w:val="00C953FD"/>
    <w:rsid w:val="00C954B9"/>
    <w:rsid w:val="00C95670"/>
    <w:rsid w:val="00C9605B"/>
    <w:rsid w:val="00C96164"/>
    <w:rsid w:val="00C961EE"/>
    <w:rsid w:val="00C968C3"/>
    <w:rsid w:val="00C96970"/>
    <w:rsid w:val="00C96B03"/>
    <w:rsid w:val="00C96F3F"/>
    <w:rsid w:val="00C9725D"/>
    <w:rsid w:val="00C97450"/>
    <w:rsid w:val="00C974EE"/>
    <w:rsid w:val="00C97631"/>
    <w:rsid w:val="00C97677"/>
    <w:rsid w:val="00C97CEE"/>
    <w:rsid w:val="00C97E7D"/>
    <w:rsid w:val="00CA01FD"/>
    <w:rsid w:val="00CA0490"/>
    <w:rsid w:val="00CA1D33"/>
    <w:rsid w:val="00CA1F78"/>
    <w:rsid w:val="00CA21AD"/>
    <w:rsid w:val="00CA222E"/>
    <w:rsid w:val="00CA2251"/>
    <w:rsid w:val="00CA26EA"/>
    <w:rsid w:val="00CA27D3"/>
    <w:rsid w:val="00CA2A82"/>
    <w:rsid w:val="00CA2E6A"/>
    <w:rsid w:val="00CA2FB2"/>
    <w:rsid w:val="00CA31EE"/>
    <w:rsid w:val="00CA3613"/>
    <w:rsid w:val="00CA366F"/>
    <w:rsid w:val="00CA36FF"/>
    <w:rsid w:val="00CA3785"/>
    <w:rsid w:val="00CA37A6"/>
    <w:rsid w:val="00CA3B56"/>
    <w:rsid w:val="00CA3C55"/>
    <w:rsid w:val="00CA3D3A"/>
    <w:rsid w:val="00CA42D6"/>
    <w:rsid w:val="00CA4AE2"/>
    <w:rsid w:val="00CA4BEB"/>
    <w:rsid w:val="00CA4CE1"/>
    <w:rsid w:val="00CA4D06"/>
    <w:rsid w:val="00CA4ECD"/>
    <w:rsid w:val="00CA528A"/>
    <w:rsid w:val="00CA55C5"/>
    <w:rsid w:val="00CA560D"/>
    <w:rsid w:val="00CA5ED9"/>
    <w:rsid w:val="00CA6043"/>
    <w:rsid w:val="00CA6758"/>
    <w:rsid w:val="00CA73E4"/>
    <w:rsid w:val="00CA779E"/>
    <w:rsid w:val="00CA7862"/>
    <w:rsid w:val="00CA7ED0"/>
    <w:rsid w:val="00CAA463"/>
    <w:rsid w:val="00CB060F"/>
    <w:rsid w:val="00CB13AD"/>
    <w:rsid w:val="00CB15E9"/>
    <w:rsid w:val="00CB17D5"/>
    <w:rsid w:val="00CB1910"/>
    <w:rsid w:val="00CB19D1"/>
    <w:rsid w:val="00CB218C"/>
    <w:rsid w:val="00CB276F"/>
    <w:rsid w:val="00CB2BB6"/>
    <w:rsid w:val="00CB2BD5"/>
    <w:rsid w:val="00CB3CFB"/>
    <w:rsid w:val="00CB4230"/>
    <w:rsid w:val="00CB4280"/>
    <w:rsid w:val="00CB444E"/>
    <w:rsid w:val="00CB4542"/>
    <w:rsid w:val="00CB45E9"/>
    <w:rsid w:val="00CB4E74"/>
    <w:rsid w:val="00CB5528"/>
    <w:rsid w:val="00CB5560"/>
    <w:rsid w:val="00CB5976"/>
    <w:rsid w:val="00CB5B56"/>
    <w:rsid w:val="00CB5C55"/>
    <w:rsid w:val="00CB62EB"/>
    <w:rsid w:val="00CB68BF"/>
    <w:rsid w:val="00CB6E0A"/>
    <w:rsid w:val="00CB703D"/>
    <w:rsid w:val="00CB72B5"/>
    <w:rsid w:val="00CB73B8"/>
    <w:rsid w:val="00CB7808"/>
    <w:rsid w:val="00CC0060"/>
    <w:rsid w:val="00CC0523"/>
    <w:rsid w:val="00CC0627"/>
    <w:rsid w:val="00CC06B1"/>
    <w:rsid w:val="00CC0D60"/>
    <w:rsid w:val="00CC1217"/>
    <w:rsid w:val="00CC163E"/>
    <w:rsid w:val="00CC16BB"/>
    <w:rsid w:val="00CC1D1A"/>
    <w:rsid w:val="00CC1D30"/>
    <w:rsid w:val="00CC1FCA"/>
    <w:rsid w:val="00CC25A6"/>
    <w:rsid w:val="00CC28EE"/>
    <w:rsid w:val="00CC2CD3"/>
    <w:rsid w:val="00CC2D70"/>
    <w:rsid w:val="00CC396F"/>
    <w:rsid w:val="00CC3AD8"/>
    <w:rsid w:val="00CC3DE6"/>
    <w:rsid w:val="00CC3FC4"/>
    <w:rsid w:val="00CC49A6"/>
    <w:rsid w:val="00CC4CA2"/>
    <w:rsid w:val="00CC5181"/>
    <w:rsid w:val="00CC543A"/>
    <w:rsid w:val="00CC5627"/>
    <w:rsid w:val="00CC5864"/>
    <w:rsid w:val="00CC5BCD"/>
    <w:rsid w:val="00CC5CBA"/>
    <w:rsid w:val="00CC6103"/>
    <w:rsid w:val="00CC6260"/>
    <w:rsid w:val="00CC65B0"/>
    <w:rsid w:val="00CC76F1"/>
    <w:rsid w:val="00CC7735"/>
    <w:rsid w:val="00CC77F4"/>
    <w:rsid w:val="00CC7E28"/>
    <w:rsid w:val="00CD016E"/>
    <w:rsid w:val="00CD02E8"/>
    <w:rsid w:val="00CD06DD"/>
    <w:rsid w:val="00CD09E3"/>
    <w:rsid w:val="00CD0BCD"/>
    <w:rsid w:val="00CD0E91"/>
    <w:rsid w:val="00CD0FEB"/>
    <w:rsid w:val="00CD1404"/>
    <w:rsid w:val="00CD1797"/>
    <w:rsid w:val="00CD1CC0"/>
    <w:rsid w:val="00CD1CE5"/>
    <w:rsid w:val="00CD1E53"/>
    <w:rsid w:val="00CD2051"/>
    <w:rsid w:val="00CD217F"/>
    <w:rsid w:val="00CD22D0"/>
    <w:rsid w:val="00CD2542"/>
    <w:rsid w:val="00CD3320"/>
    <w:rsid w:val="00CD3502"/>
    <w:rsid w:val="00CD3608"/>
    <w:rsid w:val="00CD3D70"/>
    <w:rsid w:val="00CD443A"/>
    <w:rsid w:val="00CD4894"/>
    <w:rsid w:val="00CD4CA6"/>
    <w:rsid w:val="00CD5055"/>
    <w:rsid w:val="00CD5F2F"/>
    <w:rsid w:val="00CD6419"/>
    <w:rsid w:val="00CD64FD"/>
    <w:rsid w:val="00CD6BA0"/>
    <w:rsid w:val="00CD6EEA"/>
    <w:rsid w:val="00CD6F1B"/>
    <w:rsid w:val="00CD7A7C"/>
    <w:rsid w:val="00CD7C28"/>
    <w:rsid w:val="00CD7E40"/>
    <w:rsid w:val="00CE0633"/>
    <w:rsid w:val="00CE0921"/>
    <w:rsid w:val="00CE09A5"/>
    <w:rsid w:val="00CE184A"/>
    <w:rsid w:val="00CE1C74"/>
    <w:rsid w:val="00CE1DE2"/>
    <w:rsid w:val="00CE20CC"/>
    <w:rsid w:val="00CE2815"/>
    <w:rsid w:val="00CE2889"/>
    <w:rsid w:val="00CE28E3"/>
    <w:rsid w:val="00CE2F95"/>
    <w:rsid w:val="00CE3250"/>
    <w:rsid w:val="00CE32AC"/>
    <w:rsid w:val="00CE3537"/>
    <w:rsid w:val="00CE3A55"/>
    <w:rsid w:val="00CE43A7"/>
    <w:rsid w:val="00CE43FA"/>
    <w:rsid w:val="00CE44CC"/>
    <w:rsid w:val="00CE45DD"/>
    <w:rsid w:val="00CE4777"/>
    <w:rsid w:val="00CE4998"/>
    <w:rsid w:val="00CE4D1B"/>
    <w:rsid w:val="00CE521C"/>
    <w:rsid w:val="00CE5303"/>
    <w:rsid w:val="00CE5465"/>
    <w:rsid w:val="00CE5A3E"/>
    <w:rsid w:val="00CE5A75"/>
    <w:rsid w:val="00CE5CC5"/>
    <w:rsid w:val="00CE6216"/>
    <w:rsid w:val="00CE646E"/>
    <w:rsid w:val="00CE6EAE"/>
    <w:rsid w:val="00CE6EF6"/>
    <w:rsid w:val="00CE7356"/>
    <w:rsid w:val="00CE7716"/>
    <w:rsid w:val="00CE79B5"/>
    <w:rsid w:val="00CE7B44"/>
    <w:rsid w:val="00CE7B6E"/>
    <w:rsid w:val="00CE7DFE"/>
    <w:rsid w:val="00CF0B5A"/>
    <w:rsid w:val="00CF0BBE"/>
    <w:rsid w:val="00CF10B2"/>
    <w:rsid w:val="00CF116D"/>
    <w:rsid w:val="00CF16BC"/>
    <w:rsid w:val="00CF186D"/>
    <w:rsid w:val="00CF1A2D"/>
    <w:rsid w:val="00CF1B4A"/>
    <w:rsid w:val="00CF210A"/>
    <w:rsid w:val="00CF2238"/>
    <w:rsid w:val="00CF24BE"/>
    <w:rsid w:val="00CF2695"/>
    <w:rsid w:val="00CF2913"/>
    <w:rsid w:val="00CF2930"/>
    <w:rsid w:val="00CF2A53"/>
    <w:rsid w:val="00CF2BD0"/>
    <w:rsid w:val="00CF307C"/>
    <w:rsid w:val="00CF3480"/>
    <w:rsid w:val="00CF35A4"/>
    <w:rsid w:val="00CF3E8A"/>
    <w:rsid w:val="00CF3FEA"/>
    <w:rsid w:val="00CF439F"/>
    <w:rsid w:val="00CF4EA5"/>
    <w:rsid w:val="00CF4F0F"/>
    <w:rsid w:val="00CF55AA"/>
    <w:rsid w:val="00CF5638"/>
    <w:rsid w:val="00CF599E"/>
    <w:rsid w:val="00CF5E45"/>
    <w:rsid w:val="00CF5EA3"/>
    <w:rsid w:val="00CF612A"/>
    <w:rsid w:val="00CF6334"/>
    <w:rsid w:val="00CF6605"/>
    <w:rsid w:val="00CF6ACB"/>
    <w:rsid w:val="00CF6B02"/>
    <w:rsid w:val="00CF6C14"/>
    <w:rsid w:val="00CF7120"/>
    <w:rsid w:val="00CF724C"/>
    <w:rsid w:val="00CF7731"/>
    <w:rsid w:val="00CF78A9"/>
    <w:rsid w:val="00CF7D71"/>
    <w:rsid w:val="00CFF3AD"/>
    <w:rsid w:val="00D001B4"/>
    <w:rsid w:val="00D003B7"/>
    <w:rsid w:val="00D00801"/>
    <w:rsid w:val="00D00827"/>
    <w:rsid w:val="00D00E36"/>
    <w:rsid w:val="00D00F53"/>
    <w:rsid w:val="00D01202"/>
    <w:rsid w:val="00D01435"/>
    <w:rsid w:val="00D018D9"/>
    <w:rsid w:val="00D021E8"/>
    <w:rsid w:val="00D025C5"/>
    <w:rsid w:val="00D025CE"/>
    <w:rsid w:val="00D02EAA"/>
    <w:rsid w:val="00D02F4F"/>
    <w:rsid w:val="00D035E5"/>
    <w:rsid w:val="00D03733"/>
    <w:rsid w:val="00D04275"/>
    <w:rsid w:val="00D044BD"/>
    <w:rsid w:val="00D04782"/>
    <w:rsid w:val="00D04CB3"/>
    <w:rsid w:val="00D04E85"/>
    <w:rsid w:val="00D04E92"/>
    <w:rsid w:val="00D051C5"/>
    <w:rsid w:val="00D063BE"/>
    <w:rsid w:val="00D06489"/>
    <w:rsid w:val="00D066E4"/>
    <w:rsid w:val="00D06D6E"/>
    <w:rsid w:val="00D06E32"/>
    <w:rsid w:val="00D06E3E"/>
    <w:rsid w:val="00D071BB"/>
    <w:rsid w:val="00D073BE"/>
    <w:rsid w:val="00D07522"/>
    <w:rsid w:val="00D07953"/>
    <w:rsid w:val="00D07E81"/>
    <w:rsid w:val="00D1036B"/>
    <w:rsid w:val="00D104DE"/>
    <w:rsid w:val="00D10C27"/>
    <w:rsid w:val="00D10CD0"/>
    <w:rsid w:val="00D10D02"/>
    <w:rsid w:val="00D1103C"/>
    <w:rsid w:val="00D1125C"/>
    <w:rsid w:val="00D11920"/>
    <w:rsid w:val="00D11B4C"/>
    <w:rsid w:val="00D1238D"/>
    <w:rsid w:val="00D12936"/>
    <w:rsid w:val="00D12966"/>
    <w:rsid w:val="00D13290"/>
    <w:rsid w:val="00D133D1"/>
    <w:rsid w:val="00D13865"/>
    <w:rsid w:val="00D1413C"/>
    <w:rsid w:val="00D141CE"/>
    <w:rsid w:val="00D14794"/>
    <w:rsid w:val="00D14AF6"/>
    <w:rsid w:val="00D14BCC"/>
    <w:rsid w:val="00D14C14"/>
    <w:rsid w:val="00D14C57"/>
    <w:rsid w:val="00D14D5C"/>
    <w:rsid w:val="00D14E59"/>
    <w:rsid w:val="00D14FCB"/>
    <w:rsid w:val="00D15236"/>
    <w:rsid w:val="00D1546B"/>
    <w:rsid w:val="00D154AF"/>
    <w:rsid w:val="00D157B5"/>
    <w:rsid w:val="00D15F48"/>
    <w:rsid w:val="00D1638D"/>
    <w:rsid w:val="00D1663A"/>
    <w:rsid w:val="00D16A0C"/>
    <w:rsid w:val="00D16FAC"/>
    <w:rsid w:val="00D16FF3"/>
    <w:rsid w:val="00D17122"/>
    <w:rsid w:val="00D172C5"/>
    <w:rsid w:val="00D173F4"/>
    <w:rsid w:val="00D175B7"/>
    <w:rsid w:val="00D17789"/>
    <w:rsid w:val="00D1784A"/>
    <w:rsid w:val="00D17A2F"/>
    <w:rsid w:val="00D17C7A"/>
    <w:rsid w:val="00D17F99"/>
    <w:rsid w:val="00D20031"/>
    <w:rsid w:val="00D2006A"/>
    <w:rsid w:val="00D20710"/>
    <w:rsid w:val="00D20773"/>
    <w:rsid w:val="00D20CB2"/>
    <w:rsid w:val="00D20FAE"/>
    <w:rsid w:val="00D211E1"/>
    <w:rsid w:val="00D211E7"/>
    <w:rsid w:val="00D21389"/>
    <w:rsid w:val="00D2143A"/>
    <w:rsid w:val="00D21523"/>
    <w:rsid w:val="00D215E2"/>
    <w:rsid w:val="00D21A04"/>
    <w:rsid w:val="00D21B5F"/>
    <w:rsid w:val="00D21D93"/>
    <w:rsid w:val="00D2224E"/>
    <w:rsid w:val="00D22819"/>
    <w:rsid w:val="00D228ED"/>
    <w:rsid w:val="00D22F67"/>
    <w:rsid w:val="00D22FA6"/>
    <w:rsid w:val="00D23A95"/>
    <w:rsid w:val="00D23B06"/>
    <w:rsid w:val="00D23CEB"/>
    <w:rsid w:val="00D23D4C"/>
    <w:rsid w:val="00D24426"/>
    <w:rsid w:val="00D24431"/>
    <w:rsid w:val="00D249AC"/>
    <w:rsid w:val="00D24BAD"/>
    <w:rsid w:val="00D25031"/>
    <w:rsid w:val="00D2510E"/>
    <w:rsid w:val="00D25515"/>
    <w:rsid w:val="00D26733"/>
    <w:rsid w:val="00D26959"/>
    <w:rsid w:val="00D27DA2"/>
    <w:rsid w:val="00D306B9"/>
    <w:rsid w:val="00D308F4"/>
    <w:rsid w:val="00D3091F"/>
    <w:rsid w:val="00D30E39"/>
    <w:rsid w:val="00D313B3"/>
    <w:rsid w:val="00D3154D"/>
    <w:rsid w:val="00D31C04"/>
    <w:rsid w:val="00D32068"/>
    <w:rsid w:val="00D3292B"/>
    <w:rsid w:val="00D332F6"/>
    <w:rsid w:val="00D333AA"/>
    <w:rsid w:val="00D33D4C"/>
    <w:rsid w:val="00D33D5E"/>
    <w:rsid w:val="00D33D8E"/>
    <w:rsid w:val="00D33DFA"/>
    <w:rsid w:val="00D33E1F"/>
    <w:rsid w:val="00D33F02"/>
    <w:rsid w:val="00D34C73"/>
    <w:rsid w:val="00D34F75"/>
    <w:rsid w:val="00D35079"/>
    <w:rsid w:val="00D353C1"/>
    <w:rsid w:val="00D358F7"/>
    <w:rsid w:val="00D3602B"/>
    <w:rsid w:val="00D36282"/>
    <w:rsid w:val="00D36376"/>
    <w:rsid w:val="00D36497"/>
    <w:rsid w:val="00D3667E"/>
    <w:rsid w:val="00D36E67"/>
    <w:rsid w:val="00D3772A"/>
    <w:rsid w:val="00D37EF5"/>
    <w:rsid w:val="00D401B4"/>
    <w:rsid w:val="00D40483"/>
    <w:rsid w:val="00D40CDB"/>
    <w:rsid w:val="00D4111C"/>
    <w:rsid w:val="00D419C9"/>
    <w:rsid w:val="00D41C41"/>
    <w:rsid w:val="00D41DAD"/>
    <w:rsid w:val="00D41E89"/>
    <w:rsid w:val="00D42012"/>
    <w:rsid w:val="00D4206D"/>
    <w:rsid w:val="00D42429"/>
    <w:rsid w:val="00D428B9"/>
    <w:rsid w:val="00D42B9D"/>
    <w:rsid w:val="00D42CEA"/>
    <w:rsid w:val="00D43246"/>
    <w:rsid w:val="00D43308"/>
    <w:rsid w:val="00D43F3D"/>
    <w:rsid w:val="00D440C3"/>
    <w:rsid w:val="00D4418F"/>
    <w:rsid w:val="00D44284"/>
    <w:rsid w:val="00D44290"/>
    <w:rsid w:val="00D447FC"/>
    <w:rsid w:val="00D44B99"/>
    <w:rsid w:val="00D451FD"/>
    <w:rsid w:val="00D4560A"/>
    <w:rsid w:val="00D45750"/>
    <w:rsid w:val="00D457EA"/>
    <w:rsid w:val="00D45863"/>
    <w:rsid w:val="00D45C42"/>
    <w:rsid w:val="00D45EED"/>
    <w:rsid w:val="00D45FBD"/>
    <w:rsid w:val="00D46105"/>
    <w:rsid w:val="00D46364"/>
    <w:rsid w:val="00D468D3"/>
    <w:rsid w:val="00D468EA"/>
    <w:rsid w:val="00D46B60"/>
    <w:rsid w:val="00D46C74"/>
    <w:rsid w:val="00D46DF1"/>
    <w:rsid w:val="00D46FBE"/>
    <w:rsid w:val="00D47467"/>
    <w:rsid w:val="00D4762A"/>
    <w:rsid w:val="00D47AE1"/>
    <w:rsid w:val="00D47BB9"/>
    <w:rsid w:val="00D47F65"/>
    <w:rsid w:val="00D507F8"/>
    <w:rsid w:val="00D50B35"/>
    <w:rsid w:val="00D50BAC"/>
    <w:rsid w:val="00D50EBC"/>
    <w:rsid w:val="00D51A56"/>
    <w:rsid w:val="00D5224C"/>
    <w:rsid w:val="00D52365"/>
    <w:rsid w:val="00D52968"/>
    <w:rsid w:val="00D52B5F"/>
    <w:rsid w:val="00D52E2F"/>
    <w:rsid w:val="00D52E54"/>
    <w:rsid w:val="00D52EC3"/>
    <w:rsid w:val="00D52FF5"/>
    <w:rsid w:val="00D5327E"/>
    <w:rsid w:val="00D5344C"/>
    <w:rsid w:val="00D5361F"/>
    <w:rsid w:val="00D5443E"/>
    <w:rsid w:val="00D54555"/>
    <w:rsid w:val="00D54D6C"/>
    <w:rsid w:val="00D54D73"/>
    <w:rsid w:val="00D55416"/>
    <w:rsid w:val="00D55512"/>
    <w:rsid w:val="00D555DF"/>
    <w:rsid w:val="00D55659"/>
    <w:rsid w:val="00D55D27"/>
    <w:rsid w:val="00D56626"/>
    <w:rsid w:val="00D56A27"/>
    <w:rsid w:val="00D56BCF"/>
    <w:rsid w:val="00D56DFA"/>
    <w:rsid w:val="00D56EB9"/>
    <w:rsid w:val="00D57862"/>
    <w:rsid w:val="00D5797D"/>
    <w:rsid w:val="00D57A0A"/>
    <w:rsid w:val="00D57BCC"/>
    <w:rsid w:val="00D57D73"/>
    <w:rsid w:val="00D57F63"/>
    <w:rsid w:val="00D60A3F"/>
    <w:rsid w:val="00D60D2B"/>
    <w:rsid w:val="00D60D60"/>
    <w:rsid w:val="00D60E22"/>
    <w:rsid w:val="00D61302"/>
    <w:rsid w:val="00D62064"/>
    <w:rsid w:val="00D62125"/>
    <w:rsid w:val="00D622BA"/>
    <w:rsid w:val="00D62914"/>
    <w:rsid w:val="00D62984"/>
    <w:rsid w:val="00D629B2"/>
    <w:rsid w:val="00D62F4D"/>
    <w:rsid w:val="00D635B0"/>
    <w:rsid w:val="00D63A8F"/>
    <w:rsid w:val="00D63D07"/>
    <w:rsid w:val="00D63FBF"/>
    <w:rsid w:val="00D648A7"/>
    <w:rsid w:val="00D64E5E"/>
    <w:rsid w:val="00D64F75"/>
    <w:rsid w:val="00D65101"/>
    <w:rsid w:val="00D652D9"/>
    <w:rsid w:val="00D6540C"/>
    <w:rsid w:val="00D658A3"/>
    <w:rsid w:val="00D66095"/>
    <w:rsid w:val="00D6633C"/>
    <w:rsid w:val="00D664AB"/>
    <w:rsid w:val="00D669DE"/>
    <w:rsid w:val="00D66C7F"/>
    <w:rsid w:val="00D66DBF"/>
    <w:rsid w:val="00D66FD3"/>
    <w:rsid w:val="00D677C2"/>
    <w:rsid w:val="00D6791E"/>
    <w:rsid w:val="00D67E6F"/>
    <w:rsid w:val="00D7016C"/>
    <w:rsid w:val="00D703F1"/>
    <w:rsid w:val="00D70C7E"/>
    <w:rsid w:val="00D70D5E"/>
    <w:rsid w:val="00D70DC2"/>
    <w:rsid w:val="00D70DDA"/>
    <w:rsid w:val="00D70F93"/>
    <w:rsid w:val="00D71351"/>
    <w:rsid w:val="00D7137F"/>
    <w:rsid w:val="00D719AC"/>
    <w:rsid w:val="00D71B1B"/>
    <w:rsid w:val="00D71F3B"/>
    <w:rsid w:val="00D723D8"/>
    <w:rsid w:val="00D72B2C"/>
    <w:rsid w:val="00D7305F"/>
    <w:rsid w:val="00D735AF"/>
    <w:rsid w:val="00D73A0A"/>
    <w:rsid w:val="00D73AD9"/>
    <w:rsid w:val="00D740D5"/>
    <w:rsid w:val="00D743DC"/>
    <w:rsid w:val="00D7462B"/>
    <w:rsid w:val="00D748F2"/>
    <w:rsid w:val="00D74C86"/>
    <w:rsid w:val="00D74CFD"/>
    <w:rsid w:val="00D74F3A"/>
    <w:rsid w:val="00D74FD4"/>
    <w:rsid w:val="00D75405"/>
    <w:rsid w:val="00D75AC5"/>
    <w:rsid w:val="00D75E22"/>
    <w:rsid w:val="00D760AC"/>
    <w:rsid w:val="00D76568"/>
    <w:rsid w:val="00D7664E"/>
    <w:rsid w:val="00D76887"/>
    <w:rsid w:val="00D7694B"/>
    <w:rsid w:val="00D771DC"/>
    <w:rsid w:val="00D77385"/>
    <w:rsid w:val="00D776B3"/>
    <w:rsid w:val="00D77A19"/>
    <w:rsid w:val="00D77F54"/>
    <w:rsid w:val="00D809DF"/>
    <w:rsid w:val="00D80A37"/>
    <w:rsid w:val="00D80A45"/>
    <w:rsid w:val="00D80A4A"/>
    <w:rsid w:val="00D80C29"/>
    <w:rsid w:val="00D816C5"/>
    <w:rsid w:val="00D8220E"/>
    <w:rsid w:val="00D82334"/>
    <w:rsid w:val="00D824AF"/>
    <w:rsid w:val="00D82634"/>
    <w:rsid w:val="00D82882"/>
    <w:rsid w:val="00D82B6F"/>
    <w:rsid w:val="00D82BE9"/>
    <w:rsid w:val="00D82D0B"/>
    <w:rsid w:val="00D8316D"/>
    <w:rsid w:val="00D8322E"/>
    <w:rsid w:val="00D83269"/>
    <w:rsid w:val="00D83603"/>
    <w:rsid w:val="00D83B43"/>
    <w:rsid w:val="00D83B51"/>
    <w:rsid w:val="00D840B3"/>
    <w:rsid w:val="00D84477"/>
    <w:rsid w:val="00D84ECA"/>
    <w:rsid w:val="00D8525E"/>
    <w:rsid w:val="00D85487"/>
    <w:rsid w:val="00D8593C"/>
    <w:rsid w:val="00D861E6"/>
    <w:rsid w:val="00D864A6"/>
    <w:rsid w:val="00D8676E"/>
    <w:rsid w:val="00D868BF"/>
    <w:rsid w:val="00D8690F"/>
    <w:rsid w:val="00D86C37"/>
    <w:rsid w:val="00D8739E"/>
    <w:rsid w:val="00D90124"/>
    <w:rsid w:val="00D90173"/>
    <w:rsid w:val="00D90350"/>
    <w:rsid w:val="00D9041B"/>
    <w:rsid w:val="00D90AD3"/>
    <w:rsid w:val="00D90D63"/>
    <w:rsid w:val="00D90DBB"/>
    <w:rsid w:val="00D90F4D"/>
    <w:rsid w:val="00D911CB"/>
    <w:rsid w:val="00D91237"/>
    <w:rsid w:val="00D912FC"/>
    <w:rsid w:val="00D9141D"/>
    <w:rsid w:val="00D915E3"/>
    <w:rsid w:val="00D916CC"/>
    <w:rsid w:val="00D91883"/>
    <w:rsid w:val="00D919B8"/>
    <w:rsid w:val="00D91C6D"/>
    <w:rsid w:val="00D91FAD"/>
    <w:rsid w:val="00D92469"/>
    <w:rsid w:val="00D9260B"/>
    <w:rsid w:val="00D92B37"/>
    <w:rsid w:val="00D93253"/>
    <w:rsid w:val="00D93436"/>
    <w:rsid w:val="00D93702"/>
    <w:rsid w:val="00D93B61"/>
    <w:rsid w:val="00D93DD7"/>
    <w:rsid w:val="00D94514"/>
    <w:rsid w:val="00D94578"/>
    <w:rsid w:val="00D94607"/>
    <w:rsid w:val="00D946C9"/>
    <w:rsid w:val="00D9486F"/>
    <w:rsid w:val="00D94A8E"/>
    <w:rsid w:val="00D94CF3"/>
    <w:rsid w:val="00D94E6B"/>
    <w:rsid w:val="00D952D6"/>
    <w:rsid w:val="00D9555B"/>
    <w:rsid w:val="00D95A3C"/>
    <w:rsid w:val="00D95DC9"/>
    <w:rsid w:val="00D95F11"/>
    <w:rsid w:val="00D95F67"/>
    <w:rsid w:val="00D9600B"/>
    <w:rsid w:val="00D96622"/>
    <w:rsid w:val="00D9663B"/>
    <w:rsid w:val="00D967A8"/>
    <w:rsid w:val="00D96995"/>
    <w:rsid w:val="00D96DA7"/>
    <w:rsid w:val="00D97052"/>
    <w:rsid w:val="00D97290"/>
    <w:rsid w:val="00D97499"/>
    <w:rsid w:val="00D975A7"/>
    <w:rsid w:val="00D979D5"/>
    <w:rsid w:val="00DA00A5"/>
    <w:rsid w:val="00DA03EE"/>
    <w:rsid w:val="00DA044C"/>
    <w:rsid w:val="00DA058E"/>
    <w:rsid w:val="00DA06CC"/>
    <w:rsid w:val="00DA072F"/>
    <w:rsid w:val="00DA0839"/>
    <w:rsid w:val="00DA09DD"/>
    <w:rsid w:val="00DA107A"/>
    <w:rsid w:val="00DA126C"/>
    <w:rsid w:val="00DA17EB"/>
    <w:rsid w:val="00DA18F7"/>
    <w:rsid w:val="00DA19C6"/>
    <w:rsid w:val="00DA1FB2"/>
    <w:rsid w:val="00DA2261"/>
    <w:rsid w:val="00DA24FB"/>
    <w:rsid w:val="00DA2732"/>
    <w:rsid w:val="00DA2756"/>
    <w:rsid w:val="00DA2A0B"/>
    <w:rsid w:val="00DA2DBA"/>
    <w:rsid w:val="00DA3040"/>
    <w:rsid w:val="00DA381A"/>
    <w:rsid w:val="00DA38BD"/>
    <w:rsid w:val="00DA3B85"/>
    <w:rsid w:val="00DA4288"/>
    <w:rsid w:val="00DA4C48"/>
    <w:rsid w:val="00DA4CF8"/>
    <w:rsid w:val="00DA4ED8"/>
    <w:rsid w:val="00DA512C"/>
    <w:rsid w:val="00DA53F7"/>
    <w:rsid w:val="00DA541B"/>
    <w:rsid w:val="00DA5F16"/>
    <w:rsid w:val="00DA5FB0"/>
    <w:rsid w:val="00DA6080"/>
    <w:rsid w:val="00DA6340"/>
    <w:rsid w:val="00DA6765"/>
    <w:rsid w:val="00DA75C4"/>
    <w:rsid w:val="00DA7AC8"/>
    <w:rsid w:val="00DB003C"/>
    <w:rsid w:val="00DB019F"/>
    <w:rsid w:val="00DB0303"/>
    <w:rsid w:val="00DB050D"/>
    <w:rsid w:val="00DB05AA"/>
    <w:rsid w:val="00DB0B82"/>
    <w:rsid w:val="00DB0E96"/>
    <w:rsid w:val="00DB0F7D"/>
    <w:rsid w:val="00DB16E8"/>
    <w:rsid w:val="00DB1982"/>
    <w:rsid w:val="00DB1E91"/>
    <w:rsid w:val="00DB2331"/>
    <w:rsid w:val="00DB24FE"/>
    <w:rsid w:val="00DB28DD"/>
    <w:rsid w:val="00DB2D3D"/>
    <w:rsid w:val="00DB2DF2"/>
    <w:rsid w:val="00DB34A7"/>
    <w:rsid w:val="00DB361E"/>
    <w:rsid w:val="00DB3C1A"/>
    <w:rsid w:val="00DB4410"/>
    <w:rsid w:val="00DB4603"/>
    <w:rsid w:val="00DB4AA0"/>
    <w:rsid w:val="00DB4BD9"/>
    <w:rsid w:val="00DB5117"/>
    <w:rsid w:val="00DB52C4"/>
    <w:rsid w:val="00DB5CFF"/>
    <w:rsid w:val="00DB5EBE"/>
    <w:rsid w:val="00DB6031"/>
    <w:rsid w:val="00DB643C"/>
    <w:rsid w:val="00DB65BA"/>
    <w:rsid w:val="00DB664A"/>
    <w:rsid w:val="00DB67C3"/>
    <w:rsid w:val="00DB69A5"/>
    <w:rsid w:val="00DB6A50"/>
    <w:rsid w:val="00DB6D5A"/>
    <w:rsid w:val="00DB7214"/>
    <w:rsid w:val="00DB7463"/>
    <w:rsid w:val="00DB77BE"/>
    <w:rsid w:val="00DB78E7"/>
    <w:rsid w:val="00DB7D8F"/>
    <w:rsid w:val="00DB7E3F"/>
    <w:rsid w:val="00DC0465"/>
    <w:rsid w:val="00DC06A6"/>
    <w:rsid w:val="00DC0AAC"/>
    <w:rsid w:val="00DC0B36"/>
    <w:rsid w:val="00DC0B4C"/>
    <w:rsid w:val="00DC14AF"/>
    <w:rsid w:val="00DC1557"/>
    <w:rsid w:val="00DC1595"/>
    <w:rsid w:val="00DC1720"/>
    <w:rsid w:val="00DC1F56"/>
    <w:rsid w:val="00DC30F8"/>
    <w:rsid w:val="00DC3633"/>
    <w:rsid w:val="00DC3FEC"/>
    <w:rsid w:val="00DC4108"/>
    <w:rsid w:val="00DC41CE"/>
    <w:rsid w:val="00DC42F5"/>
    <w:rsid w:val="00DC45D7"/>
    <w:rsid w:val="00DC4CD7"/>
    <w:rsid w:val="00DC4E5E"/>
    <w:rsid w:val="00DC4EC7"/>
    <w:rsid w:val="00DC4F64"/>
    <w:rsid w:val="00DC50C5"/>
    <w:rsid w:val="00DC522C"/>
    <w:rsid w:val="00DC548E"/>
    <w:rsid w:val="00DC5527"/>
    <w:rsid w:val="00DC5FB8"/>
    <w:rsid w:val="00DC61C4"/>
    <w:rsid w:val="00DC64A7"/>
    <w:rsid w:val="00DC65B5"/>
    <w:rsid w:val="00DC6B3A"/>
    <w:rsid w:val="00DC7620"/>
    <w:rsid w:val="00DC7B21"/>
    <w:rsid w:val="00DC7BA4"/>
    <w:rsid w:val="00DC7FD0"/>
    <w:rsid w:val="00DD001A"/>
    <w:rsid w:val="00DD02F0"/>
    <w:rsid w:val="00DD03EF"/>
    <w:rsid w:val="00DD0953"/>
    <w:rsid w:val="00DD0BD2"/>
    <w:rsid w:val="00DD0C6F"/>
    <w:rsid w:val="00DD0CB8"/>
    <w:rsid w:val="00DD1635"/>
    <w:rsid w:val="00DD1A95"/>
    <w:rsid w:val="00DD2654"/>
    <w:rsid w:val="00DD2689"/>
    <w:rsid w:val="00DD2B5B"/>
    <w:rsid w:val="00DD2C81"/>
    <w:rsid w:val="00DD2DEF"/>
    <w:rsid w:val="00DD2EC3"/>
    <w:rsid w:val="00DD3214"/>
    <w:rsid w:val="00DD3477"/>
    <w:rsid w:val="00DD37A6"/>
    <w:rsid w:val="00DD3940"/>
    <w:rsid w:val="00DD395C"/>
    <w:rsid w:val="00DD3C0B"/>
    <w:rsid w:val="00DD4050"/>
    <w:rsid w:val="00DD4107"/>
    <w:rsid w:val="00DD4223"/>
    <w:rsid w:val="00DD4582"/>
    <w:rsid w:val="00DD4724"/>
    <w:rsid w:val="00DD4D99"/>
    <w:rsid w:val="00DD5496"/>
    <w:rsid w:val="00DD5F1E"/>
    <w:rsid w:val="00DD6AB2"/>
    <w:rsid w:val="00DD70C5"/>
    <w:rsid w:val="00DD7616"/>
    <w:rsid w:val="00DD78CF"/>
    <w:rsid w:val="00DD7AAB"/>
    <w:rsid w:val="00DD7EED"/>
    <w:rsid w:val="00DD7F4D"/>
    <w:rsid w:val="00DE0136"/>
    <w:rsid w:val="00DE035C"/>
    <w:rsid w:val="00DE0F6F"/>
    <w:rsid w:val="00DE1276"/>
    <w:rsid w:val="00DE13EA"/>
    <w:rsid w:val="00DE1406"/>
    <w:rsid w:val="00DE16E9"/>
    <w:rsid w:val="00DE1F81"/>
    <w:rsid w:val="00DE221B"/>
    <w:rsid w:val="00DE22C6"/>
    <w:rsid w:val="00DE23DC"/>
    <w:rsid w:val="00DE2496"/>
    <w:rsid w:val="00DE2BE7"/>
    <w:rsid w:val="00DE2C88"/>
    <w:rsid w:val="00DE2D0C"/>
    <w:rsid w:val="00DE2F78"/>
    <w:rsid w:val="00DE3142"/>
    <w:rsid w:val="00DE3228"/>
    <w:rsid w:val="00DE36AB"/>
    <w:rsid w:val="00DE3FB6"/>
    <w:rsid w:val="00DE40E2"/>
    <w:rsid w:val="00DE412E"/>
    <w:rsid w:val="00DE4877"/>
    <w:rsid w:val="00DE4DA6"/>
    <w:rsid w:val="00DE54A9"/>
    <w:rsid w:val="00DE5A26"/>
    <w:rsid w:val="00DE5BDB"/>
    <w:rsid w:val="00DE6129"/>
    <w:rsid w:val="00DE6517"/>
    <w:rsid w:val="00DE69F2"/>
    <w:rsid w:val="00DE7064"/>
    <w:rsid w:val="00DE7099"/>
    <w:rsid w:val="00DE70A0"/>
    <w:rsid w:val="00DE7107"/>
    <w:rsid w:val="00DE728E"/>
    <w:rsid w:val="00DE7471"/>
    <w:rsid w:val="00DE74FC"/>
    <w:rsid w:val="00DE75B1"/>
    <w:rsid w:val="00DE7ACF"/>
    <w:rsid w:val="00DE7D1B"/>
    <w:rsid w:val="00DF053C"/>
    <w:rsid w:val="00DF06BE"/>
    <w:rsid w:val="00DF073B"/>
    <w:rsid w:val="00DF0A24"/>
    <w:rsid w:val="00DF0DEE"/>
    <w:rsid w:val="00DF0EAA"/>
    <w:rsid w:val="00DF0FAA"/>
    <w:rsid w:val="00DF155D"/>
    <w:rsid w:val="00DF1B28"/>
    <w:rsid w:val="00DF1DE0"/>
    <w:rsid w:val="00DF2087"/>
    <w:rsid w:val="00DF24A5"/>
    <w:rsid w:val="00DF2B41"/>
    <w:rsid w:val="00DF2E70"/>
    <w:rsid w:val="00DF2FBD"/>
    <w:rsid w:val="00DF336A"/>
    <w:rsid w:val="00DF341B"/>
    <w:rsid w:val="00DF385B"/>
    <w:rsid w:val="00DF39E9"/>
    <w:rsid w:val="00DF3AE9"/>
    <w:rsid w:val="00DF431B"/>
    <w:rsid w:val="00DF43F0"/>
    <w:rsid w:val="00DF4698"/>
    <w:rsid w:val="00DF48B6"/>
    <w:rsid w:val="00DF4A3F"/>
    <w:rsid w:val="00DF5568"/>
    <w:rsid w:val="00DF5868"/>
    <w:rsid w:val="00DF5CF9"/>
    <w:rsid w:val="00DF5FCC"/>
    <w:rsid w:val="00DF65EC"/>
    <w:rsid w:val="00DF673E"/>
    <w:rsid w:val="00DF69F1"/>
    <w:rsid w:val="00DF6B5F"/>
    <w:rsid w:val="00DF6DCF"/>
    <w:rsid w:val="00DF72D5"/>
    <w:rsid w:val="00DF72FB"/>
    <w:rsid w:val="00DF7410"/>
    <w:rsid w:val="00DF74D9"/>
    <w:rsid w:val="00DF77EB"/>
    <w:rsid w:val="00DF7E98"/>
    <w:rsid w:val="00E0223B"/>
    <w:rsid w:val="00E02333"/>
    <w:rsid w:val="00E024D5"/>
    <w:rsid w:val="00E027AB"/>
    <w:rsid w:val="00E02DCB"/>
    <w:rsid w:val="00E02F82"/>
    <w:rsid w:val="00E03002"/>
    <w:rsid w:val="00E0360B"/>
    <w:rsid w:val="00E03612"/>
    <w:rsid w:val="00E0368D"/>
    <w:rsid w:val="00E03967"/>
    <w:rsid w:val="00E03A96"/>
    <w:rsid w:val="00E03C98"/>
    <w:rsid w:val="00E03E4A"/>
    <w:rsid w:val="00E041DA"/>
    <w:rsid w:val="00E04229"/>
    <w:rsid w:val="00E04661"/>
    <w:rsid w:val="00E0468B"/>
    <w:rsid w:val="00E046E7"/>
    <w:rsid w:val="00E04746"/>
    <w:rsid w:val="00E04955"/>
    <w:rsid w:val="00E049D3"/>
    <w:rsid w:val="00E04B35"/>
    <w:rsid w:val="00E04D7D"/>
    <w:rsid w:val="00E051B1"/>
    <w:rsid w:val="00E0523A"/>
    <w:rsid w:val="00E05C89"/>
    <w:rsid w:val="00E05D56"/>
    <w:rsid w:val="00E0604A"/>
    <w:rsid w:val="00E06535"/>
    <w:rsid w:val="00E06A15"/>
    <w:rsid w:val="00E079B8"/>
    <w:rsid w:val="00E07B26"/>
    <w:rsid w:val="00E07FB1"/>
    <w:rsid w:val="00E1020F"/>
    <w:rsid w:val="00E105A9"/>
    <w:rsid w:val="00E1063E"/>
    <w:rsid w:val="00E1083B"/>
    <w:rsid w:val="00E11211"/>
    <w:rsid w:val="00E112C9"/>
    <w:rsid w:val="00E1153F"/>
    <w:rsid w:val="00E11D15"/>
    <w:rsid w:val="00E11E12"/>
    <w:rsid w:val="00E1202E"/>
    <w:rsid w:val="00E12366"/>
    <w:rsid w:val="00E1281C"/>
    <w:rsid w:val="00E12F1B"/>
    <w:rsid w:val="00E1338B"/>
    <w:rsid w:val="00E133A9"/>
    <w:rsid w:val="00E13431"/>
    <w:rsid w:val="00E13D2B"/>
    <w:rsid w:val="00E13F5D"/>
    <w:rsid w:val="00E1408D"/>
    <w:rsid w:val="00E14173"/>
    <w:rsid w:val="00E142A1"/>
    <w:rsid w:val="00E1430F"/>
    <w:rsid w:val="00E145A5"/>
    <w:rsid w:val="00E14D0B"/>
    <w:rsid w:val="00E14D80"/>
    <w:rsid w:val="00E14E13"/>
    <w:rsid w:val="00E15056"/>
    <w:rsid w:val="00E1546B"/>
    <w:rsid w:val="00E158D7"/>
    <w:rsid w:val="00E15AD3"/>
    <w:rsid w:val="00E15DB1"/>
    <w:rsid w:val="00E15F46"/>
    <w:rsid w:val="00E1637E"/>
    <w:rsid w:val="00E16823"/>
    <w:rsid w:val="00E16D70"/>
    <w:rsid w:val="00E16DA6"/>
    <w:rsid w:val="00E17042"/>
    <w:rsid w:val="00E170C4"/>
    <w:rsid w:val="00E173AC"/>
    <w:rsid w:val="00E17552"/>
    <w:rsid w:val="00E1771D"/>
    <w:rsid w:val="00E177EE"/>
    <w:rsid w:val="00E17832"/>
    <w:rsid w:val="00E17936"/>
    <w:rsid w:val="00E17EE2"/>
    <w:rsid w:val="00E17EE3"/>
    <w:rsid w:val="00E2029A"/>
    <w:rsid w:val="00E21054"/>
    <w:rsid w:val="00E2193C"/>
    <w:rsid w:val="00E21B03"/>
    <w:rsid w:val="00E2222C"/>
    <w:rsid w:val="00E2222F"/>
    <w:rsid w:val="00E22445"/>
    <w:rsid w:val="00E225A7"/>
    <w:rsid w:val="00E225CB"/>
    <w:rsid w:val="00E225E6"/>
    <w:rsid w:val="00E2286F"/>
    <w:rsid w:val="00E22945"/>
    <w:rsid w:val="00E22ACC"/>
    <w:rsid w:val="00E22D67"/>
    <w:rsid w:val="00E22E59"/>
    <w:rsid w:val="00E233D2"/>
    <w:rsid w:val="00E234EC"/>
    <w:rsid w:val="00E236F5"/>
    <w:rsid w:val="00E2407D"/>
    <w:rsid w:val="00E240AD"/>
    <w:rsid w:val="00E24488"/>
    <w:rsid w:val="00E24B99"/>
    <w:rsid w:val="00E24BFB"/>
    <w:rsid w:val="00E25888"/>
    <w:rsid w:val="00E25DC8"/>
    <w:rsid w:val="00E260A3"/>
    <w:rsid w:val="00E260F5"/>
    <w:rsid w:val="00E26321"/>
    <w:rsid w:val="00E26D15"/>
    <w:rsid w:val="00E27950"/>
    <w:rsid w:val="00E27A24"/>
    <w:rsid w:val="00E27DDB"/>
    <w:rsid w:val="00E300A0"/>
    <w:rsid w:val="00E303CC"/>
    <w:rsid w:val="00E309B0"/>
    <w:rsid w:val="00E30E3F"/>
    <w:rsid w:val="00E310D4"/>
    <w:rsid w:val="00E313C1"/>
    <w:rsid w:val="00E3168F"/>
    <w:rsid w:val="00E31702"/>
    <w:rsid w:val="00E3178B"/>
    <w:rsid w:val="00E3184A"/>
    <w:rsid w:val="00E31B75"/>
    <w:rsid w:val="00E31BA3"/>
    <w:rsid w:val="00E3216D"/>
    <w:rsid w:val="00E3242E"/>
    <w:rsid w:val="00E3245C"/>
    <w:rsid w:val="00E3251E"/>
    <w:rsid w:val="00E32AB1"/>
    <w:rsid w:val="00E32B6A"/>
    <w:rsid w:val="00E330C9"/>
    <w:rsid w:val="00E331CA"/>
    <w:rsid w:val="00E3330E"/>
    <w:rsid w:val="00E3338E"/>
    <w:rsid w:val="00E3351F"/>
    <w:rsid w:val="00E33587"/>
    <w:rsid w:val="00E33698"/>
    <w:rsid w:val="00E33992"/>
    <w:rsid w:val="00E340BD"/>
    <w:rsid w:val="00E3478A"/>
    <w:rsid w:val="00E34F7B"/>
    <w:rsid w:val="00E35088"/>
    <w:rsid w:val="00E35C4E"/>
    <w:rsid w:val="00E35F21"/>
    <w:rsid w:val="00E365E0"/>
    <w:rsid w:val="00E3670F"/>
    <w:rsid w:val="00E36777"/>
    <w:rsid w:val="00E36DD6"/>
    <w:rsid w:val="00E37335"/>
    <w:rsid w:val="00E37557"/>
    <w:rsid w:val="00E379E6"/>
    <w:rsid w:val="00E37A83"/>
    <w:rsid w:val="00E37C82"/>
    <w:rsid w:val="00E37DBF"/>
    <w:rsid w:val="00E37DCC"/>
    <w:rsid w:val="00E40288"/>
    <w:rsid w:val="00E40661"/>
    <w:rsid w:val="00E4073D"/>
    <w:rsid w:val="00E40D76"/>
    <w:rsid w:val="00E40DAE"/>
    <w:rsid w:val="00E40F62"/>
    <w:rsid w:val="00E41518"/>
    <w:rsid w:val="00E416EE"/>
    <w:rsid w:val="00E41A35"/>
    <w:rsid w:val="00E41B01"/>
    <w:rsid w:val="00E41D03"/>
    <w:rsid w:val="00E43249"/>
    <w:rsid w:val="00E433CA"/>
    <w:rsid w:val="00E436A2"/>
    <w:rsid w:val="00E43C94"/>
    <w:rsid w:val="00E44140"/>
    <w:rsid w:val="00E44970"/>
    <w:rsid w:val="00E44B5D"/>
    <w:rsid w:val="00E44D2C"/>
    <w:rsid w:val="00E450D1"/>
    <w:rsid w:val="00E45392"/>
    <w:rsid w:val="00E453D8"/>
    <w:rsid w:val="00E458D8"/>
    <w:rsid w:val="00E45CA6"/>
    <w:rsid w:val="00E465FC"/>
    <w:rsid w:val="00E4679E"/>
    <w:rsid w:val="00E47420"/>
    <w:rsid w:val="00E47F45"/>
    <w:rsid w:val="00E50406"/>
    <w:rsid w:val="00E5084C"/>
    <w:rsid w:val="00E50C5B"/>
    <w:rsid w:val="00E50DDE"/>
    <w:rsid w:val="00E51006"/>
    <w:rsid w:val="00E51401"/>
    <w:rsid w:val="00E517A2"/>
    <w:rsid w:val="00E518A7"/>
    <w:rsid w:val="00E519A0"/>
    <w:rsid w:val="00E51B7F"/>
    <w:rsid w:val="00E51BBC"/>
    <w:rsid w:val="00E51C18"/>
    <w:rsid w:val="00E51C78"/>
    <w:rsid w:val="00E52134"/>
    <w:rsid w:val="00E5285D"/>
    <w:rsid w:val="00E529C9"/>
    <w:rsid w:val="00E529F5"/>
    <w:rsid w:val="00E52A18"/>
    <w:rsid w:val="00E52E4E"/>
    <w:rsid w:val="00E52EC9"/>
    <w:rsid w:val="00E5304A"/>
    <w:rsid w:val="00E53445"/>
    <w:rsid w:val="00E53501"/>
    <w:rsid w:val="00E5356B"/>
    <w:rsid w:val="00E53E00"/>
    <w:rsid w:val="00E541C5"/>
    <w:rsid w:val="00E54221"/>
    <w:rsid w:val="00E54838"/>
    <w:rsid w:val="00E5519E"/>
    <w:rsid w:val="00E551C2"/>
    <w:rsid w:val="00E55351"/>
    <w:rsid w:val="00E5567D"/>
    <w:rsid w:val="00E55AF1"/>
    <w:rsid w:val="00E55D90"/>
    <w:rsid w:val="00E5650A"/>
    <w:rsid w:val="00E5674B"/>
    <w:rsid w:val="00E567CB"/>
    <w:rsid w:val="00E56833"/>
    <w:rsid w:val="00E5706E"/>
    <w:rsid w:val="00E574EC"/>
    <w:rsid w:val="00E5774D"/>
    <w:rsid w:val="00E5778C"/>
    <w:rsid w:val="00E57F9C"/>
    <w:rsid w:val="00E604B8"/>
    <w:rsid w:val="00E605CE"/>
    <w:rsid w:val="00E60FE4"/>
    <w:rsid w:val="00E610A3"/>
    <w:rsid w:val="00E614DE"/>
    <w:rsid w:val="00E61542"/>
    <w:rsid w:val="00E615F9"/>
    <w:rsid w:val="00E6193C"/>
    <w:rsid w:val="00E61A41"/>
    <w:rsid w:val="00E621B4"/>
    <w:rsid w:val="00E622A4"/>
    <w:rsid w:val="00E62305"/>
    <w:rsid w:val="00E625D9"/>
    <w:rsid w:val="00E6282B"/>
    <w:rsid w:val="00E6289C"/>
    <w:rsid w:val="00E62B3C"/>
    <w:rsid w:val="00E62BC2"/>
    <w:rsid w:val="00E63ACF"/>
    <w:rsid w:val="00E63DA5"/>
    <w:rsid w:val="00E63DAA"/>
    <w:rsid w:val="00E647D6"/>
    <w:rsid w:val="00E64A9D"/>
    <w:rsid w:val="00E660F9"/>
    <w:rsid w:val="00E665FA"/>
    <w:rsid w:val="00E666DB"/>
    <w:rsid w:val="00E66C26"/>
    <w:rsid w:val="00E66E19"/>
    <w:rsid w:val="00E67297"/>
    <w:rsid w:val="00E67889"/>
    <w:rsid w:val="00E67D5F"/>
    <w:rsid w:val="00E70618"/>
    <w:rsid w:val="00E7068C"/>
    <w:rsid w:val="00E716F4"/>
    <w:rsid w:val="00E71D9C"/>
    <w:rsid w:val="00E7221D"/>
    <w:rsid w:val="00E72391"/>
    <w:rsid w:val="00E723AA"/>
    <w:rsid w:val="00E7240F"/>
    <w:rsid w:val="00E72431"/>
    <w:rsid w:val="00E729DA"/>
    <w:rsid w:val="00E72C9C"/>
    <w:rsid w:val="00E72E77"/>
    <w:rsid w:val="00E72FF6"/>
    <w:rsid w:val="00E734C6"/>
    <w:rsid w:val="00E738DD"/>
    <w:rsid w:val="00E73BC4"/>
    <w:rsid w:val="00E73CE0"/>
    <w:rsid w:val="00E74EA8"/>
    <w:rsid w:val="00E756A4"/>
    <w:rsid w:val="00E7615F"/>
    <w:rsid w:val="00E76358"/>
    <w:rsid w:val="00E765B2"/>
    <w:rsid w:val="00E767DD"/>
    <w:rsid w:val="00E76AE0"/>
    <w:rsid w:val="00E76EEE"/>
    <w:rsid w:val="00E7703E"/>
    <w:rsid w:val="00E779CD"/>
    <w:rsid w:val="00E77BE5"/>
    <w:rsid w:val="00E800C1"/>
    <w:rsid w:val="00E80206"/>
    <w:rsid w:val="00E80352"/>
    <w:rsid w:val="00E80953"/>
    <w:rsid w:val="00E8164F"/>
    <w:rsid w:val="00E819B5"/>
    <w:rsid w:val="00E819D0"/>
    <w:rsid w:val="00E81A87"/>
    <w:rsid w:val="00E823C0"/>
    <w:rsid w:val="00E82605"/>
    <w:rsid w:val="00E83948"/>
    <w:rsid w:val="00E83CF9"/>
    <w:rsid w:val="00E83F02"/>
    <w:rsid w:val="00E8451A"/>
    <w:rsid w:val="00E84541"/>
    <w:rsid w:val="00E84614"/>
    <w:rsid w:val="00E84B29"/>
    <w:rsid w:val="00E8545A"/>
    <w:rsid w:val="00E85CBF"/>
    <w:rsid w:val="00E860C6"/>
    <w:rsid w:val="00E86144"/>
    <w:rsid w:val="00E862B9"/>
    <w:rsid w:val="00E868B9"/>
    <w:rsid w:val="00E868F2"/>
    <w:rsid w:val="00E86D10"/>
    <w:rsid w:val="00E87215"/>
    <w:rsid w:val="00E8787C"/>
    <w:rsid w:val="00E879CB"/>
    <w:rsid w:val="00E879E0"/>
    <w:rsid w:val="00E90093"/>
    <w:rsid w:val="00E9042B"/>
    <w:rsid w:val="00E909F1"/>
    <w:rsid w:val="00E90C49"/>
    <w:rsid w:val="00E90D05"/>
    <w:rsid w:val="00E90D5B"/>
    <w:rsid w:val="00E910E9"/>
    <w:rsid w:val="00E910F0"/>
    <w:rsid w:val="00E91362"/>
    <w:rsid w:val="00E91A7E"/>
    <w:rsid w:val="00E91E48"/>
    <w:rsid w:val="00E922B4"/>
    <w:rsid w:val="00E926FB"/>
    <w:rsid w:val="00E92710"/>
    <w:rsid w:val="00E92974"/>
    <w:rsid w:val="00E92E2C"/>
    <w:rsid w:val="00E92F98"/>
    <w:rsid w:val="00E9319B"/>
    <w:rsid w:val="00E9327B"/>
    <w:rsid w:val="00E9331D"/>
    <w:rsid w:val="00E93627"/>
    <w:rsid w:val="00E936D2"/>
    <w:rsid w:val="00E939AA"/>
    <w:rsid w:val="00E93BBC"/>
    <w:rsid w:val="00E93CB5"/>
    <w:rsid w:val="00E93F9C"/>
    <w:rsid w:val="00E94046"/>
    <w:rsid w:val="00E94438"/>
    <w:rsid w:val="00E945B8"/>
    <w:rsid w:val="00E94B16"/>
    <w:rsid w:val="00E94B51"/>
    <w:rsid w:val="00E94B88"/>
    <w:rsid w:val="00E95322"/>
    <w:rsid w:val="00E95377"/>
    <w:rsid w:val="00E95490"/>
    <w:rsid w:val="00E956D4"/>
    <w:rsid w:val="00E95E2F"/>
    <w:rsid w:val="00E95EA6"/>
    <w:rsid w:val="00E9619B"/>
    <w:rsid w:val="00E96322"/>
    <w:rsid w:val="00E9662F"/>
    <w:rsid w:val="00E968C1"/>
    <w:rsid w:val="00E971F6"/>
    <w:rsid w:val="00E975B2"/>
    <w:rsid w:val="00E975D9"/>
    <w:rsid w:val="00E979A9"/>
    <w:rsid w:val="00E979D9"/>
    <w:rsid w:val="00E979FA"/>
    <w:rsid w:val="00E97DCD"/>
    <w:rsid w:val="00E97F14"/>
    <w:rsid w:val="00EA02F6"/>
    <w:rsid w:val="00EA0E54"/>
    <w:rsid w:val="00EA0F59"/>
    <w:rsid w:val="00EA1434"/>
    <w:rsid w:val="00EA15CE"/>
    <w:rsid w:val="00EA1769"/>
    <w:rsid w:val="00EA198F"/>
    <w:rsid w:val="00EA1DAF"/>
    <w:rsid w:val="00EA1FAD"/>
    <w:rsid w:val="00EA2457"/>
    <w:rsid w:val="00EA284B"/>
    <w:rsid w:val="00EA2A77"/>
    <w:rsid w:val="00EA2CA8"/>
    <w:rsid w:val="00EA324C"/>
    <w:rsid w:val="00EA3671"/>
    <w:rsid w:val="00EA36B3"/>
    <w:rsid w:val="00EA3A7E"/>
    <w:rsid w:val="00EA3B06"/>
    <w:rsid w:val="00EA3CB4"/>
    <w:rsid w:val="00EA3D2A"/>
    <w:rsid w:val="00EA46CA"/>
    <w:rsid w:val="00EA49C9"/>
    <w:rsid w:val="00EA50B2"/>
    <w:rsid w:val="00EA5790"/>
    <w:rsid w:val="00EA58A7"/>
    <w:rsid w:val="00EA5B17"/>
    <w:rsid w:val="00EA5CA1"/>
    <w:rsid w:val="00EA62E9"/>
    <w:rsid w:val="00EA636B"/>
    <w:rsid w:val="00EA680B"/>
    <w:rsid w:val="00EA69D9"/>
    <w:rsid w:val="00EA6AED"/>
    <w:rsid w:val="00EA6EE4"/>
    <w:rsid w:val="00EA75CF"/>
    <w:rsid w:val="00EA7621"/>
    <w:rsid w:val="00EA78AE"/>
    <w:rsid w:val="00EA79C6"/>
    <w:rsid w:val="00EA7A19"/>
    <w:rsid w:val="00EA7B1F"/>
    <w:rsid w:val="00EB06B9"/>
    <w:rsid w:val="00EB0865"/>
    <w:rsid w:val="00EB0CFD"/>
    <w:rsid w:val="00EB0DEA"/>
    <w:rsid w:val="00EB0EC7"/>
    <w:rsid w:val="00EB0F4D"/>
    <w:rsid w:val="00EB18C8"/>
    <w:rsid w:val="00EB1DB9"/>
    <w:rsid w:val="00EB1F63"/>
    <w:rsid w:val="00EB2464"/>
    <w:rsid w:val="00EB24A1"/>
    <w:rsid w:val="00EB27BC"/>
    <w:rsid w:val="00EB3151"/>
    <w:rsid w:val="00EB42B2"/>
    <w:rsid w:val="00EB452C"/>
    <w:rsid w:val="00EB49C9"/>
    <w:rsid w:val="00EB49E6"/>
    <w:rsid w:val="00EB4A2A"/>
    <w:rsid w:val="00EB4EC1"/>
    <w:rsid w:val="00EB530E"/>
    <w:rsid w:val="00EB5B64"/>
    <w:rsid w:val="00EB5D21"/>
    <w:rsid w:val="00EB5F1A"/>
    <w:rsid w:val="00EB5F9A"/>
    <w:rsid w:val="00EB6315"/>
    <w:rsid w:val="00EB69D7"/>
    <w:rsid w:val="00EB6A32"/>
    <w:rsid w:val="00EB6F19"/>
    <w:rsid w:val="00EB7A9D"/>
    <w:rsid w:val="00EC026D"/>
    <w:rsid w:val="00EC0430"/>
    <w:rsid w:val="00EC074B"/>
    <w:rsid w:val="00EC0824"/>
    <w:rsid w:val="00EC0915"/>
    <w:rsid w:val="00EC14B0"/>
    <w:rsid w:val="00EC15A3"/>
    <w:rsid w:val="00EC1764"/>
    <w:rsid w:val="00EC2E37"/>
    <w:rsid w:val="00EC2E43"/>
    <w:rsid w:val="00EC3209"/>
    <w:rsid w:val="00EC32C5"/>
    <w:rsid w:val="00EC33A0"/>
    <w:rsid w:val="00EC3C90"/>
    <w:rsid w:val="00EC4477"/>
    <w:rsid w:val="00EC4836"/>
    <w:rsid w:val="00EC4A38"/>
    <w:rsid w:val="00EC4A59"/>
    <w:rsid w:val="00EC4DD6"/>
    <w:rsid w:val="00EC4E4B"/>
    <w:rsid w:val="00EC5088"/>
    <w:rsid w:val="00EC5640"/>
    <w:rsid w:val="00EC5694"/>
    <w:rsid w:val="00EC6086"/>
    <w:rsid w:val="00EC609E"/>
    <w:rsid w:val="00EC6842"/>
    <w:rsid w:val="00EC70BE"/>
    <w:rsid w:val="00EC71F2"/>
    <w:rsid w:val="00EC74D4"/>
    <w:rsid w:val="00EC77A8"/>
    <w:rsid w:val="00EC7A11"/>
    <w:rsid w:val="00EC7D59"/>
    <w:rsid w:val="00ED0E33"/>
    <w:rsid w:val="00ED0FEE"/>
    <w:rsid w:val="00ED1664"/>
    <w:rsid w:val="00ED1810"/>
    <w:rsid w:val="00ED1C68"/>
    <w:rsid w:val="00ED1F27"/>
    <w:rsid w:val="00ED1FFA"/>
    <w:rsid w:val="00ED2FB0"/>
    <w:rsid w:val="00ED3181"/>
    <w:rsid w:val="00ED3264"/>
    <w:rsid w:val="00ED3752"/>
    <w:rsid w:val="00ED37B9"/>
    <w:rsid w:val="00ED3B74"/>
    <w:rsid w:val="00ED3F2F"/>
    <w:rsid w:val="00ED4644"/>
    <w:rsid w:val="00ED50F2"/>
    <w:rsid w:val="00ED580E"/>
    <w:rsid w:val="00ED595B"/>
    <w:rsid w:val="00ED5A68"/>
    <w:rsid w:val="00ED5E38"/>
    <w:rsid w:val="00ED5EA8"/>
    <w:rsid w:val="00ED5F6A"/>
    <w:rsid w:val="00ED6727"/>
    <w:rsid w:val="00ED6AD6"/>
    <w:rsid w:val="00ED6C63"/>
    <w:rsid w:val="00ED6CFD"/>
    <w:rsid w:val="00ED6DCC"/>
    <w:rsid w:val="00ED6F19"/>
    <w:rsid w:val="00ED70A0"/>
    <w:rsid w:val="00ED7240"/>
    <w:rsid w:val="00ED73A1"/>
    <w:rsid w:val="00ED745D"/>
    <w:rsid w:val="00ED7988"/>
    <w:rsid w:val="00EE0D84"/>
    <w:rsid w:val="00EE0F27"/>
    <w:rsid w:val="00EE10B4"/>
    <w:rsid w:val="00EE1645"/>
    <w:rsid w:val="00EE1881"/>
    <w:rsid w:val="00EE1D00"/>
    <w:rsid w:val="00EE1F22"/>
    <w:rsid w:val="00EE2871"/>
    <w:rsid w:val="00EE2B05"/>
    <w:rsid w:val="00EE2F7E"/>
    <w:rsid w:val="00EE31EB"/>
    <w:rsid w:val="00EE3352"/>
    <w:rsid w:val="00EE3665"/>
    <w:rsid w:val="00EE439A"/>
    <w:rsid w:val="00EE4490"/>
    <w:rsid w:val="00EE44EB"/>
    <w:rsid w:val="00EE4938"/>
    <w:rsid w:val="00EE4C95"/>
    <w:rsid w:val="00EE4E2E"/>
    <w:rsid w:val="00EE4EEF"/>
    <w:rsid w:val="00EE51C0"/>
    <w:rsid w:val="00EE5306"/>
    <w:rsid w:val="00EE551A"/>
    <w:rsid w:val="00EE57AA"/>
    <w:rsid w:val="00EE5D2A"/>
    <w:rsid w:val="00EE5D6C"/>
    <w:rsid w:val="00EE5FF1"/>
    <w:rsid w:val="00EE6473"/>
    <w:rsid w:val="00EE6832"/>
    <w:rsid w:val="00EE6FF0"/>
    <w:rsid w:val="00EE7286"/>
    <w:rsid w:val="00EE7308"/>
    <w:rsid w:val="00EE7737"/>
    <w:rsid w:val="00EE7DF3"/>
    <w:rsid w:val="00EE7EF2"/>
    <w:rsid w:val="00EE7EF6"/>
    <w:rsid w:val="00EF001E"/>
    <w:rsid w:val="00EF0512"/>
    <w:rsid w:val="00EF05C5"/>
    <w:rsid w:val="00EF0636"/>
    <w:rsid w:val="00EF08D8"/>
    <w:rsid w:val="00EF0A3E"/>
    <w:rsid w:val="00EF0C42"/>
    <w:rsid w:val="00EF0DBA"/>
    <w:rsid w:val="00EF0DDA"/>
    <w:rsid w:val="00EF1046"/>
    <w:rsid w:val="00EF1301"/>
    <w:rsid w:val="00EF1755"/>
    <w:rsid w:val="00EF195C"/>
    <w:rsid w:val="00EF19ED"/>
    <w:rsid w:val="00EF19F6"/>
    <w:rsid w:val="00EF1B8B"/>
    <w:rsid w:val="00EF1DFA"/>
    <w:rsid w:val="00EF1FA3"/>
    <w:rsid w:val="00EF2787"/>
    <w:rsid w:val="00EF28AB"/>
    <w:rsid w:val="00EF3178"/>
    <w:rsid w:val="00EF3B48"/>
    <w:rsid w:val="00EF3C7A"/>
    <w:rsid w:val="00EF3CAB"/>
    <w:rsid w:val="00EF3CF4"/>
    <w:rsid w:val="00EF3D58"/>
    <w:rsid w:val="00EF45ED"/>
    <w:rsid w:val="00EF471E"/>
    <w:rsid w:val="00EF4B35"/>
    <w:rsid w:val="00EF4DD1"/>
    <w:rsid w:val="00EF4FD5"/>
    <w:rsid w:val="00EF5280"/>
    <w:rsid w:val="00EF5D61"/>
    <w:rsid w:val="00EF61EE"/>
    <w:rsid w:val="00EF6268"/>
    <w:rsid w:val="00EF69E9"/>
    <w:rsid w:val="00EF6B02"/>
    <w:rsid w:val="00EF7007"/>
    <w:rsid w:val="00EF7063"/>
    <w:rsid w:val="00EF7084"/>
    <w:rsid w:val="00EF70D8"/>
    <w:rsid w:val="00EF791A"/>
    <w:rsid w:val="00EF7ACF"/>
    <w:rsid w:val="00EF7D18"/>
    <w:rsid w:val="00EF7EF5"/>
    <w:rsid w:val="00F00C34"/>
    <w:rsid w:val="00F013B2"/>
    <w:rsid w:val="00F014EA"/>
    <w:rsid w:val="00F01BD6"/>
    <w:rsid w:val="00F01E12"/>
    <w:rsid w:val="00F01F7F"/>
    <w:rsid w:val="00F0252D"/>
    <w:rsid w:val="00F02850"/>
    <w:rsid w:val="00F03141"/>
    <w:rsid w:val="00F03338"/>
    <w:rsid w:val="00F03552"/>
    <w:rsid w:val="00F03B39"/>
    <w:rsid w:val="00F03B58"/>
    <w:rsid w:val="00F04052"/>
    <w:rsid w:val="00F040D0"/>
    <w:rsid w:val="00F04789"/>
    <w:rsid w:val="00F04FED"/>
    <w:rsid w:val="00F0509C"/>
    <w:rsid w:val="00F0511B"/>
    <w:rsid w:val="00F052C9"/>
    <w:rsid w:val="00F0553E"/>
    <w:rsid w:val="00F059B5"/>
    <w:rsid w:val="00F05B53"/>
    <w:rsid w:val="00F060BD"/>
    <w:rsid w:val="00F06673"/>
    <w:rsid w:val="00F06961"/>
    <w:rsid w:val="00F069CC"/>
    <w:rsid w:val="00F06AF1"/>
    <w:rsid w:val="00F06D40"/>
    <w:rsid w:val="00F07013"/>
    <w:rsid w:val="00F073E1"/>
    <w:rsid w:val="00F078D8"/>
    <w:rsid w:val="00F07F1E"/>
    <w:rsid w:val="00F1066F"/>
    <w:rsid w:val="00F10F25"/>
    <w:rsid w:val="00F11369"/>
    <w:rsid w:val="00F113FC"/>
    <w:rsid w:val="00F115A9"/>
    <w:rsid w:val="00F11798"/>
    <w:rsid w:val="00F11948"/>
    <w:rsid w:val="00F11B59"/>
    <w:rsid w:val="00F11C28"/>
    <w:rsid w:val="00F11D92"/>
    <w:rsid w:val="00F11E33"/>
    <w:rsid w:val="00F1287A"/>
    <w:rsid w:val="00F12AAE"/>
    <w:rsid w:val="00F12D0E"/>
    <w:rsid w:val="00F13064"/>
    <w:rsid w:val="00F133BF"/>
    <w:rsid w:val="00F1341B"/>
    <w:rsid w:val="00F1385A"/>
    <w:rsid w:val="00F1391A"/>
    <w:rsid w:val="00F13A9E"/>
    <w:rsid w:val="00F13DB9"/>
    <w:rsid w:val="00F13F8F"/>
    <w:rsid w:val="00F1411F"/>
    <w:rsid w:val="00F1415F"/>
    <w:rsid w:val="00F14201"/>
    <w:rsid w:val="00F14F4E"/>
    <w:rsid w:val="00F1508C"/>
    <w:rsid w:val="00F153C1"/>
    <w:rsid w:val="00F1578E"/>
    <w:rsid w:val="00F15EA2"/>
    <w:rsid w:val="00F15F71"/>
    <w:rsid w:val="00F15FC8"/>
    <w:rsid w:val="00F1640A"/>
    <w:rsid w:val="00F1653E"/>
    <w:rsid w:val="00F16A14"/>
    <w:rsid w:val="00F16F6E"/>
    <w:rsid w:val="00F1724F"/>
    <w:rsid w:val="00F17557"/>
    <w:rsid w:val="00F17AF5"/>
    <w:rsid w:val="00F17BC2"/>
    <w:rsid w:val="00F20092"/>
    <w:rsid w:val="00F20551"/>
    <w:rsid w:val="00F20763"/>
    <w:rsid w:val="00F20C62"/>
    <w:rsid w:val="00F21B42"/>
    <w:rsid w:val="00F227C8"/>
    <w:rsid w:val="00F229D9"/>
    <w:rsid w:val="00F22CD0"/>
    <w:rsid w:val="00F22D43"/>
    <w:rsid w:val="00F22E49"/>
    <w:rsid w:val="00F2303C"/>
    <w:rsid w:val="00F2307D"/>
    <w:rsid w:val="00F230EA"/>
    <w:rsid w:val="00F239F2"/>
    <w:rsid w:val="00F23CB7"/>
    <w:rsid w:val="00F24039"/>
    <w:rsid w:val="00F24139"/>
    <w:rsid w:val="00F244F1"/>
    <w:rsid w:val="00F2453A"/>
    <w:rsid w:val="00F246F3"/>
    <w:rsid w:val="00F24772"/>
    <w:rsid w:val="00F24E7F"/>
    <w:rsid w:val="00F251FD"/>
    <w:rsid w:val="00F254F7"/>
    <w:rsid w:val="00F257B5"/>
    <w:rsid w:val="00F262D0"/>
    <w:rsid w:val="00F2656D"/>
    <w:rsid w:val="00F267A3"/>
    <w:rsid w:val="00F2687C"/>
    <w:rsid w:val="00F2720E"/>
    <w:rsid w:val="00F2769A"/>
    <w:rsid w:val="00F2776D"/>
    <w:rsid w:val="00F27A31"/>
    <w:rsid w:val="00F27AFB"/>
    <w:rsid w:val="00F306A3"/>
    <w:rsid w:val="00F30FB8"/>
    <w:rsid w:val="00F31C35"/>
    <w:rsid w:val="00F32084"/>
    <w:rsid w:val="00F3247E"/>
    <w:rsid w:val="00F325AB"/>
    <w:rsid w:val="00F32684"/>
    <w:rsid w:val="00F32793"/>
    <w:rsid w:val="00F3294E"/>
    <w:rsid w:val="00F329BC"/>
    <w:rsid w:val="00F32B6A"/>
    <w:rsid w:val="00F32BA5"/>
    <w:rsid w:val="00F3323C"/>
    <w:rsid w:val="00F33473"/>
    <w:rsid w:val="00F33692"/>
    <w:rsid w:val="00F33DE8"/>
    <w:rsid w:val="00F33F10"/>
    <w:rsid w:val="00F34245"/>
    <w:rsid w:val="00F345B8"/>
    <w:rsid w:val="00F346E6"/>
    <w:rsid w:val="00F3492A"/>
    <w:rsid w:val="00F350AF"/>
    <w:rsid w:val="00F356AD"/>
    <w:rsid w:val="00F357C2"/>
    <w:rsid w:val="00F35BDC"/>
    <w:rsid w:val="00F35E76"/>
    <w:rsid w:val="00F36334"/>
    <w:rsid w:val="00F36627"/>
    <w:rsid w:val="00F36734"/>
    <w:rsid w:val="00F367E4"/>
    <w:rsid w:val="00F36C2E"/>
    <w:rsid w:val="00F36C7D"/>
    <w:rsid w:val="00F36DF9"/>
    <w:rsid w:val="00F36E4F"/>
    <w:rsid w:val="00F36F78"/>
    <w:rsid w:val="00F3791D"/>
    <w:rsid w:val="00F37A70"/>
    <w:rsid w:val="00F37BB7"/>
    <w:rsid w:val="00F37C9B"/>
    <w:rsid w:val="00F37D26"/>
    <w:rsid w:val="00F4000C"/>
    <w:rsid w:val="00F40296"/>
    <w:rsid w:val="00F40864"/>
    <w:rsid w:val="00F4087E"/>
    <w:rsid w:val="00F40BD4"/>
    <w:rsid w:val="00F40C5D"/>
    <w:rsid w:val="00F40DF9"/>
    <w:rsid w:val="00F41002"/>
    <w:rsid w:val="00F4117A"/>
    <w:rsid w:val="00F4136D"/>
    <w:rsid w:val="00F41467"/>
    <w:rsid w:val="00F41ABB"/>
    <w:rsid w:val="00F41ABE"/>
    <w:rsid w:val="00F41ADC"/>
    <w:rsid w:val="00F41C25"/>
    <w:rsid w:val="00F41FC5"/>
    <w:rsid w:val="00F42130"/>
    <w:rsid w:val="00F42363"/>
    <w:rsid w:val="00F42689"/>
    <w:rsid w:val="00F42AD0"/>
    <w:rsid w:val="00F42F7C"/>
    <w:rsid w:val="00F430D1"/>
    <w:rsid w:val="00F43313"/>
    <w:rsid w:val="00F43535"/>
    <w:rsid w:val="00F43D62"/>
    <w:rsid w:val="00F440EF"/>
    <w:rsid w:val="00F44229"/>
    <w:rsid w:val="00F44731"/>
    <w:rsid w:val="00F44855"/>
    <w:rsid w:val="00F44895"/>
    <w:rsid w:val="00F44E34"/>
    <w:rsid w:val="00F44FBF"/>
    <w:rsid w:val="00F45901"/>
    <w:rsid w:val="00F46537"/>
    <w:rsid w:val="00F46722"/>
    <w:rsid w:val="00F46726"/>
    <w:rsid w:val="00F46C1C"/>
    <w:rsid w:val="00F47209"/>
    <w:rsid w:val="00F479F6"/>
    <w:rsid w:val="00F47CB3"/>
    <w:rsid w:val="00F4C2FB"/>
    <w:rsid w:val="00F50017"/>
    <w:rsid w:val="00F50585"/>
    <w:rsid w:val="00F516E3"/>
    <w:rsid w:val="00F51A57"/>
    <w:rsid w:val="00F51B0A"/>
    <w:rsid w:val="00F51CEE"/>
    <w:rsid w:val="00F51EFB"/>
    <w:rsid w:val="00F522EF"/>
    <w:rsid w:val="00F52620"/>
    <w:rsid w:val="00F52ACD"/>
    <w:rsid w:val="00F52AEB"/>
    <w:rsid w:val="00F52F50"/>
    <w:rsid w:val="00F52FB7"/>
    <w:rsid w:val="00F533DE"/>
    <w:rsid w:val="00F5340B"/>
    <w:rsid w:val="00F535DE"/>
    <w:rsid w:val="00F53A03"/>
    <w:rsid w:val="00F5400F"/>
    <w:rsid w:val="00F54116"/>
    <w:rsid w:val="00F54294"/>
    <w:rsid w:val="00F54695"/>
    <w:rsid w:val="00F54832"/>
    <w:rsid w:val="00F54B0D"/>
    <w:rsid w:val="00F54B31"/>
    <w:rsid w:val="00F54E5A"/>
    <w:rsid w:val="00F554A7"/>
    <w:rsid w:val="00F559F9"/>
    <w:rsid w:val="00F55E82"/>
    <w:rsid w:val="00F55EDC"/>
    <w:rsid w:val="00F5622A"/>
    <w:rsid w:val="00F563CA"/>
    <w:rsid w:val="00F56C2C"/>
    <w:rsid w:val="00F574BB"/>
    <w:rsid w:val="00F5777B"/>
    <w:rsid w:val="00F57885"/>
    <w:rsid w:val="00F57FF2"/>
    <w:rsid w:val="00F601FD"/>
    <w:rsid w:val="00F604C2"/>
    <w:rsid w:val="00F60C10"/>
    <w:rsid w:val="00F60D56"/>
    <w:rsid w:val="00F610C4"/>
    <w:rsid w:val="00F6110E"/>
    <w:rsid w:val="00F61D5B"/>
    <w:rsid w:val="00F61EDE"/>
    <w:rsid w:val="00F62A61"/>
    <w:rsid w:val="00F63143"/>
    <w:rsid w:val="00F634CE"/>
    <w:rsid w:val="00F636EC"/>
    <w:rsid w:val="00F637DC"/>
    <w:rsid w:val="00F64883"/>
    <w:rsid w:val="00F64ACB"/>
    <w:rsid w:val="00F65023"/>
    <w:rsid w:val="00F6565D"/>
    <w:rsid w:val="00F65B20"/>
    <w:rsid w:val="00F65B42"/>
    <w:rsid w:val="00F65BCD"/>
    <w:rsid w:val="00F65C16"/>
    <w:rsid w:val="00F66144"/>
    <w:rsid w:val="00F661EB"/>
    <w:rsid w:val="00F6628B"/>
    <w:rsid w:val="00F66622"/>
    <w:rsid w:val="00F66D08"/>
    <w:rsid w:val="00F66F99"/>
    <w:rsid w:val="00F6713F"/>
    <w:rsid w:val="00F6722C"/>
    <w:rsid w:val="00F67448"/>
    <w:rsid w:val="00F675C7"/>
    <w:rsid w:val="00F67AE8"/>
    <w:rsid w:val="00F700CF"/>
    <w:rsid w:val="00F704CC"/>
    <w:rsid w:val="00F70739"/>
    <w:rsid w:val="00F7134A"/>
    <w:rsid w:val="00F71487"/>
    <w:rsid w:val="00F71BF2"/>
    <w:rsid w:val="00F71D48"/>
    <w:rsid w:val="00F7204D"/>
    <w:rsid w:val="00F72154"/>
    <w:rsid w:val="00F72198"/>
    <w:rsid w:val="00F7235D"/>
    <w:rsid w:val="00F72E2D"/>
    <w:rsid w:val="00F73BA8"/>
    <w:rsid w:val="00F73C9D"/>
    <w:rsid w:val="00F7413A"/>
    <w:rsid w:val="00F74534"/>
    <w:rsid w:val="00F745AB"/>
    <w:rsid w:val="00F74B0F"/>
    <w:rsid w:val="00F74B51"/>
    <w:rsid w:val="00F74E1A"/>
    <w:rsid w:val="00F74E5F"/>
    <w:rsid w:val="00F758C5"/>
    <w:rsid w:val="00F76003"/>
    <w:rsid w:val="00F76163"/>
    <w:rsid w:val="00F76934"/>
    <w:rsid w:val="00F7693F"/>
    <w:rsid w:val="00F76B8C"/>
    <w:rsid w:val="00F7701B"/>
    <w:rsid w:val="00F77E79"/>
    <w:rsid w:val="00F80562"/>
    <w:rsid w:val="00F80705"/>
    <w:rsid w:val="00F80C7D"/>
    <w:rsid w:val="00F80E7A"/>
    <w:rsid w:val="00F8117E"/>
    <w:rsid w:val="00F81362"/>
    <w:rsid w:val="00F81565"/>
    <w:rsid w:val="00F8175A"/>
    <w:rsid w:val="00F81ACB"/>
    <w:rsid w:val="00F81E28"/>
    <w:rsid w:val="00F82133"/>
    <w:rsid w:val="00F822AB"/>
    <w:rsid w:val="00F8240C"/>
    <w:rsid w:val="00F8246C"/>
    <w:rsid w:val="00F8269B"/>
    <w:rsid w:val="00F82CB1"/>
    <w:rsid w:val="00F82E59"/>
    <w:rsid w:val="00F830BA"/>
    <w:rsid w:val="00F836C9"/>
    <w:rsid w:val="00F836F1"/>
    <w:rsid w:val="00F83F97"/>
    <w:rsid w:val="00F84481"/>
    <w:rsid w:val="00F84653"/>
    <w:rsid w:val="00F8465F"/>
    <w:rsid w:val="00F84973"/>
    <w:rsid w:val="00F84BB4"/>
    <w:rsid w:val="00F84D91"/>
    <w:rsid w:val="00F850DE"/>
    <w:rsid w:val="00F854EE"/>
    <w:rsid w:val="00F863B1"/>
    <w:rsid w:val="00F865ED"/>
    <w:rsid w:val="00F872CB"/>
    <w:rsid w:val="00F87CB4"/>
    <w:rsid w:val="00F87E37"/>
    <w:rsid w:val="00F9042D"/>
    <w:rsid w:val="00F9060E"/>
    <w:rsid w:val="00F90A6F"/>
    <w:rsid w:val="00F90B19"/>
    <w:rsid w:val="00F90C90"/>
    <w:rsid w:val="00F9107D"/>
    <w:rsid w:val="00F910DB"/>
    <w:rsid w:val="00F91353"/>
    <w:rsid w:val="00F913F0"/>
    <w:rsid w:val="00F91EF8"/>
    <w:rsid w:val="00F9208F"/>
    <w:rsid w:val="00F924BC"/>
    <w:rsid w:val="00F92A89"/>
    <w:rsid w:val="00F92C6C"/>
    <w:rsid w:val="00F92DBA"/>
    <w:rsid w:val="00F930E3"/>
    <w:rsid w:val="00F93375"/>
    <w:rsid w:val="00F9339E"/>
    <w:rsid w:val="00F93642"/>
    <w:rsid w:val="00F9391E"/>
    <w:rsid w:val="00F93A6C"/>
    <w:rsid w:val="00F94052"/>
    <w:rsid w:val="00F94152"/>
    <w:rsid w:val="00F9444A"/>
    <w:rsid w:val="00F945F7"/>
    <w:rsid w:val="00F94F1F"/>
    <w:rsid w:val="00F952A8"/>
    <w:rsid w:val="00F96352"/>
    <w:rsid w:val="00F9684A"/>
    <w:rsid w:val="00F9684F"/>
    <w:rsid w:val="00F96912"/>
    <w:rsid w:val="00F96CAC"/>
    <w:rsid w:val="00F970BF"/>
    <w:rsid w:val="00F9742B"/>
    <w:rsid w:val="00F97594"/>
    <w:rsid w:val="00F977BF"/>
    <w:rsid w:val="00F977EF"/>
    <w:rsid w:val="00F97AC5"/>
    <w:rsid w:val="00F97D6E"/>
    <w:rsid w:val="00FA0165"/>
    <w:rsid w:val="00FA0825"/>
    <w:rsid w:val="00FA088C"/>
    <w:rsid w:val="00FA08AD"/>
    <w:rsid w:val="00FA0920"/>
    <w:rsid w:val="00FA1399"/>
    <w:rsid w:val="00FA159B"/>
    <w:rsid w:val="00FA186F"/>
    <w:rsid w:val="00FA18A5"/>
    <w:rsid w:val="00FA1C4C"/>
    <w:rsid w:val="00FA2318"/>
    <w:rsid w:val="00FA25A0"/>
    <w:rsid w:val="00FA26B0"/>
    <w:rsid w:val="00FA2A82"/>
    <w:rsid w:val="00FA2F27"/>
    <w:rsid w:val="00FA32C6"/>
    <w:rsid w:val="00FA36D4"/>
    <w:rsid w:val="00FA3862"/>
    <w:rsid w:val="00FA4150"/>
    <w:rsid w:val="00FA4639"/>
    <w:rsid w:val="00FA48D9"/>
    <w:rsid w:val="00FA4974"/>
    <w:rsid w:val="00FA4E69"/>
    <w:rsid w:val="00FA5006"/>
    <w:rsid w:val="00FA5766"/>
    <w:rsid w:val="00FA59F4"/>
    <w:rsid w:val="00FA63E4"/>
    <w:rsid w:val="00FA6458"/>
    <w:rsid w:val="00FA7D35"/>
    <w:rsid w:val="00FA7D7D"/>
    <w:rsid w:val="00FA7DB2"/>
    <w:rsid w:val="00FB045A"/>
    <w:rsid w:val="00FB0896"/>
    <w:rsid w:val="00FB08E1"/>
    <w:rsid w:val="00FB0E1E"/>
    <w:rsid w:val="00FB162F"/>
    <w:rsid w:val="00FB1A85"/>
    <w:rsid w:val="00FB226A"/>
    <w:rsid w:val="00FB24AA"/>
    <w:rsid w:val="00FB2552"/>
    <w:rsid w:val="00FB2663"/>
    <w:rsid w:val="00FB2BC9"/>
    <w:rsid w:val="00FB2E72"/>
    <w:rsid w:val="00FB368F"/>
    <w:rsid w:val="00FB394E"/>
    <w:rsid w:val="00FB3A64"/>
    <w:rsid w:val="00FB440B"/>
    <w:rsid w:val="00FB4776"/>
    <w:rsid w:val="00FB5243"/>
    <w:rsid w:val="00FB5574"/>
    <w:rsid w:val="00FB5A62"/>
    <w:rsid w:val="00FB5A68"/>
    <w:rsid w:val="00FB5F93"/>
    <w:rsid w:val="00FB6029"/>
    <w:rsid w:val="00FB602B"/>
    <w:rsid w:val="00FB6044"/>
    <w:rsid w:val="00FB620D"/>
    <w:rsid w:val="00FB65AA"/>
    <w:rsid w:val="00FB6603"/>
    <w:rsid w:val="00FB6678"/>
    <w:rsid w:val="00FB67B6"/>
    <w:rsid w:val="00FB6D36"/>
    <w:rsid w:val="00FB6E41"/>
    <w:rsid w:val="00FB6F67"/>
    <w:rsid w:val="00FB7098"/>
    <w:rsid w:val="00FB74EC"/>
    <w:rsid w:val="00FB791A"/>
    <w:rsid w:val="00FB7945"/>
    <w:rsid w:val="00FC0293"/>
    <w:rsid w:val="00FC033D"/>
    <w:rsid w:val="00FC0AD7"/>
    <w:rsid w:val="00FC0D03"/>
    <w:rsid w:val="00FC0F4B"/>
    <w:rsid w:val="00FC10DE"/>
    <w:rsid w:val="00FC1256"/>
    <w:rsid w:val="00FC16DF"/>
    <w:rsid w:val="00FC185D"/>
    <w:rsid w:val="00FC1D3D"/>
    <w:rsid w:val="00FC2111"/>
    <w:rsid w:val="00FC24AE"/>
    <w:rsid w:val="00FC2A09"/>
    <w:rsid w:val="00FC2CEF"/>
    <w:rsid w:val="00FC2D5F"/>
    <w:rsid w:val="00FC31A5"/>
    <w:rsid w:val="00FC35D2"/>
    <w:rsid w:val="00FC365C"/>
    <w:rsid w:val="00FC3688"/>
    <w:rsid w:val="00FC3754"/>
    <w:rsid w:val="00FC378F"/>
    <w:rsid w:val="00FC3AAD"/>
    <w:rsid w:val="00FC3C3E"/>
    <w:rsid w:val="00FC3C62"/>
    <w:rsid w:val="00FC3C6D"/>
    <w:rsid w:val="00FC3CD5"/>
    <w:rsid w:val="00FC3D52"/>
    <w:rsid w:val="00FC46F5"/>
    <w:rsid w:val="00FC4833"/>
    <w:rsid w:val="00FC4D2B"/>
    <w:rsid w:val="00FC5049"/>
    <w:rsid w:val="00FC51B1"/>
    <w:rsid w:val="00FC535D"/>
    <w:rsid w:val="00FC5603"/>
    <w:rsid w:val="00FC57A2"/>
    <w:rsid w:val="00FC5A47"/>
    <w:rsid w:val="00FC5B74"/>
    <w:rsid w:val="00FC5C2D"/>
    <w:rsid w:val="00FC646F"/>
    <w:rsid w:val="00FC670C"/>
    <w:rsid w:val="00FC71E5"/>
    <w:rsid w:val="00FC726A"/>
    <w:rsid w:val="00FC7566"/>
    <w:rsid w:val="00FC764F"/>
    <w:rsid w:val="00FC7A10"/>
    <w:rsid w:val="00FC7C48"/>
    <w:rsid w:val="00FD0422"/>
    <w:rsid w:val="00FD0711"/>
    <w:rsid w:val="00FD0916"/>
    <w:rsid w:val="00FD0987"/>
    <w:rsid w:val="00FD0B28"/>
    <w:rsid w:val="00FD1407"/>
    <w:rsid w:val="00FD1677"/>
    <w:rsid w:val="00FD16AA"/>
    <w:rsid w:val="00FD17BA"/>
    <w:rsid w:val="00FD1BD1"/>
    <w:rsid w:val="00FD1C4F"/>
    <w:rsid w:val="00FD1D0D"/>
    <w:rsid w:val="00FD1ED8"/>
    <w:rsid w:val="00FD1F29"/>
    <w:rsid w:val="00FD24E5"/>
    <w:rsid w:val="00FD253C"/>
    <w:rsid w:val="00FD254E"/>
    <w:rsid w:val="00FD25C6"/>
    <w:rsid w:val="00FD2954"/>
    <w:rsid w:val="00FD2A21"/>
    <w:rsid w:val="00FD2C9D"/>
    <w:rsid w:val="00FD2F74"/>
    <w:rsid w:val="00FD2F83"/>
    <w:rsid w:val="00FD3123"/>
    <w:rsid w:val="00FD3B94"/>
    <w:rsid w:val="00FD40DD"/>
    <w:rsid w:val="00FD43B3"/>
    <w:rsid w:val="00FD4791"/>
    <w:rsid w:val="00FD4F1D"/>
    <w:rsid w:val="00FD5A3D"/>
    <w:rsid w:val="00FD61AA"/>
    <w:rsid w:val="00FD6295"/>
    <w:rsid w:val="00FD6F38"/>
    <w:rsid w:val="00FD702F"/>
    <w:rsid w:val="00FD7394"/>
    <w:rsid w:val="00FD7722"/>
    <w:rsid w:val="00FD7FB6"/>
    <w:rsid w:val="00FE000C"/>
    <w:rsid w:val="00FE0389"/>
    <w:rsid w:val="00FE0568"/>
    <w:rsid w:val="00FE07A0"/>
    <w:rsid w:val="00FE092D"/>
    <w:rsid w:val="00FE0ACB"/>
    <w:rsid w:val="00FE0C11"/>
    <w:rsid w:val="00FE1118"/>
    <w:rsid w:val="00FE1688"/>
    <w:rsid w:val="00FE1ED9"/>
    <w:rsid w:val="00FE2033"/>
    <w:rsid w:val="00FE2964"/>
    <w:rsid w:val="00FE2BC9"/>
    <w:rsid w:val="00FE2ED5"/>
    <w:rsid w:val="00FE3752"/>
    <w:rsid w:val="00FE3F71"/>
    <w:rsid w:val="00FE4057"/>
    <w:rsid w:val="00FE40E5"/>
    <w:rsid w:val="00FE4143"/>
    <w:rsid w:val="00FE4739"/>
    <w:rsid w:val="00FE4BB4"/>
    <w:rsid w:val="00FE4DB2"/>
    <w:rsid w:val="00FE5002"/>
    <w:rsid w:val="00FE53B7"/>
    <w:rsid w:val="00FE5AD0"/>
    <w:rsid w:val="00FE5CDD"/>
    <w:rsid w:val="00FE6342"/>
    <w:rsid w:val="00FE637C"/>
    <w:rsid w:val="00FE63AE"/>
    <w:rsid w:val="00FE6439"/>
    <w:rsid w:val="00FE6455"/>
    <w:rsid w:val="00FE681D"/>
    <w:rsid w:val="00FE74DF"/>
    <w:rsid w:val="00FE76B7"/>
    <w:rsid w:val="00FE7A4F"/>
    <w:rsid w:val="00FE7C6E"/>
    <w:rsid w:val="00FE7E80"/>
    <w:rsid w:val="00FE7EE4"/>
    <w:rsid w:val="00FF02B7"/>
    <w:rsid w:val="00FF053B"/>
    <w:rsid w:val="00FF0A4A"/>
    <w:rsid w:val="00FF0DBD"/>
    <w:rsid w:val="00FF0E39"/>
    <w:rsid w:val="00FF1199"/>
    <w:rsid w:val="00FF1780"/>
    <w:rsid w:val="00FF1C27"/>
    <w:rsid w:val="00FF2100"/>
    <w:rsid w:val="00FF264E"/>
    <w:rsid w:val="00FF2AA6"/>
    <w:rsid w:val="00FF2D63"/>
    <w:rsid w:val="00FF2EFA"/>
    <w:rsid w:val="00FF3168"/>
    <w:rsid w:val="00FF398A"/>
    <w:rsid w:val="00FF3A07"/>
    <w:rsid w:val="00FF3E49"/>
    <w:rsid w:val="00FF3FEA"/>
    <w:rsid w:val="00FF441F"/>
    <w:rsid w:val="00FF4587"/>
    <w:rsid w:val="00FF4905"/>
    <w:rsid w:val="00FF4C68"/>
    <w:rsid w:val="00FF5A33"/>
    <w:rsid w:val="00FF5B63"/>
    <w:rsid w:val="00FF6538"/>
    <w:rsid w:val="00FF668F"/>
    <w:rsid w:val="00FF66BC"/>
    <w:rsid w:val="00FF6945"/>
    <w:rsid w:val="00FF75E5"/>
    <w:rsid w:val="00FF77CF"/>
    <w:rsid w:val="00FF7A12"/>
    <w:rsid w:val="010C7424"/>
    <w:rsid w:val="011A87CD"/>
    <w:rsid w:val="013BADC6"/>
    <w:rsid w:val="015F43DB"/>
    <w:rsid w:val="016FB2DC"/>
    <w:rsid w:val="0186CA26"/>
    <w:rsid w:val="01C5AA29"/>
    <w:rsid w:val="01CE1B22"/>
    <w:rsid w:val="01E0C001"/>
    <w:rsid w:val="02128ED0"/>
    <w:rsid w:val="023FCF8C"/>
    <w:rsid w:val="02554711"/>
    <w:rsid w:val="0257C9A3"/>
    <w:rsid w:val="025E915B"/>
    <w:rsid w:val="02B80B3A"/>
    <w:rsid w:val="02D977DA"/>
    <w:rsid w:val="02FA7779"/>
    <w:rsid w:val="0340E169"/>
    <w:rsid w:val="035140E4"/>
    <w:rsid w:val="037C9473"/>
    <w:rsid w:val="03843472"/>
    <w:rsid w:val="03FB4A21"/>
    <w:rsid w:val="04344E8B"/>
    <w:rsid w:val="046C220C"/>
    <w:rsid w:val="04723ADD"/>
    <w:rsid w:val="04979BCC"/>
    <w:rsid w:val="04AE0C54"/>
    <w:rsid w:val="04E902AF"/>
    <w:rsid w:val="0514FA0B"/>
    <w:rsid w:val="051BD608"/>
    <w:rsid w:val="0531677E"/>
    <w:rsid w:val="055E0EB5"/>
    <w:rsid w:val="056F0D6F"/>
    <w:rsid w:val="05EEBFBC"/>
    <w:rsid w:val="05FC152F"/>
    <w:rsid w:val="0635CA0D"/>
    <w:rsid w:val="06366CFF"/>
    <w:rsid w:val="06371754"/>
    <w:rsid w:val="0647FE6A"/>
    <w:rsid w:val="06703F5C"/>
    <w:rsid w:val="0686374B"/>
    <w:rsid w:val="069A2C20"/>
    <w:rsid w:val="06A49806"/>
    <w:rsid w:val="06F47AA1"/>
    <w:rsid w:val="07358DCE"/>
    <w:rsid w:val="07645438"/>
    <w:rsid w:val="0788B707"/>
    <w:rsid w:val="07B9D93B"/>
    <w:rsid w:val="07DC33CA"/>
    <w:rsid w:val="07F0B381"/>
    <w:rsid w:val="07F7AC6A"/>
    <w:rsid w:val="083DCC9F"/>
    <w:rsid w:val="0841D65D"/>
    <w:rsid w:val="0880F44C"/>
    <w:rsid w:val="08CCA09D"/>
    <w:rsid w:val="08DAE171"/>
    <w:rsid w:val="092659D0"/>
    <w:rsid w:val="095C999E"/>
    <w:rsid w:val="095F9F52"/>
    <w:rsid w:val="09619C64"/>
    <w:rsid w:val="0972AFFD"/>
    <w:rsid w:val="098DEC19"/>
    <w:rsid w:val="09BE17D7"/>
    <w:rsid w:val="09CA285A"/>
    <w:rsid w:val="0A0330EC"/>
    <w:rsid w:val="0A26EA0E"/>
    <w:rsid w:val="0A3C26A9"/>
    <w:rsid w:val="0A5996AE"/>
    <w:rsid w:val="0A6AC74A"/>
    <w:rsid w:val="0A8ACBAC"/>
    <w:rsid w:val="0AC12212"/>
    <w:rsid w:val="0ACCDA8F"/>
    <w:rsid w:val="0AD931E8"/>
    <w:rsid w:val="0AE7B2D7"/>
    <w:rsid w:val="0B13037D"/>
    <w:rsid w:val="0B146CB5"/>
    <w:rsid w:val="0B1EB178"/>
    <w:rsid w:val="0B347B66"/>
    <w:rsid w:val="0B3C69C9"/>
    <w:rsid w:val="0B4C8A77"/>
    <w:rsid w:val="0B716507"/>
    <w:rsid w:val="0BC66CBF"/>
    <w:rsid w:val="0BCFB01F"/>
    <w:rsid w:val="0BD559DF"/>
    <w:rsid w:val="0BE9172E"/>
    <w:rsid w:val="0BE9A11C"/>
    <w:rsid w:val="0BF08B9F"/>
    <w:rsid w:val="0C0AB329"/>
    <w:rsid w:val="0C1A2276"/>
    <w:rsid w:val="0C269C0D"/>
    <w:rsid w:val="0C3DB113"/>
    <w:rsid w:val="0C46CA06"/>
    <w:rsid w:val="0C7711D7"/>
    <w:rsid w:val="0C8C46AD"/>
    <w:rsid w:val="0C969827"/>
    <w:rsid w:val="0CA70247"/>
    <w:rsid w:val="0CD631B0"/>
    <w:rsid w:val="0D26B518"/>
    <w:rsid w:val="0D3D4552"/>
    <w:rsid w:val="0D48CD79"/>
    <w:rsid w:val="0D5F308D"/>
    <w:rsid w:val="0D604000"/>
    <w:rsid w:val="0D65A287"/>
    <w:rsid w:val="0D755388"/>
    <w:rsid w:val="0D848F44"/>
    <w:rsid w:val="0D973416"/>
    <w:rsid w:val="0DB47B48"/>
    <w:rsid w:val="0DC41535"/>
    <w:rsid w:val="0DF61C89"/>
    <w:rsid w:val="0E0D420E"/>
    <w:rsid w:val="0E1D3530"/>
    <w:rsid w:val="0E2D0219"/>
    <w:rsid w:val="0E35EE25"/>
    <w:rsid w:val="0E3F175B"/>
    <w:rsid w:val="0E583A3C"/>
    <w:rsid w:val="0E7A2C76"/>
    <w:rsid w:val="0EC4CFD0"/>
    <w:rsid w:val="0EC8946D"/>
    <w:rsid w:val="0ECFB133"/>
    <w:rsid w:val="0ED16DBB"/>
    <w:rsid w:val="0F0A251C"/>
    <w:rsid w:val="0F134E31"/>
    <w:rsid w:val="0F31BC52"/>
    <w:rsid w:val="0F399483"/>
    <w:rsid w:val="0F426006"/>
    <w:rsid w:val="0F43E582"/>
    <w:rsid w:val="0F78C1A4"/>
    <w:rsid w:val="0FB21BEC"/>
    <w:rsid w:val="0FC426E8"/>
    <w:rsid w:val="0FCAF239"/>
    <w:rsid w:val="0FD1317C"/>
    <w:rsid w:val="1001D22D"/>
    <w:rsid w:val="105F826E"/>
    <w:rsid w:val="106A7250"/>
    <w:rsid w:val="1072872D"/>
    <w:rsid w:val="107801DD"/>
    <w:rsid w:val="10882C3B"/>
    <w:rsid w:val="10968BA3"/>
    <w:rsid w:val="10A198B4"/>
    <w:rsid w:val="10CE7B0C"/>
    <w:rsid w:val="1117CEA0"/>
    <w:rsid w:val="1163B084"/>
    <w:rsid w:val="11C040A9"/>
    <w:rsid w:val="11E2D4CF"/>
    <w:rsid w:val="11F55983"/>
    <w:rsid w:val="120176A9"/>
    <w:rsid w:val="121D8F65"/>
    <w:rsid w:val="123B1C61"/>
    <w:rsid w:val="1240204C"/>
    <w:rsid w:val="1268FEE4"/>
    <w:rsid w:val="1279DD31"/>
    <w:rsid w:val="12C79595"/>
    <w:rsid w:val="12E6535B"/>
    <w:rsid w:val="12F478BA"/>
    <w:rsid w:val="12F648A9"/>
    <w:rsid w:val="12F9D70C"/>
    <w:rsid w:val="12FF7800"/>
    <w:rsid w:val="1307FB5B"/>
    <w:rsid w:val="130D148B"/>
    <w:rsid w:val="131B1E49"/>
    <w:rsid w:val="1320A5D0"/>
    <w:rsid w:val="13869ADE"/>
    <w:rsid w:val="13DF2B5F"/>
    <w:rsid w:val="13DF93A4"/>
    <w:rsid w:val="13FEE93D"/>
    <w:rsid w:val="14179FA1"/>
    <w:rsid w:val="1421AEFD"/>
    <w:rsid w:val="142F75E8"/>
    <w:rsid w:val="14375F63"/>
    <w:rsid w:val="14377050"/>
    <w:rsid w:val="145C90B8"/>
    <w:rsid w:val="149908CE"/>
    <w:rsid w:val="14B45E75"/>
    <w:rsid w:val="14E2BFDC"/>
    <w:rsid w:val="1518B5D5"/>
    <w:rsid w:val="151BBE53"/>
    <w:rsid w:val="15379C9C"/>
    <w:rsid w:val="1581D164"/>
    <w:rsid w:val="159D078C"/>
    <w:rsid w:val="15BC6995"/>
    <w:rsid w:val="15D9A372"/>
    <w:rsid w:val="16000A49"/>
    <w:rsid w:val="1601E9D1"/>
    <w:rsid w:val="16215FF6"/>
    <w:rsid w:val="1622FF14"/>
    <w:rsid w:val="167B06BB"/>
    <w:rsid w:val="16A5640E"/>
    <w:rsid w:val="16F663BD"/>
    <w:rsid w:val="17080852"/>
    <w:rsid w:val="17203895"/>
    <w:rsid w:val="17314E45"/>
    <w:rsid w:val="1752F591"/>
    <w:rsid w:val="177C29B0"/>
    <w:rsid w:val="17A5E4CB"/>
    <w:rsid w:val="17B638A9"/>
    <w:rsid w:val="17C68174"/>
    <w:rsid w:val="17DB6C7E"/>
    <w:rsid w:val="17DEB626"/>
    <w:rsid w:val="17EEE6C6"/>
    <w:rsid w:val="17EF2824"/>
    <w:rsid w:val="17FE6437"/>
    <w:rsid w:val="18533D29"/>
    <w:rsid w:val="185BDC93"/>
    <w:rsid w:val="18737116"/>
    <w:rsid w:val="187B076F"/>
    <w:rsid w:val="18A9BCD8"/>
    <w:rsid w:val="18AB703A"/>
    <w:rsid w:val="18AD9192"/>
    <w:rsid w:val="18BDF683"/>
    <w:rsid w:val="18EBF6B8"/>
    <w:rsid w:val="19351CAB"/>
    <w:rsid w:val="19B7C987"/>
    <w:rsid w:val="1A00A045"/>
    <w:rsid w:val="1A191481"/>
    <w:rsid w:val="1A3167FC"/>
    <w:rsid w:val="1A472644"/>
    <w:rsid w:val="1A6C11FC"/>
    <w:rsid w:val="1AECA493"/>
    <w:rsid w:val="1B06D364"/>
    <w:rsid w:val="1B1188A1"/>
    <w:rsid w:val="1B285DE8"/>
    <w:rsid w:val="1B2FB76F"/>
    <w:rsid w:val="1B4A62EC"/>
    <w:rsid w:val="1B6831CD"/>
    <w:rsid w:val="1B6C74FB"/>
    <w:rsid w:val="1B9CDDFB"/>
    <w:rsid w:val="1BACCB9E"/>
    <w:rsid w:val="1BB03790"/>
    <w:rsid w:val="1BCA80D8"/>
    <w:rsid w:val="1C0EAC18"/>
    <w:rsid w:val="1C7AA8B9"/>
    <w:rsid w:val="1C804529"/>
    <w:rsid w:val="1CAD8AF1"/>
    <w:rsid w:val="1CBE102E"/>
    <w:rsid w:val="1CDF2B31"/>
    <w:rsid w:val="1CFC1294"/>
    <w:rsid w:val="1D5906B1"/>
    <w:rsid w:val="1D799ECE"/>
    <w:rsid w:val="1D80F894"/>
    <w:rsid w:val="1D99EE96"/>
    <w:rsid w:val="1DAA006A"/>
    <w:rsid w:val="1DD4A922"/>
    <w:rsid w:val="1DE5D9B1"/>
    <w:rsid w:val="1DEAC22F"/>
    <w:rsid w:val="1E0CB514"/>
    <w:rsid w:val="1E69B5B6"/>
    <w:rsid w:val="1E71985D"/>
    <w:rsid w:val="1E7FC076"/>
    <w:rsid w:val="1ED249E1"/>
    <w:rsid w:val="1EF133FE"/>
    <w:rsid w:val="1F35F490"/>
    <w:rsid w:val="1F56C683"/>
    <w:rsid w:val="1F5E0776"/>
    <w:rsid w:val="1F83111F"/>
    <w:rsid w:val="1F8E8745"/>
    <w:rsid w:val="1F8F7D46"/>
    <w:rsid w:val="1F9B5AF8"/>
    <w:rsid w:val="1FB69F0C"/>
    <w:rsid w:val="200E026A"/>
    <w:rsid w:val="20232037"/>
    <w:rsid w:val="2026D5CF"/>
    <w:rsid w:val="202A84FF"/>
    <w:rsid w:val="203BD37A"/>
    <w:rsid w:val="204639BF"/>
    <w:rsid w:val="208A083D"/>
    <w:rsid w:val="20BCD973"/>
    <w:rsid w:val="20D5145B"/>
    <w:rsid w:val="20D807DE"/>
    <w:rsid w:val="21040329"/>
    <w:rsid w:val="2124E10E"/>
    <w:rsid w:val="2128371D"/>
    <w:rsid w:val="215F7D74"/>
    <w:rsid w:val="21652869"/>
    <w:rsid w:val="217A8FE0"/>
    <w:rsid w:val="21B53AA2"/>
    <w:rsid w:val="21D43FB5"/>
    <w:rsid w:val="21ED9F2A"/>
    <w:rsid w:val="2229E5F7"/>
    <w:rsid w:val="2229FCE9"/>
    <w:rsid w:val="224C118C"/>
    <w:rsid w:val="2253EE80"/>
    <w:rsid w:val="2260566E"/>
    <w:rsid w:val="226E7832"/>
    <w:rsid w:val="2283A7FA"/>
    <w:rsid w:val="22931C6A"/>
    <w:rsid w:val="22A4AA98"/>
    <w:rsid w:val="22D4B2CB"/>
    <w:rsid w:val="2308F838"/>
    <w:rsid w:val="23171839"/>
    <w:rsid w:val="23C354DA"/>
    <w:rsid w:val="2406A49C"/>
    <w:rsid w:val="2417E878"/>
    <w:rsid w:val="2430D394"/>
    <w:rsid w:val="247C004D"/>
    <w:rsid w:val="2489E3F9"/>
    <w:rsid w:val="24D719EE"/>
    <w:rsid w:val="2516208E"/>
    <w:rsid w:val="253C1DFA"/>
    <w:rsid w:val="255C36BC"/>
    <w:rsid w:val="25742415"/>
    <w:rsid w:val="25797904"/>
    <w:rsid w:val="25B25C8A"/>
    <w:rsid w:val="25CF5B53"/>
    <w:rsid w:val="25E90CF7"/>
    <w:rsid w:val="25EF53E9"/>
    <w:rsid w:val="261CFA98"/>
    <w:rsid w:val="261D96BD"/>
    <w:rsid w:val="26409768"/>
    <w:rsid w:val="26647A19"/>
    <w:rsid w:val="266D59ED"/>
    <w:rsid w:val="26932BB2"/>
    <w:rsid w:val="26B7789D"/>
    <w:rsid w:val="26D6A142"/>
    <w:rsid w:val="27208E40"/>
    <w:rsid w:val="272D62AC"/>
    <w:rsid w:val="273DC234"/>
    <w:rsid w:val="274A1628"/>
    <w:rsid w:val="277065CA"/>
    <w:rsid w:val="27843F90"/>
    <w:rsid w:val="27C97502"/>
    <w:rsid w:val="281B4899"/>
    <w:rsid w:val="283994E6"/>
    <w:rsid w:val="28C546D7"/>
    <w:rsid w:val="28CC2ADE"/>
    <w:rsid w:val="28E1A38D"/>
    <w:rsid w:val="28EB45CB"/>
    <w:rsid w:val="28F0239D"/>
    <w:rsid w:val="2932260F"/>
    <w:rsid w:val="2973A62F"/>
    <w:rsid w:val="2983CF3F"/>
    <w:rsid w:val="29D99439"/>
    <w:rsid w:val="29DFF601"/>
    <w:rsid w:val="2A019A4D"/>
    <w:rsid w:val="2A250113"/>
    <w:rsid w:val="2A5A6E68"/>
    <w:rsid w:val="2A6D4120"/>
    <w:rsid w:val="2A7D73EE"/>
    <w:rsid w:val="2A842ADA"/>
    <w:rsid w:val="2B032B1D"/>
    <w:rsid w:val="2B2C2262"/>
    <w:rsid w:val="2B788579"/>
    <w:rsid w:val="2B7A2F3B"/>
    <w:rsid w:val="2BA6A3CA"/>
    <w:rsid w:val="2BAA6EF0"/>
    <w:rsid w:val="2BDA69E6"/>
    <w:rsid w:val="2BF7C36F"/>
    <w:rsid w:val="2C044D31"/>
    <w:rsid w:val="2C633A80"/>
    <w:rsid w:val="2C6664C5"/>
    <w:rsid w:val="2C73D48C"/>
    <w:rsid w:val="2CA46167"/>
    <w:rsid w:val="2CB30F5B"/>
    <w:rsid w:val="2CEB3297"/>
    <w:rsid w:val="2CF895B9"/>
    <w:rsid w:val="2CFDA1D7"/>
    <w:rsid w:val="2D1455DA"/>
    <w:rsid w:val="2D1C26BA"/>
    <w:rsid w:val="2D430921"/>
    <w:rsid w:val="2D5052F4"/>
    <w:rsid w:val="2D6A0A0C"/>
    <w:rsid w:val="2D6BB305"/>
    <w:rsid w:val="2D804AC9"/>
    <w:rsid w:val="2D97D3E3"/>
    <w:rsid w:val="2DC83CE3"/>
    <w:rsid w:val="2DCDE511"/>
    <w:rsid w:val="2DE9499D"/>
    <w:rsid w:val="2E0B653D"/>
    <w:rsid w:val="2E2142D0"/>
    <w:rsid w:val="2E54ED45"/>
    <w:rsid w:val="2E933363"/>
    <w:rsid w:val="2EBCD501"/>
    <w:rsid w:val="2EC73E87"/>
    <w:rsid w:val="2EDF436D"/>
    <w:rsid w:val="2EE68B2D"/>
    <w:rsid w:val="2EF304B1"/>
    <w:rsid w:val="2F2ADCBE"/>
    <w:rsid w:val="2F345A77"/>
    <w:rsid w:val="2F374558"/>
    <w:rsid w:val="2F60212F"/>
    <w:rsid w:val="2F6D785A"/>
    <w:rsid w:val="2F7A518C"/>
    <w:rsid w:val="2F82A342"/>
    <w:rsid w:val="2FDB2E06"/>
    <w:rsid w:val="301A8CC4"/>
    <w:rsid w:val="30336E95"/>
    <w:rsid w:val="303CC08E"/>
    <w:rsid w:val="304BDDEF"/>
    <w:rsid w:val="30723F47"/>
    <w:rsid w:val="30FAC2A0"/>
    <w:rsid w:val="314844E2"/>
    <w:rsid w:val="3174E647"/>
    <w:rsid w:val="31ACB962"/>
    <w:rsid w:val="31CA5154"/>
    <w:rsid w:val="31D6065C"/>
    <w:rsid w:val="31E48520"/>
    <w:rsid w:val="31FD1BF1"/>
    <w:rsid w:val="320BCC81"/>
    <w:rsid w:val="3235EA9E"/>
    <w:rsid w:val="329005AF"/>
    <w:rsid w:val="32AB1FD2"/>
    <w:rsid w:val="32CCC229"/>
    <w:rsid w:val="32D091B8"/>
    <w:rsid w:val="32DAE157"/>
    <w:rsid w:val="331B21B4"/>
    <w:rsid w:val="3327B4C2"/>
    <w:rsid w:val="332D9F61"/>
    <w:rsid w:val="33461E8B"/>
    <w:rsid w:val="3351B650"/>
    <w:rsid w:val="335D5F89"/>
    <w:rsid w:val="33771DC7"/>
    <w:rsid w:val="3394A47C"/>
    <w:rsid w:val="339865AA"/>
    <w:rsid w:val="33AB5281"/>
    <w:rsid w:val="33BE1CA8"/>
    <w:rsid w:val="33CE322F"/>
    <w:rsid w:val="33D990DC"/>
    <w:rsid w:val="33DAE6AE"/>
    <w:rsid w:val="342F9B85"/>
    <w:rsid w:val="344AE6BF"/>
    <w:rsid w:val="344B5BA5"/>
    <w:rsid w:val="344D9E23"/>
    <w:rsid w:val="34560D42"/>
    <w:rsid w:val="345CF192"/>
    <w:rsid w:val="347D34BC"/>
    <w:rsid w:val="34B2675F"/>
    <w:rsid w:val="34B8687D"/>
    <w:rsid w:val="34C5963F"/>
    <w:rsid w:val="34D433B2"/>
    <w:rsid w:val="34D756B0"/>
    <w:rsid w:val="3516E7C5"/>
    <w:rsid w:val="351F0482"/>
    <w:rsid w:val="353A5782"/>
    <w:rsid w:val="3587F7EB"/>
    <w:rsid w:val="3596BE1D"/>
    <w:rsid w:val="35ACAFE6"/>
    <w:rsid w:val="35C00B86"/>
    <w:rsid w:val="36139644"/>
    <w:rsid w:val="36464F59"/>
    <w:rsid w:val="364E37C0"/>
    <w:rsid w:val="3654496E"/>
    <w:rsid w:val="3694BA2E"/>
    <w:rsid w:val="36B033FB"/>
    <w:rsid w:val="36B45DDF"/>
    <w:rsid w:val="36BB2CBF"/>
    <w:rsid w:val="37EC4E02"/>
    <w:rsid w:val="3805ABC8"/>
    <w:rsid w:val="380B5E8F"/>
    <w:rsid w:val="380BC512"/>
    <w:rsid w:val="381AC013"/>
    <w:rsid w:val="38253E3A"/>
    <w:rsid w:val="38300C91"/>
    <w:rsid w:val="389174B9"/>
    <w:rsid w:val="38984C5D"/>
    <w:rsid w:val="389D4253"/>
    <w:rsid w:val="38B7719D"/>
    <w:rsid w:val="38DC16E4"/>
    <w:rsid w:val="38E12215"/>
    <w:rsid w:val="38E234DA"/>
    <w:rsid w:val="39340557"/>
    <w:rsid w:val="394F6B3D"/>
    <w:rsid w:val="39A4AD5E"/>
    <w:rsid w:val="39F99778"/>
    <w:rsid w:val="39FC14A5"/>
    <w:rsid w:val="3A3B19BB"/>
    <w:rsid w:val="3A53386D"/>
    <w:rsid w:val="3A5916B3"/>
    <w:rsid w:val="3A6BC409"/>
    <w:rsid w:val="3A9E6DFC"/>
    <w:rsid w:val="3B1CEE1E"/>
    <w:rsid w:val="3B7829F2"/>
    <w:rsid w:val="3B7FC997"/>
    <w:rsid w:val="3B822FAC"/>
    <w:rsid w:val="3B916887"/>
    <w:rsid w:val="3C003D6F"/>
    <w:rsid w:val="3C297836"/>
    <w:rsid w:val="3C2B4E01"/>
    <w:rsid w:val="3C537CF1"/>
    <w:rsid w:val="3C70CA72"/>
    <w:rsid w:val="3C802FDC"/>
    <w:rsid w:val="3CA5CCF0"/>
    <w:rsid w:val="3CFC867E"/>
    <w:rsid w:val="3D159310"/>
    <w:rsid w:val="3D17D9E8"/>
    <w:rsid w:val="3D4DCF39"/>
    <w:rsid w:val="3D501D14"/>
    <w:rsid w:val="3D608CD9"/>
    <w:rsid w:val="3D7124B2"/>
    <w:rsid w:val="3D8ECAA6"/>
    <w:rsid w:val="3DD657C6"/>
    <w:rsid w:val="3DE51D37"/>
    <w:rsid w:val="3E0084EA"/>
    <w:rsid w:val="3E0EC270"/>
    <w:rsid w:val="3E2E1C57"/>
    <w:rsid w:val="3E5A1D4D"/>
    <w:rsid w:val="3E607F1D"/>
    <w:rsid w:val="3E64680F"/>
    <w:rsid w:val="3E7B0355"/>
    <w:rsid w:val="3E835C14"/>
    <w:rsid w:val="3EA3D413"/>
    <w:rsid w:val="3EA9A1C5"/>
    <w:rsid w:val="3EB49B33"/>
    <w:rsid w:val="3EEA0BCC"/>
    <w:rsid w:val="3EEDDCBE"/>
    <w:rsid w:val="3F15A412"/>
    <w:rsid w:val="3F2AD812"/>
    <w:rsid w:val="3F45DB60"/>
    <w:rsid w:val="3F5A2C0C"/>
    <w:rsid w:val="3F72DB7E"/>
    <w:rsid w:val="3F9119A0"/>
    <w:rsid w:val="3FC0CD0A"/>
    <w:rsid w:val="3FDD6DB2"/>
    <w:rsid w:val="3FF0B9F7"/>
    <w:rsid w:val="4000F81A"/>
    <w:rsid w:val="4001E323"/>
    <w:rsid w:val="403F39C0"/>
    <w:rsid w:val="406AF79E"/>
    <w:rsid w:val="4095F2A4"/>
    <w:rsid w:val="40DCA905"/>
    <w:rsid w:val="40EF4618"/>
    <w:rsid w:val="41115CFC"/>
    <w:rsid w:val="4182AD77"/>
    <w:rsid w:val="41B036D0"/>
    <w:rsid w:val="41D55538"/>
    <w:rsid w:val="41E99455"/>
    <w:rsid w:val="41F31477"/>
    <w:rsid w:val="42044FEC"/>
    <w:rsid w:val="422CA5A6"/>
    <w:rsid w:val="423F084F"/>
    <w:rsid w:val="42585ED3"/>
    <w:rsid w:val="4262709C"/>
    <w:rsid w:val="4281B333"/>
    <w:rsid w:val="42D71A45"/>
    <w:rsid w:val="42EA5415"/>
    <w:rsid w:val="433FA2E4"/>
    <w:rsid w:val="4395CDA3"/>
    <w:rsid w:val="43A3140C"/>
    <w:rsid w:val="43B503D4"/>
    <w:rsid w:val="43BE4113"/>
    <w:rsid w:val="43E3F335"/>
    <w:rsid w:val="43E4453F"/>
    <w:rsid w:val="444DD524"/>
    <w:rsid w:val="4450F811"/>
    <w:rsid w:val="445C34B5"/>
    <w:rsid w:val="44609599"/>
    <w:rsid w:val="44628F02"/>
    <w:rsid w:val="4465F7B6"/>
    <w:rsid w:val="447AEFBA"/>
    <w:rsid w:val="4487DBE1"/>
    <w:rsid w:val="448B505A"/>
    <w:rsid w:val="44E4201B"/>
    <w:rsid w:val="44FD9DDE"/>
    <w:rsid w:val="455CD227"/>
    <w:rsid w:val="456F3113"/>
    <w:rsid w:val="45835B7A"/>
    <w:rsid w:val="4587121B"/>
    <w:rsid w:val="458EC3BA"/>
    <w:rsid w:val="45CB17A2"/>
    <w:rsid w:val="45E9C508"/>
    <w:rsid w:val="45EAD5DE"/>
    <w:rsid w:val="4652FB24"/>
    <w:rsid w:val="4679736C"/>
    <w:rsid w:val="46A50374"/>
    <w:rsid w:val="46B843AE"/>
    <w:rsid w:val="46C34386"/>
    <w:rsid w:val="46D3177A"/>
    <w:rsid w:val="46D8547D"/>
    <w:rsid w:val="470FBF37"/>
    <w:rsid w:val="475704E1"/>
    <w:rsid w:val="476791B0"/>
    <w:rsid w:val="47778E58"/>
    <w:rsid w:val="478D3968"/>
    <w:rsid w:val="47B210BB"/>
    <w:rsid w:val="47CD6784"/>
    <w:rsid w:val="47E81092"/>
    <w:rsid w:val="47F0B77C"/>
    <w:rsid w:val="4812F32D"/>
    <w:rsid w:val="482BD980"/>
    <w:rsid w:val="483DCBD2"/>
    <w:rsid w:val="4879E155"/>
    <w:rsid w:val="48AD3DCF"/>
    <w:rsid w:val="48E7873A"/>
    <w:rsid w:val="4925A387"/>
    <w:rsid w:val="493FC6C4"/>
    <w:rsid w:val="49634F8D"/>
    <w:rsid w:val="496C82E1"/>
    <w:rsid w:val="49C1D231"/>
    <w:rsid w:val="49F7376D"/>
    <w:rsid w:val="4A17C8B2"/>
    <w:rsid w:val="4A392DB8"/>
    <w:rsid w:val="4A43A374"/>
    <w:rsid w:val="4A523ACD"/>
    <w:rsid w:val="4A5EC10B"/>
    <w:rsid w:val="4A615FFC"/>
    <w:rsid w:val="4AA8923C"/>
    <w:rsid w:val="4ADCBD01"/>
    <w:rsid w:val="4AE03E3E"/>
    <w:rsid w:val="4AF13040"/>
    <w:rsid w:val="4B241410"/>
    <w:rsid w:val="4B269A37"/>
    <w:rsid w:val="4B289B48"/>
    <w:rsid w:val="4BB88CF6"/>
    <w:rsid w:val="4BDE26E6"/>
    <w:rsid w:val="4BED7CB7"/>
    <w:rsid w:val="4BF101C0"/>
    <w:rsid w:val="4C0D415C"/>
    <w:rsid w:val="4C2631E9"/>
    <w:rsid w:val="4C413AAC"/>
    <w:rsid w:val="4C5A3003"/>
    <w:rsid w:val="4C5E5E4E"/>
    <w:rsid w:val="4C788D62"/>
    <w:rsid w:val="4C8C28B2"/>
    <w:rsid w:val="4CBA988A"/>
    <w:rsid w:val="4CC29FA0"/>
    <w:rsid w:val="4CD37B6A"/>
    <w:rsid w:val="4CD59FFD"/>
    <w:rsid w:val="4CDFB659"/>
    <w:rsid w:val="4CE5A452"/>
    <w:rsid w:val="4D09C042"/>
    <w:rsid w:val="4D3C115D"/>
    <w:rsid w:val="4D61EADF"/>
    <w:rsid w:val="4D8B68C5"/>
    <w:rsid w:val="4D8BD08A"/>
    <w:rsid w:val="4DDCFCCD"/>
    <w:rsid w:val="4E145DC3"/>
    <w:rsid w:val="4E304B2F"/>
    <w:rsid w:val="4E4B5B0F"/>
    <w:rsid w:val="4E70EBE8"/>
    <w:rsid w:val="4E85ABA2"/>
    <w:rsid w:val="4E8FFE9B"/>
    <w:rsid w:val="4EA3E847"/>
    <w:rsid w:val="4EA48717"/>
    <w:rsid w:val="4EBE35E7"/>
    <w:rsid w:val="4EC75004"/>
    <w:rsid w:val="4F45B62F"/>
    <w:rsid w:val="4FA05361"/>
    <w:rsid w:val="4FA8F4D5"/>
    <w:rsid w:val="4FB3494B"/>
    <w:rsid w:val="4FC29C08"/>
    <w:rsid w:val="4FE2A104"/>
    <w:rsid w:val="4FE81DC6"/>
    <w:rsid w:val="5007C3C4"/>
    <w:rsid w:val="500BDA47"/>
    <w:rsid w:val="5010F4B3"/>
    <w:rsid w:val="504E11A6"/>
    <w:rsid w:val="50B59782"/>
    <w:rsid w:val="50CA8C87"/>
    <w:rsid w:val="50EEE15F"/>
    <w:rsid w:val="50F8EDAA"/>
    <w:rsid w:val="50FE83BE"/>
    <w:rsid w:val="51270C84"/>
    <w:rsid w:val="512E2E64"/>
    <w:rsid w:val="51394CFD"/>
    <w:rsid w:val="514BFE85"/>
    <w:rsid w:val="514EAAFA"/>
    <w:rsid w:val="515FC974"/>
    <w:rsid w:val="516F0F2E"/>
    <w:rsid w:val="51843033"/>
    <w:rsid w:val="51CBAD20"/>
    <w:rsid w:val="51E3207A"/>
    <w:rsid w:val="51F7A35B"/>
    <w:rsid w:val="51FAFEDC"/>
    <w:rsid w:val="52666B50"/>
    <w:rsid w:val="5268A663"/>
    <w:rsid w:val="526D1618"/>
    <w:rsid w:val="528E19E1"/>
    <w:rsid w:val="529D34D2"/>
    <w:rsid w:val="52B618D2"/>
    <w:rsid w:val="52BB9D71"/>
    <w:rsid w:val="52CECDAF"/>
    <w:rsid w:val="52D397A2"/>
    <w:rsid w:val="52FE1AFB"/>
    <w:rsid w:val="5318C067"/>
    <w:rsid w:val="531DE291"/>
    <w:rsid w:val="5330FEE6"/>
    <w:rsid w:val="535E21BB"/>
    <w:rsid w:val="5361ECCC"/>
    <w:rsid w:val="5368B477"/>
    <w:rsid w:val="53EBF3C6"/>
    <w:rsid w:val="540678EA"/>
    <w:rsid w:val="543E541C"/>
    <w:rsid w:val="544BAC58"/>
    <w:rsid w:val="545A8008"/>
    <w:rsid w:val="5461C4C6"/>
    <w:rsid w:val="546B3F07"/>
    <w:rsid w:val="547004AD"/>
    <w:rsid w:val="54C6BA85"/>
    <w:rsid w:val="55074B68"/>
    <w:rsid w:val="55100248"/>
    <w:rsid w:val="55192DBE"/>
    <w:rsid w:val="552588AB"/>
    <w:rsid w:val="552733CD"/>
    <w:rsid w:val="5536FC09"/>
    <w:rsid w:val="5547DFC6"/>
    <w:rsid w:val="55A4E2C3"/>
    <w:rsid w:val="55A522C5"/>
    <w:rsid w:val="55EA592A"/>
    <w:rsid w:val="56290EEC"/>
    <w:rsid w:val="562C1F26"/>
    <w:rsid w:val="563C434F"/>
    <w:rsid w:val="56547FB5"/>
    <w:rsid w:val="5679BFF4"/>
    <w:rsid w:val="56D20FA9"/>
    <w:rsid w:val="5700B6C6"/>
    <w:rsid w:val="571A501A"/>
    <w:rsid w:val="572B19FA"/>
    <w:rsid w:val="5767DB62"/>
    <w:rsid w:val="57C6FC1C"/>
    <w:rsid w:val="57C86355"/>
    <w:rsid w:val="57F36009"/>
    <w:rsid w:val="57FAFB10"/>
    <w:rsid w:val="5814E831"/>
    <w:rsid w:val="5823FEB7"/>
    <w:rsid w:val="583F093D"/>
    <w:rsid w:val="586D12ED"/>
    <w:rsid w:val="5890E83A"/>
    <w:rsid w:val="58A28D82"/>
    <w:rsid w:val="58B4F749"/>
    <w:rsid w:val="58BEEDF5"/>
    <w:rsid w:val="5907DDB1"/>
    <w:rsid w:val="59207205"/>
    <w:rsid w:val="5990A190"/>
    <w:rsid w:val="59BF7CA9"/>
    <w:rsid w:val="59D5AFAE"/>
    <w:rsid w:val="59EB179B"/>
    <w:rsid w:val="59ED3B2B"/>
    <w:rsid w:val="59F0DF1A"/>
    <w:rsid w:val="5A0DDA3E"/>
    <w:rsid w:val="5A32E320"/>
    <w:rsid w:val="5A4B193A"/>
    <w:rsid w:val="5A6D0F4E"/>
    <w:rsid w:val="5A7F42EC"/>
    <w:rsid w:val="5A9D1744"/>
    <w:rsid w:val="5ACBE7EB"/>
    <w:rsid w:val="5B034601"/>
    <w:rsid w:val="5B0681A7"/>
    <w:rsid w:val="5B2E2ABC"/>
    <w:rsid w:val="5B37FEF8"/>
    <w:rsid w:val="5BA9AA9F"/>
    <w:rsid w:val="5BC2F077"/>
    <w:rsid w:val="5BD4F3EA"/>
    <w:rsid w:val="5BD78364"/>
    <w:rsid w:val="5BFDDE67"/>
    <w:rsid w:val="5C346E55"/>
    <w:rsid w:val="5C9986BF"/>
    <w:rsid w:val="5C9C92FF"/>
    <w:rsid w:val="5CF3894A"/>
    <w:rsid w:val="5D112287"/>
    <w:rsid w:val="5D2ACCF0"/>
    <w:rsid w:val="5D6C1CCE"/>
    <w:rsid w:val="5D91F05D"/>
    <w:rsid w:val="5DA389F6"/>
    <w:rsid w:val="5DEA3153"/>
    <w:rsid w:val="5DECFBCA"/>
    <w:rsid w:val="5DFA1894"/>
    <w:rsid w:val="5E3C1CEE"/>
    <w:rsid w:val="5E732FE3"/>
    <w:rsid w:val="5E8692BD"/>
    <w:rsid w:val="5EC2E37F"/>
    <w:rsid w:val="5EEA3A59"/>
    <w:rsid w:val="5EEBF914"/>
    <w:rsid w:val="5F056FC8"/>
    <w:rsid w:val="5F13128D"/>
    <w:rsid w:val="5FABDCF4"/>
    <w:rsid w:val="5FE9B848"/>
    <w:rsid w:val="5FFCB4F6"/>
    <w:rsid w:val="6017FBC0"/>
    <w:rsid w:val="601B86D2"/>
    <w:rsid w:val="6029C709"/>
    <w:rsid w:val="604E2975"/>
    <w:rsid w:val="604FD07A"/>
    <w:rsid w:val="605EDB3D"/>
    <w:rsid w:val="6063F365"/>
    <w:rsid w:val="60E0FB47"/>
    <w:rsid w:val="60E6462D"/>
    <w:rsid w:val="610C7B5E"/>
    <w:rsid w:val="611EC39D"/>
    <w:rsid w:val="61374F82"/>
    <w:rsid w:val="61494A5F"/>
    <w:rsid w:val="61853FAA"/>
    <w:rsid w:val="618ECAA2"/>
    <w:rsid w:val="61E573BA"/>
    <w:rsid w:val="61F5D6BA"/>
    <w:rsid w:val="62905C16"/>
    <w:rsid w:val="62A3E0AC"/>
    <w:rsid w:val="62A480BA"/>
    <w:rsid w:val="62C1E7EE"/>
    <w:rsid w:val="62CB80E2"/>
    <w:rsid w:val="62ECF480"/>
    <w:rsid w:val="62F2AC26"/>
    <w:rsid w:val="62F71CBF"/>
    <w:rsid w:val="630040E0"/>
    <w:rsid w:val="63251F06"/>
    <w:rsid w:val="633D3E78"/>
    <w:rsid w:val="636F8D33"/>
    <w:rsid w:val="63C9A7A1"/>
    <w:rsid w:val="63CED31E"/>
    <w:rsid w:val="640E0016"/>
    <w:rsid w:val="64229F84"/>
    <w:rsid w:val="642F95A6"/>
    <w:rsid w:val="645741BB"/>
    <w:rsid w:val="64957C2B"/>
    <w:rsid w:val="649C1141"/>
    <w:rsid w:val="64B8CBA2"/>
    <w:rsid w:val="64CBC792"/>
    <w:rsid w:val="64D9E1EB"/>
    <w:rsid w:val="64DAF984"/>
    <w:rsid w:val="650FB391"/>
    <w:rsid w:val="653911B8"/>
    <w:rsid w:val="6540598E"/>
    <w:rsid w:val="6557EBE1"/>
    <w:rsid w:val="655CC9F3"/>
    <w:rsid w:val="6587FCC6"/>
    <w:rsid w:val="65B27364"/>
    <w:rsid w:val="65CD6FD6"/>
    <w:rsid w:val="65D2A431"/>
    <w:rsid w:val="65E99A09"/>
    <w:rsid w:val="65FE80E9"/>
    <w:rsid w:val="66131610"/>
    <w:rsid w:val="661EFE4E"/>
    <w:rsid w:val="662F90AF"/>
    <w:rsid w:val="6665C69E"/>
    <w:rsid w:val="666D4BA5"/>
    <w:rsid w:val="6674A920"/>
    <w:rsid w:val="66CA2DD7"/>
    <w:rsid w:val="66DB0793"/>
    <w:rsid w:val="66E74C03"/>
    <w:rsid w:val="66EDA5C3"/>
    <w:rsid w:val="670CBEC0"/>
    <w:rsid w:val="673CC780"/>
    <w:rsid w:val="677347F7"/>
    <w:rsid w:val="67A14132"/>
    <w:rsid w:val="67CB9629"/>
    <w:rsid w:val="67EBBF3D"/>
    <w:rsid w:val="6808CE61"/>
    <w:rsid w:val="680AB2AA"/>
    <w:rsid w:val="681D5AC7"/>
    <w:rsid w:val="684E00DB"/>
    <w:rsid w:val="6865B36D"/>
    <w:rsid w:val="6878D9C9"/>
    <w:rsid w:val="688DDBDF"/>
    <w:rsid w:val="68ABAFF1"/>
    <w:rsid w:val="68BB646E"/>
    <w:rsid w:val="68DAC9AE"/>
    <w:rsid w:val="68EB4B83"/>
    <w:rsid w:val="6900C8FE"/>
    <w:rsid w:val="69108A6F"/>
    <w:rsid w:val="6982BA91"/>
    <w:rsid w:val="698DF795"/>
    <w:rsid w:val="69A8104E"/>
    <w:rsid w:val="69AB43ED"/>
    <w:rsid w:val="69C74CC0"/>
    <w:rsid w:val="69F25F98"/>
    <w:rsid w:val="6A1FD466"/>
    <w:rsid w:val="6A91B5D7"/>
    <w:rsid w:val="6A9AA475"/>
    <w:rsid w:val="6ABAD433"/>
    <w:rsid w:val="6AC05FFB"/>
    <w:rsid w:val="6AD3942D"/>
    <w:rsid w:val="6AE26007"/>
    <w:rsid w:val="6AF7B45D"/>
    <w:rsid w:val="6B0AE396"/>
    <w:rsid w:val="6B0FB11D"/>
    <w:rsid w:val="6B1D543D"/>
    <w:rsid w:val="6B1F2F1F"/>
    <w:rsid w:val="6B3AE932"/>
    <w:rsid w:val="6B4A354A"/>
    <w:rsid w:val="6B623ED3"/>
    <w:rsid w:val="6B676318"/>
    <w:rsid w:val="6B6F92BC"/>
    <w:rsid w:val="6B88FF56"/>
    <w:rsid w:val="6B9E4395"/>
    <w:rsid w:val="6BB8AAD0"/>
    <w:rsid w:val="6C39E32D"/>
    <w:rsid w:val="6C40044F"/>
    <w:rsid w:val="6C55C0B5"/>
    <w:rsid w:val="6C59DDFE"/>
    <w:rsid w:val="6C85A997"/>
    <w:rsid w:val="6CF2AFE7"/>
    <w:rsid w:val="6CFB8C51"/>
    <w:rsid w:val="6D11D061"/>
    <w:rsid w:val="6D680501"/>
    <w:rsid w:val="6D9167FC"/>
    <w:rsid w:val="6E4751DF"/>
    <w:rsid w:val="6E48EA7B"/>
    <w:rsid w:val="6E70AC98"/>
    <w:rsid w:val="6E95A155"/>
    <w:rsid w:val="6ECC6435"/>
    <w:rsid w:val="6EEA7757"/>
    <w:rsid w:val="6F106B5C"/>
    <w:rsid w:val="6F14A7BE"/>
    <w:rsid w:val="6F562A48"/>
    <w:rsid w:val="6F593246"/>
    <w:rsid w:val="6F6CD758"/>
    <w:rsid w:val="6F90F10B"/>
    <w:rsid w:val="6F99E0C6"/>
    <w:rsid w:val="6FB05463"/>
    <w:rsid w:val="6FB7D786"/>
    <w:rsid w:val="6FC36264"/>
    <w:rsid w:val="6FD0ED94"/>
    <w:rsid w:val="6FDE28D2"/>
    <w:rsid w:val="6FE32240"/>
    <w:rsid w:val="701D3871"/>
    <w:rsid w:val="70843F42"/>
    <w:rsid w:val="70A3964F"/>
    <w:rsid w:val="70D2EA49"/>
    <w:rsid w:val="710DD38C"/>
    <w:rsid w:val="713059EB"/>
    <w:rsid w:val="71473E95"/>
    <w:rsid w:val="714FC0F4"/>
    <w:rsid w:val="7162858F"/>
    <w:rsid w:val="7169C8B1"/>
    <w:rsid w:val="716DDA22"/>
    <w:rsid w:val="719264AC"/>
    <w:rsid w:val="71B16323"/>
    <w:rsid w:val="71BE7377"/>
    <w:rsid w:val="71EC156F"/>
    <w:rsid w:val="71FF7C08"/>
    <w:rsid w:val="72066E55"/>
    <w:rsid w:val="7232897E"/>
    <w:rsid w:val="724533BF"/>
    <w:rsid w:val="72480C1E"/>
    <w:rsid w:val="724F3EAF"/>
    <w:rsid w:val="7253EBC4"/>
    <w:rsid w:val="72891B0E"/>
    <w:rsid w:val="729627A3"/>
    <w:rsid w:val="729E42CC"/>
    <w:rsid w:val="72BF7C06"/>
    <w:rsid w:val="730CE8D4"/>
    <w:rsid w:val="73586135"/>
    <w:rsid w:val="7386EDED"/>
    <w:rsid w:val="738EEE36"/>
    <w:rsid w:val="73986A1A"/>
    <w:rsid w:val="73AEDFDB"/>
    <w:rsid w:val="73B0AFA5"/>
    <w:rsid w:val="73C5E8C4"/>
    <w:rsid w:val="73DE8C4D"/>
    <w:rsid w:val="7404422C"/>
    <w:rsid w:val="7407342C"/>
    <w:rsid w:val="742F8977"/>
    <w:rsid w:val="7489BE80"/>
    <w:rsid w:val="74B1DF95"/>
    <w:rsid w:val="74C96FC2"/>
    <w:rsid w:val="74D19BF6"/>
    <w:rsid w:val="74E340D4"/>
    <w:rsid w:val="74F8A121"/>
    <w:rsid w:val="74FFC3CE"/>
    <w:rsid w:val="751711F2"/>
    <w:rsid w:val="7540BA8D"/>
    <w:rsid w:val="75804452"/>
    <w:rsid w:val="7598A87B"/>
    <w:rsid w:val="759C1CD2"/>
    <w:rsid w:val="75BE6CB4"/>
    <w:rsid w:val="76015493"/>
    <w:rsid w:val="7636DA65"/>
    <w:rsid w:val="763F7B1D"/>
    <w:rsid w:val="76906852"/>
    <w:rsid w:val="76D732C6"/>
    <w:rsid w:val="76E8D82E"/>
    <w:rsid w:val="7700F501"/>
    <w:rsid w:val="7708D4DE"/>
    <w:rsid w:val="77218DD5"/>
    <w:rsid w:val="7724AB77"/>
    <w:rsid w:val="773433A5"/>
    <w:rsid w:val="773C2191"/>
    <w:rsid w:val="7774EF97"/>
    <w:rsid w:val="778649C5"/>
    <w:rsid w:val="77BC1737"/>
    <w:rsid w:val="77E5148D"/>
    <w:rsid w:val="789710A7"/>
    <w:rsid w:val="789A7073"/>
    <w:rsid w:val="78B0A5D6"/>
    <w:rsid w:val="78C4F741"/>
    <w:rsid w:val="78DF3E8F"/>
    <w:rsid w:val="78E994DF"/>
    <w:rsid w:val="78F2F3F2"/>
    <w:rsid w:val="792FBEE0"/>
    <w:rsid w:val="7936A9DD"/>
    <w:rsid w:val="79453494"/>
    <w:rsid w:val="79578454"/>
    <w:rsid w:val="79656DC7"/>
    <w:rsid w:val="798419D6"/>
    <w:rsid w:val="799F4E3D"/>
    <w:rsid w:val="79B570CF"/>
    <w:rsid w:val="79D3CA19"/>
    <w:rsid w:val="79DADBD5"/>
    <w:rsid w:val="79F639D9"/>
    <w:rsid w:val="79FEA000"/>
    <w:rsid w:val="7A06841F"/>
    <w:rsid w:val="7A0A8DED"/>
    <w:rsid w:val="7A2DA805"/>
    <w:rsid w:val="7A44D322"/>
    <w:rsid w:val="7A4E08B8"/>
    <w:rsid w:val="7A4FF030"/>
    <w:rsid w:val="7A54294F"/>
    <w:rsid w:val="7A64A1CF"/>
    <w:rsid w:val="7A851EEA"/>
    <w:rsid w:val="7A910957"/>
    <w:rsid w:val="7AEA02F3"/>
    <w:rsid w:val="7AF38114"/>
    <w:rsid w:val="7B3A8F91"/>
    <w:rsid w:val="7B4916E2"/>
    <w:rsid w:val="7B60A090"/>
    <w:rsid w:val="7B6DFEC1"/>
    <w:rsid w:val="7B71537E"/>
    <w:rsid w:val="7BA65E4E"/>
    <w:rsid w:val="7BB71F2A"/>
    <w:rsid w:val="7BCAB3A1"/>
    <w:rsid w:val="7C051324"/>
    <w:rsid w:val="7C573FFA"/>
    <w:rsid w:val="7C7656E1"/>
    <w:rsid w:val="7C7E4188"/>
    <w:rsid w:val="7C981F02"/>
    <w:rsid w:val="7CA6C17C"/>
    <w:rsid w:val="7CB7BA80"/>
    <w:rsid w:val="7CFC7BE9"/>
    <w:rsid w:val="7D16C333"/>
    <w:rsid w:val="7D2283D4"/>
    <w:rsid w:val="7D231C91"/>
    <w:rsid w:val="7D422EAF"/>
    <w:rsid w:val="7D5B3BDC"/>
    <w:rsid w:val="7D67E216"/>
    <w:rsid w:val="7D7F3EEE"/>
    <w:rsid w:val="7D83145F"/>
    <w:rsid w:val="7D8CFF66"/>
    <w:rsid w:val="7D99AFF7"/>
    <w:rsid w:val="7DC70A1D"/>
    <w:rsid w:val="7DEE239A"/>
    <w:rsid w:val="7DFE07C2"/>
    <w:rsid w:val="7DFE5074"/>
    <w:rsid w:val="7E0190D2"/>
    <w:rsid w:val="7E38930A"/>
    <w:rsid w:val="7E3D2037"/>
    <w:rsid w:val="7E5C5B29"/>
    <w:rsid w:val="7E704EDB"/>
    <w:rsid w:val="7E718B25"/>
    <w:rsid w:val="7E7B3749"/>
    <w:rsid w:val="7EC0B52B"/>
    <w:rsid w:val="7ED32B1E"/>
    <w:rsid w:val="7ED58E11"/>
    <w:rsid w:val="7EE110F5"/>
    <w:rsid w:val="7EE9E8F5"/>
    <w:rsid w:val="7F012D3A"/>
    <w:rsid w:val="7F6BC41D"/>
    <w:rsid w:val="7F8C6C2B"/>
    <w:rsid w:val="7FA01BBD"/>
    <w:rsid w:val="7FAA7B90"/>
    <w:rsid w:val="7FAC3C88"/>
    <w:rsid w:val="7FB9854C"/>
    <w:rsid w:val="7FBA36CE"/>
    <w:rsid w:val="7FC8B9A8"/>
    <w:rsid w:val="7FD45574"/>
    <w:rsid w:val="7FEAF58E"/>
    <w:rsid w:val="7FFDACB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3250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re Franklin" w:eastAsia="Libre Franklin" w:hAnsi="Libre Franklin" w:cs="Libre Franklin"/>
        <w:sz w:val="22"/>
        <w:szCs w:val="22"/>
        <w:lang w:val="en-AU" w:eastAsia="en-AU" w:bidi="ar-SA"/>
      </w:rPr>
    </w:rPrDefault>
    <w:pPrDefault>
      <w:pPr>
        <w:spacing w:before="120"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6219"/>
    <w:rPr>
      <w:rFonts w:ascii="Franklin Gothic Book" w:eastAsiaTheme="minorHAnsi" w:hAnsi="Franklin Gothic Book" w:cstheme="minorBidi"/>
      <w:lang w:eastAsia="en-US"/>
    </w:rPr>
  </w:style>
  <w:style w:type="paragraph" w:styleId="Heading1">
    <w:name w:val="heading 1"/>
    <w:basedOn w:val="Normal"/>
    <w:next w:val="Normal"/>
    <w:link w:val="Heading1Char"/>
    <w:uiPriority w:val="9"/>
    <w:qFormat/>
    <w:rsid w:val="001531D6"/>
    <w:pPr>
      <w:keepNext/>
      <w:keepLines/>
      <w:numPr>
        <w:numId w:val="16"/>
      </w:numPr>
      <w:pBdr>
        <w:bottom w:val="single" w:sz="4" w:space="1" w:color="auto"/>
      </w:pBdr>
      <w:spacing w:before="600" w:after="480" w:line="240" w:lineRule="auto"/>
      <w:outlineLvl w:val="0"/>
    </w:pPr>
    <w:rPr>
      <w:rFonts w:ascii="Franklin Gothic Medium" w:eastAsiaTheme="majorEastAsia" w:hAnsi="Franklin Gothic Medium" w:cstheme="majorBidi"/>
      <w:sz w:val="44"/>
      <w:szCs w:val="32"/>
    </w:rPr>
  </w:style>
  <w:style w:type="paragraph" w:styleId="Heading2">
    <w:name w:val="heading 2"/>
    <w:basedOn w:val="Normal"/>
    <w:next w:val="Normal"/>
    <w:link w:val="Heading2Char"/>
    <w:uiPriority w:val="9"/>
    <w:unhideWhenUsed/>
    <w:qFormat/>
    <w:rsid w:val="00F41467"/>
    <w:pPr>
      <w:keepNext/>
      <w:keepLines/>
      <w:numPr>
        <w:ilvl w:val="1"/>
        <w:numId w:val="16"/>
      </w:numPr>
      <w:spacing w:before="360" w:after="240" w:line="240" w:lineRule="auto"/>
      <w:outlineLvl w:val="1"/>
    </w:pPr>
    <w:rPr>
      <w:rFonts w:ascii="Franklin Gothic Medium" w:eastAsiaTheme="majorEastAsia" w:hAnsi="Franklin Gothic Medium" w:cstheme="majorBidi"/>
      <w:color w:val="000000" w:themeColor="text1"/>
      <w:sz w:val="32"/>
      <w:szCs w:val="26"/>
    </w:rPr>
  </w:style>
  <w:style w:type="paragraph" w:styleId="Heading3">
    <w:name w:val="heading 3"/>
    <w:basedOn w:val="Normal"/>
    <w:next w:val="Normal"/>
    <w:link w:val="Heading3Char"/>
    <w:uiPriority w:val="9"/>
    <w:unhideWhenUsed/>
    <w:qFormat/>
    <w:rsid w:val="00E567CB"/>
    <w:pPr>
      <w:keepNext/>
      <w:keepLines/>
      <w:tabs>
        <w:tab w:val="left" w:pos="851"/>
      </w:tabs>
      <w:spacing w:before="360" w:after="200" w:line="240" w:lineRule="auto"/>
      <w:outlineLvl w:val="2"/>
    </w:pPr>
    <w:rPr>
      <w:rFonts w:ascii="Franklin Gothic Medium" w:eastAsiaTheme="majorEastAsia" w:hAnsi="Franklin Gothic Medium" w:cstheme="majorBidi"/>
      <w:sz w:val="26"/>
      <w:szCs w:val="24"/>
    </w:rPr>
  </w:style>
  <w:style w:type="paragraph" w:styleId="Heading4">
    <w:name w:val="heading 4"/>
    <w:basedOn w:val="Heading3"/>
    <w:next w:val="Normal"/>
    <w:link w:val="Heading4Char"/>
    <w:uiPriority w:val="9"/>
    <w:unhideWhenUsed/>
    <w:qFormat/>
    <w:rsid w:val="00E567CB"/>
    <w:pPr>
      <w:outlineLvl w:val="3"/>
    </w:pPr>
    <w:rPr>
      <w:i/>
      <w:sz w:val="24"/>
    </w:rPr>
  </w:style>
  <w:style w:type="paragraph" w:styleId="Heading5">
    <w:name w:val="heading 5"/>
    <w:basedOn w:val="Normal"/>
    <w:next w:val="Normal"/>
    <w:link w:val="Heading5Char"/>
    <w:uiPriority w:val="9"/>
    <w:unhideWhenUsed/>
    <w:qFormat/>
    <w:rsid w:val="00616219"/>
    <w:pPr>
      <w:keepNext/>
      <w:keepLines/>
      <w:spacing w:before="40" w:after="0"/>
      <w:outlineLvl w:val="4"/>
    </w:pPr>
    <w:rPr>
      <w:rFonts w:asciiTheme="majorHAnsi" w:eastAsiaTheme="majorEastAsia" w:hAnsiTheme="majorHAnsi" w:cstheme="majorBidi"/>
      <w:color w:val="2E74B5" w:themeColor="accent1" w:themeShade="BF"/>
      <w:sz w:val="24"/>
    </w:rPr>
  </w:style>
  <w:style w:type="paragraph" w:styleId="Heading6">
    <w:name w:val="heading 6"/>
    <w:basedOn w:val="Normal"/>
    <w:next w:val="Normal"/>
    <w:link w:val="Heading6Char"/>
    <w:uiPriority w:val="9"/>
    <w:unhideWhenUsed/>
    <w:qFormat/>
    <w:rsid w:val="00387D95"/>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rsid w:val="00772829"/>
    <w:pPr>
      <w:spacing w:before="480" w:after="240" w:line="240" w:lineRule="auto"/>
      <w:jc w:val="center"/>
    </w:pPr>
    <w:rPr>
      <w:rFonts w:ascii="Arial" w:eastAsia="Times New Roman" w:hAnsi="Arial" w:cs="Arial"/>
      <w:b/>
      <w:bCs/>
      <w:color w:val="000080"/>
      <w:sz w:val="36"/>
      <w:szCs w:val="36"/>
      <w:lang w:eastAsia="en-AU"/>
    </w:rPr>
  </w:style>
  <w:style w:type="paragraph" w:customStyle="1" w:styleId="TableText">
    <w:name w:val="Table Text"/>
    <w:basedOn w:val="Normal"/>
    <w:link w:val="TableTextChar"/>
    <w:qFormat/>
    <w:rsid w:val="003E7773"/>
    <w:pPr>
      <w:spacing w:before="40" w:after="40" w:line="240" w:lineRule="auto"/>
    </w:pPr>
    <w:rPr>
      <w:rFonts w:ascii="Arial Narrow" w:hAnsi="Arial Narrow"/>
      <w:sz w:val="20"/>
    </w:rPr>
  </w:style>
  <w:style w:type="paragraph" w:customStyle="1" w:styleId="TableHeading">
    <w:name w:val="TableHeading"/>
    <w:basedOn w:val="Normal"/>
    <w:link w:val="TableHeadingChar"/>
    <w:qFormat/>
    <w:rsid w:val="00B151CF"/>
    <w:pPr>
      <w:keepNext/>
      <w:spacing w:after="60" w:line="240" w:lineRule="auto"/>
    </w:pPr>
    <w:rPr>
      <w:rFonts w:ascii="Arial Narrow" w:hAnsi="Arial Narrow"/>
      <w:b/>
      <w:sz w:val="20"/>
    </w:rPr>
  </w:style>
  <w:style w:type="paragraph" w:styleId="CommentText">
    <w:name w:val="annotation text"/>
    <w:basedOn w:val="Normal"/>
    <w:link w:val="CommentTextChar"/>
    <w:uiPriority w:val="99"/>
    <w:unhideWhenUsed/>
    <w:rsid w:val="003E7773"/>
    <w:pPr>
      <w:spacing w:after="240" w:line="240" w:lineRule="auto"/>
    </w:pPr>
    <w:rPr>
      <w:rFonts w:ascii="Calibri" w:eastAsia="Times New Roman" w:hAnsi="Calibri" w:cs="Times New Roman"/>
      <w:color w:val="000000"/>
      <w:szCs w:val="24"/>
    </w:rPr>
  </w:style>
  <w:style w:type="character" w:customStyle="1" w:styleId="CommentTextChar">
    <w:name w:val="Comment Text Char"/>
    <w:basedOn w:val="DefaultParagraphFont"/>
    <w:link w:val="CommentText"/>
    <w:uiPriority w:val="99"/>
    <w:rsid w:val="003E7773"/>
    <w:rPr>
      <w:rFonts w:ascii="Calibri" w:eastAsia="Times New Roman" w:hAnsi="Calibri" w:cs="Times New Roman"/>
      <w:color w:val="000000"/>
      <w:szCs w:val="24"/>
      <w:lang w:eastAsia="en-AU"/>
    </w:rPr>
  </w:style>
  <w:style w:type="character" w:styleId="CommentReference">
    <w:name w:val="annotation reference"/>
    <w:aliases w:val="Table Title"/>
    <w:basedOn w:val="DefaultParagraphFont"/>
    <w:uiPriority w:val="99"/>
    <w:unhideWhenUsed/>
    <w:qFormat/>
    <w:rsid w:val="003E7773"/>
    <w:rPr>
      <w:sz w:val="16"/>
      <w:szCs w:val="16"/>
    </w:rPr>
  </w:style>
  <w:style w:type="character" w:customStyle="1" w:styleId="TableTextChar">
    <w:name w:val="Table Text Char"/>
    <w:basedOn w:val="DefaultParagraphFont"/>
    <w:link w:val="TableText"/>
    <w:rsid w:val="003E7773"/>
    <w:rPr>
      <w:rFonts w:ascii="Arial Narrow" w:hAnsi="Arial Narrow"/>
      <w:sz w:val="20"/>
    </w:rPr>
  </w:style>
  <w:style w:type="character" w:customStyle="1" w:styleId="TableHeadingChar">
    <w:name w:val="TableHeading Char"/>
    <w:link w:val="TableHeading"/>
    <w:rsid w:val="00B151CF"/>
    <w:rPr>
      <w:rFonts w:ascii="Arial Narrow" w:hAnsi="Arial Narrow"/>
      <w:b/>
      <w:sz w:val="20"/>
    </w:rPr>
  </w:style>
  <w:style w:type="paragraph" w:styleId="BalloonText">
    <w:name w:val="Balloon Text"/>
    <w:basedOn w:val="Normal"/>
    <w:link w:val="BalloonTextChar"/>
    <w:uiPriority w:val="99"/>
    <w:semiHidden/>
    <w:unhideWhenUsed/>
    <w:rsid w:val="003E77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777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E7773"/>
    <w:pPr>
      <w:spacing w:after="160"/>
    </w:pPr>
    <w:rPr>
      <w:rFonts w:asciiTheme="minorHAnsi" w:eastAsiaTheme="minorHAnsi" w:hAnsiTheme="minorHAnsi" w:cstheme="minorBidi"/>
      <w:b/>
      <w:bCs/>
      <w:color w:val="auto"/>
      <w:sz w:val="20"/>
      <w:szCs w:val="20"/>
    </w:rPr>
  </w:style>
  <w:style w:type="character" w:customStyle="1" w:styleId="CommentSubjectChar">
    <w:name w:val="Comment Subject Char"/>
    <w:basedOn w:val="CommentTextChar"/>
    <w:link w:val="CommentSubject"/>
    <w:uiPriority w:val="99"/>
    <w:semiHidden/>
    <w:rsid w:val="003E7773"/>
    <w:rPr>
      <w:rFonts w:ascii="Calibri" w:eastAsia="Times New Roman" w:hAnsi="Calibri" w:cs="Times New Roman"/>
      <w:b/>
      <w:bCs/>
      <w:color w:val="000000"/>
      <w:sz w:val="20"/>
      <w:szCs w:val="20"/>
      <w:lang w:eastAsia="en-AU"/>
    </w:rPr>
  </w:style>
  <w:style w:type="character" w:customStyle="1" w:styleId="Heading1Char">
    <w:name w:val="Heading 1 Char"/>
    <w:basedOn w:val="DefaultParagraphFont"/>
    <w:link w:val="Heading1"/>
    <w:uiPriority w:val="9"/>
    <w:rsid w:val="001531D6"/>
    <w:rPr>
      <w:rFonts w:ascii="Franklin Gothic Medium" w:eastAsiaTheme="majorEastAsia" w:hAnsi="Franklin Gothic Medium" w:cstheme="majorBidi"/>
      <w:sz w:val="44"/>
      <w:szCs w:val="32"/>
      <w:lang w:eastAsia="en-US"/>
    </w:rPr>
  </w:style>
  <w:style w:type="character" w:customStyle="1" w:styleId="Heading2Char">
    <w:name w:val="Heading 2 Char"/>
    <w:basedOn w:val="DefaultParagraphFont"/>
    <w:link w:val="Heading2"/>
    <w:uiPriority w:val="9"/>
    <w:rsid w:val="00F41467"/>
    <w:rPr>
      <w:rFonts w:ascii="Franklin Gothic Medium" w:eastAsiaTheme="majorEastAsia" w:hAnsi="Franklin Gothic Medium" w:cstheme="majorBidi"/>
      <w:color w:val="000000" w:themeColor="text1"/>
      <w:sz w:val="32"/>
      <w:szCs w:val="26"/>
      <w:lang w:eastAsia="en-US"/>
    </w:rPr>
  </w:style>
  <w:style w:type="character" w:customStyle="1" w:styleId="Heading3Char">
    <w:name w:val="Heading 3 Char"/>
    <w:basedOn w:val="DefaultParagraphFont"/>
    <w:link w:val="Heading3"/>
    <w:uiPriority w:val="9"/>
    <w:rsid w:val="00E567CB"/>
    <w:rPr>
      <w:rFonts w:ascii="Franklin Gothic Medium" w:eastAsiaTheme="majorEastAsia" w:hAnsi="Franklin Gothic Medium" w:cstheme="majorBidi"/>
      <w:sz w:val="26"/>
      <w:szCs w:val="24"/>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link w:val="CaptionChar"/>
    <w:qFormat/>
    <w:rsid w:val="009A06F4"/>
    <w:pPr>
      <w:keepNext/>
      <w:spacing w:before="360" w:after="120" w:line="240" w:lineRule="auto"/>
    </w:pPr>
    <w:rPr>
      <w:rFonts w:ascii="Arial Narrow" w:eastAsia="Times New Roman" w:hAnsi="Arial Narrow" w:cs="Times New Roman"/>
      <w:b/>
      <w:bCs/>
      <w:sz w:val="20"/>
      <w:szCs w:val="20"/>
    </w:rPr>
  </w:style>
  <w:style w:type="table" w:customStyle="1" w:styleId="TableGrid1">
    <w:name w:val="Table Grid1"/>
    <w:basedOn w:val="TableNormal"/>
    <w:next w:val="TableGrid"/>
    <w:locked/>
    <w:rsid w:val="00CA528A"/>
    <w:pPr>
      <w:spacing w:before="40" w:after="40" w:line="240" w:lineRule="auto"/>
    </w:pPr>
    <w:rPr>
      <w:rFonts w:ascii="Arial Narrow" w:eastAsia="Times New Roman" w:hAnsi="Arial Narrow"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Garamond" w:hAnsi="Garamond"/>
        <w:b w:val="0"/>
        <w:sz w:val="20"/>
      </w:rPr>
    </w:tblStylePr>
  </w:style>
  <w:style w:type="character" w:customStyle="1" w:styleId="CaptionChar">
    <w:name w:val="Caption Char"/>
    <w:aliases w:val="Caption Char2 Char Char,Caption Char Char Char2 Char,Caption Char1 Char Char Char1 Char,Caption Char2 Char Char Char1 Char1 Char,Caption Char Char1 Char Char Char1 Char1 Char,Caption Char1 Char Char Char Char Char Char Char"/>
    <w:basedOn w:val="DefaultParagraphFont"/>
    <w:link w:val="Caption"/>
    <w:rsid w:val="009A06F4"/>
    <w:rPr>
      <w:rFonts w:ascii="Arial Narrow" w:eastAsia="Times New Roman" w:hAnsi="Arial Narrow" w:cs="Times New Roman"/>
      <w:b/>
      <w:bCs/>
      <w:sz w:val="20"/>
      <w:szCs w:val="20"/>
    </w:rPr>
  </w:style>
  <w:style w:type="table" w:styleId="TableGrid">
    <w:name w:val="Table Grid"/>
    <w:aliases w:val="Summary box,Table Gridbeth,RTI AMCP Table,new style,ASD Table,HealthConsult,Dossier table,Section 3- footnotes,CMA Table Template,PBAC table,MSD Table Grid,HTAtableplain,Lash Style Table"/>
    <w:basedOn w:val="TableNormal"/>
    <w:rsid w:val="00CA52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Note">
    <w:name w:val="TableFigNote"/>
    <w:basedOn w:val="Normal"/>
    <w:rsid w:val="00CA528A"/>
    <w:pPr>
      <w:spacing w:after="360" w:line="240" w:lineRule="auto"/>
      <w:contextualSpacing/>
    </w:pPr>
    <w:rPr>
      <w:sz w:val="18"/>
    </w:rPr>
  </w:style>
  <w:style w:type="paragraph" w:styleId="ListParagraph">
    <w:name w:val="List Paragraph"/>
    <w:aliases w:val="List Paragraph1,List Paragraph11,L,Recommendation,CV text,Colorful List - Accent 11,COOP,Primary Bullet List,Figure_name,Numbered Indented Text,Bullet- First level,List NUmber,Listenabsatz1,lp1,standard lewis,Body Text1,Body text,List1,LP"/>
    <w:basedOn w:val="Normal"/>
    <w:link w:val="ListParagraphChar"/>
    <w:uiPriority w:val="34"/>
    <w:qFormat/>
    <w:rsid w:val="00724F92"/>
    <w:pPr>
      <w:ind w:left="720"/>
      <w:contextualSpacing/>
    </w:pPr>
  </w:style>
  <w:style w:type="character" w:styleId="Strong">
    <w:name w:val="Strong"/>
    <w:basedOn w:val="DefaultParagraphFont"/>
    <w:uiPriority w:val="22"/>
    <w:qFormat/>
    <w:rsid w:val="00FD17BA"/>
    <w:rPr>
      <w:b/>
      <w:bCs/>
    </w:rPr>
  </w:style>
  <w:style w:type="paragraph" w:customStyle="1" w:styleId="TableName">
    <w:name w:val="TableName"/>
    <w:basedOn w:val="Normal"/>
    <w:rsid w:val="00FD17BA"/>
    <w:pPr>
      <w:keepNext/>
      <w:spacing w:after="240" w:line="240" w:lineRule="auto"/>
      <w:ind w:left="1418" w:hanging="1418"/>
    </w:pPr>
    <w:rPr>
      <w:rFonts w:ascii="Franklin Gothic Medium" w:hAnsi="Franklin Gothic Medium"/>
    </w:rPr>
  </w:style>
  <w:style w:type="paragraph" w:customStyle="1" w:styleId="TableFigNoteHangingLast">
    <w:name w:val="TableFigNoteHanging Last"/>
    <w:basedOn w:val="TableFigNote"/>
    <w:rsid w:val="00FD17BA"/>
    <w:pPr>
      <w:ind w:left="142" w:hanging="142"/>
    </w:pPr>
  </w:style>
  <w:style w:type="paragraph" w:customStyle="1" w:styleId="TableTextCA">
    <w:name w:val="Table Text CA"/>
    <w:basedOn w:val="TableText"/>
    <w:rsid w:val="00FD17BA"/>
    <w:pPr>
      <w:jc w:val="center"/>
    </w:pPr>
  </w:style>
  <w:style w:type="paragraph" w:customStyle="1" w:styleId="TableHeadingCA">
    <w:name w:val="Table Heading CA"/>
    <w:basedOn w:val="TableHeading0"/>
    <w:rsid w:val="00FD17BA"/>
    <w:pPr>
      <w:jc w:val="center"/>
    </w:pPr>
  </w:style>
  <w:style w:type="paragraph" w:customStyle="1" w:styleId="TableHeading0">
    <w:name w:val="Table Heading"/>
    <w:basedOn w:val="Normal"/>
    <w:qFormat/>
    <w:rsid w:val="00FD17BA"/>
    <w:pPr>
      <w:spacing w:after="60" w:line="240" w:lineRule="auto"/>
    </w:pPr>
    <w:rPr>
      <w:rFonts w:ascii="Arial Narrow" w:hAnsi="Arial Narrow"/>
      <w:b/>
      <w:sz w:val="20"/>
    </w:rPr>
  </w:style>
  <w:style w:type="paragraph" w:customStyle="1" w:styleId="TableFigNoteLast">
    <w:name w:val="TableFigNote Last"/>
    <w:basedOn w:val="TableFigNote"/>
    <w:rsid w:val="00FD17BA"/>
  </w:style>
  <w:style w:type="character" w:customStyle="1" w:styleId="Heading4Char">
    <w:name w:val="Heading 4 Char"/>
    <w:basedOn w:val="DefaultParagraphFont"/>
    <w:link w:val="Heading4"/>
    <w:uiPriority w:val="9"/>
    <w:rsid w:val="00E567CB"/>
    <w:rPr>
      <w:rFonts w:ascii="Franklin Gothic Medium" w:eastAsiaTheme="majorEastAsia" w:hAnsi="Franklin Gothic Medium" w:cstheme="majorBidi"/>
      <w:i/>
      <w:sz w:val="24"/>
      <w:szCs w:val="24"/>
    </w:rPr>
  </w:style>
  <w:style w:type="paragraph" w:customStyle="1" w:styleId="2ChapterText">
    <w:name w:val="2ChapterText"/>
    <w:basedOn w:val="Normal"/>
    <w:rsid w:val="00004F7F"/>
    <w:rPr>
      <w:shd w:val="clear" w:color="auto" w:fill="BDD6EE" w:themeFill="accent1" w:themeFillTint="66"/>
    </w:rPr>
  </w:style>
  <w:style w:type="paragraph" w:customStyle="1" w:styleId="1ExplanatoryText">
    <w:name w:val="1ExplanatoryText"/>
    <w:basedOn w:val="Normal"/>
    <w:rsid w:val="00225833"/>
    <w:pPr>
      <w:shd w:val="clear" w:color="auto" w:fill="C5E0B3" w:themeFill="accent6" w:themeFillTint="66"/>
    </w:pPr>
  </w:style>
  <w:style w:type="character" w:styleId="Hyperlink">
    <w:name w:val="Hyperlink"/>
    <w:basedOn w:val="DefaultParagraphFont"/>
    <w:uiPriority w:val="99"/>
    <w:unhideWhenUsed/>
    <w:rsid w:val="00997BA8"/>
    <w:rPr>
      <w:color w:val="0070C0"/>
      <w:u w:val="single"/>
    </w:rPr>
  </w:style>
  <w:style w:type="paragraph" w:styleId="TOC1">
    <w:name w:val="toc 1"/>
    <w:basedOn w:val="Normal"/>
    <w:next w:val="Normal"/>
    <w:autoRedefine/>
    <w:uiPriority w:val="39"/>
    <w:unhideWhenUsed/>
    <w:rsid w:val="00463084"/>
    <w:pPr>
      <w:tabs>
        <w:tab w:val="left" w:pos="1100"/>
        <w:tab w:val="left" w:pos="1531"/>
        <w:tab w:val="right" w:leader="dot" w:pos="9010"/>
      </w:tabs>
      <w:spacing w:after="100" w:line="240" w:lineRule="auto"/>
    </w:pPr>
    <w:rPr>
      <w:rFonts w:asciiTheme="minorHAnsi" w:hAnsiTheme="minorHAnsi"/>
      <w:b/>
    </w:rPr>
  </w:style>
  <w:style w:type="paragraph" w:styleId="TOC2">
    <w:name w:val="toc 2"/>
    <w:basedOn w:val="Normal"/>
    <w:next w:val="Normal"/>
    <w:autoRedefine/>
    <w:uiPriority w:val="39"/>
    <w:unhideWhenUsed/>
    <w:rsid w:val="00944087"/>
    <w:pPr>
      <w:tabs>
        <w:tab w:val="left" w:pos="1089"/>
        <w:tab w:val="right" w:leader="dot" w:pos="9010"/>
      </w:tabs>
      <w:spacing w:after="100" w:line="240" w:lineRule="auto"/>
    </w:pPr>
    <w:rPr>
      <w:rFonts w:asciiTheme="minorHAnsi" w:hAnsiTheme="minorHAnsi"/>
    </w:rPr>
  </w:style>
  <w:style w:type="paragraph" w:styleId="TOC3">
    <w:name w:val="toc 3"/>
    <w:basedOn w:val="Normal"/>
    <w:next w:val="Normal"/>
    <w:autoRedefine/>
    <w:uiPriority w:val="39"/>
    <w:unhideWhenUsed/>
    <w:rsid w:val="0088445B"/>
    <w:pPr>
      <w:spacing w:after="100" w:line="240" w:lineRule="auto"/>
      <w:ind w:left="720"/>
    </w:pPr>
    <w:rPr>
      <w:rFonts w:asciiTheme="minorHAnsi" w:hAnsiTheme="minorHAnsi"/>
    </w:rPr>
  </w:style>
  <w:style w:type="character" w:styleId="FollowedHyperlink">
    <w:name w:val="FollowedHyperlink"/>
    <w:basedOn w:val="DefaultParagraphFont"/>
    <w:uiPriority w:val="99"/>
    <w:semiHidden/>
    <w:unhideWhenUsed/>
    <w:rsid w:val="0088445B"/>
    <w:rPr>
      <w:color w:val="954F72" w:themeColor="followedHyperlink"/>
      <w:u w:val="single"/>
    </w:rPr>
  </w:style>
  <w:style w:type="paragraph" w:styleId="TOC9">
    <w:name w:val="toc 9"/>
    <w:basedOn w:val="Normal"/>
    <w:next w:val="Normal"/>
    <w:autoRedefine/>
    <w:uiPriority w:val="39"/>
    <w:unhideWhenUsed/>
    <w:rsid w:val="00AF3D39"/>
    <w:pPr>
      <w:spacing w:after="100"/>
      <w:ind w:left="1760"/>
    </w:pPr>
  </w:style>
  <w:style w:type="paragraph" w:styleId="Date">
    <w:name w:val="Date"/>
    <w:basedOn w:val="Normal"/>
    <w:next w:val="Normal"/>
    <w:link w:val="DateChar"/>
    <w:rsid w:val="000870B6"/>
    <w:pPr>
      <w:spacing w:before="1134" w:after="800"/>
      <w:ind w:left="4536"/>
    </w:pPr>
    <w:rPr>
      <w:rFonts w:ascii="Arial" w:eastAsia="Times New Roman" w:hAnsi="Arial" w:cs="Tahoma"/>
      <w:b/>
      <w:sz w:val="36"/>
    </w:rPr>
  </w:style>
  <w:style w:type="character" w:customStyle="1" w:styleId="DateChar">
    <w:name w:val="Date Char"/>
    <w:basedOn w:val="DefaultParagraphFont"/>
    <w:link w:val="Date"/>
    <w:rsid w:val="000870B6"/>
    <w:rPr>
      <w:rFonts w:ascii="Arial" w:eastAsia="Times New Roman" w:hAnsi="Arial" w:cs="Tahoma"/>
      <w:b/>
      <w:sz w:val="36"/>
      <w:lang w:eastAsia="en-AU"/>
    </w:rPr>
  </w:style>
  <w:style w:type="paragraph" w:customStyle="1" w:styleId="PublicationTitle">
    <w:name w:val="PublicationTitle"/>
    <w:basedOn w:val="Normal"/>
    <w:rsid w:val="000870B6"/>
    <w:pPr>
      <w:tabs>
        <w:tab w:val="left" w:pos="4536"/>
      </w:tabs>
      <w:spacing w:before="4536" w:after="800" w:line="480" w:lineRule="exact"/>
      <w:ind w:left="4536" w:right="113"/>
      <w:jc w:val="right"/>
    </w:pPr>
    <w:rPr>
      <w:rFonts w:ascii="Arial" w:eastAsia="Times New Roman" w:hAnsi="Arial" w:cs="Tahoma"/>
      <w:b/>
      <w:i/>
      <w:sz w:val="44"/>
    </w:rPr>
  </w:style>
  <w:style w:type="paragraph" w:customStyle="1" w:styleId="Sub-title">
    <w:name w:val="Sub-title"/>
    <w:basedOn w:val="Normal"/>
    <w:locked/>
    <w:rsid w:val="00401DBF"/>
    <w:pPr>
      <w:spacing w:before="1701"/>
      <w:ind w:left="4536"/>
    </w:pPr>
    <w:rPr>
      <w:rFonts w:ascii="Arial" w:eastAsia="Times New Roman" w:hAnsi="Arial" w:cs="Tahoma"/>
      <w:b/>
      <w:sz w:val="32"/>
    </w:rPr>
  </w:style>
  <w:style w:type="paragraph" w:customStyle="1" w:styleId="Nnumberedlist">
    <w:name w:val="Nnumbered list"/>
    <w:basedOn w:val="Normal"/>
    <w:rsid w:val="00AF3D39"/>
    <w:pPr>
      <w:numPr>
        <w:numId w:val="17"/>
      </w:numPr>
      <w:jc w:val="both"/>
    </w:pPr>
    <w:rPr>
      <w:rFonts w:ascii="Calibri" w:eastAsia="Times New Roman" w:hAnsi="Calibri" w:cs="Tahoma"/>
      <w:lang w:eastAsia="en-AU"/>
    </w:rPr>
  </w:style>
  <w:style w:type="paragraph" w:styleId="TOCHeading">
    <w:name w:val="TOC Heading"/>
    <w:basedOn w:val="Heading1"/>
    <w:next w:val="Normal"/>
    <w:uiPriority w:val="39"/>
    <w:unhideWhenUsed/>
    <w:rsid w:val="00DE7099"/>
    <w:pPr>
      <w:numPr>
        <w:numId w:val="0"/>
      </w:numPr>
      <w:pBdr>
        <w:bottom w:val="none" w:sz="0" w:space="0" w:color="auto"/>
      </w:pBdr>
      <w:spacing w:before="240" w:after="0" w:line="259" w:lineRule="auto"/>
      <w:outlineLvl w:val="9"/>
    </w:pPr>
    <w:rPr>
      <w:rFonts w:asciiTheme="majorHAnsi" w:hAnsiTheme="majorHAnsi"/>
      <w:color w:val="2E74B5" w:themeColor="accent1" w:themeShade="BF"/>
      <w:sz w:val="32"/>
      <w:lang w:val="en-US"/>
    </w:rPr>
  </w:style>
  <w:style w:type="paragraph" w:styleId="TOC4">
    <w:name w:val="toc 4"/>
    <w:basedOn w:val="Normal"/>
    <w:next w:val="Normal"/>
    <w:autoRedefine/>
    <w:uiPriority w:val="39"/>
    <w:unhideWhenUsed/>
    <w:rsid w:val="00DE7099"/>
    <w:pPr>
      <w:spacing w:after="100"/>
      <w:ind w:left="660"/>
    </w:pPr>
    <w:rPr>
      <w:rFonts w:asciiTheme="minorHAnsi" w:eastAsiaTheme="minorEastAsia" w:hAnsiTheme="minorHAnsi"/>
    </w:rPr>
  </w:style>
  <w:style w:type="paragraph" w:styleId="TOC5">
    <w:name w:val="toc 5"/>
    <w:basedOn w:val="Normal"/>
    <w:next w:val="Normal"/>
    <w:autoRedefine/>
    <w:uiPriority w:val="39"/>
    <w:unhideWhenUsed/>
    <w:rsid w:val="00DE7099"/>
    <w:pPr>
      <w:spacing w:after="100"/>
      <w:ind w:left="880"/>
    </w:pPr>
    <w:rPr>
      <w:rFonts w:asciiTheme="minorHAnsi" w:eastAsiaTheme="minorEastAsia" w:hAnsiTheme="minorHAnsi"/>
    </w:rPr>
  </w:style>
  <w:style w:type="paragraph" w:styleId="TOC6">
    <w:name w:val="toc 6"/>
    <w:basedOn w:val="Normal"/>
    <w:next w:val="Normal"/>
    <w:autoRedefine/>
    <w:uiPriority w:val="39"/>
    <w:unhideWhenUsed/>
    <w:rsid w:val="00DE7099"/>
    <w:pPr>
      <w:spacing w:after="100"/>
      <w:ind w:left="1100"/>
    </w:pPr>
    <w:rPr>
      <w:rFonts w:asciiTheme="minorHAnsi" w:eastAsiaTheme="minorEastAsia" w:hAnsiTheme="minorHAnsi"/>
    </w:rPr>
  </w:style>
  <w:style w:type="paragraph" w:styleId="TOC7">
    <w:name w:val="toc 7"/>
    <w:basedOn w:val="Normal"/>
    <w:next w:val="Normal"/>
    <w:autoRedefine/>
    <w:uiPriority w:val="39"/>
    <w:unhideWhenUsed/>
    <w:rsid w:val="00DE7099"/>
    <w:pPr>
      <w:spacing w:after="100"/>
      <w:ind w:left="1320"/>
    </w:pPr>
    <w:rPr>
      <w:rFonts w:asciiTheme="minorHAnsi" w:eastAsiaTheme="minorEastAsia" w:hAnsiTheme="minorHAnsi"/>
    </w:rPr>
  </w:style>
  <w:style w:type="paragraph" w:styleId="TOC8">
    <w:name w:val="toc 8"/>
    <w:basedOn w:val="Normal"/>
    <w:next w:val="Normal"/>
    <w:autoRedefine/>
    <w:uiPriority w:val="39"/>
    <w:unhideWhenUsed/>
    <w:rsid w:val="00DE7099"/>
    <w:pPr>
      <w:spacing w:after="100"/>
      <w:ind w:left="1540"/>
    </w:pPr>
    <w:rPr>
      <w:rFonts w:asciiTheme="minorHAnsi" w:eastAsiaTheme="minorEastAsia" w:hAnsiTheme="minorHAnsi"/>
    </w:rPr>
  </w:style>
  <w:style w:type="paragraph" w:customStyle="1" w:styleId="In-tableHeading">
    <w:name w:val="In-table Heading"/>
    <w:qFormat/>
    <w:rsid w:val="000472D4"/>
    <w:pPr>
      <w:keepNext/>
      <w:spacing w:after="0" w:line="240" w:lineRule="auto"/>
    </w:pPr>
    <w:rPr>
      <w:rFonts w:ascii="Arial Narrow" w:eastAsiaTheme="majorEastAsia" w:hAnsi="Arial Narrow" w:cs="Times New Roman"/>
      <w:b/>
      <w:sz w:val="20"/>
      <w:szCs w:val="24"/>
      <w:lang w:val="en-US"/>
    </w:rPr>
  </w:style>
  <w:style w:type="paragraph" w:customStyle="1" w:styleId="TableFigureFooter">
    <w:name w:val="Table/Figure Footer"/>
    <w:basedOn w:val="Normal"/>
    <w:link w:val="TableFigureFooterChar"/>
    <w:qFormat/>
    <w:rsid w:val="00C02065"/>
    <w:pPr>
      <w:tabs>
        <w:tab w:val="left" w:pos="284"/>
      </w:tabs>
      <w:spacing w:before="0" w:after="360" w:line="240" w:lineRule="auto"/>
      <w:contextualSpacing/>
    </w:pPr>
    <w:rPr>
      <w:rFonts w:ascii="Arial Narrow" w:eastAsia="Times New Roman" w:hAnsi="Arial Narrow" w:cs="Arial"/>
      <w:snapToGrid w:val="0"/>
      <w:sz w:val="18"/>
    </w:rPr>
  </w:style>
  <w:style w:type="character" w:customStyle="1" w:styleId="TableFigureFooterChar">
    <w:name w:val="Table/Figure Footer Char"/>
    <w:link w:val="TableFigureFooter"/>
    <w:rsid w:val="00C02065"/>
    <w:rPr>
      <w:rFonts w:ascii="Arial Narrow" w:eastAsia="Times New Roman" w:hAnsi="Arial Narrow" w:cs="Arial"/>
      <w:snapToGrid w:val="0"/>
      <w:sz w:val="18"/>
      <w:lang w:eastAsia="en-AU"/>
    </w:rPr>
  </w:style>
  <w:style w:type="character" w:styleId="Emphasis">
    <w:name w:val="Emphasis"/>
    <w:uiPriority w:val="20"/>
    <w:rsid w:val="00566298"/>
    <w:rPr>
      <w:i/>
      <w:iCs/>
    </w:rPr>
  </w:style>
  <w:style w:type="paragraph" w:styleId="Header">
    <w:name w:val="header"/>
    <w:basedOn w:val="Normal"/>
    <w:link w:val="HeaderChar"/>
    <w:uiPriority w:val="99"/>
    <w:unhideWhenUsed/>
    <w:rsid w:val="00B62D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2DF2"/>
    <w:rPr>
      <w:rFonts w:ascii="Franklin Gothic Book" w:hAnsi="Franklin Gothic Book"/>
    </w:rPr>
  </w:style>
  <w:style w:type="paragraph" w:styleId="Footer">
    <w:name w:val="footer"/>
    <w:basedOn w:val="Normal"/>
    <w:link w:val="FooterChar"/>
    <w:uiPriority w:val="99"/>
    <w:unhideWhenUsed/>
    <w:rsid w:val="00B62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2DF2"/>
    <w:rPr>
      <w:rFonts w:ascii="Franklin Gothic Book" w:hAnsi="Franklin Gothic Book"/>
    </w:rPr>
  </w:style>
  <w:style w:type="paragraph" w:customStyle="1" w:styleId="Tablenotes">
    <w:name w:val="Tablenotes"/>
    <w:basedOn w:val="Normal"/>
    <w:link w:val="TablenotesChar"/>
    <w:qFormat/>
    <w:rsid w:val="00242F4E"/>
    <w:pPr>
      <w:widowControl w:val="0"/>
      <w:spacing w:after="120" w:line="240" w:lineRule="auto"/>
      <w:contextualSpacing/>
    </w:pPr>
    <w:rPr>
      <w:rFonts w:ascii="Arial Narrow" w:eastAsia="Times New Roman" w:hAnsi="Arial Narrow" w:cs="Arial"/>
      <w:snapToGrid w:val="0"/>
      <w:sz w:val="18"/>
      <w:szCs w:val="20"/>
    </w:rPr>
  </w:style>
  <w:style w:type="character" w:customStyle="1" w:styleId="TablenotesChar">
    <w:name w:val="Tablenotes Char"/>
    <w:basedOn w:val="DefaultParagraphFont"/>
    <w:link w:val="Tablenotes"/>
    <w:rsid w:val="00242F4E"/>
    <w:rPr>
      <w:rFonts w:ascii="Arial Narrow" w:eastAsia="Times New Roman" w:hAnsi="Arial Narrow" w:cs="Arial"/>
      <w:snapToGrid w:val="0"/>
      <w:sz w:val="18"/>
      <w:szCs w:val="20"/>
    </w:rPr>
  </w:style>
  <w:style w:type="character" w:customStyle="1" w:styleId="ListParagraphChar">
    <w:name w:val="List Paragraph Char"/>
    <w:aliases w:val="List Paragraph1 Char,List Paragraph11 Char,L Char,Recommendation Char,CV text Char,Colorful List - Accent 11 Char,COOP Char,Primary Bullet List Char,Figure_name Char,Numbered Indented Text Char,Bullet- First level Char,lp1 Char"/>
    <w:basedOn w:val="DefaultParagraphFont"/>
    <w:link w:val="ListParagraph"/>
    <w:uiPriority w:val="34"/>
    <w:qFormat/>
    <w:rsid w:val="00A454B3"/>
    <w:rPr>
      <w:rFonts w:ascii="Franklin Gothic Book" w:hAnsi="Franklin Gothic Book"/>
    </w:rPr>
  </w:style>
  <w:style w:type="table" w:customStyle="1" w:styleId="TableGridLight1">
    <w:name w:val="Table Grid Light1"/>
    <w:basedOn w:val="TableNormal"/>
    <w:uiPriority w:val="40"/>
    <w:rsid w:val="00BA59FB"/>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tblPr/>
      <w:tcPr>
        <w:shd w:val="clear" w:color="auto" w:fill="F2F2F2" w:themeFill="background1" w:themeFillShade="F2"/>
      </w:tcPr>
    </w:tblStylePr>
  </w:style>
  <w:style w:type="paragraph" w:customStyle="1" w:styleId="Bullet">
    <w:name w:val="Bullet"/>
    <w:basedOn w:val="Normal"/>
    <w:qFormat/>
    <w:rsid w:val="00BA59FB"/>
    <w:pPr>
      <w:numPr>
        <w:numId w:val="18"/>
      </w:numPr>
      <w:spacing w:after="120" w:line="240" w:lineRule="auto"/>
    </w:pPr>
    <w:rPr>
      <w:rFonts w:asciiTheme="minorHAnsi" w:hAnsiTheme="minorHAnsi"/>
    </w:rPr>
  </w:style>
  <w:style w:type="paragraph" w:customStyle="1" w:styleId="TableFigureHeading">
    <w:name w:val="Table/Figure Heading"/>
    <w:next w:val="In-tableHeading"/>
    <w:link w:val="TableFigureHeadingChar"/>
    <w:qFormat/>
    <w:rsid w:val="00F257B5"/>
    <w:pPr>
      <w:keepNext/>
      <w:spacing w:after="0" w:line="240" w:lineRule="auto"/>
    </w:pPr>
    <w:rPr>
      <w:rFonts w:ascii="Arial Narrow" w:eastAsiaTheme="majorEastAsia" w:hAnsi="Arial Narrow" w:cstheme="majorBidi"/>
      <w:b/>
      <w:bCs/>
      <w:sz w:val="20"/>
      <w:szCs w:val="24"/>
    </w:rPr>
  </w:style>
  <w:style w:type="character" w:customStyle="1" w:styleId="TableFigureHeadingChar">
    <w:name w:val="Table/Figure Heading Char"/>
    <w:basedOn w:val="DefaultParagraphFont"/>
    <w:link w:val="TableFigureHeading"/>
    <w:rsid w:val="00F257B5"/>
    <w:rPr>
      <w:rFonts w:ascii="Arial Narrow" w:eastAsiaTheme="majorEastAsia" w:hAnsi="Arial Narrow" w:cstheme="majorBidi"/>
      <w:b/>
      <w:bCs/>
      <w:sz w:val="20"/>
      <w:szCs w:val="24"/>
      <w:lang w:eastAsia="en-AU"/>
    </w:rPr>
  </w:style>
  <w:style w:type="paragraph" w:customStyle="1" w:styleId="Tabletext0">
    <w:name w:val="Table text"/>
    <w:basedOn w:val="Normal"/>
    <w:link w:val="TabletextChar0"/>
    <w:qFormat/>
    <w:rsid w:val="001B2CD4"/>
    <w:pPr>
      <w:spacing w:before="40" w:after="40" w:line="240" w:lineRule="auto"/>
      <w:jc w:val="both"/>
    </w:pPr>
    <w:rPr>
      <w:rFonts w:ascii="Arial Narrow" w:eastAsia="Times New Roman" w:hAnsi="Arial Narrow" w:cs="Tahoma"/>
      <w:sz w:val="20"/>
      <w:szCs w:val="20"/>
    </w:rPr>
  </w:style>
  <w:style w:type="character" w:customStyle="1" w:styleId="TabletextChar0">
    <w:name w:val="Table text Char"/>
    <w:link w:val="Tabletext0"/>
    <w:rsid w:val="001B2CD4"/>
    <w:rPr>
      <w:rFonts w:ascii="Arial Narrow" w:eastAsia="Times New Roman" w:hAnsi="Arial Narrow" w:cs="Tahoma"/>
      <w:sz w:val="20"/>
      <w:szCs w:val="20"/>
      <w:lang w:eastAsia="en-AU"/>
    </w:rPr>
  </w:style>
  <w:style w:type="paragraph" w:customStyle="1" w:styleId="Tablenotes0">
    <w:name w:val="Table notes"/>
    <w:basedOn w:val="Normal"/>
    <w:link w:val="TablenotesChar0"/>
    <w:qFormat/>
    <w:rsid w:val="00571E9B"/>
    <w:pPr>
      <w:spacing w:before="60" w:after="240"/>
      <w:contextualSpacing/>
      <w:jc w:val="both"/>
    </w:pPr>
    <w:rPr>
      <w:rFonts w:ascii="Arial Narrow" w:hAnsi="Arial Narrow" w:cs="Arial"/>
      <w:sz w:val="18"/>
    </w:rPr>
  </w:style>
  <w:style w:type="character" w:customStyle="1" w:styleId="TablenotesChar0">
    <w:name w:val="Table notes Char"/>
    <w:basedOn w:val="DefaultParagraphFont"/>
    <w:link w:val="Tablenotes0"/>
    <w:rsid w:val="00571E9B"/>
    <w:rPr>
      <w:rFonts w:ascii="Arial Narrow" w:hAnsi="Arial Narrow" w:cs="Arial"/>
      <w:sz w:val="18"/>
    </w:rPr>
  </w:style>
  <w:style w:type="numbering" w:customStyle="1" w:styleId="ESSectionheading-numbered">
    <w:name w:val="ES. Section heading - numbered"/>
    <w:uiPriority w:val="99"/>
    <w:rsid w:val="002A4084"/>
    <w:pPr>
      <w:numPr>
        <w:numId w:val="19"/>
      </w:numPr>
    </w:pPr>
  </w:style>
  <w:style w:type="paragraph" w:customStyle="1" w:styleId="2-SectionHeading">
    <w:name w:val="2-Section Heading"/>
    <w:rsid w:val="005131D3"/>
    <w:pPr>
      <w:keepNext/>
      <w:numPr>
        <w:numId w:val="20"/>
      </w:numPr>
      <w:spacing w:before="240" w:after="120" w:line="240" w:lineRule="auto"/>
      <w:outlineLvl w:val="0"/>
    </w:pPr>
    <w:rPr>
      <w:rFonts w:asciiTheme="minorHAnsi" w:eastAsia="Times New Roman" w:hAnsiTheme="minorHAnsi" w:cs="Arial"/>
      <w:b/>
      <w:snapToGrid w:val="0"/>
      <w:sz w:val="32"/>
      <w:szCs w:val="32"/>
    </w:rPr>
  </w:style>
  <w:style w:type="paragraph" w:customStyle="1" w:styleId="3-BodyText">
    <w:name w:val="3-Body Text"/>
    <w:basedOn w:val="ListParagraph"/>
    <w:rsid w:val="005131D3"/>
    <w:pPr>
      <w:numPr>
        <w:ilvl w:val="1"/>
        <w:numId w:val="20"/>
      </w:numPr>
      <w:spacing w:after="120" w:line="240" w:lineRule="auto"/>
      <w:contextualSpacing w:val="0"/>
      <w:jc w:val="both"/>
    </w:pPr>
    <w:rPr>
      <w:rFonts w:asciiTheme="minorHAnsi" w:eastAsia="Times New Roman" w:hAnsiTheme="minorHAnsi" w:cs="Arial"/>
      <w:snapToGrid w:val="0"/>
      <w:sz w:val="24"/>
      <w:szCs w:val="24"/>
      <w:lang w:eastAsia="en-AU"/>
    </w:rPr>
  </w:style>
  <w:style w:type="paragraph" w:customStyle="1" w:styleId="BoxName">
    <w:name w:val="Box Name"/>
    <w:basedOn w:val="Normal"/>
    <w:rsid w:val="002B667C"/>
    <w:pPr>
      <w:pBdr>
        <w:top w:val="single" w:sz="4" w:space="4" w:color="auto"/>
        <w:left w:val="single" w:sz="4" w:space="4" w:color="auto"/>
        <w:bottom w:val="single" w:sz="4" w:space="4" w:color="auto"/>
        <w:right w:val="single" w:sz="4" w:space="4" w:color="auto"/>
      </w:pBdr>
      <w:spacing w:after="120" w:line="240" w:lineRule="auto"/>
    </w:pPr>
    <w:rPr>
      <w:rFonts w:ascii="Franklin Gothic Medium" w:hAnsi="Franklin Gothic Medium"/>
      <w:sz w:val="21"/>
    </w:rPr>
  </w:style>
  <w:style w:type="character" w:customStyle="1" w:styleId="InstructionBulletpointChar">
    <w:name w:val="Instruction Bullet point Char"/>
    <w:basedOn w:val="DefaultParagraphFont"/>
    <w:link w:val="InstructionBulletpoint"/>
    <w:uiPriority w:val="3"/>
    <w:locked/>
    <w:rsid w:val="00107DCD"/>
    <w:rPr>
      <w:rFonts w:ascii="Calibri" w:eastAsiaTheme="minorHAnsi" w:hAnsi="Calibri" w:cs="Calibri"/>
      <w:color w:val="0070C0"/>
      <w:sz w:val="24"/>
      <w:lang w:eastAsia="en-US"/>
    </w:rPr>
  </w:style>
  <w:style w:type="paragraph" w:customStyle="1" w:styleId="InstructionBulletpoint">
    <w:name w:val="Instruction Bullet point"/>
    <w:basedOn w:val="Normal"/>
    <w:link w:val="InstructionBulletpointChar"/>
    <w:uiPriority w:val="3"/>
    <w:rsid w:val="00107DCD"/>
    <w:pPr>
      <w:numPr>
        <w:numId w:val="21"/>
      </w:numPr>
      <w:spacing w:after="120" w:line="240" w:lineRule="auto"/>
      <w:ind w:left="714" w:hanging="357"/>
    </w:pPr>
    <w:rPr>
      <w:rFonts w:ascii="Calibri" w:hAnsi="Calibri" w:cs="Calibri"/>
      <w:color w:val="0070C0"/>
      <w:sz w:val="24"/>
    </w:rPr>
  </w:style>
  <w:style w:type="character" w:customStyle="1" w:styleId="TableFooterChar">
    <w:name w:val="Table Footer Char"/>
    <w:link w:val="TableFooter"/>
    <w:locked/>
    <w:rsid w:val="007B0880"/>
    <w:rPr>
      <w:rFonts w:ascii="Arial Narrow" w:eastAsia="Times New Roman" w:hAnsi="Arial Narrow" w:cs="Arial"/>
      <w:sz w:val="18"/>
      <w:szCs w:val="20"/>
    </w:rPr>
  </w:style>
  <w:style w:type="paragraph" w:customStyle="1" w:styleId="TableFooter">
    <w:name w:val="Table Footer"/>
    <w:basedOn w:val="Normal"/>
    <w:link w:val="TableFooterChar"/>
    <w:rsid w:val="007B0880"/>
    <w:pPr>
      <w:widowControl w:val="0"/>
      <w:snapToGrid w:val="0"/>
      <w:spacing w:after="240" w:line="240" w:lineRule="auto"/>
      <w:contextualSpacing/>
      <w:jc w:val="both"/>
    </w:pPr>
    <w:rPr>
      <w:rFonts w:ascii="Arial Narrow" w:eastAsia="Times New Roman" w:hAnsi="Arial Narrow" w:cs="Arial"/>
      <w:sz w:val="18"/>
      <w:szCs w:val="20"/>
    </w:rPr>
  </w:style>
  <w:style w:type="table" w:customStyle="1" w:styleId="PBACTableStyle">
    <w:name w:val="PBAC Table Style"/>
    <w:basedOn w:val="TableGrid10"/>
    <w:uiPriority w:val="99"/>
    <w:rsid w:val="007B0880"/>
    <w:pPr>
      <w:widowControl w:val="0"/>
      <w:spacing w:after="0" w:line="240" w:lineRule="auto"/>
      <w:contextualSpacing/>
      <w:jc w:val="center"/>
    </w:pPr>
    <w:rPr>
      <w:rFonts w:ascii="Arial Narrow" w:hAnsi="Arial Narrow"/>
      <w:color w:val="000000" w:themeColor="text1"/>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100" w:beforeAutospacing="1" w:afterLines="0" w:after="100" w:afterAutospacing="1" w:line="240" w:lineRule="auto"/>
        <w:ind w:leftChars="0" w:left="0" w:rightChars="0" w:right="0" w:firstLineChars="0" w:firstLine="0"/>
        <w:contextualSpacing/>
        <w:jc w:val="center"/>
      </w:pPr>
      <w:rPr>
        <w:rFonts w:ascii="Gill Sans" w:hAnsi="Gill Sans" w:hint="default"/>
        <w:b/>
        <w:sz w:val="20"/>
        <w:szCs w:val="20"/>
      </w:rPr>
    </w:tblStylePr>
    <w:tblStylePr w:type="lastRow">
      <w:rPr>
        <w:i/>
        <w:iCs/>
      </w:rPr>
      <w:tblPr/>
      <w:tcPr>
        <w:tcBorders>
          <w:tl2br w:val="none" w:sz="0" w:space="0" w:color="auto"/>
          <w:tr2bl w:val="none" w:sz="0" w:space="0" w:color="auto"/>
        </w:tcBorders>
      </w:tcPr>
    </w:tblStylePr>
    <w:tblStylePr w:type="firstCol">
      <w:pPr>
        <w:wordWrap/>
        <w:spacing w:beforeLines="0" w:before="100" w:beforeAutospacing="1" w:afterLines="0" w:after="100" w:afterAutospacing="1" w:line="240" w:lineRule="auto"/>
        <w:ind w:leftChars="0" w:left="0" w:rightChars="0" w:right="0"/>
        <w:contextualSpacing/>
        <w:jc w:val="left"/>
      </w:pPr>
      <w:rPr>
        <w:rFonts w:ascii="Gill Sans" w:hAnsi="Gill Sans" w:hint="default"/>
        <w:sz w:val="20"/>
        <w:szCs w:val="20"/>
      </w:rPr>
    </w:tblStylePr>
    <w:tblStylePr w:type="lastCol">
      <w:pPr>
        <w:wordWrap/>
        <w:spacing w:beforeLines="0" w:before="100" w:beforeAutospacing="1" w:afterLines="0" w:after="100" w:afterAutospacing="1" w:line="240" w:lineRule="auto"/>
        <w:ind w:leftChars="0" w:left="0" w:rightChars="0" w:right="0" w:firstLineChars="0" w:firstLine="0"/>
        <w:contextualSpacing/>
      </w:pPr>
      <w:rPr>
        <w:rFonts w:ascii="Gill Sans" w:hAnsi="Gill Sans" w:hint="default"/>
        <w:i/>
        <w:iCs/>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tcPr>
    </w:tblStylePr>
  </w:style>
  <w:style w:type="table" w:styleId="TableGrid10">
    <w:name w:val="Table Grid 1"/>
    <w:basedOn w:val="TableNormal"/>
    <w:uiPriority w:val="99"/>
    <w:semiHidden/>
    <w:unhideWhenUsed/>
    <w:rsid w:val="007B088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MSACESParagraphChar">
    <w:name w:val="MSAC ES Paragraph Char"/>
    <w:basedOn w:val="DefaultParagraphFont"/>
    <w:link w:val="MSACESParagraph"/>
    <w:uiPriority w:val="1"/>
    <w:locked/>
    <w:rsid w:val="000B720C"/>
    <w:rPr>
      <w:rFonts w:ascii="Times New Roman" w:hAnsi="Times New Roman" w:cs="Times New Roman"/>
      <w:sz w:val="24"/>
    </w:rPr>
  </w:style>
  <w:style w:type="paragraph" w:customStyle="1" w:styleId="MSACESParagraph">
    <w:name w:val="MSAC ES Paragraph"/>
    <w:link w:val="MSACESParagraphChar"/>
    <w:uiPriority w:val="1"/>
    <w:rsid w:val="000B720C"/>
    <w:pPr>
      <w:spacing w:after="240" w:line="240" w:lineRule="auto"/>
    </w:pPr>
    <w:rPr>
      <w:rFonts w:ascii="Times New Roman" w:hAnsi="Times New Roman" w:cs="Times New Roman"/>
      <w:sz w:val="24"/>
    </w:rPr>
  </w:style>
  <w:style w:type="paragraph" w:styleId="FootnoteText">
    <w:name w:val="footnote text"/>
    <w:basedOn w:val="Normal"/>
    <w:link w:val="FootnoteTextChar"/>
    <w:uiPriority w:val="99"/>
    <w:unhideWhenUsed/>
    <w:rsid w:val="00804632"/>
    <w:pPr>
      <w:spacing w:after="0" w:line="240" w:lineRule="auto"/>
    </w:pPr>
    <w:rPr>
      <w:rFonts w:asciiTheme="minorHAnsi" w:hAnsiTheme="minorHAnsi"/>
      <w:sz w:val="18"/>
      <w:szCs w:val="20"/>
    </w:rPr>
  </w:style>
  <w:style w:type="character" w:customStyle="1" w:styleId="FootnoteTextChar">
    <w:name w:val="Footnote Text Char"/>
    <w:basedOn w:val="DefaultParagraphFont"/>
    <w:link w:val="FootnoteText"/>
    <w:uiPriority w:val="99"/>
    <w:rsid w:val="00804632"/>
    <w:rPr>
      <w:sz w:val="18"/>
      <w:szCs w:val="20"/>
    </w:rPr>
  </w:style>
  <w:style w:type="character" w:styleId="FootnoteReference">
    <w:name w:val="footnote reference"/>
    <w:basedOn w:val="DefaultParagraphFont"/>
    <w:uiPriority w:val="99"/>
    <w:unhideWhenUsed/>
    <w:rsid w:val="00804632"/>
    <w:rPr>
      <w:vertAlign w:val="superscript"/>
    </w:rPr>
  </w:style>
  <w:style w:type="paragraph" w:customStyle="1" w:styleId="TableFigNoteHanging">
    <w:name w:val="TableFigNoteHanging"/>
    <w:basedOn w:val="TableFigNoteHangingLast"/>
    <w:rsid w:val="00804632"/>
    <w:pPr>
      <w:spacing w:after="0"/>
      <w:contextualSpacing w:val="0"/>
    </w:pPr>
    <w:rPr>
      <w:rFonts w:asciiTheme="minorHAnsi" w:hAnsiTheme="minorHAnsi"/>
    </w:rPr>
  </w:style>
  <w:style w:type="table" w:customStyle="1" w:styleId="TableGrid2">
    <w:name w:val="Table Grid2"/>
    <w:basedOn w:val="TableNormal"/>
    <w:next w:val="TableGrid"/>
    <w:uiPriority w:val="59"/>
    <w:rsid w:val="00804632"/>
    <w:pPr>
      <w:spacing w:after="240" w:line="240" w:lineRule="auto"/>
      <w:ind w:left="72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mmaryboxheading">
    <w:name w:val="Summary box heading"/>
    <w:basedOn w:val="Normal"/>
    <w:rsid w:val="00666A58"/>
    <w:pPr>
      <w:spacing w:after="100" w:afterAutospacing="1"/>
      <w:jc w:val="both"/>
    </w:pPr>
    <w:rPr>
      <w:rFonts w:ascii="Arial Narrow" w:eastAsia="Times New Roman" w:hAnsi="Arial Narrow" w:cs="Tahoma"/>
      <w:b/>
    </w:rPr>
  </w:style>
  <w:style w:type="paragraph" w:customStyle="1" w:styleId="TableText1">
    <w:name w:val="TableText"/>
    <w:basedOn w:val="Normal"/>
    <w:link w:val="TableTextChar1"/>
    <w:rsid w:val="001C2A48"/>
    <w:pPr>
      <w:keepNext/>
      <w:spacing w:before="40" w:after="40"/>
      <w:jc w:val="both"/>
    </w:pPr>
    <w:rPr>
      <w:rFonts w:ascii="Arial Narrow" w:eastAsia="Times New Roman" w:hAnsi="Arial Narrow" w:cs="Tahoma"/>
      <w:sz w:val="18"/>
    </w:rPr>
  </w:style>
  <w:style w:type="character" w:customStyle="1" w:styleId="TableTextChar1">
    <w:name w:val="TableText Char"/>
    <w:link w:val="TableText1"/>
    <w:rsid w:val="001C2A48"/>
    <w:rPr>
      <w:rFonts w:ascii="Arial Narrow" w:eastAsia="Times New Roman" w:hAnsi="Arial Narrow" w:cs="Tahoma"/>
      <w:sz w:val="18"/>
      <w:lang w:eastAsia="en-AU"/>
    </w:rPr>
  </w:style>
  <w:style w:type="paragraph" w:customStyle="1" w:styleId="References">
    <w:name w:val="References"/>
    <w:basedOn w:val="Normal"/>
    <w:rsid w:val="001C2A48"/>
    <w:pPr>
      <w:keepLines/>
      <w:spacing w:after="240" w:line="312" w:lineRule="auto"/>
      <w:ind w:left="1440" w:hanging="720"/>
    </w:pPr>
    <w:rPr>
      <w:rFonts w:ascii="Calibri" w:eastAsia="Times New Roman" w:hAnsi="Calibri" w:cs="Tahoma"/>
    </w:rPr>
  </w:style>
  <w:style w:type="character" w:customStyle="1" w:styleId="TitleChar">
    <w:name w:val="Title Char"/>
    <w:basedOn w:val="DefaultParagraphFont"/>
    <w:link w:val="Title"/>
    <w:rsid w:val="00772829"/>
    <w:rPr>
      <w:rFonts w:ascii="Arial" w:eastAsia="Times New Roman" w:hAnsi="Arial" w:cs="Arial"/>
      <w:b/>
      <w:bCs/>
      <w:color w:val="000080"/>
      <w:sz w:val="36"/>
      <w:szCs w:val="36"/>
    </w:rPr>
  </w:style>
  <w:style w:type="paragraph" w:styleId="Subtitle">
    <w:name w:val="Subtitle"/>
    <w:basedOn w:val="Normal"/>
    <w:next w:val="Normal"/>
    <w:link w:val="SubtitleChar"/>
    <w:qFormat/>
    <w:pPr>
      <w:spacing w:after="240" w:line="240" w:lineRule="auto"/>
      <w:jc w:val="center"/>
    </w:pPr>
    <w:rPr>
      <w:rFonts w:ascii="Arial" w:eastAsia="Arial" w:hAnsi="Arial" w:cs="Arial"/>
      <w:b/>
      <w:i/>
      <w:color w:val="000080"/>
      <w:sz w:val="28"/>
      <w:szCs w:val="28"/>
    </w:rPr>
  </w:style>
  <w:style w:type="character" w:customStyle="1" w:styleId="SubtitleChar">
    <w:name w:val="Subtitle Char"/>
    <w:basedOn w:val="DefaultParagraphFont"/>
    <w:link w:val="Subtitle"/>
    <w:rsid w:val="00772829"/>
    <w:rPr>
      <w:rFonts w:ascii="Arial" w:eastAsia="Times New Roman" w:hAnsi="Arial" w:cs="Arial"/>
      <w:b/>
      <w:bCs/>
      <w:i/>
      <w:color w:val="000080"/>
      <w:sz w:val="28"/>
      <w:szCs w:val="28"/>
      <w:lang w:eastAsia="en-AU"/>
    </w:rPr>
  </w:style>
  <w:style w:type="paragraph" w:customStyle="1" w:styleId="ESHeading1">
    <w:name w:val="ES Heading1"/>
    <w:basedOn w:val="Heading2"/>
    <w:next w:val="Normal"/>
    <w:rsid w:val="002C70CE"/>
    <w:pPr>
      <w:numPr>
        <w:ilvl w:val="0"/>
        <w:numId w:val="22"/>
      </w:numPr>
      <w:spacing w:before="240"/>
      <w:ind w:left="2154" w:hanging="357"/>
    </w:pPr>
  </w:style>
  <w:style w:type="paragraph" w:customStyle="1" w:styleId="NormalBeforeBullet">
    <w:name w:val="Normal Before Bullet"/>
    <w:basedOn w:val="Normal"/>
    <w:rsid w:val="00091C59"/>
    <w:pPr>
      <w:keepNext/>
      <w:spacing w:after="120" w:line="240" w:lineRule="auto"/>
    </w:pPr>
    <w:rPr>
      <w:rFonts w:asciiTheme="minorHAnsi" w:hAnsiTheme="minorHAnsi"/>
    </w:rPr>
  </w:style>
  <w:style w:type="paragraph" w:customStyle="1" w:styleId="Dash">
    <w:name w:val="Dash"/>
    <w:basedOn w:val="Bullet"/>
    <w:rsid w:val="00091C59"/>
    <w:pPr>
      <w:numPr>
        <w:numId w:val="23"/>
      </w:numPr>
      <w:spacing w:after="40"/>
    </w:pPr>
  </w:style>
  <w:style w:type="paragraph" w:customStyle="1" w:styleId="Instructionaltext">
    <w:name w:val="Instructional text"/>
    <w:basedOn w:val="Normal"/>
    <w:link w:val="InstructionaltextChar"/>
    <w:qFormat/>
    <w:rsid w:val="00E436A2"/>
    <w:rPr>
      <w:color w:val="258221"/>
    </w:rPr>
  </w:style>
  <w:style w:type="character" w:customStyle="1" w:styleId="UnresolvedMention1">
    <w:name w:val="Unresolved Mention1"/>
    <w:basedOn w:val="DefaultParagraphFont"/>
    <w:uiPriority w:val="99"/>
    <w:semiHidden/>
    <w:unhideWhenUsed/>
    <w:rsid w:val="00997BA8"/>
    <w:rPr>
      <w:color w:val="605E5C"/>
      <w:shd w:val="clear" w:color="auto" w:fill="E1DFDD"/>
    </w:rPr>
  </w:style>
  <w:style w:type="character" w:customStyle="1" w:styleId="InstructionaltextChar">
    <w:name w:val="Instructional text Char"/>
    <w:basedOn w:val="DefaultParagraphFont"/>
    <w:link w:val="Instructionaltext"/>
    <w:rsid w:val="00DF39E9"/>
    <w:rPr>
      <w:rFonts w:ascii="Franklin Gothic Book" w:hAnsi="Franklin Gothic Book"/>
      <w:color w:val="258221"/>
    </w:rPr>
  </w:style>
  <w:style w:type="paragraph" w:customStyle="1" w:styleId="Instructionaltext-bullet">
    <w:name w:val="Instructional text - bullet"/>
    <w:basedOn w:val="Instructionaltext"/>
    <w:qFormat/>
    <w:rsid w:val="002463A6"/>
    <w:pPr>
      <w:numPr>
        <w:numId w:val="24"/>
      </w:numPr>
      <w:spacing w:before="0" w:after="0"/>
    </w:pPr>
  </w:style>
  <w:style w:type="paragraph" w:customStyle="1" w:styleId="Instructionaltext-afterfiguretable">
    <w:name w:val="Instructional text - after figure/table"/>
    <w:basedOn w:val="Instructionaltext"/>
    <w:rsid w:val="00B151CF"/>
    <w:pPr>
      <w:spacing w:before="360"/>
    </w:pPr>
  </w:style>
  <w:style w:type="paragraph" w:customStyle="1" w:styleId="Guidelinescross-ref">
    <w:name w:val="Guidelines cross-ref"/>
    <w:basedOn w:val="Normal"/>
    <w:rsid w:val="005B7D6C"/>
    <w:pPr>
      <w:spacing w:before="240" w:after="240"/>
    </w:pPr>
    <w:rPr>
      <w:b/>
      <w:color w:val="0070C0"/>
      <w:sz w:val="24"/>
    </w:rPr>
  </w:style>
  <w:style w:type="paragraph" w:styleId="Revision">
    <w:name w:val="Revision"/>
    <w:hidden/>
    <w:uiPriority w:val="99"/>
    <w:semiHidden/>
    <w:rsid w:val="00610ABA"/>
    <w:pPr>
      <w:spacing w:after="0" w:line="240" w:lineRule="auto"/>
    </w:pPr>
    <w:rPr>
      <w:rFonts w:ascii="Franklin Gothic Book" w:hAnsi="Franklin Gothic Book"/>
    </w:rPr>
  </w:style>
  <w:style w:type="character" w:customStyle="1" w:styleId="UnresolvedMention2">
    <w:name w:val="Unresolved Mention2"/>
    <w:basedOn w:val="DefaultParagraphFont"/>
    <w:uiPriority w:val="99"/>
    <w:semiHidden/>
    <w:unhideWhenUsed/>
    <w:rsid w:val="00223664"/>
    <w:rPr>
      <w:color w:val="605E5C"/>
      <w:shd w:val="clear" w:color="auto" w:fill="E1DFDD"/>
    </w:rPr>
  </w:style>
  <w:style w:type="character" w:customStyle="1" w:styleId="UnresolvedMention3">
    <w:name w:val="Unresolved Mention3"/>
    <w:basedOn w:val="DefaultParagraphFont"/>
    <w:uiPriority w:val="99"/>
    <w:semiHidden/>
    <w:unhideWhenUsed/>
    <w:rsid w:val="00D13865"/>
    <w:rPr>
      <w:color w:val="605E5C"/>
      <w:shd w:val="clear" w:color="auto" w:fill="E1DFDD"/>
    </w:rPr>
  </w:style>
  <w:style w:type="paragraph" w:styleId="NoSpacing">
    <w:name w:val="No Spacing"/>
    <w:uiPriority w:val="1"/>
    <w:rsid w:val="000B6462"/>
    <w:pPr>
      <w:spacing w:after="0" w:line="240" w:lineRule="auto"/>
    </w:pPr>
    <w:rPr>
      <w:rFonts w:ascii="Franklin Gothic Book" w:hAnsi="Franklin Gothic Book"/>
    </w:rPr>
  </w:style>
  <w:style w:type="character" w:customStyle="1" w:styleId="Heading5Char">
    <w:name w:val="Heading 5 Char"/>
    <w:basedOn w:val="DefaultParagraphFont"/>
    <w:link w:val="Heading5"/>
    <w:uiPriority w:val="9"/>
    <w:rsid w:val="00616219"/>
    <w:rPr>
      <w:rFonts w:asciiTheme="majorHAnsi" w:eastAsiaTheme="majorEastAsia" w:hAnsiTheme="majorHAnsi" w:cstheme="majorBidi"/>
      <w:color w:val="2E74B5" w:themeColor="accent1" w:themeShade="BF"/>
      <w:sz w:val="24"/>
    </w:rPr>
  </w:style>
  <w:style w:type="character" w:customStyle="1" w:styleId="Heading6Char">
    <w:name w:val="Heading 6 Char"/>
    <w:basedOn w:val="DefaultParagraphFont"/>
    <w:link w:val="Heading6"/>
    <w:uiPriority w:val="9"/>
    <w:rsid w:val="00387D95"/>
    <w:rPr>
      <w:rFonts w:asciiTheme="majorHAnsi" w:eastAsiaTheme="majorEastAsia" w:hAnsiTheme="majorHAnsi" w:cstheme="majorBidi"/>
      <w:color w:val="1F4D78" w:themeColor="accent1" w:themeShade="7F"/>
    </w:rPr>
  </w:style>
  <w:style w:type="table" w:customStyle="1" w:styleId="ASDTable1">
    <w:name w:val="ASD Table1"/>
    <w:basedOn w:val="TableNormal"/>
    <w:next w:val="TableGrid"/>
    <w:uiPriority w:val="59"/>
    <w:rsid w:val="00662F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ody">
    <w:name w:val="Table body"/>
    <w:basedOn w:val="Normal"/>
    <w:link w:val="TablebodyChar"/>
    <w:qFormat/>
    <w:rsid w:val="00DC61C4"/>
    <w:pPr>
      <w:spacing w:after="240" w:line="240" w:lineRule="auto"/>
    </w:pPr>
    <w:rPr>
      <w:rFonts w:ascii="Arial Narrow" w:eastAsia="Times New Roman" w:hAnsi="Arial Narrow" w:cs="Times New Roman"/>
      <w:sz w:val="20"/>
      <w:szCs w:val="20"/>
    </w:rPr>
  </w:style>
  <w:style w:type="character" w:customStyle="1" w:styleId="TablebodyChar">
    <w:name w:val="Table body Char"/>
    <w:basedOn w:val="DefaultParagraphFont"/>
    <w:link w:val="Tablebody"/>
    <w:rsid w:val="00DC61C4"/>
    <w:rPr>
      <w:rFonts w:ascii="Arial Narrow" w:eastAsia="Times New Roman" w:hAnsi="Arial Narrow" w:cs="Times New Roman"/>
      <w:sz w:val="20"/>
      <w:szCs w:val="20"/>
      <w:lang w:eastAsia="en-AU"/>
    </w:rPr>
  </w:style>
  <w:style w:type="paragraph" w:customStyle="1" w:styleId="Default">
    <w:name w:val="Default"/>
    <w:rsid w:val="006812D0"/>
    <w:pPr>
      <w:autoSpaceDE w:val="0"/>
      <w:autoSpaceDN w:val="0"/>
      <w:adjustRightInd w:val="0"/>
      <w:spacing w:after="0" w:line="240" w:lineRule="auto"/>
    </w:pPr>
    <w:rPr>
      <w:rFonts w:ascii="Garamond" w:hAnsi="Garamond" w:cs="Garamond"/>
      <w:color w:val="000000"/>
      <w:sz w:val="24"/>
      <w:szCs w:val="24"/>
    </w:rPr>
  </w:style>
  <w:style w:type="table" w:styleId="TableGridLight">
    <w:name w:val="Grid Table Light"/>
    <w:basedOn w:val="TableNormal"/>
    <w:uiPriority w:val="40"/>
    <w:rsid w:val="005B6BE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BenTenderTable">
    <w:name w:val="Ben Tender Table"/>
    <w:basedOn w:val="TableNormal"/>
    <w:uiPriority w:val="99"/>
    <w:rsid w:val="00952AB9"/>
    <w:pPr>
      <w:spacing w:before="40" w:after="40" w:line="240" w:lineRule="auto"/>
    </w:pPr>
    <w:rPr>
      <w:color w:val="595959" w:themeColor="text1" w:themeTint="A6"/>
      <w:sz w:val="20"/>
      <w:szCs w:val="20"/>
      <w:lang w:val="en-US" w:eastAsia="ja-JP"/>
    </w:rPr>
    <w:tblPr>
      <w:tblStyleRowBandSize w:val="1"/>
      <w:tblCellMar>
        <w:top w:w="28" w:type="dxa"/>
        <w:bottom w:w="28" w:type="dxa"/>
      </w:tblCellMar>
    </w:tblPr>
    <w:tblStylePr w:type="firstRow">
      <w:rPr>
        <w:rFonts w:ascii="Arial" w:hAnsi="Arial"/>
        <w:b/>
        <w:color w:val="FFFFFF" w:themeColor="background1"/>
        <w:sz w:val="20"/>
      </w:rPr>
      <w:tblPr/>
      <w:tcPr>
        <w:shd w:val="clear" w:color="auto" w:fill="DA291C"/>
      </w:tcPr>
    </w:tblStylePr>
    <w:tblStylePr w:type="band1Horz">
      <w:rPr>
        <w:rFonts w:ascii="Arial" w:hAnsi="Arial"/>
        <w:color w:val="auto"/>
        <w:sz w:val="20"/>
      </w:rPr>
    </w:tblStylePr>
    <w:tblStylePr w:type="band2Horz">
      <w:rPr>
        <w:rFonts w:ascii="Arial" w:hAnsi="Arial"/>
        <w:color w:val="auto"/>
        <w:sz w:val="20"/>
      </w:rPr>
      <w:tblPr/>
      <w:tcPr>
        <w:shd w:val="clear" w:color="auto" w:fill="F2F2F2" w:themeFill="background1" w:themeFillShade="F2"/>
      </w:tcPr>
    </w:tblStylePr>
  </w:style>
  <w:style w:type="character" w:customStyle="1" w:styleId="UnresolvedMention4">
    <w:name w:val="Unresolved Mention4"/>
    <w:basedOn w:val="DefaultParagraphFont"/>
    <w:uiPriority w:val="99"/>
    <w:unhideWhenUsed/>
    <w:rsid w:val="00F9391E"/>
    <w:rPr>
      <w:color w:val="605E5C"/>
      <w:shd w:val="clear" w:color="auto" w:fill="E1DFDD"/>
    </w:rPr>
  </w:style>
  <w:style w:type="character" w:styleId="BookTitle">
    <w:name w:val="Book Title"/>
    <w:basedOn w:val="DefaultParagraphFont"/>
    <w:uiPriority w:val="33"/>
    <w:qFormat/>
    <w:rsid w:val="00CF4EA5"/>
    <w:rPr>
      <w:b/>
      <w:bCs/>
      <w:i/>
      <w:iCs/>
      <w:spacing w:val="5"/>
    </w:rPr>
  </w:style>
  <w:style w:type="character" w:customStyle="1" w:styleId="ui-provider">
    <w:name w:val="ui-provider"/>
    <w:basedOn w:val="DefaultParagraphFont"/>
    <w:rsid w:val="001223D8"/>
  </w:style>
  <w:style w:type="table" w:customStyle="1" w:styleId="HealthConsult1">
    <w:name w:val="HealthConsult1"/>
    <w:basedOn w:val="TableNormal"/>
    <w:next w:val="TableGrid"/>
    <w:uiPriority w:val="59"/>
    <w:rsid w:val="00EC74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ealthConsult2">
    <w:name w:val="HealthConsult2"/>
    <w:basedOn w:val="TableNormal"/>
    <w:next w:val="TableGrid"/>
    <w:uiPriority w:val="59"/>
    <w:rsid w:val="00BF5B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ealthConsult3">
    <w:name w:val="HealthConsult3"/>
    <w:basedOn w:val="TableNormal"/>
    <w:next w:val="TableGrid"/>
    <w:uiPriority w:val="59"/>
    <w:rsid w:val="00916F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ealthConsult4">
    <w:name w:val="HealthConsult4"/>
    <w:basedOn w:val="TableNormal"/>
    <w:next w:val="TableGrid"/>
    <w:uiPriority w:val="59"/>
    <w:rsid w:val="00596E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B445BF"/>
  </w:style>
  <w:style w:type="paragraph" w:customStyle="1" w:styleId="EndNoteBibliographyTitle">
    <w:name w:val="EndNote Bibliography Title"/>
    <w:basedOn w:val="Normal"/>
    <w:link w:val="EndNoteBibliographyTitleChar"/>
    <w:rsid w:val="00496FB5"/>
    <w:pPr>
      <w:spacing w:after="0"/>
      <w:jc w:val="center"/>
    </w:pPr>
    <w:rPr>
      <w:noProof/>
      <w:lang w:val="en-US"/>
    </w:rPr>
  </w:style>
  <w:style w:type="character" w:customStyle="1" w:styleId="EndNoteBibliographyTitleChar">
    <w:name w:val="EndNote Bibliography Title Char"/>
    <w:basedOn w:val="DefaultParagraphFont"/>
    <w:link w:val="EndNoteBibliographyTitle"/>
    <w:rsid w:val="00496FB5"/>
    <w:rPr>
      <w:rFonts w:ascii="Franklin Gothic Book" w:hAnsi="Franklin Gothic Book"/>
      <w:noProof/>
      <w:lang w:val="en-US"/>
    </w:rPr>
  </w:style>
  <w:style w:type="paragraph" w:customStyle="1" w:styleId="EndNoteBibliography">
    <w:name w:val="EndNote Bibliography"/>
    <w:basedOn w:val="Normal"/>
    <w:link w:val="EndNoteBibliographyChar"/>
    <w:rsid w:val="00496FB5"/>
    <w:pPr>
      <w:spacing w:line="240" w:lineRule="auto"/>
    </w:pPr>
    <w:rPr>
      <w:noProof/>
      <w:lang w:val="en-US"/>
    </w:rPr>
  </w:style>
  <w:style w:type="character" w:customStyle="1" w:styleId="EndNoteBibliographyChar">
    <w:name w:val="EndNote Bibliography Char"/>
    <w:basedOn w:val="DefaultParagraphFont"/>
    <w:link w:val="EndNoteBibliography"/>
    <w:rsid w:val="00496FB5"/>
    <w:rPr>
      <w:rFonts w:ascii="Franklin Gothic Book" w:hAnsi="Franklin Gothic Book"/>
      <w:noProof/>
      <w:lang w:val="en-US"/>
    </w:rPr>
  </w:style>
  <w:style w:type="table" w:customStyle="1" w:styleId="TableGrid21">
    <w:name w:val="Table Grid21"/>
    <w:basedOn w:val="TableNormal"/>
    <w:rsid w:val="005345F7"/>
    <w:pPr>
      <w:spacing w:after="0" w:line="360" w:lineRule="auto"/>
    </w:pPr>
    <w:rPr>
      <w:rFonts w:ascii="Times New Roman" w:eastAsia="SimSu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nhideWhenUsed/>
    <w:rsid w:val="005345F7"/>
    <w:pPr>
      <w:numPr>
        <w:numId w:val="32"/>
      </w:numPr>
      <w:spacing w:before="0" w:after="0" w:line="240" w:lineRule="auto"/>
      <w:contextualSpacing/>
      <w:jc w:val="both"/>
    </w:pPr>
    <w:rPr>
      <w:rFonts w:ascii="Calibri" w:eastAsia="Times New Roman" w:hAnsi="Calibri" w:cs="Arial"/>
      <w:sz w:val="24"/>
      <w:szCs w:val="24"/>
      <w:lang w:eastAsia="en-AU"/>
    </w:rPr>
  </w:style>
  <w:style w:type="character" w:customStyle="1" w:styleId="Mention1">
    <w:name w:val="Mention1"/>
    <w:basedOn w:val="DefaultParagraphFont"/>
    <w:uiPriority w:val="99"/>
    <w:unhideWhenUsed/>
    <w:rsid w:val="00A0718D"/>
    <w:rPr>
      <w:color w:val="2B579A"/>
      <w:shd w:val="clear" w:color="auto" w:fill="E1DFDD"/>
    </w:rPr>
  </w:style>
  <w:style w:type="paragraph" w:styleId="NormalWeb">
    <w:name w:val="Normal (Web)"/>
    <w:basedOn w:val="Normal"/>
    <w:uiPriority w:val="99"/>
    <w:unhideWhenUsed/>
    <w:rsid w:val="00360199"/>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1">
    <w:name w:val="Table Grid11"/>
    <w:basedOn w:val="TableNormal"/>
    <w:next w:val="TableGrid"/>
    <w:locked/>
    <w:rsid w:val="00733E6C"/>
    <w:pPr>
      <w:spacing w:before="40" w:after="40" w:line="240" w:lineRule="auto"/>
    </w:pPr>
    <w:rPr>
      <w:rFonts w:ascii="Arial Narrow" w:eastAsia="Times New Roman" w:hAnsi="Arial Narrow"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Garamond" w:hAnsi="Garamond"/>
        <w:b w:val="0"/>
        <w:sz w:val="20"/>
      </w:rPr>
    </w:tblStylePr>
  </w:style>
  <w:style w:type="table" w:customStyle="1" w:styleId="PBACTableStyle1">
    <w:name w:val="PBAC Table Style1"/>
    <w:basedOn w:val="TableGrid10"/>
    <w:uiPriority w:val="99"/>
    <w:rsid w:val="00733E6C"/>
    <w:pPr>
      <w:widowControl w:val="0"/>
      <w:spacing w:after="0" w:line="240" w:lineRule="auto"/>
      <w:contextualSpacing/>
      <w:jc w:val="center"/>
    </w:pPr>
    <w:rPr>
      <w:rFonts w:ascii="Arial Narrow" w:hAnsi="Arial Narrow"/>
      <w:color w:val="000000" w:themeColor="text1"/>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100" w:beforeAutospacing="1" w:afterLines="0" w:after="100" w:afterAutospacing="1" w:line="240" w:lineRule="auto"/>
        <w:ind w:leftChars="0" w:left="0" w:rightChars="0" w:right="0" w:firstLineChars="0" w:firstLine="0"/>
        <w:contextualSpacing/>
        <w:jc w:val="center"/>
      </w:pPr>
      <w:rPr>
        <w:rFonts w:ascii="Gill Sans" w:hAnsi="Gill Sans" w:hint="default"/>
        <w:b/>
        <w:sz w:val="20"/>
        <w:szCs w:val="20"/>
      </w:rPr>
    </w:tblStylePr>
    <w:tblStylePr w:type="lastRow">
      <w:rPr>
        <w:i/>
        <w:iCs/>
      </w:rPr>
      <w:tblPr/>
      <w:tcPr>
        <w:tcBorders>
          <w:tl2br w:val="none" w:sz="0" w:space="0" w:color="auto"/>
          <w:tr2bl w:val="none" w:sz="0" w:space="0" w:color="auto"/>
        </w:tcBorders>
      </w:tcPr>
    </w:tblStylePr>
    <w:tblStylePr w:type="firstCol">
      <w:pPr>
        <w:wordWrap/>
        <w:spacing w:beforeLines="0" w:before="100" w:beforeAutospacing="1" w:afterLines="0" w:after="100" w:afterAutospacing="1" w:line="240" w:lineRule="auto"/>
        <w:ind w:leftChars="0" w:left="0" w:rightChars="0" w:right="0"/>
        <w:contextualSpacing/>
        <w:jc w:val="left"/>
      </w:pPr>
      <w:rPr>
        <w:rFonts w:ascii="Gill Sans" w:hAnsi="Gill Sans" w:hint="default"/>
        <w:sz w:val="20"/>
        <w:szCs w:val="20"/>
      </w:rPr>
    </w:tblStylePr>
    <w:tblStylePr w:type="lastCol">
      <w:pPr>
        <w:wordWrap/>
        <w:spacing w:beforeLines="0" w:before="100" w:beforeAutospacing="1" w:afterLines="0" w:after="100" w:afterAutospacing="1" w:line="240" w:lineRule="auto"/>
        <w:ind w:leftChars="0" w:left="0" w:rightChars="0" w:right="0" w:firstLineChars="0" w:firstLine="0"/>
        <w:contextualSpacing/>
      </w:pPr>
      <w:rPr>
        <w:rFonts w:ascii="Gill Sans" w:hAnsi="Gill Sans" w:hint="default"/>
        <w:i/>
        <w:iCs/>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tcPr>
    </w:tblStylePr>
  </w:style>
  <w:style w:type="paragraph" w:customStyle="1" w:styleId="BulletBeforeDash">
    <w:name w:val="BulletBeforeDash"/>
    <w:basedOn w:val="Normal"/>
    <w:rsid w:val="006C0ECB"/>
    <w:pPr>
      <w:numPr>
        <w:numId w:val="34"/>
      </w:numPr>
      <w:spacing w:before="0" w:after="0" w:line="240" w:lineRule="auto"/>
    </w:pPr>
    <w:rPr>
      <w:rFonts w:eastAsia="Times New Roman" w:cs="Times New Roman"/>
      <w:color w:val="000000"/>
      <w:szCs w:val="20"/>
      <w:lang w:eastAsia="en-AU"/>
    </w:rPr>
  </w:style>
  <w:style w:type="paragraph" w:customStyle="1" w:styleId="BulletLast">
    <w:name w:val="BulletLast"/>
    <w:basedOn w:val="Bullet"/>
    <w:qFormat/>
    <w:rsid w:val="006C0ECB"/>
    <w:pPr>
      <w:numPr>
        <w:numId w:val="0"/>
      </w:numPr>
      <w:spacing w:before="0" w:after="240"/>
      <w:ind w:left="786" w:hanging="360"/>
    </w:pPr>
    <w:rPr>
      <w:rFonts w:ascii="Franklin Gothic Book" w:eastAsia="Times New Roman" w:hAnsi="Franklin Gothic Book" w:cs="Times New Roman"/>
      <w:color w:val="000000"/>
      <w:szCs w:val="20"/>
    </w:rPr>
  </w:style>
  <w:style w:type="paragraph" w:customStyle="1" w:styleId="DashLastSpace">
    <w:name w:val="DashLast+Space"/>
    <w:basedOn w:val="Normal"/>
    <w:rsid w:val="006C0ECB"/>
    <w:pPr>
      <w:tabs>
        <w:tab w:val="left" w:pos="720"/>
      </w:tabs>
      <w:spacing w:before="0" w:after="240" w:line="240" w:lineRule="auto"/>
      <w:ind w:left="720" w:hanging="360"/>
    </w:pPr>
    <w:rPr>
      <w:rFonts w:eastAsia="Times New Roman" w:cs="Times New Roman"/>
      <w:color w:val="000000"/>
      <w:szCs w:val="20"/>
    </w:rPr>
  </w:style>
  <w:style w:type="paragraph" w:customStyle="1" w:styleId="NormalBeforeBullet0">
    <w:name w:val="NormalBeforeBullet"/>
    <w:basedOn w:val="Normal"/>
    <w:qFormat/>
    <w:rsid w:val="006C0ECB"/>
    <w:pPr>
      <w:keepNext/>
      <w:spacing w:before="0" w:after="120" w:line="240" w:lineRule="auto"/>
    </w:pPr>
    <w:rPr>
      <w:rFonts w:eastAsia="Times New Roman" w:cs="Times New Roman"/>
      <w:color w:val="000000"/>
      <w:szCs w:val="20"/>
    </w:rPr>
  </w:style>
  <w:style w:type="paragraph" w:customStyle="1" w:styleId="BoxName0">
    <w:name w:val="BoxName"/>
    <w:basedOn w:val="Normal"/>
    <w:rsid w:val="006C0ECB"/>
    <w:pPr>
      <w:keepNext/>
      <w:pBdr>
        <w:top w:val="single" w:sz="4" w:space="4" w:color="000000"/>
        <w:left w:val="single" w:sz="4" w:space="4" w:color="000000"/>
        <w:bottom w:val="single" w:sz="4" w:space="4" w:color="000000"/>
        <w:right w:val="single" w:sz="4" w:space="4" w:color="000000"/>
      </w:pBdr>
      <w:spacing w:before="240" w:after="240" w:line="240" w:lineRule="auto"/>
      <w:ind w:left="1077" w:hanging="1077"/>
    </w:pPr>
    <w:rPr>
      <w:rFonts w:eastAsia="Times New Roman" w:cs="Times New Roman"/>
      <w:b/>
      <w:bCs/>
      <w:color w:val="000000"/>
      <w:sz w:val="24"/>
      <w:szCs w:val="20"/>
    </w:rPr>
  </w:style>
  <w:style w:type="paragraph" w:customStyle="1" w:styleId="BoxHeading">
    <w:name w:val="BoxHeading"/>
    <w:basedOn w:val="Normal"/>
    <w:rsid w:val="006C0ECB"/>
    <w:pPr>
      <w:keepNext/>
      <w:pBdr>
        <w:top w:val="single" w:sz="4" w:space="4" w:color="000000"/>
        <w:left w:val="single" w:sz="4" w:space="4" w:color="000000"/>
        <w:bottom w:val="single" w:sz="4" w:space="4" w:color="000000"/>
        <w:right w:val="single" w:sz="4" w:space="4" w:color="000000"/>
      </w:pBdr>
      <w:spacing w:after="60" w:line="240" w:lineRule="auto"/>
    </w:pPr>
    <w:rPr>
      <w:rFonts w:eastAsia="Times New Roman" w:cs="Times New Roman"/>
      <w:b/>
      <w:bCs/>
      <w:color w:val="000000"/>
      <w:szCs w:val="20"/>
    </w:rPr>
  </w:style>
  <w:style w:type="paragraph" w:customStyle="1" w:styleId="BoxBullet">
    <w:name w:val="BoxBullet"/>
    <w:basedOn w:val="Normal"/>
    <w:rsid w:val="006C0ECB"/>
    <w:pPr>
      <w:numPr>
        <w:numId w:val="36"/>
      </w:numPr>
      <w:pBdr>
        <w:top w:val="single" w:sz="4" w:space="4" w:color="000000"/>
        <w:left w:val="single" w:sz="4" w:space="4" w:color="000000"/>
        <w:bottom w:val="single" w:sz="4" w:space="4" w:color="000000"/>
        <w:right w:val="single" w:sz="4" w:space="4" w:color="000000"/>
      </w:pBdr>
      <w:spacing w:before="0" w:after="120" w:line="240" w:lineRule="auto"/>
    </w:pPr>
    <w:rPr>
      <w:rFonts w:eastAsia="Times New Roman" w:cs="Times New Roman"/>
      <w:color w:val="000000"/>
      <w:szCs w:val="20"/>
      <w:lang w:eastAsia="en-AU"/>
    </w:rPr>
  </w:style>
  <w:style w:type="paragraph" w:customStyle="1" w:styleId="BoxDash">
    <w:name w:val="BoxDash"/>
    <w:basedOn w:val="BoxBullet"/>
    <w:rsid w:val="006C0ECB"/>
    <w:pPr>
      <w:numPr>
        <w:numId w:val="37"/>
      </w:numPr>
    </w:pPr>
  </w:style>
  <w:style w:type="character" w:customStyle="1" w:styleId="highlight">
    <w:name w:val="highlight"/>
    <w:basedOn w:val="DefaultParagraphFont"/>
    <w:rsid w:val="006F552A"/>
  </w:style>
  <w:style w:type="paragraph" w:styleId="BodyText">
    <w:name w:val="Body Text"/>
    <w:basedOn w:val="Normal"/>
    <w:link w:val="BodyTextChar"/>
    <w:rsid w:val="00BF1809"/>
    <w:pPr>
      <w:widowControl w:val="0"/>
      <w:spacing w:after="0" w:line="240" w:lineRule="auto"/>
      <w:jc w:val="both"/>
    </w:pPr>
    <w:rPr>
      <w:rFonts w:ascii="Book Antiqua" w:eastAsia="Times New Roman" w:hAnsi="Book Antiqua" w:cs="Times New Roman"/>
      <w:sz w:val="24"/>
      <w:szCs w:val="20"/>
    </w:rPr>
  </w:style>
  <w:style w:type="character" w:customStyle="1" w:styleId="BodyTextChar">
    <w:name w:val="Body Text Char"/>
    <w:basedOn w:val="DefaultParagraphFont"/>
    <w:link w:val="BodyText"/>
    <w:rsid w:val="00BF1809"/>
    <w:rPr>
      <w:rFonts w:ascii="Book Antiqua" w:eastAsia="Times New Roman" w:hAnsi="Book Antiqua" w:cs="Times New Roman"/>
      <w:sz w:val="24"/>
      <w:szCs w:val="20"/>
    </w:rPr>
  </w:style>
  <w:style w:type="character" w:customStyle="1" w:styleId="eop">
    <w:name w:val="eop"/>
    <w:basedOn w:val="DefaultParagraphFont"/>
    <w:rsid w:val="00CF6334"/>
  </w:style>
  <w:style w:type="table" w:customStyle="1" w:styleId="a">
    <w:basedOn w:val="TableNormal"/>
    <w:pPr>
      <w:widowControl w:val="0"/>
      <w:spacing w:after="0" w:line="240" w:lineRule="auto"/>
      <w:ind w:left="720"/>
      <w:jc w:val="center"/>
    </w:pPr>
    <w:rPr>
      <w:rFonts w:ascii="Arial Narrow" w:eastAsia="Arial Narrow" w:hAnsi="Arial Narrow" w:cs="Arial Narrow"/>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0">
    <w:basedOn w:val="TableNormal"/>
    <w:pPr>
      <w:widowControl w:val="0"/>
      <w:spacing w:after="0" w:line="240" w:lineRule="auto"/>
      <w:ind w:left="720"/>
      <w:jc w:val="center"/>
    </w:pPr>
    <w:rPr>
      <w:rFonts w:ascii="Arial Narrow" w:eastAsia="Arial Narrow" w:hAnsi="Arial Narrow" w:cs="Arial Narrow"/>
      <w:color w:val="000000"/>
      <w:sz w:val="20"/>
      <w:szCs w:val="20"/>
    </w:rPr>
    <w:tblPr>
      <w:tblStyleRowBandSize w:val="1"/>
      <w:tblStyleColBandSize w:val="1"/>
      <w:tblCellMar>
        <w:left w:w="28" w:type="dxa"/>
        <w:right w:w="28" w:type="dxa"/>
      </w:tblCellMar>
    </w:tblPr>
    <w:tcPr>
      <w:shd w:val="clear" w:color="auto" w:fill="auto"/>
      <w:vAlign w:val="center"/>
    </w:tcPr>
    <w:tblStylePr w:type="firstRow">
      <w:rPr>
        <w:rFonts w:ascii="Bahnschrift SemiLight" w:eastAsia="Bahnschrift SemiLight" w:hAnsi="Bahnschrift SemiLight" w:cs="Bahnschrift SemiLight"/>
        <w:b w:val="0"/>
        <w:sz w:val="20"/>
        <w:szCs w:val="20"/>
      </w:rPr>
    </w:tblStylePr>
  </w:style>
  <w:style w:type="table" w:customStyle="1" w:styleId="a1">
    <w:basedOn w:val="TableNormal"/>
    <w:pPr>
      <w:widowControl w:val="0"/>
      <w:spacing w:after="0" w:line="240" w:lineRule="auto"/>
      <w:ind w:left="720"/>
      <w:jc w:val="center"/>
    </w:pPr>
    <w:rPr>
      <w:rFonts w:ascii="Arial Narrow" w:eastAsia="Arial Narrow" w:hAnsi="Arial Narrow" w:cs="Arial Narrow"/>
      <w:color w:val="000000"/>
      <w:sz w:val="20"/>
      <w:szCs w:val="20"/>
    </w:rPr>
    <w:tblPr>
      <w:tblStyleRowBandSize w:val="1"/>
      <w:tblStyleColBandSize w:val="1"/>
      <w:tblCellMar>
        <w:left w:w="115" w:type="dxa"/>
        <w:right w:w="115" w:type="dxa"/>
      </w:tblCellMar>
    </w:tblPr>
    <w:tcPr>
      <w:shd w:val="clear" w:color="auto" w:fill="auto"/>
      <w:vAlign w:val="center"/>
    </w:tcPr>
    <w:tblStylePr w:type="firstRow">
      <w:rPr>
        <w:rFonts w:ascii="Bahnschrift SemiLight" w:eastAsia="Bahnschrift SemiLight" w:hAnsi="Bahnschrift SemiLight" w:cs="Bahnschrift SemiLight"/>
        <w:b w:val="0"/>
        <w:sz w:val="20"/>
        <w:szCs w:val="20"/>
      </w:rPr>
    </w:tblStylePr>
  </w:style>
  <w:style w:type="table" w:customStyle="1" w:styleId="a2">
    <w:basedOn w:val="TableNormal"/>
    <w:pPr>
      <w:widowControl w:val="0"/>
      <w:spacing w:after="0" w:line="240" w:lineRule="auto"/>
      <w:ind w:left="720"/>
      <w:jc w:val="center"/>
    </w:pPr>
    <w:rPr>
      <w:rFonts w:ascii="Arial Narrow" w:eastAsia="Arial Narrow" w:hAnsi="Arial Narrow" w:cs="Arial Narrow"/>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3">
    <w:basedOn w:val="TableNormal"/>
    <w:pPr>
      <w:widowControl w:val="0"/>
      <w:spacing w:after="0" w:line="240" w:lineRule="auto"/>
      <w:ind w:left="720"/>
      <w:jc w:val="center"/>
    </w:pPr>
    <w:rPr>
      <w:rFonts w:ascii="Arial Narrow" w:eastAsia="Arial Narrow" w:hAnsi="Arial Narrow" w:cs="Arial Narrow"/>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4">
    <w:basedOn w:val="TableNormal"/>
    <w:pPr>
      <w:widowControl w:val="0"/>
      <w:spacing w:after="0" w:line="240" w:lineRule="auto"/>
      <w:ind w:left="720"/>
      <w:jc w:val="center"/>
    </w:pPr>
    <w:rPr>
      <w:rFonts w:ascii="Arial Narrow" w:eastAsia="Arial Narrow" w:hAnsi="Arial Narrow" w:cs="Arial Narrow"/>
      <w:color w:val="000000"/>
      <w:sz w:val="20"/>
      <w:szCs w:val="20"/>
    </w:rPr>
    <w:tblPr>
      <w:tblStyleRowBandSize w:val="1"/>
      <w:tblStyleColBandSize w:val="1"/>
      <w:tblCellMar>
        <w:left w:w="28" w:type="dxa"/>
        <w:right w:w="28" w:type="dxa"/>
      </w:tblCellMar>
    </w:tblPr>
    <w:tcPr>
      <w:shd w:val="clear" w:color="auto" w:fill="auto"/>
      <w:vAlign w:val="center"/>
    </w:tcPr>
    <w:tblStylePr w:type="firstRow">
      <w:rPr>
        <w:rFonts w:ascii="Bahnschrift SemiLight" w:eastAsia="Bahnschrift SemiLight" w:hAnsi="Bahnschrift SemiLight" w:cs="Bahnschrift SemiLight"/>
        <w:b w:val="0"/>
        <w:sz w:val="20"/>
        <w:szCs w:val="20"/>
      </w:rPr>
    </w:tblStylePr>
  </w:style>
  <w:style w:type="table" w:customStyle="1" w:styleId="a5">
    <w:basedOn w:val="TableNormal"/>
    <w:pPr>
      <w:widowControl w:val="0"/>
      <w:spacing w:after="0" w:line="240" w:lineRule="auto"/>
      <w:ind w:left="720"/>
      <w:jc w:val="center"/>
    </w:pPr>
    <w:rPr>
      <w:rFonts w:ascii="Arial Narrow" w:eastAsia="Arial Narrow" w:hAnsi="Arial Narrow" w:cs="Arial Narrow"/>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6">
    <w:basedOn w:val="TableNormal"/>
    <w:pPr>
      <w:widowControl w:val="0"/>
      <w:spacing w:after="0" w:line="240" w:lineRule="auto"/>
      <w:ind w:left="720"/>
      <w:jc w:val="center"/>
    </w:pPr>
    <w:rPr>
      <w:rFonts w:ascii="Arial Narrow" w:eastAsia="Arial Narrow" w:hAnsi="Arial Narrow" w:cs="Arial Narrow"/>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7">
    <w:basedOn w:val="TableNormal"/>
    <w:pPr>
      <w:widowControl w:val="0"/>
      <w:spacing w:after="0" w:line="240" w:lineRule="auto"/>
      <w:ind w:left="720"/>
      <w:jc w:val="center"/>
    </w:pPr>
    <w:rPr>
      <w:rFonts w:ascii="Arial Narrow" w:eastAsia="Arial Narrow" w:hAnsi="Arial Narrow" w:cs="Arial Narrow"/>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8">
    <w:basedOn w:val="TableNormal"/>
    <w:pPr>
      <w:widowControl w:val="0"/>
      <w:spacing w:after="0" w:line="240" w:lineRule="auto"/>
      <w:ind w:left="720"/>
      <w:jc w:val="center"/>
    </w:pPr>
    <w:rPr>
      <w:rFonts w:ascii="Arial Narrow" w:eastAsia="Arial Narrow" w:hAnsi="Arial Narrow" w:cs="Arial Narrow"/>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9">
    <w:basedOn w:val="TableNormal"/>
    <w:pPr>
      <w:widowControl w:val="0"/>
      <w:spacing w:after="0" w:line="240" w:lineRule="auto"/>
      <w:ind w:left="720"/>
      <w:jc w:val="center"/>
    </w:pPr>
    <w:rPr>
      <w:rFonts w:ascii="Arial Narrow" w:eastAsia="Arial Narrow" w:hAnsi="Arial Narrow" w:cs="Arial Narrow"/>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a">
    <w:basedOn w:val="TableNormal"/>
    <w:pPr>
      <w:widowControl w:val="0"/>
      <w:spacing w:after="0" w:line="240" w:lineRule="auto"/>
      <w:ind w:left="720"/>
      <w:jc w:val="center"/>
    </w:pPr>
    <w:rPr>
      <w:rFonts w:ascii="Arial Narrow" w:eastAsia="Arial Narrow" w:hAnsi="Arial Narrow" w:cs="Arial Narrow"/>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b">
    <w:basedOn w:val="TableNormal"/>
    <w:pPr>
      <w:widowControl w:val="0"/>
      <w:spacing w:after="0" w:line="240" w:lineRule="auto"/>
      <w:ind w:left="720"/>
      <w:jc w:val="center"/>
    </w:pPr>
    <w:rPr>
      <w:rFonts w:ascii="Arial Narrow" w:eastAsia="Arial Narrow" w:hAnsi="Arial Narrow" w:cs="Arial Narrow"/>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c">
    <w:basedOn w:val="TableNormal"/>
    <w:pPr>
      <w:widowControl w:val="0"/>
      <w:spacing w:after="0" w:line="240" w:lineRule="auto"/>
      <w:ind w:left="720"/>
      <w:jc w:val="center"/>
    </w:pPr>
    <w:rPr>
      <w:rFonts w:ascii="Arial Narrow" w:eastAsia="Arial Narrow" w:hAnsi="Arial Narrow" w:cs="Arial Narrow"/>
      <w:color w:val="000000"/>
      <w:sz w:val="20"/>
      <w:szCs w:val="20"/>
    </w:rPr>
    <w:tblPr>
      <w:tblStyleRowBandSize w:val="1"/>
      <w:tblStyleColBandSize w:val="1"/>
      <w:tblCellMar>
        <w:left w:w="115" w:type="dxa"/>
        <w:right w:w="115" w:type="dxa"/>
      </w:tblCellMar>
    </w:tblPr>
    <w:tcPr>
      <w:shd w:val="clear" w:color="auto" w:fill="auto"/>
      <w:vAlign w:val="center"/>
    </w:tcPr>
    <w:tblStylePr w:type="firstRow">
      <w:rPr>
        <w:rFonts w:ascii="Bahnschrift SemiLight" w:eastAsia="Bahnschrift SemiLight" w:hAnsi="Bahnschrift SemiLight" w:cs="Bahnschrift SemiLight"/>
        <w:b w:val="0"/>
        <w:sz w:val="20"/>
        <w:szCs w:val="20"/>
      </w:rPr>
    </w:tblStylePr>
  </w:style>
  <w:style w:type="table" w:customStyle="1" w:styleId="ad">
    <w:basedOn w:val="TableNormal"/>
    <w:pPr>
      <w:widowControl w:val="0"/>
      <w:spacing w:after="0" w:line="240" w:lineRule="auto"/>
      <w:ind w:left="720"/>
      <w:jc w:val="center"/>
    </w:pPr>
    <w:rPr>
      <w:rFonts w:ascii="Arial Narrow" w:eastAsia="Arial Narrow" w:hAnsi="Arial Narrow" w:cs="Arial Narrow"/>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e">
    <w:basedOn w:val="TableNormal"/>
    <w:pPr>
      <w:widowControl w:val="0"/>
      <w:spacing w:after="0" w:line="240" w:lineRule="auto"/>
      <w:ind w:left="720"/>
      <w:jc w:val="center"/>
    </w:pPr>
    <w:rPr>
      <w:rFonts w:ascii="Arial Narrow" w:eastAsia="Arial Narrow" w:hAnsi="Arial Narrow" w:cs="Arial Narrow"/>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
    <w:basedOn w:val="TableNormal"/>
    <w:pPr>
      <w:widowControl w:val="0"/>
      <w:spacing w:after="0" w:line="240" w:lineRule="auto"/>
      <w:ind w:left="720"/>
      <w:jc w:val="center"/>
    </w:pPr>
    <w:rPr>
      <w:rFonts w:ascii="Arial Narrow" w:eastAsia="Arial Narrow" w:hAnsi="Arial Narrow" w:cs="Arial Narrow"/>
      <w:color w:val="000000"/>
      <w:sz w:val="20"/>
      <w:szCs w:val="20"/>
    </w:rPr>
    <w:tblPr>
      <w:tblStyleRowBandSize w:val="1"/>
      <w:tblStyleColBandSize w:val="1"/>
      <w:tblCellMar>
        <w:left w:w="115" w:type="dxa"/>
        <w:right w:w="115" w:type="dxa"/>
      </w:tblCellMar>
    </w:tblPr>
    <w:tcPr>
      <w:shd w:val="clear" w:color="auto" w:fill="auto"/>
      <w:vAlign w:val="center"/>
    </w:tcPr>
    <w:tblStylePr w:type="firstRow">
      <w:rPr>
        <w:rFonts w:ascii="Bahnschrift SemiLight" w:eastAsia="Bahnschrift SemiLight" w:hAnsi="Bahnschrift SemiLight" w:cs="Bahnschrift SemiLight"/>
        <w:b w:val="0"/>
        <w:sz w:val="20"/>
        <w:szCs w:val="20"/>
      </w:rPr>
    </w:tblStylePr>
  </w:style>
  <w:style w:type="table" w:customStyle="1" w:styleId="af0">
    <w:basedOn w:val="TableNormal"/>
    <w:pPr>
      <w:widowControl w:val="0"/>
      <w:spacing w:after="0" w:line="240" w:lineRule="auto"/>
      <w:ind w:left="720"/>
      <w:jc w:val="center"/>
    </w:pPr>
    <w:rPr>
      <w:rFonts w:ascii="Arial Narrow" w:eastAsia="Arial Narrow" w:hAnsi="Arial Narrow" w:cs="Arial Narrow"/>
      <w:color w:val="000000"/>
      <w:sz w:val="20"/>
      <w:szCs w:val="20"/>
    </w:rPr>
    <w:tblPr>
      <w:tblStyleRowBandSize w:val="1"/>
      <w:tblStyleColBandSize w:val="1"/>
      <w:tblCellMar>
        <w:left w:w="115" w:type="dxa"/>
        <w:right w:w="115" w:type="dxa"/>
      </w:tblCellMar>
    </w:tblPr>
    <w:tcPr>
      <w:shd w:val="clear" w:color="auto" w:fill="auto"/>
      <w:vAlign w:val="center"/>
    </w:tcPr>
    <w:tblStylePr w:type="firstRow">
      <w:rPr>
        <w:rFonts w:ascii="Bahnschrift SemiLight" w:eastAsia="Bahnschrift SemiLight" w:hAnsi="Bahnschrift SemiLight" w:cs="Bahnschrift SemiLight"/>
        <w:b w:val="0"/>
        <w:sz w:val="20"/>
        <w:szCs w:val="20"/>
      </w:rPr>
    </w:tblStylePr>
  </w:style>
  <w:style w:type="table" w:customStyle="1" w:styleId="af1">
    <w:basedOn w:val="TableNormal"/>
    <w:pPr>
      <w:widowControl w:val="0"/>
      <w:spacing w:after="0" w:line="240" w:lineRule="auto"/>
      <w:ind w:left="720"/>
      <w:jc w:val="center"/>
    </w:pPr>
    <w:rPr>
      <w:rFonts w:ascii="Arial Narrow" w:eastAsia="Arial Narrow" w:hAnsi="Arial Narrow" w:cs="Arial Narrow"/>
      <w:color w:val="000000"/>
      <w:sz w:val="20"/>
      <w:szCs w:val="20"/>
    </w:rPr>
    <w:tblPr>
      <w:tblStyleRowBandSize w:val="1"/>
      <w:tblStyleColBandSize w:val="1"/>
      <w:tblCellMar>
        <w:left w:w="115" w:type="dxa"/>
        <w:right w:w="115" w:type="dxa"/>
      </w:tblCellMar>
    </w:tblPr>
    <w:tcPr>
      <w:shd w:val="clear" w:color="auto" w:fill="auto"/>
      <w:vAlign w:val="center"/>
    </w:tcPr>
    <w:tblStylePr w:type="firstRow">
      <w:rPr>
        <w:rFonts w:ascii="Bahnschrift SemiLight" w:eastAsia="Bahnschrift SemiLight" w:hAnsi="Bahnschrift SemiLight" w:cs="Bahnschrift SemiLight"/>
        <w:b w:val="0"/>
        <w:sz w:val="20"/>
        <w:szCs w:val="20"/>
      </w:rPr>
    </w:tblStylePr>
  </w:style>
  <w:style w:type="table" w:customStyle="1" w:styleId="af2">
    <w:basedOn w:val="TableNormal"/>
    <w:pPr>
      <w:widowControl w:val="0"/>
      <w:spacing w:after="0" w:line="240" w:lineRule="auto"/>
      <w:ind w:left="720"/>
      <w:jc w:val="center"/>
    </w:pPr>
    <w:rPr>
      <w:rFonts w:ascii="Arial Narrow" w:eastAsia="Arial Narrow" w:hAnsi="Arial Narrow" w:cs="Arial Narrow"/>
      <w:color w:val="000000"/>
      <w:sz w:val="20"/>
      <w:szCs w:val="20"/>
    </w:rPr>
    <w:tblPr>
      <w:tblStyleRowBandSize w:val="1"/>
      <w:tblStyleColBandSize w:val="1"/>
      <w:tblCellMar>
        <w:left w:w="28" w:type="dxa"/>
        <w:right w:w="28" w:type="dxa"/>
      </w:tblCellMar>
    </w:tblPr>
    <w:tcPr>
      <w:shd w:val="clear" w:color="auto" w:fill="auto"/>
      <w:vAlign w:val="center"/>
    </w:tcPr>
    <w:tblStylePr w:type="firstRow">
      <w:rPr>
        <w:rFonts w:ascii="Bahnschrift SemiLight" w:eastAsia="Bahnschrift SemiLight" w:hAnsi="Bahnschrift SemiLight" w:cs="Bahnschrift SemiLight"/>
        <w:b w:val="0"/>
        <w:sz w:val="20"/>
        <w:szCs w:val="20"/>
      </w:rPr>
    </w:tblStylePr>
  </w:style>
  <w:style w:type="table" w:customStyle="1" w:styleId="af3">
    <w:basedOn w:val="TableNormal"/>
    <w:pPr>
      <w:widowControl w:val="0"/>
      <w:spacing w:after="0" w:line="240" w:lineRule="auto"/>
      <w:ind w:left="720"/>
      <w:jc w:val="center"/>
    </w:pPr>
    <w:rPr>
      <w:rFonts w:ascii="Arial Narrow" w:eastAsia="Arial Narrow" w:hAnsi="Arial Narrow" w:cs="Arial Narrow"/>
      <w:color w:val="000000"/>
      <w:sz w:val="20"/>
      <w:szCs w:val="20"/>
    </w:rPr>
    <w:tblPr>
      <w:tblStyleRowBandSize w:val="1"/>
      <w:tblStyleColBandSize w:val="1"/>
      <w:tblCellMar>
        <w:left w:w="115" w:type="dxa"/>
        <w:right w:w="115" w:type="dxa"/>
      </w:tblCellMar>
    </w:tblPr>
    <w:tcPr>
      <w:shd w:val="clear" w:color="auto" w:fill="auto"/>
      <w:vAlign w:val="center"/>
    </w:tcPr>
    <w:tblStylePr w:type="firstRow">
      <w:rPr>
        <w:rFonts w:ascii="Bahnschrift SemiLight" w:eastAsia="Bahnschrift SemiLight" w:hAnsi="Bahnschrift SemiLight" w:cs="Bahnschrift SemiLight"/>
        <w:b w:val="0"/>
        <w:sz w:val="20"/>
        <w:szCs w:val="20"/>
      </w:rPr>
    </w:tblStylePr>
  </w:style>
  <w:style w:type="table" w:customStyle="1" w:styleId="af4">
    <w:basedOn w:val="TableNormal"/>
    <w:pPr>
      <w:widowControl w:val="0"/>
      <w:spacing w:after="0" w:line="240" w:lineRule="auto"/>
      <w:ind w:left="720"/>
      <w:jc w:val="center"/>
    </w:pPr>
    <w:rPr>
      <w:rFonts w:ascii="Arial Narrow" w:eastAsia="Arial Narrow" w:hAnsi="Arial Narrow" w:cs="Arial Narrow"/>
      <w:color w:val="000000"/>
      <w:sz w:val="20"/>
      <w:szCs w:val="20"/>
    </w:rPr>
    <w:tblPr>
      <w:tblStyleRowBandSize w:val="1"/>
      <w:tblStyleColBandSize w:val="1"/>
      <w:tblCellMar>
        <w:left w:w="115" w:type="dxa"/>
        <w:right w:w="115" w:type="dxa"/>
      </w:tblCellMar>
    </w:tblPr>
    <w:tcPr>
      <w:shd w:val="clear" w:color="auto" w:fill="auto"/>
      <w:vAlign w:val="center"/>
    </w:tcPr>
    <w:tblStylePr w:type="firstRow">
      <w:rPr>
        <w:rFonts w:ascii="Bahnschrift SemiLight" w:eastAsia="Bahnschrift SemiLight" w:hAnsi="Bahnschrift SemiLight" w:cs="Bahnschrift SemiLight"/>
        <w:b w:val="0"/>
        <w:sz w:val="20"/>
        <w:szCs w:val="20"/>
      </w:rPr>
    </w:tblStylePr>
  </w:style>
  <w:style w:type="table" w:customStyle="1" w:styleId="af5">
    <w:basedOn w:val="TableNormal"/>
    <w:pPr>
      <w:widowControl w:val="0"/>
      <w:spacing w:after="0" w:line="240" w:lineRule="auto"/>
      <w:ind w:left="720"/>
      <w:jc w:val="center"/>
    </w:pPr>
    <w:rPr>
      <w:rFonts w:ascii="Arial Narrow" w:eastAsia="Arial Narrow" w:hAnsi="Arial Narrow" w:cs="Arial Narrow"/>
      <w:color w:val="000000"/>
      <w:sz w:val="20"/>
      <w:szCs w:val="20"/>
    </w:rPr>
    <w:tblPr>
      <w:tblStyleRowBandSize w:val="1"/>
      <w:tblStyleColBandSize w:val="1"/>
      <w:tblCellMar>
        <w:left w:w="115" w:type="dxa"/>
        <w:right w:w="115" w:type="dxa"/>
      </w:tblCellMar>
    </w:tblPr>
    <w:tcPr>
      <w:shd w:val="clear" w:color="auto" w:fill="auto"/>
      <w:vAlign w:val="center"/>
    </w:tcPr>
    <w:tblStylePr w:type="firstRow">
      <w:rPr>
        <w:rFonts w:ascii="Bahnschrift SemiLight" w:eastAsia="Bahnschrift SemiLight" w:hAnsi="Bahnschrift SemiLight" w:cs="Bahnschrift SemiLight"/>
        <w:b w:val="0"/>
        <w:sz w:val="20"/>
        <w:szCs w:val="20"/>
      </w:rPr>
    </w:tblStylePr>
  </w:style>
  <w:style w:type="character" w:customStyle="1" w:styleId="UnresolvedMention5">
    <w:name w:val="Unresolved Mention5"/>
    <w:basedOn w:val="DefaultParagraphFont"/>
    <w:uiPriority w:val="99"/>
    <w:unhideWhenUsed/>
    <w:rsid w:val="001E7563"/>
    <w:rPr>
      <w:color w:val="605E5C"/>
      <w:shd w:val="clear" w:color="auto" w:fill="E1DFDD"/>
    </w:rPr>
  </w:style>
  <w:style w:type="character" w:customStyle="1" w:styleId="Mention2">
    <w:name w:val="Mention2"/>
    <w:basedOn w:val="DefaultParagraphFont"/>
    <w:uiPriority w:val="99"/>
    <w:unhideWhenUsed/>
    <w:rsid w:val="001E756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8086">
      <w:bodyDiv w:val="1"/>
      <w:marLeft w:val="0"/>
      <w:marRight w:val="0"/>
      <w:marTop w:val="0"/>
      <w:marBottom w:val="0"/>
      <w:divBdr>
        <w:top w:val="none" w:sz="0" w:space="0" w:color="auto"/>
        <w:left w:val="none" w:sz="0" w:space="0" w:color="auto"/>
        <w:bottom w:val="none" w:sz="0" w:space="0" w:color="auto"/>
        <w:right w:val="none" w:sz="0" w:space="0" w:color="auto"/>
      </w:divBdr>
    </w:div>
    <w:div w:id="10499505">
      <w:bodyDiv w:val="1"/>
      <w:marLeft w:val="0"/>
      <w:marRight w:val="0"/>
      <w:marTop w:val="0"/>
      <w:marBottom w:val="0"/>
      <w:divBdr>
        <w:top w:val="none" w:sz="0" w:space="0" w:color="auto"/>
        <w:left w:val="none" w:sz="0" w:space="0" w:color="auto"/>
        <w:bottom w:val="none" w:sz="0" w:space="0" w:color="auto"/>
        <w:right w:val="none" w:sz="0" w:space="0" w:color="auto"/>
      </w:divBdr>
      <w:divsChild>
        <w:div w:id="908148740">
          <w:marLeft w:val="547"/>
          <w:marRight w:val="0"/>
          <w:marTop w:val="134"/>
          <w:marBottom w:val="0"/>
          <w:divBdr>
            <w:top w:val="none" w:sz="0" w:space="0" w:color="auto"/>
            <w:left w:val="none" w:sz="0" w:space="0" w:color="auto"/>
            <w:bottom w:val="none" w:sz="0" w:space="0" w:color="auto"/>
            <w:right w:val="none" w:sz="0" w:space="0" w:color="auto"/>
          </w:divBdr>
        </w:div>
      </w:divsChild>
    </w:div>
    <w:div w:id="25765403">
      <w:bodyDiv w:val="1"/>
      <w:marLeft w:val="0"/>
      <w:marRight w:val="0"/>
      <w:marTop w:val="0"/>
      <w:marBottom w:val="0"/>
      <w:divBdr>
        <w:top w:val="none" w:sz="0" w:space="0" w:color="auto"/>
        <w:left w:val="none" w:sz="0" w:space="0" w:color="auto"/>
        <w:bottom w:val="none" w:sz="0" w:space="0" w:color="auto"/>
        <w:right w:val="none" w:sz="0" w:space="0" w:color="auto"/>
      </w:divBdr>
    </w:div>
    <w:div w:id="26493029">
      <w:bodyDiv w:val="1"/>
      <w:marLeft w:val="0"/>
      <w:marRight w:val="0"/>
      <w:marTop w:val="0"/>
      <w:marBottom w:val="0"/>
      <w:divBdr>
        <w:top w:val="none" w:sz="0" w:space="0" w:color="auto"/>
        <w:left w:val="none" w:sz="0" w:space="0" w:color="auto"/>
        <w:bottom w:val="none" w:sz="0" w:space="0" w:color="auto"/>
        <w:right w:val="none" w:sz="0" w:space="0" w:color="auto"/>
      </w:divBdr>
    </w:div>
    <w:div w:id="37895056">
      <w:bodyDiv w:val="1"/>
      <w:marLeft w:val="0"/>
      <w:marRight w:val="0"/>
      <w:marTop w:val="0"/>
      <w:marBottom w:val="0"/>
      <w:divBdr>
        <w:top w:val="none" w:sz="0" w:space="0" w:color="auto"/>
        <w:left w:val="none" w:sz="0" w:space="0" w:color="auto"/>
        <w:bottom w:val="none" w:sz="0" w:space="0" w:color="auto"/>
        <w:right w:val="none" w:sz="0" w:space="0" w:color="auto"/>
      </w:divBdr>
    </w:div>
    <w:div w:id="51663842">
      <w:bodyDiv w:val="1"/>
      <w:marLeft w:val="0"/>
      <w:marRight w:val="0"/>
      <w:marTop w:val="0"/>
      <w:marBottom w:val="0"/>
      <w:divBdr>
        <w:top w:val="none" w:sz="0" w:space="0" w:color="auto"/>
        <w:left w:val="none" w:sz="0" w:space="0" w:color="auto"/>
        <w:bottom w:val="none" w:sz="0" w:space="0" w:color="auto"/>
        <w:right w:val="none" w:sz="0" w:space="0" w:color="auto"/>
      </w:divBdr>
    </w:div>
    <w:div w:id="74130392">
      <w:bodyDiv w:val="1"/>
      <w:marLeft w:val="0"/>
      <w:marRight w:val="0"/>
      <w:marTop w:val="0"/>
      <w:marBottom w:val="0"/>
      <w:divBdr>
        <w:top w:val="none" w:sz="0" w:space="0" w:color="auto"/>
        <w:left w:val="none" w:sz="0" w:space="0" w:color="auto"/>
        <w:bottom w:val="none" w:sz="0" w:space="0" w:color="auto"/>
        <w:right w:val="none" w:sz="0" w:space="0" w:color="auto"/>
      </w:divBdr>
    </w:div>
    <w:div w:id="111704996">
      <w:bodyDiv w:val="1"/>
      <w:marLeft w:val="0"/>
      <w:marRight w:val="0"/>
      <w:marTop w:val="0"/>
      <w:marBottom w:val="0"/>
      <w:divBdr>
        <w:top w:val="none" w:sz="0" w:space="0" w:color="auto"/>
        <w:left w:val="none" w:sz="0" w:space="0" w:color="auto"/>
        <w:bottom w:val="none" w:sz="0" w:space="0" w:color="auto"/>
        <w:right w:val="none" w:sz="0" w:space="0" w:color="auto"/>
      </w:divBdr>
    </w:div>
    <w:div w:id="116265629">
      <w:bodyDiv w:val="1"/>
      <w:marLeft w:val="0"/>
      <w:marRight w:val="0"/>
      <w:marTop w:val="0"/>
      <w:marBottom w:val="0"/>
      <w:divBdr>
        <w:top w:val="none" w:sz="0" w:space="0" w:color="auto"/>
        <w:left w:val="none" w:sz="0" w:space="0" w:color="auto"/>
        <w:bottom w:val="none" w:sz="0" w:space="0" w:color="auto"/>
        <w:right w:val="none" w:sz="0" w:space="0" w:color="auto"/>
      </w:divBdr>
    </w:div>
    <w:div w:id="136652421">
      <w:bodyDiv w:val="1"/>
      <w:marLeft w:val="0"/>
      <w:marRight w:val="0"/>
      <w:marTop w:val="0"/>
      <w:marBottom w:val="0"/>
      <w:divBdr>
        <w:top w:val="none" w:sz="0" w:space="0" w:color="auto"/>
        <w:left w:val="none" w:sz="0" w:space="0" w:color="auto"/>
        <w:bottom w:val="none" w:sz="0" w:space="0" w:color="auto"/>
        <w:right w:val="none" w:sz="0" w:space="0" w:color="auto"/>
      </w:divBdr>
    </w:div>
    <w:div w:id="174998036">
      <w:bodyDiv w:val="1"/>
      <w:marLeft w:val="0"/>
      <w:marRight w:val="0"/>
      <w:marTop w:val="0"/>
      <w:marBottom w:val="0"/>
      <w:divBdr>
        <w:top w:val="none" w:sz="0" w:space="0" w:color="auto"/>
        <w:left w:val="none" w:sz="0" w:space="0" w:color="auto"/>
        <w:bottom w:val="none" w:sz="0" w:space="0" w:color="auto"/>
        <w:right w:val="none" w:sz="0" w:space="0" w:color="auto"/>
      </w:divBdr>
    </w:div>
    <w:div w:id="184029289">
      <w:bodyDiv w:val="1"/>
      <w:marLeft w:val="0"/>
      <w:marRight w:val="0"/>
      <w:marTop w:val="0"/>
      <w:marBottom w:val="0"/>
      <w:divBdr>
        <w:top w:val="none" w:sz="0" w:space="0" w:color="auto"/>
        <w:left w:val="none" w:sz="0" w:space="0" w:color="auto"/>
        <w:bottom w:val="none" w:sz="0" w:space="0" w:color="auto"/>
        <w:right w:val="none" w:sz="0" w:space="0" w:color="auto"/>
      </w:divBdr>
    </w:div>
    <w:div w:id="206991689">
      <w:bodyDiv w:val="1"/>
      <w:marLeft w:val="0"/>
      <w:marRight w:val="0"/>
      <w:marTop w:val="0"/>
      <w:marBottom w:val="0"/>
      <w:divBdr>
        <w:top w:val="none" w:sz="0" w:space="0" w:color="auto"/>
        <w:left w:val="none" w:sz="0" w:space="0" w:color="auto"/>
        <w:bottom w:val="none" w:sz="0" w:space="0" w:color="auto"/>
        <w:right w:val="none" w:sz="0" w:space="0" w:color="auto"/>
      </w:divBdr>
    </w:div>
    <w:div w:id="219171053">
      <w:bodyDiv w:val="1"/>
      <w:marLeft w:val="0"/>
      <w:marRight w:val="0"/>
      <w:marTop w:val="0"/>
      <w:marBottom w:val="0"/>
      <w:divBdr>
        <w:top w:val="none" w:sz="0" w:space="0" w:color="auto"/>
        <w:left w:val="none" w:sz="0" w:space="0" w:color="auto"/>
        <w:bottom w:val="none" w:sz="0" w:space="0" w:color="auto"/>
        <w:right w:val="none" w:sz="0" w:space="0" w:color="auto"/>
      </w:divBdr>
    </w:div>
    <w:div w:id="224337513">
      <w:bodyDiv w:val="1"/>
      <w:marLeft w:val="0"/>
      <w:marRight w:val="0"/>
      <w:marTop w:val="0"/>
      <w:marBottom w:val="0"/>
      <w:divBdr>
        <w:top w:val="none" w:sz="0" w:space="0" w:color="auto"/>
        <w:left w:val="none" w:sz="0" w:space="0" w:color="auto"/>
        <w:bottom w:val="none" w:sz="0" w:space="0" w:color="auto"/>
        <w:right w:val="none" w:sz="0" w:space="0" w:color="auto"/>
      </w:divBdr>
    </w:div>
    <w:div w:id="240987840">
      <w:bodyDiv w:val="1"/>
      <w:marLeft w:val="0"/>
      <w:marRight w:val="0"/>
      <w:marTop w:val="0"/>
      <w:marBottom w:val="0"/>
      <w:divBdr>
        <w:top w:val="none" w:sz="0" w:space="0" w:color="auto"/>
        <w:left w:val="none" w:sz="0" w:space="0" w:color="auto"/>
        <w:bottom w:val="none" w:sz="0" w:space="0" w:color="auto"/>
        <w:right w:val="none" w:sz="0" w:space="0" w:color="auto"/>
      </w:divBdr>
    </w:div>
    <w:div w:id="259148225">
      <w:bodyDiv w:val="1"/>
      <w:marLeft w:val="0"/>
      <w:marRight w:val="0"/>
      <w:marTop w:val="0"/>
      <w:marBottom w:val="0"/>
      <w:divBdr>
        <w:top w:val="none" w:sz="0" w:space="0" w:color="auto"/>
        <w:left w:val="none" w:sz="0" w:space="0" w:color="auto"/>
        <w:bottom w:val="none" w:sz="0" w:space="0" w:color="auto"/>
        <w:right w:val="none" w:sz="0" w:space="0" w:color="auto"/>
      </w:divBdr>
    </w:div>
    <w:div w:id="289627912">
      <w:bodyDiv w:val="1"/>
      <w:marLeft w:val="0"/>
      <w:marRight w:val="0"/>
      <w:marTop w:val="0"/>
      <w:marBottom w:val="0"/>
      <w:divBdr>
        <w:top w:val="none" w:sz="0" w:space="0" w:color="auto"/>
        <w:left w:val="none" w:sz="0" w:space="0" w:color="auto"/>
        <w:bottom w:val="none" w:sz="0" w:space="0" w:color="auto"/>
        <w:right w:val="none" w:sz="0" w:space="0" w:color="auto"/>
      </w:divBdr>
    </w:div>
    <w:div w:id="310140243">
      <w:bodyDiv w:val="1"/>
      <w:marLeft w:val="0"/>
      <w:marRight w:val="0"/>
      <w:marTop w:val="0"/>
      <w:marBottom w:val="0"/>
      <w:divBdr>
        <w:top w:val="none" w:sz="0" w:space="0" w:color="auto"/>
        <w:left w:val="none" w:sz="0" w:space="0" w:color="auto"/>
        <w:bottom w:val="none" w:sz="0" w:space="0" w:color="auto"/>
        <w:right w:val="none" w:sz="0" w:space="0" w:color="auto"/>
      </w:divBdr>
    </w:div>
    <w:div w:id="342972678">
      <w:bodyDiv w:val="1"/>
      <w:marLeft w:val="0"/>
      <w:marRight w:val="0"/>
      <w:marTop w:val="0"/>
      <w:marBottom w:val="0"/>
      <w:divBdr>
        <w:top w:val="none" w:sz="0" w:space="0" w:color="auto"/>
        <w:left w:val="none" w:sz="0" w:space="0" w:color="auto"/>
        <w:bottom w:val="none" w:sz="0" w:space="0" w:color="auto"/>
        <w:right w:val="none" w:sz="0" w:space="0" w:color="auto"/>
      </w:divBdr>
    </w:div>
    <w:div w:id="381249859">
      <w:bodyDiv w:val="1"/>
      <w:marLeft w:val="0"/>
      <w:marRight w:val="0"/>
      <w:marTop w:val="0"/>
      <w:marBottom w:val="0"/>
      <w:divBdr>
        <w:top w:val="none" w:sz="0" w:space="0" w:color="auto"/>
        <w:left w:val="none" w:sz="0" w:space="0" w:color="auto"/>
        <w:bottom w:val="none" w:sz="0" w:space="0" w:color="auto"/>
        <w:right w:val="none" w:sz="0" w:space="0" w:color="auto"/>
      </w:divBdr>
    </w:div>
    <w:div w:id="388959748">
      <w:bodyDiv w:val="1"/>
      <w:marLeft w:val="0"/>
      <w:marRight w:val="0"/>
      <w:marTop w:val="0"/>
      <w:marBottom w:val="0"/>
      <w:divBdr>
        <w:top w:val="none" w:sz="0" w:space="0" w:color="auto"/>
        <w:left w:val="none" w:sz="0" w:space="0" w:color="auto"/>
        <w:bottom w:val="none" w:sz="0" w:space="0" w:color="auto"/>
        <w:right w:val="none" w:sz="0" w:space="0" w:color="auto"/>
      </w:divBdr>
    </w:div>
    <w:div w:id="393283070">
      <w:bodyDiv w:val="1"/>
      <w:marLeft w:val="0"/>
      <w:marRight w:val="0"/>
      <w:marTop w:val="0"/>
      <w:marBottom w:val="0"/>
      <w:divBdr>
        <w:top w:val="none" w:sz="0" w:space="0" w:color="auto"/>
        <w:left w:val="none" w:sz="0" w:space="0" w:color="auto"/>
        <w:bottom w:val="none" w:sz="0" w:space="0" w:color="auto"/>
        <w:right w:val="none" w:sz="0" w:space="0" w:color="auto"/>
      </w:divBdr>
    </w:div>
    <w:div w:id="414280912">
      <w:bodyDiv w:val="1"/>
      <w:marLeft w:val="0"/>
      <w:marRight w:val="0"/>
      <w:marTop w:val="0"/>
      <w:marBottom w:val="0"/>
      <w:divBdr>
        <w:top w:val="none" w:sz="0" w:space="0" w:color="auto"/>
        <w:left w:val="none" w:sz="0" w:space="0" w:color="auto"/>
        <w:bottom w:val="none" w:sz="0" w:space="0" w:color="auto"/>
        <w:right w:val="none" w:sz="0" w:space="0" w:color="auto"/>
      </w:divBdr>
    </w:div>
    <w:div w:id="425276192">
      <w:bodyDiv w:val="1"/>
      <w:marLeft w:val="0"/>
      <w:marRight w:val="0"/>
      <w:marTop w:val="0"/>
      <w:marBottom w:val="0"/>
      <w:divBdr>
        <w:top w:val="none" w:sz="0" w:space="0" w:color="auto"/>
        <w:left w:val="none" w:sz="0" w:space="0" w:color="auto"/>
        <w:bottom w:val="none" w:sz="0" w:space="0" w:color="auto"/>
        <w:right w:val="none" w:sz="0" w:space="0" w:color="auto"/>
      </w:divBdr>
    </w:div>
    <w:div w:id="445393862">
      <w:bodyDiv w:val="1"/>
      <w:marLeft w:val="0"/>
      <w:marRight w:val="0"/>
      <w:marTop w:val="0"/>
      <w:marBottom w:val="0"/>
      <w:divBdr>
        <w:top w:val="none" w:sz="0" w:space="0" w:color="auto"/>
        <w:left w:val="none" w:sz="0" w:space="0" w:color="auto"/>
        <w:bottom w:val="none" w:sz="0" w:space="0" w:color="auto"/>
        <w:right w:val="none" w:sz="0" w:space="0" w:color="auto"/>
      </w:divBdr>
    </w:div>
    <w:div w:id="497383534">
      <w:bodyDiv w:val="1"/>
      <w:marLeft w:val="0"/>
      <w:marRight w:val="0"/>
      <w:marTop w:val="0"/>
      <w:marBottom w:val="0"/>
      <w:divBdr>
        <w:top w:val="none" w:sz="0" w:space="0" w:color="auto"/>
        <w:left w:val="none" w:sz="0" w:space="0" w:color="auto"/>
        <w:bottom w:val="none" w:sz="0" w:space="0" w:color="auto"/>
        <w:right w:val="none" w:sz="0" w:space="0" w:color="auto"/>
      </w:divBdr>
    </w:div>
    <w:div w:id="498469335">
      <w:bodyDiv w:val="1"/>
      <w:marLeft w:val="0"/>
      <w:marRight w:val="0"/>
      <w:marTop w:val="0"/>
      <w:marBottom w:val="0"/>
      <w:divBdr>
        <w:top w:val="none" w:sz="0" w:space="0" w:color="auto"/>
        <w:left w:val="none" w:sz="0" w:space="0" w:color="auto"/>
        <w:bottom w:val="none" w:sz="0" w:space="0" w:color="auto"/>
        <w:right w:val="none" w:sz="0" w:space="0" w:color="auto"/>
      </w:divBdr>
    </w:div>
    <w:div w:id="547684622">
      <w:bodyDiv w:val="1"/>
      <w:marLeft w:val="0"/>
      <w:marRight w:val="0"/>
      <w:marTop w:val="0"/>
      <w:marBottom w:val="0"/>
      <w:divBdr>
        <w:top w:val="none" w:sz="0" w:space="0" w:color="auto"/>
        <w:left w:val="none" w:sz="0" w:space="0" w:color="auto"/>
        <w:bottom w:val="none" w:sz="0" w:space="0" w:color="auto"/>
        <w:right w:val="none" w:sz="0" w:space="0" w:color="auto"/>
      </w:divBdr>
    </w:div>
    <w:div w:id="553857340">
      <w:bodyDiv w:val="1"/>
      <w:marLeft w:val="0"/>
      <w:marRight w:val="0"/>
      <w:marTop w:val="0"/>
      <w:marBottom w:val="0"/>
      <w:divBdr>
        <w:top w:val="none" w:sz="0" w:space="0" w:color="auto"/>
        <w:left w:val="none" w:sz="0" w:space="0" w:color="auto"/>
        <w:bottom w:val="none" w:sz="0" w:space="0" w:color="auto"/>
        <w:right w:val="none" w:sz="0" w:space="0" w:color="auto"/>
      </w:divBdr>
    </w:div>
    <w:div w:id="599875077">
      <w:bodyDiv w:val="1"/>
      <w:marLeft w:val="0"/>
      <w:marRight w:val="0"/>
      <w:marTop w:val="0"/>
      <w:marBottom w:val="0"/>
      <w:divBdr>
        <w:top w:val="none" w:sz="0" w:space="0" w:color="auto"/>
        <w:left w:val="none" w:sz="0" w:space="0" w:color="auto"/>
        <w:bottom w:val="none" w:sz="0" w:space="0" w:color="auto"/>
        <w:right w:val="none" w:sz="0" w:space="0" w:color="auto"/>
      </w:divBdr>
    </w:div>
    <w:div w:id="601651531">
      <w:bodyDiv w:val="1"/>
      <w:marLeft w:val="0"/>
      <w:marRight w:val="0"/>
      <w:marTop w:val="0"/>
      <w:marBottom w:val="0"/>
      <w:divBdr>
        <w:top w:val="none" w:sz="0" w:space="0" w:color="auto"/>
        <w:left w:val="none" w:sz="0" w:space="0" w:color="auto"/>
        <w:bottom w:val="none" w:sz="0" w:space="0" w:color="auto"/>
        <w:right w:val="none" w:sz="0" w:space="0" w:color="auto"/>
      </w:divBdr>
    </w:div>
    <w:div w:id="633798868">
      <w:bodyDiv w:val="1"/>
      <w:marLeft w:val="0"/>
      <w:marRight w:val="0"/>
      <w:marTop w:val="0"/>
      <w:marBottom w:val="0"/>
      <w:divBdr>
        <w:top w:val="none" w:sz="0" w:space="0" w:color="auto"/>
        <w:left w:val="none" w:sz="0" w:space="0" w:color="auto"/>
        <w:bottom w:val="none" w:sz="0" w:space="0" w:color="auto"/>
        <w:right w:val="none" w:sz="0" w:space="0" w:color="auto"/>
      </w:divBdr>
    </w:div>
    <w:div w:id="650017405">
      <w:bodyDiv w:val="1"/>
      <w:marLeft w:val="0"/>
      <w:marRight w:val="0"/>
      <w:marTop w:val="0"/>
      <w:marBottom w:val="0"/>
      <w:divBdr>
        <w:top w:val="none" w:sz="0" w:space="0" w:color="auto"/>
        <w:left w:val="none" w:sz="0" w:space="0" w:color="auto"/>
        <w:bottom w:val="none" w:sz="0" w:space="0" w:color="auto"/>
        <w:right w:val="none" w:sz="0" w:space="0" w:color="auto"/>
      </w:divBdr>
    </w:div>
    <w:div w:id="719669662">
      <w:bodyDiv w:val="1"/>
      <w:marLeft w:val="0"/>
      <w:marRight w:val="0"/>
      <w:marTop w:val="0"/>
      <w:marBottom w:val="0"/>
      <w:divBdr>
        <w:top w:val="none" w:sz="0" w:space="0" w:color="auto"/>
        <w:left w:val="none" w:sz="0" w:space="0" w:color="auto"/>
        <w:bottom w:val="none" w:sz="0" w:space="0" w:color="auto"/>
        <w:right w:val="none" w:sz="0" w:space="0" w:color="auto"/>
      </w:divBdr>
    </w:div>
    <w:div w:id="733554141">
      <w:bodyDiv w:val="1"/>
      <w:marLeft w:val="0"/>
      <w:marRight w:val="0"/>
      <w:marTop w:val="0"/>
      <w:marBottom w:val="0"/>
      <w:divBdr>
        <w:top w:val="none" w:sz="0" w:space="0" w:color="auto"/>
        <w:left w:val="none" w:sz="0" w:space="0" w:color="auto"/>
        <w:bottom w:val="none" w:sz="0" w:space="0" w:color="auto"/>
        <w:right w:val="none" w:sz="0" w:space="0" w:color="auto"/>
      </w:divBdr>
    </w:div>
    <w:div w:id="815755281">
      <w:bodyDiv w:val="1"/>
      <w:marLeft w:val="0"/>
      <w:marRight w:val="0"/>
      <w:marTop w:val="0"/>
      <w:marBottom w:val="0"/>
      <w:divBdr>
        <w:top w:val="none" w:sz="0" w:space="0" w:color="auto"/>
        <w:left w:val="none" w:sz="0" w:space="0" w:color="auto"/>
        <w:bottom w:val="none" w:sz="0" w:space="0" w:color="auto"/>
        <w:right w:val="none" w:sz="0" w:space="0" w:color="auto"/>
      </w:divBdr>
    </w:div>
    <w:div w:id="850949379">
      <w:bodyDiv w:val="1"/>
      <w:marLeft w:val="0"/>
      <w:marRight w:val="0"/>
      <w:marTop w:val="0"/>
      <w:marBottom w:val="0"/>
      <w:divBdr>
        <w:top w:val="none" w:sz="0" w:space="0" w:color="auto"/>
        <w:left w:val="none" w:sz="0" w:space="0" w:color="auto"/>
        <w:bottom w:val="none" w:sz="0" w:space="0" w:color="auto"/>
        <w:right w:val="none" w:sz="0" w:space="0" w:color="auto"/>
      </w:divBdr>
    </w:div>
    <w:div w:id="877085835">
      <w:bodyDiv w:val="1"/>
      <w:marLeft w:val="0"/>
      <w:marRight w:val="0"/>
      <w:marTop w:val="0"/>
      <w:marBottom w:val="0"/>
      <w:divBdr>
        <w:top w:val="none" w:sz="0" w:space="0" w:color="auto"/>
        <w:left w:val="none" w:sz="0" w:space="0" w:color="auto"/>
        <w:bottom w:val="none" w:sz="0" w:space="0" w:color="auto"/>
        <w:right w:val="none" w:sz="0" w:space="0" w:color="auto"/>
      </w:divBdr>
    </w:div>
    <w:div w:id="883716246">
      <w:bodyDiv w:val="1"/>
      <w:marLeft w:val="0"/>
      <w:marRight w:val="0"/>
      <w:marTop w:val="0"/>
      <w:marBottom w:val="0"/>
      <w:divBdr>
        <w:top w:val="none" w:sz="0" w:space="0" w:color="auto"/>
        <w:left w:val="none" w:sz="0" w:space="0" w:color="auto"/>
        <w:bottom w:val="none" w:sz="0" w:space="0" w:color="auto"/>
        <w:right w:val="none" w:sz="0" w:space="0" w:color="auto"/>
      </w:divBdr>
    </w:div>
    <w:div w:id="885019993">
      <w:bodyDiv w:val="1"/>
      <w:marLeft w:val="0"/>
      <w:marRight w:val="0"/>
      <w:marTop w:val="0"/>
      <w:marBottom w:val="0"/>
      <w:divBdr>
        <w:top w:val="none" w:sz="0" w:space="0" w:color="auto"/>
        <w:left w:val="none" w:sz="0" w:space="0" w:color="auto"/>
        <w:bottom w:val="none" w:sz="0" w:space="0" w:color="auto"/>
        <w:right w:val="none" w:sz="0" w:space="0" w:color="auto"/>
      </w:divBdr>
    </w:div>
    <w:div w:id="912742429">
      <w:bodyDiv w:val="1"/>
      <w:marLeft w:val="0"/>
      <w:marRight w:val="0"/>
      <w:marTop w:val="0"/>
      <w:marBottom w:val="0"/>
      <w:divBdr>
        <w:top w:val="none" w:sz="0" w:space="0" w:color="auto"/>
        <w:left w:val="none" w:sz="0" w:space="0" w:color="auto"/>
        <w:bottom w:val="none" w:sz="0" w:space="0" w:color="auto"/>
        <w:right w:val="none" w:sz="0" w:space="0" w:color="auto"/>
      </w:divBdr>
    </w:div>
    <w:div w:id="921065123">
      <w:bodyDiv w:val="1"/>
      <w:marLeft w:val="0"/>
      <w:marRight w:val="0"/>
      <w:marTop w:val="0"/>
      <w:marBottom w:val="0"/>
      <w:divBdr>
        <w:top w:val="none" w:sz="0" w:space="0" w:color="auto"/>
        <w:left w:val="none" w:sz="0" w:space="0" w:color="auto"/>
        <w:bottom w:val="none" w:sz="0" w:space="0" w:color="auto"/>
        <w:right w:val="none" w:sz="0" w:space="0" w:color="auto"/>
      </w:divBdr>
    </w:div>
    <w:div w:id="944847599">
      <w:bodyDiv w:val="1"/>
      <w:marLeft w:val="0"/>
      <w:marRight w:val="0"/>
      <w:marTop w:val="0"/>
      <w:marBottom w:val="0"/>
      <w:divBdr>
        <w:top w:val="none" w:sz="0" w:space="0" w:color="auto"/>
        <w:left w:val="none" w:sz="0" w:space="0" w:color="auto"/>
        <w:bottom w:val="none" w:sz="0" w:space="0" w:color="auto"/>
        <w:right w:val="none" w:sz="0" w:space="0" w:color="auto"/>
      </w:divBdr>
    </w:div>
    <w:div w:id="970213599">
      <w:bodyDiv w:val="1"/>
      <w:marLeft w:val="0"/>
      <w:marRight w:val="0"/>
      <w:marTop w:val="0"/>
      <w:marBottom w:val="0"/>
      <w:divBdr>
        <w:top w:val="none" w:sz="0" w:space="0" w:color="auto"/>
        <w:left w:val="none" w:sz="0" w:space="0" w:color="auto"/>
        <w:bottom w:val="none" w:sz="0" w:space="0" w:color="auto"/>
        <w:right w:val="none" w:sz="0" w:space="0" w:color="auto"/>
      </w:divBdr>
    </w:div>
    <w:div w:id="976447681">
      <w:bodyDiv w:val="1"/>
      <w:marLeft w:val="0"/>
      <w:marRight w:val="0"/>
      <w:marTop w:val="0"/>
      <w:marBottom w:val="0"/>
      <w:divBdr>
        <w:top w:val="none" w:sz="0" w:space="0" w:color="auto"/>
        <w:left w:val="none" w:sz="0" w:space="0" w:color="auto"/>
        <w:bottom w:val="none" w:sz="0" w:space="0" w:color="auto"/>
        <w:right w:val="none" w:sz="0" w:space="0" w:color="auto"/>
      </w:divBdr>
    </w:div>
    <w:div w:id="1019160309">
      <w:bodyDiv w:val="1"/>
      <w:marLeft w:val="0"/>
      <w:marRight w:val="0"/>
      <w:marTop w:val="0"/>
      <w:marBottom w:val="0"/>
      <w:divBdr>
        <w:top w:val="none" w:sz="0" w:space="0" w:color="auto"/>
        <w:left w:val="none" w:sz="0" w:space="0" w:color="auto"/>
        <w:bottom w:val="none" w:sz="0" w:space="0" w:color="auto"/>
        <w:right w:val="none" w:sz="0" w:space="0" w:color="auto"/>
      </w:divBdr>
    </w:div>
    <w:div w:id="1115448293">
      <w:bodyDiv w:val="1"/>
      <w:marLeft w:val="0"/>
      <w:marRight w:val="0"/>
      <w:marTop w:val="0"/>
      <w:marBottom w:val="0"/>
      <w:divBdr>
        <w:top w:val="none" w:sz="0" w:space="0" w:color="auto"/>
        <w:left w:val="none" w:sz="0" w:space="0" w:color="auto"/>
        <w:bottom w:val="none" w:sz="0" w:space="0" w:color="auto"/>
        <w:right w:val="none" w:sz="0" w:space="0" w:color="auto"/>
      </w:divBdr>
    </w:div>
    <w:div w:id="1117408241">
      <w:bodyDiv w:val="1"/>
      <w:marLeft w:val="0"/>
      <w:marRight w:val="0"/>
      <w:marTop w:val="0"/>
      <w:marBottom w:val="0"/>
      <w:divBdr>
        <w:top w:val="none" w:sz="0" w:space="0" w:color="auto"/>
        <w:left w:val="none" w:sz="0" w:space="0" w:color="auto"/>
        <w:bottom w:val="none" w:sz="0" w:space="0" w:color="auto"/>
        <w:right w:val="none" w:sz="0" w:space="0" w:color="auto"/>
      </w:divBdr>
    </w:div>
    <w:div w:id="1140272256">
      <w:bodyDiv w:val="1"/>
      <w:marLeft w:val="0"/>
      <w:marRight w:val="0"/>
      <w:marTop w:val="0"/>
      <w:marBottom w:val="0"/>
      <w:divBdr>
        <w:top w:val="none" w:sz="0" w:space="0" w:color="auto"/>
        <w:left w:val="none" w:sz="0" w:space="0" w:color="auto"/>
        <w:bottom w:val="none" w:sz="0" w:space="0" w:color="auto"/>
        <w:right w:val="none" w:sz="0" w:space="0" w:color="auto"/>
      </w:divBdr>
    </w:div>
    <w:div w:id="1152986908">
      <w:bodyDiv w:val="1"/>
      <w:marLeft w:val="0"/>
      <w:marRight w:val="0"/>
      <w:marTop w:val="0"/>
      <w:marBottom w:val="0"/>
      <w:divBdr>
        <w:top w:val="none" w:sz="0" w:space="0" w:color="auto"/>
        <w:left w:val="none" w:sz="0" w:space="0" w:color="auto"/>
        <w:bottom w:val="none" w:sz="0" w:space="0" w:color="auto"/>
        <w:right w:val="none" w:sz="0" w:space="0" w:color="auto"/>
      </w:divBdr>
    </w:div>
    <w:div w:id="1163471303">
      <w:bodyDiv w:val="1"/>
      <w:marLeft w:val="0"/>
      <w:marRight w:val="0"/>
      <w:marTop w:val="0"/>
      <w:marBottom w:val="0"/>
      <w:divBdr>
        <w:top w:val="none" w:sz="0" w:space="0" w:color="auto"/>
        <w:left w:val="none" w:sz="0" w:space="0" w:color="auto"/>
        <w:bottom w:val="none" w:sz="0" w:space="0" w:color="auto"/>
        <w:right w:val="none" w:sz="0" w:space="0" w:color="auto"/>
      </w:divBdr>
    </w:div>
    <w:div w:id="1171220333">
      <w:bodyDiv w:val="1"/>
      <w:marLeft w:val="0"/>
      <w:marRight w:val="0"/>
      <w:marTop w:val="0"/>
      <w:marBottom w:val="0"/>
      <w:divBdr>
        <w:top w:val="none" w:sz="0" w:space="0" w:color="auto"/>
        <w:left w:val="none" w:sz="0" w:space="0" w:color="auto"/>
        <w:bottom w:val="none" w:sz="0" w:space="0" w:color="auto"/>
        <w:right w:val="none" w:sz="0" w:space="0" w:color="auto"/>
      </w:divBdr>
    </w:div>
    <w:div w:id="1224098787">
      <w:bodyDiv w:val="1"/>
      <w:marLeft w:val="0"/>
      <w:marRight w:val="0"/>
      <w:marTop w:val="0"/>
      <w:marBottom w:val="0"/>
      <w:divBdr>
        <w:top w:val="none" w:sz="0" w:space="0" w:color="auto"/>
        <w:left w:val="none" w:sz="0" w:space="0" w:color="auto"/>
        <w:bottom w:val="none" w:sz="0" w:space="0" w:color="auto"/>
        <w:right w:val="none" w:sz="0" w:space="0" w:color="auto"/>
      </w:divBdr>
    </w:div>
    <w:div w:id="1229151570">
      <w:bodyDiv w:val="1"/>
      <w:marLeft w:val="0"/>
      <w:marRight w:val="0"/>
      <w:marTop w:val="0"/>
      <w:marBottom w:val="0"/>
      <w:divBdr>
        <w:top w:val="none" w:sz="0" w:space="0" w:color="auto"/>
        <w:left w:val="none" w:sz="0" w:space="0" w:color="auto"/>
        <w:bottom w:val="none" w:sz="0" w:space="0" w:color="auto"/>
        <w:right w:val="none" w:sz="0" w:space="0" w:color="auto"/>
      </w:divBdr>
    </w:div>
    <w:div w:id="1244218186">
      <w:bodyDiv w:val="1"/>
      <w:marLeft w:val="0"/>
      <w:marRight w:val="0"/>
      <w:marTop w:val="0"/>
      <w:marBottom w:val="0"/>
      <w:divBdr>
        <w:top w:val="none" w:sz="0" w:space="0" w:color="auto"/>
        <w:left w:val="none" w:sz="0" w:space="0" w:color="auto"/>
        <w:bottom w:val="none" w:sz="0" w:space="0" w:color="auto"/>
        <w:right w:val="none" w:sz="0" w:space="0" w:color="auto"/>
      </w:divBdr>
    </w:div>
    <w:div w:id="1256019463">
      <w:bodyDiv w:val="1"/>
      <w:marLeft w:val="0"/>
      <w:marRight w:val="0"/>
      <w:marTop w:val="0"/>
      <w:marBottom w:val="0"/>
      <w:divBdr>
        <w:top w:val="none" w:sz="0" w:space="0" w:color="auto"/>
        <w:left w:val="none" w:sz="0" w:space="0" w:color="auto"/>
        <w:bottom w:val="none" w:sz="0" w:space="0" w:color="auto"/>
        <w:right w:val="none" w:sz="0" w:space="0" w:color="auto"/>
      </w:divBdr>
    </w:div>
    <w:div w:id="1257448350">
      <w:bodyDiv w:val="1"/>
      <w:marLeft w:val="0"/>
      <w:marRight w:val="0"/>
      <w:marTop w:val="0"/>
      <w:marBottom w:val="0"/>
      <w:divBdr>
        <w:top w:val="none" w:sz="0" w:space="0" w:color="auto"/>
        <w:left w:val="none" w:sz="0" w:space="0" w:color="auto"/>
        <w:bottom w:val="none" w:sz="0" w:space="0" w:color="auto"/>
        <w:right w:val="none" w:sz="0" w:space="0" w:color="auto"/>
      </w:divBdr>
    </w:div>
    <w:div w:id="1260408255">
      <w:bodyDiv w:val="1"/>
      <w:marLeft w:val="0"/>
      <w:marRight w:val="0"/>
      <w:marTop w:val="0"/>
      <w:marBottom w:val="0"/>
      <w:divBdr>
        <w:top w:val="none" w:sz="0" w:space="0" w:color="auto"/>
        <w:left w:val="none" w:sz="0" w:space="0" w:color="auto"/>
        <w:bottom w:val="none" w:sz="0" w:space="0" w:color="auto"/>
        <w:right w:val="none" w:sz="0" w:space="0" w:color="auto"/>
      </w:divBdr>
    </w:div>
    <w:div w:id="1261797108">
      <w:bodyDiv w:val="1"/>
      <w:marLeft w:val="0"/>
      <w:marRight w:val="0"/>
      <w:marTop w:val="0"/>
      <w:marBottom w:val="0"/>
      <w:divBdr>
        <w:top w:val="none" w:sz="0" w:space="0" w:color="auto"/>
        <w:left w:val="none" w:sz="0" w:space="0" w:color="auto"/>
        <w:bottom w:val="none" w:sz="0" w:space="0" w:color="auto"/>
        <w:right w:val="none" w:sz="0" w:space="0" w:color="auto"/>
      </w:divBdr>
    </w:div>
    <w:div w:id="1285310076">
      <w:bodyDiv w:val="1"/>
      <w:marLeft w:val="0"/>
      <w:marRight w:val="0"/>
      <w:marTop w:val="0"/>
      <w:marBottom w:val="0"/>
      <w:divBdr>
        <w:top w:val="none" w:sz="0" w:space="0" w:color="auto"/>
        <w:left w:val="none" w:sz="0" w:space="0" w:color="auto"/>
        <w:bottom w:val="none" w:sz="0" w:space="0" w:color="auto"/>
        <w:right w:val="none" w:sz="0" w:space="0" w:color="auto"/>
      </w:divBdr>
    </w:div>
    <w:div w:id="1291789928">
      <w:bodyDiv w:val="1"/>
      <w:marLeft w:val="0"/>
      <w:marRight w:val="0"/>
      <w:marTop w:val="0"/>
      <w:marBottom w:val="0"/>
      <w:divBdr>
        <w:top w:val="none" w:sz="0" w:space="0" w:color="auto"/>
        <w:left w:val="none" w:sz="0" w:space="0" w:color="auto"/>
        <w:bottom w:val="none" w:sz="0" w:space="0" w:color="auto"/>
        <w:right w:val="none" w:sz="0" w:space="0" w:color="auto"/>
      </w:divBdr>
    </w:div>
    <w:div w:id="1309745875">
      <w:bodyDiv w:val="1"/>
      <w:marLeft w:val="0"/>
      <w:marRight w:val="0"/>
      <w:marTop w:val="0"/>
      <w:marBottom w:val="0"/>
      <w:divBdr>
        <w:top w:val="none" w:sz="0" w:space="0" w:color="auto"/>
        <w:left w:val="none" w:sz="0" w:space="0" w:color="auto"/>
        <w:bottom w:val="none" w:sz="0" w:space="0" w:color="auto"/>
        <w:right w:val="none" w:sz="0" w:space="0" w:color="auto"/>
      </w:divBdr>
    </w:div>
    <w:div w:id="1320118329">
      <w:bodyDiv w:val="1"/>
      <w:marLeft w:val="0"/>
      <w:marRight w:val="0"/>
      <w:marTop w:val="0"/>
      <w:marBottom w:val="0"/>
      <w:divBdr>
        <w:top w:val="none" w:sz="0" w:space="0" w:color="auto"/>
        <w:left w:val="none" w:sz="0" w:space="0" w:color="auto"/>
        <w:bottom w:val="none" w:sz="0" w:space="0" w:color="auto"/>
        <w:right w:val="none" w:sz="0" w:space="0" w:color="auto"/>
      </w:divBdr>
    </w:div>
    <w:div w:id="1338461236">
      <w:bodyDiv w:val="1"/>
      <w:marLeft w:val="0"/>
      <w:marRight w:val="0"/>
      <w:marTop w:val="0"/>
      <w:marBottom w:val="0"/>
      <w:divBdr>
        <w:top w:val="none" w:sz="0" w:space="0" w:color="auto"/>
        <w:left w:val="none" w:sz="0" w:space="0" w:color="auto"/>
        <w:bottom w:val="none" w:sz="0" w:space="0" w:color="auto"/>
        <w:right w:val="none" w:sz="0" w:space="0" w:color="auto"/>
      </w:divBdr>
    </w:div>
    <w:div w:id="1339045467">
      <w:bodyDiv w:val="1"/>
      <w:marLeft w:val="0"/>
      <w:marRight w:val="0"/>
      <w:marTop w:val="0"/>
      <w:marBottom w:val="0"/>
      <w:divBdr>
        <w:top w:val="none" w:sz="0" w:space="0" w:color="auto"/>
        <w:left w:val="none" w:sz="0" w:space="0" w:color="auto"/>
        <w:bottom w:val="none" w:sz="0" w:space="0" w:color="auto"/>
        <w:right w:val="none" w:sz="0" w:space="0" w:color="auto"/>
      </w:divBdr>
    </w:div>
    <w:div w:id="1411778870">
      <w:bodyDiv w:val="1"/>
      <w:marLeft w:val="0"/>
      <w:marRight w:val="0"/>
      <w:marTop w:val="0"/>
      <w:marBottom w:val="0"/>
      <w:divBdr>
        <w:top w:val="none" w:sz="0" w:space="0" w:color="auto"/>
        <w:left w:val="none" w:sz="0" w:space="0" w:color="auto"/>
        <w:bottom w:val="none" w:sz="0" w:space="0" w:color="auto"/>
        <w:right w:val="none" w:sz="0" w:space="0" w:color="auto"/>
      </w:divBdr>
    </w:div>
    <w:div w:id="1446995807">
      <w:bodyDiv w:val="1"/>
      <w:marLeft w:val="0"/>
      <w:marRight w:val="0"/>
      <w:marTop w:val="0"/>
      <w:marBottom w:val="0"/>
      <w:divBdr>
        <w:top w:val="none" w:sz="0" w:space="0" w:color="auto"/>
        <w:left w:val="none" w:sz="0" w:space="0" w:color="auto"/>
        <w:bottom w:val="none" w:sz="0" w:space="0" w:color="auto"/>
        <w:right w:val="none" w:sz="0" w:space="0" w:color="auto"/>
      </w:divBdr>
    </w:div>
    <w:div w:id="1463307564">
      <w:bodyDiv w:val="1"/>
      <w:marLeft w:val="0"/>
      <w:marRight w:val="0"/>
      <w:marTop w:val="0"/>
      <w:marBottom w:val="0"/>
      <w:divBdr>
        <w:top w:val="none" w:sz="0" w:space="0" w:color="auto"/>
        <w:left w:val="none" w:sz="0" w:space="0" w:color="auto"/>
        <w:bottom w:val="none" w:sz="0" w:space="0" w:color="auto"/>
        <w:right w:val="none" w:sz="0" w:space="0" w:color="auto"/>
      </w:divBdr>
    </w:div>
    <w:div w:id="1590624353">
      <w:bodyDiv w:val="1"/>
      <w:marLeft w:val="0"/>
      <w:marRight w:val="0"/>
      <w:marTop w:val="0"/>
      <w:marBottom w:val="0"/>
      <w:divBdr>
        <w:top w:val="none" w:sz="0" w:space="0" w:color="auto"/>
        <w:left w:val="none" w:sz="0" w:space="0" w:color="auto"/>
        <w:bottom w:val="none" w:sz="0" w:space="0" w:color="auto"/>
        <w:right w:val="none" w:sz="0" w:space="0" w:color="auto"/>
      </w:divBdr>
    </w:div>
    <w:div w:id="1596087102">
      <w:bodyDiv w:val="1"/>
      <w:marLeft w:val="0"/>
      <w:marRight w:val="0"/>
      <w:marTop w:val="0"/>
      <w:marBottom w:val="0"/>
      <w:divBdr>
        <w:top w:val="none" w:sz="0" w:space="0" w:color="auto"/>
        <w:left w:val="none" w:sz="0" w:space="0" w:color="auto"/>
        <w:bottom w:val="none" w:sz="0" w:space="0" w:color="auto"/>
        <w:right w:val="none" w:sz="0" w:space="0" w:color="auto"/>
      </w:divBdr>
    </w:div>
    <w:div w:id="1606306867">
      <w:bodyDiv w:val="1"/>
      <w:marLeft w:val="0"/>
      <w:marRight w:val="0"/>
      <w:marTop w:val="0"/>
      <w:marBottom w:val="0"/>
      <w:divBdr>
        <w:top w:val="none" w:sz="0" w:space="0" w:color="auto"/>
        <w:left w:val="none" w:sz="0" w:space="0" w:color="auto"/>
        <w:bottom w:val="none" w:sz="0" w:space="0" w:color="auto"/>
        <w:right w:val="none" w:sz="0" w:space="0" w:color="auto"/>
      </w:divBdr>
    </w:div>
    <w:div w:id="1656181121">
      <w:bodyDiv w:val="1"/>
      <w:marLeft w:val="0"/>
      <w:marRight w:val="0"/>
      <w:marTop w:val="0"/>
      <w:marBottom w:val="0"/>
      <w:divBdr>
        <w:top w:val="none" w:sz="0" w:space="0" w:color="auto"/>
        <w:left w:val="none" w:sz="0" w:space="0" w:color="auto"/>
        <w:bottom w:val="none" w:sz="0" w:space="0" w:color="auto"/>
        <w:right w:val="none" w:sz="0" w:space="0" w:color="auto"/>
      </w:divBdr>
    </w:div>
    <w:div w:id="1679506828">
      <w:bodyDiv w:val="1"/>
      <w:marLeft w:val="0"/>
      <w:marRight w:val="0"/>
      <w:marTop w:val="0"/>
      <w:marBottom w:val="0"/>
      <w:divBdr>
        <w:top w:val="none" w:sz="0" w:space="0" w:color="auto"/>
        <w:left w:val="none" w:sz="0" w:space="0" w:color="auto"/>
        <w:bottom w:val="none" w:sz="0" w:space="0" w:color="auto"/>
        <w:right w:val="none" w:sz="0" w:space="0" w:color="auto"/>
      </w:divBdr>
    </w:div>
    <w:div w:id="1721175226">
      <w:bodyDiv w:val="1"/>
      <w:marLeft w:val="0"/>
      <w:marRight w:val="0"/>
      <w:marTop w:val="0"/>
      <w:marBottom w:val="0"/>
      <w:divBdr>
        <w:top w:val="none" w:sz="0" w:space="0" w:color="auto"/>
        <w:left w:val="none" w:sz="0" w:space="0" w:color="auto"/>
        <w:bottom w:val="none" w:sz="0" w:space="0" w:color="auto"/>
        <w:right w:val="none" w:sz="0" w:space="0" w:color="auto"/>
      </w:divBdr>
      <w:divsChild>
        <w:div w:id="1950501045">
          <w:marLeft w:val="547"/>
          <w:marRight w:val="0"/>
          <w:marTop w:val="134"/>
          <w:marBottom w:val="0"/>
          <w:divBdr>
            <w:top w:val="none" w:sz="0" w:space="0" w:color="auto"/>
            <w:left w:val="none" w:sz="0" w:space="0" w:color="auto"/>
            <w:bottom w:val="none" w:sz="0" w:space="0" w:color="auto"/>
            <w:right w:val="none" w:sz="0" w:space="0" w:color="auto"/>
          </w:divBdr>
        </w:div>
      </w:divsChild>
    </w:div>
    <w:div w:id="1788818186">
      <w:bodyDiv w:val="1"/>
      <w:marLeft w:val="0"/>
      <w:marRight w:val="0"/>
      <w:marTop w:val="0"/>
      <w:marBottom w:val="0"/>
      <w:divBdr>
        <w:top w:val="none" w:sz="0" w:space="0" w:color="auto"/>
        <w:left w:val="none" w:sz="0" w:space="0" w:color="auto"/>
        <w:bottom w:val="none" w:sz="0" w:space="0" w:color="auto"/>
        <w:right w:val="none" w:sz="0" w:space="0" w:color="auto"/>
      </w:divBdr>
    </w:div>
    <w:div w:id="1795250048">
      <w:bodyDiv w:val="1"/>
      <w:marLeft w:val="0"/>
      <w:marRight w:val="0"/>
      <w:marTop w:val="0"/>
      <w:marBottom w:val="0"/>
      <w:divBdr>
        <w:top w:val="none" w:sz="0" w:space="0" w:color="auto"/>
        <w:left w:val="none" w:sz="0" w:space="0" w:color="auto"/>
        <w:bottom w:val="none" w:sz="0" w:space="0" w:color="auto"/>
        <w:right w:val="none" w:sz="0" w:space="0" w:color="auto"/>
      </w:divBdr>
    </w:div>
    <w:div w:id="1812365276">
      <w:bodyDiv w:val="1"/>
      <w:marLeft w:val="0"/>
      <w:marRight w:val="0"/>
      <w:marTop w:val="0"/>
      <w:marBottom w:val="0"/>
      <w:divBdr>
        <w:top w:val="none" w:sz="0" w:space="0" w:color="auto"/>
        <w:left w:val="none" w:sz="0" w:space="0" w:color="auto"/>
        <w:bottom w:val="none" w:sz="0" w:space="0" w:color="auto"/>
        <w:right w:val="none" w:sz="0" w:space="0" w:color="auto"/>
      </w:divBdr>
    </w:div>
    <w:div w:id="1821579227">
      <w:bodyDiv w:val="1"/>
      <w:marLeft w:val="0"/>
      <w:marRight w:val="0"/>
      <w:marTop w:val="0"/>
      <w:marBottom w:val="0"/>
      <w:divBdr>
        <w:top w:val="none" w:sz="0" w:space="0" w:color="auto"/>
        <w:left w:val="none" w:sz="0" w:space="0" w:color="auto"/>
        <w:bottom w:val="none" w:sz="0" w:space="0" w:color="auto"/>
        <w:right w:val="none" w:sz="0" w:space="0" w:color="auto"/>
      </w:divBdr>
    </w:div>
    <w:div w:id="1825900015">
      <w:bodyDiv w:val="1"/>
      <w:marLeft w:val="0"/>
      <w:marRight w:val="0"/>
      <w:marTop w:val="0"/>
      <w:marBottom w:val="0"/>
      <w:divBdr>
        <w:top w:val="none" w:sz="0" w:space="0" w:color="auto"/>
        <w:left w:val="none" w:sz="0" w:space="0" w:color="auto"/>
        <w:bottom w:val="none" w:sz="0" w:space="0" w:color="auto"/>
        <w:right w:val="none" w:sz="0" w:space="0" w:color="auto"/>
      </w:divBdr>
    </w:div>
    <w:div w:id="1839031648">
      <w:bodyDiv w:val="1"/>
      <w:marLeft w:val="0"/>
      <w:marRight w:val="0"/>
      <w:marTop w:val="0"/>
      <w:marBottom w:val="0"/>
      <w:divBdr>
        <w:top w:val="none" w:sz="0" w:space="0" w:color="auto"/>
        <w:left w:val="none" w:sz="0" w:space="0" w:color="auto"/>
        <w:bottom w:val="none" w:sz="0" w:space="0" w:color="auto"/>
        <w:right w:val="none" w:sz="0" w:space="0" w:color="auto"/>
      </w:divBdr>
    </w:div>
    <w:div w:id="1872720001">
      <w:bodyDiv w:val="1"/>
      <w:marLeft w:val="0"/>
      <w:marRight w:val="0"/>
      <w:marTop w:val="0"/>
      <w:marBottom w:val="0"/>
      <w:divBdr>
        <w:top w:val="none" w:sz="0" w:space="0" w:color="auto"/>
        <w:left w:val="none" w:sz="0" w:space="0" w:color="auto"/>
        <w:bottom w:val="none" w:sz="0" w:space="0" w:color="auto"/>
        <w:right w:val="none" w:sz="0" w:space="0" w:color="auto"/>
      </w:divBdr>
    </w:div>
    <w:div w:id="1897084583">
      <w:bodyDiv w:val="1"/>
      <w:marLeft w:val="0"/>
      <w:marRight w:val="0"/>
      <w:marTop w:val="0"/>
      <w:marBottom w:val="0"/>
      <w:divBdr>
        <w:top w:val="none" w:sz="0" w:space="0" w:color="auto"/>
        <w:left w:val="none" w:sz="0" w:space="0" w:color="auto"/>
        <w:bottom w:val="none" w:sz="0" w:space="0" w:color="auto"/>
        <w:right w:val="none" w:sz="0" w:space="0" w:color="auto"/>
      </w:divBdr>
    </w:div>
    <w:div w:id="1913929434">
      <w:bodyDiv w:val="1"/>
      <w:marLeft w:val="0"/>
      <w:marRight w:val="0"/>
      <w:marTop w:val="0"/>
      <w:marBottom w:val="0"/>
      <w:divBdr>
        <w:top w:val="none" w:sz="0" w:space="0" w:color="auto"/>
        <w:left w:val="none" w:sz="0" w:space="0" w:color="auto"/>
        <w:bottom w:val="none" w:sz="0" w:space="0" w:color="auto"/>
        <w:right w:val="none" w:sz="0" w:space="0" w:color="auto"/>
      </w:divBdr>
    </w:div>
    <w:div w:id="1966886888">
      <w:bodyDiv w:val="1"/>
      <w:marLeft w:val="0"/>
      <w:marRight w:val="0"/>
      <w:marTop w:val="0"/>
      <w:marBottom w:val="0"/>
      <w:divBdr>
        <w:top w:val="none" w:sz="0" w:space="0" w:color="auto"/>
        <w:left w:val="none" w:sz="0" w:space="0" w:color="auto"/>
        <w:bottom w:val="none" w:sz="0" w:space="0" w:color="auto"/>
        <w:right w:val="none" w:sz="0" w:space="0" w:color="auto"/>
      </w:divBdr>
    </w:div>
    <w:div w:id="1992563568">
      <w:bodyDiv w:val="1"/>
      <w:marLeft w:val="0"/>
      <w:marRight w:val="0"/>
      <w:marTop w:val="0"/>
      <w:marBottom w:val="0"/>
      <w:divBdr>
        <w:top w:val="none" w:sz="0" w:space="0" w:color="auto"/>
        <w:left w:val="none" w:sz="0" w:space="0" w:color="auto"/>
        <w:bottom w:val="none" w:sz="0" w:space="0" w:color="auto"/>
        <w:right w:val="none" w:sz="0" w:space="0" w:color="auto"/>
      </w:divBdr>
    </w:div>
    <w:div w:id="2010130949">
      <w:bodyDiv w:val="1"/>
      <w:marLeft w:val="0"/>
      <w:marRight w:val="0"/>
      <w:marTop w:val="0"/>
      <w:marBottom w:val="0"/>
      <w:divBdr>
        <w:top w:val="none" w:sz="0" w:space="0" w:color="auto"/>
        <w:left w:val="none" w:sz="0" w:space="0" w:color="auto"/>
        <w:bottom w:val="none" w:sz="0" w:space="0" w:color="auto"/>
        <w:right w:val="none" w:sz="0" w:space="0" w:color="auto"/>
      </w:divBdr>
    </w:div>
    <w:div w:id="2059889283">
      <w:bodyDiv w:val="1"/>
      <w:marLeft w:val="0"/>
      <w:marRight w:val="0"/>
      <w:marTop w:val="0"/>
      <w:marBottom w:val="0"/>
      <w:divBdr>
        <w:top w:val="none" w:sz="0" w:space="0" w:color="auto"/>
        <w:left w:val="none" w:sz="0" w:space="0" w:color="auto"/>
        <w:bottom w:val="none" w:sz="0" w:space="0" w:color="auto"/>
        <w:right w:val="none" w:sz="0" w:space="0" w:color="auto"/>
      </w:divBdr>
    </w:div>
    <w:div w:id="2068530871">
      <w:bodyDiv w:val="1"/>
      <w:marLeft w:val="0"/>
      <w:marRight w:val="0"/>
      <w:marTop w:val="0"/>
      <w:marBottom w:val="0"/>
      <w:divBdr>
        <w:top w:val="none" w:sz="0" w:space="0" w:color="auto"/>
        <w:left w:val="none" w:sz="0" w:space="0" w:color="auto"/>
        <w:bottom w:val="none" w:sz="0" w:space="0" w:color="auto"/>
        <w:right w:val="none" w:sz="0" w:space="0" w:color="auto"/>
      </w:divBdr>
    </w:div>
    <w:div w:id="2090879201">
      <w:bodyDiv w:val="1"/>
      <w:marLeft w:val="0"/>
      <w:marRight w:val="0"/>
      <w:marTop w:val="0"/>
      <w:marBottom w:val="0"/>
      <w:divBdr>
        <w:top w:val="none" w:sz="0" w:space="0" w:color="auto"/>
        <w:left w:val="none" w:sz="0" w:space="0" w:color="auto"/>
        <w:bottom w:val="none" w:sz="0" w:space="0" w:color="auto"/>
        <w:right w:val="none" w:sz="0" w:space="0" w:color="auto"/>
      </w:divBdr>
    </w:div>
    <w:div w:id="2103064599">
      <w:bodyDiv w:val="1"/>
      <w:marLeft w:val="0"/>
      <w:marRight w:val="0"/>
      <w:marTop w:val="0"/>
      <w:marBottom w:val="0"/>
      <w:divBdr>
        <w:top w:val="none" w:sz="0" w:space="0" w:color="auto"/>
        <w:left w:val="none" w:sz="0" w:space="0" w:color="auto"/>
        <w:bottom w:val="none" w:sz="0" w:space="0" w:color="auto"/>
        <w:right w:val="none" w:sz="0" w:space="0" w:color="auto"/>
      </w:divBdr>
    </w:div>
    <w:div w:id="2104757405">
      <w:bodyDiv w:val="1"/>
      <w:marLeft w:val="0"/>
      <w:marRight w:val="0"/>
      <w:marTop w:val="0"/>
      <w:marBottom w:val="0"/>
      <w:divBdr>
        <w:top w:val="none" w:sz="0" w:space="0" w:color="auto"/>
        <w:left w:val="none" w:sz="0" w:space="0" w:color="auto"/>
        <w:bottom w:val="none" w:sz="0" w:space="0" w:color="auto"/>
        <w:right w:val="none" w:sz="0" w:space="0" w:color="auto"/>
      </w:divBdr>
    </w:div>
    <w:div w:id="2131237513">
      <w:bodyDiv w:val="1"/>
      <w:marLeft w:val="0"/>
      <w:marRight w:val="0"/>
      <w:marTop w:val="0"/>
      <w:marBottom w:val="0"/>
      <w:divBdr>
        <w:top w:val="none" w:sz="0" w:space="0" w:color="auto"/>
        <w:left w:val="none" w:sz="0" w:space="0" w:color="auto"/>
        <w:bottom w:val="none" w:sz="0" w:space="0" w:color="auto"/>
        <w:right w:val="none" w:sz="0" w:space="0" w:color="auto"/>
      </w:divBdr>
    </w:div>
    <w:div w:id="21452733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health.gov.au/topics/immunisation/immunisation-data/childhood-immunisation-coverage/current-coverage-data-tables-for-all-children" TargetMode="External"/><Relationship Id="rId19" Type="http://schemas.openxmlformats.org/officeDocument/2006/relationships/hyperlink" Target="http://msac.gov.au/internet/msac/publishing.nsf/Content/Home-1" TargetMode="External"/><Relationship Id="rId4" Type="http://schemas.openxmlformats.org/officeDocument/2006/relationships/styles" Target="styles.xml"/><Relationship Id="rId9" Type="http://schemas.openxmlformats.org/officeDocument/2006/relationships/hyperlink" Target="http://www.msac.gov.au/" TargetMode="External"/><Relationship Id="rId14" Type="http://schemas.openxmlformats.org/officeDocument/2006/relationships/footer" Target="footer2.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health.gov.au/sites/default/files/2023-03/national-immunisation-program-schedule.pdf" TargetMode="External"/><Relationship Id="rId7" Type="http://schemas.openxmlformats.org/officeDocument/2006/relationships/hyperlink" Target="http://www.msac.gov.au/internet/msac/publishing.nsf/Content/1637-public" TargetMode="External"/><Relationship Id="rId2" Type="http://schemas.openxmlformats.org/officeDocument/2006/relationships/hyperlink" Target="https://www.health.gov.au/resources/publications/newborn-bloodspot-screening-national-policy-framework?language=en" TargetMode="External"/><Relationship Id="rId1" Type="http://schemas.openxmlformats.org/officeDocument/2006/relationships/hyperlink" Target="http://www.msac.gov.au/internet/msac/publishing.nsf/Content/1710-public" TargetMode="External"/><Relationship Id="rId6" Type="http://schemas.openxmlformats.org/officeDocument/2006/relationships/hyperlink" Target="https://www.health.gov.au/resources/publications/newborn-bloodspot-screening-national-policy-framework?language=en" TargetMode="External"/><Relationship Id="rId5" Type="http://schemas.openxmlformats.org/officeDocument/2006/relationships/hyperlink" Target="https://www.health.gov.au/sites/default/files/2023-03/national-immunisation-program-schedule.pdf" TargetMode="External"/><Relationship Id="rId4" Type="http://schemas.openxmlformats.org/officeDocument/2006/relationships/hyperlink" Target="https://www.ncbi.nlm.nih.gov/books/NBK4593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gu7GEh9tA7lJ4koTRy4C+Nj1Dg==">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</go:docsCustomData>
</go:gDocsCustomXmlDataStorage>
</file>

<file path=customXml/itemProps1.xml><?xml version="1.0" encoding="utf-8"?>
<ds:datastoreItem xmlns:ds="http://schemas.openxmlformats.org/officeDocument/2006/customXml" ds:itemID="{F4E79067-9DE4-489B-880E-521980CE34BD}">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23454</Words>
  <Characters>133690</Characters>
  <Application>Microsoft Office Word</Application>
  <DocSecurity>0</DocSecurity>
  <Lines>1114</Lines>
  <Paragraphs>313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156831</CharactersWithSpaces>
  <SharedDoc>false</SharedDoc>
  <HLinks>
    <vt:vector size="60" baseType="variant">
      <vt:variant>
        <vt:i4>6684716</vt:i4>
      </vt:variant>
      <vt:variant>
        <vt:i4>200</vt:i4>
      </vt:variant>
      <vt:variant>
        <vt:i4>0</vt:i4>
      </vt:variant>
      <vt:variant>
        <vt:i4>5</vt:i4>
      </vt:variant>
      <vt:variant>
        <vt:lpwstr>http://msac.gov.au/internet/msac/publishing.nsf/Content/Home-1</vt:lpwstr>
      </vt:variant>
      <vt:variant>
        <vt:lpwstr/>
      </vt:variant>
      <vt:variant>
        <vt:i4>720917</vt:i4>
      </vt:variant>
      <vt:variant>
        <vt:i4>102</vt:i4>
      </vt:variant>
      <vt:variant>
        <vt:i4>0</vt:i4>
      </vt:variant>
      <vt:variant>
        <vt:i4>5</vt:i4>
      </vt:variant>
      <vt:variant>
        <vt:lpwstr>https://www.health.gov.au/topics/immunisation/immunisation-data/childhood-immunisation-coverage/current-coverage-data-tables-for-all-children</vt:lpwstr>
      </vt:variant>
      <vt:variant>
        <vt:lpwstr/>
      </vt:variant>
      <vt:variant>
        <vt:i4>3997744</vt:i4>
      </vt:variant>
      <vt:variant>
        <vt:i4>0</vt:i4>
      </vt:variant>
      <vt:variant>
        <vt:i4>0</vt:i4>
      </vt:variant>
      <vt:variant>
        <vt:i4>5</vt:i4>
      </vt:variant>
      <vt:variant>
        <vt:lpwstr>http://www.msac.gov.au/</vt:lpwstr>
      </vt:variant>
      <vt:variant>
        <vt:lpwstr/>
      </vt:variant>
      <vt:variant>
        <vt:i4>2556011</vt:i4>
      </vt:variant>
      <vt:variant>
        <vt:i4>18</vt:i4>
      </vt:variant>
      <vt:variant>
        <vt:i4>0</vt:i4>
      </vt:variant>
      <vt:variant>
        <vt:i4>5</vt:i4>
      </vt:variant>
      <vt:variant>
        <vt:lpwstr>http://www.msac.gov.au/internet/msac/publishing.nsf/Content/1637-public</vt:lpwstr>
      </vt:variant>
      <vt:variant>
        <vt:lpwstr/>
      </vt:variant>
      <vt:variant>
        <vt:i4>2752554</vt:i4>
      </vt:variant>
      <vt:variant>
        <vt:i4>15</vt:i4>
      </vt:variant>
      <vt:variant>
        <vt:i4>0</vt:i4>
      </vt:variant>
      <vt:variant>
        <vt:i4>5</vt:i4>
      </vt:variant>
      <vt:variant>
        <vt:lpwstr>https://www.health.gov.au/resources/publications/newborn-bloodspot-screening-national-policy-framework?language=en</vt:lpwstr>
      </vt:variant>
      <vt:variant>
        <vt:lpwstr/>
      </vt:variant>
      <vt:variant>
        <vt:i4>5308480</vt:i4>
      </vt:variant>
      <vt:variant>
        <vt:i4>12</vt:i4>
      </vt:variant>
      <vt:variant>
        <vt:i4>0</vt:i4>
      </vt:variant>
      <vt:variant>
        <vt:i4>5</vt:i4>
      </vt:variant>
      <vt:variant>
        <vt:lpwstr>https://www.health.gov.au/sites/default/files/2023-03/national-immunisation-program-schedule.pdf</vt:lpwstr>
      </vt:variant>
      <vt:variant>
        <vt:lpwstr/>
      </vt:variant>
      <vt:variant>
        <vt:i4>1376337</vt:i4>
      </vt:variant>
      <vt:variant>
        <vt:i4>9</vt:i4>
      </vt:variant>
      <vt:variant>
        <vt:i4>0</vt:i4>
      </vt:variant>
      <vt:variant>
        <vt:i4>5</vt:i4>
      </vt:variant>
      <vt:variant>
        <vt:lpwstr>https://www.ncbi.nlm.nih.gov/books/NBK459320/</vt:lpwstr>
      </vt:variant>
      <vt:variant>
        <vt:lpwstr>:~:text=The%20incidence%20of%20anaphylaxis%20to,IgE%20antibodies%20decrease%20over%20time</vt:lpwstr>
      </vt:variant>
      <vt:variant>
        <vt:i4>5308480</vt:i4>
      </vt:variant>
      <vt:variant>
        <vt:i4>6</vt:i4>
      </vt:variant>
      <vt:variant>
        <vt:i4>0</vt:i4>
      </vt:variant>
      <vt:variant>
        <vt:i4>5</vt:i4>
      </vt:variant>
      <vt:variant>
        <vt:lpwstr>https://www.health.gov.au/sites/default/files/2023-03/national-immunisation-program-schedule.pdf</vt:lpwstr>
      </vt:variant>
      <vt:variant>
        <vt:lpwstr/>
      </vt:variant>
      <vt:variant>
        <vt:i4>2752554</vt:i4>
      </vt:variant>
      <vt:variant>
        <vt:i4>3</vt:i4>
      </vt:variant>
      <vt:variant>
        <vt:i4>0</vt:i4>
      </vt:variant>
      <vt:variant>
        <vt:i4>5</vt:i4>
      </vt:variant>
      <vt:variant>
        <vt:lpwstr>https://www.health.gov.au/resources/publications/newborn-bloodspot-screening-national-policy-framework?language=en</vt:lpwstr>
      </vt:variant>
      <vt:variant>
        <vt:lpwstr/>
      </vt:variant>
      <vt:variant>
        <vt:i4>2162793</vt:i4>
      </vt:variant>
      <vt:variant>
        <vt:i4>0</vt:i4>
      </vt:variant>
      <vt:variant>
        <vt:i4>0</vt:i4>
      </vt:variant>
      <vt:variant>
        <vt:i4>5</vt:i4>
      </vt:variant>
      <vt:variant>
        <vt:lpwstr>http://www.msac.gov.au/internet/msac/publishing.nsf/Content/1710-public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2023-10-11T00:07:00Z</dcterms:created>
  <dcterms:modified xsi:type="dcterms:W3CDTF">2023-10-11T00:07:00Z</dcterms:modified>
</cp:coreProperties>
</file>