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Layout w:type="fixed"/>
        <w:tblCellMar>
          <w:left w:w="0" w:type="dxa"/>
          <w:right w:w="0" w:type="dxa"/>
        </w:tblCellMar>
        <w:tblLook w:val="0000" w:firstRow="0" w:lastRow="0" w:firstColumn="0" w:lastColumn="0" w:noHBand="0" w:noVBand="0"/>
      </w:tblPr>
      <w:tblGrid>
        <w:gridCol w:w="4253"/>
        <w:gridCol w:w="4678"/>
      </w:tblGrid>
      <w:tr w:rsidR="00910E3E" w:rsidRPr="004C6B15" w14:paraId="5AA4A2F2" w14:textId="77777777" w:rsidTr="007C6DA7">
        <w:trPr>
          <w:cantSplit/>
          <w:trHeight w:hRule="exact" w:val="3969"/>
        </w:trPr>
        <w:tc>
          <w:tcPr>
            <w:tcW w:w="4253" w:type="dxa"/>
            <w:shd w:val="clear" w:color="auto" w:fill="auto"/>
            <w:vAlign w:val="bottom"/>
          </w:tcPr>
          <w:p w14:paraId="7A78020B" w14:textId="77777777" w:rsidR="00910E3E" w:rsidRPr="009E5C5B" w:rsidRDefault="00910E3E" w:rsidP="007C6DA7">
            <w:pPr>
              <w:pStyle w:val="TOC9"/>
            </w:pPr>
            <w:bookmarkStart w:id="0" w:name="_Toc374972251"/>
            <w:bookmarkStart w:id="1" w:name="_Toc374972612"/>
          </w:p>
        </w:tc>
        <w:tc>
          <w:tcPr>
            <w:tcW w:w="4678" w:type="dxa"/>
            <w:shd w:val="clear" w:color="auto" w:fill="auto"/>
            <w:vAlign w:val="bottom"/>
          </w:tcPr>
          <w:p w14:paraId="68F358DA" w14:textId="2E48B951" w:rsidR="00910E3E" w:rsidRPr="004C6B15" w:rsidRDefault="00927041" w:rsidP="0038452F">
            <w:pPr>
              <w:pStyle w:val="PublicationTitle"/>
              <w:ind w:left="0"/>
            </w:pPr>
            <w:r>
              <w:t>F-18 Flu</w:t>
            </w:r>
            <w:r w:rsidR="0038452F">
              <w:t>o</w:t>
            </w:r>
            <w:r>
              <w:t>ro</w:t>
            </w:r>
            <w:r w:rsidR="007724C2">
              <w:t>deoxyglucose (FDG) Positron Emission Tomography (PET) for the diagnosis of Alzheimer’s disease</w:t>
            </w:r>
          </w:p>
        </w:tc>
      </w:tr>
      <w:tr w:rsidR="00910E3E" w:rsidRPr="004C6B15" w14:paraId="667992A0" w14:textId="77777777" w:rsidTr="007C6DA7">
        <w:trPr>
          <w:cantSplit/>
          <w:trHeight w:hRule="exact" w:val="425"/>
        </w:trPr>
        <w:tc>
          <w:tcPr>
            <w:tcW w:w="4253" w:type="dxa"/>
            <w:shd w:val="clear" w:color="auto" w:fill="auto"/>
            <w:vAlign w:val="bottom"/>
          </w:tcPr>
          <w:p w14:paraId="790C1280" w14:textId="77777777" w:rsidR="00910E3E" w:rsidRPr="004C6B15" w:rsidRDefault="00910E3E" w:rsidP="007C6DA7"/>
        </w:tc>
        <w:tc>
          <w:tcPr>
            <w:tcW w:w="4678" w:type="dxa"/>
            <w:shd w:val="clear" w:color="auto" w:fill="auto"/>
            <w:vAlign w:val="bottom"/>
          </w:tcPr>
          <w:p w14:paraId="1C543B74" w14:textId="77777777" w:rsidR="00910E3E" w:rsidRPr="004C6B15" w:rsidRDefault="00910E3E" w:rsidP="007C6DA7">
            <w:pPr>
              <w:rPr>
                <w:b/>
                <w:i/>
              </w:rPr>
            </w:pPr>
          </w:p>
        </w:tc>
      </w:tr>
      <w:tr w:rsidR="00910E3E" w:rsidRPr="004C6B15" w14:paraId="6520D89A" w14:textId="77777777" w:rsidTr="007C6DA7">
        <w:trPr>
          <w:cantSplit/>
          <w:trHeight w:hRule="exact" w:val="2132"/>
        </w:trPr>
        <w:tc>
          <w:tcPr>
            <w:tcW w:w="4253" w:type="dxa"/>
            <w:shd w:val="clear" w:color="auto" w:fill="auto"/>
            <w:vAlign w:val="center"/>
          </w:tcPr>
          <w:p w14:paraId="60FAFAE2" w14:textId="77777777" w:rsidR="00910E3E" w:rsidRPr="004C6B15" w:rsidRDefault="00910E3E" w:rsidP="007C6DA7">
            <w:pPr>
              <w:pStyle w:val="Date"/>
            </w:pPr>
          </w:p>
        </w:tc>
        <w:tc>
          <w:tcPr>
            <w:tcW w:w="4678" w:type="dxa"/>
            <w:shd w:val="clear" w:color="auto" w:fill="auto"/>
            <w:vAlign w:val="center"/>
          </w:tcPr>
          <w:p w14:paraId="1777AC7C" w14:textId="62D997D9" w:rsidR="00910E3E" w:rsidRPr="00CB20DE" w:rsidRDefault="00BE75CB" w:rsidP="007C6DA7">
            <w:pPr>
              <w:pStyle w:val="Date"/>
              <w:rPr>
                <w:rFonts w:cs="Arial"/>
              </w:rPr>
            </w:pPr>
            <w:r>
              <w:rPr>
                <w:rFonts w:cs="Arial"/>
              </w:rPr>
              <w:t>February 2015</w:t>
            </w:r>
            <w:r w:rsidR="00910E3E">
              <w:rPr>
                <w:rFonts w:cs="Arial"/>
              </w:rPr>
              <w:t xml:space="preserve"> </w:t>
            </w:r>
          </w:p>
        </w:tc>
      </w:tr>
      <w:tr w:rsidR="00910E3E" w:rsidRPr="00E97600" w14:paraId="1FAFB890" w14:textId="77777777" w:rsidTr="007C6DA7">
        <w:trPr>
          <w:cantSplit/>
          <w:trHeight w:hRule="exact" w:val="2543"/>
        </w:trPr>
        <w:tc>
          <w:tcPr>
            <w:tcW w:w="4253" w:type="dxa"/>
            <w:shd w:val="clear" w:color="auto" w:fill="auto"/>
          </w:tcPr>
          <w:p w14:paraId="382277B1" w14:textId="77777777" w:rsidR="00910E3E" w:rsidRPr="004C6B15" w:rsidRDefault="00910E3E" w:rsidP="007C6DA7"/>
        </w:tc>
        <w:tc>
          <w:tcPr>
            <w:tcW w:w="4678" w:type="dxa"/>
            <w:shd w:val="clear" w:color="auto" w:fill="auto"/>
          </w:tcPr>
          <w:p w14:paraId="1D56A2C9" w14:textId="77777777" w:rsidR="00910E3E" w:rsidRPr="00E97600" w:rsidRDefault="00910E3E" w:rsidP="007C6DA7">
            <w:pPr>
              <w:ind w:right="113"/>
              <w:jc w:val="right"/>
              <w:rPr>
                <w:i/>
                <w:highlight w:val="yellow"/>
              </w:rPr>
            </w:pPr>
          </w:p>
        </w:tc>
      </w:tr>
      <w:tr w:rsidR="00910E3E" w:rsidRPr="004C6B15" w14:paraId="3B50DE63" w14:textId="77777777" w:rsidTr="007C6DA7">
        <w:trPr>
          <w:cantSplit/>
          <w:trHeight w:hRule="exact" w:val="4536"/>
        </w:trPr>
        <w:tc>
          <w:tcPr>
            <w:tcW w:w="4253" w:type="dxa"/>
            <w:shd w:val="clear" w:color="auto" w:fill="auto"/>
          </w:tcPr>
          <w:p w14:paraId="334820FD" w14:textId="77777777" w:rsidR="00910E3E" w:rsidRPr="004C6B15" w:rsidRDefault="00910E3E" w:rsidP="007C6DA7">
            <w:pPr>
              <w:pStyle w:val="Sub-title"/>
            </w:pPr>
          </w:p>
        </w:tc>
        <w:tc>
          <w:tcPr>
            <w:tcW w:w="4678" w:type="dxa"/>
            <w:shd w:val="clear" w:color="auto" w:fill="auto"/>
          </w:tcPr>
          <w:p w14:paraId="5386248E" w14:textId="77777777" w:rsidR="00272326" w:rsidRDefault="00910E3E" w:rsidP="007C6DA7">
            <w:pPr>
              <w:pStyle w:val="Sub-title"/>
              <w:rPr>
                <w:b w:val="0"/>
              </w:rPr>
            </w:pPr>
            <w:r w:rsidRPr="004C6B15">
              <w:rPr>
                <w:b w:val="0"/>
              </w:rPr>
              <w:t xml:space="preserve">MSAC application </w:t>
            </w:r>
            <w:r w:rsidR="007724C2">
              <w:rPr>
                <w:b w:val="0"/>
              </w:rPr>
              <w:t>no.</w:t>
            </w:r>
          </w:p>
          <w:p w14:paraId="712657FC" w14:textId="66F99D81" w:rsidR="00D843F0" w:rsidRPr="004C6B15" w:rsidRDefault="007724C2" w:rsidP="00D843F0">
            <w:pPr>
              <w:pStyle w:val="Sub-title"/>
            </w:pPr>
            <w:r>
              <w:rPr>
                <w:b w:val="0"/>
              </w:rPr>
              <w:t>1195</w:t>
            </w:r>
          </w:p>
          <w:p w14:paraId="0FAEADDE" w14:textId="335C7EF3" w:rsidR="00910E3E" w:rsidRPr="004C6B15" w:rsidRDefault="00910E3E" w:rsidP="007C6DA7">
            <w:pPr>
              <w:pStyle w:val="Sub-title"/>
              <w:rPr>
                <w:i/>
              </w:rPr>
            </w:pPr>
            <w:r w:rsidRPr="004C6B15">
              <w:t xml:space="preserve">Assessment </w:t>
            </w:r>
            <w:r w:rsidR="00B16778">
              <w:t>R</w:t>
            </w:r>
            <w:r w:rsidRPr="004C6B15">
              <w:t>eport</w:t>
            </w:r>
          </w:p>
        </w:tc>
      </w:tr>
    </w:tbl>
    <w:p w14:paraId="091BE994" w14:textId="3117B0CA" w:rsidR="00701AD3" w:rsidRDefault="00701AD3" w:rsidP="00910E3E">
      <w:pPr>
        <w:ind w:left="0"/>
      </w:pPr>
      <w:r>
        <w:br w:type="page"/>
      </w:r>
    </w:p>
    <w:p w14:paraId="01042F9C" w14:textId="495BB1A8" w:rsidR="00701AD3" w:rsidRPr="008D0A5D" w:rsidRDefault="00701AD3" w:rsidP="00701AD3">
      <w:pPr>
        <w:spacing w:after="0"/>
        <w:rPr>
          <w:b/>
        </w:rPr>
      </w:pPr>
      <w:r w:rsidRPr="008D0A5D">
        <w:rPr>
          <w:b/>
        </w:rPr>
        <w:lastRenderedPageBreak/>
        <w:t xml:space="preserve">Assessment </w:t>
      </w:r>
      <w:r w:rsidR="007724C2" w:rsidRPr="008D0A5D">
        <w:rPr>
          <w:b/>
        </w:rPr>
        <w:t>1195</w:t>
      </w:r>
      <w:r w:rsidR="00844BE9" w:rsidRPr="008D0A5D">
        <w:rPr>
          <w:b/>
        </w:rPr>
        <w:t xml:space="preserve"> – F-18 Flu</w:t>
      </w:r>
      <w:r w:rsidR="0038452F" w:rsidRPr="008D0A5D">
        <w:rPr>
          <w:b/>
        </w:rPr>
        <w:t>o</w:t>
      </w:r>
      <w:r w:rsidR="00844BE9" w:rsidRPr="008D0A5D">
        <w:rPr>
          <w:b/>
        </w:rPr>
        <w:t xml:space="preserve">rodeoxyglucose (FDG) Positron Emission Tomography (PET) for the diagnosis of Alzheimer’s disease – </w:t>
      </w:r>
      <w:r w:rsidR="00BE75CB" w:rsidRPr="008D0A5D">
        <w:rPr>
          <w:b/>
        </w:rPr>
        <w:t>February</w:t>
      </w:r>
      <w:r w:rsidR="00234236" w:rsidRPr="008D0A5D">
        <w:rPr>
          <w:b/>
        </w:rPr>
        <w:t xml:space="preserve"> </w:t>
      </w:r>
      <w:r w:rsidR="00BE75CB" w:rsidRPr="008D0A5D">
        <w:rPr>
          <w:b/>
        </w:rPr>
        <w:t>2015</w:t>
      </w:r>
    </w:p>
    <w:p w14:paraId="18A329E3" w14:textId="77777777" w:rsidR="00701AD3" w:rsidRPr="008D0A5D" w:rsidRDefault="00701AD3" w:rsidP="00701AD3">
      <w:pPr>
        <w:spacing w:after="0"/>
        <w:rPr>
          <w:szCs w:val="24"/>
        </w:rPr>
      </w:pPr>
    </w:p>
    <w:p w14:paraId="7B2EC1E7" w14:textId="77777777" w:rsidR="00701AD3" w:rsidRPr="008D0A5D" w:rsidRDefault="00701AD3" w:rsidP="00701AD3">
      <w:pPr>
        <w:spacing w:after="0"/>
        <w:rPr>
          <w:rFonts w:cs="Tahoma"/>
          <w:color w:val="0000FF"/>
          <w:szCs w:val="24"/>
        </w:rPr>
      </w:pPr>
      <w:r w:rsidRPr="008D0A5D">
        <w:rPr>
          <w:rFonts w:cs="Tahoma"/>
          <w:b/>
          <w:bCs/>
          <w:szCs w:val="24"/>
        </w:rPr>
        <w:t xml:space="preserve">Internet site </w:t>
      </w:r>
      <w:hyperlink r:id="rId9" w:tooltip="This is a link to the MSAC website" w:history="1">
        <w:r w:rsidRPr="008D0A5D">
          <w:rPr>
            <w:rStyle w:val="Hyperlink"/>
            <w:rFonts w:cs="Tahoma"/>
            <w:szCs w:val="24"/>
          </w:rPr>
          <w:t>http://www.msac.gov.au</w:t>
        </w:r>
      </w:hyperlink>
    </w:p>
    <w:p w14:paraId="4BD1BC65" w14:textId="77777777" w:rsidR="00701AD3" w:rsidRPr="008D0A5D" w:rsidRDefault="00701AD3" w:rsidP="00701AD3">
      <w:pPr>
        <w:spacing w:after="0"/>
        <w:rPr>
          <w:szCs w:val="24"/>
        </w:rPr>
      </w:pPr>
    </w:p>
    <w:p w14:paraId="483543BC" w14:textId="2CBB23D9" w:rsidR="00701AD3" w:rsidRPr="008D0A5D" w:rsidRDefault="00701AD3" w:rsidP="00701AD3">
      <w:pPr>
        <w:spacing w:after="0"/>
      </w:pPr>
      <w:r w:rsidRPr="008D0A5D">
        <w:t>© Commonwealth of Australia 20</w:t>
      </w:r>
      <w:r w:rsidR="007C157A" w:rsidRPr="008D0A5D">
        <w:t>15</w:t>
      </w:r>
    </w:p>
    <w:p w14:paraId="3E74635B" w14:textId="2E2CEDA9" w:rsidR="00701AD3" w:rsidRPr="008D0A5D" w:rsidRDefault="00701AD3" w:rsidP="00701AD3">
      <w:pPr>
        <w:spacing w:after="0"/>
      </w:pPr>
    </w:p>
    <w:p w14:paraId="12146EA8" w14:textId="363F2E97" w:rsidR="00701AD3" w:rsidRDefault="00701AD3" w:rsidP="00701AD3">
      <w:pPr>
        <w:spacing w:after="0"/>
      </w:pPr>
      <w:r w:rsidRPr="008D0A5D">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8D0A5D">
        <w:rPr>
          <w:i/>
          <w:iCs/>
        </w:rPr>
        <w:t xml:space="preserve">Copyright Act 1968 </w:t>
      </w:r>
      <w:r w:rsidRPr="008D0A5D">
        <w:t>or allowed by this copyright notice</w:t>
      </w:r>
      <w:r w:rsidRPr="008D0A5D">
        <w:rPr>
          <w:i/>
          <w:iCs/>
        </w:rPr>
        <w:t xml:space="preserve">, </w:t>
      </w:r>
      <w:r w:rsidRPr="008D0A5D">
        <w:t>all other rights are reserved and</w:t>
      </w:r>
      <w:r w:rsidRPr="008D0A5D">
        <w:rPr>
          <w:i/>
          <w:iCs/>
        </w:rPr>
        <w:t xml:space="preserve"> </w:t>
      </w:r>
      <w:r w:rsidRPr="008D0A5D">
        <w:t>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w:t>
      </w:r>
      <w:r w:rsidR="00AF356E" w:rsidRPr="008D0A5D">
        <w:t>ail to copyright@health.gov.au.</w:t>
      </w:r>
    </w:p>
    <w:p w14:paraId="34E5D948" w14:textId="77777777" w:rsidR="00701AD3" w:rsidRDefault="00701AD3" w:rsidP="00701AD3">
      <w:pPr>
        <w:spacing w:after="0"/>
        <w:rPr>
          <w:rFonts w:ascii="Tahoma" w:hAnsi="Tahoma" w:cs="Tahoma"/>
          <w:sz w:val="18"/>
          <w:szCs w:val="18"/>
        </w:rPr>
      </w:pPr>
    </w:p>
    <w:p w14:paraId="12D340E7" w14:textId="211BEF33" w:rsidR="00701AD3" w:rsidRPr="00AF356E" w:rsidRDefault="00701AD3" w:rsidP="00AF356E">
      <w:pPr>
        <w:spacing w:after="0"/>
      </w:pPr>
      <w:r w:rsidRPr="00701AD3">
        <w:t>Electronic copies of the report can be obtained from the Medical Service Adviso</w:t>
      </w:r>
      <w:r w:rsidR="00AF356E">
        <w:t xml:space="preserve">ry Committee’s Internet site at </w:t>
      </w:r>
      <w:r w:rsidRPr="00701AD3">
        <w:rPr>
          <w:rFonts w:cs="Tahoma"/>
          <w:color w:val="0000FF"/>
          <w:szCs w:val="24"/>
        </w:rPr>
        <w:t>http://www.msac.gov.au/</w:t>
      </w:r>
    </w:p>
    <w:p w14:paraId="4D6D93CA" w14:textId="77777777" w:rsidR="00701AD3" w:rsidRPr="00701AD3" w:rsidRDefault="00701AD3" w:rsidP="00701AD3">
      <w:pPr>
        <w:spacing w:after="0"/>
      </w:pPr>
    </w:p>
    <w:p w14:paraId="7FCB9D39" w14:textId="77777777" w:rsidR="00701AD3" w:rsidRPr="00701AD3" w:rsidRDefault="00701AD3" w:rsidP="00701AD3">
      <w:pPr>
        <w:spacing w:after="0"/>
      </w:pPr>
      <w:r w:rsidRPr="00701AD3">
        <w:t>Enquiries about the content of the report should be directed to the above address.</w:t>
      </w:r>
    </w:p>
    <w:p w14:paraId="415B82AD" w14:textId="77777777" w:rsidR="00701AD3" w:rsidRPr="00701AD3" w:rsidRDefault="00701AD3" w:rsidP="00701AD3">
      <w:pPr>
        <w:spacing w:after="0"/>
      </w:pPr>
    </w:p>
    <w:p w14:paraId="4BE1BAC0" w14:textId="00E8D2ED" w:rsidR="00701AD3" w:rsidRPr="00701AD3" w:rsidRDefault="00701AD3" w:rsidP="00701AD3">
      <w:pPr>
        <w:spacing w:after="0"/>
      </w:pPr>
      <w:r w:rsidRPr="00701AD3">
        <w:t>This report is a contracted technical report for use by the Medical Services Advi</w:t>
      </w:r>
      <w:r>
        <w:t xml:space="preserve">sory Committee (MSAC) to inform </w:t>
      </w:r>
      <w:r w:rsidRPr="00701AD3">
        <w:t>its deliberations. MSAC is an independent committee which has been estab</w:t>
      </w:r>
      <w:r>
        <w:t xml:space="preserve">lished to provide advice to the </w:t>
      </w:r>
      <w:r w:rsidRPr="00701AD3">
        <w:t>Minister for Health on the strength of evidence available on new an</w:t>
      </w:r>
      <w:r>
        <w:t xml:space="preserve">d existing medical technologies </w:t>
      </w:r>
      <w:r w:rsidRPr="00701AD3">
        <w:t>and procedures in terms of their safety, effectiveness and cost</w:t>
      </w:r>
      <w:r w:rsidR="000E05F2">
        <w:t>-</w:t>
      </w:r>
      <w:r w:rsidRPr="00701AD3">
        <w:t xml:space="preserve">effectiveness. </w:t>
      </w:r>
      <w:r>
        <w:t xml:space="preserve">This advice will help to inform </w:t>
      </w:r>
      <w:r w:rsidR="0071474E">
        <w:t>g</w:t>
      </w:r>
      <w:r w:rsidRPr="00701AD3">
        <w:t>overnment decisions about which medical services should attract funding under Medicare.</w:t>
      </w:r>
    </w:p>
    <w:p w14:paraId="2DC62920" w14:textId="77777777" w:rsidR="00701AD3" w:rsidRPr="00701AD3" w:rsidRDefault="00701AD3" w:rsidP="00701AD3">
      <w:pPr>
        <w:spacing w:after="0"/>
      </w:pPr>
    </w:p>
    <w:p w14:paraId="5EA239C9" w14:textId="317FCFAD" w:rsidR="00701AD3" w:rsidRPr="00701AD3" w:rsidRDefault="00701AD3" w:rsidP="00701AD3">
      <w:pPr>
        <w:spacing w:after="0"/>
        <w:rPr>
          <w:b/>
        </w:rPr>
      </w:pPr>
      <w:r w:rsidRPr="00701AD3">
        <w:rPr>
          <w:b/>
        </w:rPr>
        <w:t>MSAC’s advice does not necessarily reflect the views of all individuals who participated in the MSAC evaluation.</w:t>
      </w:r>
    </w:p>
    <w:p w14:paraId="108FC4A4" w14:textId="77777777" w:rsidR="00701AD3" w:rsidRPr="00701AD3" w:rsidRDefault="00701AD3" w:rsidP="00701AD3">
      <w:pPr>
        <w:spacing w:after="0"/>
      </w:pPr>
    </w:p>
    <w:p w14:paraId="1D17635B" w14:textId="07ACD543" w:rsidR="00701AD3" w:rsidRPr="00701AD3" w:rsidRDefault="00701AD3" w:rsidP="00701AD3">
      <w:pPr>
        <w:spacing w:after="0"/>
      </w:pPr>
      <w:r w:rsidRPr="00701AD3">
        <w:t xml:space="preserve">This report was </w:t>
      </w:r>
      <w:r w:rsidRPr="007C157A">
        <w:t xml:space="preserve">prepared by </w:t>
      </w:r>
      <w:r w:rsidR="00023508" w:rsidRPr="007C157A">
        <w:t>Ms</w:t>
      </w:r>
      <w:r w:rsidRPr="007C157A">
        <w:t xml:space="preserve"> </w:t>
      </w:r>
      <w:r w:rsidR="00234236" w:rsidRPr="007C157A">
        <w:t>Kate Applegarth</w:t>
      </w:r>
      <w:r w:rsidR="006337A2">
        <w:t xml:space="preserve">, </w:t>
      </w:r>
      <w:r w:rsidR="00023508" w:rsidRPr="007C157A">
        <w:t>Dr</w:t>
      </w:r>
      <w:r w:rsidRPr="007C157A">
        <w:t xml:space="preserve"> </w:t>
      </w:r>
      <w:r w:rsidR="00234236" w:rsidRPr="007C157A">
        <w:t>Sue Campbell</w:t>
      </w:r>
      <w:r w:rsidR="006337A2">
        <w:t>, Dr Lisa Fodero and Mr Joe Scuteri</w:t>
      </w:r>
      <w:r w:rsidR="007C157A" w:rsidRPr="007C157A">
        <w:t xml:space="preserve"> </w:t>
      </w:r>
      <w:r w:rsidRPr="007C157A">
        <w:t>from HealthConsult Pty L</w:t>
      </w:r>
      <w:r>
        <w:t>td</w:t>
      </w:r>
      <w:r w:rsidRPr="00701AD3">
        <w:t xml:space="preserve">. </w:t>
      </w:r>
      <w:r w:rsidR="00A02B10">
        <w:t>The economic evaluation</w:t>
      </w:r>
      <w:r w:rsidR="00DC4CD8">
        <w:t xml:space="preserve"> and financial analysis</w:t>
      </w:r>
      <w:r w:rsidR="00A02B10">
        <w:t xml:space="preserve"> w</w:t>
      </w:r>
      <w:r w:rsidR="00DC4CD8">
        <w:t>as</w:t>
      </w:r>
      <w:r w:rsidR="00A02B10">
        <w:t xml:space="preserve"> undertaken by Mr Paul Mernagh (subcontractor for HealthConsult Pty Ltd). </w:t>
      </w:r>
      <w:r w:rsidRPr="00701AD3">
        <w:t>The</w:t>
      </w:r>
      <w:r>
        <w:t xml:space="preserve"> report was commissioned by the </w:t>
      </w:r>
      <w:r w:rsidRPr="00701AD3">
        <w:t xml:space="preserve">Department of Health </w:t>
      </w:r>
      <w:r>
        <w:t>on behalf of MSAC.</w:t>
      </w:r>
    </w:p>
    <w:p w14:paraId="254B5721" w14:textId="77777777" w:rsidR="00701AD3" w:rsidRPr="00701AD3" w:rsidRDefault="00701AD3" w:rsidP="00701AD3">
      <w:pPr>
        <w:spacing w:after="0"/>
      </w:pPr>
    </w:p>
    <w:p w14:paraId="565A41E3" w14:textId="77777777" w:rsidR="00701AD3" w:rsidRPr="007C157A" w:rsidRDefault="00701AD3" w:rsidP="00701AD3">
      <w:pPr>
        <w:spacing w:after="0"/>
      </w:pPr>
      <w:r w:rsidRPr="00701AD3">
        <w:t xml:space="preserve">This </w:t>
      </w:r>
      <w:r w:rsidRPr="007C157A">
        <w:t>report should be referenced as follows:</w:t>
      </w:r>
    </w:p>
    <w:p w14:paraId="5F4BE13A" w14:textId="5DBB65C7" w:rsidR="00701AD3" w:rsidRPr="00701AD3" w:rsidRDefault="00023508" w:rsidP="00701AD3">
      <w:pPr>
        <w:spacing w:after="0"/>
      </w:pPr>
      <w:r w:rsidRPr="007C157A">
        <w:t xml:space="preserve">Applegarth K, </w:t>
      </w:r>
      <w:r w:rsidR="00414562" w:rsidRPr="007C157A">
        <w:t>Campbell</w:t>
      </w:r>
      <w:r w:rsidR="00701AD3" w:rsidRPr="007C157A">
        <w:t xml:space="preserve"> S, </w:t>
      </w:r>
      <w:r w:rsidR="005017D9" w:rsidRPr="007C157A">
        <w:t>Mernagh P</w:t>
      </w:r>
      <w:r w:rsidR="006337A2">
        <w:t>, Fodero L, Scuteri J</w:t>
      </w:r>
      <w:r w:rsidR="00701AD3" w:rsidRPr="007C157A">
        <w:t>. (201</w:t>
      </w:r>
      <w:r w:rsidR="007C157A">
        <w:t>5</w:t>
      </w:r>
      <w:r w:rsidR="00701AD3" w:rsidRPr="007C157A">
        <w:t xml:space="preserve">). </w:t>
      </w:r>
      <w:r w:rsidR="005017D9" w:rsidRPr="007C157A">
        <w:t>F-18 flu</w:t>
      </w:r>
      <w:r w:rsidR="0038452F">
        <w:t>o</w:t>
      </w:r>
      <w:r w:rsidR="005017D9" w:rsidRPr="007C157A">
        <w:t>rodeoxyglucose (FDG) positron emission tomography (PET) for the diagnosis of Alzheimer’s disease</w:t>
      </w:r>
      <w:r w:rsidR="00701AD3" w:rsidRPr="007C157A">
        <w:t xml:space="preserve">. MSAC Application </w:t>
      </w:r>
      <w:r w:rsidR="005017D9" w:rsidRPr="007C157A">
        <w:t>1195</w:t>
      </w:r>
      <w:r w:rsidR="00701AD3" w:rsidRPr="007C157A">
        <w:t>, Assessment Report. Commonwealth of Australia, Canberra, ACT.</w:t>
      </w:r>
    </w:p>
    <w:p w14:paraId="7D0C69C6" w14:textId="77777777" w:rsidR="00701AD3" w:rsidRPr="00701AD3" w:rsidRDefault="00701AD3" w:rsidP="00701AD3">
      <w:pPr>
        <w:spacing w:after="0"/>
      </w:pPr>
    </w:p>
    <w:p w14:paraId="7ECBD3AA" w14:textId="77777777" w:rsidR="00701AD3" w:rsidRDefault="00701AD3" w:rsidP="00910E3E">
      <w:pPr>
        <w:ind w:left="0"/>
        <w:sectPr w:rsidR="00701AD3" w:rsidSect="00910E3E">
          <w:headerReference w:type="default" r:id="rId10"/>
          <w:footerReference w:type="default" r:id="rId11"/>
          <w:pgSz w:w="11906" w:h="16838" w:code="9"/>
          <w:pgMar w:top="1440" w:right="1440" w:bottom="1440" w:left="1440" w:header="680" w:footer="1021" w:gutter="0"/>
          <w:cols w:space="708"/>
          <w:titlePg/>
          <w:docGrid w:linePitch="360"/>
        </w:sectPr>
      </w:pPr>
      <w:bookmarkStart w:id="2" w:name="_GoBack"/>
      <w:bookmarkEnd w:id="2"/>
    </w:p>
    <w:p w14:paraId="702A576D" w14:textId="320B0A00" w:rsidR="00F3726C" w:rsidRPr="00F3726C" w:rsidRDefault="00F3726C" w:rsidP="009C2084">
      <w:pPr>
        <w:pStyle w:val="TOCHeading"/>
      </w:pPr>
      <w:bookmarkStart w:id="3" w:name="_Toc382219917"/>
      <w:r w:rsidRPr="009C2084">
        <w:lastRenderedPageBreak/>
        <w:t>Contents</w:t>
      </w:r>
    </w:p>
    <w:p w14:paraId="0F59809C" w14:textId="77777777" w:rsidR="00406035" w:rsidRDefault="00E5076E">
      <w:pPr>
        <w:pStyle w:val="TOC1"/>
        <w:tabs>
          <w:tab w:val="right" w:leader="dot" w:pos="9016"/>
        </w:tabs>
        <w:rPr>
          <w:rFonts w:asciiTheme="minorHAnsi" w:eastAsiaTheme="minorEastAsia" w:hAnsiTheme="minorHAnsi"/>
          <w:b w:val="0"/>
          <w:bCs w:val="0"/>
          <w:noProof/>
          <w:sz w:val="22"/>
          <w:lang w:eastAsia="en-AU"/>
        </w:rPr>
      </w:pPr>
      <w:r>
        <w:rPr>
          <w:rFonts w:asciiTheme="minorHAnsi" w:hAnsiTheme="minorHAnsi"/>
          <w:sz w:val="22"/>
        </w:rPr>
        <w:fldChar w:fldCharType="begin"/>
      </w:r>
      <w:r>
        <w:rPr>
          <w:rFonts w:asciiTheme="minorHAnsi" w:hAnsiTheme="minorHAnsi"/>
          <w:sz w:val="22"/>
        </w:rPr>
        <w:instrText xml:space="preserve"> TOC \o "1-2" \h \z \u </w:instrText>
      </w:r>
      <w:r>
        <w:rPr>
          <w:rFonts w:asciiTheme="minorHAnsi" w:hAnsiTheme="minorHAnsi"/>
          <w:sz w:val="22"/>
        </w:rPr>
        <w:fldChar w:fldCharType="separate"/>
      </w:r>
      <w:hyperlink w:anchor="_Toc408845146" w:history="1">
        <w:r w:rsidR="00406035" w:rsidRPr="002E4932">
          <w:rPr>
            <w:rStyle w:val="Hyperlink"/>
            <w:noProof/>
          </w:rPr>
          <w:t>List of tables</w:t>
        </w:r>
        <w:r w:rsidR="00406035">
          <w:rPr>
            <w:noProof/>
            <w:webHidden/>
          </w:rPr>
          <w:tab/>
        </w:r>
        <w:r w:rsidR="00406035">
          <w:rPr>
            <w:noProof/>
            <w:webHidden/>
          </w:rPr>
          <w:fldChar w:fldCharType="begin"/>
        </w:r>
        <w:r w:rsidR="00406035">
          <w:rPr>
            <w:noProof/>
            <w:webHidden/>
          </w:rPr>
          <w:instrText xml:space="preserve"> PAGEREF _Toc408845146 \h </w:instrText>
        </w:r>
        <w:r w:rsidR="00406035">
          <w:rPr>
            <w:noProof/>
            <w:webHidden/>
          </w:rPr>
        </w:r>
        <w:r w:rsidR="00406035">
          <w:rPr>
            <w:noProof/>
            <w:webHidden/>
          </w:rPr>
          <w:fldChar w:fldCharType="separate"/>
        </w:r>
        <w:r w:rsidR="00C67698">
          <w:rPr>
            <w:noProof/>
            <w:webHidden/>
          </w:rPr>
          <w:t>5</w:t>
        </w:r>
        <w:r w:rsidR="00406035">
          <w:rPr>
            <w:noProof/>
            <w:webHidden/>
          </w:rPr>
          <w:fldChar w:fldCharType="end"/>
        </w:r>
      </w:hyperlink>
    </w:p>
    <w:p w14:paraId="77A7A4A1" w14:textId="77777777" w:rsidR="00406035" w:rsidRDefault="00197695">
      <w:pPr>
        <w:pStyle w:val="TOC1"/>
        <w:tabs>
          <w:tab w:val="right" w:leader="dot" w:pos="9016"/>
        </w:tabs>
        <w:rPr>
          <w:rFonts w:asciiTheme="minorHAnsi" w:eastAsiaTheme="minorEastAsia" w:hAnsiTheme="minorHAnsi"/>
          <w:b w:val="0"/>
          <w:bCs w:val="0"/>
          <w:noProof/>
          <w:sz w:val="22"/>
          <w:lang w:eastAsia="en-AU"/>
        </w:rPr>
      </w:pPr>
      <w:hyperlink w:anchor="_Toc408845147" w:history="1">
        <w:r w:rsidR="00406035" w:rsidRPr="002E4932">
          <w:rPr>
            <w:rStyle w:val="Hyperlink"/>
            <w:noProof/>
          </w:rPr>
          <w:t>List of figures</w:t>
        </w:r>
        <w:r w:rsidR="00406035">
          <w:rPr>
            <w:noProof/>
            <w:webHidden/>
          </w:rPr>
          <w:tab/>
        </w:r>
        <w:r w:rsidR="00406035">
          <w:rPr>
            <w:noProof/>
            <w:webHidden/>
          </w:rPr>
          <w:fldChar w:fldCharType="begin"/>
        </w:r>
        <w:r w:rsidR="00406035">
          <w:rPr>
            <w:noProof/>
            <w:webHidden/>
          </w:rPr>
          <w:instrText xml:space="preserve"> PAGEREF _Toc408845147 \h </w:instrText>
        </w:r>
        <w:r w:rsidR="00406035">
          <w:rPr>
            <w:noProof/>
            <w:webHidden/>
          </w:rPr>
        </w:r>
        <w:r w:rsidR="00406035">
          <w:rPr>
            <w:noProof/>
            <w:webHidden/>
          </w:rPr>
          <w:fldChar w:fldCharType="separate"/>
        </w:r>
        <w:r w:rsidR="00C67698">
          <w:rPr>
            <w:noProof/>
            <w:webHidden/>
          </w:rPr>
          <w:t>8</w:t>
        </w:r>
        <w:r w:rsidR="00406035">
          <w:rPr>
            <w:noProof/>
            <w:webHidden/>
          </w:rPr>
          <w:fldChar w:fldCharType="end"/>
        </w:r>
      </w:hyperlink>
    </w:p>
    <w:p w14:paraId="7563AB06" w14:textId="77777777" w:rsidR="00406035" w:rsidRDefault="00197695">
      <w:pPr>
        <w:pStyle w:val="TOC1"/>
        <w:tabs>
          <w:tab w:val="right" w:leader="dot" w:pos="9016"/>
        </w:tabs>
        <w:rPr>
          <w:rFonts w:asciiTheme="minorHAnsi" w:eastAsiaTheme="minorEastAsia" w:hAnsiTheme="minorHAnsi"/>
          <w:b w:val="0"/>
          <w:bCs w:val="0"/>
          <w:noProof/>
          <w:sz w:val="22"/>
          <w:lang w:eastAsia="en-AU"/>
        </w:rPr>
      </w:pPr>
      <w:hyperlink w:anchor="_Toc408845148" w:history="1">
        <w:r w:rsidR="00406035" w:rsidRPr="002E4932">
          <w:rPr>
            <w:rStyle w:val="Hyperlink"/>
            <w:noProof/>
          </w:rPr>
          <w:t>Abbreviations</w:t>
        </w:r>
        <w:r w:rsidR="00406035">
          <w:rPr>
            <w:noProof/>
            <w:webHidden/>
          </w:rPr>
          <w:tab/>
        </w:r>
        <w:r w:rsidR="00406035">
          <w:rPr>
            <w:noProof/>
            <w:webHidden/>
          </w:rPr>
          <w:fldChar w:fldCharType="begin"/>
        </w:r>
        <w:r w:rsidR="00406035">
          <w:rPr>
            <w:noProof/>
            <w:webHidden/>
          </w:rPr>
          <w:instrText xml:space="preserve"> PAGEREF _Toc408845148 \h </w:instrText>
        </w:r>
        <w:r w:rsidR="00406035">
          <w:rPr>
            <w:noProof/>
            <w:webHidden/>
          </w:rPr>
        </w:r>
        <w:r w:rsidR="00406035">
          <w:rPr>
            <w:noProof/>
            <w:webHidden/>
          </w:rPr>
          <w:fldChar w:fldCharType="separate"/>
        </w:r>
        <w:r w:rsidR="00C67698">
          <w:rPr>
            <w:noProof/>
            <w:webHidden/>
          </w:rPr>
          <w:t>9</w:t>
        </w:r>
        <w:r w:rsidR="00406035">
          <w:rPr>
            <w:noProof/>
            <w:webHidden/>
          </w:rPr>
          <w:fldChar w:fldCharType="end"/>
        </w:r>
      </w:hyperlink>
    </w:p>
    <w:p w14:paraId="0BA4ECCF" w14:textId="77777777" w:rsidR="00406035" w:rsidRDefault="00197695">
      <w:pPr>
        <w:pStyle w:val="TOC1"/>
        <w:tabs>
          <w:tab w:val="right" w:leader="dot" w:pos="9016"/>
        </w:tabs>
        <w:rPr>
          <w:rFonts w:asciiTheme="minorHAnsi" w:eastAsiaTheme="minorEastAsia" w:hAnsiTheme="minorHAnsi"/>
          <w:b w:val="0"/>
          <w:bCs w:val="0"/>
          <w:noProof/>
          <w:sz w:val="22"/>
          <w:lang w:eastAsia="en-AU"/>
        </w:rPr>
      </w:pPr>
      <w:hyperlink w:anchor="_Toc408845149" w:history="1">
        <w:r w:rsidR="00406035" w:rsidRPr="002E4932">
          <w:rPr>
            <w:rStyle w:val="Hyperlink"/>
            <w:noProof/>
          </w:rPr>
          <w:t>Executive summary</w:t>
        </w:r>
        <w:r w:rsidR="00406035">
          <w:rPr>
            <w:noProof/>
            <w:webHidden/>
          </w:rPr>
          <w:tab/>
        </w:r>
        <w:r w:rsidR="00406035">
          <w:rPr>
            <w:noProof/>
            <w:webHidden/>
          </w:rPr>
          <w:fldChar w:fldCharType="begin"/>
        </w:r>
        <w:r w:rsidR="00406035">
          <w:rPr>
            <w:noProof/>
            <w:webHidden/>
          </w:rPr>
          <w:instrText xml:space="preserve"> PAGEREF _Toc408845149 \h </w:instrText>
        </w:r>
        <w:r w:rsidR="00406035">
          <w:rPr>
            <w:noProof/>
            <w:webHidden/>
          </w:rPr>
        </w:r>
        <w:r w:rsidR="00406035">
          <w:rPr>
            <w:noProof/>
            <w:webHidden/>
          </w:rPr>
          <w:fldChar w:fldCharType="separate"/>
        </w:r>
        <w:r w:rsidR="00C67698">
          <w:rPr>
            <w:noProof/>
            <w:webHidden/>
          </w:rPr>
          <w:t>13</w:t>
        </w:r>
        <w:r w:rsidR="00406035">
          <w:rPr>
            <w:noProof/>
            <w:webHidden/>
          </w:rPr>
          <w:fldChar w:fldCharType="end"/>
        </w:r>
      </w:hyperlink>
    </w:p>
    <w:p w14:paraId="511D7CC4" w14:textId="77777777" w:rsidR="00406035" w:rsidRDefault="00197695">
      <w:pPr>
        <w:pStyle w:val="TOC1"/>
        <w:tabs>
          <w:tab w:val="right" w:leader="dot" w:pos="9016"/>
        </w:tabs>
        <w:rPr>
          <w:rFonts w:asciiTheme="minorHAnsi" w:eastAsiaTheme="minorEastAsia" w:hAnsiTheme="minorHAnsi"/>
          <w:b w:val="0"/>
          <w:bCs w:val="0"/>
          <w:noProof/>
          <w:sz w:val="22"/>
          <w:lang w:eastAsia="en-AU"/>
        </w:rPr>
      </w:pPr>
      <w:hyperlink w:anchor="_Toc408845150" w:history="1">
        <w:r w:rsidR="00406035" w:rsidRPr="002E4932">
          <w:rPr>
            <w:rStyle w:val="Hyperlink"/>
            <w:noProof/>
          </w:rPr>
          <w:t>Background</w:t>
        </w:r>
        <w:r w:rsidR="00406035">
          <w:rPr>
            <w:noProof/>
            <w:webHidden/>
          </w:rPr>
          <w:tab/>
        </w:r>
        <w:r w:rsidR="00406035">
          <w:rPr>
            <w:noProof/>
            <w:webHidden/>
          </w:rPr>
          <w:fldChar w:fldCharType="begin"/>
        </w:r>
        <w:r w:rsidR="00406035">
          <w:rPr>
            <w:noProof/>
            <w:webHidden/>
          </w:rPr>
          <w:instrText xml:space="preserve"> PAGEREF _Toc408845150 \h </w:instrText>
        </w:r>
        <w:r w:rsidR="00406035">
          <w:rPr>
            <w:noProof/>
            <w:webHidden/>
          </w:rPr>
        </w:r>
        <w:r w:rsidR="00406035">
          <w:rPr>
            <w:noProof/>
            <w:webHidden/>
          </w:rPr>
          <w:fldChar w:fldCharType="separate"/>
        </w:r>
        <w:r w:rsidR="00C67698">
          <w:rPr>
            <w:noProof/>
            <w:webHidden/>
          </w:rPr>
          <w:t>22</w:t>
        </w:r>
        <w:r w:rsidR="00406035">
          <w:rPr>
            <w:noProof/>
            <w:webHidden/>
          </w:rPr>
          <w:fldChar w:fldCharType="end"/>
        </w:r>
      </w:hyperlink>
    </w:p>
    <w:p w14:paraId="7348548D" w14:textId="77777777" w:rsidR="00406035" w:rsidRDefault="00197695">
      <w:pPr>
        <w:pStyle w:val="TOC1"/>
        <w:tabs>
          <w:tab w:val="left" w:pos="2160"/>
          <w:tab w:val="right" w:leader="dot" w:pos="9016"/>
        </w:tabs>
        <w:rPr>
          <w:rFonts w:asciiTheme="minorHAnsi" w:eastAsiaTheme="minorEastAsia" w:hAnsiTheme="minorHAnsi"/>
          <w:b w:val="0"/>
          <w:bCs w:val="0"/>
          <w:noProof/>
          <w:sz w:val="22"/>
          <w:lang w:eastAsia="en-AU"/>
        </w:rPr>
      </w:pPr>
      <w:hyperlink w:anchor="_Toc408845151" w:history="1">
        <w:r w:rsidR="00406035" w:rsidRPr="002E4932">
          <w:rPr>
            <w:rStyle w:val="Hyperlink"/>
            <w:noProof/>
          </w:rPr>
          <w:t>Section A.</w:t>
        </w:r>
        <w:r w:rsidR="00406035">
          <w:rPr>
            <w:rFonts w:asciiTheme="minorHAnsi" w:eastAsiaTheme="minorEastAsia" w:hAnsiTheme="minorHAnsi"/>
            <w:b w:val="0"/>
            <w:bCs w:val="0"/>
            <w:noProof/>
            <w:sz w:val="22"/>
            <w:lang w:eastAsia="en-AU"/>
          </w:rPr>
          <w:tab/>
        </w:r>
        <w:r w:rsidR="00406035" w:rsidRPr="002E4932">
          <w:rPr>
            <w:rStyle w:val="Hyperlink"/>
            <w:noProof/>
          </w:rPr>
          <w:t>Details of the proposed medical service and its intended use</w:t>
        </w:r>
        <w:r w:rsidR="00406035">
          <w:rPr>
            <w:noProof/>
            <w:webHidden/>
          </w:rPr>
          <w:tab/>
        </w:r>
        <w:r w:rsidR="00406035">
          <w:rPr>
            <w:noProof/>
            <w:webHidden/>
          </w:rPr>
          <w:fldChar w:fldCharType="begin"/>
        </w:r>
        <w:r w:rsidR="00406035">
          <w:rPr>
            <w:noProof/>
            <w:webHidden/>
          </w:rPr>
          <w:instrText xml:space="preserve"> PAGEREF _Toc408845151 \h </w:instrText>
        </w:r>
        <w:r w:rsidR="00406035">
          <w:rPr>
            <w:noProof/>
            <w:webHidden/>
          </w:rPr>
        </w:r>
        <w:r w:rsidR="00406035">
          <w:rPr>
            <w:noProof/>
            <w:webHidden/>
          </w:rPr>
          <w:fldChar w:fldCharType="separate"/>
        </w:r>
        <w:r w:rsidR="00C67698">
          <w:rPr>
            <w:noProof/>
            <w:webHidden/>
          </w:rPr>
          <w:t>23</w:t>
        </w:r>
        <w:r w:rsidR="00406035">
          <w:rPr>
            <w:noProof/>
            <w:webHidden/>
          </w:rPr>
          <w:fldChar w:fldCharType="end"/>
        </w:r>
      </w:hyperlink>
    </w:p>
    <w:p w14:paraId="38E08DE6"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2" w:history="1">
        <w:r w:rsidR="00406035" w:rsidRPr="002E4932">
          <w:rPr>
            <w:rStyle w:val="Hyperlink"/>
            <w:noProof/>
          </w:rPr>
          <w:t>A.1.</w:t>
        </w:r>
        <w:r w:rsidR="00406035">
          <w:rPr>
            <w:rFonts w:asciiTheme="minorHAnsi" w:eastAsiaTheme="minorEastAsia" w:hAnsiTheme="minorHAnsi"/>
            <w:bCs w:val="0"/>
            <w:noProof/>
            <w:sz w:val="22"/>
            <w:lang w:eastAsia="en-AU"/>
          </w:rPr>
          <w:tab/>
        </w:r>
        <w:r w:rsidR="00406035" w:rsidRPr="002E4932">
          <w:rPr>
            <w:rStyle w:val="Hyperlink"/>
            <w:noProof/>
          </w:rPr>
          <w:t>Address all items in the Protocol</w:t>
        </w:r>
        <w:r w:rsidR="00406035">
          <w:rPr>
            <w:noProof/>
            <w:webHidden/>
          </w:rPr>
          <w:tab/>
        </w:r>
        <w:r w:rsidR="00406035">
          <w:rPr>
            <w:noProof/>
            <w:webHidden/>
          </w:rPr>
          <w:fldChar w:fldCharType="begin"/>
        </w:r>
        <w:r w:rsidR="00406035">
          <w:rPr>
            <w:noProof/>
            <w:webHidden/>
          </w:rPr>
          <w:instrText xml:space="preserve"> PAGEREF _Toc408845152 \h </w:instrText>
        </w:r>
        <w:r w:rsidR="00406035">
          <w:rPr>
            <w:noProof/>
            <w:webHidden/>
          </w:rPr>
        </w:r>
        <w:r w:rsidR="00406035">
          <w:rPr>
            <w:noProof/>
            <w:webHidden/>
          </w:rPr>
          <w:fldChar w:fldCharType="separate"/>
        </w:r>
        <w:r w:rsidR="00C67698">
          <w:rPr>
            <w:noProof/>
            <w:webHidden/>
          </w:rPr>
          <w:t>23</w:t>
        </w:r>
        <w:r w:rsidR="00406035">
          <w:rPr>
            <w:noProof/>
            <w:webHidden/>
          </w:rPr>
          <w:fldChar w:fldCharType="end"/>
        </w:r>
      </w:hyperlink>
    </w:p>
    <w:p w14:paraId="19B080F5"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3" w:history="1">
        <w:r w:rsidR="00406035" w:rsidRPr="002E4932">
          <w:rPr>
            <w:rStyle w:val="Hyperlink"/>
            <w:noProof/>
          </w:rPr>
          <w:t>A.2.</w:t>
        </w:r>
        <w:r w:rsidR="00406035">
          <w:rPr>
            <w:rFonts w:asciiTheme="minorHAnsi" w:eastAsiaTheme="minorEastAsia" w:hAnsiTheme="minorHAnsi"/>
            <w:bCs w:val="0"/>
            <w:noProof/>
            <w:sz w:val="22"/>
            <w:lang w:eastAsia="en-AU"/>
          </w:rPr>
          <w:tab/>
        </w:r>
        <w:r w:rsidR="00406035" w:rsidRPr="002E4932">
          <w:rPr>
            <w:rStyle w:val="Hyperlink"/>
            <w:noProof/>
          </w:rPr>
          <w:t>Proposed medical service</w:t>
        </w:r>
        <w:r w:rsidR="00406035">
          <w:rPr>
            <w:noProof/>
            <w:webHidden/>
          </w:rPr>
          <w:tab/>
        </w:r>
        <w:r w:rsidR="00406035">
          <w:rPr>
            <w:noProof/>
            <w:webHidden/>
          </w:rPr>
          <w:fldChar w:fldCharType="begin"/>
        </w:r>
        <w:r w:rsidR="00406035">
          <w:rPr>
            <w:noProof/>
            <w:webHidden/>
          </w:rPr>
          <w:instrText xml:space="preserve"> PAGEREF _Toc408845153 \h </w:instrText>
        </w:r>
        <w:r w:rsidR="00406035">
          <w:rPr>
            <w:noProof/>
            <w:webHidden/>
          </w:rPr>
        </w:r>
        <w:r w:rsidR="00406035">
          <w:rPr>
            <w:noProof/>
            <w:webHidden/>
          </w:rPr>
          <w:fldChar w:fldCharType="separate"/>
        </w:r>
        <w:r w:rsidR="00C67698">
          <w:rPr>
            <w:noProof/>
            <w:webHidden/>
          </w:rPr>
          <w:t>23</w:t>
        </w:r>
        <w:r w:rsidR="00406035">
          <w:rPr>
            <w:noProof/>
            <w:webHidden/>
          </w:rPr>
          <w:fldChar w:fldCharType="end"/>
        </w:r>
      </w:hyperlink>
    </w:p>
    <w:p w14:paraId="234FE6A9"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4" w:history="1">
        <w:r w:rsidR="00406035" w:rsidRPr="002E4932">
          <w:rPr>
            <w:rStyle w:val="Hyperlink"/>
            <w:noProof/>
          </w:rPr>
          <w:t>A.3.</w:t>
        </w:r>
        <w:r w:rsidR="00406035">
          <w:rPr>
            <w:rFonts w:asciiTheme="minorHAnsi" w:eastAsiaTheme="minorEastAsia" w:hAnsiTheme="minorHAnsi"/>
            <w:bCs w:val="0"/>
            <w:noProof/>
            <w:sz w:val="22"/>
            <w:lang w:eastAsia="en-AU"/>
          </w:rPr>
          <w:tab/>
        </w:r>
        <w:r w:rsidR="00406035" w:rsidRPr="002E4932">
          <w:rPr>
            <w:rStyle w:val="Hyperlink"/>
            <w:noProof/>
          </w:rPr>
          <w:t>Proposed MBS listing sought</w:t>
        </w:r>
        <w:r w:rsidR="00406035">
          <w:rPr>
            <w:noProof/>
            <w:webHidden/>
          </w:rPr>
          <w:tab/>
        </w:r>
        <w:r w:rsidR="00406035">
          <w:rPr>
            <w:noProof/>
            <w:webHidden/>
          </w:rPr>
          <w:fldChar w:fldCharType="begin"/>
        </w:r>
        <w:r w:rsidR="00406035">
          <w:rPr>
            <w:noProof/>
            <w:webHidden/>
          </w:rPr>
          <w:instrText xml:space="preserve"> PAGEREF _Toc408845154 \h </w:instrText>
        </w:r>
        <w:r w:rsidR="00406035">
          <w:rPr>
            <w:noProof/>
            <w:webHidden/>
          </w:rPr>
        </w:r>
        <w:r w:rsidR="00406035">
          <w:rPr>
            <w:noProof/>
            <w:webHidden/>
          </w:rPr>
          <w:fldChar w:fldCharType="separate"/>
        </w:r>
        <w:r w:rsidR="00C67698">
          <w:rPr>
            <w:noProof/>
            <w:webHidden/>
          </w:rPr>
          <w:t>29</w:t>
        </w:r>
        <w:r w:rsidR="00406035">
          <w:rPr>
            <w:noProof/>
            <w:webHidden/>
          </w:rPr>
          <w:fldChar w:fldCharType="end"/>
        </w:r>
      </w:hyperlink>
    </w:p>
    <w:p w14:paraId="4B50A8F3"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5" w:history="1">
        <w:r w:rsidR="00406035" w:rsidRPr="002E4932">
          <w:rPr>
            <w:rStyle w:val="Hyperlink"/>
            <w:noProof/>
          </w:rPr>
          <w:t>A.4.</w:t>
        </w:r>
        <w:r w:rsidR="00406035">
          <w:rPr>
            <w:rFonts w:asciiTheme="minorHAnsi" w:eastAsiaTheme="minorEastAsia" w:hAnsiTheme="minorHAnsi"/>
            <w:bCs w:val="0"/>
            <w:noProof/>
            <w:sz w:val="22"/>
            <w:lang w:eastAsia="en-AU"/>
          </w:rPr>
          <w:tab/>
        </w:r>
        <w:r w:rsidR="00406035" w:rsidRPr="002E4932">
          <w:rPr>
            <w:rStyle w:val="Hyperlink"/>
            <w:noProof/>
          </w:rPr>
          <w:t>Comparator details</w:t>
        </w:r>
        <w:r w:rsidR="00406035">
          <w:rPr>
            <w:noProof/>
            <w:webHidden/>
          </w:rPr>
          <w:tab/>
        </w:r>
        <w:r w:rsidR="00406035">
          <w:rPr>
            <w:noProof/>
            <w:webHidden/>
          </w:rPr>
          <w:fldChar w:fldCharType="begin"/>
        </w:r>
        <w:r w:rsidR="00406035">
          <w:rPr>
            <w:noProof/>
            <w:webHidden/>
          </w:rPr>
          <w:instrText xml:space="preserve"> PAGEREF _Toc408845155 \h </w:instrText>
        </w:r>
        <w:r w:rsidR="00406035">
          <w:rPr>
            <w:noProof/>
            <w:webHidden/>
          </w:rPr>
        </w:r>
        <w:r w:rsidR="00406035">
          <w:rPr>
            <w:noProof/>
            <w:webHidden/>
          </w:rPr>
          <w:fldChar w:fldCharType="separate"/>
        </w:r>
        <w:r w:rsidR="00C67698">
          <w:rPr>
            <w:noProof/>
            <w:webHidden/>
          </w:rPr>
          <w:t>30</w:t>
        </w:r>
        <w:r w:rsidR="00406035">
          <w:rPr>
            <w:noProof/>
            <w:webHidden/>
          </w:rPr>
          <w:fldChar w:fldCharType="end"/>
        </w:r>
      </w:hyperlink>
    </w:p>
    <w:p w14:paraId="706E5E06"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6" w:history="1">
        <w:r w:rsidR="00406035" w:rsidRPr="002E4932">
          <w:rPr>
            <w:rStyle w:val="Hyperlink"/>
            <w:noProof/>
          </w:rPr>
          <w:t>A.5.</w:t>
        </w:r>
        <w:r w:rsidR="00406035">
          <w:rPr>
            <w:rFonts w:asciiTheme="minorHAnsi" w:eastAsiaTheme="minorEastAsia" w:hAnsiTheme="minorHAnsi"/>
            <w:bCs w:val="0"/>
            <w:noProof/>
            <w:sz w:val="22"/>
            <w:lang w:eastAsia="en-AU"/>
          </w:rPr>
          <w:tab/>
        </w:r>
        <w:r w:rsidR="00406035" w:rsidRPr="002E4932">
          <w:rPr>
            <w:rStyle w:val="Hyperlink"/>
            <w:noProof/>
          </w:rPr>
          <w:t>Clinical management algorithm</w:t>
        </w:r>
        <w:r w:rsidR="00406035">
          <w:rPr>
            <w:noProof/>
            <w:webHidden/>
          </w:rPr>
          <w:tab/>
        </w:r>
        <w:r w:rsidR="00406035">
          <w:rPr>
            <w:noProof/>
            <w:webHidden/>
          </w:rPr>
          <w:fldChar w:fldCharType="begin"/>
        </w:r>
        <w:r w:rsidR="00406035">
          <w:rPr>
            <w:noProof/>
            <w:webHidden/>
          </w:rPr>
          <w:instrText xml:space="preserve"> PAGEREF _Toc408845156 \h </w:instrText>
        </w:r>
        <w:r w:rsidR="00406035">
          <w:rPr>
            <w:noProof/>
            <w:webHidden/>
          </w:rPr>
        </w:r>
        <w:r w:rsidR="00406035">
          <w:rPr>
            <w:noProof/>
            <w:webHidden/>
          </w:rPr>
          <w:fldChar w:fldCharType="separate"/>
        </w:r>
        <w:r w:rsidR="00C67698">
          <w:rPr>
            <w:noProof/>
            <w:webHidden/>
          </w:rPr>
          <w:t>31</w:t>
        </w:r>
        <w:r w:rsidR="00406035">
          <w:rPr>
            <w:noProof/>
            <w:webHidden/>
          </w:rPr>
          <w:fldChar w:fldCharType="end"/>
        </w:r>
      </w:hyperlink>
    </w:p>
    <w:p w14:paraId="5519EDA9"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7" w:history="1">
        <w:r w:rsidR="00406035" w:rsidRPr="002E4932">
          <w:rPr>
            <w:rStyle w:val="Hyperlink"/>
            <w:noProof/>
          </w:rPr>
          <w:t>A.6.</w:t>
        </w:r>
        <w:r w:rsidR="00406035">
          <w:rPr>
            <w:rFonts w:asciiTheme="minorHAnsi" w:eastAsiaTheme="minorEastAsia" w:hAnsiTheme="minorHAnsi"/>
            <w:bCs w:val="0"/>
            <w:noProof/>
            <w:sz w:val="22"/>
            <w:lang w:eastAsia="en-AU"/>
          </w:rPr>
          <w:tab/>
        </w:r>
        <w:r w:rsidR="00406035" w:rsidRPr="002E4932">
          <w:rPr>
            <w:rStyle w:val="Hyperlink"/>
            <w:noProof/>
          </w:rPr>
          <w:t>Differences between the proposed medical service and the main comparator</w:t>
        </w:r>
        <w:r w:rsidR="00406035">
          <w:rPr>
            <w:noProof/>
            <w:webHidden/>
          </w:rPr>
          <w:tab/>
        </w:r>
        <w:r w:rsidR="00406035">
          <w:rPr>
            <w:noProof/>
            <w:webHidden/>
          </w:rPr>
          <w:fldChar w:fldCharType="begin"/>
        </w:r>
        <w:r w:rsidR="00406035">
          <w:rPr>
            <w:noProof/>
            <w:webHidden/>
          </w:rPr>
          <w:instrText xml:space="preserve"> PAGEREF _Toc408845157 \h </w:instrText>
        </w:r>
        <w:r w:rsidR="00406035">
          <w:rPr>
            <w:noProof/>
            <w:webHidden/>
          </w:rPr>
        </w:r>
        <w:r w:rsidR="00406035">
          <w:rPr>
            <w:noProof/>
            <w:webHidden/>
          </w:rPr>
          <w:fldChar w:fldCharType="separate"/>
        </w:r>
        <w:r w:rsidR="00C67698">
          <w:rPr>
            <w:noProof/>
            <w:webHidden/>
          </w:rPr>
          <w:t>33</w:t>
        </w:r>
        <w:r w:rsidR="00406035">
          <w:rPr>
            <w:noProof/>
            <w:webHidden/>
          </w:rPr>
          <w:fldChar w:fldCharType="end"/>
        </w:r>
      </w:hyperlink>
    </w:p>
    <w:p w14:paraId="5EBF525F"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8" w:history="1">
        <w:r w:rsidR="00406035" w:rsidRPr="002E4932">
          <w:rPr>
            <w:rStyle w:val="Hyperlink"/>
            <w:noProof/>
          </w:rPr>
          <w:t>A.7.</w:t>
        </w:r>
        <w:r w:rsidR="00406035">
          <w:rPr>
            <w:rFonts w:asciiTheme="minorHAnsi" w:eastAsiaTheme="minorEastAsia" w:hAnsiTheme="minorHAnsi"/>
            <w:bCs w:val="0"/>
            <w:noProof/>
            <w:sz w:val="22"/>
            <w:lang w:eastAsia="en-AU"/>
          </w:rPr>
          <w:tab/>
        </w:r>
        <w:r w:rsidR="00406035" w:rsidRPr="002E4932">
          <w:rPr>
            <w:rStyle w:val="Hyperlink"/>
            <w:noProof/>
          </w:rPr>
          <w:t>Clinical claim</w:t>
        </w:r>
        <w:r w:rsidR="00406035">
          <w:rPr>
            <w:noProof/>
            <w:webHidden/>
          </w:rPr>
          <w:tab/>
        </w:r>
        <w:r w:rsidR="00406035">
          <w:rPr>
            <w:noProof/>
            <w:webHidden/>
          </w:rPr>
          <w:fldChar w:fldCharType="begin"/>
        </w:r>
        <w:r w:rsidR="00406035">
          <w:rPr>
            <w:noProof/>
            <w:webHidden/>
          </w:rPr>
          <w:instrText xml:space="preserve"> PAGEREF _Toc408845158 \h </w:instrText>
        </w:r>
        <w:r w:rsidR="00406035">
          <w:rPr>
            <w:noProof/>
            <w:webHidden/>
          </w:rPr>
        </w:r>
        <w:r w:rsidR="00406035">
          <w:rPr>
            <w:noProof/>
            <w:webHidden/>
          </w:rPr>
          <w:fldChar w:fldCharType="separate"/>
        </w:r>
        <w:r w:rsidR="00C67698">
          <w:rPr>
            <w:noProof/>
            <w:webHidden/>
          </w:rPr>
          <w:t>33</w:t>
        </w:r>
        <w:r w:rsidR="00406035">
          <w:rPr>
            <w:noProof/>
            <w:webHidden/>
          </w:rPr>
          <w:fldChar w:fldCharType="end"/>
        </w:r>
      </w:hyperlink>
    </w:p>
    <w:p w14:paraId="6CC7E884"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59" w:history="1">
        <w:r w:rsidR="00406035" w:rsidRPr="002E4932">
          <w:rPr>
            <w:rStyle w:val="Hyperlink"/>
            <w:noProof/>
          </w:rPr>
          <w:t>A.8.</w:t>
        </w:r>
        <w:r w:rsidR="00406035">
          <w:rPr>
            <w:rFonts w:asciiTheme="minorHAnsi" w:eastAsiaTheme="minorEastAsia" w:hAnsiTheme="minorHAnsi"/>
            <w:bCs w:val="0"/>
            <w:noProof/>
            <w:sz w:val="22"/>
            <w:lang w:eastAsia="en-AU"/>
          </w:rPr>
          <w:tab/>
        </w:r>
        <w:r w:rsidR="00406035" w:rsidRPr="002E4932">
          <w:rPr>
            <w:rStyle w:val="Hyperlink"/>
            <w:noProof/>
          </w:rPr>
          <w:t>Primary elements of the decision analysis</w:t>
        </w:r>
        <w:r w:rsidR="00406035">
          <w:rPr>
            <w:noProof/>
            <w:webHidden/>
          </w:rPr>
          <w:tab/>
        </w:r>
        <w:r w:rsidR="00406035">
          <w:rPr>
            <w:noProof/>
            <w:webHidden/>
          </w:rPr>
          <w:fldChar w:fldCharType="begin"/>
        </w:r>
        <w:r w:rsidR="00406035">
          <w:rPr>
            <w:noProof/>
            <w:webHidden/>
          </w:rPr>
          <w:instrText xml:space="preserve"> PAGEREF _Toc408845159 \h </w:instrText>
        </w:r>
        <w:r w:rsidR="00406035">
          <w:rPr>
            <w:noProof/>
            <w:webHidden/>
          </w:rPr>
        </w:r>
        <w:r w:rsidR="00406035">
          <w:rPr>
            <w:noProof/>
            <w:webHidden/>
          </w:rPr>
          <w:fldChar w:fldCharType="separate"/>
        </w:r>
        <w:r w:rsidR="00C67698">
          <w:rPr>
            <w:noProof/>
            <w:webHidden/>
          </w:rPr>
          <w:t>33</w:t>
        </w:r>
        <w:r w:rsidR="00406035">
          <w:rPr>
            <w:noProof/>
            <w:webHidden/>
          </w:rPr>
          <w:fldChar w:fldCharType="end"/>
        </w:r>
      </w:hyperlink>
    </w:p>
    <w:p w14:paraId="4C300045" w14:textId="77777777" w:rsidR="00406035" w:rsidRDefault="00197695">
      <w:pPr>
        <w:pStyle w:val="TOC1"/>
        <w:tabs>
          <w:tab w:val="left" w:pos="2160"/>
          <w:tab w:val="right" w:leader="dot" w:pos="9016"/>
        </w:tabs>
        <w:rPr>
          <w:rFonts w:asciiTheme="minorHAnsi" w:eastAsiaTheme="minorEastAsia" w:hAnsiTheme="minorHAnsi"/>
          <w:b w:val="0"/>
          <w:bCs w:val="0"/>
          <w:noProof/>
          <w:sz w:val="22"/>
          <w:lang w:eastAsia="en-AU"/>
        </w:rPr>
      </w:pPr>
      <w:hyperlink w:anchor="_Toc408845160" w:history="1">
        <w:r w:rsidR="00406035" w:rsidRPr="002E4932">
          <w:rPr>
            <w:rStyle w:val="Hyperlink"/>
            <w:noProof/>
          </w:rPr>
          <w:t>Section B.</w:t>
        </w:r>
        <w:r w:rsidR="00406035">
          <w:rPr>
            <w:rFonts w:asciiTheme="minorHAnsi" w:eastAsiaTheme="minorEastAsia" w:hAnsiTheme="minorHAnsi"/>
            <w:b w:val="0"/>
            <w:bCs w:val="0"/>
            <w:noProof/>
            <w:sz w:val="22"/>
            <w:lang w:eastAsia="en-AU"/>
          </w:rPr>
          <w:tab/>
        </w:r>
        <w:r w:rsidR="00406035" w:rsidRPr="002E4932">
          <w:rPr>
            <w:rStyle w:val="Hyperlink"/>
            <w:noProof/>
          </w:rPr>
          <w:t>Clinical evaluation for the main indication</w:t>
        </w:r>
        <w:r w:rsidR="00406035">
          <w:rPr>
            <w:noProof/>
            <w:webHidden/>
          </w:rPr>
          <w:tab/>
        </w:r>
        <w:r w:rsidR="00406035">
          <w:rPr>
            <w:noProof/>
            <w:webHidden/>
          </w:rPr>
          <w:fldChar w:fldCharType="begin"/>
        </w:r>
        <w:r w:rsidR="00406035">
          <w:rPr>
            <w:noProof/>
            <w:webHidden/>
          </w:rPr>
          <w:instrText xml:space="preserve"> PAGEREF _Toc408845160 \h </w:instrText>
        </w:r>
        <w:r w:rsidR="00406035">
          <w:rPr>
            <w:noProof/>
            <w:webHidden/>
          </w:rPr>
        </w:r>
        <w:r w:rsidR="00406035">
          <w:rPr>
            <w:noProof/>
            <w:webHidden/>
          </w:rPr>
          <w:fldChar w:fldCharType="separate"/>
        </w:r>
        <w:r w:rsidR="00C67698">
          <w:rPr>
            <w:noProof/>
            <w:webHidden/>
          </w:rPr>
          <w:t>36</w:t>
        </w:r>
        <w:r w:rsidR="00406035">
          <w:rPr>
            <w:noProof/>
            <w:webHidden/>
          </w:rPr>
          <w:fldChar w:fldCharType="end"/>
        </w:r>
      </w:hyperlink>
    </w:p>
    <w:p w14:paraId="68873BB1"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1" w:history="1">
        <w:r w:rsidR="00406035" w:rsidRPr="002E4932">
          <w:rPr>
            <w:rStyle w:val="Hyperlink"/>
            <w:noProof/>
          </w:rPr>
          <w:t>B.1.</w:t>
        </w:r>
        <w:r w:rsidR="00406035">
          <w:rPr>
            <w:rFonts w:asciiTheme="minorHAnsi" w:eastAsiaTheme="minorEastAsia" w:hAnsiTheme="minorHAnsi"/>
            <w:bCs w:val="0"/>
            <w:noProof/>
            <w:sz w:val="22"/>
            <w:lang w:eastAsia="en-AU"/>
          </w:rPr>
          <w:tab/>
        </w:r>
        <w:r w:rsidR="00406035" w:rsidRPr="002E4932">
          <w:rPr>
            <w:rStyle w:val="Hyperlink"/>
            <w:noProof/>
          </w:rPr>
          <w:t>Description of search strategies</w:t>
        </w:r>
        <w:r w:rsidR="00406035">
          <w:rPr>
            <w:noProof/>
            <w:webHidden/>
          </w:rPr>
          <w:tab/>
        </w:r>
        <w:r w:rsidR="00406035">
          <w:rPr>
            <w:noProof/>
            <w:webHidden/>
          </w:rPr>
          <w:fldChar w:fldCharType="begin"/>
        </w:r>
        <w:r w:rsidR="00406035">
          <w:rPr>
            <w:noProof/>
            <w:webHidden/>
          </w:rPr>
          <w:instrText xml:space="preserve"> PAGEREF _Toc408845161 \h </w:instrText>
        </w:r>
        <w:r w:rsidR="00406035">
          <w:rPr>
            <w:noProof/>
            <w:webHidden/>
          </w:rPr>
        </w:r>
        <w:r w:rsidR="00406035">
          <w:rPr>
            <w:noProof/>
            <w:webHidden/>
          </w:rPr>
          <w:fldChar w:fldCharType="separate"/>
        </w:r>
        <w:r w:rsidR="00C67698">
          <w:rPr>
            <w:noProof/>
            <w:webHidden/>
          </w:rPr>
          <w:t>36</w:t>
        </w:r>
        <w:r w:rsidR="00406035">
          <w:rPr>
            <w:noProof/>
            <w:webHidden/>
          </w:rPr>
          <w:fldChar w:fldCharType="end"/>
        </w:r>
      </w:hyperlink>
    </w:p>
    <w:p w14:paraId="2709F355"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2" w:history="1">
        <w:r w:rsidR="00406035" w:rsidRPr="002E4932">
          <w:rPr>
            <w:rStyle w:val="Hyperlink"/>
            <w:noProof/>
          </w:rPr>
          <w:t>B.2.</w:t>
        </w:r>
        <w:r w:rsidR="00406035">
          <w:rPr>
            <w:rFonts w:asciiTheme="minorHAnsi" w:eastAsiaTheme="minorEastAsia" w:hAnsiTheme="minorHAnsi"/>
            <w:bCs w:val="0"/>
            <w:noProof/>
            <w:sz w:val="22"/>
            <w:lang w:eastAsia="en-AU"/>
          </w:rPr>
          <w:tab/>
        </w:r>
        <w:r w:rsidR="00406035" w:rsidRPr="002E4932">
          <w:rPr>
            <w:rStyle w:val="Hyperlink"/>
            <w:noProof/>
          </w:rPr>
          <w:t>Listing of all studies</w:t>
        </w:r>
        <w:r w:rsidR="00406035">
          <w:rPr>
            <w:noProof/>
            <w:webHidden/>
          </w:rPr>
          <w:tab/>
        </w:r>
        <w:r w:rsidR="00406035">
          <w:rPr>
            <w:noProof/>
            <w:webHidden/>
          </w:rPr>
          <w:fldChar w:fldCharType="begin"/>
        </w:r>
        <w:r w:rsidR="00406035">
          <w:rPr>
            <w:noProof/>
            <w:webHidden/>
          </w:rPr>
          <w:instrText xml:space="preserve"> PAGEREF _Toc408845162 \h </w:instrText>
        </w:r>
        <w:r w:rsidR="00406035">
          <w:rPr>
            <w:noProof/>
            <w:webHidden/>
          </w:rPr>
        </w:r>
        <w:r w:rsidR="00406035">
          <w:rPr>
            <w:noProof/>
            <w:webHidden/>
          </w:rPr>
          <w:fldChar w:fldCharType="separate"/>
        </w:r>
        <w:r w:rsidR="00C67698">
          <w:rPr>
            <w:noProof/>
            <w:webHidden/>
          </w:rPr>
          <w:t>39</w:t>
        </w:r>
        <w:r w:rsidR="00406035">
          <w:rPr>
            <w:noProof/>
            <w:webHidden/>
          </w:rPr>
          <w:fldChar w:fldCharType="end"/>
        </w:r>
      </w:hyperlink>
    </w:p>
    <w:p w14:paraId="43C8CB49"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3" w:history="1">
        <w:r w:rsidR="00406035" w:rsidRPr="002E4932">
          <w:rPr>
            <w:rStyle w:val="Hyperlink"/>
            <w:noProof/>
          </w:rPr>
          <w:t>B.3.</w:t>
        </w:r>
        <w:r w:rsidR="00406035">
          <w:rPr>
            <w:rFonts w:asciiTheme="minorHAnsi" w:eastAsiaTheme="minorEastAsia" w:hAnsiTheme="minorHAnsi"/>
            <w:bCs w:val="0"/>
            <w:noProof/>
            <w:sz w:val="22"/>
            <w:lang w:eastAsia="en-AU"/>
          </w:rPr>
          <w:tab/>
        </w:r>
        <w:r w:rsidR="00406035" w:rsidRPr="002E4932">
          <w:rPr>
            <w:rStyle w:val="Hyperlink"/>
            <w:noProof/>
          </w:rPr>
          <w:t>Assessment of the measures taken by investigators to minimise bias</w:t>
        </w:r>
        <w:r w:rsidR="00406035">
          <w:rPr>
            <w:noProof/>
            <w:webHidden/>
          </w:rPr>
          <w:tab/>
        </w:r>
        <w:r w:rsidR="00406035">
          <w:rPr>
            <w:noProof/>
            <w:webHidden/>
          </w:rPr>
          <w:fldChar w:fldCharType="begin"/>
        </w:r>
        <w:r w:rsidR="00406035">
          <w:rPr>
            <w:noProof/>
            <w:webHidden/>
          </w:rPr>
          <w:instrText xml:space="preserve"> PAGEREF _Toc408845163 \h </w:instrText>
        </w:r>
        <w:r w:rsidR="00406035">
          <w:rPr>
            <w:noProof/>
            <w:webHidden/>
          </w:rPr>
        </w:r>
        <w:r w:rsidR="00406035">
          <w:rPr>
            <w:noProof/>
            <w:webHidden/>
          </w:rPr>
          <w:fldChar w:fldCharType="separate"/>
        </w:r>
        <w:r w:rsidR="00C67698">
          <w:rPr>
            <w:noProof/>
            <w:webHidden/>
          </w:rPr>
          <w:t>45</w:t>
        </w:r>
        <w:r w:rsidR="00406035">
          <w:rPr>
            <w:noProof/>
            <w:webHidden/>
          </w:rPr>
          <w:fldChar w:fldCharType="end"/>
        </w:r>
      </w:hyperlink>
    </w:p>
    <w:p w14:paraId="092B8D55"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4" w:history="1">
        <w:r w:rsidR="00406035" w:rsidRPr="002E4932">
          <w:rPr>
            <w:rStyle w:val="Hyperlink"/>
            <w:noProof/>
          </w:rPr>
          <w:t>B.4.</w:t>
        </w:r>
        <w:r w:rsidR="00406035">
          <w:rPr>
            <w:rFonts w:asciiTheme="minorHAnsi" w:eastAsiaTheme="minorEastAsia" w:hAnsiTheme="minorHAnsi"/>
            <w:bCs w:val="0"/>
            <w:noProof/>
            <w:sz w:val="22"/>
            <w:lang w:eastAsia="en-AU"/>
          </w:rPr>
          <w:tab/>
        </w:r>
        <w:r w:rsidR="00406035" w:rsidRPr="002E4932">
          <w:rPr>
            <w:rStyle w:val="Hyperlink"/>
            <w:noProof/>
          </w:rPr>
          <w:t>Characteristics of the included studies</w:t>
        </w:r>
        <w:r w:rsidR="00406035">
          <w:rPr>
            <w:noProof/>
            <w:webHidden/>
          </w:rPr>
          <w:tab/>
        </w:r>
        <w:r w:rsidR="00406035">
          <w:rPr>
            <w:noProof/>
            <w:webHidden/>
          </w:rPr>
          <w:fldChar w:fldCharType="begin"/>
        </w:r>
        <w:r w:rsidR="00406035">
          <w:rPr>
            <w:noProof/>
            <w:webHidden/>
          </w:rPr>
          <w:instrText xml:space="preserve"> PAGEREF _Toc408845164 \h </w:instrText>
        </w:r>
        <w:r w:rsidR="00406035">
          <w:rPr>
            <w:noProof/>
            <w:webHidden/>
          </w:rPr>
        </w:r>
        <w:r w:rsidR="00406035">
          <w:rPr>
            <w:noProof/>
            <w:webHidden/>
          </w:rPr>
          <w:fldChar w:fldCharType="separate"/>
        </w:r>
        <w:r w:rsidR="00C67698">
          <w:rPr>
            <w:noProof/>
            <w:webHidden/>
          </w:rPr>
          <w:t>49</w:t>
        </w:r>
        <w:r w:rsidR="00406035">
          <w:rPr>
            <w:noProof/>
            <w:webHidden/>
          </w:rPr>
          <w:fldChar w:fldCharType="end"/>
        </w:r>
      </w:hyperlink>
    </w:p>
    <w:p w14:paraId="66D9B93D"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5" w:history="1">
        <w:r w:rsidR="00406035" w:rsidRPr="002E4932">
          <w:rPr>
            <w:rStyle w:val="Hyperlink"/>
            <w:noProof/>
          </w:rPr>
          <w:t>B.5.</w:t>
        </w:r>
        <w:r w:rsidR="00406035">
          <w:rPr>
            <w:rFonts w:asciiTheme="minorHAnsi" w:eastAsiaTheme="minorEastAsia" w:hAnsiTheme="minorHAnsi"/>
            <w:bCs w:val="0"/>
            <w:noProof/>
            <w:sz w:val="22"/>
            <w:lang w:eastAsia="en-AU"/>
          </w:rPr>
          <w:tab/>
        </w:r>
        <w:r w:rsidR="00406035" w:rsidRPr="002E4932">
          <w:rPr>
            <w:rStyle w:val="Hyperlink"/>
            <w:noProof/>
          </w:rPr>
          <w:t>Outcome measures and analysis</w:t>
        </w:r>
        <w:r w:rsidR="00406035">
          <w:rPr>
            <w:noProof/>
            <w:webHidden/>
          </w:rPr>
          <w:tab/>
        </w:r>
        <w:r w:rsidR="00406035">
          <w:rPr>
            <w:noProof/>
            <w:webHidden/>
          </w:rPr>
          <w:fldChar w:fldCharType="begin"/>
        </w:r>
        <w:r w:rsidR="00406035">
          <w:rPr>
            <w:noProof/>
            <w:webHidden/>
          </w:rPr>
          <w:instrText xml:space="preserve"> PAGEREF _Toc408845165 \h </w:instrText>
        </w:r>
        <w:r w:rsidR="00406035">
          <w:rPr>
            <w:noProof/>
            <w:webHidden/>
          </w:rPr>
        </w:r>
        <w:r w:rsidR="00406035">
          <w:rPr>
            <w:noProof/>
            <w:webHidden/>
          </w:rPr>
          <w:fldChar w:fldCharType="separate"/>
        </w:r>
        <w:r w:rsidR="00C67698">
          <w:rPr>
            <w:noProof/>
            <w:webHidden/>
          </w:rPr>
          <w:t>57</w:t>
        </w:r>
        <w:r w:rsidR="00406035">
          <w:rPr>
            <w:noProof/>
            <w:webHidden/>
          </w:rPr>
          <w:fldChar w:fldCharType="end"/>
        </w:r>
      </w:hyperlink>
    </w:p>
    <w:p w14:paraId="49A43E50"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6" w:history="1">
        <w:r w:rsidR="00406035" w:rsidRPr="002E4932">
          <w:rPr>
            <w:rStyle w:val="Hyperlink"/>
            <w:noProof/>
          </w:rPr>
          <w:t>B.6.</w:t>
        </w:r>
        <w:r w:rsidR="00406035">
          <w:rPr>
            <w:rFonts w:asciiTheme="minorHAnsi" w:eastAsiaTheme="minorEastAsia" w:hAnsiTheme="minorHAnsi"/>
            <w:bCs w:val="0"/>
            <w:noProof/>
            <w:sz w:val="22"/>
            <w:lang w:eastAsia="en-AU"/>
          </w:rPr>
          <w:tab/>
        </w:r>
        <w:r w:rsidR="00406035" w:rsidRPr="002E4932">
          <w:rPr>
            <w:rStyle w:val="Hyperlink"/>
            <w:noProof/>
          </w:rPr>
          <w:t>Systematic overview of the results</w:t>
        </w:r>
        <w:r w:rsidR="00406035">
          <w:rPr>
            <w:noProof/>
            <w:webHidden/>
          </w:rPr>
          <w:tab/>
        </w:r>
        <w:r w:rsidR="00406035">
          <w:rPr>
            <w:noProof/>
            <w:webHidden/>
          </w:rPr>
          <w:fldChar w:fldCharType="begin"/>
        </w:r>
        <w:r w:rsidR="00406035">
          <w:rPr>
            <w:noProof/>
            <w:webHidden/>
          </w:rPr>
          <w:instrText xml:space="preserve"> PAGEREF _Toc408845166 \h </w:instrText>
        </w:r>
        <w:r w:rsidR="00406035">
          <w:rPr>
            <w:noProof/>
            <w:webHidden/>
          </w:rPr>
        </w:r>
        <w:r w:rsidR="00406035">
          <w:rPr>
            <w:noProof/>
            <w:webHidden/>
          </w:rPr>
          <w:fldChar w:fldCharType="separate"/>
        </w:r>
        <w:r w:rsidR="00C67698">
          <w:rPr>
            <w:noProof/>
            <w:webHidden/>
          </w:rPr>
          <w:t>59</w:t>
        </w:r>
        <w:r w:rsidR="00406035">
          <w:rPr>
            <w:noProof/>
            <w:webHidden/>
          </w:rPr>
          <w:fldChar w:fldCharType="end"/>
        </w:r>
      </w:hyperlink>
    </w:p>
    <w:p w14:paraId="3CF76525"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7" w:history="1">
        <w:r w:rsidR="00406035" w:rsidRPr="002E4932">
          <w:rPr>
            <w:rStyle w:val="Hyperlink"/>
            <w:noProof/>
          </w:rPr>
          <w:t>B.7.</w:t>
        </w:r>
        <w:r w:rsidR="00406035">
          <w:rPr>
            <w:rFonts w:asciiTheme="minorHAnsi" w:eastAsiaTheme="minorEastAsia" w:hAnsiTheme="minorHAnsi"/>
            <w:bCs w:val="0"/>
            <w:noProof/>
            <w:sz w:val="22"/>
            <w:lang w:eastAsia="en-AU"/>
          </w:rPr>
          <w:tab/>
        </w:r>
        <w:r w:rsidR="00406035" w:rsidRPr="002E4932">
          <w:rPr>
            <w:rStyle w:val="Hyperlink"/>
            <w:noProof/>
          </w:rPr>
          <w:t>Interpretation of the clinical evidence</w:t>
        </w:r>
        <w:r w:rsidR="00406035">
          <w:rPr>
            <w:noProof/>
            <w:webHidden/>
          </w:rPr>
          <w:tab/>
        </w:r>
        <w:r w:rsidR="00406035">
          <w:rPr>
            <w:noProof/>
            <w:webHidden/>
          </w:rPr>
          <w:fldChar w:fldCharType="begin"/>
        </w:r>
        <w:r w:rsidR="00406035">
          <w:rPr>
            <w:noProof/>
            <w:webHidden/>
          </w:rPr>
          <w:instrText xml:space="preserve"> PAGEREF _Toc408845167 \h </w:instrText>
        </w:r>
        <w:r w:rsidR="00406035">
          <w:rPr>
            <w:noProof/>
            <w:webHidden/>
          </w:rPr>
        </w:r>
        <w:r w:rsidR="00406035">
          <w:rPr>
            <w:noProof/>
            <w:webHidden/>
          </w:rPr>
          <w:fldChar w:fldCharType="separate"/>
        </w:r>
        <w:r w:rsidR="00C67698">
          <w:rPr>
            <w:noProof/>
            <w:webHidden/>
          </w:rPr>
          <w:t>75</w:t>
        </w:r>
        <w:r w:rsidR="00406035">
          <w:rPr>
            <w:noProof/>
            <w:webHidden/>
          </w:rPr>
          <w:fldChar w:fldCharType="end"/>
        </w:r>
      </w:hyperlink>
    </w:p>
    <w:p w14:paraId="79F00D5C" w14:textId="77777777" w:rsidR="00406035" w:rsidRDefault="00197695">
      <w:pPr>
        <w:pStyle w:val="TOC1"/>
        <w:tabs>
          <w:tab w:val="left" w:pos="2160"/>
          <w:tab w:val="right" w:leader="dot" w:pos="9016"/>
        </w:tabs>
        <w:rPr>
          <w:rFonts w:asciiTheme="minorHAnsi" w:eastAsiaTheme="minorEastAsia" w:hAnsiTheme="minorHAnsi"/>
          <w:b w:val="0"/>
          <w:bCs w:val="0"/>
          <w:noProof/>
          <w:sz w:val="22"/>
          <w:lang w:eastAsia="en-AU"/>
        </w:rPr>
      </w:pPr>
      <w:hyperlink w:anchor="_Toc408845168" w:history="1">
        <w:r w:rsidR="00406035" w:rsidRPr="002E4932">
          <w:rPr>
            <w:rStyle w:val="Hyperlink"/>
            <w:noProof/>
          </w:rPr>
          <w:t>Section C.</w:t>
        </w:r>
        <w:r w:rsidR="00406035">
          <w:rPr>
            <w:rFonts w:asciiTheme="minorHAnsi" w:eastAsiaTheme="minorEastAsia" w:hAnsiTheme="minorHAnsi"/>
            <w:b w:val="0"/>
            <w:bCs w:val="0"/>
            <w:noProof/>
            <w:sz w:val="22"/>
            <w:lang w:eastAsia="en-AU"/>
          </w:rPr>
          <w:tab/>
        </w:r>
        <w:r w:rsidR="00406035" w:rsidRPr="002E4932">
          <w:rPr>
            <w:rStyle w:val="Hyperlink"/>
            <w:noProof/>
          </w:rPr>
          <w:t>Translating the clinical evaluation to the economic evaluation</w:t>
        </w:r>
        <w:r w:rsidR="00406035">
          <w:rPr>
            <w:noProof/>
            <w:webHidden/>
          </w:rPr>
          <w:tab/>
        </w:r>
        <w:r w:rsidR="00406035">
          <w:rPr>
            <w:noProof/>
            <w:webHidden/>
          </w:rPr>
          <w:fldChar w:fldCharType="begin"/>
        </w:r>
        <w:r w:rsidR="00406035">
          <w:rPr>
            <w:noProof/>
            <w:webHidden/>
          </w:rPr>
          <w:instrText xml:space="preserve"> PAGEREF _Toc408845168 \h </w:instrText>
        </w:r>
        <w:r w:rsidR="00406035">
          <w:rPr>
            <w:noProof/>
            <w:webHidden/>
          </w:rPr>
        </w:r>
        <w:r w:rsidR="00406035">
          <w:rPr>
            <w:noProof/>
            <w:webHidden/>
          </w:rPr>
          <w:fldChar w:fldCharType="separate"/>
        </w:r>
        <w:r w:rsidR="00C67698">
          <w:rPr>
            <w:noProof/>
            <w:webHidden/>
          </w:rPr>
          <w:t>78</w:t>
        </w:r>
        <w:r w:rsidR="00406035">
          <w:rPr>
            <w:noProof/>
            <w:webHidden/>
          </w:rPr>
          <w:fldChar w:fldCharType="end"/>
        </w:r>
      </w:hyperlink>
    </w:p>
    <w:p w14:paraId="093D8939"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69" w:history="1">
        <w:r w:rsidR="00406035" w:rsidRPr="002E4932">
          <w:rPr>
            <w:rStyle w:val="Hyperlink"/>
            <w:noProof/>
          </w:rPr>
          <w:t>C.1.</w:t>
        </w:r>
        <w:r w:rsidR="00406035">
          <w:rPr>
            <w:rFonts w:asciiTheme="minorHAnsi" w:eastAsiaTheme="minorEastAsia" w:hAnsiTheme="minorHAnsi"/>
            <w:bCs w:val="0"/>
            <w:noProof/>
            <w:sz w:val="22"/>
            <w:lang w:eastAsia="en-AU"/>
          </w:rPr>
          <w:tab/>
        </w:r>
        <w:r w:rsidR="00406035" w:rsidRPr="002E4932">
          <w:rPr>
            <w:rStyle w:val="Hyperlink"/>
            <w:noProof/>
          </w:rPr>
          <w:t>Identification of issues to be addressed</w:t>
        </w:r>
        <w:r w:rsidR="00406035">
          <w:rPr>
            <w:noProof/>
            <w:webHidden/>
          </w:rPr>
          <w:tab/>
        </w:r>
        <w:r w:rsidR="00406035">
          <w:rPr>
            <w:noProof/>
            <w:webHidden/>
          </w:rPr>
          <w:fldChar w:fldCharType="begin"/>
        </w:r>
        <w:r w:rsidR="00406035">
          <w:rPr>
            <w:noProof/>
            <w:webHidden/>
          </w:rPr>
          <w:instrText xml:space="preserve"> PAGEREF _Toc408845169 \h </w:instrText>
        </w:r>
        <w:r w:rsidR="00406035">
          <w:rPr>
            <w:noProof/>
            <w:webHidden/>
          </w:rPr>
        </w:r>
        <w:r w:rsidR="00406035">
          <w:rPr>
            <w:noProof/>
            <w:webHidden/>
          </w:rPr>
          <w:fldChar w:fldCharType="separate"/>
        </w:r>
        <w:r w:rsidR="00C67698">
          <w:rPr>
            <w:noProof/>
            <w:webHidden/>
          </w:rPr>
          <w:t>78</w:t>
        </w:r>
        <w:r w:rsidR="00406035">
          <w:rPr>
            <w:noProof/>
            <w:webHidden/>
          </w:rPr>
          <w:fldChar w:fldCharType="end"/>
        </w:r>
      </w:hyperlink>
    </w:p>
    <w:p w14:paraId="18C5FA7E"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0" w:history="1">
        <w:r w:rsidR="00406035" w:rsidRPr="002E4932">
          <w:rPr>
            <w:rStyle w:val="Hyperlink"/>
            <w:noProof/>
          </w:rPr>
          <w:t>C.2.</w:t>
        </w:r>
        <w:r w:rsidR="00406035">
          <w:rPr>
            <w:rFonts w:asciiTheme="minorHAnsi" w:eastAsiaTheme="minorEastAsia" w:hAnsiTheme="minorHAnsi"/>
            <w:bCs w:val="0"/>
            <w:noProof/>
            <w:sz w:val="22"/>
            <w:lang w:eastAsia="en-AU"/>
          </w:rPr>
          <w:tab/>
        </w:r>
        <w:r w:rsidR="00406035" w:rsidRPr="002E4932">
          <w:rPr>
            <w:rStyle w:val="Hyperlink"/>
            <w:noProof/>
          </w:rPr>
          <w:t>Issue 1: Population and circumstances of use</w:t>
        </w:r>
        <w:r w:rsidR="00406035">
          <w:rPr>
            <w:noProof/>
            <w:webHidden/>
          </w:rPr>
          <w:tab/>
        </w:r>
        <w:r w:rsidR="00406035">
          <w:rPr>
            <w:noProof/>
            <w:webHidden/>
          </w:rPr>
          <w:fldChar w:fldCharType="begin"/>
        </w:r>
        <w:r w:rsidR="00406035">
          <w:rPr>
            <w:noProof/>
            <w:webHidden/>
          </w:rPr>
          <w:instrText xml:space="preserve"> PAGEREF _Toc408845170 \h </w:instrText>
        </w:r>
        <w:r w:rsidR="00406035">
          <w:rPr>
            <w:noProof/>
            <w:webHidden/>
          </w:rPr>
        </w:r>
        <w:r w:rsidR="00406035">
          <w:rPr>
            <w:noProof/>
            <w:webHidden/>
          </w:rPr>
          <w:fldChar w:fldCharType="separate"/>
        </w:r>
        <w:r w:rsidR="00C67698">
          <w:rPr>
            <w:noProof/>
            <w:webHidden/>
          </w:rPr>
          <w:t>79</w:t>
        </w:r>
        <w:r w:rsidR="00406035">
          <w:rPr>
            <w:noProof/>
            <w:webHidden/>
          </w:rPr>
          <w:fldChar w:fldCharType="end"/>
        </w:r>
      </w:hyperlink>
    </w:p>
    <w:p w14:paraId="7E2782BF"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1" w:history="1">
        <w:r w:rsidR="00406035" w:rsidRPr="002E4932">
          <w:rPr>
            <w:rStyle w:val="Hyperlink"/>
            <w:noProof/>
          </w:rPr>
          <w:t>C.3.</w:t>
        </w:r>
        <w:r w:rsidR="00406035">
          <w:rPr>
            <w:rFonts w:asciiTheme="minorHAnsi" w:eastAsiaTheme="minorEastAsia" w:hAnsiTheme="minorHAnsi"/>
            <w:bCs w:val="0"/>
            <w:noProof/>
            <w:sz w:val="22"/>
            <w:lang w:eastAsia="en-AU"/>
          </w:rPr>
          <w:tab/>
        </w:r>
        <w:r w:rsidR="00406035" w:rsidRPr="002E4932">
          <w:rPr>
            <w:rStyle w:val="Hyperlink"/>
            <w:noProof/>
          </w:rPr>
          <w:t>Issue 2: Treatment duration of Alzheimer’s disease drugs</w:t>
        </w:r>
        <w:r w:rsidR="00406035">
          <w:rPr>
            <w:noProof/>
            <w:webHidden/>
          </w:rPr>
          <w:tab/>
        </w:r>
        <w:r w:rsidR="00406035">
          <w:rPr>
            <w:noProof/>
            <w:webHidden/>
          </w:rPr>
          <w:fldChar w:fldCharType="begin"/>
        </w:r>
        <w:r w:rsidR="00406035">
          <w:rPr>
            <w:noProof/>
            <w:webHidden/>
          </w:rPr>
          <w:instrText xml:space="preserve"> PAGEREF _Toc408845171 \h </w:instrText>
        </w:r>
        <w:r w:rsidR="00406035">
          <w:rPr>
            <w:noProof/>
            <w:webHidden/>
          </w:rPr>
        </w:r>
        <w:r w:rsidR="00406035">
          <w:rPr>
            <w:noProof/>
            <w:webHidden/>
          </w:rPr>
          <w:fldChar w:fldCharType="separate"/>
        </w:r>
        <w:r w:rsidR="00C67698">
          <w:rPr>
            <w:noProof/>
            <w:webHidden/>
          </w:rPr>
          <w:t>80</w:t>
        </w:r>
        <w:r w:rsidR="00406035">
          <w:rPr>
            <w:noProof/>
            <w:webHidden/>
          </w:rPr>
          <w:fldChar w:fldCharType="end"/>
        </w:r>
      </w:hyperlink>
    </w:p>
    <w:p w14:paraId="4CCFC475"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2" w:history="1">
        <w:r w:rsidR="00406035" w:rsidRPr="002E4932">
          <w:rPr>
            <w:rStyle w:val="Hyperlink"/>
            <w:noProof/>
          </w:rPr>
          <w:t>C.4.</w:t>
        </w:r>
        <w:r w:rsidR="00406035">
          <w:rPr>
            <w:rFonts w:asciiTheme="minorHAnsi" w:eastAsiaTheme="minorEastAsia" w:hAnsiTheme="minorHAnsi"/>
            <w:bCs w:val="0"/>
            <w:noProof/>
            <w:sz w:val="22"/>
            <w:lang w:eastAsia="en-AU"/>
          </w:rPr>
          <w:tab/>
        </w:r>
        <w:r w:rsidR="00406035" w:rsidRPr="002E4932">
          <w:rPr>
            <w:rStyle w:val="Hyperlink"/>
            <w:noProof/>
          </w:rPr>
          <w:t>Issue 3: Natural history of Alzheimer’s disease</w:t>
        </w:r>
        <w:r w:rsidR="00406035">
          <w:rPr>
            <w:noProof/>
            <w:webHidden/>
          </w:rPr>
          <w:tab/>
        </w:r>
        <w:r w:rsidR="00406035">
          <w:rPr>
            <w:noProof/>
            <w:webHidden/>
          </w:rPr>
          <w:fldChar w:fldCharType="begin"/>
        </w:r>
        <w:r w:rsidR="00406035">
          <w:rPr>
            <w:noProof/>
            <w:webHidden/>
          </w:rPr>
          <w:instrText xml:space="preserve"> PAGEREF _Toc408845172 \h </w:instrText>
        </w:r>
        <w:r w:rsidR="00406035">
          <w:rPr>
            <w:noProof/>
            <w:webHidden/>
          </w:rPr>
        </w:r>
        <w:r w:rsidR="00406035">
          <w:rPr>
            <w:noProof/>
            <w:webHidden/>
          </w:rPr>
          <w:fldChar w:fldCharType="separate"/>
        </w:r>
        <w:r w:rsidR="00C67698">
          <w:rPr>
            <w:noProof/>
            <w:webHidden/>
          </w:rPr>
          <w:t>82</w:t>
        </w:r>
        <w:r w:rsidR="00406035">
          <w:rPr>
            <w:noProof/>
            <w:webHidden/>
          </w:rPr>
          <w:fldChar w:fldCharType="end"/>
        </w:r>
      </w:hyperlink>
    </w:p>
    <w:p w14:paraId="59B0AC12"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3" w:history="1">
        <w:r w:rsidR="00406035" w:rsidRPr="002E4932">
          <w:rPr>
            <w:rStyle w:val="Hyperlink"/>
            <w:noProof/>
          </w:rPr>
          <w:t>C.5.</w:t>
        </w:r>
        <w:r w:rsidR="00406035">
          <w:rPr>
            <w:rFonts w:asciiTheme="minorHAnsi" w:eastAsiaTheme="minorEastAsia" w:hAnsiTheme="minorHAnsi"/>
            <w:bCs w:val="0"/>
            <w:noProof/>
            <w:sz w:val="22"/>
            <w:lang w:eastAsia="en-AU"/>
          </w:rPr>
          <w:tab/>
        </w:r>
        <w:r w:rsidR="00406035" w:rsidRPr="002E4932">
          <w:rPr>
            <w:rStyle w:val="Hyperlink"/>
            <w:noProof/>
          </w:rPr>
          <w:t>Issue 4: Treatment effect associated with drugs to treat Alzheimer’s disease</w:t>
        </w:r>
        <w:r w:rsidR="00406035">
          <w:rPr>
            <w:noProof/>
            <w:webHidden/>
          </w:rPr>
          <w:tab/>
        </w:r>
        <w:r w:rsidR="00406035">
          <w:rPr>
            <w:noProof/>
            <w:webHidden/>
          </w:rPr>
          <w:fldChar w:fldCharType="begin"/>
        </w:r>
        <w:r w:rsidR="00406035">
          <w:rPr>
            <w:noProof/>
            <w:webHidden/>
          </w:rPr>
          <w:instrText xml:space="preserve"> PAGEREF _Toc408845173 \h </w:instrText>
        </w:r>
        <w:r w:rsidR="00406035">
          <w:rPr>
            <w:noProof/>
            <w:webHidden/>
          </w:rPr>
        </w:r>
        <w:r w:rsidR="00406035">
          <w:rPr>
            <w:noProof/>
            <w:webHidden/>
          </w:rPr>
          <w:fldChar w:fldCharType="separate"/>
        </w:r>
        <w:r w:rsidR="00C67698">
          <w:rPr>
            <w:noProof/>
            <w:webHidden/>
          </w:rPr>
          <w:t>84</w:t>
        </w:r>
        <w:r w:rsidR="00406035">
          <w:rPr>
            <w:noProof/>
            <w:webHidden/>
          </w:rPr>
          <w:fldChar w:fldCharType="end"/>
        </w:r>
      </w:hyperlink>
    </w:p>
    <w:p w14:paraId="69C61A22"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4" w:history="1">
        <w:r w:rsidR="00406035" w:rsidRPr="002E4932">
          <w:rPr>
            <w:rStyle w:val="Hyperlink"/>
            <w:noProof/>
          </w:rPr>
          <w:t>C.6.</w:t>
        </w:r>
        <w:r w:rsidR="00406035">
          <w:rPr>
            <w:rFonts w:asciiTheme="minorHAnsi" w:eastAsiaTheme="minorEastAsia" w:hAnsiTheme="minorHAnsi"/>
            <w:bCs w:val="0"/>
            <w:noProof/>
            <w:sz w:val="22"/>
            <w:lang w:eastAsia="en-AU"/>
          </w:rPr>
          <w:tab/>
        </w:r>
        <w:r w:rsidR="00406035" w:rsidRPr="002E4932">
          <w:rPr>
            <w:rStyle w:val="Hyperlink"/>
            <w:noProof/>
          </w:rPr>
          <w:t>Issue 5: Utility weights to inform the QALY transformations of the economic model</w:t>
        </w:r>
        <w:r w:rsidR="00406035">
          <w:rPr>
            <w:noProof/>
            <w:webHidden/>
          </w:rPr>
          <w:tab/>
        </w:r>
        <w:r w:rsidR="00406035">
          <w:rPr>
            <w:noProof/>
            <w:webHidden/>
          </w:rPr>
          <w:fldChar w:fldCharType="begin"/>
        </w:r>
        <w:r w:rsidR="00406035">
          <w:rPr>
            <w:noProof/>
            <w:webHidden/>
          </w:rPr>
          <w:instrText xml:space="preserve"> PAGEREF _Toc408845174 \h </w:instrText>
        </w:r>
        <w:r w:rsidR="00406035">
          <w:rPr>
            <w:noProof/>
            <w:webHidden/>
          </w:rPr>
        </w:r>
        <w:r w:rsidR="00406035">
          <w:rPr>
            <w:noProof/>
            <w:webHidden/>
          </w:rPr>
          <w:fldChar w:fldCharType="separate"/>
        </w:r>
        <w:r w:rsidR="00C67698">
          <w:rPr>
            <w:noProof/>
            <w:webHidden/>
          </w:rPr>
          <w:t>86</w:t>
        </w:r>
        <w:r w:rsidR="00406035">
          <w:rPr>
            <w:noProof/>
            <w:webHidden/>
          </w:rPr>
          <w:fldChar w:fldCharType="end"/>
        </w:r>
      </w:hyperlink>
    </w:p>
    <w:p w14:paraId="6FE58442"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5" w:history="1">
        <w:r w:rsidR="00406035" w:rsidRPr="002E4932">
          <w:rPr>
            <w:rStyle w:val="Hyperlink"/>
            <w:noProof/>
          </w:rPr>
          <w:t>C.7.</w:t>
        </w:r>
        <w:r w:rsidR="00406035">
          <w:rPr>
            <w:rFonts w:asciiTheme="minorHAnsi" w:eastAsiaTheme="minorEastAsia" w:hAnsiTheme="minorHAnsi"/>
            <w:bCs w:val="0"/>
            <w:noProof/>
            <w:sz w:val="22"/>
            <w:lang w:eastAsia="en-AU"/>
          </w:rPr>
          <w:tab/>
        </w:r>
        <w:r w:rsidR="00406035" w:rsidRPr="002E4932">
          <w:rPr>
            <w:rStyle w:val="Hyperlink"/>
            <w:noProof/>
          </w:rPr>
          <w:t>Issue 6: Estimating the drug costs associated with treating Alzheimer’s disease</w:t>
        </w:r>
        <w:r w:rsidR="00406035">
          <w:rPr>
            <w:noProof/>
            <w:webHidden/>
          </w:rPr>
          <w:tab/>
        </w:r>
        <w:r w:rsidR="00406035">
          <w:rPr>
            <w:noProof/>
            <w:webHidden/>
          </w:rPr>
          <w:fldChar w:fldCharType="begin"/>
        </w:r>
        <w:r w:rsidR="00406035">
          <w:rPr>
            <w:noProof/>
            <w:webHidden/>
          </w:rPr>
          <w:instrText xml:space="preserve"> PAGEREF _Toc408845175 \h </w:instrText>
        </w:r>
        <w:r w:rsidR="00406035">
          <w:rPr>
            <w:noProof/>
            <w:webHidden/>
          </w:rPr>
        </w:r>
        <w:r w:rsidR="00406035">
          <w:rPr>
            <w:noProof/>
            <w:webHidden/>
          </w:rPr>
          <w:fldChar w:fldCharType="separate"/>
        </w:r>
        <w:r w:rsidR="00C67698">
          <w:rPr>
            <w:noProof/>
            <w:webHidden/>
          </w:rPr>
          <w:t>94</w:t>
        </w:r>
        <w:r w:rsidR="00406035">
          <w:rPr>
            <w:noProof/>
            <w:webHidden/>
          </w:rPr>
          <w:fldChar w:fldCharType="end"/>
        </w:r>
      </w:hyperlink>
    </w:p>
    <w:p w14:paraId="530FC61F"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6" w:history="1">
        <w:r w:rsidR="00406035" w:rsidRPr="002E4932">
          <w:rPr>
            <w:rStyle w:val="Hyperlink"/>
            <w:noProof/>
          </w:rPr>
          <w:t>C.8.</w:t>
        </w:r>
        <w:r w:rsidR="00406035">
          <w:rPr>
            <w:rFonts w:asciiTheme="minorHAnsi" w:eastAsiaTheme="minorEastAsia" w:hAnsiTheme="minorHAnsi"/>
            <w:bCs w:val="0"/>
            <w:noProof/>
            <w:sz w:val="22"/>
            <w:lang w:eastAsia="en-AU"/>
          </w:rPr>
          <w:tab/>
        </w:r>
        <w:r w:rsidR="00406035" w:rsidRPr="002E4932">
          <w:rPr>
            <w:rStyle w:val="Hyperlink"/>
            <w:noProof/>
          </w:rPr>
          <w:t>Issue 7: Costs associated with residential status of individuals with Alzheimer’s disease</w:t>
        </w:r>
        <w:r w:rsidR="00406035">
          <w:rPr>
            <w:noProof/>
            <w:webHidden/>
          </w:rPr>
          <w:tab/>
        </w:r>
        <w:r w:rsidR="00406035">
          <w:rPr>
            <w:noProof/>
            <w:webHidden/>
          </w:rPr>
          <w:fldChar w:fldCharType="begin"/>
        </w:r>
        <w:r w:rsidR="00406035">
          <w:rPr>
            <w:noProof/>
            <w:webHidden/>
          </w:rPr>
          <w:instrText xml:space="preserve"> PAGEREF _Toc408845176 \h </w:instrText>
        </w:r>
        <w:r w:rsidR="00406035">
          <w:rPr>
            <w:noProof/>
            <w:webHidden/>
          </w:rPr>
        </w:r>
        <w:r w:rsidR="00406035">
          <w:rPr>
            <w:noProof/>
            <w:webHidden/>
          </w:rPr>
          <w:fldChar w:fldCharType="separate"/>
        </w:r>
        <w:r w:rsidR="00C67698">
          <w:rPr>
            <w:noProof/>
            <w:webHidden/>
          </w:rPr>
          <w:t>96</w:t>
        </w:r>
        <w:r w:rsidR="00406035">
          <w:rPr>
            <w:noProof/>
            <w:webHidden/>
          </w:rPr>
          <w:fldChar w:fldCharType="end"/>
        </w:r>
      </w:hyperlink>
    </w:p>
    <w:p w14:paraId="1F306DB4"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7" w:history="1">
        <w:r w:rsidR="00406035" w:rsidRPr="002E4932">
          <w:rPr>
            <w:rStyle w:val="Hyperlink"/>
            <w:noProof/>
          </w:rPr>
          <w:t>C.9.</w:t>
        </w:r>
        <w:r w:rsidR="00406035">
          <w:rPr>
            <w:rFonts w:asciiTheme="minorHAnsi" w:eastAsiaTheme="minorEastAsia" w:hAnsiTheme="minorHAnsi"/>
            <w:bCs w:val="0"/>
            <w:noProof/>
            <w:sz w:val="22"/>
            <w:lang w:eastAsia="en-AU"/>
          </w:rPr>
          <w:tab/>
        </w:r>
        <w:r w:rsidR="00406035" w:rsidRPr="002E4932">
          <w:rPr>
            <w:rStyle w:val="Hyperlink"/>
            <w:noProof/>
          </w:rPr>
          <w:t>Issue 7: Diagnostic accuracy of FDG-PET and SPECT</w:t>
        </w:r>
        <w:r w:rsidR="00406035">
          <w:rPr>
            <w:noProof/>
            <w:webHidden/>
          </w:rPr>
          <w:tab/>
        </w:r>
        <w:r w:rsidR="00406035">
          <w:rPr>
            <w:noProof/>
            <w:webHidden/>
          </w:rPr>
          <w:fldChar w:fldCharType="begin"/>
        </w:r>
        <w:r w:rsidR="00406035">
          <w:rPr>
            <w:noProof/>
            <w:webHidden/>
          </w:rPr>
          <w:instrText xml:space="preserve"> PAGEREF _Toc408845177 \h </w:instrText>
        </w:r>
        <w:r w:rsidR="00406035">
          <w:rPr>
            <w:noProof/>
            <w:webHidden/>
          </w:rPr>
        </w:r>
        <w:r w:rsidR="00406035">
          <w:rPr>
            <w:noProof/>
            <w:webHidden/>
          </w:rPr>
          <w:fldChar w:fldCharType="separate"/>
        </w:r>
        <w:r w:rsidR="00C67698">
          <w:rPr>
            <w:noProof/>
            <w:webHidden/>
          </w:rPr>
          <w:t>98</w:t>
        </w:r>
        <w:r w:rsidR="00406035">
          <w:rPr>
            <w:noProof/>
            <w:webHidden/>
          </w:rPr>
          <w:fldChar w:fldCharType="end"/>
        </w:r>
      </w:hyperlink>
    </w:p>
    <w:p w14:paraId="1FED4F16"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78" w:history="1">
        <w:r w:rsidR="00406035" w:rsidRPr="002E4932">
          <w:rPr>
            <w:rStyle w:val="Hyperlink"/>
            <w:noProof/>
          </w:rPr>
          <w:t>C.10.</w:t>
        </w:r>
        <w:r w:rsidR="00406035">
          <w:rPr>
            <w:rFonts w:asciiTheme="minorHAnsi" w:eastAsiaTheme="minorEastAsia" w:hAnsiTheme="minorHAnsi"/>
            <w:bCs w:val="0"/>
            <w:noProof/>
            <w:sz w:val="22"/>
            <w:lang w:eastAsia="en-AU"/>
          </w:rPr>
          <w:tab/>
        </w:r>
        <w:r w:rsidR="00406035" w:rsidRPr="002E4932">
          <w:rPr>
            <w:rStyle w:val="Hyperlink"/>
            <w:noProof/>
          </w:rPr>
          <w:t>Summary of the translation issues considered and their relationship to the economic evaluation</w:t>
        </w:r>
        <w:r w:rsidR="00406035">
          <w:rPr>
            <w:noProof/>
            <w:webHidden/>
          </w:rPr>
          <w:tab/>
        </w:r>
        <w:r w:rsidR="00406035">
          <w:rPr>
            <w:noProof/>
            <w:webHidden/>
          </w:rPr>
          <w:fldChar w:fldCharType="begin"/>
        </w:r>
        <w:r w:rsidR="00406035">
          <w:rPr>
            <w:noProof/>
            <w:webHidden/>
          </w:rPr>
          <w:instrText xml:space="preserve"> PAGEREF _Toc408845178 \h </w:instrText>
        </w:r>
        <w:r w:rsidR="00406035">
          <w:rPr>
            <w:noProof/>
            <w:webHidden/>
          </w:rPr>
        </w:r>
        <w:r w:rsidR="00406035">
          <w:rPr>
            <w:noProof/>
            <w:webHidden/>
          </w:rPr>
          <w:fldChar w:fldCharType="separate"/>
        </w:r>
        <w:r w:rsidR="00C67698">
          <w:rPr>
            <w:noProof/>
            <w:webHidden/>
          </w:rPr>
          <w:t>99</w:t>
        </w:r>
        <w:r w:rsidR="00406035">
          <w:rPr>
            <w:noProof/>
            <w:webHidden/>
          </w:rPr>
          <w:fldChar w:fldCharType="end"/>
        </w:r>
      </w:hyperlink>
    </w:p>
    <w:p w14:paraId="6DFFB769" w14:textId="77777777" w:rsidR="00406035" w:rsidRDefault="00197695">
      <w:pPr>
        <w:pStyle w:val="TOC1"/>
        <w:tabs>
          <w:tab w:val="left" w:pos="2160"/>
          <w:tab w:val="right" w:leader="dot" w:pos="9016"/>
        </w:tabs>
        <w:rPr>
          <w:rFonts w:asciiTheme="minorHAnsi" w:eastAsiaTheme="minorEastAsia" w:hAnsiTheme="minorHAnsi"/>
          <w:b w:val="0"/>
          <w:bCs w:val="0"/>
          <w:noProof/>
          <w:sz w:val="22"/>
          <w:lang w:eastAsia="en-AU"/>
        </w:rPr>
      </w:pPr>
      <w:hyperlink w:anchor="_Toc408845179" w:history="1">
        <w:r w:rsidR="00406035" w:rsidRPr="002E4932">
          <w:rPr>
            <w:rStyle w:val="Hyperlink"/>
            <w:noProof/>
          </w:rPr>
          <w:t>Section D.</w:t>
        </w:r>
        <w:r w:rsidR="00406035">
          <w:rPr>
            <w:rFonts w:asciiTheme="minorHAnsi" w:eastAsiaTheme="minorEastAsia" w:hAnsiTheme="minorHAnsi"/>
            <w:b w:val="0"/>
            <w:bCs w:val="0"/>
            <w:noProof/>
            <w:sz w:val="22"/>
            <w:lang w:eastAsia="en-AU"/>
          </w:rPr>
          <w:tab/>
        </w:r>
        <w:r w:rsidR="00406035" w:rsidRPr="002E4932">
          <w:rPr>
            <w:rStyle w:val="Hyperlink"/>
            <w:noProof/>
          </w:rPr>
          <w:t>Economic evaluation for the main indication</w:t>
        </w:r>
        <w:r w:rsidR="00406035">
          <w:rPr>
            <w:noProof/>
            <w:webHidden/>
          </w:rPr>
          <w:tab/>
        </w:r>
        <w:r w:rsidR="00406035">
          <w:rPr>
            <w:noProof/>
            <w:webHidden/>
          </w:rPr>
          <w:fldChar w:fldCharType="begin"/>
        </w:r>
        <w:r w:rsidR="00406035">
          <w:rPr>
            <w:noProof/>
            <w:webHidden/>
          </w:rPr>
          <w:instrText xml:space="preserve"> PAGEREF _Toc408845179 \h </w:instrText>
        </w:r>
        <w:r w:rsidR="00406035">
          <w:rPr>
            <w:noProof/>
            <w:webHidden/>
          </w:rPr>
        </w:r>
        <w:r w:rsidR="00406035">
          <w:rPr>
            <w:noProof/>
            <w:webHidden/>
          </w:rPr>
          <w:fldChar w:fldCharType="separate"/>
        </w:r>
        <w:r w:rsidR="00C67698">
          <w:rPr>
            <w:noProof/>
            <w:webHidden/>
          </w:rPr>
          <w:t>101</w:t>
        </w:r>
        <w:r w:rsidR="00406035">
          <w:rPr>
            <w:noProof/>
            <w:webHidden/>
          </w:rPr>
          <w:fldChar w:fldCharType="end"/>
        </w:r>
      </w:hyperlink>
    </w:p>
    <w:p w14:paraId="062C2EBC"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0" w:history="1">
        <w:r w:rsidR="00406035" w:rsidRPr="002E4932">
          <w:rPr>
            <w:rStyle w:val="Hyperlink"/>
            <w:noProof/>
          </w:rPr>
          <w:t>D.1.</w:t>
        </w:r>
        <w:r w:rsidR="00406035">
          <w:rPr>
            <w:rFonts w:asciiTheme="minorHAnsi" w:eastAsiaTheme="minorEastAsia" w:hAnsiTheme="minorHAnsi"/>
            <w:bCs w:val="0"/>
            <w:noProof/>
            <w:sz w:val="22"/>
            <w:lang w:eastAsia="en-AU"/>
          </w:rPr>
          <w:tab/>
        </w:r>
        <w:r w:rsidR="00406035" w:rsidRPr="002E4932">
          <w:rPr>
            <w:rStyle w:val="Hyperlink"/>
            <w:noProof/>
          </w:rPr>
          <w:t>Overview of the economic evaluation</w:t>
        </w:r>
        <w:r w:rsidR="00406035">
          <w:rPr>
            <w:noProof/>
            <w:webHidden/>
          </w:rPr>
          <w:tab/>
        </w:r>
        <w:r w:rsidR="00406035">
          <w:rPr>
            <w:noProof/>
            <w:webHidden/>
          </w:rPr>
          <w:fldChar w:fldCharType="begin"/>
        </w:r>
        <w:r w:rsidR="00406035">
          <w:rPr>
            <w:noProof/>
            <w:webHidden/>
          </w:rPr>
          <w:instrText xml:space="preserve"> PAGEREF _Toc408845180 \h </w:instrText>
        </w:r>
        <w:r w:rsidR="00406035">
          <w:rPr>
            <w:noProof/>
            <w:webHidden/>
          </w:rPr>
        </w:r>
        <w:r w:rsidR="00406035">
          <w:rPr>
            <w:noProof/>
            <w:webHidden/>
          </w:rPr>
          <w:fldChar w:fldCharType="separate"/>
        </w:r>
        <w:r w:rsidR="00C67698">
          <w:rPr>
            <w:noProof/>
            <w:webHidden/>
          </w:rPr>
          <w:t>101</w:t>
        </w:r>
        <w:r w:rsidR="00406035">
          <w:rPr>
            <w:noProof/>
            <w:webHidden/>
          </w:rPr>
          <w:fldChar w:fldCharType="end"/>
        </w:r>
      </w:hyperlink>
    </w:p>
    <w:p w14:paraId="680991E0"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1" w:history="1">
        <w:r w:rsidR="00406035" w:rsidRPr="002E4932">
          <w:rPr>
            <w:rStyle w:val="Hyperlink"/>
            <w:noProof/>
          </w:rPr>
          <w:t>D.2.</w:t>
        </w:r>
        <w:r w:rsidR="00406035">
          <w:rPr>
            <w:rFonts w:asciiTheme="minorHAnsi" w:eastAsiaTheme="minorEastAsia" w:hAnsiTheme="minorHAnsi"/>
            <w:bCs w:val="0"/>
            <w:noProof/>
            <w:sz w:val="22"/>
            <w:lang w:eastAsia="en-AU"/>
          </w:rPr>
          <w:tab/>
        </w:r>
        <w:r w:rsidR="00406035" w:rsidRPr="002E4932">
          <w:rPr>
            <w:rStyle w:val="Hyperlink"/>
            <w:noProof/>
          </w:rPr>
          <w:t>Population and circumstances of use reflected in the economic evaluation</w:t>
        </w:r>
        <w:r w:rsidR="00406035">
          <w:rPr>
            <w:noProof/>
            <w:webHidden/>
          </w:rPr>
          <w:tab/>
        </w:r>
        <w:r w:rsidR="00406035">
          <w:rPr>
            <w:noProof/>
            <w:webHidden/>
          </w:rPr>
          <w:fldChar w:fldCharType="begin"/>
        </w:r>
        <w:r w:rsidR="00406035">
          <w:rPr>
            <w:noProof/>
            <w:webHidden/>
          </w:rPr>
          <w:instrText xml:space="preserve"> PAGEREF _Toc408845181 \h </w:instrText>
        </w:r>
        <w:r w:rsidR="00406035">
          <w:rPr>
            <w:noProof/>
            <w:webHidden/>
          </w:rPr>
        </w:r>
        <w:r w:rsidR="00406035">
          <w:rPr>
            <w:noProof/>
            <w:webHidden/>
          </w:rPr>
          <w:fldChar w:fldCharType="separate"/>
        </w:r>
        <w:r w:rsidR="00C67698">
          <w:rPr>
            <w:noProof/>
            <w:webHidden/>
          </w:rPr>
          <w:t>101</w:t>
        </w:r>
        <w:r w:rsidR="00406035">
          <w:rPr>
            <w:noProof/>
            <w:webHidden/>
          </w:rPr>
          <w:fldChar w:fldCharType="end"/>
        </w:r>
      </w:hyperlink>
    </w:p>
    <w:p w14:paraId="522E2553"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2" w:history="1">
        <w:r w:rsidR="00406035" w:rsidRPr="002E4932">
          <w:rPr>
            <w:rStyle w:val="Hyperlink"/>
            <w:noProof/>
          </w:rPr>
          <w:t>D.3.</w:t>
        </w:r>
        <w:r w:rsidR="00406035">
          <w:rPr>
            <w:rFonts w:asciiTheme="minorHAnsi" w:eastAsiaTheme="minorEastAsia" w:hAnsiTheme="minorHAnsi"/>
            <w:bCs w:val="0"/>
            <w:noProof/>
            <w:sz w:val="22"/>
            <w:lang w:eastAsia="en-AU"/>
          </w:rPr>
          <w:tab/>
        </w:r>
        <w:r w:rsidR="00406035" w:rsidRPr="002E4932">
          <w:rPr>
            <w:rStyle w:val="Hyperlink"/>
            <w:noProof/>
          </w:rPr>
          <w:t>Structure and rationale of the economic evaluation</w:t>
        </w:r>
        <w:r w:rsidR="00406035">
          <w:rPr>
            <w:noProof/>
            <w:webHidden/>
          </w:rPr>
          <w:tab/>
        </w:r>
        <w:r w:rsidR="00406035">
          <w:rPr>
            <w:noProof/>
            <w:webHidden/>
          </w:rPr>
          <w:fldChar w:fldCharType="begin"/>
        </w:r>
        <w:r w:rsidR="00406035">
          <w:rPr>
            <w:noProof/>
            <w:webHidden/>
          </w:rPr>
          <w:instrText xml:space="preserve"> PAGEREF _Toc408845182 \h </w:instrText>
        </w:r>
        <w:r w:rsidR="00406035">
          <w:rPr>
            <w:noProof/>
            <w:webHidden/>
          </w:rPr>
        </w:r>
        <w:r w:rsidR="00406035">
          <w:rPr>
            <w:noProof/>
            <w:webHidden/>
          </w:rPr>
          <w:fldChar w:fldCharType="separate"/>
        </w:r>
        <w:r w:rsidR="00C67698">
          <w:rPr>
            <w:noProof/>
            <w:webHidden/>
          </w:rPr>
          <w:t>101</w:t>
        </w:r>
        <w:r w:rsidR="00406035">
          <w:rPr>
            <w:noProof/>
            <w:webHidden/>
          </w:rPr>
          <w:fldChar w:fldCharType="end"/>
        </w:r>
      </w:hyperlink>
    </w:p>
    <w:p w14:paraId="4F5AD105"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3" w:history="1">
        <w:r w:rsidR="00406035" w:rsidRPr="002E4932">
          <w:rPr>
            <w:rStyle w:val="Hyperlink"/>
            <w:noProof/>
          </w:rPr>
          <w:t>D.4.</w:t>
        </w:r>
        <w:r w:rsidR="00406035">
          <w:rPr>
            <w:rFonts w:asciiTheme="minorHAnsi" w:eastAsiaTheme="minorEastAsia" w:hAnsiTheme="minorHAnsi"/>
            <w:bCs w:val="0"/>
            <w:noProof/>
            <w:sz w:val="22"/>
            <w:lang w:eastAsia="en-AU"/>
          </w:rPr>
          <w:tab/>
        </w:r>
        <w:r w:rsidR="00406035" w:rsidRPr="002E4932">
          <w:rPr>
            <w:rStyle w:val="Hyperlink"/>
            <w:noProof/>
          </w:rPr>
          <w:t>Variables in the economic evaluation</w:t>
        </w:r>
        <w:r w:rsidR="00406035">
          <w:rPr>
            <w:noProof/>
            <w:webHidden/>
          </w:rPr>
          <w:tab/>
        </w:r>
        <w:r w:rsidR="00406035">
          <w:rPr>
            <w:noProof/>
            <w:webHidden/>
          </w:rPr>
          <w:fldChar w:fldCharType="begin"/>
        </w:r>
        <w:r w:rsidR="00406035">
          <w:rPr>
            <w:noProof/>
            <w:webHidden/>
          </w:rPr>
          <w:instrText xml:space="preserve"> PAGEREF _Toc408845183 \h </w:instrText>
        </w:r>
        <w:r w:rsidR="00406035">
          <w:rPr>
            <w:noProof/>
            <w:webHidden/>
          </w:rPr>
        </w:r>
        <w:r w:rsidR="00406035">
          <w:rPr>
            <w:noProof/>
            <w:webHidden/>
          </w:rPr>
          <w:fldChar w:fldCharType="separate"/>
        </w:r>
        <w:r w:rsidR="00C67698">
          <w:rPr>
            <w:noProof/>
            <w:webHidden/>
          </w:rPr>
          <w:t>105</w:t>
        </w:r>
        <w:r w:rsidR="00406035">
          <w:rPr>
            <w:noProof/>
            <w:webHidden/>
          </w:rPr>
          <w:fldChar w:fldCharType="end"/>
        </w:r>
      </w:hyperlink>
    </w:p>
    <w:p w14:paraId="6A118DEC"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4" w:history="1">
        <w:r w:rsidR="00406035" w:rsidRPr="002E4932">
          <w:rPr>
            <w:rStyle w:val="Hyperlink"/>
            <w:noProof/>
          </w:rPr>
          <w:t>D.5.</w:t>
        </w:r>
        <w:r w:rsidR="00406035">
          <w:rPr>
            <w:rFonts w:asciiTheme="minorHAnsi" w:eastAsiaTheme="minorEastAsia" w:hAnsiTheme="minorHAnsi"/>
            <w:bCs w:val="0"/>
            <w:noProof/>
            <w:sz w:val="22"/>
            <w:lang w:eastAsia="en-AU"/>
          </w:rPr>
          <w:tab/>
        </w:r>
        <w:r w:rsidR="00406035" w:rsidRPr="002E4932">
          <w:rPr>
            <w:rStyle w:val="Hyperlink"/>
            <w:noProof/>
          </w:rPr>
          <w:t>Results of the economic evaluation</w:t>
        </w:r>
        <w:r w:rsidR="00406035">
          <w:rPr>
            <w:noProof/>
            <w:webHidden/>
          </w:rPr>
          <w:tab/>
        </w:r>
        <w:r w:rsidR="00406035">
          <w:rPr>
            <w:noProof/>
            <w:webHidden/>
          </w:rPr>
          <w:fldChar w:fldCharType="begin"/>
        </w:r>
        <w:r w:rsidR="00406035">
          <w:rPr>
            <w:noProof/>
            <w:webHidden/>
          </w:rPr>
          <w:instrText xml:space="preserve"> PAGEREF _Toc408845184 \h </w:instrText>
        </w:r>
        <w:r w:rsidR="00406035">
          <w:rPr>
            <w:noProof/>
            <w:webHidden/>
          </w:rPr>
        </w:r>
        <w:r w:rsidR="00406035">
          <w:rPr>
            <w:noProof/>
            <w:webHidden/>
          </w:rPr>
          <w:fldChar w:fldCharType="separate"/>
        </w:r>
        <w:r w:rsidR="00C67698">
          <w:rPr>
            <w:noProof/>
            <w:webHidden/>
          </w:rPr>
          <w:t>111</w:t>
        </w:r>
        <w:r w:rsidR="00406035">
          <w:rPr>
            <w:noProof/>
            <w:webHidden/>
          </w:rPr>
          <w:fldChar w:fldCharType="end"/>
        </w:r>
      </w:hyperlink>
    </w:p>
    <w:p w14:paraId="3E7E8029"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5" w:history="1">
        <w:r w:rsidR="00406035" w:rsidRPr="002E4932">
          <w:rPr>
            <w:rStyle w:val="Hyperlink"/>
            <w:noProof/>
          </w:rPr>
          <w:t>D.6.</w:t>
        </w:r>
        <w:r w:rsidR="00406035">
          <w:rPr>
            <w:rFonts w:asciiTheme="minorHAnsi" w:eastAsiaTheme="minorEastAsia" w:hAnsiTheme="minorHAnsi"/>
            <w:bCs w:val="0"/>
            <w:noProof/>
            <w:sz w:val="22"/>
            <w:lang w:eastAsia="en-AU"/>
          </w:rPr>
          <w:tab/>
        </w:r>
        <w:r w:rsidR="00406035" w:rsidRPr="002E4932">
          <w:rPr>
            <w:rStyle w:val="Hyperlink"/>
            <w:noProof/>
          </w:rPr>
          <w:t>Sensitivity analyses</w:t>
        </w:r>
        <w:r w:rsidR="00406035">
          <w:rPr>
            <w:noProof/>
            <w:webHidden/>
          </w:rPr>
          <w:tab/>
        </w:r>
        <w:r w:rsidR="00406035">
          <w:rPr>
            <w:noProof/>
            <w:webHidden/>
          </w:rPr>
          <w:fldChar w:fldCharType="begin"/>
        </w:r>
        <w:r w:rsidR="00406035">
          <w:rPr>
            <w:noProof/>
            <w:webHidden/>
          </w:rPr>
          <w:instrText xml:space="preserve"> PAGEREF _Toc408845185 \h </w:instrText>
        </w:r>
        <w:r w:rsidR="00406035">
          <w:rPr>
            <w:noProof/>
            <w:webHidden/>
          </w:rPr>
        </w:r>
        <w:r w:rsidR="00406035">
          <w:rPr>
            <w:noProof/>
            <w:webHidden/>
          </w:rPr>
          <w:fldChar w:fldCharType="separate"/>
        </w:r>
        <w:r w:rsidR="00C67698">
          <w:rPr>
            <w:noProof/>
            <w:webHidden/>
          </w:rPr>
          <w:t>114</w:t>
        </w:r>
        <w:r w:rsidR="00406035">
          <w:rPr>
            <w:noProof/>
            <w:webHidden/>
          </w:rPr>
          <w:fldChar w:fldCharType="end"/>
        </w:r>
      </w:hyperlink>
    </w:p>
    <w:p w14:paraId="16076E2D" w14:textId="77777777" w:rsidR="00406035" w:rsidRDefault="00197695">
      <w:pPr>
        <w:pStyle w:val="TOC1"/>
        <w:tabs>
          <w:tab w:val="left" w:pos="2160"/>
          <w:tab w:val="right" w:leader="dot" w:pos="9016"/>
        </w:tabs>
        <w:rPr>
          <w:rFonts w:asciiTheme="minorHAnsi" w:eastAsiaTheme="minorEastAsia" w:hAnsiTheme="minorHAnsi"/>
          <w:b w:val="0"/>
          <w:bCs w:val="0"/>
          <w:noProof/>
          <w:sz w:val="22"/>
          <w:lang w:eastAsia="en-AU"/>
        </w:rPr>
      </w:pPr>
      <w:hyperlink w:anchor="_Toc408845186" w:history="1">
        <w:r w:rsidR="00406035" w:rsidRPr="002E4932">
          <w:rPr>
            <w:rStyle w:val="Hyperlink"/>
            <w:noProof/>
          </w:rPr>
          <w:t>Section E.</w:t>
        </w:r>
        <w:r w:rsidR="00406035">
          <w:rPr>
            <w:rFonts w:asciiTheme="minorHAnsi" w:eastAsiaTheme="minorEastAsia" w:hAnsiTheme="minorHAnsi"/>
            <w:b w:val="0"/>
            <w:bCs w:val="0"/>
            <w:noProof/>
            <w:sz w:val="22"/>
            <w:lang w:eastAsia="en-AU"/>
          </w:rPr>
          <w:tab/>
        </w:r>
        <w:r w:rsidR="00406035" w:rsidRPr="002E4932">
          <w:rPr>
            <w:rStyle w:val="Hyperlink"/>
            <w:noProof/>
          </w:rPr>
          <w:t>Estimated utilisation and financial implications</w:t>
        </w:r>
        <w:r w:rsidR="00406035">
          <w:rPr>
            <w:noProof/>
            <w:webHidden/>
          </w:rPr>
          <w:tab/>
        </w:r>
        <w:r w:rsidR="00406035">
          <w:rPr>
            <w:noProof/>
            <w:webHidden/>
          </w:rPr>
          <w:fldChar w:fldCharType="begin"/>
        </w:r>
        <w:r w:rsidR="00406035">
          <w:rPr>
            <w:noProof/>
            <w:webHidden/>
          </w:rPr>
          <w:instrText xml:space="preserve"> PAGEREF _Toc408845186 \h </w:instrText>
        </w:r>
        <w:r w:rsidR="00406035">
          <w:rPr>
            <w:noProof/>
            <w:webHidden/>
          </w:rPr>
        </w:r>
        <w:r w:rsidR="00406035">
          <w:rPr>
            <w:noProof/>
            <w:webHidden/>
          </w:rPr>
          <w:fldChar w:fldCharType="separate"/>
        </w:r>
        <w:r w:rsidR="00C67698">
          <w:rPr>
            <w:noProof/>
            <w:webHidden/>
          </w:rPr>
          <w:t>123</w:t>
        </w:r>
        <w:r w:rsidR="00406035">
          <w:rPr>
            <w:noProof/>
            <w:webHidden/>
          </w:rPr>
          <w:fldChar w:fldCharType="end"/>
        </w:r>
      </w:hyperlink>
    </w:p>
    <w:p w14:paraId="361A808D"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7" w:history="1">
        <w:r w:rsidR="00406035" w:rsidRPr="002E4932">
          <w:rPr>
            <w:rStyle w:val="Hyperlink"/>
            <w:noProof/>
          </w:rPr>
          <w:t>E.1.</w:t>
        </w:r>
        <w:r w:rsidR="00406035">
          <w:rPr>
            <w:rFonts w:asciiTheme="minorHAnsi" w:eastAsiaTheme="minorEastAsia" w:hAnsiTheme="minorHAnsi"/>
            <w:bCs w:val="0"/>
            <w:noProof/>
            <w:sz w:val="22"/>
            <w:lang w:eastAsia="en-AU"/>
          </w:rPr>
          <w:tab/>
        </w:r>
        <w:r w:rsidR="00406035" w:rsidRPr="002E4932">
          <w:rPr>
            <w:rStyle w:val="Hyperlink"/>
            <w:noProof/>
          </w:rPr>
          <w:t>Justification of the selection of sources of data</w:t>
        </w:r>
        <w:r w:rsidR="00406035">
          <w:rPr>
            <w:noProof/>
            <w:webHidden/>
          </w:rPr>
          <w:tab/>
        </w:r>
        <w:r w:rsidR="00406035">
          <w:rPr>
            <w:noProof/>
            <w:webHidden/>
          </w:rPr>
          <w:fldChar w:fldCharType="begin"/>
        </w:r>
        <w:r w:rsidR="00406035">
          <w:rPr>
            <w:noProof/>
            <w:webHidden/>
          </w:rPr>
          <w:instrText xml:space="preserve"> PAGEREF _Toc408845187 \h </w:instrText>
        </w:r>
        <w:r w:rsidR="00406035">
          <w:rPr>
            <w:noProof/>
            <w:webHidden/>
          </w:rPr>
        </w:r>
        <w:r w:rsidR="00406035">
          <w:rPr>
            <w:noProof/>
            <w:webHidden/>
          </w:rPr>
          <w:fldChar w:fldCharType="separate"/>
        </w:r>
        <w:r w:rsidR="00C67698">
          <w:rPr>
            <w:noProof/>
            <w:webHidden/>
          </w:rPr>
          <w:t>123</w:t>
        </w:r>
        <w:r w:rsidR="00406035">
          <w:rPr>
            <w:noProof/>
            <w:webHidden/>
          </w:rPr>
          <w:fldChar w:fldCharType="end"/>
        </w:r>
      </w:hyperlink>
    </w:p>
    <w:p w14:paraId="31C270A6"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8" w:history="1">
        <w:r w:rsidR="00406035" w:rsidRPr="002E4932">
          <w:rPr>
            <w:rStyle w:val="Hyperlink"/>
            <w:noProof/>
          </w:rPr>
          <w:t>E.2.</w:t>
        </w:r>
        <w:r w:rsidR="00406035">
          <w:rPr>
            <w:rFonts w:asciiTheme="minorHAnsi" w:eastAsiaTheme="minorEastAsia" w:hAnsiTheme="minorHAnsi"/>
            <w:bCs w:val="0"/>
            <w:noProof/>
            <w:sz w:val="22"/>
            <w:lang w:eastAsia="en-AU"/>
          </w:rPr>
          <w:tab/>
        </w:r>
        <w:r w:rsidR="00406035" w:rsidRPr="002E4932">
          <w:rPr>
            <w:rStyle w:val="Hyperlink"/>
            <w:noProof/>
          </w:rPr>
          <w:t>Estimation of use and costs of the proposed medical service</w:t>
        </w:r>
        <w:r w:rsidR="00406035">
          <w:rPr>
            <w:noProof/>
            <w:webHidden/>
          </w:rPr>
          <w:tab/>
        </w:r>
        <w:r w:rsidR="00406035">
          <w:rPr>
            <w:noProof/>
            <w:webHidden/>
          </w:rPr>
          <w:fldChar w:fldCharType="begin"/>
        </w:r>
        <w:r w:rsidR="00406035">
          <w:rPr>
            <w:noProof/>
            <w:webHidden/>
          </w:rPr>
          <w:instrText xml:space="preserve"> PAGEREF _Toc408845188 \h </w:instrText>
        </w:r>
        <w:r w:rsidR="00406035">
          <w:rPr>
            <w:noProof/>
            <w:webHidden/>
          </w:rPr>
        </w:r>
        <w:r w:rsidR="00406035">
          <w:rPr>
            <w:noProof/>
            <w:webHidden/>
          </w:rPr>
          <w:fldChar w:fldCharType="separate"/>
        </w:r>
        <w:r w:rsidR="00C67698">
          <w:rPr>
            <w:noProof/>
            <w:webHidden/>
          </w:rPr>
          <w:t>124</w:t>
        </w:r>
        <w:r w:rsidR="00406035">
          <w:rPr>
            <w:noProof/>
            <w:webHidden/>
          </w:rPr>
          <w:fldChar w:fldCharType="end"/>
        </w:r>
      </w:hyperlink>
    </w:p>
    <w:p w14:paraId="0B685877"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89" w:history="1">
        <w:r w:rsidR="00406035" w:rsidRPr="002E4932">
          <w:rPr>
            <w:rStyle w:val="Hyperlink"/>
            <w:noProof/>
          </w:rPr>
          <w:t>E.3.</w:t>
        </w:r>
        <w:r w:rsidR="00406035">
          <w:rPr>
            <w:rFonts w:asciiTheme="minorHAnsi" w:eastAsiaTheme="minorEastAsia" w:hAnsiTheme="minorHAnsi"/>
            <w:bCs w:val="0"/>
            <w:noProof/>
            <w:sz w:val="22"/>
            <w:lang w:eastAsia="en-AU"/>
          </w:rPr>
          <w:tab/>
        </w:r>
        <w:r w:rsidR="00406035" w:rsidRPr="002E4932">
          <w:rPr>
            <w:rStyle w:val="Hyperlink"/>
            <w:noProof/>
          </w:rPr>
          <w:t>Estimation of changes in use and cost of other medical services</w:t>
        </w:r>
        <w:r w:rsidR="00406035">
          <w:rPr>
            <w:noProof/>
            <w:webHidden/>
          </w:rPr>
          <w:tab/>
        </w:r>
        <w:r w:rsidR="00406035">
          <w:rPr>
            <w:noProof/>
            <w:webHidden/>
          </w:rPr>
          <w:fldChar w:fldCharType="begin"/>
        </w:r>
        <w:r w:rsidR="00406035">
          <w:rPr>
            <w:noProof/>
            <w:webHidden/>
          </w:rPr>
          <w:instrText xml:space="preserve"> PAGEREF _Toc408845189 \h </w:instrText>
        </w:r>
        <w:r w:rsidR="00406035">
          <w:rPr>
            <w:noProof/>
            <w:webHidden/>
          </w:rPr>
        </w:r>
        <w:r w:rsidR="00406035">
          <w:rPr>
            <w:noProof/>
            <w:webHidden/>
          </w:rPr>
          <w:fldChar w:fldCharType="separate"/>
        </w:r>
        <w:r w:rsidR="00C67698">
          <w:rPr>
            <w:noProof/>
            <w:webHidden/>
          </w:rPr>
          <w:t>127</w:t>
        </w:r>
        <w:r w:rsidR="00406035">
          <w:rPr>
            <w:noProof/>
            <w:webHidden/>
          </w:rPr>
          <w:fldChar w:fldCharType="end"/>
        </w:r>
      </w:hyperlink>
    </w:p>
    <w:p w14:paraId="3D167DA2"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90" w:history="1">
        <w:r w:rsidR="00406035" w:rsidRPr="002E4932">
          <w:rPr>
            <w:rStyle w:val="Hyperlink"/>
            <w:noProof/>
          </w:rPr>
          <w:t>E.4.</w:t>
        </w:r>
        <w:r w:rsidR="00406035">
          <w:rPr>
            <w:rFonts w:asciiTheme="minorHAnsi" w:eastAsiaTheme="minorEastAsia" w:hAnsiTheme="minorHAnsi"/>
            <w:bCs w:val="0"/>
            <w:noProof/>
            <w:sz w:val="22"/>
            <w:lang w:eastAsia="en-AU"/>
          </w:rPr>
          <w:tab/>
        </w:r>
        <w:r w:rsidR="00406035" w:rsidRPr="002E4932">
          <w:rPr>
            <w:rStyle w:val="Hyperlink"/>
            <w:noProof/>
          </w:rPr>
          <w:t>Estimated financial implications on the MBS</w:t>
        </w:r>
        <w:r w:rsidR="00406035">
          <w:rPr>
            <w:noProof/>
            <w:webHidden/>
          </w:rPr>
          <w:tab/>
        </w:r>
        <w:r w:rsidR="00406035">
          <w:rPr>
            <w:noProof/>
            <w:webHidden/>
          </w:rPr>
          <w:fldChar w:fldCharType="begin"/>
        </w:r>
        <w:r w:rsidR="00406035">
          <w:rPr>
            <w:noProof/>
            <w:webHidden/>
          </w:rPr>
          <w:instrText xml:space="preserve"> PAGEREF _Toc408845190 \h </w:instrText>
        </w:r>
        <w:r w:rsidR="00406035">
          <w:rPr>
            <w:noProof/>
            <w:webHidden/>
          </w:rPr>
        </w:r>
        <w:r w:rsidR="00406035">
          <w:rPr>
            <w:noProof/>
            <w:webHidden/>
          </w:rPr>
          <w:fldChar w:fldCharType="separate"/>
        </w:r>
        <w:r w:rsidR="00C67698">
          <w:rPr>
            <w:noProof/>
            <w:webHidden/>
          </w:rPr>
          <w:t>130</w:t>
        </w:r>
        <w:r w:rsidR="00406035">
          <w:rPr>
            <w:noProof/>
            <w:webHidden/>
          </w:rPr>
          <w:fldChar w:fldCharType="end"/>
        </w:r>
      </w:hyperlink>
    </w:p>
    <w:p w14:paraId="22DE96BB"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91" w:history="1">
        <w:r w:rsidR="00406035" w:rsidRPr="002E4932">
          <w:rPr>
            <w:rStyle w:val="Hyperlink"/>
            <w:noProof/>
          </w:rPr>
          <w:t>E.5.</w:t>
        </w:r>
        <w:r w:rsidR="00406035">
          <w:rPr>
            <w:rFonts w:asciiTheme="minorHAnsi" w:eastAsiaTheme="minorEastAsia" w:hAnsiTheme="minorHAnsi"/>
            <w:bCs w:val="0"/>
            <w:noProof/>
            <w:sz w:val="22"/>
            <w:lang w:eastAsia="en-AU"/>
          </w:rPr>
          <w:tab/>
        </w:r>
        <w:r w:rsidR="00406035" w:rsidRPr="002E4932">
          <w:rPr>
            <w:rStyle w:val="Hyperlink"/>
            <w:noProof/>
          </w:rPr>
          <w:t>Estimated financial implications for Government health budgets</w:t>
        </w:r>
        <w:r w:rsidR="00406035">
          <w:rPr>
            <w:noProof/>
            <w:webHidden/>
          </w:rPr>
          <w:tab/>
        </w:r>
        <w:r w:rsidR="00406035">
          <w:rPr>
            <w:noProof/>
            <w:webHidden/>
          </w:rPr>
          <w:fldChar w:fldCharType="begin"/>
        </w:r>
        <w:r w:rsidR="00406035">
          <w:rPr>
            <w:noProof/>
            <w:webHidden/>
          </w:rPr>
          <w:instrText xml:space="preserve"> PAGEREF _Toc408845191 \h </w:instrText>
        </w:r>
        <w:r w:rsidR="00406035">
          <w:rPr>
            <w:noProof/>
            <w:webHidden/>
          </w:rPr>
        </w:r>
        <w:r w:rsidR="00406035">
          <w:rPr>
            <w:noProof/>
            <w:webHidden/>
          </w:rPr>
          <w:fldChar w:fldCharType="separate"/>
        </w:r>
        <w:r w:rsidR="00C67698">
          <w:rPr>
            <w:noProof/>
            <w:webHidden/>
          </w:rPr>
          <w:t>131</w:t>
        </w:r>
        <w:r w:rsidR="00406035">
          <w:rPr>
            <w:noProof/>
            <w:webHidden/>
          </w:rPr>
          <w:fldChar w:fldCharType="end"/>
        </w:r>
      </w:hyperlink>
    </w:p>
    <w:p w14:paraId="50494678" w14:textId="77777777" w:rsidR="00406035" w:rsidRDefault="00197695">
      <w:pPr>
        <w:pStyle w:val="TOC2"/>
        <w:tabs>
          <w:tab w:val="left" w:pos="2160"/>
          <w:tab w:val="right" w:leader="dot" w:pos="9016"/>
        </w:tabs>
        <w:rPr>
          <w:rFonts w:asciiTheme="minorHAnsi" w:eastAsiaTheme="minorEastAsia" w:hAnsiTheme="minorHAnsi"/>
          <w:bCs w:val="0"/>
          <w:noProof/>
          <w:sz w:val="22"/>
          <w:lang w:eastAsia="en-AU"/>
        </w:rPr>
      </w:pPr>
      <w:hyperlink w:anchor="_Toc408845192" w:history="1">
        <w:r w:rsidR="00406035" w:rsidRPr="002E4932">
          <w:rPr>
            <w:rStyle w:val="Hyperlink"/>
            <w:noProof/>
          </w:rPr>
          <w:t>E.6.</w:t>
        </w:r>
        <w:r w:rsidR="00406035">
          <w:rPr>
            <w:rFonts w:asciiTheme="minorHAnsi" w:eastAsiaTheme="minorEastAsia" w:hAnsiTheme="minorHAnsi"/>
            <w:bCs w:val="0"/>
            <w:noProof/>
            <w:sz w:val="22"/>
            <w:lang w:eastAsia="en-AU"/>
          </w:rPr>
          <w:tab/>
        </w:r>
        <w:r w:rsidR="00406035" w:rsidRPr="002E4932">
          <w:rPr>
            <w:rStyle w:val="Hyperlink"/>
            <w:noProof/>
          </w:rPr>
          <w:t>Identification, estimation and reduction of uncertainty</w:t>
        </w:r>
        <w:r w:rsidR="00406035">
          <w:rPr>
            <w:noProof/>
            <w:webHidden/>
          </w:rPr>
          <w:tab/>
        </w:r>
        <w:r w:rsidR="00406035">
          <w:rPr>
            <w:noProof/>
            <w:webHidden/>
          </w:rPr>
          <w:fldChar w:fldCharType="begin"/>
        </w:r>
        <w:r w:rsidR="00406035">
          <w:rPr>
            <w:noProof/>
            <w:webHidden/>
          </w:rPr>
          <w:instrText xml:space="preserve"> PAGEREF _Toc408845192 \h </w:instrText>
        </w:r>
        <w:r w:rsidR="00406035">
          <w:rPr>
            <w:noProof/>
            <w:webHidden/>
          </w:rPr>
        </w:r>
        <w:r w:rsidR="00406035">
          <w:rPr>
            <w:noProof/>
            <w:webHidden/>
          </w:rPr>
          <w:fldChar w:fldCharType="separate"/>
        </w:r>
        <w:r w:rsidR="00C67698">
          <w:rPr>
            <w:noProof/>
            <w:webHidden/>
          </w:rPr>
          <w:t>133</w:t>
        </w:r>
        <w:r w:rsidR="00406035">
          <w:rPr>
            <w:noProof/>
            <w:webHidden/>
          </w:rPr>
          <w:fldChar w:fldCharType="end"/>
        </w:r>
      </w:hyperlink>
    </w:p>
    <w:p w14:paraId="26214ED3" w14:textId="77777777" w:rsidR="00406035" w:rsidRDefault="00197695">
      <w:pPr>
        <w:pStyle w:val="TOC1"/>
        <w:tabs>
          <w:tab w:val="left" w:pos="2160"/>
          <w:tab w:val="right" w:leader="dot" w:pos="9016"/>
        </w:tabs>
        <w:rPr>
          <w:rFonts w:asciiTheme="minorHAnsi" w:eastAsiaTheme="minorEastAsia" w:hAnsiTheme="minorHAnsi"/>
          <w:b w:val="0"/>
          <w:bCs w:val="0"/>
          <w:noProof/>
          <w:sz w:val="22"/>
          <w:lang w:eastAsia="en-AU"/>
        </w:rPr>
      </w:pPr>
      <w:hyperlink w:anchor="_Toc408845193" w:history="1">
        <w:r w:rsidR="00406035" w:rsidRPr="002E4932">
          <w:rPr>
            <w:rStyle w:val="Hyperlink"/>
            <w:noProof/>
          </w:rPr>
          <w:t>Appendix 1.</w:t>
        </w:r>
        <w:r w:rsidR="00406035">
          <w:rPr>
            <w:rFonts w:asciiTheme="minorHAnsi" w:eastAsiaTheme="minorEastAsia" w:hAnsiTheme="minorHAnsi"/>
            <w:b w:val="0"/>
            <w:bCs w:val="0"/>
            <w:noProof/>
            <w:sz w:val="22"/>
            <w:lang w:eastAsia="en-AU"/>
          </w:rPr>
          <w:tab/>
        </w:r>
        <w:r w:rsidR="00406035" w:rsidRPr="002E4932">
          <w:rPr>
            <w:rStyle w:val="Hyperlink"/>
            <w:noProof/>
          </w:rPr>
          <w:t>Assessment Group</w:t>
        </w:r>
        <w:r w:rsidR="00406035">
          <w:rPr>
            <w:noProof/>
            <w:webHidden/>
          </w:rPr>
          <w:tab/>
        </w:r>
        <w:r w:rsidR="00406035">
          <w:rPr>
            <w:noProof/>
            <w:webHidden/>
          </w:rPr>
          <w:fldChar w:fldCharType="begin"/>
        </w:r>
        <w:r w:rsidR="00406035">
          <w:rPr>
            <w:noProof/>
            <w:webHidden/>
          </w:rPr>
          <w:instrText xml:space="preserve"> PAGEREF _Toc408845193 \h </w:instrText>
        </w:r>
        <w:r w:rsidR="00406035">
          <w:rPr>
            <w:noProof/>
            <w:webHidden/>
          </w:rPr>
        </w:r>
        <w:r w:rsidR="00406035">
          <w:rPr>
            <w:noProof/>
            <w:webHidden/>
          </w:rPr>
          <w:fldChar w:fldCharType="separate"/>
        </w:r>
        <w:r w:rsidR="00C67698">
          <w:rPr>
            <w:noProof/>
            <w:webHidden/>
          </w:rPr>
          <w:t>135</w:t>
        </w:r>
        <w:r w:rsidR="00406035">
          <w:rPr>
            <w:noProof/>
            <w:webHidden/>
          </w:rPr>
          <w:fldChar w:fldCharType="end"/>
        </w:r>
      </w:hyperlink>
    </w:p>
    <w:p w14:paraId="66D9B756" w14:textId="77777777" w:rsidR="00406035" w:rsidRDefault="00197695">
      <w:pPr>
        <w:pStyle w:val="TOC1"/>
        <w:tabs>
          <w:tab w:val="left" w:pos="2163"/>
          <w:tab w:val="right" w:leader="dot" w:pos="9016"/>
        </w:tabs>
        <w:rPr>
          <w:rFonts w:asciiTheme="minorHAnsi" w:eastAsiaTheme="minorEastAsia" w:hAnsiTheme="minorHAnsi"/>
          <w:b w:val="0"/>
          <w:bCs w:val="0"/>
          <w:noProof/>
          <w:sz w:val="22"/>
          <w:lang w:eastAsia="en-AU"/>
        </w:rPr>
      </w:pPr>
      <w:hyperlink w:anchor="_Toc408845194" w:history="1">
        <w:r w:rsidR="00406035" w:rsidRPr="002E4932">
          <w:rPr>
            <w:rStyle w:val="Hyperlink"/>
            <w:noProof/>
          </w:rPr>
          <w:t>Appendix 2.</w:t>
        </w:r>
        <w:r w:rsidR="00406035">
          <w:rPr>
            <w:rFonts w:asciiTheme="minorHAnsi" w:eastAsiaTheme="minorEastAsia" w:hAnsiTheme="minorHAnsi"/>
            <w:b w:val="0"/>
            <w:bCs w:val="0"/>
            <w:noProof/>
            <w:sz w:val="22"/>
            <w:lang w:eastAsia="en-AU"/>
          </w:rPr>
          <w:tab/>
        </w:r>
        <w:r w:rsidR="00406035" w:rsidRPr="002E4932">
          <w:rPr>
            <w:rStyle w:val="Hyperlink"/>
            <w:noProof/>
          </w:rPr>
          <w:t>Search strategies</w:t>
        </w:r>
        <w:r w:rsidR="00406035">
          <w:rPr>
            <w:noProof/>
            <w:webHidden/>
          </w:rPr>
          <w:tab/>
        </w:r>
        <w:r w:rsidR="00406035">
          <w:rPr>
            <w:noProof/>
            <w:webHidden/>
          </w:rPr>
          <w:fldChar w:fldCharType="begin"/>
        </w:r>
        <w:r w:rsidR="00406035">
          <w:rPr>
            <w:noProof/>
            <w:webHidden/>
          </w:rPr>
          <w:instrText xml:space="preserve"> PAGEREF _Toc408845194 \h </w:instrText>
        </w:r>
        <w:r w:rsidR="00406035">
          <w:rPr>
            <w:noProof/>
            <w:webHidden/>
          </w:rPr>
        </w:r>
        <w:r w:rsidR="00406035">
          <w:rPr>
            <w:noProof/>
            <w:webHidden/>
          </w:rPr>
          <w:fldChar w:fldCharType="separate"/>
        </w:r>
        <w:r w:rsidR="00C67698">
          <w:rPr>
            <w:noProof/>
            <w:webHidden/>
          </w:rPr>
          <w:t>136</w:t>
        </w:r>
        <w:r w:rsidR="00406035">
          <w:rPr>
            <w:noProof/>
            <w:webHidden/>
          </w:rPr>
          <w:fldChar w:fldCharType="end"/>
        </w:r>
      </w:hyperlink>
    </w:p>
    <w:p w14:paraId="495B5168" w14:textId="77777777" w:rsidR="00406035" w:rsidRDefault="00197695">
      <w:pPr>
        <w:pStyle w:val="TOC1"/>
        <w:tabs>
          <w:tab w:val="left" w:pos="2163"/>
          <w:tab w:val="right" w:leader="dot" w:pos="9016"/>
        </w:tabs>
        <w:rPr>
          <w:rFonts w:asciiTheme="minorHAnsi" w:eastAsiaTheme="minorEastAsia" w:hAnsiTheme="minorHAnsi"/>
          <w:b w:val="0"/>
          <w:bCs w:val="0"/>
          <w:noProof/>
          <w:sz w:val="22"/>
          <w:lang w:eastAsia="en-AU"/>
        </w:rPr>
      </w:pPr>
      <w:hyperlink w:anchor="_Toc408845195" w:history="1">
        <w:r w:rsidR="00406035" w:rsidRPr="002E4932">
          <w:rPr>
            <w:rStyle w:val="Hyperlink"/>
            <w:noProof/>
          </w:rPr>
          <w:t>Appendix 3.</w:t>
        </w:r>
        <w:r w:rsidR="00406035">
          <w:rPr>
            <w:rFonts w:asciiTheme="minorHAnsi" w:eastAsiaTheme="minorEastAsia" w:hAnsiTheme="minorHAnsi"/>
            <w:b w:val="0"/>
            <w:bCs w:val="0"/>
            <w:noProof/>
            <w:sz w:val="22"/>
            <w:lang w:eastAsia="en-AU"/>
          </w:rPr>
          <w:tab/>
        </w:r>
        <w:r w:rsidR="00406035" w:rsidRPr="002E4932">
          <w:rPr>
            <w:rStyle w:val="Hyperlink"/>
            <w:noProof/>
          </w:rPr>
          <w:t>Indirect evidence – as presented in the literature</w:t>
        </w:r>
        <w:r w:rsidR="00406035">
          <w:rPr>
            <w:noProof/>
            <w:webHidden/>
          </w:rPr>
          <w:tab/>
        </w:r>
        <w:r w:rsidR="00406035">
          <w:rPr>
            <w:noProof/>
            <w:webHidden/>
          </w:rPr>
          <w:fldChar w:fldCharType="begin"/>
        </w:r>
        <w:r w:rsidR="00406035">
          <w:rPr>
            <w:noProof/>
            <w:webHidden/>
          </w:rPr>
          <w:instrText xml:space="preserve"> PAGEREF _Toc408845195 \h </w:instrText>
        </w:r>
        <w:r w:rsidR="00406035">
          <w:rPr>
            <w:noProof/>
            <w:webHidden/>
          </w:rPr>
        </w:r>
        <w:r w:rsidR="00406035">
          <w:rPr>
            <w:noProof/>
            <w:webHidden/>
          </w:rPr>
          <w:fldChar w:fldCharType="separate"/>
        </w:r>
        <w:r w:rsidR="00C67698">
          <w:rPr>
            <w:noProof/>
            <w:webHidden/>
          </w:rPr>
          <w:t>141</w:t>
        </w:r>
        <w:r w:rsidR="00406035">
          <w:rPr>
            <w:noProof/>
            <w:webHidden/>
          </w:rPr>
          <w:fldChar w:fldCharType="end"/>
        </w:r>
      </w:hyperlink>
    </w:p>
    <w:p w14:paraId="4F4EE397" w14:textId="77777777" w:rsidR="00406035" w:rsidRDefault="00197695">
      <w:pPr>
        <w:pStyle w:val="TOC1"/>
        <w:tabs>
          <w:tab w:val="left" w:pos="2163"/>
          <w:tab w:val="right" w:leader="dot" w:pos="9016"/>
        </w:tabs>
        <w:rPr>
          <w:rFonts w:asciiTheme="minorHAnsi" w:eastAsiaTheme="minorEastAsia" w:hAnsiTheme="minorHAnsi"/>
          <w:b w:val="0"/>
          <w:bCs w:val="0"/>
          <w:noProof/>
          <w:sz w:val="22"/>
          <w:lang w:eastAsia="en-AU"/>
        </w:rPr>
      </w:pPr>
      <w:hyperlink w:anchor="_Toc408845196" w:history="1">
        <w:r w:rsidR="00406035" w:rsidRPr="002E4932">
          <w:rPr>
            <w:rStyle w:val="Hyperlink"/>
            <w:noProof/>
          </w:rPr>
          <w:t>Appendix 4.</w:t>
        </w:r>
        <w:r w:rsidR="00406035">
          <w:rPr>
            <w:rFonts w:asciiTheme="minorHAnsi" w:eastAsiaTheme="minorEastAsia" w:hAnsiTheme="minorHAnsi"/>
            <w:b w:val="0"/>
            <w:bCs w:val="0"/>
            <w:noProof/>
            <w:sz w:val="22"/>
            <w:lang w:eastAsia="en-AU"/>
          </w:rPr>
          <w:tab/>
        </w:r>
        <w:r w:rsidR="00406035" w:rsidRPr="002E4932">
          <w:rPr>
            <w:rStyle w:val="Hyperlink"/>
            <w:noProof/>
          </w:rPr>
          <w:t>Additional economic information</w:t>
        </w:r>
        <w:r w:rsidR="00406035">
          <w:rPr>
            <w:noProof/>
            <w:webHidden/>
          </w:rPr>
          <w:tab/>
        </w:r>
        <w:r w:rsidR="00406035">
          <w:rPr>
            <w:noProof/>
            <w:webHidden/>
          </w:rPr>
          <w:fldChar w:fldCharType="begin"/>
        </w:r>
        <w:r w:rsidR="00406035">
          <w:rPr>
            <w:noProof/>
            <w:webHidden/>
          </w:rPr>
          <w:instrText xml:space="preserve"> PAGEREF _Toc408845196 \h </w:instrText>
        </w:r>
        <w:r w:rsidR="00406035">
          <w:rPr>
            <w:noProof/>
            <w:webHidden/>
          </w:rPr>
        </w:r>
        <w:r w:rsidR="00406035">
          <w:rPr>
            <w:noProof/>
            <w:webHidden/>
          </w:rPr>
          <w:fldChar w:fldCharType="separate"/>
        </w:r>
        <w:r w:rsidR="00C67698">
          <w:rPr>
            <w:noProof/>
            <w:webHidden/>
          </w:rPr>
          <w:t>142</w:t>
        </w:r>
        <w:r w:rsidR="00406035">
          <w:rPr>
            <w:noProof/>
            <w:webHidden/>
          </w:rPr>
          <w:fldChar w:fldCharType="end"/>
        </w:r>
      </w:hyperlink>
    </w:p>
    <w:p w14:paraId="207DE569" w14:textId="77777777" w:rsidR="00406035" w:rsidRDefault="00197695">
      <w:pPr>
        <w:pStyle w:val="TOC1"/>
        <w:tabs>
          <w:tab w:val="right" w:leader="dot" w:pos="9016"/>
        </w:tabs>
        <w:rPr>
          <w:rFonts w:asciiTheme="minorHAnsi" w:eastAsiaTheme="minorEastAsia" w:hAnsiTheme="minorHAnsi"/>
          <w:b w:val="0"/>
          <w:bCs w:val="0"/>
          <w:noProof/>
          <w:sz w:val="22"/>
          <w:lang w:eastAsia="en-AU"/>
        </w:rPr>
      </w:pPr>
      <w:hyperlink w:anchor="_Toc408845197" w:history="1">
        <w:r w:rsidR="00406035" w:rsidRPr="002E4932">
          <w:rPr>
            <w:rStyle w:val="Hyperlink"/>
            <w:noProof/>
          </w:rPr>
          <w:t>References</w:t>
        </w:r>
        <w:r w:rsidR="00406035">
          <w:rPr>
            <w:noProof/>
            <w:webHidden/>
          </w:rPr>
          <w:tab/>
        </w:r>
        <w:r w:rsidR="00406035">
          <w:rPr>
            <w:noProof/>
            <w:webHidden/>
          </w:rPr>
          <w:fldChar w:fldCharType="begin"/>
        </w:r>
        <w:r w:rsidR="00406035">
          <w:rPr>
            <w:noProof/>
            <w:webHidden/>
          </w:rPr>
          <w:instrText xml:space="preserve"> PAGEREF _Toc408845197 \h </w:instrText>
        </w:r>
        <w:r w:rsidR="00406035">
          <w:rPr>
            <w:noProof/>
            <w:webHidden/>
          </w:rPr>
        </w:r>
        <w:r w:rsidR="00406035">
          <w:rPr>
            <w:noProof/>
            <w:webHidden/>
          </w:rPr>
          <w:fldChar w:fldCharType="separate"/>
        </w:r>
        <w:r w:rsidR="00C67698">
          <w:rPr>
            <w:noProof/>
            <w:webHidden/>
          </w:rPr>
          <w:t>148</w:t>
        </w:r>
        <w:r w:rsidR="00406035">
          <w:rPr>
            <w:noProof/>
            <w:webHidden/>
          </w:rPr>
          <w:fldChar w:fldCharType="end"/>
        </w:r>
      </w:hyperlink>
    </w:p>
    <w:p w14:paraId="5FFB8BF0" w14:textId="0A0AC17B" w:rsidR="00F3726C" w:rsidRDefault="00E5076E" w:rsidP="00F3726C">
      <w:pPr>
        <w:rPr>
          <w:rFonts w:asciiTheme="minorHAnsi" w:hAnsiTheme="minorHAnsi"/>
          <w:b/>
          <w:bCs/>
          <w:sz w:val="22"/>
        </w:rPr>
      </w:pPr>
      <w:r>
        <w:rPr>
          <w:rFonts w:asciiTheme="minorHAnsi" w:hAnsiTheme="minorHAnsi"/>
          <w:sz w:val="22"/>
        </w:rPr>
        <w:fldChar w:fldCharType="end"/>
      </w:r>
    </w:p>
    <w:p w14:paraId="3A25DF11" w14:textId="77777777" w:rsidR="00E15D9A" w:rsidRDefault="00E15D9A" w:rsidP="00F3726C">
      <w:pPr>
        <w:rPr>
          <w:highlight w:val="yellow"/>
        </w:rPr>
      </w:pPr>
    </w:p>
    <w:p w14:paraId="723653A0" w14:textId="4B27C5A1" w:rsidR="00E15D9A" w:rsidRDefault="00E15D9A">
      <w:pPr>
        <w:spacing w:after="160" w:line="259" w:lineRule="auto"/>
        <w:ind w:left="0"/>
        <w:rPr>
          <w:highlight w:val="yellow"/>
        </w:rPr>
      </w:pPr>
      <w:r>
        <w:rPr>
          <w:highlight w:val="yellow"/>
        </w:rPr>
        <w:br w:type="page"/>
      </w:r>
    </w:p>
    <w:p w14:paraId="7BF1281F" w14:textId="2E497B65" w:rsidR="00E15D9A" w:rsidRPr="00E5076E" w:rsidRDefault="00E15D9A" w:rsidP="00E5076E">
      <w:pPr>
        <w:pStyle w:val="Heading1"/>
        <w:numPr>
          <w:ilvl w:val="0"/>
          <w:numId w:val="0"/>
        </w:numPr>
        <w:ind w:left="851" w:hanging="851"/>
      </w:pPr>
      <w:bookmarkStart w:id="4" w:name="_Toc408845146"/>
      <w:r w:rsidRPr="00E5076E">
        <w:lastRenderedPageBreak/>
        <w:t>List of tables</w:t>
      </w:r>
      <w:bookmarkEnd w:id="4"/>
    </w:p>
    <w:p w14:paraId="37450B4B" w14:textId="77777777" w:rsidR="00406035" w:rsidRDefault="00A41419">
      <w:pPr>
        <w:pStyle w:val="TableofFigures"/>
        <w:tabs>
          <w:tab w:val="left" w:pos="2160"/>
        </w:tabs>
        <w:rPr>
          <w:rFonts w:asciiTheme="minorHAnsi" w:eastAsiaTheme="minorEastAsia" w:hAnsiTheme="minorHAnsi"/>
          <w:noProof/>
          <w:sz w:val="22"/>
          <w:lang w:eastAsia="en-AU"/>
        </w:rPr>
      </w:pPr>
      <w:r>
        <w:rPr>
          <w:highlight w:val="yellow"/>
        </w:rPr>
        <w:fldChar w:fldCharType="begin"/>
      </w:r>
      <w:r>
        <w:rPr>
          <w:highlight w:val="yellow"/>
        </w:rPr>
        <w:instrText xml:space="preserve"> TOC \h \z \c "Table" </w:instrText>
      </w:r>
      <w:r>
        <w:rPr>
          <w:highlight w:val="yellow"/>
        </w:rPr>
        <w:fldChar w:fldCharType="separate"/>
      </w:r>
      <w:hyperlink w:anchor="_Toc408845198" w:history="1">
        <w:r w:rsidR="00406035" w:rsidRPr="0048539A">
          <w:rPr>
            <w:rStyle w:val="Hyperlink"/>
            <w:noProof/>
          </w:rPr>
          <w:t>Table A.1</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Items addressed in the Protocol and Assessment Report</w:t>
        </w:r>
        <w:r w:rsidR="00406035">
          <w:rPr>
            <w:noProof/>
            <w:webHidden/>
          </w:rPr>
          <w:tab/>
        </w:r>
        <w:r w:rsidR="00406035">
          <w:rPr>
            <w:noProof/>
            <w:webHidden/>
          </w:rPr>
          <w:fldChar w:fldCharType="begin"/>
        </w:r>
        <w:r w:rsidR="00406035">
          <w:rPr>
            <w:noProof/>
            <w:webHidden/>
          </w:rPr>
          <w:instrText xml:space="preserve"> PAGEREF _Toc408845198 \h </w:instrText>
        </w:r>
        <w:r w:rsidR="00406035">
          <w:rPr>
            <w:noProof/>
            <w:webHidden/>
          </w:rPr>
        </w:r>
        <w:r w:rsidR="00406035">
          <w:rPr>
            <w:noProof/>
            <w:webHidden/>
          </w:rPr>
          <w:fldChar w:fldCharType="separate"/>
        </w:r>
        <w:r w:rsidR="00C67698">
          <w:rPr>
            <w:noProof/>
            <w:webHidden/>
          </w:rPr>
          <w:t>23</w:t>
        </w:r>
        <w:r w:rsidR="00406035">
          <w:rPr>
            <w:noProof/>
            <w:webHidden/>
          </w:rPr>
          <w:fldChar w:fldCharType="end"/>
        </w:r>
      </w:hyperlink>
    </w:p>
    <w:p w14:paraId="6ECF0FF0"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199" w:history="1">
        <w:r w:rsidR="00406035" w:rsidRPr="0048539A">
          <w:rPr>
            <w:rStyle w:val="Hyperlink"/>
            <w:noProof/>
          </w:rPr>
          <w:t>Table A.2</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List of PBS-subsidised drugs used for the treatment of AD</w:t>
        </w:r>
        <w:r w:rsidR="00406035">
          <w:rPr>
            <w:noProof/>
            <w:webHidden/>
          </w:rPr>
          <w:tab/>
        </w:r>
        <w:r w:rsidR="00406035">
          <w:rPr>
            <w:noProof/>
            <w:webHidden/>
          </w:rPr>
          <w:fldChar w:fldCharType="begin"/>
        </w:r>
        <w:r w:rsidR="00406035">
          <w:rPr>
            <w:noProof/>
            <w:webHidden/>
          </w:rPr>
          <w:instrText xml:space="preserve"> PAGEREF _Toc408845199 \h </w:instrText>
        </w:r>
        <w:r w:rsidR="00406035">
          <w:rPr>
            <w:noProof/>
            <w:webHidden/>
          </w:rPr>
        </w:r>
        <w:r w:rsidR="00406035">
          <w:rPr>
            <w:noProof/>
            <w:webHidden/>
          </w:rPr>
          <w:fldChar w:fldCharType="separate"/>
        </w:r>
        <w:r w:rsidR="00C67698">
          <w:rPr>
            <w:noProof/>
            <w:webHidden/>
          </w:rPr>
          <w:t>28</w:t>
        </w:r>
        <w:r w:rsidR="00406035">
          <w:rPr>
            <w:noProof/>
            <w:webHidden/>
          </w:rPr>
          <w:fldChar w:fldCharType="end"/>
        </w:r>
      </w:hyperlink>
    </w:p>
    <w:p w14:paraId="18A36645"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0" w:history="1">
        <w:r w:rsidR="00406035" w:rsidRPr="0048539A">
          <w:rPr>
            <w:rStyle w:val="Hyperlink"/>
            <w:noProof/>
          </w:rPr>
          <w:t>Table A.3</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Proposed MBS item descriptor</w:t>
        </w:r>
        <w:r w:rsidR="00406035">
          <w:rPr>
            <w:noProof/>
            <w:webHidden/>
          </w:rPr>
          <w:tab/>
        </w:r>
        <w:r w:rsidR="00406035">
          <w:rPr>
            <w:noProof/>
            <w:webHidden/>
          </w:rPr>
          <w:fldChar w:fldCharType="begin"/>
        </w:r>
        <w:r w:rsidR="00406035">
          <w:rPr>
            <w:noProof/>
            <w:webHidden/>
          </w:rPr>
          <w:instrText xml:space="preserve"> PAGEREF _Toc408845200 \h </w:instrText>
        </w:r>
        <w:r w:rsidR="00406035">
          <w:rPr>
            <w:noProof/>
            <w:webHidden/>
          </w:rPr>
        </w:r>
        <w:r w:rsidR="00406035">
          <w:rPr>
            <w:noProof/>
            <w:webHidden/>
          </w:rPr>
          <w:fldChar w:fldCharType="separate"/>
        </w:r>
        <w:r w:rsidR="00C67698">
          <w:rPr>
            <w:noProof/>
            <w:webHidden/>
          </w:rPr>
          <w:t>30</w:t>
        </w:r>
        <w:r w:rsidR="00406035">
          <w:rPr>
            <w:noProof/>
            <w:webHidden/>
          </w:rPr>
          <w:fldChar w:fldCharType="end"/>
        </w:r>
      </w:hyperlink>
    </w:p>
    <w:p w14:paraId="4F97371D"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1" w:history="1">
        <w:r w:rsidR="00406035" w:rsidRPr="0048539A">
          <w:rPr>
            <w:rStyle w:val="Hyperlink"/>
            <w:noProof/>
          </w:rPr>
          <w:t>Table A.4</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MBS item descriptor and fee for MBS item 61402</w:t>
        </w:r>
        <w:r w:rsidR="00406035">
          <w:rPr>
            <w:noProof/>
            <w:webHidden/>
          </w:rPr>
          <w:tab/>
        </w:r>
        <w:r w:rsidR="00406035">
          <w:rPr>
            <w:noProof/>
            <w:webHidden/>
          </w:rPr>
          <w:fldChar w:fldCharType="begin"/>
        </w:r>
        <w:r w:rsidR="00406035">
          <w:rPr>
            <w:noProof/>
            <w:webHidden/>
          </w:rPr>
          <w:instrText xml:space="preserve"> PAGEREF _Toc408845201 \h </w:instrText>
        </w:r>
        <w:r w:rsidR="00406035">
          <w:rPr>
            <w:noProof/>
            <w:webHidden/>
          </w:rPr>
        </w:r>
        <w:r w:rsidR="00406035">
          <w:rPr>
            <w:noProof/>
            <w:webHidden/>
          </w:rPr>
          <w:fldChar w:fldCharType="separate"/>
        </w:r>
        <w:r w:rsidR="00C67698">
          <w:rPr>
            <w:noProof/>
            <w:webHidden/>
          </w:rPr>
          <w:t>31</w:t>
        </w:r>
        <w:r w:rsidR="00406035">
          <w:rPr>
            <w:noProof/>
            <w:webHidden/>
          </w:rPr>
          <w:fldChar w:fldCharType="end"/>
        </w:r>
      </w:hyperlink>
    </w:p>
    <w:p w14:paraId="772A2966"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2" w:history="1">
        <w:r w:rsidR="00406035" w:rsidRPr="0048539A">
          <w:rPr>
            <w:rStyle w:val="Hyperlink"/>
            <w:noProof/>
          </w:rPr>
          <w:t>Table A.8</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Summary of PPICO criteria to define research question that assessment will investigate</w:t>
        </w:r>
        <w:r w:rsidR="00406035">
          <w:rPr>
            <w:noProof/>
            <w:webHidden/>
          </w:rPr>
          <w:tab/>
        </w:r>
        <w:r w:rsidR="00406035">
          <w:rPr>
            <w:noProof/>
            <w:webHidden/>
          </w:rPr>
          <w:fldChar w:fldCharType="begin"/>
        </w:r>
        <w:r w:rsidR="00406035">
          <w:rPr>
            <w:noProof/>
            <w:webHidden/>
          </w:rPr>
          <w:instrText xml:space="preserve"> PAGEREF _Toc408845202 \h </w:instrText>
        </w:r>
        <w:r w:rsidR="00406035">
          <w:rPr>
            <w:noProof/>
            <w:webHidden/>
          </w:rPr>
        </w:r>
        <w:r w:rsidR="00406035">
          <w:rPr>
            <w:noProof/>
            <w:webHidden/>
          </w:rPr>
          <w:fldChar w:fldCharType="separate"/>
        </w:r>
        <w:r w:rsidR="00C67698">
          <w:rPr>
            <w:noProof/>
            <w:webHidden/>
          </w:rPr>
          <w:t>34</w:t>
        </w:r>
        <w:r w:rsidR="00406035">
          <w:rPr>
            <w:noProof/>
            <w:webHidden/>
          </w:rPr>
          <w:fldChar w:fldCharType="end"/>
        </w:r>
      </w:hyperlink>
    </w:p>
    <w:p w14:paraId="27833467"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3" w:history="1">
        <w:r w:rsidR="00406035" w:rsidRPr="0048539A">
          <w:rPr>
            <w:rStyle w:val="Hyperlink"/>
            <w:noProof/>
          </w:rPr>
          <w:t>Table B.1</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Summary of the process used to identify relevant studies of diagnostic effectiveness</w:t>
        </w:r>
        <w:r w:rsidR="00406035">
          <w:rPr>
            <w:noProof/>
            <w:webHidden/>
          </w:rPr>
          <w:tab/>
        </w:r>
        <w:r w:rsidR="00406035">
          <w:rPr>
            <w:noProof/>
            <w:webHidden/>
          </w:rPr>
          <w:fldChar w:fldCharType="begin"/>
        </w:r>
        <w:r w:rsidR="00406035">
          <w:rPr>
            <w:noProof/>
            <w:webHidden/>
          </w:rPr>
          <w:instrText xml:space="preserve"> PAGEREF _Toc408845203 \h </w:instrText>
        </w:r>
        <w:r w:rsidR="00406035">
          <w:rPr>
            <w:noProof/>
            <w:webHidden/>
          </w:rPr>
        </w:r>
        <w:r w:rsidR="00406035">
          <w:rPr>
            <w:noProof/>
            <w:webHidden/>
          </w:rPr>
          <w:fldChar w:fldCharType="separate"/>
        </w:r>
        <w:r w:rsidR="00C67698">
          <w:rPr>
            <w:noProof/>
            <w:webHidden/>
          </w:rPr>
          <w:t>38</w:t>
        </w:r>
        <w:r w:rsidR="00406035">
          <w:rPr>
            <w:noProof/>
            <w:webHidden/>
          </w:rPr>
          <w:fldChar w:fldCharType="end"/>
        </w:r>
      </w:hyperlink>
    </w:p>
    <w:p w14:paraId="6F7E211E"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4" w:history="1">
        <w:r w:rsidR="00406035" w:rsidRPr="0048539A">
          <w:rPr>
            <w:rStyle w:val="Hyperlink"/>
            <w:noProof/>
          </w:rPr>
          <w:t>Table B.1</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Summary of the process used to identify relevant studies of treatment for AD</w:t>
        </w:r>
        <w:r w:rsidR="00406035">
          <w:rPr>
            <w:noProof/>
            <w:webHidden/>
          </w:rPr>
          <w:tab/>
        </w:r>
        <w:r w:rsidR="00406035">
          <w:rPr>
            <w:noProof/>
            <w:webHidden/>
          </w:rPr>
          <w:fldChar w:fldCharType="begin"/>
        </w:r>
        <w:r w:rsidR="00406035">
          <w:rPr>
            <w:noProof/>
            <w:webHidden/>
          </w:rPr>
          <w:instrText xml:space="preserve"> PAGEREF _Toc408845204 \h </w:instrText>
        </w:r>
        <w:r w:rsidR="00406035">
          <w:rPr>
            <w:noProof/>
            <w:webHidden/>
          </w:rPr>
        </w:r>
        <w:r w:rsidR="00406035">
          <w:rPr>
            <w:noProof/>
            <w:webHidden/>
          </w:rPr>
          <w:fldChar w:fldCharType="separate"/>
        </w:r>
        <w:r w:rsidR="00C67698">
          <w:rPr>
            <w:noProof/>
            <w:webHidden/>
          </w:rPr>
          <w:t>39</w:t>
        </w:r>
        <w:r w:rsidR="00406035">
          <w:rPr>
            <w:noProof/>
            <w:webHidden/>
          </w:rPr>
          <w:fldChar w:fldCharType="end"/>
        </w:r>
      </w:hyperlink>
    </w:p>
    <w:p w14:paraId="54C96399"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5" w:history="1">
        <w:r w:rsidR="00406035" w:rsidRPr="0048539A">
          <w:rPr>
            <w:rStyle w:val="Hyperlink"/>
            <w:noProof/>
          </w:rPr>
          <w:t>Table B.2</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List of included studies comparing diagnostic accuracy of FDG-PET and SPECT</w:t>
        </w:r>
        <w:r w:rsidR="00406035">
          <w:rPr>
            <w:noProof/>
            <w:webHidden/>
          </w:rPr>
          <w:tab/>
        </w:r>
        <w:r w:rsidR="00406035">
          <w:rPr>
            <w:noProof/>
            <w:webHidden/>
          </w:rPr>
          <w:fldChar w:fldCharType="begin"/>
        </w:r>
        <w:r w:rsidR="00406035">
          <w:rPr>
            <w:noProof/>
            <w:webHidden/>
          </w:rPr>
          <w:instrText xml:space="preserve"> PAGEREF _Toc408845205 \h </w:instrText>
        </w:r>
        <w:r w:rsidR="00406035">
          <w:rPr>
            <w:noProof/>
            <w:webHidden/>
          </w:rPr>
        </w:r>
        <w:r w:rsidR="00406035">
          <w:rPr>
            <w:noProof/>
            <w:webHidden/>
          </w:rPr>
          <w:fldChar w:fldCharType="separate"/>
        </w:r>
        <w:r w:rsidR="00C67698">
          <w:rPr>
            <w:noProof/>
            <w:webHidden/>
          </w:rPr>
          <w:t>40</w:t>
        </w:r>
        <w:r w:rsidR="00406035">
          <w:rPr>
            <w:noProof/>
            <w:webHidden/>
          </w:rPr>
          <w:fldChar w:fldCharType="end"/>
        </w:r>
      </w:hyperlink>
    </w:p>
    <w:p w14:paraId="4CFECD68"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6" w:history="1">
        <w:r w:rsidR="00406035" w:rsidRPr="0048539A">
          <w:rPr>
            <w:rStyle w:val="Hyperlink"/>
            <w:noProof/>
          </w:rPr>
          <w:t>Table B.2</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List of studies reporting diagnostic accuracy of FDG-PET or SPECT</w:t>
        </w:r>
        <w:r w:rsidR="00406035">
          <w:rPr>
            <w:noProof/>
            <w:webHidden/>
          </w:rPr>
          <w:tab/>
        </w:r>
        <w:r w:rsidR="00406035">
          <w:rPr>
            <w:noProof/>
            <w:webHidden/>
          </w:rPr>
          <w:fldChar w:fldCharType="begin"/>
        </w:r>
        <w:r w:rsidR="00406035">
          <w:rPr>
            <w:noProof/>
            <w:webHidden/>
          </w:rPr>
          <w:instrText xml:space="preserve"> PAGEREF _Toc408845206 \h </w:instrText>
        </w:r>
        <w:r w:rsidR="00406035">
          <w:rPr>
            <w:noProof/>
            <w:webHidden/>
          </w:rPr>
        </w:r>
        <w:r w:rsidR="00406035">
          <w:rPr>
            <w:noProof/>
            <w:webHidden/>
          </w:rPr>
          <w:fldChar w:fldCharType="separate"/>
        </w:r>
        <w:r w:rsidR="00C67698">
          <w:rPr>
            <w:noProof/>
            <w:webHidden/>
          </w:rPr>
          <w:t>41</w:t>
        </w:r>
        <w:r w:rsidR="00406035">
          <w:rPr>
            <w:noProof/>
            <w:webHidden/>
          </w:rPr>
          <w:fldChar w:fldCharType="end"/>
        </w:r>
      </w:hyperlink>
    </w:p>
    <w:p w14:paraId="661AED0A" w14:textId="5898897F" w:rsidR="00406035" w:rsidRDefault="00197695">
      <w:pPr>
        <w:pStyle w:val="TableofFigures"/>
        <w:tabs>
          <w:tab w:val="left" w:pos="2160"/>
        </w:tabs>
        <w:rPr>
          <w:rFonts w:asciiTheme="minorHAnsi" w:eastAsiaTheme="minorEastAsia" w:hAnsiTheme="minorHAnsi"/>
          <w:noProof/>
          <w:sz w:val="22"/>
          <w:lang w:eastAsia="en-AU"/>
        </w:rPr>
      </w:pPr>
      <w:hyperlink w:anchor="_Toc408845207" w:history="1">
        <w:r w:rsidR="00406035" w:rsidRPr="0048539A">
          <w:rPr>
            <w:rStyle w:val="Hyperlink"/>
            <w:noProof/>
          </w:rPr>
          <w:t>Table B.2</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 xml:space="preserve">Matrix showing primary studies included in each of the systematic </w:t>
        </w:r>
        <w:r w:rsidR="00406035">
          <w:rPr>
            <w:rStyle w:val="Hyperlink"/>
            <w:noProof/>
          </w:rPr>
          <w:br/>
        </w:r>
        <w:r w:rsidR="00406035" w:rsidRPr="0048539A">
          <w:rPr>
            <w:rStyle w:val="Hyperlink"/>
            <w:noProof/>
          </w:rPr>
          <w:t>reviews</w:t>
        </w:r>
        <w:r w:rsidR="00406035">
          <w:rPr>
            <w:noProof/>
            <w:webHidden/>
          </w:rPr>
          <w:tab/>
        </w:r>
        <w:r w:rsidR="00406035">
          <w:rPr>
            <w:noProof/>
            <w:webHidden/>
          </w:rPr>
          <w:fldChar w:fldCharType="begin"/>
        </w:r>
        <w:r w:rsidR="00406035">
          <w:rPr>
            <w:noProof/>
            <w:webHidden/>
          </w:rPr>
          <w:instrText xml:space="preserve"> PAGEREF _Toc408845207 \h </w:instrText>
        </w:r>
        <w:r w:rsidR="00406035">
          <w:rPr>
            <w:noProof/>
            <w:webHidden/>
          </w:rPr>
        </w:r>
        <w:r w:rsidR="00406035">
          <w:rPr>
            <w:noProof/>
            <w:webHidden/>
          </w:rPr>
          <w:fldChar w:fldCharType="separate"/>
        </w:r>
        <w:r w:rsidR="00C67698">
          <w:rPr>
            <w:noProof/>
            <w:webHidden/>
          </w:rPr>
          <w:t>42</w:t>
        </w:r>
        <w:r w:rsidR="00406035">
          <w:rPr>
            <w:noProof/>
            <w:webHidden/>
          </w:rPr>
          <w:fldChar w:fldCharType="end"/>
        </w:r>
      </w:hyperlink>
    </w:p>
    <w:p w14:paraId="320485CE"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8" w:history="1">
        <w:r w:rsidR="00406035" w:rsidRPr="0048539A">
          <w:rPr>
            <w:rStyle w:val="Hyperlink"/>
            <w:noProof/>
          </w:rPr>
          <w:t>Table B.2</w:t>
        </w:r>
        <w:r w:rsidR="00406035" w:rsidRPr="0048539A">
          <w:rPr>
            <w:rStyle w:val="Hyperlink"/>
            <w:noProof/>
          </w:rPr>
          <w:noBreakHyphen/>
          <w:t>4</w:t>
        </w:r>
        <w:r w:rsidR="00406035">
          <w:rPr>
            <w:rFonts w:asciiTheme="minorHAnsi" w:eastAsiaTheme="minorEastAsia" w:hAnsiTheme="minorHAnsi"/>
            <w:noProof/>
            <w:sz w:val="22"/>
            <w:lang w:eastAsia="en-AU"/>
          </w:rPr>
          <w:tab/>
        </w:r>
        <w:r w:rsidR="00406035" w:rsidRPr="0048539A">
          <w:rPr>
            <w:rStyle w:val="Hyperlink"/>
            <w:noProof/>
          </w:rPr>
          <w:t>List of systematic reviews of the effectiveness and safety of anti-dementia medicines for AD</w:t>
        </w:r>
        <w:r w:rsidR="00406035">
          <w:rPr>
            <w:noProof/>
            <w:webHidden/>
          </w:rPr>
          <w:tab/>
        </w:r>
        <w:r w:rsidR="00406035">
          <w:rPr>
            <w:noProof/>
            <w:webHidden/>
          </w:rPr>
          <w:fldChar w:fldCharType="begin"/>
        </w:r>
        <w:r w:rsidR="00406035">
          <w:rPr>
            <w:noProof/>
            <w:webHidden/>
          </w:rPr>
          <w:instrText xml:space="preserve"> PAGEREF _Toc408845208 \h </w:instrText>
        </w:r>
        <w:r w:rsidR="00406035">
          <w:rPr>
            <w:noProof/>
            <w:webHidden/>
          </w:rPr>
        </w:r>
        <w:r w:rsidR="00406035">
          <w:rPr>
            <w:noProof/>
            <w:webHidden/>
          </w:rPr>
          <w:fldChar w:fldCharType="separate"/>
        </w:r>
        <w:r w:rsidR="00C67698">
          <w:rPr>
            <w:noProof/>
            <w:webHidden/>
          </w:rPr>
          <w:t>44</w:t>
        </w:r>
        <w:r w:rsidR="00406035">
          <w:rPr>
            <w:noProof/>
            <w:webHidden/>
          </w:rPr>
          <w:fldChar w:fldCharType="end"/>
        </w:r>
      </w:hyperlink>
    </w:p>
    <w:p w14:paraId="728DFC43"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09" w:history="1">
        <w:r w:rsidR="00406035" w:rsidRPr="0048539A">
          <w:rPr>
            <w:rStyle w:val="Hyperlink"/>
            <w:noProof/>
          </w:rPr>
          <w:t>Table B.3</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Grading system used to rank included studies</w:t>
        </w:r>
        <w:r w:rsidR="00406035">
          <w:rPr>
            <w:noProof/>
            <w:webHidden/>
          </w:rPr>
          <w:tab/>
        </w:r>
        <w:r w:rsidR="00406035">
          <w:rPr>
            <w:noProof/>
            <w:webHidden/>
          </w:rPr>
          <w:fldChar w:fldCharType="begin"/>
        </w:r>
        <w:r w:rsidR="00406035">
          <w:rPr>
            <w:noProof/>
            <w:webHidden/>
          </w:rPr>
          <w:instrText xml:space="preserve"> PAGEREF _Toc408845209 \h </w:instrText>
        </w:r>
        <w:r w:rsidR="00406035">
          <w:rPr>
            <w:noProof/>
            <w:webHidden/>
          </w:rPr>
        </w:r>
        <w:r w:rsidR="00406035">
          <w:rPr>
            <w:noProof/>
            <w:webHidden/>
          </w:rPr>
          <w:fldChar w:fldCharType="separate"/>
        </w:r>
        <w:r w:rsidR="00C67698">
          <w:rPr>
            <w:noProof/>
            <w:webHidden/>
          </w:rPr>
          <w:t>45</w:t>
        </w:r>
        <w:r w:rsidR="00406035">
          <w:rPr>
            <w:noProof/>
            <w:webHidden/>
          </w:rPr>
          <w:fldChar w:fldCharType="end"/>
        </w:r>
      </w:hyperlink>
    </w:p>
    <w:p w14:paraId="4C137AAB"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0" w:history="1">
        <w:r w:rsidR="00406035" w:rsidRPr="0048539A">
          <w:rPr>
            <w:rStyle w:val="Hyperlink"/>
            <w:noProof/>
          </w:rPr>
          <w:t>Table B.3</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Grading of included comparative studies</w:t>
        </w:r>
        <w:r w:rsidR="00406035">
          <w:rPr>
            <w:noProof/>
            <w:webHidden/>
          </w:rPr>
          <w:tab/>
        </w:r>
        <w:r w:rsidR="00406035">
          <w:rPr>
            <w:noProof/>
            <w:webHidden/>
          </w:rPr>
          <w:fldChar w:fldCharType="begin"/>
        </w:r>
        <w:r w:rsidR="00406035">
          <w:rPr>
            <w:noProof/>
            <w:webHidden/>
          </w:rPr>
          <w:instrText xml:space="preserve"> PAGEREF _Toc408845210 \h </w:instrText>
        </w:r>
        <w:r w:rsidR="00406035">
          <w:rPr>
            <w:noProof/>
            <w:webHidden/>
          </w:rPr>
        </w:r>
        <w:r w:rsidR="00406035">
          <w:rPr>
            <w:noProof/>
            <w:webHidden/>
          </w:rPr>
          <w:fldChar w:fldCharType="separate"/>
        </w:r>
        <w:r w:rsidR="00C67698">
          <w:rPr>
            <w:noProof/>
            <w:webHidden/>
          </w:rPr>
          <w:t>46</w:t>
        </w:r>
        <w:r w:rsidR="00406035">
          <w:rPr>
            <w:noProof/>
            <w:webHidden/>
          </w:rPr>
          <w:fldChar w:fldCharType="end"/>
        </w:r>
      </w:hyperlink>
    </w:p>
    <w:p w14:paraId="2255D45B"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1" w:history="1">
        <w:r w:rsidR="00406035" w:rsidRPr="0048539A">
          <w:rPr>
            <w:rStyle w:val="Hyperlink"/>
            <w:noProof/>
          </w:rPr>
          <w:t>Table B.3</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Trials of AChEIs and memantine identified in the PBS Review (October 2012)</w:t>
        </w:r>
        <w:r w:rsidR="00406035">
          <w:rPr>
            <w:noProof/>
            <w:webHidden/>
          </w:rPr>
          <w:tab/>
        </w:r>
        <w:r w:rsidR="00406035">
          <w:rPr>
            <w:noProof/>
            <w:webHidden/>
          </w:rPr>
          <w:fldChar w:fldCharType="begin"/>
        </w:r>
        <w:r w:rsidR="00406035">
          <w:rPr>
            <w:noProof/>
            <w:webHidden/>
          </w:rPr>
          <w:instrText xml:space="preserve"> PAGEREF _Toc408845211 \h </w:instrText>
        </w:r>
        <w:r w:rsidR="00406035">
          <w:rPr>
            <w:noProof/>
            <w:webHidden/>
          </w:rPr>
        </w:r>
        <w:r w:rsidR="00406035">
          <w:rPr>
            <w:noProof/>
            <w:webHidden/>
          </w:rPr>
          <w:fldChar w:fldCharType="separate"/>
        </w:r>
        <w:r w:rsidR="00C67698">
          <w:rPr>
            <w:noProof/>
            <w:webHidden/>
          </w:rPr>
          <w:t>48</w:t>
        </w:r>
        <w:r w:rsidR="00406035">
          <w:rPr>
            <w:noProof/>
            <w:webHidden/>
          </w:rPr>
          <w:fldChar w:fldCharType="end"/>
        </w:r>
      </w:hyperlink>
    </w:p>
    <w:p w14:paraId="51C05F8E"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2" w:history="1">
        <w:r w:rsidR="00406035" w:rsidRPr="0048539A">
          <w:rPr>
            <w:rStyle w:val="Hyperlink"/>
            <w:noProof/>
          </w:rPr>
          <w:t>Table B.4</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Direct evidence of the comparative diagnostic accuracy of FDG-PET and SPECT</w:t>
        </w:r>
        <w:r w:rsidR="00406035">
          <w:rPr>
            <w:noProof/>
            <w:webHidden/>
          </w:rPr>
          <w:tab/>
        </w:r>
        <w:r w:rsidR="00406035">
          <w:rPr>
            <w:noProof/>
            <w:webHidden/>
          </w:rPr>
          <w:fldChar w:fldCharType="begin"/>
        </w:r>
        <w:r w:rsidR="00406035">
          <w:rPr>
            <w:noProof/>
            <w:webHidden/>
          </w:rPr>
          <w:instrText xml:space="preserve"> PAGEREF _Toc408845212 \h </w:instrText>
        </w:r>
        <w:r w:rsidR="00406035">
          <w:rPr>
            <w:noProof/>
            <w:webHidden/>
          </w:rPr>
        </w:r>
        <w:r w:rsidR="00406035">
          <w:rPr>
            <w:noProof/>
            <w:webHidden/>
          </w:rPr>
          <w:fldChar w:fldCharType="separate"/>
        </w:r>
        <w:r w:rsidR="00C67698">
          <w:rPr>
            <w:noProof/>
            <w:webHidden/>
          </w:rPr>
          <w:t>51</w:t>
        </w:r>
        <w:r w:rsidR="00406035">
          <w:rPr>
            <w:noProof/>
            <w:webHidden/>
          </w:rPr>
          <w:fldChar w:fldCharType="end"/>
        </w:r>
      </w:hyperlink>
    </w:p>
    <w:p w14:paraId="5C1EA2C6"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3" w:history="1">
        <w:r w:rsidR="00406035" w:rsidRPr="0048539A">
          <w:rPr>
            <w:rStyle w:val="Hyperlink"/>
            <w:noProof/>
          </w:rPr>
          <w:t>Table B.4</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Indirect evidence of the diagnostic accuracy of FDG-PET and SPECT</w:t>
        </w:r>
        <w:r w:rsidR="00406035">
          <w:rPr>
            <w:noProof/>
            <w:webHidden/>
          </w:rPr>
          <w:tab/>
        </w:r>
        <w:r w:rsidR="00406035">
          <w:rPr>
            <w:noProof/>
            <w:webHidden/>
          </w:rPr>
          <w:fldChar w:fldCharType="begin"/>
        </w:r>
        <w:r w:rsidR="00406035">
          <w:rPr>
            <w:noProof/>
            <w:webHidden/>
          </w:rPr>
          <w:instrText xml:space="preserve"> PAGEREF _Toc408845213 \h </w:instrText>
        </w:r>
        <w:r w:rsidR="00406035">
          <w:rPr>
            <w:noProof/>
            <w:webHidden/>
          </w:rPr>
        </w:r>
        <w:r w:rsidR="00406035">
          <w:rPr>
            <w:noProof/>
            <w:webHidden/>
          </w:rPr>
          <w:fldChar w:fldCharType="separate"/>
        </w:r>
        <w:r w:rsidR="00C67698">
          <w:rPr>
            <w:noProof/>
            <w:webHidden/>
          </w:rPr>
          <w:t>55</w:t>
        </w:r>
        <w:r w:rsidR="00406035">
          <w:rPr>
            <w:noProof/>
            <w:webHidden/>
          </w:rPr>
          <w:fldChar w:fldCharType="end"/>
        </w:r>
      </w:hyperlink>
    </w:p>
    <w:p w14:paraId="1E577E1E"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4" w:history="1">
        <w:r w:rsidR="00406035" w:rsidRPr="0048539A">
          <w:rPr>
            <w:rStyle w:val="Hyperlink"/>
            <w:noProof/>
          </w:rPr>
          <w:t>Table B.6</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Test results and performance characteristics of studies comparing FDG-PET and SPECT in patients with cognitive impairment or dementia</w:t>
        </w:r>
        <w:r w:rsidR="00406035">
          <w:rPr>
            <w:noProof/>
            <w:webHidden/>
          </w:rPr>
          <w:tab/>
        </w:r>
        <w:r w:rsidR="00406035">
          <w:rPr>
            <w:noProof/>
            <w:webHidden/>
          </w:rPr>
          <w:fldChar w:fldCharType="begin"/>
        </w:r>
        <w:r w:rsidR="00406035">
          <w:rPr>
            <w:noProof/>
            <w:webHidden/>
          </w:rPr>
          <w:instrText xml:space="preserve"> PAGEREF _Toc408845214 \h </w:instrText>
        </w:r>
        <w:r w:rsidR="00406035">
          <w:rPr>
            <w:noProof/>
            <w:webHidden/>
          </w:rPr>
        </w:r>
        <w:r w:rsidR="00406035">
          <w:rPr>
            <w:noProof/>
            <w:webHidden/>
          </w:rPr>
          <w:fldChar w:fldCharType="separate"/>
        </w:r>
        <w:r w:rsidR="00C67698">
          <w:rPr>
            <w:noProof/>
            <w:webHidden/>
          </w:rPr>
          <w:t>60</w:t>
        </w:r>
        <w:r w:rsidR="00406035">
          <w:rPr>
            <w:noProof/>
            <w:webHidden/>
          </w:rPr>
          <w:fldChar w:fldCharType="end"/>
        </w:r>
      </w:hyperlink>
    </w:p>
    <w:p w14:paraId="1D8E05DD"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5" w:history="1">
        <w:r w:rsidR="00406035" w:rsidRPr="0048539A">
          <w:rPr>
            <w:rStyle w:val="Hyperlink"/>
            <w:noProof/>
          </w:rPr>
          <w:t>Table B.6</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Test results and true disease state in patients with AD versus other dementias</w:t>
        </w:r>
        <w:r w:rsidR="00406035">
          <w:rPr>
            <w:noProof/>
            <w:webHidden/>
          </w:rPr>
          <w:tab/>
        </w:r>
        <w:r w:rsidR="00406035">
          <w:rPr>
            <w:noProof/>
            <w:webHidden/>
          </w:rPr>
          <w:fldChar w:fldCharType="begin"/>
        </w:r>
        <w:r w:rsidR="00406035">
          <w:rPr>
            <w:noProof/>
            <w:webHidden/>
          </w:rPr>
          <w:instrText xml:space="preserve"> PAGEREF _Toc408845215 \h </w:instrText>
        </w:r>
        <w:r w:rsidR="00406035">
          <w:rPr>
            <w:noProof/>
            <w:webHidden/>
          </w:rPr>
        </w:r>
        <w:r w:rsidR="00406035">
          <w:rPr>
            <w:noProof/>
            <w:webHidden/>
          </w:rPr>
          <w:fldChar w:fldCharType="separate"/>
        </w:r>
        <w:r w:rsidR="00C67698">
          <w:rPr>
            <w:noProof/>
            <w:webHidden/>
          </w:rPr>
          <w:t>61</w:t>
        </w:r>
        <w:r w:rsidR="00406035">
          <w:rPr>
            <w:noProof/>
            <w:webHidden/>
          </w:rPr>
          <w:fldChar w:fldCharType="end"/>
        </w:r>
      </w:hyperlink>
    </w:p>
    <w:p w14:paraId="6C83B544"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6" w:history="1">
        <w:r w:rsidR="00406035" w:rsidRPr="0048539A">
          <w:rPr>
            <w:rStyle w:val="Hyperlink"/>
            <w:noProof/>
          </w:rPr>
          <w:t>Table B.6</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Test results and true disease state in patients with AD or MIX versus other dementias</w:t>
        </w:r>
        <w:r w:rsidR="00406035">
          <w:rPr>
            <w:noProof/>
            <w:webHidden/>
          </w:rPr>
          <w:tab/>
        </w:r>
        <w:r w:rsidR="00406035">
          <w:rPr>
            <w:noProof/>
            <w:webHidden/>
          </w:rPr>
          <w:fldChar w:fldCharType="begin"/>
        </w:r>
        <w:r w:rsidR="00406035">
          <w:rPr>
            <w:noProof/>
            <w:webHidden/>
          </w:rPr>
          <w:instrText xml:space="preserve"> PAGEREF _Toc408845216 \h </w:instrText>
        </w:r>
        <w:r w:rsidR="00406035">
          <w:rPr>
            <w:noProof/>
            <w:webHidden/>
          </w:rPr>
        </w:r>
        <w:r w:rsidR="00406035">
          <w:rPr>
            <w:noProof/>
            <w:webHidden/>
          </w:rPr>
          <w:fldChar w:fldCharType="separate"/>
        </w:r>
        <w:r w:rsidR="00C67698">
          <w:rPr>
            <w:noProof/>
            <w:webHidden/>
          </w:rPr>
          <w:t>61</w:t>
        </w:r>
        <w:r w:rsidR="00406035">
          <w:rPr>
            <w:noProof/>
            <w:webHidden/>
          </w:rPr>
          <w:fldChar w:fldCharType="end"/>
        </w:r>
      </w:hyperlink>
    </w:p>
    <w:p w14:paraId="13CDE492"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7" w:history="1">
        <w:r w:rsidR="00406035" w:rsidRPr="0048539A">
          <w:rPr>
            <w:rStyle w:val="Hyperlink"/>
            <w:noProof/>
          </w:rPr>
          <w:t>Table B.6</w:t>
        </w:r>
        <w:r w:rsidR="00406035" w:rsidRPr="0048539A">
          <w:rPr>
            <w:rStyle w:val="Hyperlink"/>
            <w:noProof/>
          </w:rPr>
          <w:noBreakHyphen/>
          <w:t>4</w:t>
        </w:r>
        <w:r w:rsidR="00406035">
          <w:rPr>
            <w:rFonts w:asciiTheme="minorHAnsi" w:eastAsiaTheme="minorEastAsia" w:hAnsiTheme="minorHAnsi"/>
            <w:noProof/>
            <w:sz w:val="22"/>
            <w:lang w:eastAsia="en-AU"/>
          </w:rPr>
          <w:tab/>
        </w:r>
        <w:r w:rsidR="00406035" w:rsidRPr="0048539A">
          <w:rPr>
            <w:rStyle w:val="Hyperlink"/>
            <w:noProof/>
          </w:rPr>
          <w:t>Results and conclusions presented in studies with direct evidence of the diagnostic accuracy of FDG-PET and SPECT</w:t>
        </w:r>
        <w:r w:rsidR="00406035">
          <w:rPr>
            <w:noProof/>
            <w:webHidden/>
          </w:rPr>
          <w:tab/>
        </w:r>
        <w:r w:rsidR="00406035">
          <w:rPr>
            <w:noProof/>
            <w:webHidden/>
          </w:rPr>
          <w:fldChar w:fldCharType="begin"/>
        </w:r>
        <w:r w:rsidR="00406035">
          <w:rPr>
            <w:noProof/>
            <w:webHidden/>
          </w:rPr>
          <w:instrText xml:space="preserve"> PAGEREF _Toc408845217 \h </w:instrText>
        </w:r>
        <w:r w:rsidR="00406035">
          <w:rPr>
            <w:noProof/>
            <w:webHidden/>
          </w:rPr>
        </w:r>
        <w:r w:rsidR="00406035">
          <w:rPr>
            <w:noProof/>
            <w:webHidden/>
          </w:rPr>
          <w:fldChar w:fldCharType="separate"/>
        </w:r>
        <w:r w:rsidR="00C67698">
          <w:rPr>
            <w:noProof/>
            <w:webHidden/>
          </w:rPr>
          <w:t>62</w:t>
        </w:r>
        <w:r w:rsidR="00406035">
          <w:rPr>
            <w:noProof/>
            <w:webHidden/>
          </w:rPr>
          <w:fldChar w:fldCharType="end"/>
        </w:r>
      </w:hyperlink>
    </w:p>
    <w:p w14:paraId="5CC67A0C"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8" w:history="1">
        <w:r w:rsidR="00406035" w:rsidRPr="0048539A">
          <w:rPr>
            <w:rStyle w:val="Hyperlink"/>
            <w:noProof/>
          </w:rPr>
          <w:t>Table B.6</w:t>
        </w:r>
        <w:r w:rsidR="00406035" w:rsidRPr="0048539A">
          <w:rPr>
            <w:rStyle w:val="Hyperlink"/>
            <w:noProof/>
          </w:rPr>
          <w:noBreakHyphen/>
          <w:t>5</w:t>
        </w:r>
        <w:r w:rsidR="00406035">
          <w:rPr>
            <w:rFonts w:asciiTheme="minorHAnsi" w:eastAsiaTheme="minorEastAsia" w:hAnsiTheme="minorHAnsi"/>
            <w:noProof/>
            <w:sz w:val="22"/>
            <w:lang w:eastAsia="en-AU"/>
          </w:rPr>
          <w:tab/>
        </w:r>
        <w:r w:rsidR="00406035" w:rsidRPr="0048539A">
          <w:rPr>
            <w:rStyle w:val="Hyperlink"/>
            <w:noProof/>
          </w:rPr>
          <w:t>Test results and performance characteristics of FDG-PET and SPECT in patients with autopsy confirmation only</w:t>
        </w:r>
        <w:r w:rsidR="00406035">
          <w:rPr>
            <w:noProof/>
            <w:webHidden/>
          </w:rPr>
          <w:tab/>
        </w:r>
        <w:r w:rsidR="00406035">
          <w:rPr>
            <w:noProof/>
            <w:webHidden/>
          </w:rPr>
          <w:fldChar w:fldCharType="begin"/>
        </w:r>
        <w:r w:rsidR="00406035">
          <w:rPr>
            <w:noProof/>
            <w:webHidden/>
          </w:rPr>
          <w:instrText xml:space="preserve"> PAGEREF _Toc408845218 \h </w:instrText>
        </w:r>
        <w:r w:rsidR="00406035">
          <w:rPr>
            <w:noProof/>
            <w:webHidden/>
          </w:rPr>
        </w:r>
        <w:r w:rsidR="00406035">
          <w:rPr>
            <w:noProof/>
            <w:webHidden/>
          </w:rPr>
          <w:fldChar w:fldCharType="separate"/>
        </w:r>
        <w:r w:rsidR="00C67698">
          <w:rPr>
            <w:noProof/>
            <w:webHidden/>
          </w:rPr>
          <w:t>65</w:t>
        </w:r>
        <w:r w:rsidR="00406035">
          <w:rPr>
            <w:noProof/>
            <w:webHidden/>
          </w:rPr>
          <w:fldChar w:fldCharType="end"/>
        </w:r>
      </w:hyperlink>
    </w:p>
    <w:p w14:paraId="4545035D"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19" w:history="1">
        <w:r w:rsidR="00406035" w:rsidRPr="0048539A">
          <w:rPr>
            <w:rStyle w:val="Hyperlink"/>
            <w:noProof/>
          </w:rPr>
          <w:t>Table B.6</w:t>
        </w:r>
        <w:r w:rsidR="00406035" w:rsidRPr="0048539A">
          <w:rPr>
            <w:rStyle w:val="Hyperlink"/>
            <w:noProof/>
          </w:rPr>
          <w:noBreakHyphen/>
          <w:t>6</w:t>
        </w:r>
        <w:r w:rsidR="00406035">
          <w:rPr>
            <w:rFonts w:asciiTheme="minorHAnsi" w:eastAsiaTheme="minorEastAsia" w:hAnsiTheme="minorHAnsi"/>
            <w:noProof/>
            <w:sz w:val="22"/>
            <w:lang w:eastAsia="en-AU"/>
          </w:rPr>
          <w:tab/>
        </w:r>
        <w:r w:rsidR="00406035" w:rsidRPr="0048539A">
          <w:rPr>
            <w:rStyle w:val="Hyperlink"/>
            <w:noProof/>
          </w:rPr>
          <w:t>Test results and performance characteristics of FDG-PET and SPECT in patients with autopsy confirmation (demented controls only)</w:t>
        </w:r>
        <w:r w:rsidR="00406035">
          <w:rPr>
            <w:noProof/>
            <w:webHidden/>
          </w:rPr>
          <w:tab/>
        </w:r>
        <w:r w:rsidR="00406035">
          <w:rPr>
            <w:noProof/>
            <w:webHidden/>
          </w:rPr>
          <w:fldChar w:fldCharType="begin"/>
        </w:r>
        <w:r w:rsidR="00406035">
          <w:rPr>
            <w:noProof/>
            <w:webHidden/>
          </w:rPr>
          <w:instrText xml:space="preserve"> PAGEREF _Toc408845219 \h </w:instrText>
        </w:r>
        <w:r w:rsidR="00406035">
          <w:rPr>
            <w:noProof/>
            <w:webHidden/>
          </w:rPr>
        </w:r>
        <w:r w:rsidR="00406035">
          <w:rPr>
            <w:noProof/>
            <w:webHidden/>
          </w:rPr>
          <w:fldChar w:fldCharType="separate"/>
        </w:r>
        <w:r w:rsidR="00C67698">
          <w:rPr>
            <w:noProof/>
            <w:webHidden/>
          </w:rPr>
          <w:t>67</w:t>
        </w:r>
        <w:r w:rsidR="00406035">
          <w:rPr>
            <w:noProof/>
            <w:webHidden/>
          </w:rPr>
          <w:fldChar w:fldCharType="end"/>
        </w:r>
      </w:hyperlink>
    </w:p>
    <w:p w14:paraId="039EDAEF"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0" w:history="1">
        <w:r w:rsidR="00406035" w:rsidRPr="0048539A">
          <w:rPr>
            <w:rStyle w:val="Hyperlink"/>
            <w:noProof/>
          </w:rPr>
          <w:t>Table B.6</w:t>
        </w:r>
        <w:r w:rsidR="00406035" w:rsidRPr="0048539A">
          <w:rPr>
            <w:rStyle w:val="Hyperlink"/>
            <w:noProof/>
          </w:rPr>
          <w:noBreakHyphen/>
          <w:t>7</w:t>
        </w:r>
        <w:r w:rsidR="00406035">
          <w:rPr>
            <w:rFonts w:asciiTheme="minorHAnsi" w:eastAsiaTheme="minorEastAsia" w:hAnsiTheme="minorHAnsi"/>
            <w:noProof/>
            <w:sz w:val="22"/>
            <w:lang w:eastAsia="en-AU"/>
          </w:rPr>
          <w:tab/>
        </w:r>
        <w:r w:rsidR="00406035" w:rsidRPr="0048539A">
          <w:rPr>
            <w:rStyle w:val="Hyperlink"/>
            <w:noProof/>
          </w:rPr>
          <w:t>Test results and true disease state in patients with AD versus other dementias</w:t>
        </w:r>
        <w:r w:rsidR="00406035">
          <w:rPr>
            <w:noProof/>
            <w:webHidden/>
          </w:rPr>
          <w:tab/>
        </w:r>
        <w:r w:rsidR="00406035">
          <w:rPr>
            <w:noProof/>
            <w:webHidden/>
          </w:rPr>
          <w:fldChar w:fldCharType="begin"/>
        </w:r>
        <w:r w:rsidR="00406035">
          <w:rPr>
            <w:noProof/>
            <w:webHidden/>
          </w:rPr>
          <w:instrText xml:space="preserve"> PAGEREF _Toc408845220 \h </w:instrText>
        </w:r>
        <w:r w:rsidR="00406035">
          <w:rPr>
            <w:noProof/>
            <w:webHidden/>
          </w:rPr>
        </w:r>
        <w:r w:rsidR="00406035">
          <w:rPr>
            <w:noProof/>
            <w:webHidden/>
          </w:rPr>
          <w:fldChar w:fldCharType="separate"/>
        </w:r>
        <w:r w:rsidR="00C67698">
          <w:rPr>
            <w:noProof/>
            <w:webHidden/>
          </w:rPr>
          <w:t>68</w:t>
        </w:r>
        <w:r w:rsidR="00406035">
          <w:rPr>
            <w:noProof/>
            <w:webHidden/>
          </w:rPr>
          <w:fldChar w:fldCharType="end"/>
        </w:r>
      </w:hyperlink>
    </w:p>
    <w:p w14:paraId="0041B5A1"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1" w:history="1">
        <w:r w:rsidR="00406035" w:rsidRPr="0048539A">
          <w:rPr>
            <w:rStyle w:val="Hyperlink"/>
            <w:noProof/>
          </w:rPr>
          <w:t>Table B.6</w:t>
        </w:r>
        <w:r w:rsidR="00406035" w:rsidRPr="0048539A">
          <w:rPr>
            <w:rStyle w:val="Hyperlink"/>
            <w:noProof/>
          </w:rPr>
          <w:noBreakHyphen/>
          <w:t>8</w:t>
        </w:r>
        <w:r w:rsidR="00406035">
          <w:rPr>
            <w:rFonts w:asciiTheme="minorHAnsi" w:eastAsiaTheme="minorEastAsia" w:hAnsiTheme="minorHAnsi"/>
            <w:noProof/>
            <w:sz w:val="22"/>
            <w:lang w:eastAsia="en-AU"/>
          </w:rPr>
          <w:tab/>
        </w:r>
        <w:r w:rsidR="00406035" w:rsidRPr="0048539A">
          <w:rPr>
            <w:rStyle w:val="Hyperlink"/>
            <w:noProof/>
          </w:rPr>
          <w:t>Published meta-analyses of FDG-PET and SPECT for the diagnosis of AD versus all controls (normal and demented), normal controls only, and demented controls only</w:t>
        </w:r>
        <w:r w:rsidR="00406035">
          <w:rPr>
            <w:noProof/>
            <w:webHidden/>
          </w:rPr>
          <w:tab/>
        </w:r>
        <w:r w:rsidR="00406035">
          <w:rPr>
            <w:noProof/>
            <w:webHidden/>
          </w:rPr>
          <w:fldChar w:fldCharType="begin"/>
        </w:r>
        <w:r w:rsidR="00406035">
          <w:rPr>
            <w:noProof/>
            <w:webHidden/>
          </w:rPr>
          <w:instrText xml:space="preserve"> PAGEREF _Toc408845221 \h </w:instrText>
        </w:r>
        <w:r w:rsidR="00406035">
          <w:rPr>
            <w:noProof/>
            <w:webHidden/>
          </w:rPr>
        </w:r>
        <w:r w:rsidR="00406035">
          <w:rPr>
            <w:noProof/>
            <w:webHidden/>
          </w:rPr>
          <w:fldChar w:fldCharType="separate"/>
        </w:r>
        <w:r w:rsidR="00C67698">
          <w:rPr>
            <w:noProof/>
            <w:webHidden/>
          </w:rPr>
          <w:t>69</w:t>
        </w:r>
        <w:r w:rsidR="00406035">
          <w:rPr>
            <w:noProof/>
            <w:webHidden/>
          </w:rPr>
          <w:fldChar w:fldCharType="end"/>
        </w:r>
      </w:hyperlink>
    </w:p>
    <w:p w14:paraId="73E19ACE"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2" w:history="1">
        <w:r w:rsidR="00406035" w:rsidRPr="0048539A">
          <w:rPr>
            <w:rStyle w:val="Hyperlink"/>
            <w:noProof/>
          </w:rPr>
          <w:t>Table B.6</w:t>
        </w:r>
        <w:r w:rsidR="00406035" w:rsidRPr="0048539A">
          <w:rPr>
            <w:rStyle w:val="Hyperlink"/>
            <w:noProof/>
          </w:rPr>
          <w:noBreakHyphen/>
          <w:t>9</w:t>
        </w:r>
        <w:r w:rsidR="00406035">
          <w:rPr>
            <w:rFonts w:asciiTheme="minorHAnsi" w:eastAsiaTheme="minorEastAsia" w:hAnsiTheme="minorHAnsi"/>
            <w:noProof/>
            <w:sz w:val="22"/>
            <w:lang w:eastAsia="en-AU"/>
          </w:rPr>
          <w:tab/>
        </w:r>
        <w:r w:rsidR="00406035" w:rsidRPr="0048539A">
          <w:rPr>
            <w:rStyle w:val="Hyperlink"/>
            <w:noProof/>
          </w:rPr>
          <w:t>Difference between initial, FDG-PET and most recent diagnoses</w:t>
        </w:r>
        <w:r w:rsidR="00406035">
          <w:rPr>
            <w:noProof/>
            <w:webHidden/>
          </w:rPr>
          <w:tab/>
        </w:r>
        <w:r w:rsidR="00406035">
          <w:rPr>
            <w:noProof/>
            <w:webHidden/>
          </w:rPr>
          <w:fldChar w:fldCharType="begin"/>
        </w:r>
        <w:r w:rsidR="00406035">
          <w:rPr>
            <w:noProof/>
            <w:webHidden/>
          </w:rPr>
          <w:instrText xml:space="preserve"> PAGEREF _Toc408845222 \h </w:instrText>
        </w:r>
        <w:r w:rsidR="00406035">
          <w:rPr>
            <w:noProof/>
            <w:webHidden/>
          </w:rPr>
        </w:r>
        <w:r w:rsidR="00406035">
          <w:rPr>
            <w:noProof/>
            <w:webHidden/>
          </w:rPr>
          <w:fldChar w:fldCharType="separate"/>
        </w:r>
        <w:r w:rsidR="00C67698">
          <w:rPr>
            <w:noProof/>
            <w:webHidden/>
          </w:rPr>
          <w:t>70</w:t>
        </w:r>
        <w:r w:rsidR="00406035">
          <w:rPr>
            <w:noProof/>
            <w:webHidden/>
          </w:rPr>
          <w:fldChar w:fldCharType="end"/>
        </w:r>
      </w:hyperlink>
    </w:p>
    <w:p w14:paraId="30FCCF51"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3" w:history="1">
        <w:r w:rsidR="00406035" w:rsidRPr="0048539A">
          <w:rPr>
            <w:rStyle w:val="Hyperlink"/>
            <w:noProof/>
          </w:rPr>
          <w:t>Table B.6</w:t>
        </w:r>
        <w:r w:rsidR="00406035" w:rsidRPr="0048539A">
          <w:rPr>
            <w:rStyle w:val="Hyperlink"/>
            <w:noProof/>
          </w:rPr>
          <w:noBreakHyphen/>
          <w:t>10</w:t>
        </w:r>
        <w:r w:rsidR="00406035">
          <w:rPr>
            <w:rFonts w:asciiTheme="minorHAnsi" w:eastAsiaTheme="minorEastAsia" w:hAnsiTheme="minorHAnsi"/>
            <w:noProof/>
            <w:sz w:val="22"/>
            <w:lang w:eastAsia="en-AU"/>
          </w:rPr>
          <w:tab/>
        </w:r>
        <w:r w:rsidR="00406035" w:rsidRPr="0048539A">
          <w:rPr>
            <w:rStyle w:val="Hyperlink"/>
            <w:noProof/>
          </w:rPr>
          <w:t>Clinician impression of the contribution of FDG-PET to diagnosis</w:t>
        </w:r>
        <w:r w:rsidR="00406035">
          <w:rPr>
            <w:noProof/>
            <w:webHidden/>
          </w:rPr>
          <w:tab/>
        </w:r>
        <w:r w:rsidR="00406035">
          <w:rPr>
            <w:noProof/>
            <w:webHidden/>
          </w:rPr>
          <w:fldChar w:fldCharType="begin"/>
        </w:r>
        <w:r w:rsidR="00406035">
          <w:rPr>
            <w:noProof/>
            <w:webHidden/>
          </w:rPr>
          <w:instrText xml:space="preserve"> PAGEREF _Toc408845223 \h </w:instrText>
        </w:r>
        <w:r w:rsidR="00406035">
          <w:rPr>
            <w:noProof/>
            <w:webHidden/>
          </w:rPr>
        </w:r>
        <w:r w:rsidR="00406035">
          <w:rPr>
            <w:noProof/>
            <w:webHidden/>
          </w:rPr>
          <w:fldChar w:fldCharType="separate"/>
        </w:r>
        <w:r w:rsidR="00C67698">
          <w:rPr>
            <w:noProof/>
            <w:webHidden/>
          </w:rPr>
          <w:t>71</w:t>
        </w:r>
        <w:r w:rsidR="00406035">
          <w:rPr>
            <w:noProof/>
            <w:webHidden/>
          </w:rPr>
          <w:fldChar w:fldCharType="end"/>
        </w:r>
      </w:hyperlink>
    </w:p>
    <w:p w14:paraId="6DAA2FAA"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4" w:history="1">
        <w:r w:rsidR="00406035" w:rsidRPr="0048539A">
          <w:rPr>
            <w:rStyle w:val="Hyperlink"/>
            <w:noProof/>
          </w:rPr>
          <w:t>Table C.1</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Translation issues identified in preparing the economic evaluation</w:t>
        </w:r>
        <w:r w:rsidR="00406035">
          <w:rPr>
            <w:noProof/>
            <w:webHidden/>
          </w:rPr>
          <w:tab/>
        </w:r>
        <w:r w:rsidR="00406035">
          <w:rPr>
            <w:noProof/>
            <w:webHidden/>
          </w:rPr>
          <w:fldChar w:fldCharType="begin"/>
        </w:r>
        <w:r w:rsidR="00406035">
          <w:rPr>
            <w:noProof/>
            <w:webHidden/>
          </w:rPr>
          <w:instrText xml:space="preserve"> PAGEREF _Toc408845224 \h </w:instrText>
        </w:r>
        <w:r w:rsidR="00406035">
          <w:rPr>
            <w:noProof/>
            <w:webHidden/>
          </w:rPr>
        </w:r>
        <w:r w:rsidR="00406035">
          <w:rPr>
            <w:noProof/>
            <w:webHidden/>
          </w:rPr>
          <w:fldChar w:fldCharType="separate"/>
        </w:r>
        <w:r w:rsidR="00C67698">
          <w:rPr>
            <w:noProof/>
            <w:webHidden/>
          </w:rPr>
          <w:t>78</w:t>
        </w:r>
        <w:r w:rsidR="00406035">
          <w:rPr>
            <w:noProof/>
            <w:webHidden/>
          </w:rPr>
          <w:fldChar w:fldCharType="end"/>
        </w:r>
      </w:hyperlink>
    </w:p>
    <w:p w14:paraId="34F37369"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5" w:history="1">
        <w:r w:rsidR="00406035" w:rsidRPr="0048539A">
          <w:rPr>
            <w:rStyle w:val="Hyperlink"/>
            <w:noProof/>
          </w:rPr>
          <w:t>Table C.2</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Population and circumstances of use</w:t>
        </w:r>
        <w:r w:rsidR="00406035">
          <w:rPr>
            <w:noProof/>
            <w:webHidden/>
          </w:rPr>
          <w:tab/>
        </w:r>
        <w:r w:rsidR="00406035">
          <w:rPr>
            <w:noProof/>
            <w:webHidden/>
          </w:rPr>
          <w:fldChar w:fldCharType="begin"/>
        </w:r>
        <w:r w:rsidR="00406035">
          <w:rPr>
            <w:noProof/>
            <w:webHidden/>
          </w:rPr>
          <w:instrText xml:space="preserve"> PAGEREF _Toc408845225 \h </w:instrText>
        </w:r>
        <w:r w:rsidR="00406035">
          <w:rPr>
            <w:noProof/>
            <w:webHidden/>
          </w:rPr>
        </w:r>
        <w:r w:rsidR="00406035">
          <w:rPr>
            <w:noProof/>
            <w:webHidden/>
          </w:rPr>
          <w:fldChar w:fldCharType="separate"/>
        </w:r>
        <w:r w:rsidR="00C67698">
          <w:rPr>
            <w:noProof/>
            <w:webHidden/>
          </w:rPr>
          <w:t>79</w:t>
        </w:r>
        <w:r w:rsidR="00406035">
          <w:rPr>
            <w:noProof/>
            <w:webHidden/>
          </w:rPr>
          <w:fldChar w:fldCharType="end"/>
        </w:r>
      </w:hyperlink>
    </w:p>
    <w:p w14:paraId="7A9F5749"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6" w:history="1">
        <w:r w:rsidR="00406035" w:rsidRPr="0048539A">
          <w:rPr>
            <w:rStyle w:val="Hyperlink"/>
            <w:noProof/>
          </w:rPr>
          <w:t>Table C.3</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Discontinuation rates applied to the economic model</w:t>
        </w:r>
        <w:r w:rsidR="00406035">
          <w:rPr>
            <w:noProof/>
            <w:webHidden/>
          </w:rPr>
          <w:tab/>
        </w:r>
        <w:r w:rsidR="00406035">
          <w:rPr>
            <w:noProof/>
            <w:webHidden/>
          </w:rPr>
          <w:fldChar w:fldCharType="begin"/>
        </w:r>
        <w:r w:rsidR="00406035">
          <w:rPr>
            <w:noProof/>
            <w:webHidden/>
          </w:rPr>
          <w:instrText xml:space="preserve"> PAGEREF _Toc408845226 \h </w:instrText>
        </w:r>
        <w:r w:rsidR="00406035">
          <w:rPr>
            <w:noProof/>
            <w:webHidden/>
          </w:rPr>
        </w:r>
        <w:r w:rsidR="00406035">
          <w:rPr>
            <w:noProof/>
            <w:webHidden/>
          </w:rPr>
          <w:fldChar w:fldCharType="separate"/>
        </w:r>
        <w:r w:rsidR="00C67698">
          <w:rPr>
            <w:noProof/>
            <w:webHidden/>
          </w:rPr>
          <w:t>82</w:t>
        </w:r>
        <w:r w:rsidR="00406035">
          <w:rPr>
            <w:noProof/>
            <w:webHidden/>
          </w:rPr>
          <w:fldChar w:fldCharType="end"/>
        </w:r>
      </w:hyperlink>
    </w:p>
    <w:p w14:paraId="4DE48B0C"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7" w:history="1">
        <w:r w:rsidR="00406035" w:rsidRPr="0048539A">
          <w:rPr>
            <w:rStyle w:val="Hyperlink"/>
            <w:noProof/>
          </w:rPr>
          <w:t>Table C.4</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Transition probabilities applied to the economic model</w:t>
        </w:r>
        <w:r w:rsidR="00406035">
          <w:rPr>
            <w:noProof/>
            <w:webHidden/>
          </w:rPr>
          <w:tab/>
        </w:r>
        <w:r w:rsidR="00406035">
          <w:rPr>
            <w:noProof/>
            <w:webHidden/>
          </w:rPr>
          <w:fldChar w:fldCharType="begin"/>
        </w:r>
        <w:r w:rsidR="00406035">
          <w:rPr>
            <w:noProof/>
            <w:webHidden/>
          </w:rPr>
          <w:instrText xml:space="preserve"> PAGEREF _Toc408845227 \h </w:instrText>
        </w:r>
        <w:r w:rsidR="00406035">
          <w:rPr>
            <w:noProof/>
            <w:webHidden/>
          </w:rPr>
        </w:r>
        <w:r w:rsidR="00406035">
          <w:rPr>
            <w:noProof/>
            <w:webHidden/>
          </w:rPr>
          <w:fldChar w:fldCharType="separate"/>
        </w:r>
        <w:r w:rsidR="00C67698">
          <w:rPr>
            <w:noProof/>
            <w:webHidden/>
          </w:rPr>
          <w:t>84</w:t>
        </w:r>
        <w:r w:rsidR="00406035">
          <w:rPr>
            <w:noProof/>
            <w:webHidden/>
          </w:rPr>
          <w:fldChar w:fldCharType="end"/>
        </w:r>
      </w:hyperlink>
    </w:p>
    <w:p w14:paraId="53B72B31"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28" w:history="1">
        <w:r w:rsidR="00406035" w:rsidRPr="0048539A">
          <w:rPr>
            <w:rStyle w:val="Hyperlink"/>
            <w:noProof/>
          </w:rPr>
          <w:t>Table C.6</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Citation details for systematic reviews of utility weights relevant to AD and dementia</w:t>
        </w:r>
        <w:r w:rsidR="00406035">
          <w:rPr>
            <w:noProof/>
            <w:webHidden/>
          </w:rPr>
          <w:tab/>
        </w:r>
        <w:r w:rsidR="00406035">
          <w:rPr>
            <w:noProof/>
            <w:webHidden/>
          </w:rPr>
          <w:fldChar w:fldCharType="begin"/>
        </w:r>
        <w:r w:rsidR="00406035">
          <w:rPr>
            <w:noProof/>
            <w:webHidden/>
          </w:rPr>
          <w:instrText xml:space="preserve"> PAGEREF _Toc408845228 \h </w:instrText>
        </w:r>
        <w:r w:rsidR="00406035">
          <w:rPr>
            <w:noProof/>
            <w:webHidden/>
          </w:rPr>
        </w:r>
        <w:r w:rsidR="00406035">
          <w:rPr>
            <w:noProof/>
            <w:webHidden/>
          </w:rPr>
          <w:fldChar w:fldCharType="separate"/>
        </w:r>
        <w:r w:rsidR="00C67698">
          <w:rPr>
            <w:noProof/>
            <w:webHidden/>
          </w:rPr>
          <w:t>87</w:t>
        </w:r>
        <w:r w:rsidR="00406035">
          <w:rPr>
            <w:noProof/>
            <w:webHidden/>
          </w:rPr>
          <w:fldChar w:fldCharType="end"/>
        </w:r>
      </w:hyperlink>
    </w:p>
    <w:p w14:paraId="3500DCDB" w14:textId="6EDFB429" w:rsidR="00406035" w:rsidRDefault="00197695">
      <w:pPr>
        <w:pStyle w:val="TableofFigures"/>
        <w:tabs>
          <w:tab w:val="left" w:pos="2160"/>
        </w:tabs>
        <w:rPr>
          <w:rFonts w:asciiTheme="minorHAnsi" w:eastAsiaTheme="minorEastAsia" w:hAnsiTheme="minorHAnsi"/>
          <w:noProof/>
          <w:sz w:val="22"/>
          <w:lang w:eastAsia="en-AU"/>
        </w:rPr>
      </w:pPr>
      <w:hyperlink w:anchor="_Toc408845229" w:history="1">
        <w:r w:rsidR="00406035" w:rsidRPr="0048539A">
          <w:rPr>
            <w:rStyle w:val="Hyperlink"/>
            <w:noProof/>
          </w:rPr>
          <w:t>Table C.6</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 xml:space="preserve">Studies evaluated in full to source utility weights for the economic </w:t>
        </w:r>
        <w:r w:rsidR="00406035">
          <w:rPr>
            <w:rStyle w:val="Hyperlink"/>
            <w:noProof/>
          </w:rPr>
          <w:br/>
        </w:r>
        <w:r w:rsidR="00406035" w:rsidRPr="0048539A">
          <w:rPr>
            <w:rStyle w:val="Hyperlink"/>
            <w:noProof/>
          </w:rPr>
          <w:t>model</w:t>
        </w:r>
        <w:r w:rsidR="00406035">
          <w:rPr>
            <w:noProof/>
            <w:webHidden/>
          </w:rPr>
          <w:tab/>
        </w:r>
        <w:r w:rsidR="00406035">
          <w:rPr>
            <w:noProof/>
            <w:webHidden/>
          </w:rPr>
          <w:fldChar w:fldCharType="begin"/>
        </w:r>
        <w:r w:rsidR="00406035">
          <w:rPr>
            <w:noProof/>
            <w:webHidden/>
          </w:rPr>
          <w:instrText xml:space="preserve"> PAGEREF _Toc408845229 \h </w:instrText>
        </w:r>
        <w:r w:rsidR="00406035">
          <w:rPr>
            <w:noProof/>
            <w:webHidden/>
          </w:rPr>
        </w:r>
        <w:r w:rsidR="00406035">
          <w:rPr>
            <w:noProof/>
            <w:webHidden/>
          </w:rPr>
          <w:fldChar w:fldCharType="separate"/>
        </w:r>
        <w:r w:rsidR="00C67698">
          <w:rPr>
            <w:noProof/>
            <w:webHidden/>
          </w:rPr>
          <w:t>88</w:t>
        </w:r>
        <w:r w:rsidR="00406035">
          <w:rPr>
            <w:noProof/>
            <w:webHidden/>
          </w:rPr>
          <w:fldChar w:fldCharType="end"/>
        </w:r>
      </w:hyperlink>
    </w:p>
    <w:p w14:paraId="7D25802B"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0" w:history="1">
        <w:r w:rsidR="00406035" w:rsidRPr="0048539A">
          <w:rPr>
            <w:rStyle w:val="Hyperlink"/>
            <w:noProof/>
          </w:rPr>
          <w:t>Table C.6</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Utility weights applied to the economic model</w:t>
        </w:r>
        <w:r w:rsidR="00406035">
          <w:rPr>
            <w:noProof/>
            <w:webHidden/>
          </w:rPr>
          <w:tab/>
        </w:r>
        <w:r w:rsidR="00406035">
          <w:rPr>
            <w:noProof/>
            <w:webHidden/>
          </w:rPr>
          <w:fldChar w:fldCharType="begin"/>
        </w:r>
        <w:r w:rsidR="00406035">
          <w:rPr>
            <w:noProof/>
            <w:webHidden/>
          </w:rPr>
          <w:instrText xml:space="preserve"> PAGEREF _Toc408845230 \h </w:instrText>
        </w:r>
        <w:r w:rsidR="00406035">
          <w:rPr>
            <w:noProof/>
            <w:webHidden/>
          </w:rPr>
        </w:r>
        <w:r w:rsidR="00406035">
          <w:rPr>
            <w:noProof/>
            <w:webHidden/>
          </w:rPr>
          <w:fldChar w:fldCharType="separate"/>
        </w:r>
        <w:r w:rsidR="00C67698">
          <w:rPr>
            <w:noProof/>
            <w:webHidden/>
          </w:rPr>
          <w:t>93</w:t>
        </w:r>
        <w:r w:rsidR="00406035">
          <w:rPr>
            <w:noProof/>
            <w:webHidden/>
          </w:rPr>
          <w:fldChar w:fldCharType="end"/>
        </w:r>
      </w:hyperlink>
    </w:p>
    <w:p w14:paraId="22B2DDD2"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1" w:history="1">
        <w:r w:rsidR="00406035" w:rsidRPr="0048539A">
          <w:rPr>
            <w:rStyle w:val="Hyperlink"/>
            <w:noProof/>
          </w:rPr>
          <w:t>Table C.7</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Calculated daily treatment cost of AChEIs</w:t>
        </w:r>
        <w:r w:rsidR="00406035">
          <w:rPr>
            <w:noProof/>
            <w:webHidden/>
          </w:rPr>
          <w:tab/>
        </w:r>
        <w:r w:rsidR="00406035">
          <w:rPr>
            <w:noProof/>
            <w:webHidden/>
          </w:rPr>
          <w:fldChar w:fldCharType="begin"/>
        </w:r>
        <w:r w:rsidR="00406035">
          <w:rPr>
            <w:noProof/>
            <w:webHidden/>
          </w:rPr>
          <w:instrText xml:space="preserve"> PAGEREF _Toc408845231 \h </w:instrText>
        </w:r>
        <w:r w:rsidR="00406035">
          <w:rPr>
            <w:noProof/>
            <w:webHidden/>
          </w:rPr>
        </w:r>
        <w:r w:rsidR="00406035">
          <w:rPr>
            <w:noProof/>
            <w:webHidden/>
          </w:rPr>
          <w:fldChar w:fldCharType="separate"/>
        </w:r>
        <w:r w:rsidR="00C67698">
          <w:rPr>
            <w:noProof/>
            <w:webHidden/>
          </w:rPr>
          <w:t>95</w:t>
        </w:r>
        <w:r w:rsidR="00406035">
          <w:rPr>
            <w:noProof/>
            <w:webHidden/>
          </w:rPr>
          <w:fldChar w:fldCharType="end"/>
        </w:r>
      </w:hyperlink>
    </w:p>
    <w:p w14:paraId="42F47FDB"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2" w:history="1">
        <w:r w:rsidR="00406035" w:rsidRPr="0048539A">
          <w:rPr>
            <w:rStyle w:val="Hyperlink"/>
            <w:noProof/>
          </w:rPr>
          <w:t>Table C.7</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Calculated average treatment cost of patients using AChEIs</w:t>
        </w:r>
        <w:r w:rsidR="00406035">
          <w:rPr>
            <w:noProof/>
            <w:webHidden/>
          </w:rPr>
          <w:tab/>
        </w:r>
        <w:r w:rsidR="00406035">
          <w:rPr>
            <w:noProof/>
            <w:webHidden/>
          </w:rPr>
          <w:fldChar w:fldCharType="begin"/>
        </w:r>
        <w:r w:rsidR="00406035">
          <w:rPr>
            <w:noProof/>
            <w:webHidden/>
          </w:rPr>
          <w:instrText xml:space="preserve"> PAGEREF _Toc408845232 \h </w:instrText>
        </w:r>
        <w:r w:rsidR="00406035">
          <w:rPr>
            <w:noProof/>
            <w:webHidden/>
          </w:rPr>
        </w:r>
        <w:r w:rsidR="00406035">
          <w:rPr>
            <w:noProof/>
            <w:webHidden/>
          </w:rPr>
          <w:fldChar w:fldCharType="separate"/>
        </w:r>
        <w:r w:rsidR="00C67698">
          <w:rPr>
            <w:noProof/>
            <w:webHidden/>
          </w:rPr>
          <w:t>95</w:t>
        </w:r>
        <w:r w:rsidR="00406035">
          <w:rPr>
            <w:noProof/>
            <w:webHidden/>
          </w:rPr>
          <w:fldChar w:fldCharType="end"/>
        </w:r>
      </w:hyperlink>
    </w:p>
    <w:p w14:paraId="38D9C1BC"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3" w:history="1">
        <w:r w:rsidR="00406035" w:rsidRPr="0048539A">
          <w:rPr>
            <w:rStyle w:val="Hyperlink"/>
            <w:noProof/>
          </w:rPr>
          <w:t>Table C.7</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Calculated daily treatment cost of memantine</w:t>
        </w:r>
        <w:r w:rsidR="00406035">
          <w:rPr>
            <w:noProof/>
            <w:webHidden/>
          </w:rPr>
          <w:tab/>
        </w:r>
        <w:r w:rsidR="00406035">
          <w:rPr>
            <w:noProof/>
            <w:webHidden/>
          </w:rPr>
          <w:fldChar w:fldCharType="begin"/>
        </w:r>
        <w:r w:rsidR="00406035">
          <w:rPr>
            <w:noProof/>
            <w:webHidden/>
          </w:rPr>
          <w:instrText xml:space="preserve"> PAGEREF _Toc408845233 \h </w:instrText>
        </w:r>
        <w:r w:rsidR="00406035">
          <w:rPr>
            <w:noProof/>
            <w:webHidden/>
          </w:rPr>
        </w:r>
        <w:r w:rsidR="00406035">
          <w:rPr>
            <w:noProof/>
            <w:webHidden/>
          </w:rPr>
          <w:fldChar w:fldCharType="separate"/>
        </w:r>
        <w:r w:rsidR="00C67698">
          <w:rPr>
            <w:noProof/>
            <w:webHidden/>
          </w:rPr>
          <w:t>96</w:t>
        </w:r>
        <w:r w:rsidR="00406035">
          <w:rPr>
            <w:noProof/>
            <w:webHidden/>
          </w:rPr>
          <w:fldChar w:fldCharType="end"/>
        </w:r>
      </w:hyperlink>
    </w:p>
    <w:p w14:paraId="14EA2696"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4" w:history="1">
        <w:r w:rsidR="00406035" w:rsidRPr="0048539A">
          <w:rPr>
            <w:rStyle w:val="Hyperlink"/>
            <w:noProof/>
          </w:rPr>
          <w:t>Table C.9</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Diagnostic accuracy data applied to the base case economic model</w:t>
        </w:r>
        <w:r w:rsidR="00406035">
          <w:rPr>
            <w:noProof/>
            <w:webHidden/>
          </w:rPr>
          <w:tab/>
        </w:r>
        <w:r w:rsidR="00406035">
          <w:rPr>
            <w:noProof/>
            <w:webHidden/>
          </w:rPr>
          <w:fldChar w:fldCharType="begin"/>
        </w:r>
        <w:r w:rsidR="00406035">
          <w:rPr>
            <w:noProof/>
            <w:webHidden/>
          </w:rPr>
          <w:instrText xml:space="preserve"> PAGEREF _Toc408845234 \h </w:instrText>
        </w:r>
        <w:r w:rsidR="00406035">
          <w:rPr>
            <w:noProof/>
            <w:webHidden/>
          </w:rPr>
        </w:r>
        <w:r w:rsidR="00406035">
          <w:rPr>
            <w:noProof/>
            <w:webHidden/>
          </w:rPr>
          <w:fldChar w:fldCharType="separate"/>
        </w:r>
        <w:r w:rsidR="00C67698">
          <w:rPr>
            <w:noProof/>
            <w:webHidden/>
          </w:rPr>
          <w:t>99</w:t>
        </w:r>
        <w:r w:rsidR="00406035">
          <w:rPr>
            <w:noProof/>
            <w:webHidden/>
          </w:rPr>
          <w:fldChar w:fldCharType="end"/>
        </w:r>
      </w:hyperlink>
    </w:p>
    <w:p w14:paraId="75D7016F"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5" w:history="1">
        <w:r w:rsidR="00406035" w:rsidRPr="0048539A">
          <w:rPr>
            <w:rStyle w:val="Hyperlink"/>
            <w:noProof/>
          </w:rPr>
          <w:t>Table C.10</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Summary of translation issues considered in Section C</w:t>
        </w:r>
        <w:r w:rsidR="00406035">
          <w:rPr>
            <w:noProof/>
            <w:webHidden/>
          </w:rPr>
          <w:tab/>
        </w:r>
        <w:r w:rsidR="00406035">
          <w:rPr>
            <w:noProof/>
            <w:webHidden/>
          </w:rPr>
          <w:fldChar w:fldCharType="begin"/>
        </w:r>
        <w:r w:rsidR="00406035">
          <w:rPr>
            <w:noProof/>
            <w:webHidden/>
          </w:rPr>
          <w:instrText xml:space="preserve"> PAGEREF _Toc408845235 \h </w:instrText>
        </w:r>
        <w:r w:rsidR="00406035">
          <w:rPr>
            <w:noProof/>
            <w:webHidden/>
          </w:rPr>
        </w:r>
        <w:r w:rsidR="00406035">
          <w:rPr>
            <w:noProof/>
            <w:webHidden/>
          </w:rPr>
          <w:fldChar w:fldCharType="separate"/>
        </w:r>
        <w:r w:rsidR="00C67698">
          <w:rPr>
            <w:noProof/>
            <w:webHidden/>
          </w:rPr>
          <w:t>99</w:t>
        </w:r>
        <w:r w:rsidR="00406035">
          <w:rPr>
            <w:noProof/>
            <w:webHidden/>
          </w:rPr>
          <w:fldChar w:fldCharType="end"/>
        </w:r>
      </w:hyperlink>
    </w:p>
    <w:p w14:paraId="545F0153"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6" w:history="1">
        <w:r w:rsidR="00406035" w:rsidRPr="0048539A">
          <w:rPr>
            <w:rStyle w:val="Hyperlink"/>
            <w:noProof/>
          </w:rPr>
          <w:t>Table D.4</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Unit costs of diagnostic tests included in the economic model</w:t>
        </w:r>
        <w:r w:rsidR="00406035">
          <w:rPr>
            <w:noProof/>
            <w:webHidden/>
          </w:rPr>
          <w:tab/>
        </w:r>
        <w:r w:rsidR="00406035">
          <w:rPr>
            <w:noProof/>
            <w:webHidden/>
          </w:rPr>
          <w:fldChar w:fldCharType="begin"/>
        </w:r>
        <w:r w:rsidR="00406035">
          <w:rPr>
            <w:noProof/>
            <w:webHidden/>
          </w:rPr>
          <w:instrText xml:space="preserve"> PAGEREF _Toc408845236 \h </w:instrText>
        </w:r>
        <w:r w:rsidR="00406035">
          <w:rPr>
            <w:noProof/>
            <w:webHidden/>
          </w:rPr>
        </w:r>
        <w:r w:rsidR="00406035">
          <w:rPr>
            <w:noProof/>
            <w:webHidden/>
          </w:rPr>
          <w:fldChar w:fldCharType="separate"/>
        </w:r>
        <w:r w:rsidR="00C67698">
          <w:rPr>
            <w:noProof/>
            <w:webHidden/>
          </w:rPr>
          <w:t>106</w:t>
        </w:r>
        <w:r w:rsidR="00406035">
          <w:rPr>
            <w:noProof/>
            <w:webHidden/>
          </w:rPr>
          <w:fldChar w:fldCharType="end"/>
        </w:r>
      </w:hyperlink>
    </w:p>
    <w:p w14:paraId="5BC2ACAF"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7" w:history="1">
        <w:r w:rsidR="00406035" w:rsidRPr="0048539A">
          <w:rPr>
            <w:rStyle w:val="Hyperlink"/>
            <w:noProof/>
          </w:rPr>
          <w:t>Table D.4</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Unit costs of drug treatment and community-based and nursing home care</w:t>
        </w:r>
        <w:r w:rsidR="00406035">
          <w:rPr>
            <w:noProof/>
            <w:webHidden/>
          </w:rPr>
          <w:tab/>
        </w:r>
        <w:r w:rsidR="00406035">
          <w:rPr>
            <w:noProof/>
            <w:webHidden/>
          </w:rPr>
          <w:fldChar w:fldCharType="begin"/>
        </w:r>
        <w:r w:rsidR="00406035">
          <w:rPr>
            <w:noProof/>
            <w:webHidden/>
          </w:rPr>
          <w:instrText xml:space="preserve"> PAGEREF _Toc408845237 \h </w:instrText>
        </w:r>
        <w:r w:rsidR="00406035">
          <w:rPr>
            <w:noProof/>
            <w:webHidden/>
          </w:rPr>
        </w:r>
        <w:r w:rsidR="00406035">
          <w:rPr>
            <w:noProof/>
            <w:webHidden/>
          </w:rPr>
          <w:fldChar w:fldCharType="separate"/>
        </w:r>
        <w:r w:rsidR="00C67698">
          <w:rPr>
            <w:noProof/>
            <w:webHidden/>
          </w:rPr>
          <w:t>107</w:t>
        </w:r>
        <w:r w:rsidR="00406035">
          <w:rPr>
            <w:noProof/>
            <w:webHidden/>
          </w:rPr>
          <w:fldChar w:fldCharType="end"/>
        </w:r>
      </w:hyperlink>
    </w:p>
    <w:p w14:paraId="5667A61E"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8" w:history="1">
        <w:r w:rsidR="00406035" w:rsidRPr="0048539A">
          <w:rPr>
            <w:rStyle w:val="Hyperlink"/>
            <w:noProof/>
          </w:rPr>
          <w:t>Table D.4</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Probability of correct and incorrect diagnoses applied to the economic model</w:t>
        </w:r>
        <w:r w:rsidR="00406035">
          <w:rPr>
            <w:noProof/>
            <w:webHidden/>
          </w:rPr>
          <w:tab/>
        </w:r>
        <w:r w:rsidR="00406035">
          <w:rPr>
            <w:noProof/>
            <w:webHidden/>
          </w:rPr>
          <w:fldChar w:fldCharType="begin"/>
        </w:r>
        <w:r w:rsidR="00406035">
          <w:rPr>
            <w:noProof/>
            <w:webHidden/>
          </w:rPr>
          <w:instrText xml:space="preserve"> PAGEREF _Toc408845238 \h </w:instrText>
        </w:r>
        <w:r w:rsidR="00406035">
          <w:rPr>
            <w:noProof/>
            <w:webHidden/>
          </w:rPr>
        </w:r>
        <w:r w:rsidR="00406035">
          <w:rPr>
            <w:noProof/>
            <w:webHidden/>
          </w:rPr>
          <w:fldChar w:fldCharType="separate"/>
        </w:r>
        <w:r w:rsidR="00C67698">
          <w:rPr>
            <w:noProof/>
            <w:webHidden/>
          </w:rPr>
          <w:t>107</w:t>
        </w:r>
        <w:r w:rsidR="00406035">
          <w:rPr>
            <w:noProof/>
            <w:webHidden/>
          </w:rPr>
          <w:fldChar w:fldCharType="end"/>
        </w:r>
      </w:hyperlink>
    </w:p>
    <w:p w14:paraId="615C9FFE"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39" w:history="1">
        <w:r w:rsidR="00406035" w:rsidRPr="0048539A">
          <w:rPr>
            <w:rStyle w:val="Hyperlink"/>
            <w:noProof/>
          </w:rPr>
          <w:t>Table D.4</w:t>
        </w:r>
        <w:r w:rsidR="00406035" w:rsidRPr="0048539A">
          <w:rPr>
            <w:rStyle w:val="Hyperlink"/>
            <w:noProof/>
          </w:rPr>
          <w:noBreakHyphen/>
          <w:t>4</w:t>
        </w:r>
        <w:r w:rsidR="00406035">
          <w:rPr>
            <w:rFonts w:asciiTheme="minorHAnsi" w:eastAsiaTheme="minorEastAsia" w:hAnsiTheme="minorHAnsi"/>
            <w:noProof/>
            <w:sz w:val="22"/>
            <w:lang w:eastAsia="en-AU"/>
          </w:rPr>
          <w:tab/>
        </w:r>
        <w:r w:rsidR="00406035" w:rsidRPr="0048539A">
          <w:rPr>
            <w:rStyle w:val="Hyperlink"/>
            <w:noProof/>
          </w:rPr>
          <w:t>Transition probabilities applied to the economic model</w:t>
        </w:r>
        <w:r w:rsidR="00406035">
          <w:rPr>
            <w:noProof/>
            <w:webHidden/>
          </w:rPr>
          <w:tab/>
        </w:r>
        <w:r w:rsidR="00406035">
          <w:rPr>
            <w:noProof/>
            <w:webHidden/>
          </w:rPr>
          <w:fldChar w:fldCharType="begin"/>
        </w:r>
        <w:r w:rsidR="00406035">
          <w:rPr>
            <w:noProof/>
            <w:webHidden/>
          </w:rPr>
          <w:instrText xml:space="preserve"> PAGEREF _Toc408845239 \h </w:instrText>
        </w:r>
        <w:r w:rsidR="00406035">
          <w:rPr>
            <w:noProof/>
            <w:webHidden/>
          </w:rPr>
        </w:r>
        <w:r w:rsidR="00406035">
          <w:rPr>
            <w:noProof/>
            <w:webHidden/>
          </w:rPr>
          <w:fldChar w:fldCharType="separate"/>
        </w:r>
        <w:r w:rsidR="00C67698">
          <w:rPr>
            <w:noProof/>
            <w:webHidden/>
          </w:rPr>
          <w:t>108</w:t>
        </w:r>
        <w:r w:rsidR="00406035">
          <w:rPr>
            <w:noProof/>
            <w:webHidden/>
          </w:rPr>
          <w:fldChar w:fldCharType="end"/>
        </w:r>
      </w:hyperlink>
    </w:p>
    <w:p w14:paraId="3972BDF9"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0" w:history="1">
        <w:r w:rsidR="00406035" w:rsidRPr="0048539A">
          <w:rPr>
            <w:rStyle w:val="Hyperlink"/>
            <w:noProof/>
          </w:rPr>
          <w:t>Table D.4</w:t>
        </w:r>
        <w:r w:rsidR="00406035" w:rsidRPr="0048539A">
          <w:rPr>
            <w:rStyle w:val="Hyperlink"/>
            <w:noProof/>
          </w:rPr>
          <w:noBreakHyphen/>
          <w:t>5</w:t>
        </w:r>
        <w:r w:rsidR="00406035">
          <w:rPr>
            <w:rFonts w:asciiTheme="minorHAnsi" w:eastAsiaTheme="minorEastAsia" w:hAnsiTheme="minorHAnsi"/>
            <w:noProof/>
            <w:sz w:val="22"/>
            <w:lang w:eastAsia="en-AU"/>
          </w:rPr>
          <w:tab/>
        </w:r>
        <w:r w:rsidR="00406035" w:rsidRPr="0048539A">
          <w:rPr>
            <w:rStyle w:val="Hyperlink"/>
            <w:noProof/>
          </w:rPr>
          <w:t>Treatment effects applied to the economic model</w:t>
        </w:r>
        <w:r w:rsidR="00406035">
          <w:rPr>
            <w:noProof/>
            <w:webHidden/>
          </w:rPr>
          <w:tab/>
        </w:r>
        <w:r w:rsidR="00406035">
          <w:rPr>
            <w:noProof/>
            <w:webHidden/>
          </w:rPr>
          <w:fldChar w:fldCharType="begin"/>
        </w:r>
        <w:r w:rsidR="00406035">
          <w:rPr>
            <w:noProof/>
            <w:webHidden/>
          </w:rPr>
          <w:instrText xml:space="preserve"> PAGEREF _Toc408845240 \h </w:instrText>
        </w:r>
        <w:r w:rsidR="00406035">
          <w:rPr>
            <w:noProof/>
            <w:webHidden/>
          </w:rPr>
        </w:r>
        <w:r w:rsidR="00406035">
          <w:rPr>
            <w:noProof/>
            <w:webHidden/>
          </w:rPr>
          <w:fldChar w:fldCharType="separate"/>
        </w:r>
        <w:r w:rsidR="00C67698">
          <w:rPr>
            <w:noProof/>
            <w:webHidden/>
          </w:rPr>
          <w:t>109</w:t>
        </w:r>
        <w:r w:rsidR="00406035">
          <w:rPr>
            <w:noProof/>
            <w:webHidden/>
          </w:rPr>
          <w:fldChar w:fldCharType="end"/>
        </w:r>
      </w:hyperlink>
    </w:p>
    <w:p w14:paraId="01EEC61D"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1" w:history="1">
        <w:r w:rsidR="00406035" w:rsidRPr="0048539A">
          <w:rPr>
            <w:rStyle w:val="Hyperlink"/>
            <w:noProof/>
          </w:rPr>
          <w:t>Table D.4</w:t>
        </w:r>
        <w:r w:rsidR="00406035" w:rsidRPr="0048539A">
          <w:rPr>
            <w:rStyle w:val="Hyperlink"/>
            <w:noProof/>
          </w:rPr>
          <w:noBreakHyphen/>
          <w:t>6</w:t>
        </w:r>
        <w:r w:rsidR="00406035">
          <w:rPr>
            <w:rFonts w:asciiTheme="minorHAnsi" w:eastAsiaTheme="minorEastAsia" w:hAnsiTheme="minorHAnsi"/>
            <w:noProof/>
            <w:sz w:val="22"/>
            <w:lang w:eastAsia="en-AU"/>
          </w:rPr>
          <w:tab/>
        </w:r>
        <w:r w:rsidR="00406035" w:rsidRPr="0048539A">
          <w:rPr>
            <w:rStyle w:val="Hyperlink"/>
            <w:noProof/>
          </w:rPr>
          <w:t>AD-related mortality</w:t>
        </w:r>
        <w:r w:rsidR="00406035">
          <w:rPr>
            <w:noProof/>
            <w:webHidden/>
          </w:rPr>
          <w:tab/>
        </w:r>
        <w:r w:rsidR="00406035">
          <w:rPr>
            <w:noProof/>
            <w:webHidden/>
          </w:rPr>
          <w:fldChar w:fldCharType="begin"/>
        </w:r>
        <w:r w:rsidR="00406035">
          <w:rPr>
            <w:noProof/>
            <w:webHidden/>
          </w:rPr>
          <w:instrText xml:space="preserve"> PAGEREF _Toc408845241 \h </w:instrText>
        </w:r>
        <w:r w:rsidR="00406035">
          <w:rPr>
            <w:noProof/>
            <w:webHidden/>
          </w:rPr>
        </w:r>
        <w:r w:rsidR="00406035">
          <w:rPr>
            <w:noProof/>
            <w:webHidden/>
          </w:rPr>
          <w:fldChar w:fldCharType="separate"/>
        </w:r>
        <w:r w:rsidR="00C67698">
          <w:rPr>
            <w:noProof/>
            <w:webHidden/>
          </w:rPr>
          <w:t>110</w:t>
        </w:r>
        <w:r w:rsidR="00406035">
          <w:rPr>
            <w:noProof/>
            <w:webHidden/>
          </w:rPr>
          <w:fldChar w:fldCharType="end"/>
        </w:r>
      </w:hyperlink>
    </w:p>
    <w:p w14:paraId="4032F30B"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2" w:history="1">
        <w:r w:rsidR="00406035" w:rsidRPr="0048539A">
          <w:rPr>
            <w:rStyle w:val="Hyperlink"/>
            <w:noProof/>
          </w:rPr>
          <w:t>Table D.4</w:t>
        </w:r>
        <w:r w:rsidR="00406035" w:rsidRPr="0048539A">
          <w:rPr>
            <w:rStyle w:val="Hyperlink"/>
            <w:noProof/>
          </w:rPr>
          <w:noBreakHyphen/>
          <w:t>7</w:t>
        </w:r>
        <w:r w:rsidR="00406035">
          <w:rPr>
            <w:rFonts w:asciiTheme="minorHAnsi" w:eastAsiaTheme="minorEastAsia" w:hAnsiTheme="minorHAnsi"/>
            <w:noProof/>
            <w:sz w:val="22"/>
            <w:lang w:eastAsia="en-AU"/>
          </w:rPr>
          <w:tab/>
        </w:r>
        <w:r w:rsidR="00406035" w:rsidRPr="0048539A">
          <w:rPr>
            <w:rStyle w:val="Hyperlink"/>
            <w:noProof/>
          </w:rPr>
          <w:t>Utility weights applied to the economic model</w:t>
        </w:r>
        <w:r w:rsidR="00406035">
          <w:rPr>
            <w:noProof/>
            <w:webHidden/>
          </w:rPr>
          <w:tab/>
        </w:r>
        <w:r w:rsidR="00406035">
          <w:rPr>
            <w:noProof/>
            <w:webHidden/>
          </w:rPr>
          <w:fldChar w:fldCharType="begin"/>
        </w:r>
        <w:r w:rsidR="00406035">
          <w:rPr>
            <w:noProof/>
            <w:webHidden/>
          </w:rPr>
          <w:instrText xml:space="preserve"> PAGEREF _Toc408845242 \h </w:instrText>
        </w:r>
        <w:r w:rsidR="00406035">
          <w:rPr>
            <w:noProof/>
            <w:webHidden/>
          </w:rPr>
        </w:r>
        <w:r w:rsidR="00406035">
          <w:rPr>
            <w:noProof/>
            <w:webHidden/>
          </w:rPr>
          <w:fldChar w:fldCharType="separate"/>
        </w:r>
        <w:r w:rsidR="00C67698">
          <w:rPr>
            <w:noProof/>
            <w:webHidden/>
          </w:rPr>
          <w:t>111</w:t>
        </w:r>
        <w:r w:rsidR="00406035">
          <w:rPr>
            <w:noProof/>
            <w:webHidden/>
          </w:rPr>
          <w:fldChar w:fldCharType="end"/>
        </w:r>
      </w:hyperlink>
    </w:p>
    <w:p w14:paraId="7DA2C2CA"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3" w:history="1">
        <w:r w:rsidR="00406035" w:rsidRPr="0048539A">
          <w:rPr>
            <w:rStyle w:val="Hyperlink"/>
            <w:noProof/>
          </w:rPr>
          <w:t>Table D.5</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Disaggregated cost results of the economic evaluation, per patient</w:t>
        </w:r>
        <w:r w:rsidR="00406035">
          <w:rPr>
            <w:noProof/>
            <w:webHidden/>
          </w:rPr>
          <w:tab/>
        </w:r>
        <w:r w:rsidR="00406035">
          <w:rPr>
            <w:noProof/>
            <w:webHidden/>
          </w:rPr>
          <w:fldChar w:fldCharType="begin"/>
        </w:r>
        <w:r w:rsidR="00406035">
          <w:rPr>
            <w:noProof/>
            <w:webHidden/>
          </w:rPr>
          <w:instrText xml:space="preserve"> PAGEREF _Toc408845243 \h </w:instrText>
        </w:r>
        <w:r w:rsidR="00406035">
          <w:rPr>
            <w:noProof/>
            <w:webHidden/>
          </w:rPr>
        </w:r>
        <w:r w:rsidR="00406035">
          <w:rPr>
            <w:noProof/>
            <w:webHidden/>
          </w:rPr>
          <w:fldChar w:fldCharType="separate"/>
        </w:r>
        <w:r w:rsidR="00C67698">
          <w:rPr>
            <w:noProof/>
            <w:webHidden/>
          </w:rPr>
          <w:t>112</w:t>
        </w:r>
        <w:r w:rsidR="00406035">
          <w:rPr>
            <w:noProof/>
            <w:webHidden/>
          </w:rPr>
          <w:fldChar w:fldCharType="end"/>
        </w:r>
      </w:hyperlink>
    </w:p>
    <w:p w14:paraId="6817AF66"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4" w:history="1">
        <w:r w:rsidR="00406035" w:rsidRPr="0048539A">
          <w:rPr>
            <w:rStyle w:val="Hyperlink"/>
            <w:noProof/>
          </w:rPr>
          <w:t>Table D.5</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Disaggregated QALY results of the economic evaluation</w:t>
        </w:r>
        <w:r w:rsidR="00406035">
          <w:rPr>
            <w:noProof/>
            <w:webHidden/>
          </w:rPr>
          <w:tab/>
        </w:r>
        <w:r w:rsidR="00406035">
          <w:rPr>
            <w:noProof/>
            <w:webHidden/>
          </w:rPr>
          <w:fldChar w:fldCharType="begin"/>
        </w:r>
        <w:r w:rsidR="00406035">
          <w:rPr>
            <w:noProof/>
            <w:webHidden/>
          </w:rPr>
          <w:instrText xml:space="preserve"> PAGEREF _Toc408845244 \h </w:instrText>
        </w:r>
        <w:r w:rsidR="00406035">
          <w:rPr>
            <w:noProof/>
            <w:webHidden/>
          </w:rPr>
        </w:r>
        <w:r w:rsidR="00406035">
          <w:rPr>
            <w:noProof/>
            <w:webHidden/>
          </w:rPr>
          <w:fldChar w:fldCharType="separate"/>
        </w:r>
        <w:r w:rsidR="00C67698">
          <w:rPr>
            <w:noProof/>
            <w:webHidden/>
          </w:rPr>
          <w:t>113</w:t>
        </w:r>
        <w:r w:rsidR="00406035">
          <w:rPr>
            <w:noProof/>
            <w:webHidden/>
          </w:rPr>
          <w:fldChar w:fldCharType="end"/>
        </w:r>
      </w:hyperlink>
    </w:p>
    <w:p w14:paraId="6FB0CB2C"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5" w:history="1">
        <w:r w:rsidR="00406035" w:rsidRPr="0048539A">
          <w:rPr>
            <w:rStyle w:val="Hyperlink"/>
            <w:noProof/>
          </w:rPr>
          <w:t>Table D.5</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Incremental cost-effectiveness ratio of FDG-PET versus SPECT</w:t>
        </w:r>
        <w:r w:rsidR="00406035">
          <w:rPr>
            <w:noProof/>
            <w:webHidden/>
          </w:rPr>
          <w:tab/>
        </w:r>
        <w:r w:rsidR="00406035">
          <w:rPr>
            <w:noProof/>
            <w:webHidden/>
          </w:rPr>
          <w:fldChar w:fldCharType="begin"/>
        </w:r>
        <w:r w:rsidR="00406035">
          <w:rPr>
            <w:noProof/>
            <w:webHidden/>
          </w:rPr>
          <w:instrText xml:space="preserve"> PAGEREF _Toc408845245 \h </w:instrText>
        </w:r>
        <w:r w:rsidR="00406035">
          <w:rPr>
            <w:noProof/>
            <w:webHidden/>
          </w:rPr>
        </w:r>
        <w:r w:rsidR="00406035">
          <w:rPr>
            <w:noProof/>
            <w:webHidden/>
          </w:rPr>
          <w:fldChar w:fldCharType="separate"/>
        </w:r>
        <w:r w:rsidR="00C67698">
          <w:rPr>
            <w:noProof/>
            <w:webHidden/>
          </w:rPr>
          <w:t>114</w:t>
        </w:r>
        <w:r w:rsidR="00406035">
          <w:rPr>
            <w:noProof/>
            <w:webHidden/>
          </w:rPr>
          <w:fldChar w:fldCharType="end"/>
        </w:r>
      </w:hyperlink>
    </w:p>
    <w:p w14:paraId="6C6F3F22" w14:textId="170F7FBC" w:rsidR="00406035" w:rsidRDefault="00197695">
      <w:pPr>
        <w:pStyle w:val="TableofFigures"/>
        <w:tabs>
          <w:tab w:val="left" w:pos="2160"/>
        </w:tabs>
        <w:rPr>
          <w:rFonts w:asciiTheme="minorHAnsi" w:eastAsiaTheme="minorEastAsia" w:hAnsiTheme="minorHAnsi"/>
          <w:noProof/>
          <w:sz w:val="22"/>
          <w:lang w:eastAsia="en-AU"/>
        </w:rPr>
      </w:pPr>
      <w:hyperlink w:anchor="_Toc408845246" w:history="1">
        <w:r w:rsidR="00406035" w:rsidRPr="0048539A">
          <w:rPr>
            <w:rStyle w:val="Hyperlink"/>
            <w:noProof/>
          </w:rPr>
          <w:t>Table D.5</w:t>
        </w:r>
        <w:r w:rsidR="00406035" w:rsidRPr="0048539A">
          <w:rPr>
            <w:rStyle w:val="Hyperlink"/>
            <w:noProof/>
          </w:rPr>
          <w:noBreakHyphen/>
          <w:t>4</w:t>
        </w:r>
        <w:r w:rsidR="00406035">
          <w:rPr>
            <w:rFonts w:asciiTheme="minorHAnsi" w:eastAsiaTheme="minorEastAsia" w:hAnsiTheme="minorHAnsi"/>
            <w:noProof/>
            <w:sz w:val="22"/>
            <w:lang w:eastAsia="en-AU"/>
          </w:rPr>
          <w:tab/>
        </w:r>
        <w:r w:rsidR="00406035" w:rsidRPr="0048539A">
          <w:rPr>
            <w:rStyle w:val="Hyperlink"/>
            <w:noProof/>
          </w:rPr>
          <w:t xml:space="preserve">Life years gained and number of deaths generated in the base case </w:t>
        </w:r>
        <w:r w:rsidR="00406035">
          <w:rPr>
            <w:rStyle w:val="Hyperlink"/>
            <w:noProof/>
          </w:rPr>
          <w:br/>
        </w:r>
        <w:r w:rsidR="00406035" w:rsidRPr="0048539A">
          <w:rPr>
            <w:rStyle w:val="Hyperlink"/>
            <w:noProof/>
          </w:rPr>
          <w:t>analysis</w:t>
        </w:r>
        <w:r w:rsidR="00406035">
          <w:rPr>
            <w:noProof/>
            <w:webHidden/>
          </w:rPr>
          <w:tab/>
        </w:r>
        <w:r w:rsidR="00406035">
          <w:rPr>
            <w:noProof/>
            <w:webHidden/>
          </w:rPr>
          <w:fldChar w:fldCharType="begin"/>
        </w:r>
        <w:r w:rsidR="00406035">
          <w:rPr>
            <w:noProof/>
            <w:webHidden/>
          </w:rPr>
          <w:instrText xml:space="preserve"> PAGEREF _Toc408845246 \h </w:instrText>
        </w:r>
        <w:r w:rsidR="00406035">
          <w:rPr>
            <w:noProof/>
            <w:webHidden/>
          </w:rPr>
        </w:r>
        <w:r w:rsidR="00406035">
          <w:rPr>
            <w:noProof/>
            <w:webHidden/>
          </w:rPr>
          <w:fldChar w:fldCharType="separate"/>
        </w:r>
        <w:r w:rsidR="00C67698">
          <w:rPr>
            <w:noProof/>
            <w:webHidden/>
          </w:rPr>
          <w:t>114</w:t>
        </w:r>
        <w:r w:rsidR="00406035">
          <w:rPr>
            <w:noProof/>
            <w:webHidden/>
          </w:rPr>
          <w:fldChar w:fldCharType="end"/>
        </w:r>
      </w:hyperlink>
    </w:p>
    <w:p w14:paraId="02D5E7C7"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7" w:history="1">
        <w:r w:rsidR="00406035" w:rsidRPr="0048539A">
          <w:rPr>
            <w:rStyle w:val="Hyperlink"/>
            <w:noProof/>
          </w:rPr>
          <w:t>Table D.6</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One-way sensitivity analyses</w:t>
        </w:r>
        <w:r w:rsidR="00406035">
          <w:rPr>
            <w:noProof/>
            <w:webHidden/>
          </w:rPr>
          <w:tab/>
        </w:r>
        <w:r w:rsidR="00406035">
          <w:rPr>
            <w:noProof/>
            <w:webHidden/>
          </w:rPr>
          <w:fldChar w:fldCharType="begin"/>
        </w:r>
        <w:r w:rsidR="00406035">
          <w:rPr>
            <w:noProof/>
            <w:webHidden/>
          </w:rPr>
          <w:instrText xml:space="preserve"> PAGEREF _Toc408845247 \h </w:instrText>
        </w:r>
        <w:r w:rsidR="00406035">
          <w:rPr>
            <w:noProof/>
            <w:webHidden/>
          </w:rPr>
        </w:r>
        <w:r w:rsidR="00406035">
          <w:rPr>
            <w:noProof/>
            <w:webHidden/>
          </w:rPr>
          <w:fldChar w:fldCharType="separate"/>
        </w:r>
        <w:r w:rsidR="00C67698">
          <w:rPr>
            <w:noProof/>
            <w:webHidden/>
          </w:rPr>
          <w:t>115</w:t>
        </w:r>
        <w:r w:rsidR="00406035">
          <w:rPr>
            <w:noProof/>
            <w:webHidden/>
          </w:rPr>
          <w:fldChar w:fldCharType="end"/>
        </w:r>
      </w:hyperlink>
    </w:p>
    <w:p w14:paraId="63296A79"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8" w:history="1">
        <w:r w:rsidR="00406035" w:rsidRPr="0048539A">
          <w:rPr>
            <w:rStyle w:val="Hyperlink"/>
            <w:noProof/>
          </w:rPr>
          <w:t>Table D.6</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Sensitivity analyses of utility weights used in the economic model</w:t>
        </w:r>
        <w:r w:rsidR="00406035">
          <w:rPr>
            <w:noProof/>
            <w:webHidden/>
          </w:rPr>
          <w:tab/>
        </w:r>
        <w:r w:rsidR="00406035">
          <w:rPr>
            <w:noProof/>
            <w:webHidden/>
          </w:rPr>
          <w:fldChar w:fldCharType="begin"/>
        </w:r>
        <w:r w:rsidR="00406035">
          <w:rPr>
            <w:noProof/>
            <w:webHidden/>
          </w:rPr>
          <w:instrText xml:space="preserve"> PAGEREF _Toc408845248 \h </w:instrText>
        </w:r>
        <w:r w:rsidR="00406035">
          <w:rPr>
            <w:noProof/>
            <w:webHidden/>
          </w:rPr>
        </w:r>
        <w:r w:rsidR="00406035">
          <w:rPr>
            <w:noProof/>
            <w:webHidden/>
          </w:rPr>
          <w:fldChar w:fldCharType="separate"/>
        </w:r>
        <w:r w:rsidR="00C67698">
          <w:rPr>
            <w:noProof/>
            <w:webHidden/>
          </w:rPr>
          <w:t>119</w:t>
        </w:r>
        <w:r w:rsidR="00406035">
          <w:rPr>
            <w:noProof/>
            <w:webHidden/>
          </w:rPr>
          <w:fldChar w:fldCharType="end"/>
        </w:r>
      </w:hyperlink>
    </w:p>
    <w:p w14:paraId="46E6921B"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49" w:history="1">
        <w:r w:rsidR="00406035" w:rsidRPr="0048539A">
          <w:rPr>
            <w:rStyle w:val="Hyperlink"/>
            <w:noProof/>
          </w:rPr>
          <w:t>Table D.6</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Diagnostic accuracy data applied to the sensitivity analysis</w:t>
        </w:r>
        <w:r w:rsidR="00406035">
          <w:rPr>
            <w:noProof/>
            <w:webHidden/>
          </w:rPr>
          <w:tab/>
        </w:r>
        <w:r w:rsidR="00406035">
          <w:rPr>
            <w:noProof/>
            <w:webHidden/>
          </w:rPr>
          <w:fldChar w:fldCharType="begin"/>
        </w:r>
        <w:r w:rsidR="00406035">
          <w:rPr>
            <w:noProof/>
            <w:webHidden/>
          </w:rPr>
          <w:instrText xml:space="preserve"> PAGEREF _Toc408845249 \h </w:instrText>
        </w:r>
        <w:r w:rsidR="00406035">
          <w:rPr>
            <w:noProof/>
            <w:webHidden/>
          </w:rPr>
        </w:r>
        <w:r w:rsidR="00406035">
          <w:rPr>
            <w:noProof/>
            <w:webHidden/>
          </w:rPr>
          <w:fldChar w:fldCharType="separate"/>
        </w:r>
        <w:r w:rsidR="00C67698">
          <w:rPr>
            <w:noProof/>
            <w:webHidden/>
          </w:rPr>
          <w:t>120</w:t>
        </w:r>
        <w:r w:rsidR="00406035">
          <w:rPr>
            <w:noProof/>
            <w:webHidden/>
          </w:rPr>
          <w:fldChar w:fldCharType="end"/>
        </w:r>
      </w:hyperlink>
    </w:p>
    <w:p w14:paraId="167FE0BD"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0" w:history="1">
        <w:r w:rsidR="00406035" w:rsidRPr="0048539A">
          <w:rPr>
            <w:rStyle w:val="Hyperlink"/>
            <w:noProof/>
          </w:rPr>
          <w:t>Table D.6</w:t>
        </w:r>
        <w:r w:rsidR="00406035" w:rsidRPr="0048539A">
          <w:rPr>
            <w:rStyle w:val="Hyperlink"/>
            <w:noProof/>
          </w:rPr>
          <w:noBreakHyphen/>
          <w:t>4</w:t>
        </w:r>
        <w:r w:rsidR="00406035">
          <w:rPr>
            <w:rFonts w:asciiTheme="minorHAnsi" w:eastAsiaTheme="minorEastAsia" w:hAnsiTheme="minorHAnsi"/>
            <w:noProof/>
            <w:sz w:val="22"/>
            <w:lang w:eastAsia="en-AU"/>
          </w:rPr>
          <w:tab/>
        </w:r>
        <w:r w:rsidR="00406035" w:rsidRPr="0048539A">
          <w:rPr>
            <w:rStyle w:val="Hyperlink"/>
            <w:noProof/>
          </w:rPr>
          <w:t>Sensitivity analyses of diagnostic accuracy</w:t>
        </w:r>
        <w:r w:rsidR="00406035">
          <w:rPr>
            <w:noProof/>
            <w:webHidden/>
          </w:rPr>
          <w:tab/>
        </w:r>
        <w:r w:rsidR="00406035">
          <w:rPr>
            <w:noProof/>
            <w:webHidden/>
          </w:rPr>
          <w:fldChar w:fldCharType="begin"/>
        </w:r>
        <w:r w:rsidR="00406035">
          <w:rPr>
            <w:noProof/>
            <w:webHidden/>
          </w:rPr>
          <w:instrText xml:space="preserve"> PAGEREF _Toc408845250 \h </w:instrText>
        </w:r>
        <w:r w:rsidR="00406035">
          <w:rPr>
            <w:noProof/>
            <w:webHidden/>
          </w:rPr>
        </w:r>
        <w:r w:rsidR="00406035">
          <w:rPr>
            <w:noProof/>
            <w:webHidden/>
          </w:rPr>
          <w:fldChar w:fldCharType="separate"/>
        </w:r>
        <w:r w:rsidR="00C67698">
          <w:rPr>
            <w:noProof/>
            <w:webHidden/>
          </w:rPr>
          <w:t>121</w:t>
        </w:r>
        <w:r w:rsidR="00406035">
          <w:rPr>
            <w:noProof/>
            <w:webHidden/>
          </w:rPr>
          <w:fldChar w:fldCharType="end"/>
        </w:r>
      </w:hyperlink>
    </w:p>
    <w:p w14:paraId="42DD7EB6"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1" w:history="1">
        <w:r w:rsidR="00406035" w:rsidRPr="0048539A">
          <w:rPr>
            <w:rStyle w:val="Hyperlink"/>
            <w:noProof/>
          </w:rPr>
          <w:t>Table D.6</w:t>
        </w:r>
        <w:r w:rsidR="00406035" w:rsidRPr="0048539A">
          <w:rPr>
            <w:rStyle w:val="Hyperlink"/>
            <w:noProof/>
          </w:rPr>
          <w:noBreakHyphen/>
          <w:t>5</w:t>
        </w:r>
        <w:r w:rsidR="00406035">
          <w:rPr>
            <w:rFonts w:asciiTheme="minorHAnsi" w:eastAsiaTheme="minorEastAsia" w:hAnsiTheme="minorHAnsi"/>
            <w:noProof/>
            <w:sz w:val="22"/>
            <w:lang w:eastAsia="en-AU"/>
          </w:rPr>
          <w:tab/>
        </w:r>
        <w:r w:rsidR="00406035" w:rsidRPr="0048539A">
          <w:rPr>
            <w:rStyle w:val="Hyperlink"/>
            <w:noProof/>
          </w:rPr>
          <w:t>Diagnostic accuracy rates applied to the sensitivity analysis, indirect evidence</w:t>
        </w:r>
        <w:r w:rsidR="00406035">
          <w:rPr>
            <w:noProof/>
            <w:webHidden/>
          </w:rPr>
          <w:tab/>
        </w:r>
        <w:r w:rsidR="00406035">
          <w:rPr>
            <w:noProof/>
            <w:webHidden/>
          </w:rPr>
          <w:fldChar w:fldCharType="begin"/>
        </w:r>
        <w:r w:rsidR="00406035">
          <w:rPr>
            <w:noProof/>
            <w:webHidden/>
          </w:rPr>
          <w:instrText xml:space="preserve"> PAGEREF _Toc408845251 \h </w:instrText>
        </w:r>
        <w:r w:rsidR="00406035">
          <w:rPr>
            <w:noProof/>
            <w:webHidden/>
          </w:rPr>
        </w:r>
        <w:r w:rsidR="00406035">
          <w:rPr>
            <w:noProof/>
            <w:webHidden/>
          </w:rPr>
          <w:fldChar w:fldCharType="separate"/>
        </w:r>
        <w:r w:rsidR="00C67698">
          <w:rPr>
            <w:noProof/>
            <w:webHidden/>
          </w:rPr>
          <w:t>121</w:t>
        </w:r>
        <w:r w:rsidR="00406035">
          <w:rPr>
            <w:noProof/>
            <w:webHidden/>
          </w:rPr>
          <w:fldChar w:fldCharType="end"/>
        </w:r>
      </w:hyperlink>
    </w:p>
    <w:p w14:paraId="4652F3F8"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2" w:history="1">
        <w:r w:rsidR="00406035" w:rsidRPr="0048539A">
          <w:rPr>
            <w:rStyle w:val="Hyperlink"/>
            <w:noProof/>
          </w:rPr>
          <w:t>Table D.6</w:t>
        </w:r>
        <w:r w:rsidR="00406035" w:rsidRPr="0048539A">
          <w:rPr>
            <w:rStyle w:val="Hyperlink"/>
            <w:noProof/>
          </w:rPr>
          <w:noBreakHyphen/>
          <w:t>6</w:t>
        </w:r>
        <w:r w:rsidR="00406035">
          <w:rPr>
            <w:rFonts w:asciiTheme="minorHAnsi" w:eastAsiaTheme="minorEastAsia" w:hAnsiTheme="minorHAnsi"/>
            <w:noProof/>
            <w:sz w:val="22"/>
            <w:lang w:eastAsia="en-AU"/>
          </w:rPr>
          <w:tab/>
        </w:r>
        <w:r w:rsidR="00406035" w:rsidRPr="0048539A">
          <w:rPr>
            <w:rStyle w:val="Hyperlink"/>
            <w:noProof/>
          </w:rPr>
          <w:t>Diagnostic accuracy rates applied to the sensitivity analysis, meta-analysis data</w:t>
        </w:r>
        <w:r w:rsidR="00406035">
          <w:rPr>
            <w:noProof/>
            <w:webHidden/>
          </w:rPr>
          <w:tab/>
        </w:r>
        <w:r w:rsidR="00406035">
          <w:rPr>
            <w:noProof/>
            <w:webHidden/>
          </w:rPr>
          <w:fldChar w:fldCharType="begin"/>
        </w:r>
        <w:r w:rsidR="00406035">
          <w:rPr>
            <w:noProof/>
            <w:webHidden/>
          </w:rPr>
          <w:instrText xml:space="preserve"> PAGEREF _Toc408845252 \h </w:instrText>
        </w:r>
        <w:r w:rsidR="00406035">
          <w:rPr>
            <w:noProof/>
            <w:webHidden/>
          </w:rPr>
        </w:r>
        <w:r w:rsidR="00406035">
          <w:rPr>
            <w:noProof/>
            <w:webHidden/>
          </w:rPr>
          <w:fldChar w:fldCharType="separate"/>
        </w:r>
        <w:r w:rsidR="00C67698">
          <w:rPr>
            <w:noProof/>
            <w:webHidden/>
          </w:rPr>
          <w:t>121</w:t>
        </w:r>
        <w:r w:rsidR="00406035">
          <w:rPr>
            <w:noProof/>
            <w:webHidden/>
          </w:rPr>
          <w:fldChar w:fldCharType="end"/>
        </w:r>
      </w:hyperlink>
    </w:p>
    <w:p w14:paraId="7766417D"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3" w:history="1">
        <w:r w:rsidR="00406035" w:rsidRPr="0048539A">
          <w:rPr>
            <w:rStyle w:val="Hyperlink"/>
            <w:noProof/>
          </w:rPr>
          <w:t>Table D.6</w:t>
        </w:r>
        <w:r w:rsidR="00406035" w:rsidRPr="0048539A">
          <w:rPr>
            <w:rStyle w:val="Hyperlink"/>
            <w:noProof/>
          </w:rPr>
          <w:noBreakHyphen/>
          <w:t>7</w:t>
        </w:r>
        <w:r w:rsidR="00406035">
          <w:rPr>
            <w:rFonts w:asciiTheme="minorHAnsi" w:eastAsiaTheme="minorEastAsia" w:hAnsiTheme="minorHAnsi"/>
            <w:noProof/>
            <w:sz w:val="22"/>
            <w:lang w:eastAsia="en-AU"/>
          </w:rPr>
          <w:tab/>
        </w:r>
        <w:r w:rsidR="00406035" w:rsidRPr="0048539A">
          <w:rPr>
            <w:rStyle w:val="Hyperlink"/>
            <w:noProof/>
          </w:rPr>
          <w:t>Sensitivity analyses of diagnostic accuracy</w:t>
        </w:r>
        <w:r w:rsidR="00406035">
          <w:rPr>
            <w:noProof/>
            <w:webHidden/>
          </w:rPr>
          <w:tab/>
        </w:r>
        <w:r w:rsidR="00406035">
          <w:rPr>
            <w:noProof/>
            <w:webHidden/>
          </w:rPr>
          <w:fldChar w:fldCharType="begin"/>
        </w:r>
        <w:r w:rsidR="00406035">
          <w:rPr>
            <w:noProof/>
            <w:webHidden/>
          </w:rPr>
          <w:instrText xml:space="preserve"> PAGEREF _Toc408845253 \h </w:instrText>
        </w:r>
        <w:r w:rsidR="00406035">
          <w:rPr>
            <w:noProof/>
            <w:webHidden/>
          </w:rPr>
        </w:r>
        <w:r w:rsidR="00406035">
          <w:rPr>
            <w:noProof/>
            <w:webHidden/>
          </w:rPr>
          <w:fldChar w:fldCharType="separate"/>
        </w:r>
        <w:r w:rsidR="00C67698">
          <w:rPr>
            <w:noProof/>
            <w:webHidden/>
          </w:rPr>
          <w:t>122</w:t>
        </w:r>
        <w:r w:rsidR="00406035">
          <w:rPr>
            <w:noProof/>
            <w:webHidden/>
          </w:rPr>
          <w:fldChar w:fldCharType="end"/>
        </w:r>
      </w:hyperlink>
    </w:p>
    <w:p w14:paraId="28EB54CB"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4" w:history="1">
        <w:r w:rsidR="00406035" w:rsidRPr="0048539A">
          <w:rPr>
            <w:rStyle w:val="Hyperlink"/>
            <w:noProof/>
          </w:rPr>
          <w:t>Table E.1</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Data sources used for the financial estimates</w:t>
        </w:r>
        <w:r w:rsidR="00406035">
          <w:rPr>
            <w:noProof/>
            <w:webHidden/>
          </w:rPr>
          <w:tab/>
        </w:r>
        <w:r w:rsidR="00406035">
          <w:rPr>
            <w:noProof/>
            <w:webHidden/>
          </w:rPr>
          <w:fldChar w:fldCharType="begin"/>
        </w:r>
        <w:r w:rsidR="00406035">
          <w:rPr>
            <w:noProof/>
            <w:webHidden/>
          </w:rPr>
          <w:instrText xml:space="preserve"> PAGEREF _Toc408845254 \h </w:instrText>
        </w:r>
        <w:r w:rsidR="00406035">
          <w:rPr>
            <w:noProof/>
            <w:webHidden/>
          </w:rPr>
        </w:r>
        <w:r w:rsidR="00406035">
          <w:rPr>
            <w:noProof/>
            <w:webHidden/>
          </w:rPr>
          <w:fldChar w:fldCharType="separate"/>
        </w:r>
        <w:r w:rsidR="00C67698">
          <w:rPr>
            <w:noProof/>
            <w:webHidden/>
          </w:rPr>
          <w:t>124</w:t>
        </w:r>
        <w:r w:rsidR="00406035">
          <w:rPr>
            <w:noProof/>
            <w:webHidden/>
          </w:rPr>
          <w:fldChar w:fldCharType="end"/>
        </w:r>
      </w:hyperlink>
    </w:p>
    <w:p w14:paraId="6720B74D"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5" w:history="1">
        <w:r w:rsidR="00406035" w:rsidRPr="0048539A">
          <w:rPr>
            <w:rStyle w:val="Hyperlink"/>
            <w:noProof/>
          </w:rPr>
          <w:t>Table E.2</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MBS SPECT use per calendar year</w:t>
        </w:r>
        <w:r w:rsidR="00406035">
          <w:rPr>
            <w:noProof/>
            <w:webHidden/>
          </w:rPr>
          <w:tab/>
        </w:r>
        <w:r w:rsidR="00406035">
          <w:rPr>
            <w:noProof/>
            <w:webHidden/>
          </w:rPr>
          <w:fldChar w:fldCharType="begin"/>
        </w:r>
        <w:r w:rsidR="00406035">
          <w:rPr>
            <w:noProof/>
            <w:webHidden/>
          </w:rPr>
          <w:instrText xml:space="preserve"> PAGEREF _Toc408845255 \h </w:instrText>
        </w:r>
        <w:r w:rsidR="00406035">
          <w:rPr>
            <w:noProof/>
            <w:webHidden/>
          </w:rPr>
        </w:r>
        <w:r w:rsidR="00406035">
          <w:rPr>
            <w:noProof/>
            <w:webHidden/>
          </w:rPr>
          <w:fldChar w:fldCharType="separate"/>
        </w:r>
        <w:r w:rsidR="00C67698">
          <w:rPr>
            <w:noProof/>
            <w:webHidden/>
          </w:rPr>
          <w:t>124</w:t>
        </w:r>
        <w:r w:rsidR="00406035">
          <w:rPr>
            <w:noProof/>
            <w:webHidden/>
          </w:rPr>
          <w:fldChar w:fldCharType="end"/>
        </w:r>
      </w:hyperlink>
    </w:p>
    <w:p w14:paraId="6D24F0B8"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6" w:history="1">
        <w:r w:rsidR="00406035" w:rsidRPr="0048539A">
          <w:rPr>
            <w:rStyle w:val="Hyperlink"/>
            <w:noProof/>
          </w:rPr>
          <w:t>Table E.2</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Total Australian dementia incidence projections by scenario</w:t>
        </w:r>
        <w:r w:rsidR="00406035">
          <w:rPr>
            <w:noProof/>
            <w:webHidden/>
          </w:rPr>
          <w:tab/>
        </w:r>
        <w:r w:rsidR="00406035">
          <w:rPr>
            <w:noProof/>
            <w:webHidden/>
          </w:rPr>
          <w:fldChar w:fldCharType="begin"/>
        </w:r>
        <w:r w:rsidR="00406035">
          <w:rPr>
            <w:noProof/>
            <w:webHidden/>
          </w:rPr>
          <w:instrText xml:space="preserve"> PAGEREF _Toc408845256 \h </w:instrText>
        </w:r>
        <w:r w:rsidR="00406035">
          <w:rPr>
            <w:noProof/>
            <w:webHidden/>
          </w:rPr>
        </w:r>
        <w:r w:rsidR="00406035">
          <w:rPr>
            <w:noProof/>
            <w:webHidden/>
          </w:rPr>
          <w:fldChar w:fldCharType="separate"/>
        </w:r>
        <w:r w:rsidR="00C67698">
          <w:rPr>
            <w:noProof/>
            <w:webHidden/>
          </w:rPr>
          <w:t>125</w:t>
        </w:r>
        <w:r w:rsidR="00406035">
          <w:rPr>
            <w:noProof/>
            <w:webHidden/>
          </w:rPr>
          <w:fldChar w:fldCharType="end"/>
        </w:r>
      </w:hyperlink>
    </w:p>
    <w:p w14:paraId="3D33A453"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7" w:history="1">
        <w:r w:rsidR="00406035" w:rsidRPr="0048539A">
          <w:rPr>
            <w:rStyle w:val="Hyperlink"/>
            <w:noProof/>
          </w:rPr>
          <w:t>Table E.2</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Expected use of SPECT to diagnose AD in the event of no listing for FDG-PET</w:t>
        </w:r>
        <w:r w:rsidR="00406035">
          <w:rPr>
            <w:noProof/>
            <w:webHidden/>
          </w:rPr>
          <w:tab/>
        </w:r>
        <w:r w:rsidR="00406035">
          <w:rPr>
            <w:noProof/>
            <w:webHidden/>
          </w:rPr>
          <w:fldChar w:fldCharType="begin"/>
        </w:r>
        <w:r w:rsidR="00406035">
          <w:rPr>
            <w:noProof/>
            <w:webHidden/>
          </w:rPr>
          <w:instrText xml:space="preserve"> PAGEREF _Toc408845257 \h </w:instrText>
        </w:r>
        <w:r w:rsidR="00406035">
          <w:rPr>
            <w:noProof/>
            <w:webHidden/>
          </w:rPr>
        </w:r>
        <w:r w:rsidR="00406035">
          <w:rPr>
            <w:noProof/>
            <w:webHidden/>
          </w:rPr>
          <w:fldChar w:fldCharType="separate"/>
        </w:r>
        <w:r w:rsidR="00C67698">
          <w:rPr>
            <w:noProof/>
            <w:webHidden/>
          </w:rPr>
          <w:t>126</w:t>
        </w:r>
        <w:r w:rsidR="00406035">
          <w:rPr>
            <w:noProof/>
            <w:webHidden/>
          </w:rPr>
          <w:fldChar w:fldCharType="end"/>
        </w:r>
      </w:hyperlink>
    </w:p>
    <w:p w14:paraId="0133EA22"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8" w:history="1">
        <w:r w:rsidR="00406035" w:rsidRPr="0048539A">
          <w:rPr>
            <w:rStyle w:val="Hyperlink"/>
            <w:noProof/>
          </w:rPr>
          <w:t>Table E.2</w:t>
        </w:r>
        <w:r w:rsidR="00406035" w:rsidRPr="0048539A">
          <w:rPr>
            <w:rStyle w:val="Hyperlink"/>
            <w:noProof/>
          </w:rPr>
          <w:noBreakHyphen/>
          <w:t>4</w:t>
        </w:r>
        <w:r w:rsidR="00406035">
          <w:rPr>
            <w:rFonts w:asciiTheme="minorHAnsi" w:eastAsiaTheme="minorEastAsia" w:hAnsiTheme="minorHAnsi"/>
            <w:noProof/>
            <w:sz w:val="22"/>
            <w:lang w:eastAsia="en-AU"/>
          </w:rPr>
          <w:tab/>
        </w:r>
        <w:r w:rsidR="00406035" w:rsidRPr="0048539A">
          <w:rPr>
            <w:rStyle w:val="Hyperlink"/>
            <w:noProof/>
          </w:rPr>
          <w:t>Expected use of FDG-PET to replace diagnosis of AD using SPECT, in the event of a successful MBS listing</w:t>
        </w:r>
        <w:r w:rsidR="00406035">
          <w:rPr>
            <w:noProof/>
            <w:webHidden/>
          </w:rPr>
          <w:tab/>
        </w:r>
        <w:r w:rsidR="00406035">
          <w:rPr>
            <w:noProof/>
            <w:webHidden/>
          </w:rPr>
          <w:fldChar w:fldCharType="begin"/>
        </w:r>
        <w:r w:rsidR="00406035">
          <w:rPr>
            <w:noProof/>
            <w:webHidden/>
          </w:rPr>
          <w:instrText xml:space="preserve"> PAGEREF _Toc408845258 \h </w:instrText>
        </w:r>
        <w:r w:rsidR="00406035">
          <w:rPr>
            <w:noProof/>
            <w:webHidden/>
          </w:rPr>
        </w:r>
        <w:r w:rsidR="00406035">
          <w:rPr>
            <w:noProof/>
            <w:webHidden/>
          </w:rPr>
          <w:fldChar w:fldCharType="separate"/>
        </w:r>
        <w:r w:rsidR="00C67698">
          <w:rPr>
            <w:noProof/>
            <w:webHidden/>
          </w:rPr>
          <w:t>126</w:t>
        </w:r>
        <w:r w:rsidR="00406035">
          <w:rPr>
            <w:noProof/>
            <w:webHidden/>
          </w:rPr>
          <w:fldChar w:fldCharType="end"/>
        </w:r>
      </w:hyperlink>
    </w:p>
    <w:p w14:paraId="3FA9D5FF"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59" w:history="1">
        <w:r w:rsidR="00406035" w:rsidRPr="0048539A">
          <w:rPr>
            <w:rStyle w:val="Hyperlink"/>
            <w:noProof/>
          </w:rPr>
          <w:t>Table E.2</w:t>
        </w:r>
        <w:r w:rsidR="00406035" w:rsidRPr="0048539A">
          <w:rPr>
            <w:rStyle w:val="Hyperlink"/>
            <w:noProof/>
          </w:rPr>
          <w:noBreakHyphen/>
          <w:t>5</w:t>
        </w:r>
        <w:r w:rsidR="00406035">
          <w:rPr>
            <w:rFonts w:asciiTheme="minorHAnsi" w:eastAsiaTheme="minorEastAsia" w:hAnsiTheme="minorHAnsi"/>
            <w:noProof/>
            <w:sz w:val="22"/>
            <w:lang w:eastAsia="en-AU"/>
          </w:rPr>
          <w:tab/>
        </w:r>
        <w:r w:rsidR="00406035" w:rsidRPr="0048539A">
          <w:rPr>
            <w:rStyle w:val="Hyperlink"/>
            <w:noProof/>
          </w:rPr>
          <w:t>Estimated cost of diagnosis with SPECT and FDG-PET</w:t>
        </w:r>
        <w:r w:rsidR="00406035">
          <w:rPr>
            <w:noProof/>
            <w:webHidden/>
          </w:rPr>
          <w:tab/>
        </w:r>
        <w:r w:rsidR="00406035">
          <w:rPr>
            <w:noProof/>
            <w:webHidden/>
          </w:rPr>
          <w:fldChar w:fldCharType="begin"/>
        </w:r>
        <w:r w:rsidR="00406035">
          <w:rPr>
            <w:noProof/>
            <w:webHidden/>
          </w:rPr>
          <w:instrText xml:space="preserve"> PAGEREF _Toc408845259 \h </w:instrText>
        </w:r>
        <w:r w:rsidR="00406035">
          <w:rPr>
            <w:noProof/>
            <w:webHidden/>
          </w:rPr>
        </w:r>
        <w:r w:rsidR="00406035">
          <w:rPr>
            <w:noProof/>
            <w:webHidden/>
          </w:rPr>
          <w:fldChar w:fldCharType="separate"/>
        </w:r>
        <w:r w:rsidR="00C67698">
          <w:rPr>
            <w:noProof/>
            <w:webHidden/>
          </w:rPr>
          <w:t>127</w:t>
        </w:r>
        <w:r w:rsidR="00406035">
          <w:rPr>
            <w:noProof/>
            <w:webHidden/>
          </w:rPr>
          <w:fldChar w:fldCharType="end"/>
        </w:r>
      </w:hyperlink>
    </w:p>
    <w:p w14:paraId="71836197"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0" w:history="1">
        <w:r w:rsidR="00406035" w:rsidRPr="0048539A">
          <w:rPr>
            <w:rStyle w:val="Hyperlink"/>
            <w:noProof/>
          </w:rPr>
          <w:t>Table E.3</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Estimated cost of diagnosis with SPECT in the event of a successful listing on the MBS for FDG-PET</w:t>
        </w:r>
        <w:r w:rsidR="00406035">
          <w:rPr>
            <w:noProof/>
            <w:webHidden/>
          </w:rPr>
          <w:tab/>
        </w:r>
        <w:r w:rsidR="00406035">
          <w:rPr>
            <w:noProof/>
            <w:webHidden/>
          </w:rPr>
          <w:fldChar w:fldCharType="begin"/>
        </w:r>
        <w:r w:rsidR="00406035">
          <w:rPr>
            <w:noProof/>
            <w:webHidden/>
          </w:rPr>
          <w:instrText xml:space="preserve"> PAGEREF _Toc408845260 \h </w:instrText>
        </w:r>
        <w:r w:rsidR="00406035">
          <w:rPr>
            <w:noProof/>
            <w:webHidden/>
          </w:rPr>
        </w:r>
        <w:r w:rsidR="00406035">
          <w:rPr>
            <w:noProof/>
            <w:webHidden/>
          </w:rPr>
          <w:fldChar w:fldCharType="separate"/>
        </w:r>
        <w:r w:rsidR="00C67698">
          <w:rPr>
            <w:noProof/>
            <w:webHidden/>
          </w:rPr>
          <w:t>128</w:t>
        </w:r>
        <w:r w:rsidR="00406035">
          <w:rPr>
            <w:noProof/>
            <w:webHidden/>
          </w:rPr>
          <w:fldChar w:fldCharType="end"/>
        </w:r>
      </w:hyperlink>
    </w:p>
    <w:p w14:paraId="5843CDDF"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1" w:history="1">
        <w:r w:rsidR="00406035" w:rsidRPr="0048539A">
          <w:rPr>
            <w:rStyle w:val="Hyperlink"/>
            <w:noProof/>
          </w:rPr>
          <w:t>Table E.3</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Estimated cost of diagnosis with FDG-PET, accounting for increased use in functional imaging in the event of a successful MBS listing</w:t>
        </w:r>
        <w:r w:rsidR="00406035">
          <w:rPr>
            <w:noProof/>
            <w:webHidden/>
          </w:rPr>
          <w:tab/>
        </w:r>
        <w:r w:rsidR="00406035">
          <w:rPr>
            <w:noProof/>
            <w:webHidden/>
          </w:rPr>
          <w:fldChar w:fldCharType="begin"/>
        </w:r>
        <w:r w:rsidR="00406035">
          <w:rPr>
            <w:noProof/>
            <w:webHidden/>
          </w:rPr>
          <w:instrText xml:space="preserve"> PAGEREF _Toc408845261 \h </w:instrText>
        </w:r>
        <w:r w:rsidR="00406035">
          <w:rPr>
            <w:noProof/>
            <w:webHidden/>
          </w:rPr>
        </w:r>
        <w:r w:rsidR="00406035">
          <w:rPr>
            <w:noProof/>
            <w:webHidden/>
          </w:rPr>
          <w:fldChar w:fldCharType="separate"/>
        </w:r>
        <w:r w:rsidR="00C67698">
          <w:rPr>
            <w:noProof/>
            <w:webHidden/>
          </w:rPr>
          <w:t>129</w:t>
        </w:r>
        <w:r w:rsidR="00406035">
          <w:rPr>
            <w:noProof/>
            <w:webHidden/>
          </w:rPr>
          <w:fldChar w:fldCharType="end"/>
        </w:r>
      </w:hyperlink>
    </w:p>
    <w:p w14:paraId="3C3DD322"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2" w:history="1">
        <w:r w:rsidR="00406035" w:rsidRPr="0048539A">
          <w:rPr>
            <w:rStyle w:val="Hyperlink"/>
            <w:noProof/>
          </w:rPr>
          <w:t>Table E.3</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Estimated cost of consultations associated with diagnostic testing</w:t>
        </w:r>
        <w:r w:rsidR="00406035">
          <w:rPr>
            <w:noProof/>
            <w:webHidden/>
          </w:rPr>
          <w:tab/>
        </w:r>
        <w:r w:rsidR="00406035">
          <w:rPr>
            <w:noProof/>
            <w:webHidden/>
          </w:rPr>
          <w:fldChar w:fldCharType="begin"/>
        </w:r>
        <w:r w:rsidR="00406035">
          <w:rPr>
            <w:noProof/>
            <w:webHidden/>
          </w:rPr>
          <w:instrText xml:space="preserve"> PAGEREF _Toc408845262 \h </w:instrText>
        </w:r>
        <w:r w:rsidR="00406035">
          <w:rPr>
            <w:noProof/>
            <w:webHidden/>
          </w:rPr>
        </w:r>
        <w:r w:rsidR="00406035">
          <w:rPr>
            <w:noProof/>
            <w:webHidden/>
          </w:rPr>
          <w:fldChar w:fldCharType="separate"/>
        </w:r>
        <w:r w:rsidR="00C67698">
          <w:rPr>
            <w:noProof/>
            <w:webHidden/>
          </w:rPr>
          <w:t>130</w:t>
        </w:r>
        <w:r w:rsidR="00406035">
          <w:rPr>
            <w:noProof/>
            <w:webHidden/>
          </w:rPr>
          <w:fldChar w:fldCharType="end"/>
        </w:r>
      </w:hyperlink>
    </w:p>
    <w:p w14:paraId="2AD98124"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3" w:history="1">
        <w:r w:rsidR="00406035" w:rsidRPr="0048539A">
          <w:rPr>
            <w:rStyle w:val="Hyperlink"/>
            <w:noProof/>
          </w:rPr>
          <w:t>Table E.4</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Total MBS costs with and without a successful FDG-PET listing on the MBS</w:t>
        </w:r>
        <w:r w:rsidR="00406035">
          <w:rPr>
            <w:noProof/>
            <w:webHidden/>
          </w:rPr>
          <w:tab/>
        </w:r>
        <w:r w:rsidR="00406035">
          <w:rPr>
            <w:noProof/>
            <w:webHidden/>
          </w:rPr>
          <w:fldChar w:fldCharType="begin"/>
        </w:r>
        <w:r w:rsidR="00406035">
          <w:rPr>
            <w:noProof/>
            <w:webHidden/>
          </w:rPr>
          <w:instrText xml:space="preserve"> PAGEREF _Toc408845263 \h </w:instrText>
        </w:r>
        <w:r w:rsidR="00406035">
          <w:rPr>
            <w:noProof/>
            <w:webHidden/>
          </w:rPr>
        </w:r>
        <w:r w:rsidR="00406035">
          <w:rPr>
            <w:noProof/>
            <w:webHidden/>
          </w:rPr>
          <w:fldChar w:fldCharType="separate"/>
        </w:r>
        <w:r w:rsidR="00C67698">
          <w:rPr>
            <w:noProof/>
            <w:webHidden/>
          </w:rPr>
          <w:t>131</w:t>
        </w:r>
        <w:r w:rsidR="00406035">
          <w:rPr>
            <w:noProof/>
            <w:webHidden/>
          </w:rPr>
          <w:fldChar w:fldCharType="end"/>
        </w:r>
      </w:hyperlink>
    </w:p>
    <w:p w14:paraId="753C07FC"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4" w:history="1">
        <w:r w:rsidR="00406035" w:rsidRPr="0048539A">
          <w:rPr>
            <w:rStyle w:val="Hyperlink"/>
            <w:noProof/>
          </w:rPr>
          <w:t>Table E.5</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Data used in the estimation of PBS costs associated with increased AD diagnosis</w:t>
        </w:r>
        <w:r w:rsidR="00406035">
          <w:rPr>
            <w:noProof/>
            <w:webHidden/>
          </w:rPr>
          <w:tab/>
        </w:r>
        <w:r w:rsidR="00406035">
          <w:rPr>
            <w:noProof/>
            <w:webHidden/>
          </w:rPr>
          <w:fldChar w:fldCharType="begin"/>
        </w:r>
        <w:r w:rsidR="00406035">
          <w:rPr>
            <w:noProof/>
            <w:webHidden/>
          </w:rPr>
          <w:instrText xml:space="preserve"> PAGEREF _Toc408845264 \h </w:instrText>
        </w:r>
        <w:r w:rsidR="00406035">
          <w:rPr>
            <w:noProof/>
            <w:webHidden/>
          </w:rPr>
        </w:r>
        <w:r w:rsidR="00406035">
          <w:rPr>
            <w:noProof/>
            <w:webHidden/>
          </w:rPr>
          <w:fldChar w:fldCharType="separate"/>
        </w:r>
        <w:r w:rsidR="00C67698">
          <w:rPr>
            <w:noProof/>
            <w:webHidden/>
          </w:rPr>
          <w:t>132</w:t>
        </w:r>
        <w:r w:rsidR="00406035">
          <w:rPr>
            <w:noProof/>
            <w:webHidden/>
          </w:rPr>
          <w:fldChar w:fldCharType="end"/>
        </w:r>
      </w:hyperlink>
    </w:p>
    <w:p w14:paraId="1B0B3A72" w14:textId="48A40612" w:rsidR="00406035" w:rsidRDefault="00197695">
      <w:pPr>
        <w:pStyle w:val="TableofFigures"/>
        <w:tabs>
          <w:tab w:val="left" w:pos="2160"/>
        </w:tabs>
        <w:rPr>
          <w:rFonts w:asciiTheme="minorHAnsi" w:eastAsiaTheme="minorEastAsia" w:hAnsiTheme="minorHAnsi"/>
          <w:noProof/>
          <w:sz w:val="22"/>
          <w:lang w:eastAsia="en-AU"/>
        </w:rPr>
      </w:pPr>
      <w:hyperlink w:anchor="_Toc408845265" w:history="1">
        <w:r w:rsidR="00406035" w:rsidRPr="0048539A">
          <w:rPr>
            <w:rStyle w:val="Hyperlink"/>
            <w:noProof/>
          </w:rPr>
          <w:t>Table E.5</w:t>
        </w:r>
        <w:r w:rsidR="00406035" w:rsidRPr="0048539A">
          <w:rPr>
            <w:rStyle w:val="Hyperlink"/>
            <w:noProof/>
          </w:rPr>
          <w:noBreakHyphen/>
          <w:t>2</w:t>
        </w:r>
        <w:r w:rsidR="00406035">
          <w:rPr>
            <w:rFonts w:asciiTheme="minorHAnsi" w:eastAsiaTheme="minorEastAsia" w:hAnsiTheme="minorHAnsi"/>
            <w:noProof/>
            <w:sz w:val="22"/>
            <w:lang w:eastAsia="en-AU"/>
          </w:rPr>
          <w:tab/>
        </w:r>
        <w:r w:rsidR="00406035" w:rsidRPr="0048539A">
          <w:rPr>
            <w:rStyle w:val="Hyperlink"/>
            <w:noProof/>
          </w:rPr>
          <w:t xml:space="preserve">Net cost to the PBS due to additional positive diagnoses with </w:t>
        </w:r>
        <w:r w:rsidR="00406035">
          <w:rPr>
            <w:rStyle w:val="Hyperlink"/>
            <w:noProof/>
          </w:rPr>
          <w:br/>
        </w:r>
        <w:r w:rsidR="00406035" w:rsidRPr="0048539A">
          <w:rPr>
            <w:rStyle w:val="Hyperlink"/>
            <w:noProof/>
          </w:rPr>
          <w:t>FDG-PET</w:t>
        </w:r>
        <w:r w:rsidR="00406035">
          <w:rPr>
            <w:noProof/>
            <w:webHidden/>
          </w:rPr>
          <w:tab/>
        </w:r>
        <w:r w:rsidR="00406035">
          <w:rPr>
            <w:noProof/>
            <w:webHidden/>
          </w:rPr>
          <w:fldChar w:fldCharType="begin"/>
        </w:r>
        <w:r w:rsidR="00406035">
          <w:rPr>
            <w:noProof/>
            <w:webHidden/>
          </w:rPr>
          <w:instrText xml:space="preserve"> PAGEREF _Toc408845265 \h </w:instrText>
        </w:r>
        <w:r w:rsidR="00406035">
          <w:rPr>
            <w:noProof/>
            <w:webHidden/>
          </w:rPr>
        </w:r>
        <w:r w:rsidR="00406035">
          <w:rPr>
            <w:noProof/>
            <w:webHidden/>
          </w:rPr>
          <w:fldChar w:fldCharType="separate"/>
        </w:r>
        <w:r w:rsidR="00C67698">
          <w:rPr>
            <w:noProof/>
            <w:webHidden/>
          </w:rPr>
          <w:t>132</w:t>
        </w:r>
        <w:r w:rsidR="00406035">
          <w:rPr>
            <w:noProof/>
            <w:webHidden/>
          </w:rPr>
          <w:fldChar w:fldCharType="end"/>
        </w:r>
      </w:hyperlink>
    </w:p>
    <w:p w14:paraId="18CDF079"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6" w:history="1">
        <w:r w:rsidR="00406035" w:rsidRPr="0048539A">
          <w:rPr>
            <w:rStyle w:val="Hyperlink"/>
            <w:noProof/>
          </w:rPr>
          <w:t>Table E.5</w:t>
        </w:r>
        <w:r w:rsidR="00406035" w:rsidRPr="0048539A">
          <w:rPr>
            <w:rStyle w:val="Hyperlink"/>
            <w:noProof/>
          </w:rPr>
          <w:noBreakHyphen/>
          <w:t>3</w:t>
        </w:r>
        <w:r w:rsidR="00406035">
          <w:rPr>
            <w:rFonts w:asciiTheme="minorHAnsi" w:eastAsiaTheme="minorEastAsia" w:hAnsiTheme="minorHAnsi"/>
            <w:noProof/>
            <w:sz w:val="22"/>
            <w:lang w:eastAsia="en-AU"/>
          </w:rPr>
          <w:tab/>
        </w:r>
        <w:r w:rsidR="00406035" w:rsidRPr="0048539A">
          <w:rPr>
            <w:rStyle w:val="Hyperlink"/>
            <w:noProof/>
          </w:rPr>
          <w:t>Net financial impact to the Government health budget</w:t>
        </w:r>
        <w:r w:rsidR="00406035">
          <w:rPr>
            <w:noProof/>
            <w:webHidden/>
          </w:rPr>
          <w:tab/>
        </w:r>
        <w:r w:rsidR="00406035">
          <w:rPr>
            <w:noProof/>
            <w:webHidden/>
          </w:rPr>
          <w:fldChar w:fldCharType="begin"/>
        </w:r>
        <w:r w:rsidR="00406035">
          <w:rPr>
            <w:noProof/>
            <w:webHidden/>
          </w:rPr>
          <w:instrText xml:space="preserve"> PAGEREF _Toc408845266 \h </w:instrText>
        </w:r>
        <w:r w:rsidR="00406035">
          <w:rPr>
            <w:noProof/>
            <w:webHidden/>
          </w:rPr>
        </w:r>
        <w:r w:rsidR="00406035">
          <w:rPr>
            <w:noProof/>
            <w:webHidden/>
          </w:rPr>
          <w:fldChar w:fldCharType="separate"/>
        </w:r>
        <w:r w:rsidR="00C67698">
          <w:rPr>
            <w:noProof/>
            <w:webHidden/>
          </w:rPr>
          <w:t>133</w:t>
        </w:r>
        <w:r w:rsidR="00406035">
          <w:rPr>
            <w:noProof/>
            <w:webHidden/>
          </w:rPr>
          <w:fldChar w:fldCharType="end"/>
        </w:r>
      </w:hyperlink>
    </w:p>
    <w:p w14:paraId="2F8F0941"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7" w:history="1">
        <w:r w:rsidR="00406035" w:rsidRPr="0048539A">
          <w:rPr>
            <w:rStyle w:val="Hyperlink"/>
            <w:noProof/>
          </w:rPr>
          <w:t>Table E.6</w:t>
        </w:r>
        <w:r w:rsidR="00406035" w:rsidRPr="0048539A">
          <w:rPr>
            <w:rStyle w:val="Hyperlink"/>
            <w:noProof/>
          </w:rPr>
          <w:noBreakHyphen/>
          <w:t>1</w:t>
        </w:r>
        <w:r w:rsidR="00406035">
          <w:rPr>
            <w:rFonts w:asciiTheme="minorHAnsi" w:eastAsiaTheme="minorEastAsia" w:hAnsiTheme="minorHAnsi"/>
            <w:noProof/>
            <w:sz w:val="22"/>
            <w:lang w:eastAsia="en-AU"/>
          </w:rPr>
          <w:tab/>
        </w:r>
        <w:r w:rsidR="00406035" w:rsidRPr="0048539A">
          <w:rPr>
            <w:rStyle w:val="Hyperlink"/>
            <w:noProof/>
          </w:rPr>
          <w:t>Sensitivity analyses of the net financial impact to the Government health budget</w:t>
        </w:r>
        <w:r w:rsidR="00406035">
          <w:rPr>
            <w:noProof/>
            <w:webHidden/>
          </w:rPr>
          <w:tab/>
        </w:r>
        <w:r w:rsidR="00406035">
          <w:rPr>
            <w:noProof/>
            <w:webHidden/>
          </w:rPr>
          <w:fldChar w:fldCharType="begin"/>
        </w:r>
        <w:r w:rsidR="00406035">
          <w:rPr>
            <w:noProof/>
            <w:webHidden/>
          </w:rPr>
          <w:instrText xml:space="preserve"> PAGEREF _Toc408845267 \h </w:instrText>
        </w:r>
        <w:r w:rsidR="00406035">
          <w:rPr>
            <w:noProof/>
            <w:webHidden/>
          </w:rPr>
        </w:r>
        <w:r w:rsidR="00406035">
          <w:rPr>
            <w:noProof/>
            <w:webHidden/>
          </w:rPr>
          <w:fldChar w:fldCharType="separate"/>
        </w:r>
        <w:r w:rsidR="00C67698">
          <w:rPr>
            <w:noProof/>
            <w:webHidden/>
          </w:rPr>
          <w:t>134</w:t>
        </w:r>
        <w:r w:rsidR="00406035">
          <w:rPr>
            <w:noProof/>
            <w:webHidden/>
          </w:rPr>
          <w:fldChar w:fldCharType="end"/>
        </w:r>
      </w:hyperlink>
    </w:p>
    <w:p w14:paraId="13213683" w14:textId="7A3DB5BD" w:rsidR="00E15D9A" w:rsidRPr="00F3726C" w:rsidRDefault="00A41419" w:rsidP="00E15D9A">
      <w:pPr>
        <w:rPr>
          <w:highlight w:val="yellow"/>
        </w:rPr>
      </w:pPr>
      <w:r>
        <w:rPr>
          <w:highlight w:val="yellow"/>
        </w:rPr>
        <w:fldChar w:fldCharType="end"/>
      </w:r>
    </w:p>
    <w:p w14:paraId="19FB3B35" w14:textId="77777777" w:rsidR="00E15D9A" w:rsidRPr="00AF356E" w:rsidRDefault="00E15D9A" w:rsidP="00AF356E">
      <w:pPr>
        <w:rPr>
          <w:highlight w:val="yellow"/>
        </w:rPr>
      </w:pPr>
      <w:r w:rsidRPr="00AF356E">
        <w:rPr>
          <w:highlight w:val="yellow"/>
        </w:rPr>
        <w:br w:type="page"/>
      </w:r>
    </w:p>
    <w:p w14:paraId="690C4264" w14:textId="7C350B30" w:rsidR="00E15D9A" w:rsidRPr="00E5076E" w:rsidRDefault="00E15D9A" w:rsidP="00E5076E">
      <w:pPr>
        <w:pStyle w:val="Heading1"/>
        <w:numPr>
          <w:ilvl w:val="0"/>
          <w:numId w:val="0"/>
        </w:numPr>
        <w:ind w:left="851" w:hanging="851"/>
      </w:pPr>
      <w:bookmarkStart w:id="5" w:name="_Toc408845147"/>
      <w:r w:rsidRPr="00E5076E">
        <w:lastRenderedPageBreak/>
        <w:t>List of figures</w:t>
      </w:r>
      <w:bookmarkEnd w:id="5"/>
    </w:p>
    <w:p w14:paraId="4562E307" w14:textId="77777777" w:rsidR="00406035" w:rsidRDefault="00E15D9A">
      <w:pPr>
        <w:pStyle w:val="TableofFigures"/>
        <w:tabs>
          <w:tab w:val="left" w:pos="2160"/>
        </w:tabs>
        <w:rPr>
          <w:rFonts w:asciiTheme="minorHAnsi" w:eastAsiaTheme="minorEastAsia" w:hAnsiTheme="minorHAnsi"/>
          <w:noProof/>
          <w:sz w:val="22"/>
          <w:lang w:eastAsia="en-AU"/>
        </w:rPr>
      </w:pPr>
      <w:r>
        <w:rPr>
          <w:highlight w:val="yellow"/>
        </w:rPr>
        <w:fldChar w:fldCharType="begin"/>
      </w:r>
      <w:r>
        <w:rPr>
          <w:highlight w:val="yellow"/>
        </w:rPr>
        <w:instrText xml:space="preserve"> TOC \h \z \c "Figure" </w:instrText>
      </w:r>
      <w:r>
        <w:rPr>
          <w:highlight w:val="yellow"/>
        </w:rPr>
        <w:fldChar w:fldCharType="separate"/>
      </w:r>
      <w:hyperlink w:anchor="_Toc408845268" w:history="1">
        <w:r w:rsidR="00406035" w:rsidRPr="00E71EB2">
          <w:rPr>
            <w:rStyle w:val="Hyperlink"/>
            <w:noProof/>
          </w:rPr>
          <w:t>Figure A.5</w:t>
        </w:r>
        <w:r w:rsidR="00406035" w:rsidRPr="00E71EB2">
          <w:rPr>
            <w:rStyle w:val="Hyperlink"/>
            <w:noProof/>
          </w:rPr>
          <w:noBreakHyphen/>
          <w:t>1</w:t>
        </w:r>
        <w:r w:rsidR="00406035">
          <w:rPr>
            <w:rFonts w:asciiTheme="minorHAnsi" w:eastAsiaTheme="minorEastAsia" w:hAnsiTheme="minorHAnsi"/>
            <w:noProof/>
            <w:sz w:val="22"/>
            <w:lang w:eastAsia="en-AU"/>
          </w:rPr>
          <w:tab/>
        </w:r>
        <w:r w:rsidR="00406035" w:rsidRPr="00E71EB2">
          <w:rPr>
            <w:rStyle w:val="Hyperlink"/>
            <w:noProof/>
          </w:rPr>
          <w:t>Clinical management algorithm for AD diagnosis with FDG-PET</w:t>
        </w:r>
        <w:r w:rsidR="00406035">
          <w:rPr>
            <w:noProof/>
            <w:webHidden/>
          </w:rPr>
          <w:tab/>
        </w:r>
        <w:r w:rsidR="00406035">
          <w:rPr>
            <w:noProof/>
            <w:webHidden/>
          </w:rPr>
          <w:fldChar w:fldCharType="begin"/>
        </w:r>
        <w:r w:rsidR="00406035">
          <w:rPr>
            <w:noProof/>
            <w:webHidden/>
          </w:rPr>
          <w:instrText xml:space="preserve"> PAGEREF _Toc408845268 \h </w:instrText>
        </w:r>
        <w:r w:rsidR="00406035">
          <w:rPr>
            <w:noProof/>
            <w:webHidden/>
          </w:rPr>
        </w:r>
        <w:r w:rsidR="00406035">
          <w:rPr>
            <w:noProof/>
            <w:webHidden/>
          </w:rPr>
          <w:fldChar w:fldCharType="separate"/>
        </w:r>
        <w:r w:rsidR="00C67698">
          <w:rPr>
            <w:noProof/>
            <w:webHidden/>
          </w:rPr>
          <w:t>32</w:t>
        </w:r>
        <w:r w:rsidR="00406035">
          <w:rPr>
            <w:noProof/>
            <w:webHidden/>
          </w:rPr>
          <w:fldChar w:fldCharType="end"/>
        </w:r>
      </w:hyperlink>
    </w:p>
    <w:p w14:paraId="7DAC5DD4" w14:textId="77777777" w:rsidR="00406035" w:rsidRDefault="00197695">
      <w:pPr>
        <w:pStyle w:val="TableofFigures"/>
        <w:tabs>
          <w:tab w:val="left" w:pos="2160"/>
        </w:tabs>
        <w:rPr>
          <w:rFonts w:asciiTheme="minorHAnsi" w:eastAsiaTheme="minorEastAsia" w:hAnsiTheme="minorHAnsi"/>
          <w:noProof/>
          <w:sz w:val="22"/>
          <w:lang w:eastAsia="en-AU"/>
        </w:rPr>
      </w:pPr>
      <w:hyperlink w:anchor="_Toc408845269" w:history="1">
        <w:r w:rsidR="00406035" w:rsidRPr="00E71EB2">
          <w:rPr>
            <w:rStyle w:val="Hyperlink"/>
            <w:noProof/>
          </w:rPr>
          <w:t>Figure D.3</w:t>
        </w:r>
        <w:r w:rsidR="00406035" w:rsidRPr="00E71EB2">
          <w:rPr>
            <w:rStyle w:val="Hyperlink"/>
            <w:noProof/>
          </w:rPr>
          <w:noBreakHyphen/>
          <w:t>1</w:t>
        </w:r>
        <w:r w:rsidR="00406035">
          <w:rPr>
            <w:rFonts w:asciiTheme="minorHAnsi" w:eastAsiaTheme="minorEastAsia" w:hAnsiTheme="minorHAnsi"/>
            <w:noProof/>
            <w:sz w:val="22"/>
            <w:lang w:eastAsia="en-AU"/>
          </w:rPr>
          <w:tab/>
        </w:r>
        <w:r w:rsidR="00406035" w:rsidRPr="00E71EB2">
          <w:rPr>
            <w:rStyle w:val="Hyperlink"/>
            <w:noProof/>
          </w:rPr>
          <w:t>Simplified schematic of the economic model</w:t>
        </w:r>
        <w:r w:rsidR="00406035">
          <w:rPr>
            <w:noProof/>
            <w:webHidden/>
          </w:rPr>
          <w:tab/>
        </w:r>
        <w:r w:rsidR="00406035">
          <w:rPr>
            <w:noProof/>
            <w:webHidden/>
          </w:rPr>
          <w:fldChar w:fldCharType="begin"/>
        </w:r>
        <w:r w:rsidR="00406035">
          <w:rPr>
            <w:noProof/>
            <w:webHidden/>
          </w:rPr>
          <w:instrText xml:space="preserve"> PAGEREF _Toc408845269 \h </w:instrText>
        </w:r>
        <w:r w:rsidR="00406035">
          <w:rPr>
            <w:noProof/>
            <w:webHidden/>
          </w:rPr>
        </w:r>
        <w:r w:rsidR="00406035">
          <w:rPr>
            <w:noProof/>
            <w:webHidden/>
          </w:rPr>
          <w:fldChar w:fldCharType="separate"/>
        </w:r>
        <w:r w:rsidR="00C67698">
          <w:rPr>
            <w:noProof/>
            <w:webHidden/>
          </w:rPr>
          <w:t>103</w:t>
        </w:r>
        <w:r w:rsidR="00406035">
          <w:rPr>
            <w:noProof/>
            <w:webHidden/>
          </w:rPr>
          <w:fldChar w:fldCharType="end"/>
        </w:r>
      </w:hyperlink>
    </w:p>
    <w:p w14:paraId="4FD58AE1" w14:textId="797FD3DE" w:rsidR="00E15D9A" w:rsidRPr="00F3726C" w:rsidRDefault="00E15D9A" w:rsidP="00F3726C">
      <w:pPr>
        <w:rPr>
          <w:highlight w:val="yellow"/>
        </w:rPr>
      </w:pPr>
      <w:r>
        <w:rPr>
          <w:highlight w:val="yellow"/>
        </w:rPr>
        <w:fldChar w:fldCharType="end"/>
      </w:r>
    </w:p>
    <w:p w14:paraId="03A59A35" w14:textId="405D3DD3" w:rsidR="00B4127D" w:rsidRDefault="00B4127D" w:rsidP="000172DE">
      <w:pPr>
        <w:pStyle w:val="Heading1"/>
        <w:numPr>
          <w:ilvl w:val="0"/>
          <w:numId w:val="0"/>
        </w:numPr>
        <w:ind w:left="851" w:hanging="851"/>
      </w:pPr>
      <w:bookmarkStart w:id="6" w:name="_Toc408845148"/>
      <w:r>
        <w:lastRenderedPageBreak/>
        <w:t>Abbreviations</w:t>
      </w:r>
      <w:bookmarkEnd w:id="3"/>
      <w:bookmarkEnd w:id="6"/>
    </w:p>
    <w:p w14:paraId="7F4DAB4A" w14:textId="011CD199" w:rsidR="00BF68A6" w:rsidRDefault="00BF68A6" w:rsidP="00BF68A6">
      <w:r>
        <w:t>AChEI</w:t>
      </w:r>
      <w:r>
        <w:tab/>
      </w:r>
      <w:r>
        <w:tab/>
        <w:t>acetylcholinesterase inhibitor</w:t>
      </w:r>
    </w:p>
    <w:p w14:paraId="51643108" w14:textId="125194C8" w:rsidR="005608DA" w:rsidRDefault="005608DA" w:rsidP="00BF68A6">
      <w:r>
        <w:t>ACR</w:t>
      </w:r>
      <w:r>
        <w:tab/>
      </w:r>
      <w:r>
        <w:tab/>
        <w:t>American College of Radiology</w:t>
      </w:r>
    </w:p>
    <w:p w14:paraId="1178F2B6" w14:textId="7763E30A" w:rsidR="005017D9" w:rsidRDefault="005017D9" w:rsidP="000172DE">
      <w:r>
        <w:t>AD</w:t>
      </w:r>
      <w:r>
        <w:tab/>
      </w:r>
      <w:r>
        <w:tab/>
        <w:t>Alzheimer’s disease</w:t>
      </w:r>
    </w:p>
    <w:p w14:paraId="04E681B2" w14:textId="69FF553C" w:rsidR="0076404F" w:rsidRDefault="0076404F" w:rsidP="000172DE">
      <w:r>
        <w:t>ADAS-Cog</w:t>
      </w:r>
      <w:r>
        <w:tab/>
      </w:r>
      <w:r w:rsidRPr="0076404F">
        <w:t>Alzheimer’s Disease Assessment Scale Cognitive Subscale</w:t>
      </w:r>
    </w:p>
    <w:p w14:paraId="25EA0A4F" w14:textId="3FD6B5F4" w:rsidR="00673464" w:rsidRDefault="00673464" w:rsidP="000172DE">
      <w:r>
        <w:t>ADI</w:t>
      </w:r>
      <w:r>
        <w:tab/>
      </w:r>
      <w:r>
        <w:tab/>
        <w:t>Alzheimer’s Disease International</w:t>
      </w:r>
    </w:p>
    <w:p w14:paraId="5EC5870F" w14:textId="5ADB3273" w:rsidR="005608DA" w:rsidRDefault="005608DA" w:rsidP="000172DE">
      <w:r>
        <w:t>ADL</w:t>
      </w:r>
      <w:r>
        <w:tab/>
      </w:r>
      <w:r>
        <w:tab/>
        <w:t>activities of daily living</w:t>
      </w:r>
    </w:p>
    <w:p w14:paraId="50AE4AD4" w14:textId="497990BD" w:rsidR="00237BD4" w:rsidRDefault="00237BD4" w:rsidP="000172DE">
      <w:r>
        <w:t>AE</w:t>
      </w:r>
      <w:r>
        <w:tab/>
      </w:r>
      <w:r>
        <w:tab/>
        <w:t>adverse event</w:t>
      </w:r>
    </w:p>
    <w:p w14:paraId="5A56BAF6" w14:textId="2D746B0E" w:rsidR="00570926" w:rsidRDefault="00570926" w:rsidP="000172DE">
      <w:r>
        <w:t>AHEAD</w:t>
      </w:r>
      <w:r>
        <w:tab/>
      </w:r>
      <w:r w:rsidRPr="00570926">
        <w:t>Assessment of Health Economi</w:t>
      </w:r>
      <w:r>
        <w:t>cs in Alzheimer’s Disease</w:t>
      </w:r>
    </w:p>
    <w:p w14:paraId="18081469" w14:textId="747822BE" w:rsidR="00BE75CB" w:rsidRDefault="00BE75CB" w:rsidP="000172DE">
      <w:r>
        <w:t>AIHW</w:t>
      </w:r>
      <w:r>
        <w:tab/>
      </w:r>
      <w:r>
        <w:tab/>
      </w:r>
      <w:r w:rsidRPr="00BE75CB">
        <w:t>Australian Institute of Health and Welfare</w:t>
      </w:r>
    </w:p>
    <w:p w14:paraId="2B0F3167" w14:textId="00E6F525" w:rsidR="00673464" w:rsidRDefault="00673464" w:rsidP="000172DE">
      <w:r>
        <w:t>ALS</w:t>
      </w:r>
      <w:r>
        <w:tab/>
      </w:r>
      <w:r>
        <w:tab/>
        <w:t>amyotrophic lateral sclerosis</w:t>
      </w:r>
    </w:p>
    <w:p w14:paraId="36DA47C1" w14:textId="6B3BCCA1" w:rsidR="0073358E" w:rsidRDefault="0073358E" w:rsidP="000172DE">
      <w:r>
        <w:t>AQoL</w:t>
      </w:r>
      <w:r>
        <w:tab/>
      </w:r>
      <w:r>
        <w:tab/>
        <w:t>Assessment of Quality of Life</w:t>
      </w:r>
    </w:p>
    <w:p w14:paraId="1A98DC8B" w14:textId="2200D088" w:rsidR="00BE75CB" w:rsidRDefault="00BE75CB" w:rsidP="000172DE">
      <w:r>
        <w:t>ARTG</w:t>
      </w:r>
      <w:r>
        <w:tab/>
      </w:r>
      <w:r>
        <w:tab/>
      </w:r>
      <w:r w:rsidRPr="00BE75CB">
        <w:t>Australian Register of Therapeutic Goods</w:t>
      </w:r>
    </w:p>
    <w:p w14:paraId="7026369E" w14:textId="77761F84" w:rsidR="0073358E" w:rsidRDefault="0073358E" w:rsidP="000172DE">
      <w:r>
        <w:t>CACP</w:t>
      </w:r>
      <w:r>
        <w:tab/>
      </w:r>
      <w:r>
        <w:tab/>
        <w:t>Community Aged Care Package</w:t>
      </w:r>
    </w:p>
    <w:p w14:paraId="761DA6BB" w14:textId="1635803C" w:rsidR="00F523D2" w:rsidRDefault="00F523D2" w:rsidP="000172DE">
      <w:r>
        <w:t>CBA</w:t>
      </w:r>
      <w:r>
        <w:tab/>
      </w:r>
      <w:r>
        <w:tab/>
        <w:t>cost benefit analysis</w:t>
      </w:r>
    </w:p>
    <w:p w14:paraId="1E56730D" w14:textId="11EE1FDE" w:rsidR="00D3544E" w:rsidRDefault="00D3544E" w:rsidP="000172DE">
      <w:r>
        <w:t>CBF</w:t>
      </w:r>
      <w:r>
        <w:tab/>
      </w:r>
      <w:r>
        <w:tab/>
        <w:t>cerebral blood flow</w:t>
      </w:r>
    </w:p>
    <w:p w14:paraId="4D2C83B8" w14:textId="28887945" w:rsidR="002365F4" w:rsidRDefault="002365F4" w:rsidP="000172DE">
      <w:r>
        <w:t>CBT</w:t>
      </w:r>
      <w:r>
        <w:tab/>
      </w:r>
      <w:r>
        <w:tab/>
        <w:t>cognitive behavioural therapy</w:t>
      </w:r>
    </w:p>
    <w:p w14:paraId="2A88D49F" w14:textId="36422DC9" w:rsidR="00DA473C" w:rsidRDefault="00DA473C" w:rsidP="000172DE">
      <w:r>
        <w:t>CDR</w:t>
      </w:r>
      <w:r>
        <w:tab/>
      </w:r>
      <w:r>
        <w:tab/>
        <w:t>Clinical Dementia Rating</w:t>
      </w:r>
    </w:p>
    <w:p w14:paraId="12A4F8D8" w14:textId="5DEB3F86" w:rsidR="00026B38" w:rsidRDefault="00026B38" w:rsidP="000172DE">
      <w:r>
        <w:t>CEA</w:t>
      </w:r>
      <w:r>
        <w:tab/>
      </w:r>
      <w:r>
        <w:tab/>
        <w:t>cost-effectiveness analysis</w:t>
      </w:r>
    </w:p>
    <w:p w14:paraId="6A66C719" w14:textId="762F9967" w:rsidR="00DA4763" w:rsidRDefault="00DA4763" w:rsidP="000172DE">
      <w:r>
        <w:t>CERAD</w:t>
      </w:r>
      <w:r>
        <w:tab/>
      </w:r>
      <w:r w:rsidRPr="00DA4763">
        <w:t>Consortium to Establish a Registry in Alzheimer’s Disease</w:t>
      </w:r>
    </w:p>
    <w:p w14:paraId="1B1D0E70" w14:textId="44BFA8A4" w:rsidR="00DA4763" w:rsidRDefault="00DA4763" w:rsidP="000172DE">
      <w:r>
        <w:t>CI</w:t>
      </w:r>
      <w:r>
        <w:tab/>
      </w:r>
      <w:r>
        <w:tab/>
        <w:t>confidence interval</w:t>
      </w:r>
    </w:p>
    <w:p w14:paraId="0C6F85D3" w14:textId="54AFF7F6" w:rsidR="00276345" w:rsidRDefault="00276345" w:rsidP="000172DE">
      <w:r>
        <w:t>CMA</w:t>
      </w:r>
      <w:r>
        <w:tab/>
      </w:r>
      <w:r>
        <w:tab/>
        <w:t>cost-</w:t>
      </w:r>
      <w:r w:rsidR="00A81AF1">
        <w:t>minimisation analysis</w:t>
      </w:r>
    </w:p>
    <w:p w14:paraId="7FE91B0D" w14:textId="5C2CA7A8" w:rsidR="00BE75CB" w:rsidRDefault="00BE75CB" w:rsidP="000172DE">
      <w:r>
        <w:t>CMRgl</w:t>
      </w:r>
      <w:r>
        <w:tab/>
      </w:r>
      <w:r>
        <w:tab/>
      </w:r>
      <w:r w:rsidRPr="00BE75CB">
        <w:t>cerebral metabolic rate for glucose</w:t>
      </w:r>
    </w:p>
    <w:p w14:paraId="41B5AF0D" w14:textId="72096EC5" w:rsidR="00A81AF1" w:rsidRDefault="00A81AF1" w:rsidP="000172DE">
      <w:r>
        <w:t>CSF</w:t>
      </w:r>
      <w:r>
        <w:tab/>
      </w:r>
      <w:r>
        <w:tab/>
        <w:t>cerebrospinal fluid</w:t>
      </w:r>
    </w:p>
    <w:p w14:paraId="3EC7F716" w14:textId="185EDC57" w:rsidR="00BE75CB" w:rsidRDefault="00BE75CB" w:rsidP="000172DE">
      <w:r>
        <w:t>CT</w:t>
      </w:r>
      <w:r>
        <w:tab/>
      </w:r>
      <w:r>
        <w:tab/>
        <w:t>computed tomography</w:t>
      </w:r>
    </w:p>
    <w:p w14:paraId="23E34772" w14:textId="6138A891" w:rsidR="00DA473C" w:rsidRDefault="00DA473C" w:rsidP="000172DE">
      <w:r>
        <w:t>CUA</w:t>
      </w:r>
      <w:r>
        <w:tab/>
      </w:r>
      <w:r>
        <w:tab/>
        <w:t>cost-utility analysis</w:t>
      </w:r>
    </w:p>
    <w:p w14:paraId="486BEA91" w14:textId="38898BBB" w:rsidR="007006AB" w:rsidRDefault="007006AB" w:rsidP="000172DE">
      <w:r>
        <w:lastRenderedPageBreak/>
        <w:t>DLB</w:t>
      </w:r>
      <w:r>
        <w:tab/>
      </w:r>
      <w:r>
        <w:tab/>
        <w:t>Dementia with Lewy bodies</w:t>
      </w:r>
    </w:p>
    <w:p w14:paraId="67D4BD4A" w14:textId="12457BB8" w:rsidR="00525024" w:rsidRDefault="00525024" w:rsidP="000172DE">
      <w:r>
        <w:t>DPMQ</w:t>
      </w:r>
      <w:r>
        <w:tab/>
      </w:r>
      <w:r>
        <w:tab/>
      </w:r>
      <w:r w:rsidRPr="00525024">
        <w:t>dispensed price per maximum quantity</w:t>
      </w:r>
    </w:p>
    <w:p w14:paraId="55A7BFCE" w14:textId="1F7628B7" w:rsidR="00DA473C" w:rsidRDefault="00DA473C" w:rsidP="000172DE">
      <w:r>
        <w:t>DUSC</w:t>
      </w:r>
      <w:r>
        <w:tab/>
      </w:r>
      <w:r>
        <w:tab/>
        <w:t>Drug Utilisation Sub-Committee</w:t>
      </w:r>
    </w:p>
    <w:p w14:paraId="22DFB952" w14:textId="675BE749" w:rsidR="007006AB" w:rsidRDefault="007006AB" w:rsidP="000172DE">
      <w:r>
        <w:t>ECD</w:t>
      </w:r>
      <w:r>
        <w:tab/>
      </w:r>
      <w:r>
        <w:tab/>
        <w:t>ethyl</w:t>
      </w:r>
      <w:r w:rsidR="004537DF">
        <w:t xml:space="preserve"> </w:t>
      </w:r>
      <w:r>
        <w:t>cysteinate dimer</w:t>
      </w:r>
    </w:p>
    <w:p w14:paraId="75FE032B" w14:textId="2E11D865" w:rsidR="00411C2F" w:rsidRDefault="009B068C" w:rsidP="00411C2F">
      <w:r>
        <w:t>EM</w:t>
      </w:r>
      <w:r w:rsidR="008A4242">
        <w:t>A</w:t>
      </w:r>
      <w:r w:rsidR="008A4242">
        <w:tab/>
      </w:r>
      <w:r w:rsidR="008A4242">
        <w:tab/>
        <w:t>European Medicines Agency</w:t>
      </w:r>
    </w:p>
    <w:p w14:paraId="65969FCD" w14:textId="157D31EC" w:rsidR="005017D9" w:rsidRDefault="00ED6384" w:rsidP="000172DE">
      <w:r>
        <w:t>FDG</w:t>
      </w:r>
      <w:r>
        <w:tab/>
      </w:r>
      <w:r>
        <w:tab/>
      </w:r>
      <w:r w:rsidR="005017D9">
        <w:t>f</w:t>
      </w:r>
      <w:r w:rsidR="005017D9" w:rsidRPr="005017D9">
        <w:t>lu</w:t>
      </w:r>
      <w:r w:rsidR="0038452F">
        <w:t>o</w:t>
      </w:r>
      <w:r w:rsidR="005017D9" w:rsidRPr="005017D9">
        <w:t>rodeoxyglucose</w:t>
      </w:r>
    </w:p>
    <w:p w14:paraId="6EE728BA" w14:textId="48B769F0" w:rsidR="00F17DE1" w:rsidRDefault="00F17DE1" w:rsidP="000172DE">
      <w:r>
        <w:t>FP</w:t>
      </w:r>
      <w:r>
        <w:tab/>
      </w:r>
      <w:r>
        <w:tab/>
        <w:t>false positive</w:t>
      </w:r>
    </w:p>
    <w:p w14:paraId="35125F02" w14:textId="619A9305" w:rsidR="00F17DE1" w:rsidRDefault="00F17DE1" w:rsidP="000172DE">
      <w:r>
        <w:t>FN</w:t>
      </w:r>
      <w:r>
        <w:tab/>
      </w:r>
      <w:r>
        <w:tab/>
        <w:t>false negative</w:t>
      </w:r>
    </w:p>
    <w:p w14:paraId="7D9D3BB2" w14:textId="4C9DDA68" w:rsidR="007006AB" w:rsidRDefault="00BD65E4" w:rsidP="000172DE">
      <w:r>
        <w:t>FTD</w:t>
      </w:r>
      <w:r w:rsidR="007006AB">
        <w:tab/>
      </w:r>
      <w:r w:rsidR="007006AB">
        <w:tab/>
      </w:r>
      <w:r w:rsidR="007006AB" w:rsidRPr="00F96DDF">
        <w:t xml:space="preserve">frontotemporal </w:t>
      </w:r>
      <w:r>
        <w:t>dementia</w:t>
      </w:r>
    </w:p>
    <w:p w14:paraId="2CD5D43A" w14:textId="223B7C08" w:rsidR="00BE75CB" w:rsidRDefault="00BE75CB" w:rsidP="000172DE">
      <w:r>
        <w:t>GP</w:t>
      </w:r>
      <w:r>
        <w:tab/>
      </w:r>
      <w:r>
        <w:tab/>
        <w:t>general practitioner</w:t>
      </w:r>
    </w:p>
    <w:p w14:paraId="415919D2" w14:textId="3EFE02FA" w:rsidR="00C4798D" w:rsidRDefault="00C4798D" w:rsidP="000172DE">
      <w:r>
        <w:t>GPCOG</w:t>
      </w:r>
      <w:r>
        <w:tab/>
      </w:r>
      <w:r w:rsidRPr="00C4798D">
        <w:t>General Practitioner Assessment of Cognition</w:t>
      </w:r>
    </w:p>
    <w:p w14:paraId="0654D2C9" w14:textId="1A7D05D0" w:rsidR="00F53A00" w:rsidRDefault="00F53A00" w:rsidP="000172DE">
      <w:r>
        <w:t>GRADE</w:t>
      </w:r>
      <w:r>
        <w:tab/>
        <w:t>Grading of Recommendations Assessment, Development and Evaluation</w:t>
      </w:r>
    </w:p>
    <w:p w14:paraId="2C4926E7" w14:textId="66D61B7F" w:rsidR="000172DE" w:rsidRDefault="00AA7FBF" w:rsidP="000172DE">
      <w:r>
        <w:t>HESP</w:t>
      </w:r>
      <w:r>
        <w:tab/>
      </w:r>
      <w:r>
        <w:tab/>
        <w:t>Health Expert Standing Panel</w:t>
      </w:r>
    </w:p>
    <w:p w14:paraId="71695AC1" w14:textId="27A5A7DE" w:rsidR="00D3544E" w:rsidRDefault="00D3544E" w:rsidP="00D3544E">
      <w:r w:rsidRPr="00D3544E">
        <w:t>HMPAO</w:t>
      </w:r>
      <w:r>
        <w:tab/>
        <w:t>99m-Tc-hexamethylpropylene</w:t>
      </w:r>
    </w:p>
    <w:p w14:paraId="5DBCD862" w14:textId="30C60FD4" w:rsidR="00DC4CD8" w:rsidRDefault="00DC4CD8" w:rsidP="00D3544E">
      <w:r>
        <w:t>HRQoL</w:t>
      </w:r>
      <w:r>
        <w:tab/>
        <w:t>health-related quality of life</w:t>
      </w:r>
    </w:p>
    <w:p w14:paraId="459A837B" w14:textId="53B2D7A7" w:rsidR="00AA7FBF" w:rsidRDefault="00AA7FBF" w:rsidP="000172DE">
      <w:r>
        <w:t>HTA</w:t>
      </w:r>
      <w:r>
        <w:tab/>
      </w:r>
      <w:r>
        <w:tab/>
      </w:r>
      <w:r w:rsidRPr="00DC4CD8">
        <w:t>Health Technology Assessment</w:t>
      </w:r>
    </w:p>
    <w:p w14:paraId="0066E74E" w14:textId="0CB7D19E" w:rsidR="00F2569E" w:rsidRPr="00DC4CD8" w:rsidRDefault="00F2569E" w:rsidP="000172DE">
      <w:r>
        <w:t>HUI</w:t>
      </w:r>
      <w:r>
        <w:tab/>
      </w:r>
      <w:r>
        <w:tab/>
        <w:t>Health Utilities Index</w:t>
      </w:r>
    </w:p>
    <w:p w14:paraId="3CE9CD85" w14:textId="707E408E" w:rsidR="00CE701C" w:rsidRDefault="00CE701C" w:rsidP="000172DE">
      <w:r w:rsidRPr="00DC4CD8">
        <w:t>ICER</w:t>
      </w:r>
      <w:r w:rsidRPr="00DC4CD8">
        <w:tab/>
      </w:r>
      <w:r w:rsidRPr="00DC4CD8">
        <w:tab/>
        <w:t>incremental cost-effectiveness ratio</w:t>
      </w:r>
    </w:p>
    <w:p w14:paraId="120534AF" w14:textId="4EA81274" w:rsidR="007006AB" w:rsidRDefault="007006AB" w:rsidP="000172DE">
      <w:r>
        <w:t>IMP</w:t>
      </w:r>
      <w:r>
        <w:tab/>
      </w:r>
      <w:r>
        <w:tab/>
        <w:t>iodoamphetamine</w:t>
      </w:r>
    </w:p>
    <w:p w14:paraId="2C1E19E3" w14:textId="19D3E705" w:rsidR="008F5A55" w:rsidRDefault="008F5A55" w:rsidP="000172DE">
      <w:r>
        <w:t>LOCF</w:t>
      </w:r>
      <w:r>
        <w:tab/>
      </w:r>
      <w:r>
        <w:tab/>
        <w:t>last observation carried forward</w:t>
      </w:r>
    </w:p>
    <w:p w14:paraId="696BCC85" w14:textId="6870E493" w:rsidR="00F17DE1" w:rsidRDefault="00F17DE1" w:rsidP="000172DE">
      <w:r>
        <w:t>LYG</w:t>
      </w:r>
      <w:r>
        <w:tab/>
      </w:r>
      <w:r>
        <w:tab/>
        <w:t>life year gained</w:t>
      </w:r>
    </w:p>
    <w:p w14:paraId="71525E37" w14:textId="1EFB3ACF" w:rsidR="008F5A55" w:rsidRPr="00DC4CD8" w:rsidRDefault="008F5A55" w:rsidP="000172DE">
      <w:r>
        <w:t>MAUI</w:t>
      </w:r>
      <w:r>
        <w:tab/>
      </w:r>
      <w:r>
        <w:tab/>
        <w:t>multi-attribute utility instrument</w:t>
      </w:r>
    </w:p>
    <w:p w14:paraId="3D7CEF1E" w14:textId="7E56A7FF" w:rsidR="00AA7FBF" w:rsidRPr="00DC4CD8" w:rsidRDefault="005F1A41" w:rsidP="000172DE">
      <w:r w:rsidRPr="00DC4CD8">
        <w:t>MBS</w:t>
      </w:r>
      <w:r w:rsidRPr="00DC4CD8">
        <w:tab/>
      </w:r>
      <w:r w:rsidRPr="00DC4CD8">
        <w:tab/>
        <w:t>Medicare</w:t>
      </w:r>
      <w:r w:rsidR="00AA7FBF" w:rsidRPr="00DC4CD8">
        <w:t xml:space="preserve"> Benefits Schedule</w:t>
      </w:r>
    </w:p>
    <w:p w14:paraId="5305AA67" w14:textId="015364A1" w:rsidR="005017D9" w:rsidRDefault="005017D9" w:rsidP="000172DE">
      <w:r w:rsidRPr="00DC4CD8">
        <w:t>MCI</w:t>
      </w:r>
      <w:r w:rsidRPr="00DC4CD8">
        <w:tab/>
      </w:r>
      <w:r w:rsidRPr="00DC4CD8">
        <w:tab/>
        <w:t>mild cognitive impairment</w:t>
      </w:r>
    </w:p>
    <w:p w14:paraId="4DFDBA7C" w14:textId="775994E6" w:rsidR="00F17DE1" w:rsidRPr="00DC4CD8" w:rsidRDefault="00F17DE1" w:rsidP="000172DE">
      <w:r>
        <w:t>MIX</w:t>
      </w:r>
      <w:r>
        <w:tab/>
      </w:r>
      <w:r>
        <w:tab/>
        <w:t>mixed-type dementia</w:t>
      </w:r>
    </w:p>
    <w:p w14:paraId="0A37A4D0" w14:textId="0B148242" w:rsidR="00BE75CB" w:rsidRPr="00DC4CD8" w:rsidRDefault="00BE75CB" w:rsidP="000172DE">
      <w:r w:rsidRPr="00DC4CD8">
        <w:t>MMSE</w:t>
      </w:r>
      <w:r w:rsidRPr="00DC4CD8">
        <w:tab/>
      </w:r>
      <w:r w:rsidRPr="00DC4CD8">
        <w:tab/>
        <w:t>Mini-Mental State Examination</w:t>
      </w:r>
    </w:p>
    <w:p w14:paraId="3E6CDB11" w14:textId="711CE7D3" w:rsidR="00BE75CB" w:rsidRPr="00DC4CD8" w:rsidRDefault="00BE75CB" w:rsidP="000172DE">
      <w:r w:rsidRPr="00DC4CD8">
        <w:t>MRI</w:t>
      </w:r>
      <w:r w:rsidRPr="00DC4CD8">
        <w:tab/>
      </w:r>
      <w:r w:rsidRPr="00DC4CD8">
        <w:tab/>
        <w:t>magnetic resonance imaging</w:t>
      </w:r>
    </w:p>
    <w:p w14:paraId="0ACC9E00" w14:textId="7365F6B0" w:rsidR="00AA7FBF" w:rsidRPr="00DC4CD8" w:rsidRDefault="00AA7FBF" w:rsidP="000172DE">
      <w:r w:rsidRPr="00DC4CD8">
        <w:lastRenderedPageBreak/>
        <w:t>MSAC</w:t>
      </w:r>
      <w:r w:rsidRPr="00DC4CD8">
        <w:tab/>
      </w:r>
      <w:r w:rsidRPr="00DC4CD8">
        <w:tab/>
        <w:t>Medical Services Advisory Committee</w:t>
      </w:r>
    </w:p>
    <w:p w14:paraId="2656BCC0" w14:textId="6893DD80" w:rsidR="00CE701C" w:rsidRDefault="00CE701C" w:rsidP="000172DE">
      <w:r w:rsidRPr="00DC4CD8">
        <w:t>NHMRC</w:t>
      </w:r>
      <w:r w:rsidRPr="00DC4CD8">
        <w:tab/>
        <w:t>National Health and Medical Research Council</w:t>
      </w:r>
    </w:p>
    <w:p w14:paraId="270BE953" w14:textId="0F02E2A2" w:rsidR="008F5A55" w:rsidRDefault="008F5A55" w:rsidP="000172DE">
      <w:r>
        <w:t>NHS</w:t>
      </w:r>
      <w:r>
        <w:tab/>
      </w:r>
      <w:r>
        <w:tab/>
        <w:t>National Health Service</w:t>
      </w:r>
    </w:p>
    <w:p w14:paraId="08278F11" w14:textId="4633666C" w:rsidR="007006AB" w:rsidRDefault="007006AB" w:rsidP="000172DE">
      <w:r>
        <w:t>NIA-AA</w:t>
      </w:r>
      <w:r>
        <w:tab/>
        <w:t>National Institute on Aging and the Alzheimer’s Association</w:t>
      </w:r>
    </w:p>
    <w:p w14:paraId="2F1CA51B" w14:textId="2F537E76" w:rsidR="008F5A55" w:rsidRDefault="008F5A55" w:rsidP="000172DE">
      <w:r>
        <w:t>NICE</w:t>
      </w:r>
      <w:r>
        <w:tab/>
      </w:r>
      <w:r>
        <w:tab/>
        <w:t>National Institute for Health and Clinical Excellence</w:t>
      </w:r>
    </w:p>
    <w:p w14:paraId="1925B303" w14:textId="03004440" w:rsidR="00D3544E" w:rsidRDefault="00D3544E" w:rsidP="000172DE">
      <w:r w:rsidRPr="00DC4CD8">
        <w:t>NSW</w:t>
      </w:r>
      <w:r w:rsidRPr="00DC4CD8">
        <w:tab/>
      </w:r>
      <w:r w:rsidRPr="00DC4CD8">
        <w:tab/>
        <w:t>New South Wales</w:t>
      </w:r>
    </w:p>
    <w:p w14:paraId="31274F9B" w14:textId="4C25C5E0" w:rsidR="008F5A55" w:rsidRPr="00DC4CD8" w:rsidRDefault="008F5A55" w:rsidP="000172DE">
      <w:r>
        <w:t>OC</w:t>
      </w:r>
      <w:r>
        <w:tab/>
      </w:r>
      <w:r>
        <w:tab/>
        <w:t>observed case</w:t>
      </w:r>
    </w:p>
    <w:p w14:paraId="3EE9CB80" w14:textId="3C46EEEB" w:rsidR="00AA7FBF" w:rsidRPr="00DC4CD8" w:rsidRDefault="00AA7FBF" w:rsidP="000172DE">
      <w:r w:rsidRPr="00DC4CD8">
        <w:t>PASC</w:t>
      </w:r>
      <w:r w:rsidRPr="00DC4CD8">
        <w:tab/>
      </w:r>
      <w:r w:rsidRPr="00DC4CD8">
        <w:tab/>
        <w:t>Protocol Advisory Sub-Committee</w:t>
      </w:r>
    </w:p>
    <w:p w14:paraId="1EB38876" w14:textId="08487289" w:rsidR="00D3544E" w:rsidRPr="00DC4CD8" w:rsidRDefault="00D3544E" w:rsidP="000172DE">
      <w:r w:rsidRPr="00DC4CD8">
        <w:t>PBAC</w:t>
      </w:r>
      <w:r w:rsidRPr="00DC4CD8">
        <w:tab/>
      </w:r>
      <w:r w:rsidRPr="00DC4CD8">
        <w:tab/>
        <w:t>Pharmaceutical Benefits Advisory Committee</w:t>
      </w:r>
    </w:p>
    <w:p w14:paraId="01E54FF8" w14:textId="5E5EAEFC" w:rsidR="00D3544E" w:rsidRPr="00DC4CD8" w:rsidRDefault="00D3544E" w:rsidP="000172DE">
      <w:r w:rsidRPr="00DC4CD8">
        <w:t>PBS</w:t>
      </w:r>
      <w:r w:rsidRPr="00DC4CD8">
        <w:tab/>
      </w:r>
      <w:r w:rsidRPr="00DC4CD8">
        <w:tab/>
        <w:t>Pharmaceutical Benefits Schedule</w:t>
      </w:r>
    </w:p>
    <w:p w14:paraId="78CA08AE" w14:textId="716BE2BE" w:rsidR="005017D9" w:rsidRDefault="005017D9" w:rsidP="000172DE">
      <w:r w:rsidRPr="00DC4CD8">
        <w:t>PET</w:t>
      </w:r>
      <w:r w:rsidRPr="00DC4CD8">
        <w:tab/>
      </w:r>
      <w:r w:rsidRPr="00DC4CD8">
        <w:tab/>
        <w:t>positron emission tomography</w:t>
      </w:r>
    </w:p>
    <w:p w14:paraId="470672BB" w14:textId="5D6C4B45" w:rsidR="00C61362" w:rsidRPr="00DC4CD8" w:rsidRDefault="00C61362" w:rsidP="000172DE">
      <w:r>
        <w:t>PI</w:t>
      </w:r>
      <w:r>
        <w:tab/>
      </w:r>
      <w:r>
        <w:tab/>
        <w:t>Product Information</w:t>
      </w:r>
    </w:p>
    <w:p w14:paraId="0BA569D8" w14:textId="52E69420" w:rsidR="00CE701C" w:rsidRDefault="00CE701C" w:rsidP="000172DE">
      <w:r w:rsidRPr="00DC4CD8">
        <w:t>P</w:t>
      </w:r>
      <w:r w:rsidR="00D3544E" w:rsidRPr="00DC4CD8">
        <w:t>P</w:t>
      </w:r>
      <w:r w:rsidRPr="00DC4CD8">
        <w:t>ICO</w:t>
      </w:r>
      <w:r w:rsidRPr="00DC4CD8">
        <w:tab/>
      </w:r>
      <w:r w:rsidRPr="00DC4CD8">
        <w:tab/>
        <w:t xml:space="preserve">population, </w:t>
      </w:r>
      <w:r w:rsidR="00D3544E" w:rsidRPr="00DC4CD8">
        <w:t xml:space="preserve">prior test, </w:t>
      </w:r>
      <w:r w:rsidRPr="00DC4CD8">
        <w:t>intervention, comparator, outcomes</w:t>
      </w:r>
    </w:p>
    <w:p w14:paraId="024B79E6" w14:textId="0BB78A6C" w:rsidR="00F17DE1" w:rsidRPr="00DC4CD8" w:rsidRDefault="00F17DE1" w:rsidP="000172DE">
      <w:r>
        <w:t>PSA</w:t>
      </w:r>
      <w:r>
        <w:tab/>
      </w:r>
      <w:r>
        <w:tab/>
      </w:r>
      <w:r w:rsidRPr="00F17DE1">
        <w:t>probabilistic sensitivity analysis</w:t>
      </w:r>
    </w:p>
    <w:p w14:paraId="0D2C576C" w14:textId="72CD6843" w:rsidR="00CE701C" w:rsidRPr="00DC4CD8" w:rsidRDefault="00CE701C" w:rsidP="000172DE">
      <w:r w:rsidRPr="00DC4CD8">
        <w:t>QALY</w:t>
      </w:r>
      <w:r w:rsidRPr="00DC4CD8">
        <w:tab/>
      </w:r>
      <w:r w:rsidRPr="00DC4CD8">
        <w:tab/>
        <w:t>quality-adjusted life year</w:t>
      </w:r>
    </w:p>
    <w:p w14:paraId="144CC481" w14:textId="4D25CDF9" w:rsidR="00BE75CB" w:rsidRPr="00DC4CD8" w:rsidRDefault="00BE75CB" w:rsidP="000172DE">
      <w:r w:rsidRPr="00DC4CD8">
        <w:t>QLD</w:t>
      </w:r>
      <w:r w:rsidRPr="00DC4CD8">
        <w:tab/>
      </w:r>
      <w:r w:rsidRPr="00DC4CD8">
        <w:tab/>
        <w:t>Queensland</w:t>
      </w:r>
    </w:p>
    <w:p w14:paraId="2C8CDC1B" w14:textId="3E5B9835" w:rsidR="00CE701C" w:rsidRDefault="00CE701C" w:rsidP="000172DE">
      <w:r w:rsidRPr="00DC4CD8">
        <w:t>QoL</w:t>
      </w:r>
      <w:r w:rsidRPr="00DC4CD8">
        <w:tab/>
      </w:r>
      <w:r w:rsidRPr="00DC4CD8">
        <w:tab/>
        <w:t>quality of life</w:t>
      </w:r>
    </w:p>
    <w:p w14:paraId="1E908004" w14:textId="288BED26" w:rsidR="00C61362" w:rsidRPr="00DC4CD8" w:rsidRDefault="00C61362" w:rsidP="000172DE">
      <w:r>
        <w:t>RACGP</w:t>
      </w:r>
      <w:r>
        <w:tab/>
        <w:t>Royal Australian College of General Practitioners</w:t>
      </w:r>
    </w:p>
    <w:p w14:paraId="33CB3E54" w14:textId="5AEAFF6C" w:rsidR="00BE75CB" w:rsidRDefault="00BE75CB" w:rsidP="000172DE">
      <w:r w:rsidRPr="00DC4CD8">
        <w:t>RACP</w:t>
      </w:r>
      <w:r w:rsidRPr="00DC4CD8">
        <w:tab/>
      </w:r>
      <w:r w:rsidRPr="00DC4CD8">
        <w:tab/>
        <w:t>Royal Australian Colleg</w:t>
      </w:r>
      <w:r>
        <w:t>e of Physicians</w:t>
      </w:r>
    </w:p>
    <w:p w14:paraId="1FD4AC9D" w14:textId="65106E13" w:rsidR="00490F61" w:rsidRDefault="00490F61" w:rsidP="00BE75CB">
      <w:r>
        <w:t>rCBF</w:t>
      </w:r>
      <w:r>
        <w:tab/>
      </w:r>
      <w:r>
        <w:tab/>
        <w:t>regional cerebral blood flow</w:t>
      </w:r>
    </w:p>
    <w:p w14:paraId="1BD8D164" w14:textId="425BB122" w:rsidR="00CE701C" w:rsidRDefault="00CE701C" w:rsidP="000172DE">
      <w:r>
        <w:t>RCT</w:t>
      </w:r>
      <w:r>
        <w:tab/>
      </w:r>
      <w:r>
        <w:tab/>
        <w:t>randomised controlled trial</w:t>
      </w:r>
    </w:p>
    <w:p w14:paraId="1B15A086" w14:textId="735AE36F" w:rsidR="00C61362" w:rsidRDefault="00C61362" w:rsidP="000172DE">
      <w:r>
        <w:t>ROI</w:t>
      </w:r>
      <w:r>
        <w:tab/>
      </w:r>
      <w:r>
        <w:tab/>
        <w:t>region of interest</w:t>
      </w:r>
    </w:p>
    <w:p w14:paraId="00D41FAD" w14:textId="147F0DC7" w:rsidR="00C61362" w:rsidRDefault="00C61362" w:rsidP="000172DE">
      <w:r>
        <w:t>RPBS</w:t>
      </w:r>
      <w:r>
        <w:tab/>
      </w:r>
      <w:r>
        <w:tab/>
        <w:t>Repatriation Pharmaceutical Benefits Scheme</w:t>
      </w:r>
    </w:p>
    <w:p w14:paraId="64CFD72F" w14:textId="3DF1C9C9" w:rsidR="00C61362" w:rsidRDefault="00C61362" w:rsidP="000172DE">
      <w:r>
        <w:t>RRL</w:t>
      </w:r>
      <w:r>
        <w:tab/>
      </w:r>
      <w:r>
        <w:tab/>
        <w:t>relative radiation level</w:t>
      </w:r>
    </w:p>
    <w:p w14:paraId="34881AFB" w14:textId="4F865EAF" w:rsidR="009779FC" w:rsidRDefault="009779FC" w:rsidP="000172DE">
      <w:r>
        <w:t>RUDAS</w:t>
      </w:r>
      <w:r>
        <w:tab/>
      </w:r>
      <w:r w:rsidRPr="009779FC">
        <w:t>Rowland Univ</w:t>
      </w:r>
      <w:r>
        <w:t>ersal Dementia Assessment Scale</w:t>
      </w:r>
    </w:p>
    <w:p w14:paraId="69405937" w14:textId="24B049F5" w:rsidR="00C61362" w:rsidRDefault="00C61362" w:rsidP="000172DE">
      <w:r>
        <w:t>SD</w:t>
      </w:r>
      <w:r>
        <w:tab/>
      </w:r>
      <w:r>
        <w:tab/>
        <w:t>standard deviation</w:t>
      </w:r>
    </w:p>
    <w:p w14:paraId="06A57CE4" w14:textId="52A74436" w:rsidR="00BE75CB" w:rsidRDefault="00BE75CB" w:rsidP="00BE75CB">
      <w:r>
        <w:t>SMMSE</w:t>
      </w:r>
      <w:r>
        <w:tab/>
        <w:t xml:space="preserve">Standardised </w:t>
      </w:r>
      <w:r w:rsidRPr="00BE75CB">
        <w:t>Mini-Mental State Examination</w:t>
      </w:r>
    </w:p>
    <w:p w14:paraId="564DC600" w14:textId="75F0A3CE" w:rsidR="005017D9" w:rsidRDefault="005017D9" w:rsidP="000172DE">
      <w:r w:rsidRPr="00DC4CD8">
        <w:lastRenderedPageBreak/>
        <w:t>SPECT</w:t>
      </w:r>
      <w:r w:rsidRPr="00DC4CD8">
        <w:tab/>
      </w:r>
      <w:r w:rsidRPr="00DC4CD8">
        <w:tab/>
        <w:t>single-photon emission computed tomography</w:t>
      </w:r>
    </w:p>
    <w:p w14:paraId="299D9A57" w14:textId="1E36CE1B" w:rsidR="00B11A03" w:rsidRPr="00DC4CD8" w:rsidRDefault="00B11A03" w:rsidP="000172DE">
      <w:r>
        <w:t>SSP</w:t>
      </w:r>
      <w:r>
        <w:tab/>
      </w:r>
      <w:r>
        <w:tab/>
        <w:t>stereotactic surface projections</w:t>
      </w:r>
    </w:p>
    <w:p w14:paraId="67E59CF4" w14:textId="2BC90E06" w:rsidR="00CE701C" w:rsidRDefault="00CE701C" w:rsidP="000172DE">
      <w:r w:rsidRPr="00DC4CD8">
        <w:t>TGA</w:t>
      </w:r>
      <w:r w:rsidRPr="00DC4CD8">
        <w:tab/>
      </w:r>
      <w:r w:rsidRPr="00DC4CD8">
        <w:tab/>
        <w:t>Therapeutic Goods Administration</w:t>
      </w:r>
    </w:p>
    <w:p w14:paraId="0207029C" w14:textId="3AF24AFE" w:rsidR="00F17DE1" w:rsidRDefault="00F17DE1" w:rsidP="000172DE">
      <w:r>
        <w:t>TP</w:t>
      </w:r>
      <w:r>
        <w:tab/>
      </w:r>
      <w:r>
        <w:tab/>
        <w:t>true positive</w:t>
      </w:r>
    </w:p>
    <w:p w14:paraId="61FBBB57" w14:textId="190BBB29" w:rsidR="00F17DE1" w:rsidRDefault="00F17DE1" w:rsidP="000172DE">
      <w:r>
        <w:t>TN</w:t>
      </w:r>
      <w:r>
        <w:tab/>
      </w:r>
      <w:r>
        <w:tab/>
        <w:t>true negative</w:t>
      </w:r>
    </w:p>
    <w:p w14:paraId="6C24AF9E" w14:textId="5B2BBD24" w:rsidR="00490F61" w:rsidRPr="00DC4CD8" w:rsidRDefault="00490F61" w:rsidP="000172DE">
      <w:r>
        <w:t>VD</w:t>
      </w:r>
      <w:r>
        <w:tab/>
      </w:r>
      <w:r>
        <w:tab/>
        <w:t>vascular dementia</w:t>
      </w:r>
    </w:p>
    <w:p w14:paraId="126D6A2F" w14:textId="3803FA6D" w:rsidR="00BE75CB" w:rsidRDefault="00BE75CB" w:rsidP="000172DE">
      <w:r w:rsidRPr="00DC4CD8">
        <w:t>VIC</w:t>
      </w:r>
      <w:r>
        <w:tab/>
      </w:r>
      <w:r>
        <w:tab/>
        <w:t>Victoria</w:t>
      </w:r>
    </w:p>
    <w:p w14:paraId="24CD9071" w14:textId="0BAAF41A" w:rsidR="005017D9" w:rsidRDefault="00F23702" w:rsidP="00DC4CD8">
      <w:pPr>
        <w:ind w:left="0" w:firstLine="720"/>
      </w:pPr>
      <w:r>
        <w:t>WA</w:t>
      </w:r>
      <w:r>
        <w:tab/>
      </w:r>
      <w:r>
        <w:tab/>
        <w:t>Western Australia</w:t>
      </w:r>
    </w:p>
    <w:p w14:paraId="4F2AD075" w14:textId="3DE7C933" w:rsidR="005017D9" w:rsidRDefault="005017D9" w:rsidP="005017D9"/>
    <w:p w14:paraId="001E8CA9" w14:textId="77777777" w:rsidR="00EE3E85" w:rsidRPr="00DC4CD8" w:rsidRDefault="00EE3E85">
      <w:pPr>
        <w:sectPr w:rsidR="00EE3E85" w:rsidRPr="00DC4CD8" w:rsidSect="00777581">
          <w:footerReference w:type="default" r:id="rId12"/>
          <w:pgSz w:w="11906" w:h="16838" w:code="9"/>
          <w:pgMar w:top="1440" w:right="1440" w:bottom="1440" w:left="1440" w:header="680" w:footer="1021" w:gutter="0"/>
          <w:cols w:space="708"/>
          <w:docGrid w:linePitch="360"/>
        </w:sectPr>
      </w:pPr>
    </w:p>
    <w:p w14:paraId="2EB0E12D" w14:textId="06A77120" w:rsidR="000172DE" w:rsidRDefault="000172DE" w:rsidP="000172DE">
      <w:pPr>
        <w:pStyle w:val="Heading1"/>
        <w:numPr>
          <w:ilvl w:val="0"/>
          <w:numId w:val="0"/>
        </w:numPr>
        <w:ind w:left="851" w:hanging="851"/>
      </w:pPr>
      <w:bookmarkStart w:id="7" w:name="_Toc382219918"/>
      <w:bookmarkStart w:id="8" w:name="_Toc408845149"/>
      <w:r>
        <w:lastRenderedPageBreak/>
        <w:t>Executive summary</w:t>
      </w:r>
      <w:bookmarkEnd w:id="7"/>
      <w:bookmarkEnd w:id="8"/>
    </w:p>
    <w:p w14:paraId="14B23156" w14:textId="23E37250" w:rsidR="00885956" w:rsidRPr="00E5076E" w:rsidRDefault="00CD3558" w:rsidP="00E5076E">
      <w:pPr>
        <w:pStyle w:val="Heading3"/>
        <w:numPr>
          <w:ilvl w:val="0"/>
          <w:numId w:val="0"/>
        </w:numPr>
        <w:ind w:left="851" w:hanging="851"/>
        <w:rPr>
          <w:sz w:val="28"/>
          <w:szCs w:val="28"/>
        </w:rPr>
      </w:pPr>
      <w:bookmarkStart w:id="9" w:name="_Toc382219919"/>
      <w:r w:rsidRPr="00E5076E">
        <w:rPr>
          <w:sz w:val="28"/>
          <w:szCs w:val="28"/>
        </w:rPr>
        <w:t>Assessment of (intervention name/diagnostic test)</w:t>
      </w:r>
      <w:bookmarkEnd w:id="9"/>
    </w:p>
    <w:p w14:paraId="7F9DE79C" w14:textId="67CB425B" w:rsidR="00DD06FA" w:rsidRPr="00DD06FA" w:rsidRDefault="00CD3558" w:rsidP="00DD06FA">
      <w:pPr>
        <w:pStyle w:val="Heading3"/>
        <w:numPr>
          <w:ilvl w:val="0"/>
          <w:numId w:val="0"/>
        </w:numPr>
        <w:ind w:left="851" w:hanging="851"/>
      </w:pPr>
      <w:r>
        <w:t>Purpose of application</w:t>
      </w:r>
    </w:p>
    <w:p w14:paraId="4DB7EC6A" w14:textId="1CF2E5D6" w:rsidR="00545901" w:rsidRDefault="0028016C" w:rsidP="00545901">
      <w:r w:rsidRPr="0028016C">
        <w:t xml:space="preserve">In September 2013, the Department of Health received an application from The Department of Nuclear Medicine and Centre for Positron Emission Tomography (PET) at Austin Health, Victoria, requesting </w:t>
      </w:r>
      <w:r w:rsidR="00BA5CDD">
        <w:t>Medicare Benefits Schedule (</w:t>
      </w:r>
      <w:r w:rsidRPr="0028016C">
        <w:t>MBS</w:t>
      </w:r>
      <w:r w:rsidR="00BA5CDD">
        <w:t>)</w:t>
      </w:r>
      <w:r w:rsidRPr="0028016C">
        <w:t xml:space="preserve"> reimbursement for the use of F-18 flu</w:t>
      </w:r>
      <w:r w:rsidR="0038452F">
        <w:t>o</w:t>
      </w:r>
      <w:r w:rsidRPr="0028016C">
        <w:t>rodeoxyglucose (FDG)-PET imaging to establish a diagnosis of Alzheimer’s disease (AD) where other diagn</w:t>
      </w:r>
      <w:r>
        <w:t xml:space="preserve">ostic methods are inconclusive. </w:t>
      </w:r>
    </w:p>
    <w:p w14:paraId="327B56D0" w14:textId="74F1BA11" w:rsidR="00CD3558" w:rsidRDefault="00CD3558" w:rsidP="00CD3558">
      <w:pPr>
        <w:pStyle w:val="Heading3"/>
        <w:numPr>
          <w:ilvl w:val="0"/>
          <w:numId w:val="0"/>
        </w:numPr>
        <w:ind w:left="851" w:hanging="851"/>
      </w:pPr>
      <w:r>
        <w:t>Current arrangement for public reimbursement</w:t>
      </w:r>
    </w:p>
    <w:p w14:paraId="5D3183A6" w14:textId="3D244656" w:rsidR="0028016C" w:rsidRDefault="0028016C" w:rsidP="0028016C">
      <w:r>
        <w:t>Currently, public reimbursement of FDG-PET for the diagnosis of AD is not available, although FDG-PET is funded through the MBS for a range of other indications, predominately relating to oncology.</w:t>
      </w:r>
    </w:p>
    <w:p w14:paraId="40BE3F81" w14:textId="5BCE3B5C" w:rsidR="00CD3558" w:rsidRDefault="00600D95" w:rsidP="0028016C">
      <w:r>
        <w:t xml:space="preserve">Due to the high capital cost, PET machines are typically located at large, metropolitan public hospitals. Access to PET scans in Australia is therefore restricted, particularly in regional areas, although the number of PET facilities (both public and private sector) is increasing with more widespread application in oncology for </w:t>
      </w:r>
      <w:r w:rsidRPr="00246C7A">
        <w:t>diagnosis and monitoring.</w:t>
      </w:r>
    </w:p>
    <w:p w14:paraId="1E686906" w14:textId="48037481" w:rsidR="00885956" w:rsidRDefault="00CD3558" w:rsidP="00CD3558">
      <w:pPr>
        <w:pStyle w:val="Heading3"/>
        <w:numPr>
          <w:ilvl w:val="0"/>
          <w:numId w:val="0"/>
        </w:numPr>
        <w:ind w:left="851" w:hanging="851"/>
      </w:pPr>
      <w:r>
        <w:t>Background</w:t>
      </w:r>
    </w:p>
    <w:p w14:paraId="27A3143E" w14:textId="77777777" w:rsidR="00600D95" w:rsidRPr="00941BE7" w:rsidRDefault="00600D95" w:rsidP="00600D95">
      <w:pPr>
        <w:spacing w:after="120"/>
      </w:pPr>
      <w:r w:rsidRPr="00941BE7">
        <w:t>Diagnosis of AD usually involves:</w:t>
      </w:r>
    </w:p>
    <w:p w14:paraId="364C44FF" w14:textId="77777777" w:rsidR="00600D95" w:rsidRPr="00941BE7" w:rsidRDefault="00600D95" w:rsidP="00600D95">
      <w:pPr>
        <w:pStyle w:val="Bulletpoints"/>
        <w:spacing w:before="120" w:line="240" w:lineRule="auto"/>
        <w:ind w:left="993"/>
      </w:pPr>
      <w:r>
        <w:t>c</w:t>
      </w:r>
      <w:r w:rsidRPr="00941BE7">
        <w:t>linical evaluation (history, examination, cognitive testing) for the assessment of cognitive function</w:t>
      </w:r>
      <w:r>
        <w:t>;</w:t>
      </w:r>
    </w:p>
    <w:p w14:paraId="26FFC680" w14:textId="265B2716" w:rsidR="00600D95" w:rsidRPr="00941BE7" w:rsidRDefault="00600D95" w:rsidP="00600D95">
      <w:pPr>
        <w:pStyle w:val="Bulletpoints"/>
        <w:spacing w:before="120" w:line="240" w:lineRule="auto"/>
        <w:ind w:left="993"/>
      </w:pPr>
      <w:r>
        <w:t>r</w:t>
      </w:r>
      <w:r w:rsidRPr="00941BE7">
        <w:t>outine blood test</w:t>
      </w:r>
      <w:r w:rsidR="000147DF">
        <w:t>ing</w:t>
      </w:r>
      <w:r w:rsidRPr="00941BE7">
        <w:t xml:space="preserve"> (routine biochemistry, haematology, thyroid function, vitamin B12, folate) to exclude potentially treatable causes of cognitive decline</w:t>
      </w:r>
      <w:r>
        <w:t>; and</w:t>
      </w:r>
    </w:p>
    <w:p w14:paraId="3D6EEA80" w14:textId="7021DBF6" w:rsidR="00600D95" w:rsidRPr="00941BE7" w:rsidRDefault="00600D95" w:rsidP="00600D95">
      <w:pPr>
        <w:pStyle w:val="Bulletpoints"/>
        <w:spacing w:before="120" w:line="240" w:lineRule="auto"/>
        <w:ind w:left="993"/>
      </w:pPr>
      <w:r>
        <w:t>s</w:t>
      </w:r>
      <w:r w:rsidRPr="00941BE7">
        <w:t>tructural imaging (</w:t>
      </w:r>
      <w:r w:rsidR="009D2102">
        <w:t>magnetic resonance imaging or computed tomography</w:t>
      </w:r>
      <w:r w:rsidRPr="00941BE7">
        <w:t xml:space="preserve">) to exclude </w:t>
      </w:r>
      <w:r w:rsidR="00545901">
        <w:t xml:space="preserve">surgically </w:t>
      </w:r>
      <w:r w:rsidRPr="00941BE7">
        <w:t>treatable causes of cognitive decline and/or identify findings specific for AD (brain atrophy)</w:t>
      </w:r>
      <w:r>
        <w:t>.</w:t>
      </w:r>
    </w:p>
    <w:p w14:paraId="332F2FB5" w14:textId="4E45D024" w:rsidR="00545901" w:rsidRDefault="00545901" w:rsidP="00545901">
      <w:r>
        <w:t xml:space="preserve">All of these diagnostic tests are currently funded through the MBS. The intention of the application is that FDG-PET would supplement rather than replace those MBS items in the diagnostic pathway. </w:t>
      </w:r>
    </w:p>
    <w:p w14:paraId="1A71B951" w14:textId="17DF0E3A" w:rsidR="00CD3558" w:rsidRDefault="00CD3558" w:rsidP="00CD3558">
      <w:pPr>
        <w:pStyle w:val="Heading3"/>
        <w:numPr>
          <w:ilvl w:val="0"/>
          <w:numId w:val="0"/>
        </w:numPr>
        <w:ind w:left="851" w:hanging="851"/>
      </w:pPr>
      <w:r>
        <w:t>Clinical need</w:t>
      </w:r>
    </w:p>
    <w:p w14:paraId="5C4B6408" w14:textId="4552DFB9" w:rsidR="009D2102" w:rsidRDefault="009D2102" w:rsidP="009D2102">
      <w:r>
        <w:t>Structural imaging, in combination with other prior tests, will often provide enough information to confidently diagnose AD in moderate to severe cases. However, the presence of AD in a mildly affected brain is</w:t>
      </w:r>
      <w:r w:rsidRPr="007A094C">
        <w:t xml:space="preserve"> more difficult to</w:t>
      </w:r>
      <w:r>
        <w:t xml:space="preserve"> diagnose using MRI, particularly due to difficulty in distinguishing it from the mild decline in memory that can occur with normal aging and from mild cognitive manifestations of other neuropsychiatric </w:t>
      </w:r>
      <w:r w:rsidRPr="00246C7A">
        <w:t xml:space="preserve">conditions. </w:t>
      </w:r>
      <w:r>
        <w:t>F</w:t>
      </w:r>
      <w:r w:rsidRPr="007A094C">
        <w:t>unctional imaging</w:t>
      </w:r>
      <w:r>
        <w:t>,</w:t>
      </w:r>
      <w:r w:rsidRPr="007A094C">
        <w:t xml:space="preserve"> including PET and </w:t>
      </w:r>
      <w:r w:rsidRPr="00A83E9C">
        <w:t xml:space="preserve">single-photon emission computed tomography </w:t>
      </w:r>
      <w:r>
        <w:t>(</w:t>
      </w:r>
      <w:r w:rsidRPr="007A094C">
        <w:t>SPECT</w:t>
      </w:r>
      <w:r>
        <w:t>),</w:t>
      </w:r>
      <w:r w:rsidRPr="007A094C">
        <w:t xml:space="preserve"> </w:t>
      </w:r>
      <w:r>
        <w:t>is</w:t>
      </w:r>
      <w:r w:rsidRPr="007A094C">
        <w:t xml:space="preserve"> able to identify changes in glucose and oxygen metabolism, respectivel</w:t>
      </w:r>
      <w:r>
        <w:t xml:space="preserve">y, that </w:t>
      </w:r>
      <w:r w:rsidR="000147DF">
        <w:t>are</w:t>
      </w:r>
      <w:r>
        <w:t xml:space="preserve"> characteristic of AD before widespread atrophy </w:t>
      </w:r>
      <w:r w:rsidRPr="00403713">
        <w:t>occurs. The clinical need</w:t>
      </w:r>
      <w:r>
        <w:t xml:space="preserve"> for such diagnostic techniques is therefore very high in patients with early signs of AD, who have not yet passed the optimal window for therapeutic intervention. </w:t>
      </w:r>
    </w:p>
    <w:p w14:paraId="6906B746" w14:textId="53496F21" w:rsidR="009D2102" w:rsidRDefault="009D2102" w:rsidP="009D2102">
      <w:r>
        <w:lastRenderedPageBreak/>
        <w:t xml:space="preserve">Physician confidence in a dementia diagnosis can also be challenging in younger patients, in atypical presentations, in patients with comorbid depressive and cognitive symptoms, and in patients with a higher level of education, who can experience a substantial decline of cognitive </w:t>
      </w:r>
      <w:r w:rsidRPr="000D1344">
        <w:t>function before reaching the lower normal limits of standardised neuropsychological tests. More accurate assessment of dementia diagnosis can help to better select appropriate patients</w:t>
      </w:r>
      <w:r>
        <w:t xml:space="preserve"> for anti-dementia therapy and family prognostic planning.</w:t>
      </w:r>
    </w:p>
    <w:p w14:paraId="6293BC6B" w14:textId="79A5FACF" w:rsidR="009D2102" w:rsidRPr="00403713" w:rsidRDefault="009D2102" w:rsidP="009D2102">
      <w:r w:rsidRPr="00403713">
        <w:t xml:space="preserve">Despite the fact that there is currently no cure for AD, there are numerous advantages associated with early diagnosis. Several treatments are available </w:t>
      </w:r>
      <w:r>
        <w:t xml:space="preserve">on the Pharmaceutical Benefits Scheme (PBS) </w:t>
      </w:r>
      <w:r w:rsidRPr="00403713">
        <w:t xml:space="preserve">that have been reported to slow cognitive and functional decline and diminish the severity of behavioural and psychiatric symptoms. Patients with AD that is diagnosed </w:t>
      </w:r>
      <w:r w:rsidR="00510367">
        <w:t>at an</w:t>
      </w:r>
      <w:r w:rsidRPr="00403713">
        <w:t xml:space="preserve"> early stage could benefit from the optimal use of the available drugs, with the possibility of delayed progression to more </w:t>
      </w:r>
      <w:r>
        <w:t>debilitating stages of disease.</w:t>
      </w:r>
    </w:p>
    <w:p w14:paraId="58B05020" w14:textId="4B367309" w:rsidR="009D2102" w:rsidRDefault="009D2102" w:rsidP="009D2102">
      <w:r>
        <w:t>However</w:t>
      </w:r>
      <w:r w:rsidRPr="00403713">
        <w:t>, functional imaging techniques such</w:t>
      </w:r>
      <w:r>
        <w:t xml:space="preserve"> as FDG-PET have very limited utility in patients with severe AD, as less advanced diagnostic </w:t>
      </w:r>
      <w:r w:rsidRPr="00246C7A">
        <w:t xml:space="preserve">techniques (e.g. cognitive tests and/or </w:t>
      </w:r>
      <w:r>
        <w:t>structural imaging</w:t>
      </w:r>
      <w:r w:rsidRPr="00246C7A">
        <w:t>) would be sufficient to provide a confident diagnosis. Furthermore, in Australia patients with severe AD are excluded</w:t>
      </w:r>
      <w:r>
        <w:t xml:space="preserve"> from the PBS-eligible population for AD drugs and therefore would not benefit from access to subsidised therapy. </w:t>
      </w:r>
    </w:p>
    <w:p w14:paraId="4A551592" w14:textId="77777777" w:rsidR="00510367" w:rsidRDefault="00510367" w:rsidP="00510367">
      <w:pPr>
        <w:pStyle w:val="Heading3"/>
        <w:numPr>
          <w:ilvl w:val="0"/>
          <w:numId w:val="0"/>
        </w:numPr>
        <w:ind w:left="720" w:hanging="720"/>
      </w:pPr>
      <w:r>
        <w:t>Proposed MBS item</w:t>
      </w:r>
    </w:p>
    <w:p w14:paraId="028F5233" w14:textId="000C53A9" w:rsidR="00314CBF" w:rsidRPr="00AF5C66" w:rsidRDefault="00314CBF" w:rsidP="00314CBF">
      <w:r>
        <w:t xml:space="preserve">The proposed wording of the MBS item descriptor and the proposed Schedule fee for service are based on </w:t>
      </w:r>
      <w:r w:rsidRPr="00314CBF">
        <w:t xml:space="preserve">MBS item 61559 (FDG-PET study of the brain, performed for the </w:t>
      </w:r>
      <w:r w:rsidRPr="00AF5C66">
        <w:t>evaluation of refractory epilepsy which is being evaluated for surgery).</w:t>
      </w:r>
    </w:p>
    <w:p w14:paraId="4AEF9A7D" w14:textId="45E11FB8" w:rsidR="00510367" w:rsidRDefault="00510367" w:rsidP="00510367">
      <w:pPr>
        <w:pStyle w:val="Caption"/>
      </w:pPr>
      <w:r w:rsidRPr="00AF5C66">
        <w:t>Table ES.1</w:t>
      </w:r>
      <w:r>
        <w:tab/>
        <w:t>Proposed MBS item descriptor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MBS item descriptor"/>
        <w:tblDescription w:val="The proposed items descriptor for FDG-PET study of the brain, performed for the diagnosis of AD."/>
      </w:tblPr>
      <w:tblGrid>
        <w:gridCol w:w="8296"/>
      </w:tblGrid>
      <w:tr w:rsidR="00510367" w14:paraId="0C555ACF" w14:textId="77777777" w:rsidTr="003D66D6">
        <w:trPr>
          <w:tblHeader/>
        </w:trPr>
        <w:tc>
          <w:tcPr>
            <w:tcW w:w="8296" w:type="dxa"/>
          </w:tcPr>
          <w:p w14:paraId="3A4BE322" w14:textId="77777777" w:rsidR="00510367" w:rsidRPr="007476FE" w:rsidRDefault="00510367" w:rsidP="003D66D6">
            <w:pPr>
              <w:pStyle w:val="Tabletextboldleft"/>
              <w:jc w:val="right"/>
            </w:pPr>
            <w:r w:rsidRPr="007476FE">
              <w:t xml:space="preserve">Category </w:t>
            </w:r>
            <w:r>
              <w:t>5 – DIAGNOSTIC IMAGING SERVICES</w:t>
            </w:r>
          </w:p>
        </w:tc>
      </w:tr>
      <w:tr w:rsidR="00510367" w14:paraId="254A2555" w14:textId="77777777" w:rsidTr="003D66D6">
        <w:tc>
          <w:tcPr>
            <w:tcW w:w="8296" w:type="dxa"/>
          </w:tcPr>
          <w:p w14:paraId="4189674E" w14:textId="77777777" w:rsidR="00510367" w:rsidRPr="00A019C4" w:rsidRDefault="00510367" w:rsidP="003D66D6">
            <w:pPr>
              <w:spacing w:after="120"/>
              <w:ind w:left="0"/>
              <w:jc w:val="both"/>
              <w:rPr>
                <w:rFonts w:ascii="Arial Narrow" w:eastAsia="SimSun" w:hAnsi="Arial Narrow" w:cs="Tahoma"/>
                <w:b/>
                <w:sz w:val="20"/>
                <w:szCs w:val="20"/>
                <w:lang w:val="en-US" w:eastAsia="ja-JP"/>
              </w:rPr>
            </w:pPr>
            <w:r w:rsidRPr="00504673">
              <w:rPr>
                <w:rFonts w:ascii="Arial Narrow" w:eastAsia="SimSun" w:hAnsi="Arial Narrow" w:cs="Tahoma"/>
                <w:b/>
                <w:sz w:val="20"/>
                <w:szCs w:val="20"/>
                <w:lang w:val="en-US" w:eastAsia="ja-JP"/>
              </w:rPr>
              <w:t xml:space="preserve">MBS </w:t>
            </w:r>
            <w:r>
              <w:rPr>
                <w:rFonts w:ascii="Arial Narrow" w:eastAsia="SimSun" w:hAnsi="Arial Narrow" w:cs="Tahoma"/>
                <w:b/>
                <w:sz w:val="20"/>
                <w:szCs w:val="20"/>
                <w:lang w:val="en-US" w:eastAsia="ja-JP"/>
              </w:rPr>
              <w:t>[item number]</w:t>
            </w:r>
          </w:p>
          <w:p w14:paraId="4F4CE657" w14:textId="77777777" w:rsidR="00510367" w:rsidRDefault="00510367" w:rsidP="003D66D6">
            <w:pPr>
              <w:pStyle w:val="Tabletextboldleft"/>
              <w:rPr>
                <w:b w:val="0"/>
              </w:rPr>
            </w:pPr>
            <w:r>
              <w:rPr>
                <w:b w:val="0"/>
              </w:rPr>
              <w:t>FDG PET study of the brain, performed for the diagnosis of Alzheimer’s disease where clinical evaluation by a specialist, or in consultation with a specialist, and MRI are equivocal (R)</w:t>
            </w:r>
          </w:p>
          <w:p w14:paraId="542D6AA0" w14:textId="77777777" w:rsidR="00510367" w:rsidRDefault="00510367" w:rsidP="003D66D6">
            <w:pPr>
              <w:pStyle w:val="Tabletextboldleft"/>
              <w:rPr>
                <w:b w:val="0"/>
              </w:rPr>
            </w:pPr>
          </w:p>
          <w:p w14:paraId="6D605FDA" w14:textId="77777777" w:rsidR="00510367" w:rsidRPr="00FE2CAC" w:rsidRDefault="00510367" w:rsidP="003D66D6">
            <w:pPr>
              <w:pStyle w:val="Tabletextboldleft"/>
              <w:rPr>
                <w:b w:val="0"/>
              </w:rPr>
            </w:pPr>
            <w:r>
              <w:t xml:space="preserve">Fee: </w:t>
            </w:r>
            <w:r>
              <w:rPr>
                <w:b w:val="0"/>
              </w:rPr>
              <w:t xml:space="preserve">$918.00  </w:t>
            </w:r>
            <w:r>
              <w:t xml:space="preserve">Benefit: </w:t>
            </w:r>
            <w:r>
              <w:rPr>
                <w:b w:val="0"/>
              </w:rPr>
              <w:t>75% = $688.50  85% = $839.60</w:t>
            </w:r>
          </w:p>
        </w:tc>
      </w:tr>
    </w:tbl>
    <w:p w14:paraId="09234023" w14:textId="311CE2FB" w:rsidR="00CD3558" w:rsidRDefault="00CD3558" w:rsidP="00CD3558">
      <w:pPr>
        <w:pStyle w:val="Heading3"/>
        <w:numPr>
          <w:ilvl w:val="0"/>
          <w:numId w:val="0"/>
        </w:numPr>
        <w:ind w:left="851" w:hanging="851"/>
      </w:pPr>
      <w:r>
        <w:t>Comparator</w:t>
      </w:r>
    </w:p>
    <w:p w14:paraId="10325159" w14:textId="02E8001B" w:rsidR="00545901" w:rsidRDefault="00545901" w:rsidP="00545901">
      <w:r w:rsidRPr="00344C8E">
        <w:t>The assessment of cerebral perfusion with SPECT is currently funded through MBS item 61402</w:t>
      </w:r>
      <w:r>
        <w:t xml:space="preserve">. The most commonly used tracer to examine cerebral blood flow (CBF) using SPECT is 99m-Tc-hexamethylpropylene (HMPAO); however, several other tracers have been investigated in clinical studies. </w:t>
      </w:r>
    </w:p>
    <w:p w14:paraId="7812E7A7" w14:textId="408E8A6C" w:rsidR="00545901" w:rsidRDefault="00545901" w:rsidP="00545901">
      <w:r>
        <w:t xml:space="preserve">Like FDG-PET, SPECT can be analysed using semi-quantitative methods. </w:t>
      </w:r>
      <w:r w:rsidRPr="006A5DEA">
        <w:t xml:space="preserve">SPECT is technically less demanding and more widely available than PET but </w:t>
      </w:r>
      <w:r w:rsidR="009D2102">
        <w:t>is reported to have</w:t>
      </w:r>
      <w:r w:rsidRPr="006A5DEA">
        <w:t xml:space="preserve"> lower resolution.</w:t>
      </w:r>
      <w:r>
        <w:t xml:space="preserve"> FDG-</w:t>
      </w:r>
      <w:r w:rsidRPr="000B1823">
        <w:t>PET is proposed as a replacement test to SPECT, although the availability of FDG</w:t>
      </w:r>
      <w:r w:rsidR="000E05F2">
        <w:t>-</w:t>
      </w:r>
      <w:r w:rsidRPr="000B1823">
        <w:t>PET may limit the ex</w:t>
      </w:r>
      <w:r>
        <w:t>tent to which it replaces SPECT, particularly in rural and regional areas.</w:t>
      </w:r>
    </w:p>
    <w:p w14:paraId="1B500E91" w14:textId="0D42BB0F" w:rsidR="00CD3558" w:rsidRDefault="00545901" w:rsidP="00CD3558">
      <w:pPr>
        <w:pStyle w:val="Heading3"/>
        <w:numPr>
          <w:ilvl w:val="0"/>
          <w:numId w:val="0"/>
        </w:numPr>
        <w:ind w:left="851" w:hanging="851"/>
      </w:pPr>
      <w:r>
        <w:t>Clinical claim</w:t>
      </w:r>
    </w:p>
    <w:p w14:paraId="694B8EF0" w14:textId="4AFD9382" w:rsidR="00CD3558" w:rsidRDefault="009D2102" w:rsidP="00CD3558">
      <w:r>
        <w:t xml:space="preserve">The clinical claim in the Final Protocol is that FDG-PET results in improved patient selection compared with SPECT, based on superior diagnostic accuracy. This leads to </w:t>
      </w:r>
      <w:r>
        <w:lastRenderedPageBreak/>
        <w:t>changes in treatment to target those patients that would benefit most, in turn leading to improved patients outcomes.</w:t>
      </w:r>
    </w:p>
    <w:p w14:paraId="73C61E23" w14:textId="637735AE" w:rsidR="00387119" w:rsidRDefault="00600D95" w:rsidP="00387119">
      <w:pPr>
        <w:pStyle w:val="Heading3"/>
        <w:numPr>
          <w:ilvl w:val="0"/>
          <w:numId w:val="0"/>
        </w:numPr>
        <w:ind w:left="851" w:hanging="851"/>
      </w:pPr>
      <w:r>
        <w:t>Diagnostic accuracy</w:t>
      </w:r>
    </w:p>
    <w:p w14:paraId="44B61EC1" w14:textId="77777777" w:rsidR="007E670E" w:rsidRDefault="007E670E" w:rsidP="007E670E">
      <w:r>
        <w:t xml:space="preserve">There are a limited number of comparative studies evaluating FDG-PET and SPECT for the diagnosis of AD. Both diagnostic tests are able to detect temporoparietal changes, typical of AD, with a relatively high degree of accuracy. However, the comparative studies generally found that FDG-PET was marginally superior at identifying very mildly affected brains or brain regions (e.g. the frontal cortex) when compared with SPECT. A major limitation of the direct evidence is that, in most cases, validation was against clinical diagnostic criteria rather than histopathologic diagnosis. In the two studies that compared FDG-PET with SPECT in differentiating AD from non-AD dementia, the sensitivity and specificity of FDG-PET (71% and 60%) and SPECT (69% and 57%) were similar. </w:t>
      </w:r>
    </w:p>
    <w:p w14:paraId="7404D53A" w14:textId="77777777" w:rsidR="007E670E" w:rsidRDefault="007E670E" w:rsidP="007E670E">
      <w:r>
        <w:t>A larger number of low quality studies have assessed the diagnostic accuracy of either FDG-PET or SPECT. The Assessment Report included such studies, but only those that sought pathological confirmation of diagnosis. Ultimately, the combined results showed very similar diagnostic accuracy between the two imaging techniques, with FDG-PET demonstrating a sensitivity and specificity of 84% and 76%, while SPECT had a sensitivity and specificity of 85% and 72%. However, the pooling and comparison of indirect evidence is prone to bias due to inevitable differences between the patient populations across the different studies, which compromises the reliability of the estimates.</w:t>
      </w:r>
    </w:p>
    <w:p w14:paraId="02287110" w14:textId="78750049" w:rsidR="007E670E" w:rsidRPr="009D2102" w:rsidRDefault="007E670E" w:rsidP="007E670E">
      <w:r w:rsidRPr="007E670E">
        <w:t xml:space="preserve">Importantly, some studies assessed the ability of FDG-PET and SPECT to distinguish between AD patients and normal controls, while other studies assessed the extent to which the test could differentiate between various types of dementia (e.g. AD and </w:t>
      </w:r>
      <w:r>
        <w:t>frontotemporal dementia</w:t>
      </w:r>
      <w:r w:rsidRPr="007E670E">
        <w:t>). The most applicable studies are those that include the full range of patients likely to be seen in clinical practice, which could include patients with very early signs of disease (e.g. MCI) through to patients with manifest disease (Panegyres et al, 2009). Assessing highly selected subsets of patients limits the clinical applicability of the results.</w:t>
      </w:r>
    </w:p>
    <w:p w14:paraId="34E748EA" w14:textId="77777777" w:rsidR="00545901" w:rsidRPr="009D2102" w:rsidRDefault="00545901" w:rsidP="00545901">
      <w:pPr>
        <w:pStyle w:val="Heading3"/>
        <w:numPr>
          <w:ilvl w:val="0"/>
          <w:numId w:val="0"/>
        </w:numPr>
        <w:ind w:left="851" w:hanging="851"/>
      </w:pPr>
      <w:r w:rsidRPr="009D2102">
        <w:t>Safety</w:t>
      </w:r>
    </w:p>
    <w:p w14:paraId="27E50C54" w14:textId="77777777" w:rsidR="00545901" w:rsidRPr="009D2102" w:rsidRDefault="00545901" w:rsidP="00545901">
      <w:r w:rsidRPr="009D2102">
        <w:t>No primary studies were identified that reported on the comparative safety of FDG-PET and SPECT for the diagnosis of AD. However, it is widely accepted that PET is a safe diagnostic procedure.</w:t>
      </w:r>
    </w:p>
    <w:p w14:paraId="46196C26" w14:textId="3F89E346" w:rsidR="00387119" w:rsidRPr="009D2102" w:rsidRDefault="00600D95" w:rsidP="00387119">
      <w:pPr>
        <w:pStyle w:val="Heading3"/>
        <w:numPr>
          <w:ilvl w:val="0"/>
          <w:numId w:val="0"/>
        </w:numPr>
        <w:ind w:left="851" w:hanging="851"/>
      </w:pPr>
      <w:r w:rsidRPr="009D2102">
        <w:t xml:space="preserve">Change in patient management </w:t>
      </w:r>
    </w:p>
    <w:p w14:paraId="5F672BDB" w14:textId="72DEF5FC" w:rsidR="00D66982" w:rsidRDefault="00D66982" w:rsidP="00545901">
      <w:r w:rsidRPr="00D66982">
        <w:t>There was limited evidence available regarding change in management brought about by FDG-PET. One study found that FDG-PET resulted in a change in diagnosis in 29% of patients, and increased the use of AChEIs after</w:t>
      </w:r>
      <w:r>
        <w:t xml:space="preserve"> diagnosis</w:t>
      </w:r>
      <w:r w:rsidRPr="00D66982">
        <w:t>. These findings are supported by the only available Australian evidence</w:t>
      </w:r>
      <w:r>
        <w:t xml:space="preserve"> (Elias et al, 2014)</w:t>
      </w:r>
      <w:r w:rsidRPr="00D66982">
        <w:t>, which reported a change in diagnosis in 35% of dementia patients who underwent FDG-PET.</w:t>
      </w:r>
    </w:p>
    <w:p w14:paraId="7464B51C" w14:textId="0A48ED32" w:rsidR="00545901" w:rsidRPr="009D2102" w:rsidRDefault="00545901" w:rsidP="00545901">
      <w:pPr>
        <w:pStyle w:val="Heading3"/>
        <w:numPr>
          <w:ilvl w:val="0"/>
          <w:numId w:val="0"/>
        </w:numPr>
        <w:ind w:left="851" w:hanging="851"/>
      </w:pPr>
      <w:r w:rsidRPr="009D2102">
        <w:t xml:space="preserve">Change in patient outcomes </w:t>
      </w:r>
    </w:p>
    <w:p w14:paraId="31326244" w14:textId="40FBFC03" w:rsidR="00545901" w:rsidRPr="009D2102" w:rsidRDefault="009D2102" w:rsidP="00545901">
      <w:r w:rsidRPr="009D2102">
        <w:t>No studies were identified that assessed the direct health impact (effectiveness) of FDG-PET versus SPECT in the target populatio</w:t>
      </w:r>
      <w:r w:rsidR="00B94D2B">
        <w:t>n. A ‘linked evidence’ approach</w:t>
      </w:r>
      <w:r w:rsidRPr="009D2102">
        <w:t xml:space="preserve"> was therefore required to provide data on the health outcomes of those who are correctly diagnosed. </w:t>
      </w:r>
      <w:r w:rsidR="00545901" w:rsidRPr="009D2102">
        <w:lastRenderedPageBreak/>
        <w:t xml:space="preserve">Evidence regarding the </w:t>
      </w:r>
      <w:r w:rsidRPr="009D2102">
        <w:t>effectiveness and safety</w:t>
      </w:r>
      <w:r w:rsidR="00545901" w:rsidRPr="009D2102">
        <w:t xml:space="preserve"> of anti-AD drugs is relatively limited. In particular, the effect of anti-AD drugs on outcomes beyond cognition, function, behaviour and global impact, remains fairly uncertain. Of relevance to this assessment, there is limited evidence for the impact of treatment on </w:t>
      </w:r>
      <w:r w:rsidR="001B39A6">
        <w:t>quality of life (</w:t>
      </w:r>
      <w:r w:rsidR="00545901" w:rsidRPr="009D2102">
        <w:t>QoL</w:t>
      </w:r>
      <w:r w:rsidR="001B39A6">
        <w:t>)</w:t>
      </w:r>
      <w:r w:rsidR="00545901" w:rsidRPr="009D2102">
        <w:t>, admission to full-time care and resource use, which underpin claims of cost-effectiveness. Furthermore, long-term follow-up (especially beyond one year) on the effect of anti-AD drugs on any outcome remains a major evidence gap.</w:t>
      </w:r>
    </w:p>
    <w:p w14:paraId="53A6290A" w14:textId="73651794" w:rsidR="00692798" w:rsidRPr="009D2102" w:rsidRDefault="00692798" w:rsidP="00692798">
      <w:pPr>
        <w:pStyle w:val="Heading3"/>
        <w:numPr>
          <w:ilvl w:val="0"/>
          <w:numId w:val="0"/>
        </w:numPr>
        <w:ind w:left="851" w:hanging="851"/>
      </w:pPr>
      <w:r w:rsidRPr="009D2102">
        <w:t>Pre</w:t>
      </w:r>
      <w:r w:rsidR="00EB2552">
        <w:t>-modelling</w:t>
      </w:r>
      <w:r w:rsidRPr="009D2102">
        <w:t xml:space="preserve"> studies</w:t>
      </w:r>
    </w:p>
    <w:p w14:paraId="28814059" w14:textId="77777777" w:rsidR="00692798" w:rsidRPr="009D2102" w:rsidRDefault="00692798" w:rsidP="00692798">
      <w:r w:rsidRPr="009D2102">
        <w:t>Section C presents each of the translation issues identified to enable the transition from the clinical evidence discussed above to the economic evaluation presented in Section D. Applicability, extrapolation and transformation issues were considered in turn. In each instance, a focused analytical plan is presented prior to presenting the results of the pre-modelling study and the relationship between these and the economic evaluation presented in Section D.</w:t>
      </w:r>
    </w:p>
    <w:p w14:paraId="018E5666" w14:textId="46FAE760" w:rsidR="00692798" w:rsidRPr="009D2102" w:rsidRDefault="00AF5C66" w:rsidP="00692798">
      <w:r>
        <w:t>Table ES.2</w:t>
      </w:r>
      <w:r w:rsidR="00692798" w:rsidRPr="009D2102">
        <w:t xml:space="preserve"> below summarises all potential translation issues/pre-modelling studies considered in Section C.</w:t>
      </w:r>
    </w:p>
    <w:p w14:paraId="4C954625" w14:textId="5D55B85D" w:rsidR="00692798" w:rsidRPr="009D2102" w:rsidRDefault="00AF5C66" w:rsidP="00692798">
      <w:pPr>
        <w:pStyle w:val="Caption"/>
      </w:pPr>
      <w:r>
        <w:t>Table ES.2</w:t>
      </w:r>
      <w:r w:rsidR="00692798" w:rsidRPr="009D2102">
        <w:tab/>
        <w:t>Summary of translation issues considered in Section C</w:t>
      </w:r>
    </w:p>
    <w:tbl>
      <w:tblPr>
        <w:tblStyle w:val="TableGrid"/>
        <w:tblW w:w="4610" w:type="pct"/>
        <w:tblInd w:w="704" w:type="dxa"/>
        <w:tblLook w:val="04A0" w:firstRow="1" w:lastRow="0" w:firstColumn="1" w:lastColumn="0" w:noHBand="0" w:noVBand="1"/>
        <w:tblCaption w:val="Summary of translation issues considered in Section C"/>
        <w:tblDescription w:val="A summary of the applicability, extrapolation and transformation issues considered in Section C"/>
      </w:tblPr>
      <w:tblGrid>
        <w:gridCol w:w="1890"/>
        <w:gridCol w:w="3468"/>
        <w:gridCol w:w="3163"/>
      </w:tblGrid>
      <w:tr w:rsidR="00692798" w:rsidRPr="009D2102" w14:paraId="712D7F31" w14:textId="77777777" w:rsidTr="00C771F6">
        <w:trPr>
          <w:tblHeader/>
        </w:trPr>
        <w:tc>
          <w:tcPr>
            <w:tcW w:w="1109" w:type="pct"/>
            <w:tcBorders>
              <w:bottom w:val="single" w:sz="4" w:space="0" w:color="auto"/>
            </w:tcBorders>
          </w:tcPr>
          <w:p w14:paraId="15B0D109" w14:textId="77777777" w:rsidR="00692798" w:rsidRPr="009D2102" w:rsidRDefault="00692798" w:rsidP="00A66763">
            <w:pPr>
              <w:pStyle w:val="Tabletextboldleft"/>
            </w:pPr>
            <w:r w:rsidRPr="009D2102">
              <w:t>Translation issue</w:t>
            </w:r>
          </w:p>
        </w:tc>
        <w:tc>
          <w:tcPr>
            <w:tcW w:w="2035" w:type="pct"/>
            <w:tcBorders>
              <w:bottom w:val="single" w:sz="4" w:space="0" w:color="auto"/>
            </w:tcBorders>
          </w:tcPr>
          <w:p w14:paraId="3B50122C" w14:textId="77777777" w:rsidR="00692798" w:rsidRPr="009D2102" w:rsidRDefault="00692798" w:rsidP="00A66763">
            <w:pPr>
              <w:pStyle w:val="Tabletextboldleft"/>
            </w:pPr>
            <w:r w:rsidRPr="009D2102">
              <w:t>Methods and data sources</w:t>
            </w:r>
          </w:p>
        </w:tc>
        <w:tc>
          <w:tcPr>
            <w:tcW w:w="1856" w:type="pct"/>
          </w:tcPr>
          <w:p w14:paraId="09D5FBE7" w14:textId="77777777" w:rsidR="00692798" w:rsidRPr="009D2102" w:rsidRDefault="00692798" w:rsidP="00A66763">
            <w:pPr>
              <w:pStyle w:val="Tabletextboldleft"/>
            </w:pPr>
            <w:r w:rsidRPr="009D2102">
              <w:t>Relationship with Section D</w:t>
            </w:r>
          </w:p>
        </w:tc>
      </w:tr>
      <w:tr w:rsidR="00692798" w:rsidRPr="009D2102" w14:paraId="7EC501E6" w14:textId="77777777" w:rsidTr="00C771F6">
        <w:tc>
          <w:tcPr>
            <w:tcW w:w="1109" w:type="pct"/>
            <w:tcBorders>
              <w:right w:val="nil"/>
            </w:tcBorders>
          </w:tcPr>
          <w:p w14:paraId="7975766E" w14:textId="77777777" w:rsidR="00692798" w:rsidRPr="009D2102" w:rsidRDefault="00692798" w:rsidP="00A66763">
            <w:pPr>
              <w:pStyle w:val="Tabletextcentred"/>
              <w:jc w:val="left"/>
              <w:rPr>
                <w:b/>
              </w:rPr>
            </w:pPr>
            <w:r w:rsidRPr="009D2102">
              <w:rPr>
                <w:b/>
              </w:rPr>
              <w:t>Applicability issues</w:t>
            </w:r>
          </w:p>
        </w:tc>
        <w:tc>
          <w:tcPr>
            <w:tcW w:w="2035" w:type="pct"/>
            <w:tcBorders>
              <w:left w:val="nil"/>
              <w:right w:val="nil"/>
            </w:tcBorders>
          </w:tcPr>
          <w:p w14:paraId="2A4D4F13" w14:textId="77777777" w:rsidR="00692798" w:rsidRPr="009D2102" w:rsidRDefault="00692798" w:rsidP="00A66763">
            <w:pPr>
              <w:pStyle w:val="Tabletextcentred"/>
              <w:jc w:val="left"/>
              <w:rPr>
                <w:i/>
              </w:rPr>
            </w:pPr>
            <w:r w:rsidRPr="009D2102">
              <w:rPr>
                <w:i/>
              </w:rPr>
              <w:t>-</w:t>
            </w:r>
          </w:p>
        </w:tc>
        <w:tc>
          <w:tcPr>
            <w:tcW w:w="1856" w:type="pct"/>
            <w:tcBorders>
              <w:left w:val="nil"/>
            </w:tcBorders>
          </w:tcPr>
          <w:p w14:paraId="72DF6224" w14:textId="77777777" w:rsidR="00692798" w:rsidRPr="009D2102" w:rsidRDefault="00692798" w:rsidP="00A66763">
            <w:pPr>
              <w:pStyle w:val="Tabletextcentred"/>
              <w:jc w:val="left"/>
              <w:rPr>
                <w:i/>
              </w:rPr>
            </w:pPr>
            <w:r w:rsidRPr="009D2102">
              <w:rPr>
                <w:i/>
              </w:rPr>
              <w:t>-</w:t>
            </w:r>
          </w:p>
        </w:tc>
      </w:tr>
      <w:tr w:rsidR="00692798" w:rsidRPr="009D2102" w14:paraId="26AE4F54" w14:textId="77777777" w:rsidTr="00C771F6">
        <w:tc>
          <w:tcPr>
            <w:tcW w:w="1109" w:type="pct"/>
            <w:tcBorders>
              <w:bottom w:val="single" w:sz="4" w:space="0" w:color="auto"/>
            </w:tcBorders>
          </w:tcPr>
          <w:p w14:paraId="66E6DA73" w14:textId="77777777" w:rsidR="00692798" w:rsidRPr="009D2102" w:rsidRDefault="00692798" w:rsidP="00A66763">
            <w:pPr>
              <w:pStyle w:val="Tabletextcentred"/>
              <w:jc w:val="left"/>
            </w:pPr>
            <w:r w:rsidRPr="009D2102">
              <w:t>Population and circumstances of use</w:t>
            </w:r>
          </w:p>
          <w:p w14:paraId="41575E65" w14:textId="77777777" w:rsidR="00692798" w:rsidRPr="009D2102" w:rsidRDefault="00692798" w:rsidP="00A66763">
            <w:pPr>
              <w:pStyle w:val="Tabletextcentred"/>
              <w:jc w:val="left"/>
            </w:pPr>
            <w:r w:rsidRPr="009D2102">
              <w:t>(Section C.2)</w:t>
            </w:r>
          </w:p>
        </w:tc>
        <w:tc>
          <w:tcPr>
            <w:tcW w:w="2035" w:type="pct"/>
            <w:tcBorders>
              <w:bottom w:val="single" w:sz="4" w:space="0" w:color="auto"/>
            </w:tcBorders>
          </w:tcPr>
          <w:p w14:paraId="4FCD22C1" w14:textId="77777777" w:rsidR="00692798" w:rsidRPr="009D2102" w:rsidRDefault="00692798" w:rsidP="00A66763">
            <w:pPr>
              <w:pStyle w:val="Tabletextcentred"/>
              <w:jc w:val="left"/>
            </w:pPr>
            <w:r w:rsidRPr="009D2102">
              <w:t>Characteristics of the requested listing and the modelled population/circumstances of use were considered in isolation and compared.</w:t>
            </w:r>
          </w:p>
        </w:tc>
        <w:tc>
          <w:tcPr>
            <w:tcW w:w="1856" w:type="pct"/>
          </w:tcPr>
          <w:p w14:paraId="0BBB2CB2" w14:textId="77777777" w:rsidR="00692798" w:rsidRPr="009D2102" w:rsidRDefault="00692798" w:rsidP="00A66763">
            <w:pPr>
              <w:pStyle w:val="Tabletextcentred"/>
              <w:jc w:val="left"/>
            </w:pPr>
            <w:r w:rsidRPr="009D2102">
              <w:t>Requested listing was modelled in Section D as closely as possible given data limitations; potential differences were identified and flagged for testing in sensitivity analyses.</w:t>
            </w:r>
          </w:p>
        </w:tc>
      </w:tr>
      <w:tr w:rsidR="00692798" w:rsidRPr="009D2102" w14:paraId="64D027FD" w14:textId="77777777" w:rsidTr="00C771F6">
        <w:tc>
          <w:tcPr>
            <w:tcW w:w="1109" w:type="pct"/>
            <w:tcBorders>
              <w:right w:val="nil"/>
            </w:tcBorders>
          </w:tcPr>
          <w:p w14:paraId="082618DE" w14:textId="77777777" w:rsidR="00692798" w:rsidRPr="009D2102" w:rsidRDefault="00692798" w:rsidP="00A66763">
            <w:pPr>
              <w:pStyle w:val="Tabletextcentred"/>
              <w:jc w:val="left"/>
              <w:rPr>
                <w:b/>
              </w:rPr>
            </w:pPr>
            <w:r w:rsidRPr="009D2102">
              <w:rPr>
                <w:b/>
              </w:rPr>
              <w:t>Extrapolation issues</w:t>
            </w:r>
          </w:p>
        </w:tc>
        <w:tc>
          <w:tcPr>
            <w:tcW w:w="2035" w:type="pct"/>
            <w:tcBorders>
              <w:left w:val="nil"/>
              <w:right w:val="nil"/>
            </w:tcBorders>
          </w:tcPr>
          <w:p w14:paraId="3894BDD6" w14:textId="77777777" w:rsidR="00692798" w:rsidRPr="009D2102" w:rsidRDefault="00692798" w:rsidP="00A66763">
            <w:pPr>
              <w:pStyle w:val="Tabletextcentred"/>
              <w:jc w:val="left"/>
              <w:rPr>
                <w:i/>
              </w:rPr>
            </w:pPr>
            <w:r w:rsidRPr="009D2102">
              <w:rPr>
                <w:i/>
              </w:rPr>
              <w:t>-</w:t>
            </w:r>
          </w:p>
        </w:tc>
        <w:tc>
          <w:tcPr>
            <w:tcW w:w="1856" w:type="pct"/>
            <w:tcBorders>
              <w:left w:val="nil"/>
            </w:tcBorders>
          </w:tcPr>
          <w:p w14:paraId="3D4395A1" w14:textId="77777777" w:rsidR="00692798" w:rsidRPr="009D2102" w:rsidRDefault="00692798" w:rsidP="00A66763">
            <w:pPr>
              <w:pStyle w:val="Tabletextcentred"/>
              <w:jc w:val="left"/>
              <w:rPr>
                <w:i/>
              </w:rPr>
            </w:pPr>
            <w:r w:rsidRPr="009D2102">
              <w:rPr>
                <w:i/>
              </w:rPr>
              <w:t>-</w:t>
            </w:r>
          </w:p>
        </w:tc>
      </w:tr>
      <w:tr w:rsidR="00692798" w:rsidRPr="009D2102" w14:paraId="38B3FCD5" w14:textId="77777777" w:rsidTr="00C771F6">
        <w:tc>
          <w:tcPr>
            <w:tcW w:w="1109" w:type="pct"/>
            <w:tcBorders>
              <w:bottom w:val="single" w:sz="4" w:space="0" w:color="auto"/>
            </w:tcBorders>
          </w:tcPr>
          <w:p w14:paraId="209B0155" w14:textId="77777777" w:rsidR="00692798" w:rsidRPr="009D2102" w:rsidRDefault="00692798" w:rsidP="00A66763">
            <w:pPr>
              <w:pStyle w:val="Tabletextcentred"/>
              <w:jc w:val="left"/>
            </w:pPr>
            <w:r w:rsidRPr="009D2102">
              <w:t>Duration of AD treatment</w:t>
            </w:r>
          </w:p>
          <w:p w14:paraId="758EED59" w14:textId="77777777" w:rsidR="00692798" w:rsidRPr="009D2102" w:rsidRDefault="00692798" w:rsidP="00A66763">
            <w:pPr>
              <w:pStyle w:val="Tabletextcentred"/>
              <w:jc w:val="left"/>
            </w:pPr>
            <w:r w:rsidRPr="009D2102">
              <w:t>(Section C.3)</w:t>
            </w:r>
          </w:p>
        </w:tc>
        <w:tc>
          <w:tcPr>
            <w:tcW w:w="2035" w:type="pct"/>
            <w:tcBorders>
              <w:bottom w:val="single" w:sz="4" w:space="0" w:color="auto"/>
            </w:tcBorders>
          </w:tcPr>
          <w:p w14:paraId="07345683" w14:textId="715A5843" w:rsidR="00692798" w:rsidRPr="009D2102" w:rsidRDefault="00692798" w:rsidP="00A66763">
            <w:pPr>
              <w:pStyle w:val="Tabletextcentred"/>
              <w:jc w:val="left"/>
            </w:pPr>
            <w:r w:rsidRPr="009D2102">
              <w:t xml:space="preserve">On the basis of published data, duration of treatment was estimated for mild AD patients treated with AChEIs and moderate </w:t>
            </w:r>
            <w:r w:rsidR="00B94D2B">
              <w:t xml:space="preserve">AD </w:t>
            </w:r>
            <w:r w:rsidRPr="009D2102">
              <w:t>patients treated with memantine.</w:t>
            </w:r>
          </w:p>
        </w:tc>
        <w:tc>
          <w:tcPr>
            <w:tcW w:w="1856" w:type="pct"/>
          </w:tcPr>
          <w:p w14:paraId="7DE797B5" w14:textId="77777777" w:rsidR="00692798" w:rsidRPr="009D2102" w:rsidRDefault="00692798" w:rsidP="00A66763">
            <w:pPr>
              <w:pStyle w:val="Tabletextcentred"/>
              <w:jc w:val="left"/>
            </w:pPr>
            <w:r w:rsidRPr="009D2102">
              <w:t>Drug discontinuation rates were applied to the model using the available data. In the case of memantine, the use of non-Australian data meant that PBS restrictions were not inherent in the data; this was therefore flagged for further testing in sensitivity analyses.</w:t>
            </w:r>
          </w:p>
        </w:tc>
      </w:tr>
      <w:tr w:rsidR="00692798" w:rsidRPr="009D2102" w14:paraId="4C178BAF" w14:textId="77777777" w:rsidTr="00C771F6">
        <w:tc>
          <w:tcPr>
            <w:tcW w:w="1109" w:type="pct"/>
            <w:tcBorders>
              <w:right w:val="nil"/>
            </w:tcBorders>
          </w:tcPr>
          <w:p w14:paraId="6BF73771" w14:textId="77777777" w:rsidR="00692798" w:rsidRPr="009D2102" w:rsidRDefault="00692798" w:rsidP="00A66763">
            <w:pPr>
              <w:pStyle w:val="Tabletextcentred"/>
              <w:jc w:val="left"/>
              <w:rPr>
                <w:b/>
              </w:rPr>
            </w:pPr>
            <w:r w:rsidRPr="009D2102">
              <w:rPr>
                <w:b/>
              </w:rPr>
              <w:t>Transformation issues</w:t>
            </w:r>
          </w:p>
        </w:tc>
        <w:tc>
          <w:tcPr>
            <w:tcW w:w="2035" w:type="pct"/>
            <w:tcBorders>
              <w:left w:val="nil"/>
              <w:right w:val="nil"/>
            </w:tcBorders>
          </w:tcPr>
          <w:p w14:paraId="0616CF82" w14:textId="77777777" w:rsidR="00692798" w:rsidRPr="009D2102" w:rsidRDefault="00692798" w:rsidP="00A66763">
            <w:pPr>
              <w:pStyle w:val="Tabletextcentred"/>
              <w:jc w:val="left"/>
            </w:pPr>
            <w:r w:rsidRPr="009D2102">
              <w:t>-</w:t>
            </w:r>
          </w:p>
        </w:tc>
        <w:tc>
          <w:tcPr>
            <w:tcW w:w="1856" w:type="pct"/>
            <w:tcBorders>
              <w:left w:val="nil"/>
            </w:tcBorders>
          </w:tcPr>
          <w:p w14:paraId="34235F9B" w14:textId="77777777" w:rsidR="00692798" w:rsidRPr="009D2102" w:rsidRDefault="00692798" w:rsidP="00A66763">
            <w:pPr>
              <w:pStyle w:val="Tabletextcentred"/>
              <w:jc w:val="left"/>
            </w:pPr>
            <w:r w:rsidRPr="009D2102">
              <w:t>-</w:t>
            </w:r>
          </w:p>
        </w:tc>
      </w:tr>
      <w:tr w:rsidR="00692798" w:rsidRPr="009D2102" w14:paraId="3EE8CE80" w14:textId="77777777" w:rsidTr="00C771F6">
        <w:tc>
          <w:tcPr>
            <w:tcW w:w="1109" w:type="pct"/>
          </w:tcPr>
          <w:p w14:paraId="3E569244" w14:textId="77777777" w:rsidR="00692798" w:rsidRPr="009D2102" w:rsidRDefault="00692798" w:rsidP="00A66763">
            <w:pPr>
              <w:pStyle w:val="Tabletextcentred"/>
              <w:jc w:val="left"/>
            </w:pPr>
            <w:r w:rsidRPr="009D2102">
              <w:t xml:space="preserve">Modelling the natural history of AD </w:t>
            </w:r>
          </w:p>
          <w:p w14:paraId="1A35FE71" w14:textId="77777777" w:rsidR="00692798" w:rsidRPr="009D2102" w:rsidRDefault="00692798" w:rsidP="00A66763">
            <w:pPr>
              <w:pStyle w:val="Tabletextcentred"/>
              <w:jc w:val="left"/>
            </w:pPr>
            <w:r w:rsidRPr="009D2102">
              <w:t>(Section C.4)</w:t>
            </w:r>
          </w:p>
        </w:tc>
        <w:tc>
          <w:tcPr>
            <w:tcW w:w="2035" w:type="pct"/>
          </w:tcPr>
          <w:p w14:paraId="246EF052" w14:textId="77777777" w:rsidR="00692798" w:rsidRPr="009D2102" w:rsidRDefault="00692798" w:rsidP="00A66763">
            <w:pPr>
              <w:pStyle w:val="Tabletextcentred"/>
              <w:jc w:val="left"/>
            </w:pPr>
            <w:r w:rsidRPr="009D2102">
              <w:t>Following a literature search, published transition probabilities that considered the impact of disease progression (according to mild AD, moderate AD and severe AD classifications) and residential status were sourced. Adjustments were made where appropriate and discussed in Section C.</w:t>
            </w:r>
          </w:p>
        </w:tc>
        <w:tc>
          <w:tcPr>
            <w:tcW w:w="1856" w:type="pct"/>
          </w:tcPr>
          <w:p w14:paraId="4F064744" w14:textId="77777777" w:rsidR="00692798" w:rsidRPr="009D2102" w:rsidRDefault="00692798" w:rsidP="00A66763">
            <w:pPr>
              <w:pStyle w:val="Tabletextcentred"/>
              <w:jc w:val="left"/>
            </w:pPr>
            <w:r w:rsidRPr="009D2102">
              <w:t>Transition probabilities were applied to the model and tested in sensitivity analyses.</w:t>
            </w:r>
          </w:p>
        </w:tc>
      </w:tr>
      <w:tr w:rsidR="00692798" w:rsidRPr="009D2102" w14:paraId="71A9297B" w14:textId="77777777" w:rsidTr="00C771F6">
        <w:tc>
          <w:tcPr>
            <w:tcW w:w="1109" w:type="pct"/>
          </w:tcPr>
          <w:p w14:paraId="0446D354" w14:textId="77777777" w:rsidR="00692798" w:rsidRPr="009D2102" w:rsidRDefault="00692798" w:rsidP="00A66763">
            <w:pPr>
              <w:pStyle w:val="Tabletextcentred"/>
              <w:jc w:val="left"/>
            </w:pPr>
            <w:r w:rsidRPr="009D2102">
              <w:t>Treatment effect of AD drugs</w:t>
            </w:r>
          </w:p>
          <w:p w14:paraId="2C25F44A" w14:textId="77777777" w:rsidR="00692798" w:rsidRPr="009D2102" w:rsidRDefault="00692798" w:rsidP="00A66763">
            <w:pPr>
              <w:pStyle w:val="Tabletextcentred"/>
              <w:jc w:val="left"/>
            </w:pPr>
            <w:r w:rsidRPr="009D2102">
              <w:t>(Section C.5)</w:t>
            </w:r>
          </w:p>
        </w:tc>
        <w:tc>
          <w:tcPr>
            <w:tcW w:w="2035" w:type="pct"/>
          </w:tcPr>
          <w:p w14:paraId="47198C41" w14:textId="1E4E5DA1" w:rsidR="00692798" w:rsidRPr="009D2102" w:rsidRDefault="00692798" w:rsidP="00B94D2B">
            <w:pPr>
              <w:pStyle w:val="Tabletextcentred"/>
              <w:jc w:val="left"/>
            </w:pPr>
            <w:r w:rsidRPr="009D2102">
              <w:t>A literature search was used to source estimates of treatment effect for AChEIs and memantine which could be merged with the health states (and technical structure) considered in the economic model. In the case of AChEIs, a relevant relative risk was sourced and applied to individuals with mild AD on treatment. In the case of memantine, a relative risk was calculated from transition prob</w:t>
            </w:r>
            <w:r w:rsidR="00B94D2B">
              <w:t>abilities in</w:t>
            </w:r>
            <w:r w:rsidR="00161F56">
              <w:t xml:space="preserve"> a</w:t>
            </w:r>
            <w:r w:rsidR="00B94D2B">
              <w:t xml:space="preserve"> published economic</w:t>
            </w:r>
            <w:r w:rsidR="00B94D2B" w:rsidRPr="00B94D2B">
              <w:t xml:space="preserve"> evaluation. </w:t>
            </w:r>
            <w:r w:rsidRPr="009D2102">
              <w:t>This was applied to moderate patients on treatment for AD.</w:t>
            </w:r>
          </w:p>
        </w:tc>
        <w:tc>
          <w:tcPr>
            <w:tcW w:w="1856" w:type="pct"/>
          </w:tcPr>
          <w:p w14:paraId="3A267D7E" w14:textId="77777777" w:rsidR="00692798" w:rsidRPr="009D2102" w:rsidRDefault="00692798" w:rsidP="00A66763">
            <w:pPr>
              <w:pStyle w:val="Tabletextcentred"/>
              <w:jc w:val="left"/>
            </w:pPr>
            <w:r w:rsidRPr="009D2102">
              <w:t>Treatment effect was applied to the natural history estimates of an untreated population to slow progression in individuals treated for AD. The uncertainty around the estimates used, which is acknowledged to be considerable, was examined in sensitivity analyses.</w:t>
            </w:r>
          </w:p>
        </w:tc>
      </w:tr>
      <w:tr w:rsidR="00692798" w:rsidRPr="009D2102" w14:paraId="74873FAF" w14:textId="77777777" w:rsidTr="00C771F6">
        <w:tc>
          <w:tcPr>
            <w:tcW w:w="1109" w:type="pct"/>
          </w:tcPr>
          <w:p w14:paraId="01A9444E" w14:textId="77777777" w:rsidR="00692798" w:rsidRPr="009D2102" w:rsidRDefault="00692798" w:rsidP="00A66763">
            <w:pPr>
              <w:pStyle w:val="Tabletextcentred"/>
              <w:jc w:val="left"/>
            </w:pPr>
            <w:r w:rsidRPr="009D2102">
              <w:lastRenderedPageBreak/>
              <w:t>Utility weights applied to the economic model</w:t>
            </w:r>
          </w:p>
          <w:p w14:paraId="55AE181C" w14:textId="77777777" w:rsidR="00692798" w:rsidRPr="009D2102" w:rsidRDefault="00692798" w:rsidP="00A66763">
            <w:pPr>
              <w:pStyle w:val="Tabletextcentred"/>
              <w:jc w:val="left"/>
            </w:pPr>
            <w:r w:rsidRPr="009D2102">
              <w:t>(Section C.6)</w:t>
            </w:r>
          </w:p>
        </w:tc>
        <w:tc>
          <w:tcPr>
            <w:tcW w:w="2035" w:type="pct"/>
          </w:tcPr>
          <w:p w14:paraId="12DFD7B9" w14:textId="77777777" w:rsidR="00692798" w:rsidRPr="009D2102" w:rsidRDefault="00692798" w:rsidP="00A66763">
            <w:pPr>
              <w:pStyle w:val="Tabletextcentred"/>
              <w:jc w:val="left"/>
            </w:pPr>
            <w:r w:rsidRPr="009D2102">
              <w:t>A literature search was undertaken to source utility weights for individuals with AD, which considered both disease severity and the impact of institutionalisation in nursing home care.</w:t>
            </w:r>
          </w:p>
        </w:tc>
        <w:tc>
          <w:tcPr>
            <w:tcW w:w="1856" w:type="pct"/>
          </w:tcPr>
          <w:p w14:paraId="30638237" w14:textId="77777777" w:rsidR="00692798" w:rsidRPr="009D2102" w:rsidRDefault="00692798" w:rsidP="00A66763">
            <w:pPr>
              <w:pStyle w:val="Tabletextcentred"/>
              <w:jc w:val="left"/>
            </w:pPr>
            <w:r w:rsidRPr="009D2102">
              <w:t>Utility weights were applied to health states in accordance with the evidence. The impact of these data and the assumptions applied were examined in sensitivity analyses.</w:t>
            </w:r>
          </w:p>
        </w:tc>
      </w:tr>
      <w:tr w:rsidR="00692798" w:rsidRPr="009D2102" w14:paraId="1CC9AD23" w14:textId="77777777" w:rsidTr="00C771F6">
        <w:tc>
          <w:tcPr>
            <w:tcW w:w="1109" w:type="pct"/>
          </w:tcPr>
          <w:p w14:paraId="03A31643" w14:textId="77777777" w:rsidR="00692798" w:rsidRPr="009D2102" w:rsidRDefault="00692798" w:rsidP="00A66763">
            <w:pPr>
              <w:pStyle w:val="Tabletextcentred"/>
              <w:jc w:val="left"/>
            </w:pPr>
            <w:r w:rsidRPr="009D2102">
              <w:t>Healthcare resource use and associated costs</w:t>
            </w:r>
          </w:p>
          <w:p w14:paraId="2299BB38" w14:textId="77777777" w:rsidR="00692798" w:rsidRPr="009D2102" w:rsidRDefault="00692798" w:rsidP="00A66763">
            <w:pPr>
              <w:pStyle w:val="Tabletextcentred"/>
              <w:jc w:val="left"/>
            </w:pPr>
            <w:r w:rsidRPr="009D2102">
              <w:t>(Section C.7 and Section C.8)</w:t>
            </w:r>
          </w:p>
        </w:tc>
        <w:tc>
          <w:tcPr>
            <w:tcW w:w="2035" w:type="pct"/>
          </w:tcPr>
          <w:p w14:paraId="7EB013A1" w14:textId="77777777" w:rsidR="00692798" w:rsidRPr="009D2102" w:rsidRDefault="00692798" w:rsidP="00A66763">
            <w:pPr>
              <w:pStyle w:val="Tabletextcentred"/>
              <w:jc w:val="left"/>
            </w:pPr>
            <w:r w:rsidRPr="009D2102">
              <w:t>Using published data, costs associated with AD drugs, ongoing care from GPs and costs associated with both care in nursing homes and in the community were estimated.</w:t>
            </w:r>
          </w:p>
        </w:tc>
        <w:tc>
          <w:tcPr>
            <w:tcW w:w="1856" w:type="pct"/>
          </w:tcPr>
          <w:p w14:paraId="43EE01D9" w14:textId="77777777" w:rsidR="00692798" w:rsidRPr="009D2102" w:rsidRDefault="00692798" w:rsidP="00A66763">
            <w:pPr>
              <w:pStyle w:val="Tabletextcentred"/>
              <w:jc w:val="left"/>
            </w:pPr>
            <w:r w:rsidRPr="009D2102">
              <w:t>Estimated costs were applied to health states as required, considering each health state’s requirements in terms of drug and other treatment/care. The estimates were varied in sensitivity analyses to determine their impact on the base case result.</w:t>
            </w:r>
          </w:p>
        </w:tc>
      </w:tr>
      <w:tr w:rsidR="00692798" w:rsidRPr="009D2102" w14:paraId="096CA77F" w14:textId="77777777" w:rsidTr="00C771F6">
        <w:tc>
          <w:tcPr>
            <w:tcW w:w="1109" w:type="pct"/>
          </w:tcPr>
          <w:p w14:paraId="0003E040" w14:textId="77777777" w:rsidR="00692798" w:rsidRPr="009D2102" w:rsidRDefault="00692798" w:rsidP="00A66763">
            <w:pPr>
              <w:pStyle w:val="Tabletextcentred"/>
              <w:jc w:val="left"/>
            </w:pPr>
            <w:r w:rsidRPr="009D2102">
              <w:t>Diagnostic accuracy</w:t>
            </w:r>
          </w:p>
          <w:p w14:paraId="2FBEA422" w14:textId="77777777" w:rsidR="00692798" w:rsidRPr="009D2102" w:rsidRDefault="00692798" w:rsidP="00A66763">
            <w:pPr>
              <w:pStyle w:val="Tabletextcentred"/>
              <w:jc w:val="left"/>
            </w:pPr>
            <w:r w:rsidRPr="009D2102">
              <w:t>(Section C.9)</w:t>
            </w:r>
          </w:p>
        </w:tc>
        <w:tc>
          <w:tcPr>
            <w:tcW w:w="2035" w:type="pct"/>
          </w:tcPr>
          <w:p w14:paraId="3FAB7EA0" w14:textId="77777777" w:rsidR="00692798" w:rsidRPr="009D2102" w:rsidRDefault="00692798" w:rsidP="00A66763">
            <w:pPr>
              <w:pStyle w:val="Tabletextcentred"/>
              <w:jc w:val="left"/>
            </w:pPr>
            <w:r w:rsidRPr="009D2102">
              <w:t>True positive, true negative, false positive and false negative data from the published literature.</w:t>
            </w:r>
          </w:p>
        </w:tc>
        <w:tc>
          <w:tcPr>
            <w:tcW w:w="1856" w:type="pct"/>
          </w:tcPr>
          <w:p w14:paraId="3125925C" w14:textId="77777777" w:rsidR="00692798" w:rsidRPr="009D2102" w:rsidRDefault="00692798" w:rsidP="00A66763">
            <w:pPr>
              <w:pStyle w:val="Tabletextcentred"/>
              <w:jc w:val="left"/>
            </w:pPr>
            <w:r w:rsidRPr="009D2102">
              <w:t>Base case assumptions regarding diagnostic accuracy were applied to the model but tested in sensitivity analyses to determine the impact of any uncertainty on these point estimates on the cost-effectiveness.</w:t>
            </w:r>
          </w:p>
        </w:tc>
      </w:tr>
    </w:tbl>
    <w:p w14:paraId="28625EF9" w14:textId="77777777" w:rsidR="00692798" w:rsidRPr="009D2102" w:rsidRDefault="00692798" w:rsidP="00692798">
      <w:pPr>
        <w:pStyle w:val="Tablefootnotes"/>
      </w:pPr>
      <w:r w:rsidRPr="009D2102">
        <w:t>Abbreviations: AChEIs, acetylcholinesterase inhibitors; AD, Alzheimer’s disease; GPs, general practitioners</w:t>
      </w:r>
    </w:p>
    <w:p w14:paraId="60E233E6" w14:textId="77777777" w:rsidR="00692798" w:rsidRPr="009D2102" w:rsidRDefault="00692798" w:rsidP="00692798">
      <w:pPr>
        <w:pStyle w:val="Heading3"/>
        <w:numPr>
          <w:ilvl w:val="0"/>
          <w:numId w:val="0"/>
        </w:numPr>
        <w:ind w:left="851" w:hanging="851"/>
      </w:pPr>
      <w:r w:rsidRPr="009D2102">
        <w:t>Economic evaluation</w:t>
      </w:r>
    </w:p>
    <w:p w14:paraId="597BAD6F" w14:textId="77777777" w:rsidR="000D5C2A" w:rsidRDefault="000D5C2A" w:rsidP="00692798">
      <w:r w:rsidRPr="000D5C2A">
        <w:t>Based on the limited body of evidence presented in Section B, it cannot be concluded that the diagnostic accuracy of FDG-PET is superior to SPECT in patients with suspected AD. Although the results numerically favour FDG-PET, it is unclear whether this would represent a true difference between the imaging modalities in clinical practice. Nonetheless, a cost-utility analysis (CUA) has been undertaken, as suggested by PASC, assuming inferiority of SPECT but at a much lower cost.</w:t>
      </w:r>
    </w:p>
    <w:p w14:paraId="551335EF" w14:textId="78B967F8" w:rsidR="00692798" w:rsidRPr="009D2102" w:rsidRDefault="00692798" w:rsidP="00692798">
      <w:r w:rsidRPr="009D2102">
        <w:t>There are a large number of CUAs relating to treatment of AD, many of which incorporate complex modelling approaches with microsimulation and probabilistic sensitivity analysis. The PBAC considered a CUA for AD at their December 2000 meeting when they recommended listing rivastigmine on the PBS. All other AD medications were recommended on a cost-minimisation basis.</w:t>
      </w:r>
    </w:p>
    <w:p w14:paraId="5D08EE96" w14:textId="417AC4A5" w:rsidR="00692798" w:rsidRPr="009D2102" w:rsidRDefault="00692798" w:rsidP="00692798">
      <w:r w:rsidRPr="009D2102">
        <w:t xml:space="preserve">There is a vast literature of studies undertaking economic evaluations of AD treatment using progressive models of AD’s natural history, with evidence of at least </w:t>
      </w:r>
      <w:r w:rsidR="00D25339">
        <w:t>10</w:t>
      </w:r>
      <w:r w:rsidRPr="009D2102">
        <w:t xml:space="preserve"> general modelling frameworks to assess the cost-effectiveness of AD treatment. These general models each present a different method to model the statistical relationship between risk factors and health states. One of the most widely used of all the models, and the model best able to differentiate patients by disease severity and residential setting, was first presented in the cost-effectiveness study by Neumann et al (1999). </w:t>
      </w:r>
    </w:p>
    <w:p w14:paraId="3AB5C563" w14:textId="3625A15E" w:rsidR="00692798" w:rsidRPr="009D2102" w:rsidRDefault="00692798" w:rsidP="00692798">
      <w:r w:rsidRPr="009D2102">
        <w:t xml:space="preserve">The approach taken in support of the current </w:t>
      </w:r>
      <w:r w:rsidR="00B16778">
        <w:t>A</w:t>
      </w:r>
      <w:r w:rsidRPr="009D2102">
        <w:t xml:space="preserve">ssessment </w:t>
      </w:r>
      <w:r w:rsidR="00B16778">
        <w:t>R</w:t>
      </w:r>
      <w:r w:rsidRPr="009D2102">
        <w:t xml:space="preserve">eport was to construct a Markov model based on the treatment model by Neumann et al (1999), which characterises progression of AD through different disease stages and residential settings. In any time period, patients are classified into one of three disease stages – mild, moderate or severe AD. Conditional on disease stage, patients are also assigned a probability of being in one of two settings: in the community or institutionalised in a nursing home. </w:t>
      </w:r>
    </w:p>
    <w:p w14:paraId="6A623916" w14:textId="72203050" w:rsidR="00692798" w:rsidRPr="009D2102" w:rsidRDefault="00692798" w:rsidP="00692798">
      <w:r w:rsidRPr="009D2102">
        <w:t xml:space="preserve">The Neumann model did not, however, incorporate diagnostic testing. Although there are some diagnostic models available, they do not adequately capture imaging test accuracy for a diagnostic model. Therefore, this </w:t>
      </w:r>
      <w:r w:rsidR="00B16778">
        <w:t>A</w:t>
      </w:r>
      <w:r w:rsidRPr="009D2102">
        <w:t xml:space="preserve">ssessment </w:t>
      </w:r>
      <w:r w:rsidR="00B16778">
        <w:t>R</w:t>
      </w:r>
      <w:r w:rsidRPr="009D2102">
        <w:t xml:space="preserve">eport presents a de novo </w:t>
      </w:r>
      <w:r w:rsidRPr="009D2102">
        <w:lastRenderedPageBreak/>
        <w:t xml:space="preserve">model commencing with diagnostic testing in terms of </w:t>
      </w:r>
      <w:r w:rsidR="00F67E7B">
        <w:t>t</w:t>
      </w:r>
      <w:r w:rsidRPr="009D2102">
        <w:t xml:space="preserve">rue </w:t>
      </w:r>
      <w:r w:rsidR="00F67E7B">
        <w:t>p</w:t>
      </w:r>
      <w:r w:rsidRPr="009D2102">
        <w:t>ositive</w:t>
      </w:r>
      <w:r w:rsidR="00E272D7">
        <w:t xml:space="preserve"> (TP)</w:t>
      </w:r>
      <w:r w:rsidRPr="009D2102">
        <w:t xml:space="preserve">, </w:t>
      </w:r>
      <w:r w:rsidR="00F67E7B">
        <w:t>t</w:t>
      </w:r>
      <w:r w:rsidRPr="009D2102">
        <w:t xml:space="preserve">rue </w:t>
      </w:r>
      <w:r w:rsidR="00F67E7B">
        <w:t>n</w:t>
      </w:r>
      <w:r w:rsidRPr="009D2102">
        <w:t>egative</w:t>
      </w:r>
      <w:r w:rsidR="00E272D7">
        <w:t xml:space="preserve"> (TN)</w:t>
      </w:r>
      <w:r w:rsidRPr="009D2102">
        <w:t xml:space="preserve">, </w:t>
      </w:r>
      <w:r w:rsidR="00F67E7B">
        <w:t>f</w:t>
      </w:r>
      <w:r w:rsidRPr="009D2102">
        <w:t xml:space="preserve">alse </w:t>
      </w:r>
      <w:r w:rsidR="00F67E7B">
        <w:t>n</w:t>
      </w:r>
      <w:r w:rsidRPr="009D2102">
        <w:t>egative</w:t>
      </w:r>
      <w:r w:rsidR="00E272D7">
        <w:t xml:space="preserve"> (FN)</w:t>
      </w:r>
      <w:r w:rsidRPr="009D2102">
        <w:t xml:space="preserve"> and </w:t>
      </w:r>
      <w:r w:rsidR="00F67E7B">
        <w:t>f</w:t>
      </w:r>
      <w:r w:rsidRPr="009D2102">
        <w:t xml:space="preserve">alse </w:t>
      </w:r>
      <w:r w:rsidR="00F67E7B">
        <w:t>p</w:t>
      </w:r>
      <w:r w:rsidRPr="009D2102">
        <w:t>ositive</w:t>
      </w:r>
      <w:r w:rsidR="00E272D7">
        <w:t xml:space="preserve"> (FP)</w:t>
      </w:r>
      <w:r w:rsidRPr="009D2102">
        <w:t xml:space="preserve"> results. </w:t>
      </w:r>
    </w:p>
    <w:p w14:paraId="5534DDD4" w14:textId="77777777" w:rsidR="00692798" w:rsidRPr="009D2102" w:rsidRDefault="00692798" w:rsidP="00692798">
      <w:pPr>
        <w:spacing w:after="120"/>
      </w:pPr>
      <w:r w:rsidRPr="009D2102">
        <w:t>The structure of the model differentiates patients according to three characteristics:</w:t>
      </w:r>
    </w:p>
    <w:p w14:paraId="682EE9E0" w14:textId="5B1EF30D" w:rsidR="00692798" w:rsidRPr="009D2102" w:rsidRDefault="00692798" w:rsidP="003140D6">
      <w:pPr>
        <w:pStyle w:val="ListParagraph"/>
        <w:numPr>
          <w:ilvl w:val="0"/>
          <w:numId w:val="23"/>
        </w:numPr>
      </w:pPr>
      <w:r w:rsidRPr="009D2102">
        <w:t xml:space="preserve">disease severity (i.e. mild AD, moderate AD, no AD and, </w:t>
      </w:r>
      <w:r w:rsidR="00B94D2B">
        <w:t xml:space="preserve">in </w:t>
      </w:r>
      <w:r w:rsidRPr="009D2102">
        <w:t>later stages of the model, severe AD);</w:t>
      </w:r>
    </w:p>
    <w:p w14:paraId="6ACF2ABD" w14:textId="77777777" w:rsidR="00692798" w:rsidRPr="009D2102" w:rsidRDefault="00692798" w:rsidP="003140D6">
      <w:pPr>
        <w:pStyle w:val="ListParagraph"/>
        <w:numPr>
          <w:ilvl w:val="0"/>
          <w:numId w:val="23"/>
        </w:numPr>
      </w:pPr>
      <w:r w:rsidRPr="009D2102">
        <w:t>institutional setting (i.e. whether individuals are community-based or institutionalised in nursing homes); and</w:t>
      </w:r>
    </w:p>
    <w:p w14:paraId="28A771DF" w14:textId="77777777" w:rsidR="00692798" w:rsidRPr="009D2102" w:rsidRDefault="00692798" w:rsidP="003140D6">
      <w:pPr>
        <w:pStyle w:val="ListParagraph"/>
        <w:numPr>
          <w:ilvl w:val="0"/>
          <w:numId w:val="23"/>
        </w:numPr>
      </w:pPr>
      <w:r w:rsidRPr="009D2102">
        <w:t>treatment status (i.e. whether individuals are receiving drug therapy for their AD or suspected AD).</w:t>
      </w:r>
    </w:p>
    <w:p w14:paraId="3AC8505A" w14:textId="77777777" w:rsidR="00692798" w:rsidRPr="009D2102" w:rsidRDefault="00692798" w:rsidP="00692798">
      <w:r w:rsidRPr="009D2102">
        <w:t>The model takes the form of a state-transition semi-Markov model with non-constant transition probabilities applied where appropriate. The model was intentionally constructed in way that would avoid the unnecessary technical complexity of previous models by avoiding microsimulation/Monte Carlo methods. Instead, the model followed a cohort of patients from diagnostic testing through transition to disease progression or death over a five-year period using cycles of six weeks. Individuals were assumed to be 72.4 years of age at the beginning of the model (based on an Australian study) and gender was distributed with 61.98% of the cohort female (using data from the Australian Institute of Health and Welfare).</w:t>
      </w:r>
    </w:p>
    <w:p w14:paraId="31BF6C74" w14:textId="77777777" w:rsidR="00692798" w:rsidRPr="009D2102" w:rsidRDefault="00692798" w:rsidP="00692798">
      <w:r w:rsidRPr="009D2102">
        <w:t>Half-cycle correction was appropriately applied to the model, which was constructed using TreeAge Pro 2014. All costs and outcomes were discounted at an annual rate of 5%, in accordance with MSAC Guidelines.</w:t>
      </w:r>
    </w:p>
    <w:p w14:paraId="17B07D3A" w14:textId="433DF61A" w:rsidR="00692798" w:rsidRPr="009D2102" w:rsidRDefault="00AF5C66" w:rsidP="00692798">
      <w:r>
        <w:t>Table ES.3</w:t>
      </w:r>
      <w:r w:rsidR="00692798" w:rsidRPr="009D2102">
        <w:t xml:space="preserve"> presents the base case results in terms of the QALY gain offered by FDG-PET.</w:t>
      </w:r>
    </w:p>
    <w:p w14:paraId="68C0E0CD" w14:textId="4E62D5F4" w:rsidR="00692798" w:rsidRPr="009D2102" w:rsidRDefault="00AF5C66" w:rsidP="00692798">
      <w:pPr>
        <w:pStyle w:val="Caption"/>
      </w:pPr>
      <w:r>
        <w:t>Table ES.3</w:t>
      </w:r>
      <w:r w:rsidR="00692798" w:rsidRPr="009D2102">
        <w:tab/>
        <w:t>Incremental cost-effectiveness ratio of FDG-PET versus SPECT</w:t>
      </w:r>
    </w:p>
    <w:tbl>
      <w:tblPr>
        <w:tblStyle w:val="TableGrid"/>
        <w:tblW w:w="4610" w:type="pct"/>
        <w:tblInd w:w="704" w:type="dxa"/>
        <w:tblLook w:val="04A0" w:firstRow="1" w:lastRow="0" w:firstColumn="1" w:lastColumn="0" w:noHBand="0" w:noVBand="1"/>
        <w:tblCaption w:val="The incremental cost-effectiveness ratio of FDG-PET versus SPECT"/>
        <w:tblDescription w:val="The base case results in terms of the QALY gain offered by FDG-PET over a five-year period."/>
      </w:tblPr>
      <w:tblGrid>
        <w:gridCol w:w="2561"/>
        <w:gridCol w:w="1987"/>
        <w:gridCol w:w="1989"/>
        <w:gridCol w:w="1984"/>
      </w:tblGrid>
      <w:tr w:rsidR="00692798" w:rsidRPr="009D2102" w14:paraId="5E9E3A91" w14:textId="77777777" w:rsidTr="00CC7310">
        <w:trPr>
          <w:tblHeader/>
        </w:trPr>
        <w:tc>
          <w:tcPr>
            <w:tcW w:w="1503" w:type="pct"/>
          </w:tcPr>
          <w:p w14:paraId="4A7D044B" w14:textId="77777777" w:rsidR="00692798" w:rsidRPr="009D2102" w:rsidRDefault="00692798" w:rsidP="00A66763">
            <w:pPr>
              <w:pStyle w:val="Tabletextboldleft"/>
            </w:pPr>
            <w:r w:rsidRPr="009D2102">
              <w:t>Parameter</w:t>
            </w:r>
          </w:p>
        </w:tc>
        <w:tc>
          <w:tcPr>
            <w:tcW w:w="1166" w:type="pct"/>
          </w:tcPr>
          <w:p w14:paraId="391A99B2" w14:textId="77777777" w:rsidR="00692798" w:rsidRPr="009D2102" w:rsidRDefault="00692798" w:rsidP="00A66763">
            <w:pPr>
              <w:pStyle w:val="Tabletextboldleft"/>
              <w:jc w:val="right"/>
            </w:pPr>
            <w:r w:rsidRPr="009D2102">
              <w:t>FDG-PET arm</w:t>
            </w:r>
          </w:p>
        </w:tc>
        <w:tc>
          <w:tcPr>
            <w:tcW w:w="1167" w:type="pct"/>
          </w:tcPr>
          <w:p w14:paraId="4C872372" w14:textId="77777777" w:rsidR="00692798" w:rsidRPr="009D2102" w:rsidRDefault="00692798" w:rsidP="00A66763">
            <w:pPr>
              <w:pStyle w:val="Tabletextboldleft"/>
              <w:jc w:val="right"/>
            </w:pPr>
            <w:r w:rsidRPr="009D2102">
              <w:t>SPECT arm</w:t>
            </w:r>
          </w:p>
        </w:tc>
        <w:tc>
          <w:tcPr>
            <w:tcW w:w="1164" w:type="pct"/>
          </w:tcPr>
          <w:p w14:paraId="7767A7D3" w14:textId="77777777" w:rsidR="00692798" w:rsidRPr="009D2102" w:rsidRDefault="00692798" w:rsidP="00A66763">
            <w:pPr>
              <w:pStyle w:val="Tabletextboldleft"/>
              <w:jc w:val="right"/>
            </w:pPr>
            <w:r w:rsidRPr="009D2102">
              <w:t>Incremental</w:t>
            </w:r>
          </w:p>
        </w:tc>
      </w:tr>
      <w:tr w:rsidR="00692798" w:rsidRPr="009D2102" w14:paraId="33B062DC" w14:textId="77777777" w:rsidTr="00CC7310">
        <w:tc>
          <w:tcPr>
            <w:tcW w:w="1503" w:type="pct"/>
          </w:tcPr>
          <w:p w14:paraId="7739C2AF" w14:textId="77777777" w:rsidR="00692798" w:rsidRPr="009D2102" w:rsidRDefault="00692798" w:rsidP="00A66763">
            <w:pPr>
              <w:pStyle w:val="Tabletextcentred"/>
              <w:jc w:val="left"/>
            </w:pPr>
            <w:r w:rsidRPr="009D2102">
              <w:t>Cost</w:t>
            </w:r>
          </w:p>
        </w:tc>
        <w:tc>
          <w:tcPr>
            <w:tcW w:w="1166" w:type="pct"/>
          </w:tcPr>
          <w:p w14:paraId="7DEEB6FF" w14:textId="77777777" w:rsidR="00692798" w:rsidRPr="009D2102" w:rsidRDefault="00692798" w:rsidP="00A66763">
            <w:pPr>
              <w:pStyle w:val="Tabletextcentred"/>
              <w:jc w:val="right"/>
            </w:pPr>
            <w:r w:rsidRPr="009D2102">
              <w:t>$98,242</w:t>
            </w:r>
          </w:p>
        </w:tc>
        <w:tc>
          <w:tcPr>
            <w:tcW w:w="1167" w:type="pct"/>
          </w:tcPr>
          <w:p w14:paraId="49EF458E" w14:textId="77777777" w:rsidR="00692798" w:rsidRPr="009D2102" w:rsidRDefault="00692798" w:rsidP="00A66763">
            <w:pPr>
              <w:pStyle w:val="Tabletextcentred"/>
              <w:jc w:val="right"/>
            </w:pPr>
            <w:r w:rsidRPr="009D2102">
              <w:t>$99,585</w:t>
            </w:r>
          </w:p>
        </w:tc>
        <w:tc>
          <w:tcPr>
            <w:tcW w:w="1164" w:type="pct"/>
          </w:tcPr>
          <w:p w14:paraId="7B4C283B" w14:textId="77777777" w:rsidR="00692798" w:rsidRPr="009D2102" w:rsidRDefault="00692798" w:rsidP="00A66763">
            <w:pPr>
              <w:pStyle w:val="Tabletextcentred"/>
              <w:jc w:val="right"/>
            </w:pPr>
            <w:r w:rsidRPr="009D2102">
              <w:t>-$1160</w:t>
            </w:r>
          </w:p>
        </w:tc>
      </w:tr>
      <w:tr w:rsidR="00692798" w:rsidRPr="009D2102" w14:paraId="58191E9F" w14:textId="77777777" w:rsidTr="00CC7310">
        <w:tc>
          <w:tcPr>
            <w:tcW w:w="1503" w:type="pct"/>
          </w:tcPr>
          <w:p w14:paraId="10CD5C7B" w14:textId="77777777" w:rsidR="00692798" w:rsidRPr="009D2102" w:rsidRDefault="00692798" w:rsidP="00A66763">
            <w:pPr>
              <w:pStyle w:val="Tabletextcentred"/>
              <w:jc w:val="left"/>
            </w:pPr>
            <w:r w:rsidRPr="009D2102">
              <w:t>QALY</w:t>
            </w:r>
          </w:p>
        </w:tc>
        <w:tc>
          <w:tcPr>
            <w:tcW w:w="1166" w:type="pct"/>
          </w:tcPr>
          <w:p w14:paraId="316183E5" w14:textId="77777777" w:rsidR="00692798" w:rsidRPr="009D2102" w:rsidRDefault="00692798" w:rsidP="00A66763">
            <w:pPr>
              <w:pStyle w:val="Tabletextcentred"/>
              <w:jc w:val="right"/>
            </w:pPr>
            <w:r w:rsidRPr="009D2102">
              <w:t>2.41</w:t>
            </w:r>
          </w:p>
        </w:tc>
        <w:tc>
          <w:tcPr>
            <w:tcW w:w="1167" w:type="pct"/>
          </w:tcPr>
          <w:p w14:paraId="050DBE4A" w14:textId="77777777" w:rsidR="00692798" w:rsidRPr="009D2102" w:rsidRDefault="00692798" w:rsidP="00A66763">
            <w:pPr>
              <w:pStyle w:val="Tabletextcentred"/>
              <w:jc w:val="right"/>
            </w:pPr>
            <w:r w:rsidRPr="009D2102">
              <w:t>2.39</w:t>
            </w:r>
          </w:p>
        </w:tc>
        <w:tc>
          <w:tcPr>
            <w:tcW w:w="1164" w:type="pct"/>
          </w:tcPr>
          <w:p w14:paraId="7B49C50B" w14:textId="77777777" w:rsidR="00692798" w:rsidRPr="009D2102" w:rsidRDefault="00692798" w:rsidP="00A66763">
            <w:pPr>
              <w:pStyle w:val="Tabletextcentred"/>
              <w:jc w:val="right"/>
            </w:pPr>
            <w:r w:rsidRPr="009D2102">
              <w:t>0.03</w:t>
            </w:r>
          </w:p>
        </w:tc>
      </w:tr>
      <w:tr w:rsidR="00CC7310" w:rsidRPr="009D2102" w14:paraId="5953CEFA" w14:textId="77777777" w:rsidTr="00CC7310">
        <w:tc>
          <w:tcPr>
            <w:tcW w:w="1503" w:type="pct"/>
          </w:tcPr>
          <w:p w14:paraId="1E817E22" w14:textId="77777777" w:rsidR="00CC7310" w:rsidRPr="009D2102" w:rsidRDefault="00CC7310" w:rsidP="00A66763">
            <w:pPr>
              <w:pStyle w:val="Tabletextcentred"/>
              <w:jc w:val="left"/>
            </w:pPr>
            <w:r w:rsidRPr="009D2102">
              <w:t>Incremental cost per QALY</w:t>
            </w:r>
          </w:p>
        </w:tc>
        <w:tc>
          <w:tcPr>
            <w:tcW w:w="1166" w:type="pct"/>
          </w:tcPr>
          <w:p w14:paraId="68D097D2" w14:textId="750F8C86" w:rsidR="00CC7310" w:rsidRPr="009D2102" w:rsidRDefault="00CC7310" w:rsidP="00CC7310">
            <w:pPr>
              <w:pStyle w:val="Tabletextcentred"/>
              <w:jc w:val="right"/>
            </w:pPr>
            <w:r>
              <w:t>-</w:t>
            </w:r>
          </w:p>
        </w:tc>
        <w:tc>
          <w:tcPr>
            <w:tcW w:w="1167" w:type="pct"/>
          </w:tcPr>
          <w:p w14:paraId="56B89BB1" w14:textId="708EEFD5" w:rsidR="00CC7310" w:rsidRPr="009D2102" w:rsidRDefault="00CC7310" w:rsidP="00CC7310">
            <w:pPr>
              <w:pStyle w:val="Tabletextcentred"/>
              <w:jc w:val="right"/>
            </w:pPr>
            <w:r>
              <w:t>-</w:t>
            </w:r>
          </w:p>
        </w:tc>
        <w:tc>
          <w:tcPr>
            <w:tcW w:w="1164" w:type="pct"/>
          </w:tcPr>
          <w:p w14:paraId="0339BEA7" w14:textId="77777777" w:rsidR="00CC7310" w:rsidRPr="009D2102" w:rsidRDefault="00CC7310" w:rsidP="00A66763">
            <w:pPr>
              <w:pStyle w:val="Tabletextcentred"/>
              <w:jc w:val="right"/>
            </w:pPr>
            <w:r w:rsidRPr="009D2102">
              <w:t>-$42,991</w:t>
            </w:r>
          </w:p>
        </w:tc>
      </w:tr>
    </w:tbl>
    <w:p w14:paraId="7F384381" w14:textId="2621029D" w:rsidR="00692798" w:rsidRPr="009D2102" w:rsidRDefault="00692798" w:rsidP="00692798">
      <w:pPr>
        <w:pStyle w:val="Tablefootnotes"/>
      </w:pPr>
      <w:r w:rsidRPr="009D2102">
        <w:t>Abbreviations: AD, Alzheimer’s disease; FDG-PET, flu</w:t>
      </w:r>
      <w:r w:rsidR="0038452F">
        <w:t>o</w:t>
      </w:r>
      <w:r w:rsidRPr="009D2102">
        <w:t>rodeoxyglucose positron emission tomography; QALY, quality-adjusted life year; SPECT, single</w:t>
      </w:r>
      <w:r w:rsidR="0064732B">
        <w:t>-</w:t>
      </w:r>
      <w:r w:rsidRPr="009D2102">
        <w:t>photon emission tomography</w:t>
      </w:r>
    </w:p>
    <w:p w14:paraId="2C82B848" w14:textId="77777777" w:rsidR="00692798" w:rsidRPr="009D2102" w:rsidRDefault="00692798" w:rsidP="00692798">
      <w:pPr>
        <w:pStyle w:val="Tablefootnotes"/>
      </w:pPr>
      <w:r w:rsidRPr="009D2102">
        <w:t>Note: Rounding may impact on some figures</w:t>
      </w:r>
    </w:p>
    <w:p w14:paraId="2DE464EB" w14:textId="44FEB62F" w:rsidR="00692798" w:rsidRPr="009D2102" w:rsidRDefault="00692798" w:rsidP="00692798">
      <w:r w:rsidRPr="009D2102">
        <w:t xml:space="preserve">It was estimated that FDG-PET will save $1,160 per patient over a five-year period, while also delivering an incremental QALY gain of 0.03. While this renders the ICER itself somewhat difficult to interpret, the key conclusion to draw from this result is that FDG-PET is more effective and less costly than SPECT in the diagnosis of </w:t>
      </w:r>
      <w:r w:rsidR="00FE24F1">
        <w:t>AD</w:t>
      </w:r>
      <w:r w:rsidRPr="009D2102">
        <w:t>.</w:t>
      </w:r>
    </w:p>
    <w:p w14:paraId="2E005F24" w14:textId="77777777" w:rsidR="00692798" w:rsidRPr="009D2102" w:rsidRDefault="00692798" w:rsidP="00692798">
      <w:r w:rsidRPr="009D2102">
        <w:t>Consequently, if the assumptions of the base case analysis are to be accepted, the decision-making process is simple: FDG-PET is to be accepted as a cost-effective alternative to SPECT for the requested listing. Sensitivity analyses presented in Section D.6, however, explore the impact alternative assumptions have on the result.</w:t>
      </w:r>
    </w:p>
    <w:p w14:paraId="5F4EC4C3" w14:textId="77777777" w:rsidR="00692798" w:rsidRPr="009D2102" w:rsidRDefault="00692798" w:rsidP="00692798">
      <w:r w:rsidRPr="009D2102">
        <w:t xml:space="preserve">The cost difference is driven by larger downstream cost offsets associated with progression to severe AD. In particular, this is best understood as avoidance of the large nursing home care costs individuals incur in the severe AD health state. By avoiding/slowing progression to this health state (due to the effectiveness of AD drugs), there are large savings of $1,225 per patient (discounted), which more than fully offset </w:t>
      </w:r>
      <w:r w:rsidRPr="009D2102">
        <w:lastRenderedPageBreak/>
        <w:t xml:space="preserve">the additional costs of FDG-PET and the drug treatment in those additional patients with AD detected. </w:t>
      </w:r>
    </w:p>
    <w:p w14:paraId="6BDF6120" w14:textId="1DD6D5B8" w:rsidR="00692798" w:rsidRPr="009D2102" w:rsidRDefault="00692798" w:rsidP="00692798">
      <w:r w:rsidRPr="009D2102">
        <w:t>The results of the model were shown to be sensitive to the duration of the model, the more expensive home- and nursing</w:t>
      </w:r>
      <w:r w:rsidR="00F2342C">
        <w:t xml:space="preserve"> </w:t>
      </w:r>
      <w:r w:rsidRPr="009D2102">
        <w:t>care resources that occur downstream as</w:t>
      </w:r>
      <w:r w:rsidR="00B94D2B">
        <w:t xml:space="preserve"> an</w:t>
      </w:r>
      <w:r w:rsidRPr="009D2102">
        <w:t xml:space="preserve"> individual’s condition worsen</w:t>
      </w:r>
      <w:r w:rsidR="00B94D2B">
        <w:t>s</w:t>
      </w:r>
      <w:r w:rsidRPr="009D2102">
        <w:t xml:space="preserve">, and diagnostic accuracy. Of these, the second two are particularly noteworthy. </w:t>
      </w:r>
    </w:p>
    <w:p w14:paraId="739E053A" w14:textId="77777777" w:rsidR="00692798" w:rsidRPr="009D2102" w:rsidRDefault="00692798" w:rsidP="00692798">
      <w:r w:rsidRPr="009D2102">
        <w:t xml:space="preserve">The cost savings generated in the base case are highly dependent on the inclusion (and magnitude) of these costs. If the assumptions of the base case are called into question, the conclusions drawn from the result could require re-examination. </w:t>
      </w:r>
    </w:p>
    <w:p w14:paraId="103B84F9" w14:textId="77777777" w:rsidR="00692798" w:rsidRPr="009D2102" w:rsidRDefault="00692798" w:rsidP="00692798">
      <w:r w:rsidRPr="009D2102">
        <w:t xml:space="preserve">In the case of diagnostic accuracy, sensitivity analyses reported in Section D.6 serve to highlight the complex relationship between diagnostic accuracy and cost-effectiveness. They also highlight the sensitivity of the base case results to the assumptions therein. If the data used in the base case can be accepted, it would appear that FDG-PET is a cost-effective alternative to SPECT in the diagnosis of AD. If, however, there is doubt regarding the acceptability of these data, it is clear that the conclusions of the base case may not be valid and particular caution should be taken to ensure that the impact of alternative data are well understood. In cases such as the present, where the incremental cost and QALY results are so close to zero, the conclusions are particularly sensitive and this should be accounted for in the decision-making process. </w:t>
      </w:r>
    </w:p>
    <w:p w14:paraId="56690485" w14:textId="77777777" w:rsidR="00692798" w:rsidRPr="009D2102" w:rsidRDefault="00692798" w:rsidP="00692798">
      <w:pPr>
        <w:pStyle w:val="Heading3"/>
        <w:numPr>
          <w:ilvl w:val="0"/>
          <w:numId w:val="0"/>
        </w:numPr>
        <w:ind w:left="851" w:hanging="851"/>
      </w:pPr>
      <w:r w:rsidRPr="009D2102">
        <w:t>Estimated utilisation and financial implications</w:t>
      </w:r>
    </w:p>
    <w:p w14:paraId="15DF47C6" w14:textId="77777777" w:rsidR="00692798" w:rsidRPr="009D2102" w:rsidRDefault="00692798" w:rsidP="00692798">
      <w:r w:rsidRPr="009D2102">
        <w:t>The estimated financial implications of a successful listing of FDG-PET on the MBS would ideally rely on either robust data relating to the availability of FDG-PET facilities throughout Australia (both now and in the next five years) and/or accurate data describing the incidence of AD across Australia and how diagnosis is achieved using functional imaging.</w:t>
      </w:r>
    </w:p>
    <w:p w14:paraId="31D12829" w14:textId="77777777" w:rsidR="00692798" w:rsidRPr="009D2102" w:rsidRDefault="00692798" w:rsidP="00692798">
      <w:r w:rsidRPr="009D2102">
        <w:t>A scarcity of data of either type, however, meant that the analysis was undertaken using more general data derived from incidence of dementia and associated estimates of how this is made up, in part, from individuals with AD.</w:t>
      </w:r>
    </w:p>
    <w:p w14:paraId="3FFE6D55" w14:textId="77777777" w:rsidR="00692798" w:rsidRPr="009D2102" w:rsidRDefault="00692798" w:rsidP="00692798">
      <w:r w:rsidRPr="009D2102">
        <w:t>That is, the analysis follows an epidemiological approach which aimed to estimate the current use of SPECT in identifying AD from estimates of projected dementia incidence (Access Economics, 2009) and estimates regarding the proportion of these cases which are due to AD (Alzheimer’s Disease International, 2014). These data were used in conjunction with assumptions regarding the rate at which SPECT is used to diagnose AD and how FDG-PET would be used to substitute for SPECT in the event of a successful MBS listing. Assumptions regarding the possibility of increased use of functional imaging in the event of a MBS listing for FDG-PET were also applied.</w:t>
      </w:r>
    </w:p>
    <w:p w14:paraId="1EB537D0" w14:textId="77777777" w:rsidR="00692798" w:rsidRPr="009D2102" w:rsidRDefault="00692798" w:rsidP="00692798">
      <w:r w:rsidRPr="009D2102">
        <w:t>Note that, while SPECT was assumed to be the relevant comparator for this analysis, the MBS item fee for SPECT is shared with other diseases/indications. That is, while SPECT may be used under the MBS for use in diagnosing AD, it is also used for epilepsy, stoke, acute brain injury, etc. Consequently, it was not possible to derive estimates from MBS usage statistics, as there is no way to estimate what proportion of use relates to dementia/AD diagnosis.</w:t>
      </w:r>
    </w:p>
    <w:p w14:paraId="292AE98D" w14:textId="39880181" w:rsidR="00692798" w:rsidRPr="009D2102" w:rsidRDefault="00692798" w:rsidP="00692798">
      <w:r w:rsidRPr="009D2102">
        <w:lastRenderedPageBreak/>
        <w:t>In addition to these data and assumptions to estimate the use of FDG-PET for diagnosis of AD, the analysis also considered the possibility of increased expenditure on PBS</w:t>
      </w:r>
      <w:r w:rsidR="00F2342C">
        <w:t>-</w:t>
      </w:r>
      <w:r w:rsidRPr="009D2102">
        <w:t>listed medications to treat AD. That is, with the increased use of FDG-PET, it is anticipated that more positive diagnoses would be made (both true positives and false positives). Since this will lead to greater use of PBS-listed medication, the financial impact of this has been accounted for. This part of the analysis relied on data considered in Section C (i.e. daily treatment costs and treatment duration estimates). These were described previously and are referred to again in detail below.</w:t>
      </w:r>
    </w:p>
    <w:p w14:paraId="6E4E8888" w14:textId="440C092E" w:rsidR="00692798" w:rsidRPr="009D2102" w:rsidRDefault="00AF5C66" w:rsidP="00692798">
      <w:r>
        <w:t>Table ES.4</w:t>
      </w:r>
      <w:r w:rsidR="00692798" w:rsidRPr="009D2102">
        <w:t xml:space="preserve"> below presents estimates of the number of SPECT services currently utilised under the MBS for diagnosis of AD as well as the number of SPECT and FDG-PET services anticipated in the event of a positive listing for FDG-PET on the MBS. These estimates account for replacement of SPECT with FDG-PET as well as increased use of functional imaging in the event of a positive listing for FDG-PET on the MBS.</w:t>
      </w:r>
    </w:p>
    <w:p w14:paraId="55D8C017" w14:textId="7F303DAE" w:rsidR="00692798" w:rsidRPr="009D2102" w:rsidRDefault="00AF5C66" w:rsidP="00692798">
      <w:pPr>
        <w:pStyle w:val="Caption"/>
      </w:pPr>
      <w:r>
        <w:t>Table ES.4</w:t>
      </w:r>
      <w:r w:rsidR="00692798" w:rsidRPr="009D2102">
        <w:tab/>
        <w:t>FDG-PET and SPECT services under the current scenario and the future scenario in the event of a positive listing on the MBS for FDG-PET</w:t>
      </w:r>
    </w:p>
    <w:tbl>
      <w:tblPr>
        <w:tblStyle w:val="TableGrid"/>
        <w:tblW w:w="4610" w:type="pct"/>
        <w:tblInd w:w="704" w:type="dxa"/>
        <w:tblLook w:val="04A0" w:firstRow="1" w:lastRow="0" w:firstColumn="1" w:lastColumn="0" w:noHBand="0" w:noVBand="1"/>
        <w:tblCaption w:val="FDG-PET and SPECT services under the current scenario and the future scenario in the event of a positive listing on the MBS for FDG-PET"/>
        <w:tblDescription w:val="Estimates of the number of SPECT services utilised under the MBS over a five-year period, assuming that FDG-PET is not listed on the MBS. The table also shows the estimated number of SPECT and FDG-PET services over a five-year period, assuming that FDG-PET is listed on the MBS."/>
      </w:tblPr>
      <w:tblGrid>
        <w:gridCol w:w="3036"/>
        <w:gridCol w:w="1097"/>
        <w:gridCol w:w="1098"/>
        <w:gridCol w:w="1098"/>
        <w:gridCol w:w="1098"/>
        <w:gridCol w:w="1094"/>
      </w:tblGrid>
      <w:tr w:rsidR="00692798" w:rsidRPr="009D2102" w14:paraId="656AC0B4" w14:textId="77777777" w:rsidTr="00A66763">
        <w:trPr>
          <w:tblHeader/>
        </w:trPr>
        <w:tc>
          <w:tcPr>
            <w:tcW w:w="1782" w:type="pct"/>
          </w:tcPr>
          <w:p w14:paraId="774E27C4" w14:textId="77777777" w:rsidR="00692798" w:rsidRPr="009D2102" w:rsidRDefault="00692798" w:rsidP="00A66763">
            <w:pPr>
              <w:pStyle w:val="Tabletextboldleft"/>
              <w:jc w:val="right"/>
            </w:pPr>
          </w:p>
        </w:tc>
        <w:tc>
          <w:tcPr>
            <w:tcW w:w="644" w:type="pct"/>
          </w:tcPr>
          <w:p w14:paraId="0C587C3F" w14:textId="77777777" w:rsidR="00692798" w:rsidRPr="009D2102" w:rsidRDefault="00692798" w:rsidP="00A66763">
            <w:pPr>
              <w:pStyle w:val="Tabletextboldleft"/>
              <w:jc w:val="right"/>
            </w:pPr>
            <w:r w:rsidRPr="009D2102">
              <w:t>2015</w:t>
            </w:r>
          </w:p>
        </w:tc>
        <w:tc>
          <w:tcPr>
            <w:tcW w:w="644" w:type="pct"/>
          </w:tcPr>
          <w:p w14:paraId="39A3420C" w14:textId="77777777" w:rsidR="00692798" w:rsidRPr="009D2102" w:rsidRDefault="00692798" w:rsidP="00A66763">
            <w:pPr>
              <w:pStyle w:val="Tabletextboldleft"/>
              <w:jc w:val="right"/>
            </w:pPr>
            <w:r w:rsidRPr="009D2102">
              <w:t>2016</w:t>
            </w:r>
          </w:p>
        </w:tc>
        <w:tc>
          <w:tcPr>
            <w:tcW w:w="644" w:type="pct"/>
          </w:tcPr>
          <w:p w14:paraId="472992F0" w14:textId="77777777" w:rsidR="00692798" w:rsidRPr="009D2102" w:rsidRDefault="00692798" w:rsidP="00A66763">
            <w:pPr>
              <w:pStyle w:val="Tabletextboldleft"/>
              <w:jc w:val="right"/>
            </w:pPr>
            <w:r w:rsidRPr="009D2102">
              <w:t>2017</w:t>
            </w:r>
          </w:p>
        </w:tc>
        <w:tc>
          <w:tcPr>
            <w:tcW w:w="644" w:type="pct"/>
          </w:tcPr>
          <w:p w14:paraId="20F6CD18" w14:textId="77777777" w:rsidR="00692798" w:rsidRPr="009D2102" w:rsidRDefault="00692798" w:rsidP="00A66763">
            <w:pPr>
              <w:pStyle w:val="Tabletextboldleft"/>
              <w:jc w:val="right"/>
            </w:pPr>
            <w:r w:rsidRPr="009D2102">
              <w:t>2018</w:t>
            </w:r>
          </w:p>
        </w:tc>
        <w:tc>
          <w:tcPr>
            <w:tcW w:w="644" w:type="pct"/>
          </w:tcPr>
          <w:p w14:paraId="3726C545" w14:textId="77777777" w:rsidR="00692798" w:rsidRPr="009D2102" w:rsidRDefault="00692798" w:rsidP="00A66763">
            <w:pPr>
              <w:pStyle w:val="Tabletextboldleft"/>
              <w:jc w:val="right"/>
            </w:pPr>
            <w:r w:rsidRPr="009D2102">
              <w:t>2019</w:t>
            </w:r>
          </w:p>
        </w:tc>
      </w:tr>
      <w:tr w:rsidR="00692798" w:rsidRPr="009D2102" w14:paraId="088DDEAC" w14:textId="77777777" w:rsidTr="00A66763">
        <w:trPr>
          <w:tblHeader/>
        </w:trPr>
        <w:tc>
          <w:tcPr>
            <w:tcW w:w="1782" w:type="pct"/>
            <w:tcBorders>
              <w:right w:val="nil"/>
            </w:tcBorders>
          </w:tcPr>
          <w:p w14:paraId="4B6FB506" w14:textId="77777777" w:rsidR="00692798" w:rsidRPr="009D2102" w:rsidRDefault="00692798" w:rsidP="00A66763">
            <w:pPr>
              <w:pStyle w:val="Tabletextboldleft"/>
            </w:pPr>
            <w:r w:rsidRPr="009D2102">
              <w:t>No MBS listing for FDG-PET</w:t>
            </w:r>
          </w:p>
        </w:tc>
        <w:tc>
          <w:tcPr>
            <w:tcW w:w="644" w:type="pct"/>
            <w:tcBorders>
              <w:left w:val="nil"/>
              <w:right w:val="nil"/>
            </w:tcBorders>
          </w:tcPr>
          <w:p w14:paraId="178075C8" w14:textId="77777777" w:rsidR="00692798" w:rsidRPr="009D2102" w:rsidRDefault="00692798" w:rsidP="00A66763">
            <w:pPr>
              <w:pStyle w:val="Tabletextboldleft"/>
              <w:jc w:val="right"/>
              <w:rPr>
                <w:b w:val="0"/>
              </w:rPr>
            </w:pPr>
            <w:r w:rsidRPr="009D2102">
              <w:rPr>
                <w:b w:val="0"/>
              </w:rPr>
              <w:t>-</w:t>
            </w:r>
          </w:p>
        </w:tc>
        <w:tc>
          <w:tcPr>
            <w:tcW w:w="644" w:type="pct"/>
            <w:tcBorders>
              <w:left w:val="nil"/>
              <w:right w:val="nil"/>
            </w:tcBorders>
          </w:tcPr>
          <w:p w14:paraId="363341E3" w14:textId="77777777" w:rsidR="00692798" w:rsidRPr="009D2102" w:rsidRDefault="00692798" w:rsidP="00A66763">
            <w:pPr>
              <w:pStyle w:val="Tabletextboldleft"/>
              <w:jc w:val="right"/>
              <w:rPr>
                <w:b w:val="0"/>
              </w:rPr>
            </w:pPr>
            <w:r w:rsidRPr="009D2102">
              <w:rPr>
                <w:b w:val="0"/>
              </w:rPr>
              <w:t>-</w:t>
            </w:r>
          </w:p>
        </w:tc>
        <w:tc>
          <w:tcPr>
            <w:tcW w:w="644" w:type="pct"/>
            <w:tcBorders>
              <w:left w:val="nil"/>
              <w:right w:val="nil"/>
            </w:tcBorders>
          </w:tcPr>
          <w:p w14:paraId="67737F33" w14:textId="77777777" w:rsidR="00692798" w:rsidRPr="009D2102" w:rsidRDefault="00692798" w:rsidP="00A66763">
            <w:pPr>
              <w:pStyle w:val="Tabletextboldleft"/>
              <w:jc w:val="right"/>
              <w:rPr>
                <w:b w:val="0"/>
              </w:rPr>
            </w:pPr>
            <w:r w:rsidRPr="009D2102">
              <w:rPr>
                <w:b w:val="0"/>
              </w:rPr>
              <w:t>-</w:t>
            </w:r>
          </w:p>
        </w:tc>
        <w:tc>
          <w:tcPr>
            <w:tcW w:w="644" w:type="pct"/>
            <w:tcBorders>
              <w:left w:val="nil"/>
              <w:right w:val="nil"/>
            </w:tcBorders>
          </w:tcPr>
          <w:p w14:paraId="54E3AA48" w14:textId="77777777" w:rsidR="00692798" w:rsidRPr="009D2102" w:rsidRDefault="00692798" w:rsidP="00A66763">
            <w:pPr>
              <w:pStyle w:val="Tabletextboldleft"/>
              <w:jc w:val="right"/>
              <w:rPr>
                <w:b w:val="0"/>
              </w:rPr>
            </w:pPr>
            <w:r w:rsidRPr="009D2102">
              <w:rPr>
                <w:b w:val="0"/>
              </w:rPr>
              <w:t>-</w:t>
            </w:r>
          </w:p>
        </w:tc>
        <w:tc>
          <w:tcPr>
            <w:tcW w:w="644" w:type="pct"/>
            <w:tcBorders>
              <w:left w:val="nil"/>
            </w:tcBorders>
          </w:tcPr>
          <w:p w14:paraId="3D08756E" w14:textId="77777777" w:rsidR="00692798" w:rsidRPr="009D2102" w:rsidRDefault="00692798" w:rsidP="00A66763">
            <w:pPr>
              <w:pStyle w:val="Tabletextboldleft"/>
              <w:jc w:val="right"/>
              <w:rPr>
                <w:b w:val="0"/>
              </w:rPr>
            </w:pPr>
            <w:r w:rsidRPr="009D2102">
              <w:rPr>
                <w:b w:val="0"/>
              </w:rPr>
              <w:t>-</w:t>
            </w:r>
          </w:p>
        </w:tc>
      </w:tr>
      <w:tr w:rsidR="00692798" w:rsidRPr="009D2102" w14:paraId="57C9FC26" w14:textId="77777777" w:rsidTr="00A66763">
        <w:trPr>
          <w:tblHeader/>
        </w:trPr>
        <w:tc>
          <w:tcPr>
            <w:tcW w:w="1782" w:type="pct"/>
          </w:tcPr>
          <w:p w14:paraId="45A41A91" w14:textId="77777777" w:rsidR="00692798" w:rsidRPr="009D2102" w:rsidRDefault="00692798" w:rsidP="00A66763">
            <w:pPr>
              <w:pStyle w:val="Tabletextboldleft"/>
              <w:rPr>
                <w:b w:val="0"/>
              </w:rPr>
            </w:pPr>
            <w:r w:rsidRPr="009D2102">
              <w:rPr>
                <w:b w:val="0"/>
              </w:rPr>
              <w:t>SPECT services undertaken to attempt AD diagnosis via the MBS</w:t>
            </w:r>
          </w:p>
        </w:tc>
        <w:tc>
          <w:tcPr>
            <w:tcW w:w="644" w:type="pct"/>
          </w:tcPr>
          <w:p w14:paraId="439BFB5A" w14:textId="77777777" w:rsidR="00692798" w:rsidRPr="009D2102" w:rsidRDefault="00692798" w:rsidP="00A66763">
            <w:pPr>
              <w:pStyle w:val="Tabletextboldleft"/>
              <w:jc w:val="right"/>
              <w:rPr>
                <w:b w:val="0"/>
              </w:rPr>
            </w:pPr>
            <w:r w:rsidRPr="009D2102">
              <w:rPr>
                <w:b w:val="0"/>
              </w:rPr>
              <w:t>1324</w:t>
            </w:r>
          </w:p>
        </w:tc>
        <w:tc>
          <w:tcPr>
            <w:tcW w:w="644" w:type="pct"/>
          </w:tcPr>
          <w:p w14:paraId="52067AE5" w14:textId="77777777" w:rsidR="00692798" w:rsidRPr="009D2102" w:rsidRDefault="00692798" w:rsidP="00A66763">
            <w:pPr>
              <w:pStyle w:val="Tabletextboldleft"/>
              <w:jc w:val="right"/>
              <w:rPr>
                <w:b w:val="0"/>
              </w:rPr>
            </w:pPr>
            <w:r w:rsidRPr="009D2102">
              <w:rPr>
                <w:b w:val="0"/>
              </w:rPr>
              <w:t>1387</w:t>
            </w:r>
          </w:p>
        </w:tc>
        <w:tc>
          <w:tcPr>
            <w:tcW w:w="644" w:type="pct"/>
          </w:tcPr>
          <w:p w14:paraId="5DA57CCE" w14:textId="77777777" w:rsidR="00692798" w:rsidRPr="009D2102" w:rsidRDefault="00692798" w:rsidP="00A66763">
            <w:pPr>
              <w:pStyle w:val="Tabletextboldleft"/>
              <w:jc w:val="right"/>
              <w:rPr>
                <w:b w:val="0"/>
              </w:rPr>
            </w:pPr>
            <w:r w:rsidRPr="009D2102">
              <w:rPr>
                <w:b w:val="0"/>
              </w:rPr>
              <w:t>1455</w:t>
            </w:r>
          </w:p>
        </w:tc>
        <w:tc>
          <w:tcPr>
            <w:tcW w:w="644" w:type="pct"/>
          </w:tcPr>
          <w:p w14:paraId="30B1CDF8" w14:textId="77777777" w:rsidR="00692798" w:rsidRPr="009D2102" w:rsidRDefault="00692798" w:rsidP="00A66763">
            <w:pPr>
              <w:pStyle w:val="Tabletextboldleft"/>
              <w:jc w:val="right"/>
              <w:rPr>
                <w:b w:val="0"/>
              </w:rPr>
            </w:pPr>
            <w:r w:rsidRPr="009D2102">
              <w:rPr>
                <w:b w:val="0"/>
              </w:rPr>
              <w:t>1513</w:t>
            </w:r>
          </w:p>
        </w:tc>
        <w:tc>
          <w:tcPr>
            <w:tcW w:w="644" w:type="pct"/>
          </w:tcPr>
          <w:p w14:paraId="3037627C" w14:textId="77777777" w:rsidR="00692798" w:rsidRPr="009D2102" w:rsidRDefault="00692798" w:rsidP="00A66763">
            <w:pPr>
              <w:pStyle w:val="Tabletextboldleft"/>
              <w:jc w:val="right"/>
              <w:rPr>
                <w:b w:val="0"/>
              </w:rPr>
            </w:pPr>
            <w:r w:rsidRPr="009D2102">
              <w:rPr>
                <w:b w:val="0"/>
              </w:rPr>
              <w:t>1581</w:t>
            </w:r>
          </w:p>
        </w:tc>
      </w:tr>
      <w:tr w:rsidR="00692798" w:rsidRPr="009D2102" w14:paraId="60F8F777" w14:textId="77777777" w:rsidTr="00A66763">
        <w:trPr>
          <w:tblHeader/>
        </w:trPr>
        <w:tc>
          <w:tcPr>
            <w:tcW w:w="1782" w:type="pct"/>
            <w:tcBorders>
              <w:bottom w:val="single" w:sz="4" w:space="0" w:color="auto"/>
            </w:tcBorders>
          </w:tcPr>
          <w:p w14:paraId="7ADB141E" w14:textId="77777777" w:rsidR="00692798" w:rsidRPr="009D2102" w:rsidRDefault="00692798" w:rsidP="00A66763">
            <w:pPr>
              <w:pStyle w:val="Tabletextboldleft"/>
              <w:rPr>
                <w:b w:val="0"/>
              </w:rPr>
            </w:pPr>
            <w:r w:rsidRPr="009D2102">
              <w:rPr>
                <w:b w:val="0"/>
              </w:rPr>
              <w:t>FDG-PET services undertaken to attempt AD diagnosis via the MBS</w:t>
            </w:r>
          </w:p>
        </w:tc>
        <w:tc>
          <w:tcPr>
            <w:tcW w:w="644" w:type="pct"/>
            <w:tcBorders>
              <w:bottom w:val="single" w:sz="4" w:space="0" w:color="auto"/>
            </w:tcBorders>
          </w:tcPr>
          <w:p w14:paraId="419FCCB1" w14:textId="77777777" w:rsidR="00692798" w:rsidRPr="009D2102" w:rsidRDefault="00692798" w:rsidP="00A66763">
            <w:pPr>
              <w:pStyle w:val="Tabletextboldleft"/>
              <w:tabs>
                <w:tab w:val="center" w:pos="578"/>
                <w:tab w:val="right" w:pos="1157"/>
              </w:tabs>
              <w:jc w:val="right"/>
              <w:rPr>
                <w:b w:val="0"/>
              </w:rPr>
            </w:pPr>
            <w:r w:rsidRPr="009D2102">
              <w:rPr>
                <w:b w:val="0"/>
              </w:rPr>
              <w:t>0</w:t>
            </w:r>
          </w:p>
        </w:tc>
        <w:tc>
          <w:tcPr>
            <w:tcW w:w="644" w:type="pct"/>
            <w:tcBorders>
              <w:bottom w:val="single" w:sz="4" w:space="0" w:color="auto"/>
            </w:tcBorders>
          </w:tcPr>
          <w:p w14:paraId="2A7C7DA4" w14:textId="77777777" w:rsidR="00692798" w:rsidRPr="009D2102" w:rsidRDefault="00692798" w:rsidP="00A66763">
            <w:pPr>
              <w:pStyle w:val="Tabletextboldleft"/>
              <w:jc w:val="right"/>
              <w:rPr>
                <w:b w:val="0"/>
              </w:rPr>
            </w:pPr>
            <w:r w:rsidRPr="009D2102">
              <w:rPr>
                <w:b w:val="0"/>
              </w:rPr>
              <w:t>0</w:t>
            </w:r>
          </w:p>
        </w:tc>
        <w:tc>
          <w:tcPr>
            <w:tcW w:w="644" w:type="pct"/>
            <w:tcBorders>
              <w:bottom w:val="single" w:sz="4" w:space="0" w:color="auto"/>
            </w:tcBorders>
          </w:tcPr>
          <w:p w14:paraId="04ECC02B" w14:textId="77777777" w:rsidR="00692798" w:rsidRPr="009D2102" w:rsidRDefault="00692798" w:rsidP="00A66763">
            <w:pPr>
              <w:pStyle w:val="Tabletextboldleft"/>
              <w:jc w:val="right"/>
              <w:rPr>
                <w:b w:val="0"/>
              </w:rPr>
            </w:pPr>
            <w:r w:rsidRPr="009D2102">
              <w:rPr>
                <w:b w:val="0"/>
              </w:rPr>
              <w:t>0</w:t>
            </w:r>
          </w:p>
        </w:tc>
        <w:tc>
          <w:tcPr>
            <w:tcW w:w="644" w:type="pct"/>
            <w:tcBorders>
              <w:bottom w:val="single" w:sz="4" w:space="0" w:color="auto"/>
            </w:tcBorders>
          </w:tcPr>
          <w:p w14:paraId="0994DEF5" w14:textId="77777777" w:rsidR="00692798" w:rsidRPr="009D2102" w:rsidRDefault="00692798" w:rsidP="00A66763">
            <w:pPr>
              <w:pStyle w:val="Tabletextboldleft"/>
              <w:jc w:val="right"/>
              <w:rPr>
                <w:b w:val="0"/>
              </w:rPr>
            </w:pPr>
            <w:r w:rsidRPr="009D2102">
              <w:rPr>
                <w:b w:val="0"/>
              </w:rPr>
              <w:t>0</w:t>
            </w:r>
          </w:p>
        </w:tc>
        <w:tc>
          <w:tcPr>
            <w:tcW w:w="644" w:type="pct"/>
          </w:tcPr>
          <w:p w14:paraId="2F3A0C5C" w14:textId="77777777" w:rsidR="00692798" w:rsidRPr="009D2102" w:rsidRDefault="00692798" w:rsidP="00A66763">
            <w:pPr>
              <w:pStyle w:val="Tabletextboldleft"/>
              <w:jc w:val="right"/>
              <w:rPr>
                <w:b w:val="0"/>
              </w:rPr>
            </w:pPr>
            <w:r w:rsidRPr="009D2102">
              <w:rPr>
                <w:b w:val="0"/>
              </w:rPr>
              <w:t>0</w:t>
            </w:r>
          </w:p>
        </w:tc>
      </w:tr>
      <w:tr w:rsidR="00692798" w:rsidRPr="009D2102" w14:paraId="718AF4CA" w14:textId="77777777" w:rsidTr="00A66763">
        <w:trPr>
          <w:tblHeader/>
        </w:trPr>
        <w:tc>
          <w:tcPr>
            <w:tcW w:w="1782" w:type="pct"/>
            <w:tcBorders>
              <w:right w:val="nil"/>
            </w:tcBorders>
          </w:tcPr>
          <w:p w14:paraId="4A3A8C76" w14:textId="77777777" w:rsidR="00692798" w:rsidRPr="009D2102" w:rsidRDefault="00692798" w:rsidP="00A66763">
            <w:pPr>
              <w:pStyle w:val="Tabletextboldleft"/>
            </w:pPr>
            <w:r w:rsidRPr="009D2102">
              <w:t>With MBS listing for FDG-PET</w:t>
            </w:r>
          </w:p>
        </w:tc>
        <w:tc>
          <w:tcPr>
            <w:tcW w:w="644" w:type="pct"/>
            <w:tcBorders>
              <w:left w:val="nil"/>
              <w:right w:val="nil"/>
            </w:tcBorders>
          </w:tcPr>
          <w:p w14:paraId="432B6ADA" w14:textId="77777777" w:rsidR="00692798" w:rsidRPr="009D2102" w:rsidRDefault="00692798" w:rsidP="00A66763">
            <w:pPr>
              <w:pStyle w:val="Tabletextboldleft"/>
              <w:tabs>
                <w:tab w:val="center" w:pos="578"/>
                <w:tab w:val="right" w:pos="1157"/>
              </w:tabs>
              <w:jc w:val="right"/>
              <w:rPr>
                <w:b w:val="0"/>
              </w:rPr>
            </w:pPr>
            <w:r w:rsidRPr="009D2102">
              <w:rPr>
                <w:b w:val="0"/>
              </w:rPr>
              <w:t>-</w:t>
            </w:r>
          </w:p>
        </w:tc>
        <w:tc>
          <w:tcPr>
            <w:tcW w:w="644" w:type="pct"/>
            <w:tcBorders>
              <w:left w:val="nil"/>
              <w:right w:val="nil"/>
            </w:tcBorders>
          </w:tcPr>
          <w:p w14:paraId="73AEFAD1" w14:textId="77777777" w:rsidR="00692798" w:rsidRPr="009D2102" w:rsidRDefault="00692798" w:rsidP="00A66763">
            <w:pPr>
              <w:pStyle w:val="Tabletextboldleft"/>
              <w:jc w:val="right"/>
              <w:rPr>
                <w:b w:val="0"/>
              </w:rPr>
            </w:pPr>
            <w:r w:rsidRPr="009D2102">
              <w:rPr>
                <w:b w:val="0"/>
              </w:rPr>
              <w:t>-</w:t>
            </w:r>
          </w:p>
        </w:tc>
        <w:tc>
          <w:tcPr>
            <w:tcW w:w="644" w:type="pct"/>
            <w:tcBorders>
              <w:left w:val="nil"/>
              <w:right w:val="nil"/>
            </w:tcBorders>
          </w:tcPr>
          <w:p w14:paraId="1AD92B06" w14:textId="77777777" w:rsidR="00692798" w:rsidRPr="009D2102" w:rsidRDefault="00692798" w:rsidP="00A66763">
            <w:pPr>
              <w:pStyle w:val="Tabletextboldleft"/>
              <w:jc w:val="right"/>
              <w:rPr>
                <w:b w:val="0"/>
              </w:rPr>
            </w:pPr>
            <w:r w:rsidRPr="009D2102">
              <w:rPr>
                <w:b w:val="0"/>
              </w:rPr>
              <w:t>-</w:t>
            </w:r>
          </w:p>
        </w:tc>
        <w:tc>
          <w:tcPr>
            <w:tcW w:w="644" w:type="pct"/>
            <w:tcBorders>
              <w:left w:val="nil"/>
              <w:right w:val="nil"/>
            </w:tcBorders>
          </w:tcPr>
          <w:p w14:paraId="18544BD7" w14:textId="77777777" w:rsidR="00692798" w:rsidRPr="009D2102" w:rsidRDefault="00692798" w:rsidP="00A66763">
            <w:pPr>
              <w:pStyle w:val="Tabletextboldleft"/>
              <w:jc w:val="right"/>
              <w:rPr>
                <w:b w:val="0"/>
              </w:rPr>
            </w:pPr>
            <w:r w:rsidRPr="009D2102">
              <w:rPr>
                <w:b w:val="0"/>
              </w:rPr>
              <w:t>-</w:t>
            </w:r>
          </w:p>
        </w:tc>
        <w:tc>
          <w:tcPr>
            <w:tcW w:w="644" w:type="pct"/>
            <w:tcBorders>
              <w:left w:val="nil"/>
            </w:tcBorders>
          </w:tcPr>
          <w:p w14:paraId="74EE3598" w14:textId="77777777" w:rsidR="00692798" w:rsidRPr="009D2102" w:rsidRDefault="00692798" w:rsidP="00A66763">
            <w:pPr>
              <w:pStyle w:val="Tabletextboldleft"/>
              <w:jc w:val="right"/>
              <w:rPr>
                <w:b w:val="0"/>
              </w:rPr>
            </w:pPr>
            <w:r w:rsidRPr="009D2102">
              <w:rPr>
                <w:b w:val="0"/>
              </w:rPr>
              <w:t>-</w:t>
            </w:r>
          </w:p>
        </w:tc>
      </w:tr>
      <w:tr w:rsidR="00692798" w:rsidRPr="009D2102" w14:paraId="0C0212D8" w14:textId="77777777" w:rsidTr="00A66763">
        <w:tc>
          <w:tcPr>
            <w:tcW w:w="1782" w:type="pct"/>
          </w:tcPr>
          <w:p w14:paraId="7ADDCADC" w14:textId="77777777" w:rsidR="00692798" w:rsidRPr="009D2102" w:rsidRDefault="00692798" w:rsidP="00A66763">
            <w:pPr>
              <w:pStyle w:val="Tabletextcentred"/>
              <w:keepNext/>
              <w:jc w:val="left"/>
              <w:rPr>
                <w:vertAlign w:val="superscript"/>
              </w:rPr>
            </w:pPr>
            <w:r w:rsidRPr="009D2102">
              <w:t>FDG-PET services replacing SPECT to attempt AD diagnosis via the MBS</w:t>
            </w:r>
          </w:p>
        </w:tc>
        <w:tc>
          <w:tcPr>
            <w:tcW w:w="644" w:type="pct"/>
          </w:tcPr>
          <w:p w14:paraId="29BC6644" w14:textId="77777777" w:rsidR="00692798" w:rsidRPr="009D2102" w:rsidRDefault="00692798" w:rsidP="00A66763">
            <w:pPr>
              <w:pStyle w:val="Tabletextcentred"/>
              <w:keepNext/>
              <w:jc w:val="right"/>
            </w:pPr>
            <w:r w:rsidRPr="009D2102">
              <w:t>199</w:t>
            </w:r>
          </w:p>
        </w:tc>
        <w:tc>
          <w:tcPr>
            <w:tcW w:w="644" w:type="pct"/>
          </w:tcPr>
          <w:p w14:paraId="3BABFA6C" w14:textId="77777777" w:rsidR="00692798" w:rsidRPr="009D2102" w:rsidRDefault="00692798" w:rsidP="00A66763">
            <w:pPr>
              <w:pStyle w:val="Tabletextcentred"/>
              <w:keepNext/>
              <w:jc w:val="right"/>
            </w:pPr>
            <w:r w:rsidRPr="009D2102">
              <w:t>416</w:t>
            </w:r>
          </w:p>
        </w:tc>
        <w:tc>
          <w:tcPr>
            <w:tcW w:w="644" w:type="pct"/>
          </w:tcPr>
          <w:p w14:paraId="4FB2D228" w14:textId="77777777" w:rsidR="00692798" w:rsidRPr="009D2102" w:rsidRDefault="00692798" w:rsidP="00A66763">
            <w:pPr>
              <w:pStyle w:val="Tabletextcentred"/>
              <w:keepNext/>
              <w:jc w:val="right"/>
            </w:pPr>
            <w:r w:rsidRPr="009D2102">
              <w:t>655</w:t>
            </w:r>
          </w:p>
        </w:tc>
        <w:tc>
          <w:tcPr>
            <w:tcW w:w="644" w:type="pct"/>
          </w:tcPr>
          <w:p w14:paraId="1A3528F7" w14:textId="77777777" w:rsidR="00692798" w:rsidRPr="009D2102" w:rsidRDefault="00692798" w:rsidP="00A66763">
            <w:pPr>
              <w:pStyle w:val="Tabletextcentred"/>
              <w:keepNext/>
              <w:jc w:val="right"/>
            </w:pPr>
            <w:r w:rsidRPr="009D2102">
              <w:t>908</w:t>
            </w:r>
          </w:p>
        </w:tc>
        <w:tc>
          <w:tcPr>
            <w:tcW w:w="644" w:type="pct"/>
          </w:tcPr>
          <w:p w14:paraId="04715CCF" w14:textId="77777777" w:rsidR="00692798" w:rsidRPr="009D2102" w:rsidRDefault="00692798" w:rsidP="00A66763">
            <w:pPr>
              <w:pStyle w:val="Tabletextcentred"/>
              <w:keepNext/>
              <w:jc w:val="right"/>
            </w:pPr>
            <w:r w:rsidRPr="009D2102">
              <w:t>1106</w:t>
            </w:r>
          </w:p>
        </w:tc>
      </w:tr>
      <w:tr w:rsidR="00692798" w:rsidRPr="009D2102" w14:paraId="425BCEE6" w14:textId="77777777" w:rsidTr="00A66763">
        <w:tc>
          <w:tcPr>
            <w:tcW w:w="1782" w:type="pct"/>
          </w:tcPr>
          <w:p w14:paraId="4699B14D" w14:textId="77777777" w:rsidR="00692798" w:rsidRPr="009D2102" w:rsidRDefault="00692798" w:rsidP="00A66763">
            <w:pPr>
              <w:pStyle w:val="Tabletextcentred"/>
              <w:keepNext/>
              <w:jc w:val="left"/>
            </w:pPr>
            <w:r w:rsidRPr="009D2102">
              <w:rPr>
                <w:szCs w:val="20"/>
              </w:rPr>
              <w:t>Net SPECT services undertaken to attempt AD diagnosis via the MBS</w:t>
            </w:r>
          </w:p>
        </w:tc>
        <w:tc>
          <w:tcPr>
            <w:tcW w:w="644" w:type="pct"/>
          </w:tcPr>
          <w:p w14:paraId="11339FBB" w14:textId="77777777" w:rsidR="00692798" w:rsidRPr="009D2102" w:rsidRDefault="00692798" w:rsidP="00A66763">
            <w:pPr>
              <w:pStyle w:val="Tabletextcentred"/>
              <w:keepNext/>
              <w:jc w:val="right"/>
            </w:pPr>
            <w:r w:rsidRPr="009D2102">
              <w:t>1125</w:t>
            </w:r>
          </w:p>
        </w:tc>
        <w:tc>
          <w:tcPr>
            <w:tcW w:w="644" w:type="pct"/>
          </w:tcPr>
          <w:p w14:paraId="04838AB9" w14:textId="77777777" w:rsidR="00692798" w:rsidRPr="009D2102" w:rsidRDefault="00692798" w:rsidP="00A66763">
            <w:pPr>
              <w:pStyle w:val="Tabletextcentred"/>
              <w:keepNext/>
              <w:jc w:val="right"/>
            </w:pPr>
            <w:r w:rsidRPr="009D2102">
              <w:t>971</w:t>
            </w:r>
          </w:p>
        </w:tc>
        <w:tc>
          <w:tcPr>
            <w:tcW w:w="644" w:type="pct"/>
          </w:tcPr>
          <w:p w14:paraId="456DA11D" w14:textId="77777777" w:rsidR="00692798" w:rsidRPr="009D2102" w:rsidRDefault="00692798" w:rsidP="00A66763">
            <w:pPr>
              <w:pStyle w:val="Tabletextcentred"/>
              <w:keepNext/>
              <w:jc w:val="right"/>
            </w:pPr>
            <w:r w:rsidRPr="009D2102">
              <w:t>800</w:t>
            </w:r>
          </w:p>
        </w:tc>
        <w:tc>
          <w:tcPr>
            <w:tcW w:w="644" w:type="pct"/>
          </w:tcPr>
          <w:p w14:paraId="19CAC16F" w14:textId="77777777" w:rsidR="00692798" w:rsidRPr="009D2102" w:rsidRDefault="00692798" w:rsidP="00A66763">
            <w:pPr>
              <w:pStyle w:val="Tabletextcentred"/>
              <w:keepNext/>
              <w:jc w:val="right"/>
            </w:pPr>
            <w:r w:rsidRPr="009D2102">
              <w:t>605</w:t>
            </w:r>
          </w:p>
        </w:tc>
        <w:tc>
          <w:tcPr>
            <w:tcW w:w="644" w:type="pct"/>
          </w:tcPr>
          <w:p w14:paraId="126B8862" w14:textId="77777777" w:rsidR="00692798" w:rsidRPr="009D2102" w:rsidRDefault="00692798" w:rsidP="00A66763">
            <w:pPr>
              <w:pStyle w:val="Tabletextcentred"/>
              <w:keepNext/>
              <w:jc w:val="right"/>
            </w:pPr>
            <w:r w:rsidRPr="009D2102">
              <w:t>474</w:t>
            </w:r>
          </w:p>
        </w:tc>
      </w:tr>
      <w:tr w:rsidR="00692798" w:rsidRPr="009D2102" w14:paraId="51427520" w14:textId="77777777" w:rsidTr="00A66763">
        <w:tc>
          <w:tcPr>
            <w:tcW w:w="1782" w:type="pct"/>
          </w:tcPr>
          <w:p w14:paraId="571D2957" w14:textId="77777777" w:rsidR="00692798" w:rsidRPr="009D2102" w:rsidRDefault="00692798" w:rsidP="00A66763">
            <w:pPr>
              <w:pStyle w:val="Tabletextcentred"/>
              <w:keepNext/>
              <w:jc w:val="left"/>
            </w:pPr>
            <w:r w:rsidRPr="009D2102">
              <w:t>Additional FDG-PET services due to increased used of functional imaging</w:t>
            </w:r>
          </w:p>
        </w:tc>
        <w:tc>
          <w:tcPr>
            <w:tcW w:w="644" w:type="pct"/>
          </w:tcPr>
          <w:p w14:paraId="14C7DC01" w14:textId="77777777" w:rsidR="00692798" w:rsidRPr="009D2102" w:rsidRDefault="00692798" w:rsidP="00A66763">
            <w:pPr>
              <w:pStyle w:val="Tabletextcentred"/>
              <w:keepNext/>
              <w:jc w:val="right"/>
            </w:pPr>
            <w:r w:rsidRPr="009D2102">
              <w:t>0</w:t>
            </w:r>
          </w:p>
        </w:tc>
        <w:tc>
          <w:tcPr>
            <w:tcW w:w="644" w:type="pct"/>
          </w:tcPr>
          <w:p w14:paraId="524FCD55" w14:textId="77777777" w:rsidR="00692798" w:rsidRPr="009D2102" w:rsidRDefault="00692798" w:rsidP="00A66763">
            <w:pPr>
              <w:pStyle w:val="Tabletextcentred"/>
              <w:keepNext/>
              <w:jc w:val="right"/>
            </w:pPr>
            <w:r w:rsidRPr="009D2102">
              <w:t>35</w:t>
            </w:r>
          </w:p>
        </w:tc>
        <w:tc>
          <w:tcPr>
            <w:tcW w:w="644" w:type="pct"/>
          </w:tcPr>
          <w:p w14:paraId="5A850DD8" w14:textId="77777777" w:rsidR="00692798" w:rsidRPr="009D2102" w:rsidRDefault="00692798" w:rsidP="00A66763">
            <w:pPr>
              <w:pStyle w:val="Tabletextcentred"/>
              <w:keepNext/>
              <w:jc w:val="right"/>
            </w:pPr>
            <w:r w:rsidRPr="009D2102">
              <w:t>73</w:t>
            </w:r>
          </w:p>
        </w:tc>
        <w:tc>
          <w:tcPr>
            <w:tcW w:w="644" w:type="pct"/>
          </w:tcPr>
          <w:p w14:paraId="3D70FAC0" w14:textId="77777777" w:rsidR="00692798" w:rsidRPr="009D2102" w:rsidRDefault="00692798" w:rsidP="00A66763">
            <w:pPr>
              <w:pStyle w:val="Tabletextcentred"/>
              <w:keepNext/>
              <w:jc w:val="right"/>
            </w:pPr>
            <w:r w:rsidRPr="009D2102">
              <w:t>113</w:t>
            </w:r>
          </w:p>
        </w:tc>
        <w:tc>
          <w:tcPr>
            <w:tcW w:w="644" w:type="pct"/>
          </w:tcPr>
          <w:p w14:paraId="32506514" w14:textId="77777777" w:rsidR="00692798" w:rsidRPr="009D2102" w:rsidRDefault="00692798" w:rsidP="00A66763">
            <w:pPr>
              <w:pStyle w:val="Tabletextcentred"/>
              <w:keepNext/>
              <w:jc w:val="right"/>
            </w:pPr>
            <w:r w:rsidRPr="009D2102">
              <w:t>158</w:t>
            </w:r>
          </w:p>
        </w:tc>
      </w:tr>
      <w:tr w:rsidR="00692798" w:rsidRPr="009D2102" w14:paraId="5AFF8BAB" w14:textId="77777777" w:rsidTr="00A66763">
        <w:tc>
          <w:tcPr>
            <w:tcW w:w="1782" w:type="pct"/>
          </w:tcPr>
          <w:p w14:paraId="7D9423B0" w14:textId="77777777" w:rsidR="00692798" w:rsidRPr="009D2102" w:rsidRDefault="00692798" w:rsidP="00A66763">
            <w:pPr>
              <w:pStyle w:val="Tabletext"/>
              <w:keepNext/>
              <w:ind w:left="0"/>
              <w:jc w:val="left"/>
              <w:rPr>
                <w:rFonts w:ascii="Arial Narrow" w:hAnsi="Arial Narrow"/>
                <w:sz w:val="20"/>
                <w:szCs w:val="20"/>
              </w:rPr>
            </w:pPr>
            <w:r w:rsidRPr="009D2102">
              <w:rPr>
                <w:rFonts w:ascii="Arial Narrow" w:hAnsi="Arial Narrow"/>
                <w:sz w:val="20"/>
                <w:szCs w:val="20"/>
              </w:rPr>
              <w:t>Total FDG-PET services expected for attempted diagnosis of AD via the MBS in the event of a positive listing</w:t>
            </w:r>
          </w:p>
        </w:tc>
        <w:tc>
          <w:tcPr>
            <w:tcW w:w="644" w:type="pct"/>
          </w:tcPr>
          <w:p w14:paraId="372A19B0" w14:textId="77777777" w:rsidR="00692798" w:rsidRPr="009D2102" w:rsidRDefault="00692798" w:rsidP="00A66763">
            <w:pPr>
              <w:pStyle w:val="Tabletextcentred"/>
              <w:keepNext/>
              <w:jc w:val="right"/>
            </w:pPr>
            <w:r w:rsidRPr="009D2102">
              <w:t>199</w:t>
            </w:r>
          </w:p>
        </w:tc>
        <w:tc>
          <w:tcPr>
            <w:tcW w:w="644" w:type="pct"/>
          </w:tcPr>
          <w:p w14:paraId="65284D6D" w14:textId="77777777" w:rsidR="00692798" w:rsidRPr="009D2102" w:rsidRDefault="00692798" w:rsidP="00A66763">
            <w:pPr>
              <w:pStyle w:val="Tabletextcentred"/>
              <w:keepNext/>
              <w:jc w:val="right"/>
            </w:pPr>
            <w:r w:rsidRPr="009D2102">
              <w:t>451</w:t>
            </w:r>
          </w:p>
        </w:tc>
        <w:tc>
          <w:tcPr>
            <w:tcW w:w="644" w:type="pct"/>
          </w:tcPr>
          <w:p w14:paraId="562F3C4B" w14:textId="77777777" w:rsidR="00692798" w:rsidRPr="009D2102" w:rsidRDefault="00692798" w:rsidP="00A66763">
            <w:pPr>
              <w:pStyle w:val="Tabletextcentred"/>
              <w:keepNext/>
              <w:jc w:val="right"/>
            </w:pPr>
            <w:r w:rsidRPr="009D2102">
              <w:t>728</w:t>
            </w:r>
          </w:p>
        </w:tc>
        <w:tc>
          <w:tcPr>
            <w:tcW w:w="644" w:type="pct"/>
          </w:tcPr>
          <w:p w14:paraId="6D28E016" w14:textId="77777777" w:rsidR="00692798" w:rsidRPr="009D2102" w:rsidRDefault="00692798" w:rsidP="00A66763">
            <w:pPr>
              <w:pStyle w:val="Tabletextcentred"/>
              <w:keepNext/>
              <w:jc w:val="right"/>
            </w:pPr>
            <w:r w:rsidRPr="009D2102">
              <w:t>1021</w:t>
            </w:r>
          </w:p>
        </w:tc>
        <w:tc>
          <w:tcPr>
            <w:tcW w:w="644" w:type="pct"/>
          </w:tcPr>
          <w:p w14:paraId="542999D6" w14:textId="77777777" w:rsidR="00692798" w:rsidRPr="009D2102" w:rsidRDefault="00692798" w:rsidP="00A66763">
            <w:pPr>
              <w:pStyle w:val="Tabletextcentred"/>
              <w:keepNext/>
              <w:jc w:val="right"/>
            </w:pPr>
            <w:r w:rsidRPr="009D2102">
              <w:t>1264</w:t>
            </w:r>
          </w:p>
        </w:tc>
      </w:tr>
    </w:tbl>
    <w:p w14:paraId="189E12AA" w14:textId="5B6E1A20" w:rsidR="00692798" w:rsidRPr="009D2102" w:rsidRDefault="00692798" w:rsidP="00692798">
      <w:pPr>
        <w:pStyle w:val="Tablefootnotes"/>
        <w:keepNext/>
      </w:pPr>
      <w:r w:rsidRPr="009D2102">
        <w:t>Abbreviations: AD, Alzheimer’s disease; FDG-PET, flu</w:t>
      </w:r>
      <w:r w:rsidR="0038452F">
        <w:t>o</w:t>
      </w:r>
      <w:r w:rsidRPr="009D2102">
        <w:t>rodeoxyglucose positron emission tomography; MBS, Medicare Benefits Schedule</w:t>
      </w:r>
    </w:p>
    <w:p w14:paraId="033EBAAF" w14:textId="4D2B8255" w:rsidR="00692798" w:rsidRPr="009D2102" w:rsidRDefault="00692798" w:rsidP="00692798">
      <w:r w:rsidRPr="009D2102">
        <w:t xml:space="preserve">Accounting for associated specialist consultations, the total MBS costs with and without a successful FDG-PET listing on the MBS are presented in </w:t>
      </w:r>
      <w:r w:rsidR="00AF5C66">
        <w:t>Table ES.5</w:t>
      </w:r>
      <w:r w:rsidRPr="009D2102">
        <w:t>.</w:t>
      </w:r>
    </w:p>
    <w:p w14:paraId="188C8486" w14:textId="6752019E" w:rsidR="00692798" w:rsidRPr="009D2102" w:rsidRDefault="00AF5C66" w:rsidP="00692798">
      <w:pPr>
        <w:pStyle w:val="Caption"/>
      </w:pPr>
      <w:r>
        <w:lastRenderedPageBreak/>
        <w:t>Table ES.5</w:t>
      </w:r>
      <w:r w:rsidR="00692798" w:rsidRPr="009D2102">
        <w:tab/>
        <w:t>Total MBS costs with and without a successful FDG-PET listing on the MBS</w:t>
      </w:r>
    </w:p>
    <w:tbl>
      <w:tblPr>
        <w:tblStyle w:val="TableGrid"/>
        <w:tblW w:w="4610" w:type="pct"/>
        <w:tblInd w:w="704" w:type="dxa"/>
        <w:tblLook w:val="04A0" w:firstRow="1" w:lastRow="0" w:firstColumn="1" w:lastColumn="0" w:noHBand="0" w:noVBand="1"/>
        <w:tblCaption w:val="Total MBS costs with and without a successful FDG-PET listing on the MBS"/>
        <w:tblDescription w:val="Estimates of the cost of SPECT services utilised under the MBS over a five-year period, assuming that FDG-PET is not listed on the MBS. The table also shows the estimated cost of SPECT and FDG-PET services over a five-year period, assuming that FDG-PET is successfully listed on the MBS."/>
      </w:tblPr>
      <w:tblGrid>
        <w:gridCol w:w="2859"/>
        <w:gridCol w:w="1132"/>
        <w:gridCol w:w="1133"/>
        <w:gridCol w:w="1132"/>
        <w:gridCol w:w="1133"/>
        <w:gridCol w:w="1132"/>
      </w:tblGrid>
      <w:tr w:rsidR="00692798" w:rsidRPr="009D2102" w14:paraId="0E4BE7E1" w14:textId="77777777" w:rsidTr="00A66763">
        <w:trPr>
          <w:tblHeader/>
        </w:trPr>
        <w:tc>
          <w:tcPr>
            <w:tcW w:w="1678" w:type="pct"/>
            <w:tcBorders>
              <w:bottom w:val="single" w:sz="4" w:space="0" w:color="auto"/>
            </w:tcBorders>
          </w:tcPr>
          <w:p w14:paraId="61C4BDF4" w14:textId="77777777" w:rsidR="00692798" w:rsidRPr="009D2102" w:rsidRDefault="00692798" w:rsidP="00A66763">
            <w:pPr>
              <w:pStyle w:val="Tabletextboldleft"/>
              <w:jc w:val="right"/>
            </w:pPr>
          </w:p>
        </w:tc>
        <w:tc>
          <w:tcPr>
            <w:tcW w:w="664" w:type="pct"/>
            <w:tcBorders>
              <w:bottom w:val="single" w:sz="4" w:space="0" w:color="auto"/>
            </w:tcBorders>
          </w:tcPr>
          <w:p w14:paraId="53B8301A" w14:textId="77777777" w:rsidR="00692798" w:rsidRPr="009D2102" w:rsidRDefault="00692798" w:rsidP="00A66763">
            <w:pPr>
              <w:pStyle w:val="Tabletextboldleft"/>
              <w:jc w:val="right"/>
            </w:pPr>
            <w:r w:rsidRPr="009D2102">
              <w:t>2015</w:t>
            </w:r>
          </w:p>
        </w:tc>
        <w:tc>
          <w:tcPr>
            <w:tcW w:w="665" w:type="pct"/>
            <w:tcBorders>
              <w:bottom w:val="single" w:sz="4" w:space="0" w:color="auto"/>
            </w:tcBorders>
          </w:tcPr>
          <w:p w14:paraId="5C1A35F4" w14:textId="77777777" w:rsidR="00692798" w:rsidRPr="009D2102" w:rsidRDefault="00692798" w:rsidP="00A66763">
            <w:pPr>
              <w:pStyle w:val="Tabletextboldleft"/>
              <w:jc w:val="right"/>
            </w:pPr>
            <w:r w:rsidRPr="009D2102">
              <w:t>2016</w:t>
            </w:r>
          </w:p>
        </w:tc>
        <w:tc>
          <w:tcPr>
            <w:tcW w:w="664" w:type="pct"/>
            <w:tcBorders>
              <w:bottom w:val="single" w:sz="4" w:space="0" w:color="auto"/>
            </w:tcBorders>
          </w:tcPr>
          <w:p w14:paraId="7494A9AE" w14:textId="77777777" w:rsidR="00692798" w:rsidRPr="009D2102" w:rsidRDefault="00692798" w:rsidP="00A66763">
            <w:pPr>
              <w:pStyle w:val="Tabletextboldleft"/>
              <w:jc w:val="right"/>
            </w:pPr>
            <w:r w:rsidRPr="009D2102">
              <w:t>2017</w:t>
            </w:r>
          </w:p>
        </w:tc>
        <w:tc>
          <w:tcPr>
            <w:tcW w:w="665" w:type="pct"/>
            <w:tcBorders>
              <w:bottom w:val="single" w:sz="4" w:space="0" w:color="auto"/>
            </w:tcBorders>
          </w:tcPr>
          <w:p w14:paraId="063E6277" w14:textId="77777777" w:rsidR="00692798" w:rsidRPr="009D2102" w:rsidRDefault="00692798" w:rsidP="00A66763">
            <w:pPr>
              <w:pStyle w:val="Tabletextboldleft"/>
              <w:jc w:val="right"/>
            </w:pPr>
            <w:r w:rsidRPr="009D2102">
              <w:t>2018</w:t>
            </w:r>
          </w:p>
        </w:tc>
        <w:tc>
          <w:tcPr>
            <w:tcW w:w="665" w:type="pct"/>
          </w:tcPr>
          <w:p w14:paraId="22541239" w14:textId="77777777" w:rsidR="00692798" w:rsidRPr="009D2102" w:rsidRDefault="00692798" w:rsidP="00A66763">
            <w:pPr>
              <w:pStyle w:val="Tabletextboldleft"/>
              <w:jc w:val="right"/>
            </w:pPr>
            <w:r w:rsidRPr="009D2102">
              <w:t>2019</w:t>
            </w:r>
          </w:p>
        </w:tc>
      </w:tr>
      <w:tr w:rsidR="00692798" w:rsidRPr="009D2102" w14:paraId="7FE78ED3" w14:textId="77777777" w:rsidTr="00A66763">
        <w:tc>
          <w:tcPr>
            <w:tcW w:w="1678" w:type="pct"/>
            <w:tcBorders>
              <w:right w:val="nil"/>
            </w:tcBorders>
          </w:tcPr>
          <w:p w14:paraId="110B6E0B" w14:textId="77777777" w:rsidR="00692798" w:rsidRPr="009D2102" w:rsidRDefault="00692798" w:rsidP="00A66763">
            <w:pPr>
              <w:pStyle w:val="Tabletextcentred"/>
              <w:keepNext/>
              <w:jc w:val="left"/>
              <w:rPr>
                <w:b/>
              </w:rPr>
            </w:pPr>
            <w:r w:rsidRPr="009D2102">
              <w:rPr>
                <w:b/>
              </w:rPr>
              <w:t>No MBS listing for FDG-PET</w:t>
            </w:r>
          </w:p>
        </w:tc>
        <w:tc>
          <w:tcPr>
            <w:tcW w:w="664" w:type="pct"/>
            <w:tcBorders>
              <w:left w:val="nil"/>
              <w:right w:val="nil"/>
            </w:tcBorders>
          </w:tcPr>
          <w:p w14:paraId="7E896486" w14:textId="77777777" w:rsidR="00692798" w:rsidRPr="009D2102" w:rsidRDefault="00692798" w:rsidP="00A66763">
            <w:pPr>
              <w:pStyle w:val="Tabletextcentred"/>
              <w:keepNext/>
              <w:jc w:val="right"/>
            </w:pPr>
            <w:r w:rsidRPr="009D2102">
              <w:t>-</w:t>
            </w:r>
          </w:p>
        </w:tc>
        <w:tc>
          <w:tcPr>
            <w:tcW w:w="665" w:type="pct"/>
            <w:tcBorders>
              <w:left w:val="nil"/>
              <w:right w:val="nil"/>
            </w:tcBorders>
          </w:tcPr>
          <w:p w14:paraId="77E26249" w14:textId="77777777" w:rsidR="00692798" w:rsidRPr="009D2102" w:rsidRDefault="00692798" w:rsidP="00A66763">
            <w:pPr>
              <w:pStyle w:val="Tabletextcentred"/>
              <w:keepNext/>
              <w:jc w:val="right"/>
            </w:pPr>
            <w:r w:rsidRPr="009D2102">
              <w:t>-</w:t>
            </w:r>
          </w:p>
        </w:tc>
        <w:tc>
          <w:tcPr>
            <w:tcW w:w="664" w:type="pct"/>
            <w:tcBorders>
              <w:left w:val="nil"/>
              <w:right w:val="nil"/>
            </w:tcBorders>
          </w:tcPr>
          <w:p w14:paraId="42E1833B" w14:textId="77777777" w:rsidR="00692798" w:rsidRPr="009D2102" w:rsidRDefault="00692798" w:rsidP="00A66763">
            <w:pPr>
              <w:pStyle w:val="Tabletextcentred"/>
              <w:keepNext/>
              <w:jc w:val="right"/>
            </w:pPr>
            <w:r w:rsidRPr="009D2102">
              <w:t>-</w:t>
            </w:r>
          </w:p>
        </w:tc>
        <w:tc>
          <w:tcPr>
            <w:tcW w:w="665" w:type="pct"/>
            <w:tcBorders>
              <w:left w:val="nil"/>
              <w:right w:val="nil"/>
            </w:tcBorders>
          </w:tcPr>
          <w:p w14:paraId="607439E2" w14:textId="77777777" w:rsidR="00692798" w:rsidRPr="009D2102" w:rsidRDefault="00692798" w:rsidP="00A66763">
            <w:pPr>
              <w:pStyle w:val="Tabletextcentred"/>
              <w:keepNext/>
              <w:jc w:val="right"/>
            </w:pPr>
            <w:r w:rsidRPr="009D2102">
              <w:t>-</w:t>
            </w:r>
          </w:p>
        </w:tc>
        <w:tc>
          <w:tcPr>
            <w:tcW w:w="665" w:type="pct"/>
            <w:tcBorders>
              <w:left w:val="nil"/>
            </w:tcBorders>
          </w:tcPr>
          <w:p w14:paraId="65DD8FEE" w14:textId="77777777" w:rsidR="00692798" w:rsidRPr="009D2102" w:rsidRDefault="00692798" w:rsidP="00A66763">
            <w:pPr>
              <w:pStyle w:val="Tabletextcentred"/>
              <w:keepNext/>
              <w:jc w:val="right"/>
            </w:pPr>
            <w:r w:rsidRPr="009D2102">
              <w:t>-</w:t>
            </w:r>
          </w:p>
        </w:tc>
      </w:tr>
      <w:tr w:rsidR="00692798" w:rsidRPr="009D2102" w14:paraId="5C64FB26" w14:textId="77777777" w:rsidTr="00A66763">
        <w:tc>
          <w:tcPr>
            <w:tcW w:w="1678" w:type="pct"/>
          </w:tcPr>
          <w:p w14:paraId="715F2E09" w14:textId="77777777" w:rsidR="00692798" w:rsidRPr="009D2102" w:rsidRDefault="00692798" w:rsidP="00A66763">
            <w:pPr>
              <w:pStyle w:val="Tabletextcentred"/>
              <w:keepNext/>
              <w:jc w:val="left"/>
            </w:pPr>
            <w:r w:rsidRPr="009D2102">
              <w:t>Total cost of SPECT for AD diagnosis</w:t>
            </w:r>
          </w:p>
        </w:tc>
        <w:tc>
          <w:tcPr>
            <w:tcW w:w="664" w:type="pct"/>
          </w:tcPr>
          <w:p w14:paraId="6B75F2FF" w14:textId="77777777" w:rsidR="00692798" w:rsidRPr="009D2102" w:rsidRDefault="00692798" w:rsidP="00A66763">
            <w:pPr>
              <w:pStyle w:val="Tabletextcentred"/>
              <w:keepNext/>
              <w:jc w:val="right"/>
            </w:pPr>
            <w:r w:rsidRPr="009D2102">
              <w:t>$699,987</w:t>
            </w:r>
          </w:p>
        </w:tc>
        <w:tc>
          <w:tcPr>
            <w:tcW w:w="665" w:type="pct"/>
          </w:tcPr>
          <w:p w14:paraId="26F817D9" w14:textId="77777777" w:rsidR="00692798" w:rsidRPr="009D2102" w:rsidRDefault="00692798" w:rsidP="00A66763">
            <w:pPr>
              <w:pStyle w:val="Tabletextcentred"/>
              <w:keepNext/>
              <w:jc w:val="right"/>
            </w:pPr>
            <w:r w:rsidRPr="009D2102">
              <w:t>$733,778</w:t>
            </w:r>
          </w:p>
        </w:tc>
        <w:tc>
          <w:tcPr>
            <w:tcW w:w="664" w:type="pct"/>
          </w:tcPr>
          <w:p w14:paraId="16B7B960" w14:textId="77777777" w:rsidR="00692798" w:rsidRPr="009D2102" w:rsidRDefault="00692798" w:rsidP="00A66763">
            <w:pPr>
              <w:pStyle w:val="Tabletextcentred"/>
              <w:keepNext/>
              <w:jc w:val="right"/>
            </w:pPr>
            <w:r w:rsidRPr="009D2102">
              <w:t>$769,502</w:t>
            </w:r>
          </w:p>
        </w:tc>
        <w:tc>
          <w:tcPr>
            <w:tcW w:w="665" w:type="pct"/>
          </w:tcPr>
          <w:p w14:paraId="214F4DAD" w14:textId="77777777" w:rsidR="00692798" w:rsidRPr="009D2102" w:rsidRDefault="00692798" w:rsidP="00A66763">
            <w:pPr>
              <w:pStyle w:val="Tabletextcentred"/>
              <w:keepNext/>
              <w:jc w:val="right"/>
            </w:pPr>
            <w:r w:rsidRPr="009D2102">
              <w:t>$799,947</w:t>
            </w:r>
          </w:p>
        </w:tc>
        <w:tc>
          <w:tcPr>
            <w:tcW w:w="665" w:type="pct"/>
          </w:tcPr>
          <w:p w14:paraId="7A63A95B" w14:textId="77777777" w:rsidR="00692798" w:rsidRPr="009D2102" w:rsidRDefault="00692798" w:rsidP="00A66763">
            <w:pPr>
              <w:pStyle w:val="Tabletextcentred"/>
              <w:keepNext/>
              <w:jc w:val="right"/>
            </w:pPr>
            <w:r w:rsidRPr="009D2102">
              <w:t>$835,871</w:t>
            </w:r>
          </w:p>
        </w:tc>
      </w:tr>
      <w:tr w:rsidR="00692798" w:rsidRPr="009D2102" w14:paraId="288F525C" w14:textId="77777777" w:rsidTr="00A66763">
        <w:tc>
          <w:tcPr>
            <w:tcW w:w="1678" w:type="pct"/>
          </w:tcPr>
          <w:p w14:paraId="2903BAA5" w14:textId="77777777" w:rsidR="00692798" w:rsidRPr="009D2102" w:rsidRDefault="00692798" w:rsidP="00A66763">
            <w:pPr>
              <w:pStyle w:val="Tabletextcentred"/>
              <w:keepNext/>
              <w:jc w:val="left"/>
              <w:rPr>
                <w:vertAlign w:val="superscript"/>
              </w:rPr>
            </w:pPr>
            <w:r w:rsidRPr="009D2102">
              <w:t>Total cost of FDG-PET for AD diagnosis</w:t>
            </w:r>
          </w:p>
        </w:tc>
        <w:tc>
          <w:tcPr>
            <w:tcW w:w="664" w:type="pct"/>
          </w:tcPr>
          <w:p w14:paraId="0F1C1D9E" w14:textId="77777777" w:rsidR="00692798" w:rsidRPr="009D2102" w:rsidRDefault="00692798" w:rsidP="00A66763">
            <w:pPr>
              <w:pStyle w:val="Tabletextcentred"/>
              <w:keepNext/>
              <w:jc w:val="right"/>
            </w:pPr>
            <w:r w:rsidRPr="009D2102">
              <w:t>$0</w:t>
            </w:r>
          </w:p>
        </w:tc>
        <w:tc>
          <w:tcPr>
            <w:tcW w:w="665" w:type="pct"/>
          </w:tcPr>
          <w:p w14:paraId="44A8E96D" w14:textId="77777777" w:rsidR="00692798" w:rsidRPr="009D2102" w:rsidRDefault="00692798" w:rsidP="00A66763">
            <w:pPr>
              <w:pStyle w:val="Tabletextcentred"/>
              <w:keepNext/>
              <w:jc w:val="right"/>
            </w:pPr>
            <w:r w:rsidRPr="009D2102">
              <w:t>$0</w:t>
            </w:r>
          </w:p>
        </w:tc>
        <w:tc>
          <w:tcPr>
            <w:tcW w:w="664" w:type="pct"/>
          </w:tcPr>
          <w:p w14:paraId="1F0FC8D3" w14:textId="77777777" w:rsidR="00692798" w:rsidRPr="009D2102" w:rsidRDefault="00692798" w:rsidP="00A66763">
            <w:pPr>
              <w:pStyle w:val="Tabletextcentred"/>
              <w:keepNext/>
              <w:jc w:val="right"/>
            </w:pPr>
            <w:r w:rsidRPr="009D2102">
              <w:t>$0</w:t>
            </w:r>
          </w:p>
        </w:tc>
        <w:tc>
          <w:tcPr>
            <w:tcW w:w="665" w:type="pct"/>
          </w:tcPr>
          <w:p w14:paraId="3B981268" w14:textId="77777777" w:rsidR="00692798" w:rsidRPr="009D2102" w:rsidRDefault="00692798" w:rsidP="00A66763">
            <w:pPr>
              <w:pStyle w:val="Tabletextcentred"/>
              <w:keepNext/>
              <w:jc w:val="right"/>
            </w:pPr>
            <w:r w:rsidRPr="009D2102">
              <w:t>$0</w:t>
            </w:r>
          </w:p>
        </w:tc>
        <w:tc>
          <w:tcPr>
            <w:tcW w:w="665" w:type="pct"/>
          </w:tcPr>
          <w:p w14:paraId="5406EBC2" w14:textId="77777777" w:rsidR="00692798" w:rsidRPr="009D2102" w:rsidRDefault="00692798" w:rsidP="00A66763">
            <w:pPr>
              <w:pStyle w:val="Tabletextcentred"/>
              <w:keepNext/>
              <w:jc w:val="right"/>
            </w:pPr>
            <w:r w:rsidRPr="009D2102">
              <w:t>$0</w:t>
            </w:r>
          </w:p>
        </w:tc>
      </w:tr>
      <w:tr w:rsidR="00692798" w:rsidRPr="009D2102" w14:paraId="1730D8E6" w14:textId="77777777" w:rsidTr="00A66763">
        <w:tc>
          <w:tcPr>
            <w:tcW w:w="1678" w:type="pct"/>
          </w:tcPr>
          <w:p w14:paraId="1D5767F2" w14:textId="77777777" w:rsidR="00692798" w:rsidRPr="009D2102" w:rsidRDefault="00692798" w:rsidP="00A66763">
            <w:pPr>
              <w:pStyle w:val="Tabletextcentred"/>
              <w:keepNext/>
              <w:jc w:val="left"/>
            </w:pPr>
            <w:r w:rsidRPr="009D2102">
              <w:t>Total cost of associated specialist consultations</w:t>
            </w:r>
          </w:p>
        </w:tc>
        <w:tc>
          <w:tcPr>
            <w:tcW w:w="664" w:type="pct"/>
          </w:tcPr>
          <w:p w14:paraId="3D3B5E32" w14:textId="77777777" w:rsidR="00692798" w:rsidRPr="009D2102" w:rsidRDefault="00692798" w:rsidP="00A66763">
            <w:pPr>
              <w:pStyle w:val="Tabletextcentred"/>
              <w:keepNext/>
              <w:jc w:val="right"/>
            </w:pPr>
            <w:r w:rsidRPr="009D2102">
              <w:t>$254,793</w:t>
            </w:r>
          </w:p>
        </w:tc>
        <w:tc>
          <w:tcPr>
            <w:tcW w:w="665" w:type="pct"/>
          </w:tcPr>
          <w:p w14:paraId="29996F3E" w14:textId="77777777" w:rsidR="00692798" w:rsidRPr="009D2102" w:rsidRDefault="00692798" w:rsidP="00A66763">
            <w:pPr>
              <w:pStyle w:val="Tabletextcentred"/>
              <w:keepNext/>
              <w:jc w:val="right"/>
            </w:pPr>
            <w:r w:rsidRPr="009D2102">
              <w:t>$267,093</w:t>
            </w:r>
          </w:p>
        </w:tc>
        <w:tc>
          <w:tcPr>
            <w:tcW w:w="664" w:type="pct"/>
          </w:tcPr>
          <w:p w14:paraId="7E4D7782" w14:textId="77777777" w:rsidR="00692798" w:rsidRPr="009D2102" w:rsidRDefault="00692798" w:rsidP="00A66763">
            <w:pPr>
              <w:pStyle w:val="Tabletextcentred"/>
              <w:keepNext/>
              <w:jc w:val="right"/>
            </w:pPr>
            <w:r w:rsidRPr="009D2102">
              <w:t>$280,097</w:t>
            </w:r>
          </w:p>
        </w:tc>
        <w:tc>
          <w:tcPr>
            <w:tcW w:w="665" w:type="pct"/>
          </w:tcPr>
          <w:p w14:paraId="7CEEBC32" w14:textId="77777777" w:rsidR="00692798" w:rsidRPr="009D2102" w:rsidRDefault="00692798" w:rsidP="00A66763">
            <w:pPr>
              <w:pStyle w:val="Tabletextcentred"/>
              <w:keepNext/>
              <w:jc w:val="right"/>
            </w:pPr>
            <w:r w:rsidRPr="009D2102">
              <w:t>$291,179</w:t>
            </w:r>
          </w:p>
        </w:tc>
        <w:tc>
          <w:tcPr>
            <w:tcW w:w="665" w:type="pct"/>
          </w:tcPr>
          <w:p w14:paraId="6DB6C1AC" w14:textId="77777777" w:rsidR="00692798" w:rsidRPr="009D2102" w:rsidRDefault="00692798" w:rsidP="00A66763">
            <w:pPr>
              <w:pStyle w:val="Tabletextcentred"/>
              <w:keepNext/>
              <w:jc w:val="right"/>
            </w:pPr>
            <w:r w:rsidRPr="009D2102">
              <w:t>$304,255</w:t>
            </w:r>
          </w:p>
        </w:tc>
      </w:tr>
      <w:tr w:rsidR="00692798" w:rsidRPr="009D2102" w14:paraId="130C602B" w14:textId="77777777" w:rsidTr="00A66763">
        <w:tc>
          <w:tcPr>
            <w:tcW w:w="1678" w:type="pct"/>
            <w:tcBorders>
              <w:bottom w:val="single" w:sz="4" w:space="0" w:color="auto"/>
            </w:tcBorders>
          </w:tcPr>
          <w:p w14:paraId="47FDBB4F" w14:textId="77777777" w:rsidR="00692798" w:rsidRPr="009D2102" w:rsidRDefault="00692798" w:rsidP="00A66763">
            <w:pPr>
              <w:pStyle w:val="Tabletext"/>
              <w:keepNext/>
              <w:ind w:left="0"/>
              <w:jc w:val="left"/>
              <w:rPr>
                <w:rFonts w:ascii="Arial Narrow" w:hAnsi="Arial Narrow"/>
                <w:sz w:val="20"/>
                <w:szCs w:val="20"/>
              </w:rPr>
            </w:pPr>
            <w:r w:rsidRPr="009D2102">
              <w:rPr>
                <w:rFonts w:ascii="Arial Narrow" w:hAnsi="Arial Narrow"/>
                <w:sz w:val="20"/>
                <w:szCs w:val="20"/>
              </w:rPr>
              <w:t>Total cost to the MBS</w:t>
            </w:r>
          </w:p>
        </w:tc>
        <w:tc>
          <w:tcPr>
            <w:tcW w:w="664" w:type="pct"/>
            <w:tcBorders>
              <w:bottom w:val="single" w:sz="4" w:space="0" w:color="auto"/>
            </w:tcBorders>
          </w:tcPr>
          <w:p w14:paraId="6C0791AD" w14:textId="77777777" w:rsidR="00692798" w:rsidRPr="009D2102" w:rsidRDefault="00692798" w:rsidP="00A66763">
            <w:pPr>
              <w:pStyle w:val="Tabletextcentred"/>
              <w:keepNext/>
              <w:jc w:val="right"/>
            </w:pPr>
            <w:r w:rsidRPr="009D2102">
              <w:t>$954,780</w:t>
            </w:r>
          </w:p>
        </w:tc>
        <w:tc>
          <w:tcPr>
            <w:tcW w:w="665" w:type="pct"/>
            <w:tcBorders>
              <w:bottom w:val="single" w:sz="4" w:space="0" w:color="auto"/>
            </w:tcBorders>
          </w:tcPr>
          <w:p w14:paraId="796C7ABA" w14:textId="77777777" w:rsidR="00692798" w:rsidRPr="009D2102" w:rsidRDefault="00692798" w:rsidP="00A66763">
            <w:pPr>
              <w:pStyle w:val="Tabletextcentred"/>
              <w:keepNext/>
              <w:jc w:val="right"/>
            </w:pPr>
            <w:r w:rsidRPr="009D2102">
              <w:t>$1,000,872</w:t>
            </w:r>
          </w:p>
        </w:tc>
        <w:tc>
          <w:tcPr>
            <w:tcW w:w="664" w:type="pct"/>
            <w:tcBorders>
              <w:bottom w:val="single" w:sz="4" w:space="0" w:color="auto"/>
            </w:tcBorders>
          </w:tcPr>
          <w:p w14:paraId="51AD2C87" w14:textId="77777777" w:rsidR="00692798" w:rsidRPr="009D2102" w:rsidRDefault="00692798" w:rsidP="00A66763">
            <w:pPr>
              <w:pStyle w:val="Tabletextcentred"/>
              <w:keepNext/>
              <w:jc w:val="right"/>
            </w:pPr>
            <w:r w:rsidRPr="009D2102">
              <w:t>$1,049,599</w:t>
            </w:r>
          </w:p>
        </w:tc>
        <w:tc>
          <w:tcPr>
            <w:tcW w:w="665" w:type="pct"/>
            <w:tcBorders>
              <w:bottom w:val="single" w:sz="4" w:space="0" w:color="auto"/>
            </w:tcBorders>
          </w:tcPr>
          <w:p w14:paraId="7B9213BA" w14:textId="77777777" w:rsidR="00692798" w:rsidRPr="009D2102" w:rsidRDefault="00692798" w:rsidP="00A66763">
            <w:pPr>
              <w:pStyle w:val="Tabletextcentred"/>
              <w:keepNext/>
              <w:jc w:val="right"/>
            </w:pPr>
            <w:r w:rsidRPr="009D2102">
              <w:t>$1,091,126</w:t>
            </w:r>
          </w:p>
        </w:tc>
        <w:tc>
          <w:tcPr>
            <w:tcW w:w="665" w:type="pct"/>
          </w:tcPr>
          <w:p w14:paraId="2E0BBADC" w14:textId="77777777" w:rsidR="00692798" w:rsidRPr="009D2102" w:rsidRDefault="00692798" w:rsidP="00A66763">
            <w:pPr>
              <w:pStyle w:val="Tabletextcentred"/>
              <w:keepNext/>
              <w:jc w:val="right"/>
            </w:pPr>
            <w:r w:rsidRPr="009D2102">
              <w:t>$1,140,125</w:t>
            </w:r>
          </w:p>
        </w:tc>
      </w:tr>
      <w:tr w:rsidR="00692798" w:rsidRPr="009D2102" w14:paraId="65859B58" w14:textId="77777777" w:rsidTr="00A66763">
        <w:tc>
          <w:tcPr>
            <w:tcW w:w="1678" w:type="pct"/>
            <w:tcBorders>
              <w:right w:val="nil"/>
            </w:tcBorders>
          </w:tcPr>
          <w:p w14:paraId="5CD207B8" w14:textId="77777777" w:rsidR="00692798" w:rsidRPr="009D2102" w:rsidRDefault="00692798" w:rsidP="00A66763">
            <w:pPr>
              <w:pStyle w:val="Tabletextcentred"/>
              <w:keepNext/>
              <w:jc w:val="left"/>
              <w:rPr>
                <w:b/>
              </w:rPr>
            </w:pPr>
            <w:r w:rsidRPr="009D2102">
              <w:rPr>
                <w:b/>
              </w:rPr>
              <w:t>With MBS listing for FDG-PET</w:t>
            </w:r>
          </w:p>
        </w:tc>
        <w:tc>
          <w:tcPr>
            <w:tcW w:w="664" w:type="pct"/>
            <w:tcBorders>
              <w:left w:val="nil"/>
              <w:right w:val="nil"/>
            </w:tcBorders>
          </w:tcPr>
          <w:p w14:paraId="007EFD3B" w14:textId="77777777" w:rsidR="00692798" w:rsidRPr="009D2102" w:rsidRDefault="00692798" w:rsidP="00A66763">
            <w:pPr>
              <w:pStyle w:val="Tabletextcentred"/>
              <w:keepNext/>
              <w:jc w:val="right"/>
            </w:pPr>
            <w:r w:rsidRPr="009D2102">
              <w:t>-</w:t>
            </w:r>
          </w:p>
        </w:tc>
        <w:tc>
          <w:tcPr>
            <w:tcW w:w="665" w:type="pct"/>
            <w:tcBorders>
              <w:left w:val="nil"/>
              <w:right w:val="nil"/>
            </w:tcBorders>
          </w:tcPr>
          <w:p w14:paraId="22C57CAE" w14:textId="77777777" w:rsidR="00692798" w:rsidRPr="009D2102" w:rsidRDefault="00692798" w:rsidP="00A66763">
            <w:pPr>
              <w:pStyle w:val="Tabletextcentred"/>
              <w:keepNext/>
              <w:jc w:val="right"/>
            </w:pPr>
            <w:r w:rsidRPr="009D2102">
              <w:t>-</w:t>
            </w:r>
          </w:p>
        </w:tc>
        <w:tc>
          <w:tcPr>
            <w:tcW w:w="664" w:type="pct"/>
            <w:tcBorders>
              <w:left w:val="nil"/>
              <w:right w:val="nil"/>
            </w:tcBorders>
          </w:tcPr>
          <w:p w14:paraId="0D4CD431" w14:textId="77777777" w:rsidR="00692798" w:rsidRPr="009D2102" w:rsidRDefault="00692798" w:rsidP="00A66763">
            <w:pPr>
              <w:pStyle w:val="Tabletextcentred"/>
              <w:keepNext/>
              <w:jc w:val="right"/>
            </w:pPr>
            <w:r w:rsidRPr="009D2102">
              <w:t>-</w:t>
            </w:r>
          </w:p>
        </w:tc>
        <w:tc>
          <w:tcPr>
            <w:tcW w:w="665" w:type="pct"/>
            <w:tcBorders>
              <w:left w:val="nil"/>
              <w:right w:val="nil"/>
            </w:tcBorders>
          </w:tcPr>
          <w:p w14:paraId="57750486" w14:textId="77777777" w:rsidR="00692798" w:rsidRPr="009D2102" w:rsidRDefault="00692798" w:rsidP="00A66763">
            <w:pPr>
              <w:pStyle w:val="Tabletextcentred"/>
              <w:keepNext/>
              <w:jc w:val="right"/>
            </w:pPr>
            <w:r w:rsidRPr="009D2102">
              <w:t>-</w:t>
            </w:r>
          </w:p>
        </w:tc>
        <w:tc>
          <w:tcPr>
            <w:tcW w:w="665" w:type="pct"/>
            <w:tcBorders>
              <w:left w:val="nil"/>
            </w:tcBorders>
          </w:tcPr>
          <w:p w14:paraId="3F3B6B06" w14:textId="77777777" w:rsidR="00692798" w:rsidRPr="009D2102" w:rsidRDefault="00692798" w:rsidP="00A66763">
            <w:pPr>
              <w:pStyle w:val="Tabletextcentred"/>
              <w:keepNext/>
              <w:jc w:val="right"/>
            </w:pPr>
            <w:r w:rsidRPr="009D2102">
              <w:t>-</w:t>
            </w:r>
          </w:p>
        </w:tc>
      </w:tr>
      <w:tr w:rsidR="00692798" w:rsidRPr="009D2102" w14:paraId="5B78AA95" w14:textId="77777777" w:rsidTr="00A66763">
        <w:tc>
          <w:tcPr>
            <w:tcW w:w="1678" w:type="pct"/>
          </w:tcPr>
          <w:p w14:paraId="51A57AD3" w14:textId="77777777" w:rsidR="00692798" w:rsidRPr="009D2102" w:rsidRDefault="00692798" w:rsidP="00A66763">
            <w:pPr>
              <w:pStyle w:val="Tabletextcentred"/>
              <w:keepNext/>
              <w:jc w:val="left"/>
              <w:rPr>
                <w:i/>
              </w:rPr>
            </w:pPr>
            <w:r w:rsidRPr="009D2102">
              <w:t>Total cost of SPECT for AD diagnosis</w:t>
            </w:r>
          </w:p>
        </w:tc>
        <w:tc>
          <w:tcPr>
            <w:tcW w:w="664" w:type="pct"/>
          </w:tcPr>
          <w:p w14:paraId="5465D428" w14:textId="77777777" w:rsidR="00692798" w:rsidRPr="009D2102" w:rsidRDefault="00692798" w:rsidP="00A66763">
            <w:pPr>
              <w:pStyle w:val="Tabletextcentred"/>
              <w:keepNext/>
              <w:jc w:val="right"/>
              <w:rPr>
                <w:i/>
              </w:rPr>
            </w:pPr>
            <w:r w:rsidRPr="009D2102">
              <w:t>$594,989</w:t>
            </w:r>
          </w:p>
        </w:tc>
        <w:tc>
          <w:tcPr>
            <w:tcW w:w="665" w:type="pct"/>
          </w:tcPr>
          <w:p w14:paraId="6188E4C3" w14:textId="77777777" w:rsidR="00692798" w:rsidRPr="009D2102" w:rsidRDefault="00692798" w:rsidP="00A66763">
            <w:pPr>
              <w:pStyle w:val="Tabletextcentred"/>
              <w:keepNext/>
              <w:jc w:val="right"/>
              <w:rPr>
                <w:i/>
              </w:rPr>
            </w:pPr>
            <w:r w:rsidRPr="009D2102">
              <w:t>$513,645</w:t>
            </w:r>
          </w:p>
        </w:tc>
        <w:tc>
          <w:tcPr>
            <w:tcW w:w="664" w:type="pct"/>
          </w:tcPr>
          <w:p w14:paraId="5BBCEBB3" w14:textId="77777777" w:rsidR="00692798" w:rsidRPr="009D2102" w:rsidRDefault="00692798" w:rsidP="00A66763">
            <w:pPr>
              <w:pStyle w:val="Tabletextcentred"/>
              <w:keepNext/>
              <w:jc w:val="right"/>
              <w:rPr>
                <w:i/>
              </w:rPr>
            </w:pPr>
            <w:r w:rsidRPr="009D2102">
              <w:t>$423,226</w:t>
            </w:r>
          </w:p>
        </w:tc>
        <w:tc>
          <w:tcPr>
            <w:tcW w:w="665" w:type="pct"/>
          </w:tcPr>
          <w:p w14:paraId="79AB0A37" w14:textId="77777777" w:rsidR="00692798" w:rsidRPr="009D2102" w:rsidRDefault="00692798" w:rsidP="00A66763">
            <w:pPr>
              <w:pStyle w:val="Tabletextcentred"/>
              <w:keepNext/>
              <w:jc w:val="right"/>
              <w:rPr>
                <w:i/>
              </w:rPr>
            </w:pPr>
            <w:r w:rsidRPr="009D2102">
              <w:t>$319,979</w:t>
            </w:r>
          </w:p>
        </w:tc>
        <w:tc>
          <w:tcPr>
            <w:tcW w:w="665" w:type="pct"/>
          </w:tcPr>
          <w:p w14:paraId="31B3D82B" w14:textId="77777777" w:rsidR="00692798" w:rsidRPr="009D2102" w:rsidRDefault="00692798" w:rsidP="00A66763">
            <w:pPr>
              <w:pStyle w:val="Tabletextcentred"/>
              <w:keepNext/>
              <w:jc w:val="right"/>
              <w:rPr>
                <w:i/>
              </w:rPr>
            </w:pPr>
            <w:r w:rsidRPr="009D2102">
              <w:t>$250,761</w:t>
            </w:r>
          </w:p>
        </w:tc>
      </w:tr>
      <w:tr w:rsidR="00692798" w:rsidRPr="009D2102" w14:paraId="67D55D9D" w14:textId="77777777" w:rsidTr="00A66763">
        <w:tc>
          <w:tcPr>
            <w:tcW w:w="1678" w:type="pct"/>
          </w:tcPr>
          <w:p w14:paraId="3F35027A" w14:textId="77777777" w:rsidR="00692798" w:rsidRPr="009D2102" w:rsidRDefault="00692798" w:rsidP="00A66763">
            <w:pPr>
              <w:pStyle w:val="Tabletextcentred"/>
              <w:keepNext/>
              <w:jc w:val="left"/>
              <w:rPr>
                <w:i/>
              </w:rPr>
            </w:pPr>
            <w:r w:rsidRPr="009D2102">
              <w:t>Total cost of FDG-PET for AD diagnosis</w:t>
            </w:r>
          </w:p>
        </w:tc>
        <w:tc>
          <w:tcPr>
            <w:tcW w:w="664" w:type="pct"/>
          </w:tcPr>
          <w:p w14:paraId="6FACCED2" w14:textId="77777777" w:rsidR="00692798" w:rsidRPr="009D2102" w:rsidRDefault="00692798" w:rsidP="00A66763">
            <w:pPr>
              <w:pStyle w:val="Tabletextcentred"/>
              <w:keepNext/>
              <w:jc w:val="right"/>
              <w:rPr>
                <w:i/>
              </w:rPr>
            </w:pPr>
            <w:r w:rsidRPr="009D2102">
              <w:t>$167,131</w:t>
            </w:r>
          </w:p>
        </w:tc>
        <w:tc>
          <w:tcPr>
            <w:tcW w:w="665" w:type="pct"/>
          </w:tcPr>
          <w:p w14:paraId="53873996" w14:textId="77777777" w:rsidR="00692798" w:rsidRPr="009D2102" w:rsidRDefault="00692798" w:rsidP="00A66763">
            <w:pPr>
              <w:pStyle w:val="Tabletextcentred"/>
              <w:keepNext/>
              <w:jc w:val="right"/>
              <w:rPr>
                <w:i/>
              </w:rPr>
            </w:pPr>
            <w:r w:rsidRPr="009D2102">
              <w:t>$379,599</w:t>
            </w:r>
          </w:p>
        </w:tc>
        <w:tc>
          <w:tcPr>
            <w:tcW w:w="664" w:type="pct"/>
          </w:tcPr>
          <w:p w14:paraId="05B90D88" w14:textId="77777777" w:rsidR="00692798" w:rsidRPr="009D2102" w:rsidRDefault="00692798" w:rsidP="00A66763">
            <w:pPr>
              <w:pStyle w:val="Tabletextcentred"/>
              <w:keepNext/>
              <w:jc w:val="right"/>
              <w:rPr>
                <w:i/>
              </w:rPr>
            </w:pPr>
            <w:r w:rsidRPr="009D2102">
              <w:t>$612,430</w:t>
            </w:r>
          </w:p>
        </w:tc>
        <w:tc>
          <w:tcPr>
            <w:tcW w:w="665" w:type="pct"/>
          </w:tcPr>
          <w:p w14:paraId="2748CC4F" w14:textId="77777777" w:rsidR="00692798" w:rsidRPr="009D2102" w:rsidRDefault="00692798" w:rsidP="00A66763">
            <w:pPr>
              <w:pStyle w:val="Tabletextcentred"/>
              <w:keepNext/>
              <w:jc w:val="right"/>
              <w:rPr>
                <w:i/>
              </w:rPr>
            </w:pPr>
            <w:r w:rsidRPr="009D2102">
              <w:t>$859,491</w:t>
            </w:r>
          </w:p>
        </w:tc>
        <w:tc>
          <w:tcPr>
            <w:tcW w:w="665" w:type="pct"/>
          </w:tcPr>
          <w:p w14:paraId="2ED2CB7E" w14:textId="77777777" w:rsidR="00692798" w:rsidRPr="009D2102" w:rsidRDefault="00692798" w:rsidP="00A66763">
            <w:pPr>
              <w:pStyle w:val="Tabletextcentred"/>
              <w:keepNext/>
              <w:jc w:val="right"/>
              <w:rPr>
                <w:i/>
              </w:rPr>
            </w:pPr>
            <w:r w:rsidRPr="009D2102">
              <w:t>$1,064,402</w:t>
            </w:r>
          </w:p>
        </w:tc>
      </w:tr>
      <w:tr w:rsidR="00692798" w:rsidRPr="009D2102" w14:paraId="4758F4C8" w14:textId="77777777" w:rsidTr="00A66763">
        <w:tc>
          <w:tcPr>
            <w:tcW w:w="1678" w:type="pct"/>
          </w:tcPr>
          <w:p w14:paraId="7F753CC1" w14:textId="77777777" w:rsidR="00692798" w:rsidRPr="009D2102" w:rsidRDefault="00692798" w:rsidP="00A66763">
            <w:pPr>
              <w:pStyle w:val="Tabletextcentred"/>
              <w:keepNext/>
              <w:jc w:val="left"/>
              <w:rPr>
                <w:i/>
              </w:rPr>
            </w:pPr>
            <w:r w:rsidRPr="009D2102">
              <w:t>Total cost of associated specialist consultations</w:t>
            </w:r>
          </w:p>
        </w:tc>
        <w:tc>
          <w:tcPr>
            <w:tcW w:w="664" w:type="pct"/>
          </w:tcPr>
          <w:p w14:paraId="4FA8A775" w14:textId="77777777" w:rsidR="00692798" w:rsidRPr="009D2102" w:rsidRDefault="00692798" w:rsidP="00A66763">
            <w:pPr>
              <w:pStyle w:val="Tabletextcentred"/>
              <w:keepNext/>
              <w:jc w:val="right"/>
              <w:rPr>
                <w:i/>
              </w:rPr>
            </w:pPr>
            <w:r w:rsidRPr="009D2102">
              <w:t>$254,793</w:t>
            </w:r>
          </w:p>
        </w:tc>
        <w:tc>
          <w:tcPr>
            <w:tcW w:w="665" w:type="pct"/>
          </w:tcPr>
          <w:p w14:paraId="142D0A59" w14:textId="77777777" w:rsidR="00692798" w:rsidRPr="009D2102" w:rsidRDefault="00692798" w:rsidP="00A66763">
            <w:pPr>
              <w:pStyle w:val="Tabletextcentred"/>
              <w:keepNext/>
              <w:jc w:val="right"/>
              <w:rPr>
                <w:i/>
              </w:rPr>
            </w:pPr>
            <w:r w:rsidRPr="009D2102">
              <w:t>$273,771</w:t>
            </w:r>
          </w:p>
        </w:tc>
        <w:tc>
          <w:tcPr>
            <w:tcW w:w="664" w:type="pct"/>
          </w:tcPr>
          <w:p w14:paraId="1EF2BFD1" w14:textId="77777777" w:rsidR="00692798" w:rsidRPr="009D2102" w:rsidRDefault="00692798" w:rsidP="00A66763">
            <w:pPr>
              <w:pStyle w:val="Tabletextcentred"/>
              <w:keepNext/>
              <w:jc w:val="right"/>
              <w:rPr>
                <w:i/>
              </w:rPr>
            </w:pPr>
            <w:r w:rsidRPr="009D2102">
              <w:t>$294,102</w:t>
            </w:r>
          </w:p>
        </w:tc>
        <w:tc>
          <w:tcPr>
            <w:tcW w:w="665" w:type="pct"/>
          </w:tcPr>
          <w:p w14:paraId="61B57357" w14:textId="77777777" w:rsidR="00692798" w:rsidRPr="009D2102" w:rsidRDefault="00692798" w:rsidP="00A66763">
            <w:pPr>
              <w:pStyle w:val="Tabletextcentred"/>
              <w:keepNext/>
              <w:jc w:val="right"/>
              <w:rPr>
                <w:i/>
              </w:rPr>
            </w:pPr>
            <w:r w:rsidRPr="009D2102">
              <w:t>$313,017</w:t>
            </w:r>
          </w:p>
        </w:tc>
        <w:tc>
          <w:tcPr>
            <w:tcW w:w="665" w:type="pct"/>
          </w:tcPr>
          <w:p w14:paraId="0916B636" w14:textId="77777777" w:rsidR="00692798" w:rsidRPr="009D2102" w:rsidRDefault="00692798" w:rsidP="00A66763">
            <w:pPr>
              <w:pStyle w:val="Tabletextcentred"/>
              <w:keepNext/>
              <w:jc w:val="right"/>
              <w:rPr>
                <w:i/>
              </w:rPr>
            </w:pPr>
            <w:r w:rsidRPr="009D2102">
              <w:t>$334,680</w:t>
            </w:r>
          </w:p>
        </w:tc>
      </w:tr>
      <w:tr w:rsidR="00692798" w:rsidRPr="009D2102" w14:paraId="33FD7E45" w14:textId="77777777" w:rsidTr="00A66763">
        <w:tc>
          <w:tcPr>
            <w:tcW w:w="1678" w:type="pct"/>
          </w:tcPr>
          <w:p w14:paraId="3AB37B37" w14:textId="77777777" w:rsidR="00692798" w:rsidRPr="009D2102" w:rsidRDefault="00692798" w:rsidP="00A66763">
            <w:pPr>
              <w:pStyle w:val="Tabletextcentred"/>
              <w:keepNext/>
              <w:jc w:val="left"/>
              <w:rPr>
                <w:i/>
              </w:rPr>
            </w:pPr>
            <w:r w:rsidRPr="009D2102">
              <w:rPr>
                <w:szCs w:val="20"/>
              </w:rPr>
              <w:t>Total cost to the MBS</w:t>
            </w:r>
          </w:p>
        </w:tc>
        <w:tc>
          <w:tcPr>
            <w:tcW w:w="664" w:type="pct"/>
          </w:tcPr>
          <w:p w14:paraId="128ACFAA" w14:textId="77777777" w:rsidR="00692798" w:rsidRPr="009D2102" w:rsidRDefault="00692798" w:rsidP="00A66763">
            <w:pPr>
              <w:pStyle w:val="Tabletextcentred"/>
              <w:keepNext/>
              <w:jc w:val="right"/>
              <w:rPr>
                <w:i/>
              </w:rPr>
            </w:pPr>
            <w:r w:rsidRPr="009D2102">
              <w:t>$1,016,913</w:t>
            </w:r>
          </w:p>
        </w:tc>
        <w:tc>
          <w:tcPr>
            <w:tcW w:w="665" w:type="pct"/>
          </w:tcPr>
          <w:p w14:paraId="724D68B3" w14:textId="77777777" w:rsidR="00692798" w:rsidRPr="009D2102" w:rsidRDefault="00692798" w:rsidP="00A66763">
            <w:pPr>
              <w:pStyle w:val="Tabletextcentred"/>
              <w:keepNext/>
              <w:jc w:val="right"/>
              <w:rPr>
                <w:i/>
              </w:rPr>
            </w:pPr>
            <w:r w:rsidRPr="009D2102">
              <w:t>$1,167,014</w:t>
            </w:r>
          </w:p>
        </w:tc>
        <w:tc>
          <w:tcPr>
            <w:tcW w:w="664" w:type="pct"/>
          </w:tcPr>
          <w:p w14:paraId="1EB680DB" w14:textId="77777777" w:rsidR="00692798" w:rsidRPr="009D2102" w:rsidRDefault="00692798" w:rsidP="00A66763">
            <w:pPr>
              <w:pStyle w:val="Tabletextcentred"/>
              <w:keepNext/>
              <w:jc w:val="right"/>
              <w:rPr>
                <w:i/>
              </w:rPr>
            </w:pPr>
            <w:r w:rsidRPr="009D2102">
              <w:t>$1,329,757</w:t>
            </w:r>
          </w:p>
        </w:tc>
        <w:tc>
          <w:tcPr>
            <w:tcW w:w="665" w:type="pct"/>
          </w:tcPr>
          <w:p w14:paraId="5A7A25B4" w14:textId="77777777" w:rsidR="00692798" w:rsidRPr="009D2102" w:rsidRDefault="00692798" w:rsidP="00A66763">
            <w:pPr>
              <w:pStyle w:val="Tabletextcentred"/>
              <w:keepNext/>
              <w:jc w:val="right"/>
              <w:rPr>
                <w:i/>
              </w:rPr>
            </w:pPr>
            <w:r w:rsidRPr="009D2102">
              <w:t>$1,492,487</w:t>
            </w:r>
          </w:p>
        </w:tc>
        <w:tc>
          <w:tcPr>
            <w:tcW w:w="665" w:type="pct"/>
          </w:tcPr>
          <w:p w14:paraId="1B05438F" w14:textId="77777777" w:rsidR="00692798" w:rsidRPr="009D2102" w:rsidRDefault="00692798" w:rsidP="00A66763">
            <w:pPr>
              <w:pStyle w:val="Tabletextcentred"/>
              <w:keepNext/>
              <w:jc w:val="right"/>
              <w:rPr>
                <w:i/>
              </w:rPr>
            </w:pPr>
            <w:r w:rsidRPr="009D2102">
              <w:t>$1,649,843</w:t>
            </w:r>
          </w:p>
        </w:tc>
      </w:tr>
      <w:tr w:rsidR="00692798" w:rsidRPr="009D2102" w14:paraId="602B6159" w14:textId="77777777" w:rsidTr="00A66763">
        <w:tc>
          <w:tcPr>
            <w:tcW w:w="1678" w:type="pct"/>
          </w:tcPr>
          <w:p w14:paraId="1EE1F52F" w14:textId="77777777" w:rsidR="00692798" w:rsidRPr="009D2102" w:rsidRDefault="00692798" w:rsidP="00A66763">
            <w:pPr>
              <w:pStyle w:val="Tabletextcentred"/>
              <w:keepNext/>
              <w:jc w:val="left"/>
              <w:rPr>
                <w:i/>
                <w:szCs w:val="20"/>
              </w:rPr>
            </w:pPr>
            <w:r w:rsidRPr="009D2102">
              <w:rPr>
                <w:i/>
                <w:szCs w:val="20"/>
              </w:rPr>
              <w:t>Total net financial impact of a successful listing for FDG-PET on the MBS</w:t>
            </w:r>
          </w:p>
        </w:tc>
        <w:tc>
          <w:tcPr>
            <w:tcW w:w="664" w:type="pct"/>
            <w:vAlign w:val="center"/>
          </w:tcPr>
          <w:p w14:paraId="5D87D6ED" w14:textId="77777777" w:rsidR="00692798" w:rsidRPr="009D2102" w:rsidRDefault="00692798" w:rsidP="00A66763">
            <w:pPr>
              <w:pStyle w:val="Tabletextcentred"/>
              <w:keepNext/>
              <w:jc w:val="right"/>
              <w:rPr>
                <w:i/>
              </w:rPr>
            </w:pPr>
            <w:r w:rsidRPr="009D2102">
              <w:rPr>
                <w:i/>
              </w:rPr>
              <w:t>$62,133</w:t>
            </w:r>
          </w:p>
        </w:tc>
        <w:tc>
          <w:tcPr>
            <w:tcW w:w="665" w:type="pct"/>
            <w:vAlign w:val="center"/>
          </w:tcPr>
          <w:p w14:paraId="3F4D2D8C" w14:textId="77777777" w:rsidR="00692798" w:rsidRPr="009D2102" w:rsidRDefault="00692798" w:rsidP="00A66763">
            <w:pPr>
              <w:pStyle w:val="Tabletextcentred"/>
              <w:keepNext/>
              <w:jc w:val="right"/>
              <w:rPr>
                <w:i/>
              </w:rPr>
            </w:pPr>
            <w:r w:rsidRPr="009D2102">
              <w:rPr>
                <w:i/>
              </w:rPr>
              <w:t>$166,142</w:t>
            </w:r>
          </w:p>
        </w:tc>
        <w:tc>
          <w:tcPr>
            <w:tcW w:w="664" w:type="pct"/>
            <w:vAlign w:val="center"/>
          </w:tcPr>
          <w:p w14:paraId="0ED91979" w14:textId="77777777" w:rsidR="00692798" w:rsidRPr="009D2102" w:rsidRDefault="00692798" w:rsidP="00A66763">
            <w:pPr>
              <w:pStyle w:val="Tabletextcentred"/>
              <w:keepNext/>
              <w:jc w:val="right"/>
              <w:rPr>
                <w:i/>
              </w:rPr>
            </w:pPr>
            <w:r w:rsidRPr="009D2102">
              <w:rPr>
                <w:i/>
              </w:rPr>
              <w:t>$280,159</w:t>
            </w:r>
          </w:p>
        </w:tc>
        <w:tc>
          <w:tcPr>
            <w:tcW w:w="665" w:type="pct"/>
            <w:vAlign w:val="center"/>
          </w:tcPr>
          <w:p w14:paraId="39B2E09E" w14:textId="77777777" w:rsidR="00692798" w:rsidRPr="009D2102" w:rsidRDefault="00692798" w:rsidP="00A66763">
            <w:pPr>
              <w:pStyle w:val="Tabletextcentred"/>
              <w:keepNext/>
              <w:jc w:val="right"/>
              <w:rPr>
                <w:i/>
              </w:rPr>
            </w:pPr>
            <w:r w:rsidRPr="009D2102">
              <w:rPr>
                <w:i/>
              </w:rPr>
              <w:t>$401,361</w:t>
            </w:r>
          </w:p>
        </w:tc>
        <w:tc>
          <w:tcPr>
            <w:tcW w:w="665" w:type="pct"/>
            <w:vAlign w:val="center"/>
          </w:tcPr>
          <w:p w14:paraId="1E5FE6F1" w14:textId="77777777" w:rsidR="00692798" w:rsidRPr="009D2102" w:rsidRDefault="00692798" w:rsidP="00A66763">
            <w:pPr>
              <w:pStyle w:val="Tabletextcentred"/>
              <w:keepNext/>
              <w:jc w:val="right"/>
              <w:rPr>
                <w:i/>
              </w:rPr>
            </w:pPr>
            <w:r w:rsidRPr="009D2102">
              <w:rPr>
                <w:i/>
              </w:rPr>
              <w:t>$509,718</w:t>
            </w:r>
          </w:p>
        </w:tc>
      </w:tr>
    </w:tbl>
    <w:p w14:paraId="7B427D34" w14:textId="29ED1657" w:rsidR="00692798" w:rsidRPr="009D2102" w:rsidRDefault="00692798" w:rsidP="00692798">
      <w:pPr>
        <w:pStyle w:val="Tablefootnotes"/>
        <w:keepNext/>
      </w:pPr>
      <w:r w:rsidRPr="009D2102">
        <w:t>Abbreviations: AD, Alzheimer’s disease; FDG-PET, flu</w:t>
      </w:r>
      <w:r w:rsidR="0038452F">
        <w:t>o</w:t>
      </w:r>
      <w:r w:rsidRPr="009D2102">
        <w:t>rodeoxyglucose positron emission tomography; MBS, Medicare Benefits Schedule</w:t>
      </w:r>
    </w:p>
    <w:p w14:paraId="40CA26FB" w14:textId="5DF13620" w:rsidR="00692798" w:rsidRPr="009D2102" w:rsidRDefault="00692798" w:rsidP="00692798">
      <w:r w:rsidRPr="009D2102">
        <w:t>Additionally, however, as discussed in Section</w:t>
      </w:r>
      <w:r w:rsidR="007A5B41" w:rsidRPr="009D2102">
        <w:t xml:space="preserve"> C.9</w:t>
      </w:r>
      <w:r w:rsidRPr="009D2102">
        <w:t>, it is anticipated that FDG-PET will lead to more positive test results than in the case of SPECT. A consequence of this is a greater proportion of individuals moving on to PBS-listed therapies to treat AD. This has obvious cost implications, further increasing the total financial impact to the t</w:t>
      </w:r>
      <w:r w:rsidR="007A5B41" w:rsidRPr="009D2102">
        <w:t>otal Government health budget. Alt</w:t>
      </w:r>
      <w:r w:rsidRPr="009D2102">
        <w:t xml:space="preserve">hough this is expected to be modest, it was important to account for nonetheless. The total net financial impact to the MBS and PBS budgets is presented in </w:t>
      </w:r>
      <w:r w:rsidR="00AF5C66">
        <w:t>Table ES.6</w:t>
      </w:r>
      <w:r w:rsidRPr="009D2102">
        <w:t>.</w:t>
      </w:r>
    </w:p>
    <w:p w14:paraId="26464506" w14:textId="7276848D" w:rsidR="00692798" w:rsidRPr="009D2102" w:rsidRDefault="00AF5C66" w:rsidP="00692798">
      <w:pPr>
        <w:pStyle w:val="Caption"/>
      </w:pPr>
      <w:r>
        <w:t>Table ES.6</w:t>
      </w:r>
      <w:r w:rsidR="0071474E">
        <w:tab/>
        <w:t>Net financial impact to the G</w:t>
      </w:r>
      <w:r w:rsidR="00692798" w:rsidRPr="009D2102">
        <w:t>overnment health budget</w:t>
      </w:r>
    </w:p>
    <w:tbl>
      <w:tblPr>
        <w:tblStyle w:val="TableGrid"/>
        <w:tblW w:w="4610" w:type="pct"/>
        <w:tblInd w:w="704" w:type="dxa"/>
        <w:tblLook w:val="04A0" w:firstRow="1" w:lastRow="0" w:firstColumn="1" w:lastColumn="0" w:noHBand="0" w:noVBand="1"/>
        <w:tblCaption w:val="Net financial impact to the Government health budget"/>
        <w:tblDescription w:val="The total net financial impact to the MBS and PBS budgets from 2015 to 2019."/>
      </w:tblPr>
      <w:tblGrid>
        <w:gridCol w:w="2761"/>
        <w:gridCol w:w="1152"/>
        <w:gridCol w:w="1152"/>
        <w:gridCol w:w="1152"/>
        <w:gridCol w:w="1152"/>
        <w:gridCol w:w="1152"/>
      </w:tblGrid>
      <w:tr w:rsidR="00692798" w:rsidRPr="009D2102" w14:paraId="2CA18845" w14:textId="77777777" w:rsidTr="00A66763">
        <w:trPr>
          <w:tblHeader/>
        </w:trPr>
        <w:tc>
          <w:tcPr>
            <w:tcW w:w="1620" w:type="pct"/>
          </w:tcPr>
          <w:p w14:paraId="70D2C8D9" w14:textId="77777777" w:rsidR="00692798" w:rsidRPr="009D2102" w:rsidRDefault="00692798" w:rsidP="00A66763">
            <w:pPr>
              <w:pStyle w:val="Tabletextboldleft"/>
              <w:jc w:val="right"/>
            </w:pPr>
          </w:p>
        </w:tc>
        <w:tc>
          <w:tcPr>
            <w:tcW w:w="676" w:type="pct"/>
          </w:tcPr>
          <w:p w14:paraId="61702C95" w14:textId="77777777" w:rsidR="00692798" w:rsidRPr="009D2102" w:rsidRDefault="00692798" w:rsidP="00A66763">
            <w:pPr>
              <w:pStyle w:val="Tabletextboldleft"/>
              <w:jc w:val="right"/>
            </w:pPr>
            <w:r w:rsidRPr="009D2102">
              <w:t>2015</w:t>
            </w:r>
          </w:p>
        </w:tc>
        <w:tc>
          <w:tcPr>
            <w:tcW w:w="676" w:type="pct"/>
          </w:tcPr>
          <w:p w14:paraId="276B44CB" w14:textId="77777777" w:rsidR="00692798" w:rsidRPr="009D2102" w:rsidRDefault="00692798" w:rsidP="00A66763">
            <w:pPr>
              <w:pStyle w:val="Tabletextboldleft"/>
              <w:jc w:val="right"/>
            </w:pPr>
            <w:r w:rsidRPr="009D2102">
              <w:t>2016</w:t>
            </w:r>
          </w:p>
        </w:tc>
        <w:tc>
          <w:tcPr>
            <w:tcW w:w="676" w:type="pct"/>
          </w:tcPr>
          <w:p w14:paraId="593AF277" w14:textId="77777777" w:rsidR="00692798" w:rsidRPr="009D2102" w:rsidRDefault="00692798" w:rsidP="00A66763">
            <w:pPr>
              <w:pStyle w:val="Tabletextboldleft"/>
              <w:jc w:val="right"/>
            </w:pPr>
            <w:r w:rsidRPr="009D2102">
              <w:t>2017</w:t>
            </w:r>
          </w:p>
        </w:tc>
        <w:tc>
          <w:tcPr>
            <w:tcW w:w="676" w:type="pct"/>
          </w:tcPr>
          <w:p w14:paraId="4574AD73" w14:textId="77777777" w:rsidR="00692798" w:rsidRPr="009D2102" w:rsidRDefault="00692798" w:rsidP="00A66763">
            <w:pPr>
              <w:pStyle w:val="Tabletextboldleft"/>
              <w:jc w:val="right"/>
            </w:pPr>
            <w:r w:rsidRPr="009D2102">
              <w:t>2018</w:t>
            </w:r>
          </w:p>
        </w:tc>
        <w:tc>
          <w:tcPr>
            <w:tcW w:w="676" w:type="pct"/>
          </w:tcPr>
          <w:p w14:paraId="282EF609" w14:textId="77777777" w:rsidR="00692798" w:rsidRPr="009D2102" w:rsidRDefault="00692798" w:rsidP="00A66763">
            <w:pPr>
              <w:pStyle w:val="Tabletextboldleft"/>
              <w:jc w:val="right"/>
            </w:pPr>
            <w:r w:rsidRPr="009D2102">
              <w:t>2019</w:t>
            </w:r>
          </w:p>
        </w:tc>
      </w:tr>
      <w:tr w:rsidR="00692798" w:rsidRPr="009D2102" w14:paraId="4FBF03C7" w14:textId="77777777" w:rsidTr="00A66763">
        <w:tc>
          <w:tcPr>
            <w:tcW w:w="1620" w:type="pct"/>
          </w:tcPr>
          <w:p w14:paraId="4BF5801B" w14:textId="77777777" w:rsidR="00692798" w:rsidRPr="009D2102" w:rsidRDefault="00692798" w:rsidP="00A66763">
            <w:pPr>
              <w:pStyle w:val="Tabletextcentred"/>
              <w:keepNext/>
              <w:jc w:val="left"/>
            </w:pPr>
            <w:r w:rsidRPr="009D2102">
              <w:t>Net impact to the MBS</w:t>
            </w:r>
          </w:p>
        </w:tc>
        <w:tc>
          <w:tcPr>
            <w:tcW w:w="676" w:type="pct"/>
          </w:tcPr>
          <w:p w14:paraId="244058C3" w14:textId="77777777" w:rsidR="00692798" w:rsidRPr="009D2102" w:rsidRDefault="00692798" w:rsidP="00A66763">
            <w:pPr>
              <w:pStyle w:val="Tabletextcentred"/>
              <w:keepNext/>
              <w:jc w:val="right"/>
            </w:pPr>
            <w:r w:rsidRPr="009D2102">
              <w:t>$62,133</w:t>
            </w:r>
          </w:p>
        </w:tc>
        <w:tc>
          <w:tcPr>
            <w:tcW w:w="676" w:type="pct"/>
          </w:tcPr>
          <w:p w14:paraId="5399F938" w14:textId="77777777" w:rsidR="00692798" w:rsidRPr="009D2102" w:rsidRDefault="00692798" w:rsidP="00A66763">
            <w:pPr>
              <w:pStyle w:val="Tabletextcentred"/>
              <w:keepNext/>
              <w:jc w:val="right"/>
            </w:pPr>
            <w:r w:rsidRPr="009D2102">
              <w:t>$166,142</w:t>
            </w:r>
          </w:p>
        </w:tc>
        <w:tc>
          <w:tcPr>
            <w:tcW w:w="676" w:type="pct"/>
          </w:tcPr>
          <w:p w14:paraId="54FAC504" w14:textId="77777777" w:rsidR="00692798" w:rsidRPr="009D2102" w:rsidRDefault="00692798" w:rsidP="00A66763">
            <w:pPr>
              <w:pStyle w:val="Tabletextcentred"/>
              <w:keepNext/>
              <w:jc w:val="right"/>
            </w:pPr>
            <w:r w:rsidRPr="009D2102">
              <w:t>$280,159</w:t>
            </w:r>
          </w:p>
        </w:tc>
        <w:tc>
          <w:tcPr>
            <w:tcW w:w="676" w:type="pct"/>
          </w:tcPr>
          <w:p w14:paraId="336504F8" w14:textId="77777777" w:rsidR="00692798" w:rsidRPr="009D2102" w:rsidRDefault="00692798" w:rsidP="00A66763">
            <w:pPr>
              <w:pStyle w:val="Tabletextcentred"/>
              <w:keepNext/>
              <w:jc w:val="right"/>
            </w:pPr>
            <w:r w:rsidRPr="009D2102">
              <w:t>$401,361</w:t>
            </w:r>
          </w:p>
        </w:tc>
        <w:tc>
          <w:tcPr>
            <w:tcW w:w="676" w:type="pct"/>
          </w:tcPr>
          <w:p w14:paraId="457C61C1" w14:textId="77777777" w:rsidR="00692798" w:rsidRPr="009D2102" w:rsidRDefault="00692798" w:rsidP="00A66763">
            <w:pPr>
              <w:pStyle w:val="Tabletextcentred"/>
              <w:keepNext/>
              <w:jc w:val="right"/>
            </w:pPr>
            <w:r w:rsidRPr="009D2102">
              <w:t>$509,718</w:t>
            </w:r>
          </w:p>
        </w:tc>
      </w:tr>
      <w:tr w:rsidR="00692798" w:rsidRPr="009D2102" w14:paraId="1E312594" w14:textId="77777777" w:rsidTr="00A66763">
        <w:tc>
          <w:tcPr>
            <w:tcW w:w="1620" w:type="pct"/>
          </w:tcPr>
          <w:p w14:paraId="6E00BAE3" w14:textId="77777777" w:rsidR="00692798" w:rsidRPr="009D2102" w:rsidRDefault="00692798" w:rsidP="00A66763">
            <w:pPr>
              <w:pStyle w:val="Tabletextcentred"/>
              <w:keepNext/>
              <w:jc w:val="left"/>
            </w:pPr>
            <w:r w:rsidRPr="009D2102">
              <w:t>Net impact to the PBS</w:t>
            </w:r>
          </w:p>
        </w:tc>
        <w:tc>
          <w:tcPr>
            <w:tcW w:w="676" w:type="pct"/>
          </w:tcPr>
          <w:p w14:paraId="2D0E8F40" w14:textId="77777777" w:rsidR="00692798" w:rsidRPr="009D2102" w:rsidRDefault="00692798" w:rsidP="00A66763">
            <w:pPr>
              <w:pStyle w:val="Tabletextcentred"/>
              <w:keepNext/>
              <w:jc w:val="right"/>
            </w:pPr>
            <w:r w:rsidRPr="009D2102">
              <w:t>$4,111</w:t>
            </w:r>
          </w:p>
        </w:tc>
        <w:tc>
          <w:tcPr>
            <w:tcW w:w="676" w:type="pct"/>
          </w:tcPr>
          <w:p w14:paraId="229A5C99" w14:textId="77777777" w:rsidR="00692798" w:rsidRPr="009D2102" w:rsidRDefault="00692798" w:rsidP="00A66763">
            <w:pPr>
              <w:pStyle w:val="Tabletextcentred"/>
              <w:keepNext/>
              <w:jc w:val="right"/>
            </w:pPr>
            <w:r w:rsidRPr="009D2102">
              <w:t>$9,337</w:t>
            </w:r>
          </w:p>
        </w:tc>
        <w:tc>
          <w:tcPr>
            <w:tcW w:w="676" w:type="pct"/>
          </w:tcPr>
          <w:p w14:paraId="16DF24F6" w14:textId="77777777" w:rsidR="00692798" w:rsidRPr="009D2102" w:rsidRDefault="00692798" w:rsidP="00A66763">
            <w:pPr>
              <w:pStyle w:val="Tabletextcentred"/>
              <w:keepNext/>
              <w:jc w:val="right"/>
            </w:pPr>
            <w:r w:rsidRPr="009D2102">
              <w:t>$15,064</w:t>
            </w:r>
          </w:p>
        </w:tc>
        <w:tc>
          <w:tcPr>
            <w:tcW w:w="676" w:type="pct"/>
          </w:tcPr>
          <w:p w14:paraId="0999C0DF" w14:textId="77777777" w:rsidR="00692798" w:rsidRPr="009D2102" w:rsidRDefault="00692798" w:rsidP="00A66763">
            <w:pPr>
              <w:pStyle w:val="Tabletextcentred"/>
              <w:keepNext/>
              <w:jc w:val="right"/>
            </w:pPr>
            <w:r w:rsidRPr="009D2102">
              <w:t>$21,141</w:t>
            </w:r>
          </w:p>
        </w:tc>
        <w:tc>
          <w:tcPr>
            <w:tcW w:w="676" w:type="pct"/>
          </w:tcPr>
          <w:p w14:paraId="6A88D3C5" w14:textId="77777777" w:rsidR="00692798" w:rsidRPr="009D2102" w:rsidRDefault="00692798" w:rsidP="00A66763">
            <w:pPr>
              <w:pStyle w:val="Tabletextcentred"/>
              <w:keepNext/>
              <w:jc w:val="right"/>
            </w:pPr>
            <w:r w:rsidRPr="009D2102">
              <w:t>$26,181</w:t>
            </w:r>
          </w:p>
        </w:tc>
      </w:tr>
      <w:tr w:rsidR="00692798" w:rsidRPr="009D2102" w14:paraId="4A68CBF3" w14:textId="77777777" w:rsidTr="00A66763">
        <w:tc>
          <w:tcPr>
            <w:tcW w:w="1620" w:type="pct"/>
          </w:tcPr>
          <w:p w14:paraId="5E7B5FA7" w14:textId="77777777" w:rsidR="00692798" w:rsidRPr="009D2102" w:rsidRDefault="00692798" w:rsidP="00A66763">
            <w:pPr>
              <w:pStyle w:val="Tabletextcentred"/>
              <w:keepNext/>
              <w:jc w:val="left"/>
            </w:pPr>
            <w:r w:rsidRPr="009D2102">
              <w:t>Total net impact</w:t>
            </w:r>
          </w:p>
        </w:tc>
        <w:tc>
          <w:tcPr>
            <w:tcW w:w="676" w:type="pct"/>
          </w:tcPr>
          <w:p w14:paraId="3E116F0C" w14:textId="77777777" w:rsidR="00692798" w:rsidRPr="009D2102" w:rsidRDefault="00692798" w:rsidP="00A66763">
            <w:pPr>
              <w:pStyle w:val="Tabletextcentred"/>
              <w:keepNext/>
              <w:jc w:val="right"/>
            </w:pPr>
            <w:r w:rsidRPr="009D2102">
              <w:t>$66,244</w:t>
            </w:r>
          </w:p>
        </w:tc>
        <w:tc>
          <w:tcPr>
            <w:tcW w:w="676" w:type="pct"/>
          </w:tcPr>
          <w:p w14:paraId="3DDDEFFC" w14:textId="77777777" w:rsidR="00692798" w:rsidRPr="009D2102" w:rsidRDefault="00692798" w:rsidP="00A66763">
            <w:pPr>
              <w:pStyle w:val="Tabletextcentred"/>
              <w:keepNext/>
              <w:jc w:val="right"/>
            </w:pPr>
            <w:r w:rsidRPr="009D2102">
              <w:t>$175,479</w:t>
            </w:r>
          </w:p>
        </w:tc>
        <w:tc>
          <w:tcPr>
            <w:tcW w:w="676" w:type="pct"/>
          </w:tcPr>
          <w:p w14:paraId="064C5B1C" w14:textId="77777777" w:rsidR="00692798" w:rsidRPr="009D2102" w:rsidRDefault="00692798" w:rsidP="00A66763">
            <w:pPr>
              <w:pStyle w:val="Tabletextcentred"/>
              <w:keepNext/>
              <w:jc w:val="right"/>
            </w:pPr>
            <w:r w:rsidRPr="009D2102">
              <w:t>$295,222</w:t>
            </w:r>
          </w:p>
        </w:tc>
        <w:tc>
          <w:tcPr>
            <w:tcW w:w="676" w:type="pct"/>
          </w:tcPr>
          <w:p w14:paraId="3A4FFC5E" w14:textId="77777777" w:rsidR="00692798" w:rsidRPr="009D2102" w:rsidRDefault="00692798" w:rsidP="00A66763">
            <w:pPr>
              <w:pStyle w:val="Tabletextcentred"/>
              <w:keepNext/>
              <w:jc w:val="right"/>
            </w:pPr>
            <w:r w:rsidRPr="009D2102">
              <w:t>$422,502</w:t>
            </w:r>
          </w:p>
        </w:tc>
        <w:tc>
          <w:tcPr>
            <w:tcW w:w="676" w:type="pct"/>
          </w:tcPr>
          <w:p w14:paraId="299168A8" w14:textId="77777777" w:rsidR="00692798" w:rsidRPr="009D2102" w:rsidRDefault="00692798" w:rsidP="00A66763">
            <w:pPr>
              <w:pStyle w:val="Tabletextcentred"/>
              <w:keepNext/>
              <w:jc w:val="right"/>
            </w:pPr>
            <w:r w:rsidRPr="009D2102">
              <w:t>$535,898</w:t>
            </w:r>
          </w:p>
        </w:tc>
      </w:tr>
    </w:tbl>
    <w:p w14:paraId="3164F7BA" w14:textId="77777777" w:rsidR="00692798" w:rsidRDefault="00692798" w:rsidP="00692798">
      <w:pPr>
        <w:pStyle w:val="Tablefootnotes"/>
      </w:pPr>
      <w:r w:rsidRPr="009D2102">
        <w:t>Abbreviations: MBS, Medicare Benefits Schedule; PBS, Pharmaceutical</w:t>
      </w:r>
      <w:r>
        <w:t xml:space="preserve"> Benefits Schedule</w:t>
      </w:r>
    </w:p>
    <w:p w14:paraId="311AB930" w14:textId="77777777" w:rsidR="00ED31E4" w:rsidRPr="009D2102" w:rsidRDefault="00ED31E4" w:rsidP="009D2102"/>
    <w:p w14:paraId="05C767AF" w14:textId="26203849" w:rsidR="000172DE" w:rsidRDefault="00ED31E4" w:rsidP="00C72D50">
      <w:pPr>
        <w:pStyle w:val="Heading1"/>
        <w:numPr>
          <w:ilvl w:val="0"/>
          <w:numId w:val="0"/>
        </w:numPr>
        <w:ind w:left="851" w:hanging="851"/>
      </w:pPr>
      <w:bookmarkStart w:id="10" w:name="_Toc408845150"/>
      <w:r>
        <w:lastRenderedPageBreak/>
        <w:t>Background</w:t>
      </w:r>
      <w:bookmarkEnd w:id="10"/>
    </w:p>
    <w:p w14:paraId="3A89EAB7" w14:textId="1C190E19" w:rsidR="00C72D50" w:rsidRDefault="00C72D50" w:rsidP="00067A52">
      <w:r>
        <w:t>In September 2013, the Department of Health received an application from The Department of Nuclear Medicine and Centre for P</w:t>
      </w:r>
      <w:r w:rsidR="00783005">
        <w:t xml:space="preserve">ositron </w:t>
      </w:r>
      <w:r>
        <w:t>E</w:t>
      </w:r>
      <w:r w:rsidR="004B4588">
        <w:t xml:space="preserve">mission </w:t>
      </w:r>
      <w:r>
        <w:t>T</w:t>
      </w:r>
      <w:r w:rsidR="004B4588">
        <w:t>omography (PET)</w:t>
      </w:r>
      <w:r>
        <w:t xml:space="preserve"> at </w:t>
      </w:r>
      <w:r w:rsidR="00067A52">
        <w:t xml:space="preserve">Austin Health, Victoria, </w:t>
      </w:r>
      <w:r>
        <w:t xml:space="preserve">requesting </w:t>
      </w:r>
      <w:r w:rsidR="00B94D2B">
        <w:t>Medicare Benefits Schedule (</w:t>
      </w:r>
      <w:r>
        <w:t>MBS</w:t>
      </w:r>
      <w:r w:rsidR="00B94D2B">
        <w:t>)</w:t>
      </w:r>
      <w:r>
        <w:t xml:space="preserve"> reimbursement </w:t>
      </w:r>
      <w:r w:rsidR="00067A52">
        <w:t xml:space="preserve">for the use </w:t>
      </w:r>
      <w:r>
        <w:t xml:space="preserve">of </w:t>
      </w:r>
      <w:r w:rsidR="00623E6C">
        <w:t>F-18 flu</w:t>
      </w:r>
      <w:r w:rsidR="0038452F">
        <w:t>o</w:t>
      </w:r>
      <w:r w:rsidR="00623E6C">
        <w:t xml:space="preserve">rodeoxyglucose </w:t>
      </w:r>
      <w:r w:rsidR="004B4588">
        <w:t>(FDG)-PET i</w:t>
      </w:r>
      <w:r w:rsidR="00623E6C">
        <w:t xml:space="preserve">maging </w:t>
      </w:r>
      <w:r w:rsidR="00067A52">
        <w:t xml:space="preserve">to establish a diagnosis of Alzheimer’s disease </w:t>
      </w:r>
      <w:r w:rsidR="00364E5C">
        <w:t xml:space="preserve">(AD) </w:t>
      </w:r>
      <w:r w:rsidR="00067A52">
        <w:t xml:space="preserve">where other diagnostic methods </w:t>
      </w:r>
      <w:r w:rsidR="004B4588">
        <w:t>are</w:t>
      </w:r>
      <w:r w:rsidR="00067A52">
        <w:t xml:space="preserve"> inconclusive</w:t>
      </w:r>
      <w:r>
        <w:t>. The applicat</w:t>
      </w:r>
      <w:r w:rsidR="003D66DC">
        <w:t xml:space="preserve">ion was initially </w:t>
      </w:r>
      <w:r w:rsidR="003D66DC" w:rsidRPr="00A019C4">
        <w:t>considered in April</w:t>
      </w:r>
      <w:r w:rsidRPr="00A019C4">
        <w:t xml:space="preserve"> 20</w:t>
      </w:r>
      <w:r w:rsidR="003D66DC" w:rsidRPr="00A019C4">
        <w:t>14</w:t>
      </w:r>
      <w:r w:rsidRPr="00A019C4">
        <w:t xml:space="preserve"> by</w:t>
      </w:r>
      <w:r>
        <w:t xml:space="preserve"> the Protocol Advisory Sub-Committee (PASC) of the Medical Services Advisory Committee (MSAC) </w:t>
      </w:r>
      <w:r w:rsidR="00067A52">
        <w:t xml:space="preserve">and the Final Protocol was published in </w:t>
      </w:r>
      <w:r w:rsidR="003D66DC" w:rsidRPr="003D66DC">
        <w:t>September 2014</w:t>
      </w:r>
      <w:r w:rsidR="00067A52" w:rsidRPr="003D66DC">
        <w:t>.</w:t>
      </w:r>
    </w:p>
    <w:p w14:paraId="4DE16251" w14:textId="6A570091" w:rsidR="00B4127D" w:rsidRDefault="00D6440F" w:rsidP="00C72D50">
      <w:r>
        <w:t xml:space="preserve">In October 2014, </w:t>
      </w:r>
      <w:r w:rsidR="00C72D50">
        <w:t xml:space="preserve">HealthConsult Pty Ltd was contracted to conduct an assessment of the safety, effectiveness and cost-effectiveness of </w:t>
      </w:r>
      <w:r w:rsidR="00BB0B2F">
        <w:t>FDG-PET</w:t>
      </w:r>
      <w:r w:rsidR="00ED5A85">
        <w:t xml:space="preserve"> for the diagnosis of </w:t>
      </w:r>
      <w:r w:rsidR="00364E5C">
        <w:t>AD</w:t>
      </w:r>
      <w:r w:rsidR="00C72D50">
        <w:t xml:space="preserve"> in order to inform a decision as to whether this service should be reimbursed through the MBS.</w:t>
      </w:r>
    </w:p>
    <w:p w14:paraId="2124376C" w14:textId="4B3AFD78" w:rsidR="007C518C" w:rsidRPr="007C518C" w:rsidRDefault="006F0B5F" w:rsidP="007724C2">
      <w:pPr>
        <w:pStyle w:val="Heading1"/>
      </w:pPr>
      <w:bookmarkStart w:id="11" w:name="_Toc382219920"/>
      <w:bookmarkStart w:id="12" w:name="_Toc408845151"/>
      <w:bookmarkEnd w:id="0"/>
      <w:bookmarkEnd w:id="1"/>
      <w:r w:rsidRPr="00CD1742">
        <w:lastRenderedPageBreak/>
        <w:t>Details</w:t>
      </w:r>
      <w:r>
        <w:t xml:space="preserve"> of the proposed </w:t>
      </w:r>
      <w:r w:rsidRPr="00F710E2">
        <w:t>medical</w:t>
      </w:r>
      <w:r>
        <w:t xml:space="preserve"> service and its intended use</w:t>
      </w:r>
      <w:bookmarkEnd w:id="11"/>
      <w:bookmarkEnd w:id="12"/>
    </w:p>
    <w:p w14:paraId="22A713C5" w14:textId="2502F0DD" w:rsidR="00AD4DFA" w:rsidRDefault="006F0B5F" w:rsidP="00C47E47">
      <w:pPr>
        <w:pStyle w:val="Heading2"/>
      </w:pPr>
      <w:bookmarkStart w:id="13" w:name="_Toc382219921"/>
      <w:bookmarkStart w:id="14" w:name="_Toc408845152"/>
      <w:r>
        <w:t xml:space="preserve">Address all items in the </w:t>
      </w:r>
      <w:r w:rsidR="00387119">
        <w:t>P</w:t>
      </w:r>
      <w:r>
        <w:t>rotocol</w:t>
      </w:r>
      <w:bookmarkEnd w:id="13"/>
      <w:bookmarkEnd w:id="14"/>
    </w:p>
    <w:p w14:paraId="036FB9A3" w14:textId="66742A13" w:rsidR="005A4F1A" w:rsidRPr="00FF2FA7" w:rsidRDefault="00AB1F0F" w:rsidP="00FF2FA7">
      <w:r>
        <w:rPr>
          <w:bCs/>
        </w:rPr>
        <w:t>This Assessment Report follows the framework that was provided in the Final Protocol, as agreed by PASC when they considered the application at their April 2014 meeting</w:t>
      </w:r>
      <w:r w:rsidR="00FF2FA7" w:rsidRPr="00FF2FA7">
        <w:t>.</w:t>
      </w:r>
      <w:r>
        <w:t xml:space="preserve"> </w:t>
      </w:r>
    </w:p>
    <w:p w14:paraId="2797DB52" w14:textId="171D2488" w:rsidR="00387119" w:rsidRDefault="003A17D9" w:rsidP="003A17D9">
      <w:pPr>
        <w:pStyle w:val="Caption"/>
      </w:pPr>
      <w:bookmarkStart w:id="15" w:name="_Toc408845198"/>
      <w:r>
        <w:t xml:space="preserve">Table </w:t>
      </w:r>
      <w:fldSimple w:instr=" STYLEREF 2 \s ">
        <w:r w:rsidR="00C67698">
          <w:rPr>
            <w:noProof/>
          </w:rPr>
          <w:t>A.1</w:t>
        </w:r>
      </w:fldSimple>
      <w:r w:rsidR="00524916">
        <w:noBreakHyphen/>
      </w:r>
      <w:fldSimple w:instr=" SEQ Table \* ARABIC \s 2 ">
        <w:r w:rsidR="00C67698">
          <w:rPr>
            <w:noProof/>
          </w:rPr>
          <w:t>1</w:t>
        </w:r>
      </w:fldSimple>
      <w:r w:rsidR="00387119">
        <w:tab/>
      </w:r>
      <w:r w:rsidR="00E81E63">
        <w:t xml:space="preserve">Items addressed in the Protocol and </w:t>
      </w:r>
      <w:r w:rsidR="009C2084">
        <w:t xml:space="preserve">Assessment </w:t>
      </w:r>
      <w:r w:rsidR="00E81E63">
        <w:t>Report</w:t>
      </w:r>
      <w:bookmarkEnd w:id="1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tems addressed in the Protocol and Assessment Report"/>
        <w:tblDescription w:val="Important items in the final protocol and the section in which they are addressed in the Assessment Report. The table also gives justification for any changes from the final protocol. "/>
      </w:tblPr>
      <w:tblGrid>
        <w:gridCol w:w="2107"/>
        <w:gridCol w:w="1279"/>
        <w:gridCol w:w="1276"/>
        <w:gridCol w:w="3634"/>
      </w:tblGrid>
      <w:tr w:rsidR="003578A6" w14:paraId="2DFF849E" w14:textId="77777777" w:rsidTr="007A5B41">
        <w:trPr>
          <w:tblHeader/>
        </w:trPr>
        <w:tc>
          <w:tcPr>
            <w:tcW w:w="2107" w:type="dxa"/>
          </w:tcPr>
          <w:p w14:paraId="0946F4CB" w14:textId="77777777" w:rsidR="003578A6" w:rsidRDefault="003578A6" w:rsidP="007C6DA7">
            <w:pPr>
              <w:pStyle w:val="Tabletextboldleft"/>
            </w:pPr>
            <w:r>
              <w:t>Items in the Final Protocol</w:t>
            </w:r>
          </w:p>
        </w:tc>
        <w:tc>
          <w:tcPr>
            <w:tcW w:w="1279" w:type="dxa"/>
          </w:tcPr>
          <w:p w14:paraId="0229BB0F" w14:textId="77777777" w:rsidR="003578A6" w:rsidRDefault="003578A6" w:rsidP="00E81E63">
            <w:pPr>
              <w:pStyle w:val="Tabletextboldleft"/>
              <w:jc w:val="center"/>
            </w:pPr>
            <w:r>
              <w:t>Location in Assessment Report</w:t>
            </w:r>
          </w:p>
        </w:tc>
        <w:tc>
          <w:tcPr>
            <w:tcW w:w="1276" w:type="dxa"/>
          </w:tcPr>
          <w:p w14:paraId="15F9E17A" w14:textId="77777777" w:rsidR="003578A6" w:rsidRDefault="003578A6" w:rsidP="00E81E63">
            <w:pPr>
              <w:pStyle w:val="Tabletextboldleft"/>
              <w:jc w:val="center"/>
            </w:pPr>
            <w:r>
              <w:t>Concurs with Protocol</w:t>
            </w:r>
          </w:p>
        </w:tc>
        <w:tc>
          <w:tcPr>
            <w:tcW w:w="3634" w:type="dxa"/>
          </w:tcPr>
          <w:p w14:paraId="2E4BD38D" w14:textId="77777777" w:rsidR="003578A6" w:rsidRDefault="003578A6" w:rsidP="007C6DA7">
            <w:pPr>
              <w:pStyle w:val="Tabletextboldleft"/>
              <w:jc w:val="center"/>
            </w:pPr>
            <w:r>
              <w:t>Change and justification</w:t>
            </w:r>
          </w:p>
        </w:tc>
      </w:tr>
      <w:tr w:rsidR="003578A6" w14:paraId="3FEC0796" w14:textId="77777777" w:rsidTr="007A5B41">
        <w:tc>
          <w:tcPr>
            <w:tcW w:w="2107" w:type="dxa"/>
          </w:tcPr>
          <w:p w14:paraId="3E8F644F" w14:textId="77777777" w:rsidR="003578A6" w:rsidRDefault="003578A6" w:rsidP="007C6DA7">
            <w:pPr>
              <w:pStyle w:val="Tabletextcentred"/>
              <w:jc w:val="left"/>
            </w:pPr>
            <w:r>
              <w:t>Proposed MBS listing</w:t>
            </w:r>
          </w:p>
        </w:tc>
        <w:tc>
          <w:tcPr>
            <w:tcW w:w="1279" w:type="dxa"/>
          </w:tcPr>
          <w:p w14:paraId="1E080C68" w14:textId="48D2F13B" w:rsidR="003578A6" w:rsidRPr="00E33EAE" w:rsidRDefault="003578A6" w:rsidP="00E33EAE">
            <w:pPr>
              <w:pStyle w:val="Tabletextcentred"/>
            </w:pPr>
            <w:r w:rsidRPr="00E33EAE">
              <w:t xml:space="preserve">Section </w:t>
            </w:r>
            <w:r w:rsidR="00E33EAE" w:rsidRPr="00E33EAE">
              <w:t>A.3</w:t>
            </w:r>
          </w:p>
        </w:tc>
        <w:tc>
          <w:tcPr>
            <w:tcW w:w="1276" w:type="dxa"/>
          </w:tcPr>
          <w:p w14:paraId="35D0C63A" w14:textId="34D3B606" w:rsidR="003578A6" w:rsidRPr="00E33EAE" w:rsidRDefault="00E33EAE" w:rsidP="00E33EAE">
            <w:pPr>
              <w:pStyle w:val="Tabletextcentred"/>
            </w:pPr>
            <w:r w:rsidRPr="00E33EAE">
              <w:t>Yes</w:t>
            </w:r>
          </w:p>
        </w:tc>
        <w:tc>
          <w:tcPr>
            <w:tcW w:w="3634" w:type="dxa"/>
          </w:tcPr>
          <w:p w14:paraId="25516DBF" w14:textId="04495581" w:rsidR="003578A6" w:rsidRPr="00387119" w:rsidRDefault="00E33EAE" w:rsidP="00387119">
            <w:pPr>
              <w:pStyle w:val="Tabletextcentred"/>
              <w:jc w:val="left"/>
            </w:pPr>
            <w:r>
              <w:t>NA</w:t>
            </w:r>
          </w:p>
        </w:tc>
      </w:tr>
      <w:tr w:rsidR="003578A6" w14:paraId="5CFE500F" w14:textId="77777777" w:rsidTr="007A5B41">
        <w:tc>
          <w:tcPr>
            <w:tcW w:w="2107" w:type="dxa"/>
          </w:tcPr>
          <w:p w14:paraId="5CEBDF1B" w14:textId="77777777" w:rsidR="003578A6" w:rsidRDefault="003578A6" w:rsidP="007C6DA7">
            <w:pPr>
              <w:pStyle w:val="Tabletextcentred"/>
              <w:jc w:val="left"/>
            </w:pPr>
            <w:r>
              <w:t>Comparator</w:t>
            </w:r>
          </w:p>
        </w:tc>
        <w:tc>
          <w:tcPr>
            <w:tcW w:w="1279" w:type="dxa"/>
          </w:tcPr>
          <w:p w14:paraId="5FDAF1F0" w14:textId="3788D819" w:rsidR="003578A6" w:rsidRPr="00E33EAE" w:rsidRDefault="00E33EAE" w:rsidP="007C6DA7">
            <w:pPr>
              <w:pStyle w:val="Tabletextcentred"/>
            </w:pPr>
            <w:r w:rsidRPr="00E33EAE">
              <w:t>Section A.4</w:t>
            </w:r>
          </w:p>
        </w:tc>
        <w:tc>
          <w:tcPr>
            <w:tcW w:w="1276" w:type="dxa"/>
          </w:tcPr>
          <w:p w14:paraId="6D8069F0" w14:textId="31B3CEBB" w:rsidR="003578A6" w:rsidRPr="00E33EAE" w:rsidRDefault="00E33EAE" w:rsidP="00E33EAE">
            <w:pPr>
              <w:pStyle w:val="Tabletextcentred"/>
            </w:pPr>
            <w:r w:rsidRPr="00E33EAE">
              <w:t>Yes</w:t>
            </w:r>
          </w:p>
        </w:tc>
        <w:tc>
          <w:tcPr>
            <w:tcW w:w="3634" w:type="dxa"/>
          </w:tcPr>
          <w:p w14:paraId="726D0FA6" w14:textId="716DF6BB" w:rsidR="003578A6" w:rsidRPr="00387119" w:rsidRDefault="00E33EAE" w:rsidP="00387119">
            <w:pPr>
              <w:pStyle w:val="Tabletextcentred"/>
              <w:jc w:val="left"/>
            </w:pPr>
            <w:r>
              <w:t>NA</w:t>
            </w:r>
          </w:p>
        </w:tc>
      </w:tr>
      <w:tr w:rsidR="003578A6" w14:paraId="02BF8E08" w14:textId="77777777" w:rsidTr="007A5B41">
        <w:tc>
          <w:tcPr>
            <w:tcW w:w="2107" w:type="dxa"/>
          </w:tcPr>
          <w:p w14:paraId="235239ED" w14:textId="77777777" w:rsidR="003578A6" w:rsidRDefault="003578A6" w:rsidP="007C6DA7">
            <w:pPr>
              <w:pStyle w:val="Tabletextcentred"/>
              <w:jc w:val="left"/>
            </w:pPr>
            <w:r>
              <w:t>Clinical management algorithm</w:t>
            </w:r>
          </w:p>
        </w:tc>
        <w:tc>
          <w:tcPr>
            <w:tcW w:w="1279" w:type="dxa"/>
          </w:tcPr>
          <w:p w14:paraId="2484F0D9" w14:textId="05009153" w:rsidR="003578A6" w:rsidRPr="00E33EAE" w:rsidRDefault="00E33EAE" w:rsidP="00E33EAE">
            <w:pPr>
              <w:pStyle w:val="Tabletextcentred"/>
            </w:pPr>
            <w:r w:rsidRPr="00E33EAE">
              <w:t>Section A.5</w:t>
            </w:r>
            <w:r w:rsidR="003578A6" w:rsidRPr="00E33EAE">
              <w:t xml:space="preserve">, Figure </w:t>
            </w:r>
            <w:r w:rsidRPr="00E33EAE">
              <w:t>A.5-1</w:t>
            </w:r>
          </w:p>
        </w:tc>
        <w:tc>
          <w:tcPr>
            <w:tcW w:w="1276" w:type="dxa"/>
          </w:tcPr>
          <w:p w14:paraId="1B186DB5" w14:textId="01D3CB2A" w:rsidR="003578A6" w:rsidRPr="00E33EAE" w:rsidRDefault="003578A6" w:rsidP="00E33EAE">
            <w:pPr>
              <w:pStyle w:val="Tabletextcentred"/>
            </w:pPr>
            <w:r w:rsidRPr="00E33EAE">
              <w:t>Yes</w:t>
            </w:r>
          </w:p>
        </w:tc>
        <w:tc>
          <w:tcPr>
            <w:tcW w:w="3634" w:type="dxa"/>
          </w:tcPr>
          <w:p w14:paraId="13356710" w14:textId="0130CF92" w:rsidR="003578A6" w:rsidRDefault="00E33EAE" w:rsidP="007C6DA7">
            <w:pPr>
              <w:pStyle w:val="Tabletextcentred"/>
              <w:jc w:val="left"/>
            </w:pPr>
            <w:r>
              <w:t>NA</w:t>
            </w:r>
          </w:p>
        </w:tc>
      </w:tr>
      <w:tr w:rsidR="003578A6" w14:paraId="36B1EE8F" w14:textId="77777777" w:rsidTr="007A5B41">
        <w:tc>
          <w:tcPr>
            <w:tcW w:w="2107" w:type="dxa"/>
          </w:tcPr>
          <w:p w14:paraId="09B88BBF" w14:textId="77777777" w:rsidR="003578A6" w:rsidRDefault="003578A6" w:rsidP="007C6DA7">
            <w:pPr>
              <w:pStyle w:val="Tabletextcentred"/>
              <w:jc w:val="left"/>
            </w:pPr>
            <w:r>
              <w:t>Clinical outcomes assessed</w:t>
            </w:r>
          </w:p>
        </w:tc>
        <w:tc>
          <w:tcPr>
            <w:tcW w:w="1279" w:type="dxa"/>
          </w:tcPr>
          <w:p w14:paraId="07D5D2C5" w14:textId="0C746027" w:rsidR="003578A6" w:rsidRDefault="003578A6" w:rsidP="00E33EAE">
            <w:pPr>
              <w:pStyle w:val="Tabletextcentred"/>
            </w:pPr>
            <w:r w:rsidRPr="00E33EAE">
              <w:t xml:space="preserve">Section </w:t>
            </w:r>
            <w:r w:rsidR="00E33EAE">
              <w:t xml:space="preserve">A.8, Section </w:t>
            </w:r>
            <w:r w:rsidR="00E33EAE" w:rsidRPr="00E33EAE">
              <w:t>B.</w:t>
            </w:r>
            <w:r w:rsidR="00E33EAE">
              <w:t>5</w:t>
            </w:r>
            <w:r w:rsidR="00FF2FA7">
              <w:t>, Section B.6</w:t>
            </w:r>
          </w:p>
        </w:tc>
        <w:tc>
          <w:tcPr>
            <w:tcW w:w="1276" w:type="dxa"/>
          </w:tcPr>
          <w:p w14:paraId="31037266" w14:textId="4897C50B" w:rsidR="003578A6" w:rsidRPr="000E2EFF" w:rsidRDefault="003578A6" w:rsidP="00E33EAE">
            <w:pPr>
              <w:pStyle w:val="Tabletextcentred"/>
              <w:rPr>
                <w:highlight w:val="yellow"/>
              </w:rPr>
            </w:pPr>
            <w:r w:rsidRPr="00E33EAE">
              <w:t>Yes</w:t>
            </w:r>
          </w:p>
        </w:tc>
        <w:tc>
          <w:tcPr>
            <w:tcW w:w="3634" w:type="dxa"/>
          </w:tcPr>
          <w:p w14:paraId="6C488F64" w14:textId="6F928469" w:rsidR="003578A6" w:rsidRDefault="00681A13" w:rsidP="00681A13">
            <w:pPr>
              <w:pStyle w:val="Tabletextcentred"/>
              <w:jc w:val="left"/>
            </w:pPr>
            <w:r>
              <w:t xml:space="preserve">There was limited </w:t>
            </w:r>
            <w:r w:rsidR="00E33EAE">
              <w:t xml:space="preserve">evidence </w:t>
            </w:r>
            <w:r>
              <w:t xml:space="preserve">available </w:t>
            </w:r>
            <w:r w:rsidR="00E33EAE">
              <w:t xml:space="preserve">for some </w:t>
            </w:r>
            <w:r>
              <w:t xml:space="preserve">of the </w:t>
            </w:r>
            <w:r w:rsidR="00E33EAE">
              <w:t>outcomes</w:t>
            </w:r>
            <w:r>
              <w:t xml:space="preserve"> specified in the Protocol</w:t>
            </w:r>
            <w:r w:rsidR="00E33EAE">
              <w:t xml:space="preserve">. </w:t>
            </w:r>
            <w:r>
              <w:t>Linked evidence was required to address patient outcomes resulting from the diagnostic intervention.</w:t>
            </w:r>
            <w:r w:rsidR="00E33EAE">
              <w:t xml:space="preserve"> </w:t>
            </w:r>
            <w:r>
              <w:t xml:space="preserve">Evidence for the </w:t>
            </w:r>
            <w:r w:rsidR="00E33EAE">
              <w:t>effectiveness and safety of anti-dementia medicines for AD</w:t>
            </w:r>
            <w:r>
              <w:t xml:space="preserve"> was addressed using the summarised findings from recent systematic reviews</w:t>
            </w:r>
            <w:r w:rsidR="00E33EAE">
              <w:t xml:space="preserve">.  </w:t>
            </w:r>
          </w:p>
        </w:tc>
      </w:tr>
      <w:tr w:rsidR="003578A6" w14:paraId="627EDEDD" w14:textId="77777777" w:rsidTr="007A5B41">
        <w:tc>
          <w:tcPr>
            <w:tcW w:w="2107" w:type="dxa"/>
          </w:tcPr>
          <w:p w14:paraId="6319A7E8" w14:textId="77777777" w:rsidR="003578A6" w:rsidRDefault="003578A6" w:rsidP="007C6DA7">
            <w:pPr>
              <w:pStyle w:val="Tabletextcentred"/>
              <w:jc w:val="left"/>
            </w:pPr>
            <w:r>
              <w:t>Healthcare resources</w:t>
            </w:r>
          </w:p>
        </w:tc>
        <w:tc>
          <w:tcPr>
            <w:tcW w:w="1279" w:type="dxa"/>
          </w:tcPr>
          <w:p w14:paraId="6A4B65D1" w14:textId="3A902554" w:rsidR="003578A6" w:rsidRPr="00681A13" w:rsidRDefault="00681A13" w:rsidP="00681A13">
            <w:pPr>
              <w:pStyle w:val="Tabletextcentred"/>
            </w:pPr>
            <w:r w:rsidRPr="00681A13">
              <w:t xml:space="preserve">Section A.3, </w:t>
            </w:r>
            <w:r w:rsidR="003578A6" w:rsidRPr="00681A13">
              <w:t xml:space="preserve">Section </w:t>
            </w:r>
            <w:r w:rsidRPr="00681A13">
              <w:t>C.7 and C.8</w:t>
            </w:r>
          </w:p>
        </w:tc>
        <w:tc>
          <w:tcPr>
            <w:tcW w:w="1276" w:type="dxa"/>
          </w:tcPr>
          <w:p w14:paraId="698DEA66" w14:textId="6944FFAF" w:rsidR="003578A6" w:rsidRPr="00681A13" w:rsidRDefault="00681A13" w:rsidP="007C6DA7">
            <w:pPr>
              <w:pStyle w:val="Tabletextcentred"/>
            </w:pPr>
            <w:r>
              <w:t>NA</w:t>
            </w:r>
          </w:p>
        </w:tc>
        <w:tc>
          <w:tcPr>
            <w:tcW w:w="3634" w:type="dxa"/>
          </w:tcPr>
          <w:p w14:paraId="04664557" w14:textId="5952BADA" w:rsidR="003578A6" w:rsidRPr="00681A13" w:rsidRDefault="00681A13" w:rsidP="00F85A03">
            <w:pPr>
              <w:pStyle w:val="Tabletextcentred"/>
              <w:jc w:val="left"/>
            </w:pPr>
            <w:r>
              <w:t>The Protocol did not provide a list of healthcare resources. The only costs considered in the Protocol were those of the proposed MBS item and the MBS item for the comparator. AD medications are also mentioned in the Protocol and are considered in the economic model and financial estimates.</w:t>
            </w:r>
          </w:p>
        </w:tc>
      </w:tr>
      <w:tr w:rsidR="003578A6" w14:paraId="6CD8B57D" w14:textId="77777777" w:rsidTr="007A5B41">
        <w:tc>
          <w:tcPr>
            <w:tcW w:w="2107" w:type="dxa"/>
          </w:tcPr>
          <w:p w14:paraId="3838B055" w14:textId="77777777" w:rsidR="003578A6" w:rsidRDefault="003578A6" w:rsidP="007C6DA7">
            <w:pPr>
              <w:pStyle w:val="Tabletextcentred"/>
              <w:jc w:val="left"/>
            </w:pPr>
            <w:r>
              <w:t>Economic evaluation structure</w:t>
            </w:r>
          </w:p>
        </w:tc>
        <w:tc>
          <w:tcPr>
            <w:tcW w:w="1279" w:type="dxa"/>
          </w:tcPr>
          <w:p w14:paraId="71D183DE" w14:textId="685C924E" w:rsidR="003578A6" w:rsidRPr="00F85A03" w:rsidRDefault="003578A6" w:rsidP="00F85A03">
            <w:pPr>
              <w:pStyle w:val="Tabletextcentred"/>
            </w:pPr>
            <w:r w:rsidRPr="00F85A03">
              <w:t xml:space="preserve">Section </w:t>
            </w:r>
            <w:r w:rsidR="00F85A03" w:rsidRPr="00F85A03">
              <w:t>D.3</w:t>
            </w:r>
          </w:p>
        </w:tc>
        <w:tc>
          <w:tcPr>
            <w:tcW w:w="1276" w:type="dxa"/>
          </w:tcPr>
          <w:p w14:paraId="0DBCD76F" w14:textId="268FD206" w:rsidR="003578A6" w:rsidRPr="00F85A03" w:rsidRDefault="00F85A03" w:rsidP="007C6DA7">
            <w:pPr>
              <w:pStyle w:val="Tabletextcentred"/>
            </w:pPr>
            <w:r w:rsidRPr="00F85A03">
              <w:t>Yes</w:t>
            </w:r>
          </w:p>
        </w:tc>
        <w:tc>
          <w:tcPr>
            <w:tcW w:w="3634" w:type="dxa"/>
          </w:tcPr>
          <w:p w14:paraId="20A17380" w14:textId="307715A8" w:rsidR="003578A6" w:rsidRPr="00F85A03" w:rsidRDefault="00F85A03" w:rsidP="00F85A03">
            <w:pPr>
              <w:pStyle w:val="Tabletextcentred"/>
              <w:jc w:val="left"/>
            </w:pPr>
            <w:r>
              <w:t xml:space="preserve">Consistent with the Protocol (p13), </w:t>
            </w:r>
            <w:r w:rsidRPr="00F85A03">
              <w:t>S</w:t>
            </w:r>
            <w:r>
              <w:t>ection D presents a CUA.</w:t>
            </w:r>
            <w:r w:rsidRPr="00F85A03">
              <w:t xml:space="preserve"> The decision analytic structure of the economic evaluation was not provided in the Protocol.</w:t>
            </w:r>
          </w:p>
        </w:tc>
      </w:tr>
    </w:tbl>
    <w:p w14:paraId="010C7070" w14:textId="6386AA31" w:rsidR="00B246C0" w:rsidRDefault="000E2EFF" w:rsidP="00F94D4D">
      <w:pPr>
        <w:pStyle w:val="Tablefootnotes"/>
      </w:pPr>
      <w:r w:rsidRPr="00F94D4D">
        <w:t>Abbreviations</w:t>
      </w:r>
      <w:r w:rsidR="009C2084">
        <w:t xml:space="preserve">: </w:t>
      </w:r>
      <w:r w:rsidR="00F85A03">
        <w:t xml:space="preserve">AD, Alzheimer’s disease; CUA, cost-utility analysis; </w:t>
      </w:r>
      <w:r>
        <w:t>MBS, Medicare Benefits Schedule</w:t>
      </w:r>
      <w:r w:rsidR="00E33EAE">
        <w:t>; NA, not applicable</w:t>
      </w:r>
    </w:p>
    <w:p w14:paraId="1868F270" w14:textId="73A750B5" w:rsidR="003D140D" w:rsidRDefault="006F0B5F" w:rsidP="00C47E47">
      <w:pPr>
        <w:pStyle w:val="Heading2"/>
      </w:pPr>
      <w:bookmarkStart w:id="16" w:name="_Toc382219922"/>
      <w:bookmarkStart w:id="17" w:name="_Toc408845153"/>
      <w:bookmarkStart w:id="18" w:name="_Toc374972254"/>
      <w:bookmarkStart w:id="19" w:name="_Toc374972615"/>
      <w:r>
        <w:t>Proposed medical service</w:t>
      </w:r>
      <w:bookmarkEnd w:id="16"/>
      <w:bookmarkEnd w:id="17"/>
    </w:p>
    <w:bookmarkEnd w:id="18"/>
    <w:bookmarkEnd w:id="19"/>
    <w:p w14:paraId="29E0EF28" w14:textId="77777777" w:rsidR="00246C7A" w:rsidRDefault="00246C7A" w:rsidP="00246C7A">
      <w:r w:rsidRPr="00436514">
        <w:t xml:space="preserve">The proposed medical service involves an FDG-PET study of the brain in patients </w:t>
      </w:r>
      <w:r>
        <w:t>with suspected AD, where the diagnosis remains uncertain after specialist assessment (routine blood tests, clinical evaluation, and structural imaging).</w:t>
      </w:r>
    </w:p>
    <w:p w14:paraId="3543AB5F" w14:textId="77777777" w:rsidR="00246C7A" w:rsidRDefault="00246C7A" w:rsidP="00246C7A">
      <w:pPr>
        <w:pStyle w:val="Heading3"/>
      </w:pPr>
      <w:bookmarkStart w:id="20" w:name="_Ref403566864"/>
      <w:r>
        <w:t>Alzheimer’s disease</w:t>
      </w:r>
      <w:bookmarkEnd w:id="20"/>
    </w:p>
    <w:p w14:paraId="00122D30" w14:textId="77777777" w:rsidR="00246C7A" w:rsidRDefault="00246C7A" w:rsidP="00246C7A">
      <w:r>
        <w:t xml:space="preserve">AD is the most common form of dementia, accounting for up to 75% of all cases (AIHW, 2012). It is a progressive neurodegenerative condition which is characterised by short-term memory loss, changes in personality, behavioural abnormalities, and a progressive intellectual and cognitive deterioration (EMA, 2008). While AD is not a natural part of ageing, the prevalence of AD and other forms of dementia increases rapidly with age. According to 2011 data from the Australian Institute of Health and </w:t>
      </w:r>
      <w:r>
        <w:lastRenderedPageBreak/>
        <w:t>Welfare (AIHW), 9% of Australians aged 65 and over and 30% of Australians aged 85 and over had dementia (AIHW, 2012).</w:t>
      </w:r>
    </w:p>
    <w:p w14:paraId="545C3D76" w14:textId="42AC6294" w:rsidR="00246C7A" w:rsidRDefault="00246C7A" w:rsidP="00246C7A">
      <w:r>
        <w:t xml:space="preserve">The pathologic hallmarks of AD are amyloid plaques caused by an </w:t>
      </w:r>
      <w:r w:rsidRPr="00CA6AA0">
        <w:t xml:space="preserve">accumulation of </w:t>
      </w:r>
      <w:r>
        <w:t>beta-amyloid (A</w:t>
      </w:r>
      <w:r w:rsidR="00B94D2B">
        <w:rPr>
          <w:rFonts w:ascii="Calibri" w:hAnsi="Calibri"/>
        </w:rPr>
        <w:t>β</w:t>
      </w:r>
      <w:r>
        <w:t>) peptide and neurofibrillary tangles, which result from abnormal phosphorylation of the tau protein (</w:t>
      </w:r>
      <w:r w:rsidR="003B4A78">
        <w:t>Kolarova et al, 2012)</w:t>
      </w:r>
      <w:r>
        <w:t xml:space="preserve">. The development of amyloid plaques and neurofibrillary tangles occurs in a preclinical phase of disease. Over time the accumulation of plaques and tangles lead to synapse dysfunction and loss of neurons, at which point early signs of cognitive impairment become apparent. As AD progresses, gross atrophy occurs in specific brain regions, leading to more noticeable and progressive cognitive decline (Sperling et al, 2011). </w:t>
      </w:r>
    </w:p>
    <w:p w14:paraId="71AECC74" w14:textId="7A398088" w:rsidR="00246C7A" w:rsidRDefault="00246C7A" w:rsidP="00246C7A">
      <w:r>
        <w:t>According to The Royal Australian College of General Practitioners (RACGP), confirmation of suspected dementia (including AD) would initially involve consultation with a general practitioner (GP). GPs should undertake a patient history, perform a comprehensive physical examination, and conduct basic cognitive assessments (</w:t>
      </w:r>
      <w:r w:rsidR="00227F45">
        <w:t>RACGP</w:t>
      </w:r>
      <w:r>
        <w:t>, 2012). In Australia, the standard diagnostic tools used for cognitive assessment in patients with suspected AD are:</w:t>
      </w:r>
    </w:p>
    <w:p w14:paraId="59E67DE4" w14:textId="77777777" w:rsidR="00246C7A" w:rsidRDefault="00246C7A" w:rsidP="00246C7A">
      <w:pPr>
        <w:pStyle w:val="Numberedtext"/>
        <w:numPr>
          <w:ilvl w:val="0"/>
          <w:numId w:val="10"/>
        </w:numPr>
        <w:ind w:left="1134" w:hanging="425"/>
      </w:pPr>
      <w:r>
        <w:t>Mini-Mental State Examination (MMSE);</w:t>
      </w:r>
    </w:p>
    <w:p w14:paraId="7A78887D" w14:textId="531A42A4" w:rsidR="00246C7A" w:rsidRDefault="00246C7A" w:rsidP="00246C7A">
      <w:pPr>
        <w:pStyle w:val="Numberedtext"/>
        <w:numPr>
          <w:ilvl w:val="0"/>
          <w:numId w:val="10"/>
        </w:numPr>
        <w:ind w:left="1134" w:hanging="425"/>
      </w:pPr>
      <w:r>
        <w:t>General Practitioner Assessment of Cognition</w:t>
      </w:r>
      <w:r w:rsidR="00227F45">
        <w:t xml:space="preserve"> (GPCOG)</w:t>
      </w:r>
      <w:r>
        <w:t>;</w:t>
      </w:r>
    </w:p>
    <w:p w14:paraId="7D191C7E" w14:textId="4898A60A" w:rsidR="00246C7A" w:rsidRDefault="00246C7A" w:rsidP="00246C7A">
      <w:pPr>
        <w:pStyle w:val="Numberedtext"/>
        <w:numPr>
          <w:ilvl w:val="0"/>
          <w:numId w:val="10"/>
        </w:numPr>
        <w:ind w:left="1134" w:hanging="425"/>
      </w:pPr>
      <w:r>
        <w:t>Clock drawing test; and</w:t>
      </w:r>
      <w:r w:rsidR="00272EC4">
        <w:t xml:space="preserve"> </w:t>
      </w:r>
    </w:p>
    <w:p w14:paraId="4766FBFE" w14:textId="60DDB57B" w:rsidR="00246C7A" w:rsidRDefault="00246C7A" w:rsidP="00246C7A">
      <w:pPr>
        <w:pStyle w:val="Numberedtext"/>
        <w:numPr>
          <w:ilvl w:val="0"/>
          <w:numId w:val="10"/>
        </w:numPr>
        <w:ind w:left="1134" w:hanging="425"/>
      </w:pPr>
      <w:r>
        <w:t>Rowland Universal Dementia Assessment Scale</w:t>
      </w:r>
      <w:r w:rsidR="00227F45">
        <w:t xml:space="preserve"> (RUDAS) – a </w:t>
      </w:r>
      <w:r>
        <w:t xml:space="preserve">multicultural cognitive assessment scale that has been used to </w:t>
      </w:r>
      <w:r w:rsidR="009779FC">
        <w:t>detect dementia across cultures</w:t>
      </w:r>
      <w:r>
        <w:t>.</w:t>
      </w:r>
    </w:p>
    <w:p w14:paraId="54DE209B" w14:textId="77777777" w:rsidR="00246C7A" w:rsidRDefault="00246C7A" w:rsidP="00246C7A">
      <w:r w:rsidRPr="009517FE">
        <w:t xml:space="preserve">The ambiguity of early AD symptoms makes it challenging for GPs to exclude </w:t>
      </w:r>
      <w:r>
        <w:t>alternative diagnoses</w:t>
      </w:r>
      <w:r w:rsidRPr="009517FE">
        <w:t xml:space="preserve"> </w:t>
      </w:r>
      <w:r>
        <w:t xml:space="preserve">on the basis of </w:t>
      </w:r>
      <w:r w:rsidRPr="009517FE">
        <w:t xml:space="preserve">patient history and </w:t>
      </w:r>
      <w:r>
        <w:t xml:space="preserve">cognitive assessment(s) </w:t>
      </w:r>
      <w:r w:rsidRPr="009517FE">
        <w:t xml:space="preserve">alone (Phillips et al, 2011). As such, </w:t>
      </w:r>
      <w:r>
        <w:t xml:space="preserve">routine blood tests </w:t>
      </w:r>
      <w:r w:rsidRPr="003108B2">
        <w:t>(e.g. full blood count, thyroid</w:t>
      </w:r>
      <w:r>
        <w:t xml:space="preserve"> function, vitamin B12, folate)</w:t>
      </w:r>
      <w:r w:rsidRPr="009517FE">
        <w:t xml:space="preserve"> are</w:t>
      </w:r>
      <w:r>
        <w:t xml:space="preserve"> typically</w:t>
      </w:r>
      <w:r w:rsidRPr="009517FE">
        <w:t xml:space="preserve"> undertaken to rule out other unrelated and readily treatable causes of cognitive decline </w:t>
      </w:r>
      <w:r>
        <w:t xml:space="preserve">such as </w:t>
      </w:r>
      <w:r w:rsidRPr="009517FE">
        <w:t xml:space="preserve">infections, metabolic </w:t>
      </w:r>
      <w:r>
        <w:t xml:space="preserve">disturbances, and malnutrition. GPs may also request a computed tomography (CT) scan before referral to a specialist. </w:t>
      </w:r>
    </w:p>
    <w:p w14:paraId="6895B246" w14:textId="77777777" w:rsidR="00246C7A" w:rsidRDefault="00246C7A" w:rsidP="00246C7A">
      <w:r>
        <w:t>In cases where the diagnosis remains inconclusive (i.e. other potential causes of cognitive impairment have not been excluded), further investigations including magnetic resonance imaging (MRI), neuropsychological assessment, and functional imaging would be considered by a specialist (Pond, 2012).</w:t>
      </w:r>
    </w:p>
    <w:p w14:paraId="51E50AB5" w14:textId="77777777" w:rsidR="00246C7A" w:rsidRPr="00436514" w:rsidRDefault="00246C7A" w:rsidP="00246C7A">
      <w:pPr>
        <w:pStyle w:val="Heading3"/>
      </w:pPr>
      <w:r>
        <w:t>Semi-quantitative FDG-PET</w:t>
      </w:r>
    </w:p>
    <w:p w14:paraId="5AD8B571" w14:textId="34B7760B" w:rsidR="00246C7A" w:rsidRDefault="00246C7A" w:rsidP="00246C7A">
      <w:r w:rsidRPr="00762843">
        <w:t>PET is a minimally invasive nuclear medic</w:t>
      </w:r>
      <w:r>
        <w:t xml:space="preserve">ine imaging technique that uses </w:t>
      </w:r>
      <w:r w:rsidRPr="00762843">
        <w:t>radiopharmaceuticals that mimic endogenous molecules to detect and assess perfusion and metabolic activity in various organ systems</w:t>
      </w:r>
      <w:r w:rsidR="00586584">
        <w:t xml:space="preserve"> (Kostakoglu and Goldsmith, 2003)</w:t>
      </w:r>
      <w:r w:rsidR="00774E8F" w:rsidRPr="00762843">
        <w:t>. It</w:t>
      </w:r>
      <w:r w:rsidRPr="00762843">
        <w:t xml:space="preserve"> provides information about function and metabolism that is complementary to the structural information provided by anatomi</w:t>
      </w:r>
      <w:r>
        <w:t xml:space="preserve">cal imaging techniques such as MRI and </w:t>
      </w:r>
      <w:r w:rsidRPr="00762843">
        <w:t>CT.</w:t>
      </w:r>
    </w:p>
    <w:p w14:paraId="46B59B46" w14:textId="0731B77B" w:rsidR="00246C7A" w:rsidRDefault="00246C7A" w:rsidP="00246C7A">
      <w:r w:rsidRPr="00252F75">
        <w:t>PET scanning is non-invasive, but it does involve exposure to ioni</w:t>
      </w:r>
      <w:r w:rsidR="00D25339">
        <w:t>s</w:t>
      </w:r>
      <w:r w:rsidRPr="00252F75">
        <w:t>ing radiation.</w:t>
      </w:r>
      <w:r>
        <w:t xml:space="preserve"> </w:t>
      </w:r>
      <w:r w:rsidRPr="00252F75">
        <w:t>18F-FDG, which is now the standard radiotracer used for PET neuroimaging and cancer patient management</w:t>
      </w:r>
      <w:r>
        <w:t xml:space="preserve">, </w:t>
      </w:r>
      <w:r w:rsidRPr="00252F75">
        <w:t>has an effective radiation dose of 14 mSv</w:t>
      </w:r>
      <w:r>
        <w:t>.</w:t>
      </w:r>
    </w:p>
    <w:p w14:paraId="4012A37F" w14:textId="29F79FF3" w:rsidR="00246C7A" w:rsidRPr="00411D5E" w:rsidRDefault="00246C7A" w:rsidP="00246C7A">
      <w:r w:rsidRPr="008B7C50">
        <w:t>Importantly, the proposed medical service is limited to PET using the radiolabelled glucose analogue F-18 flu</w:t>
      </w:r>
      <w:r w:rsidR="0038452F">
        <w:t>o</w:t>
      </w:r>
      <w:r w:rsidRPr="008B7C50">
        <w:t>rodeoxyglucose</w:t>
      </w:r>
      <w:r>
        <w:t xml:space="preserve"> (FDG), which is the most common </w:t>
      </w:r>
      <w:r>
        <w:lastRenderedPageBreak/>
        <w:t xml:space="preserve">radiopharmaceutical used in PET scanning. FDG is administered intravenously and has a half-life of 110 minutes, making FDG-PET a practical tool for the diagnosis and staging of cancers compared with other short-lived positron emitters. Additionally, it is a valuable tool in the detection of early signs of cancer recurrence and has superior utility in the evaluation of early response to therapy compared with CT or MRI (Kostakoglu and </w:t>
      </w:r>
      <w:r w:rsidRPr="00411D5E">
        <w:t>Goldsmith, 2003).</w:t>
      </w:r>
    </w:p>
    <w:p w14:paraId="26171B86" w14:textId="40366B8B" w:rsidR="00246C7A" w:rsidRPr="00DF6D47" w:rsidRDefault="00246C7A" w:rsidP="00246C7A">
      <w:r w:rsidRPr="00411D5E">
        <w:t xml:space="preserve">In addition to </w:t>
      </w:r>
      <w:r>
        <w:t xml:space="preserve">clinical </w:t>
      </w:r>
      <w:r w:rsidRPr="00411D5E">
        <w:t xml:space="preserve">utility in oncology, FDG has been recognised for several decades as a biomarker that allows the assessment of the presence or extent of neuronal injury, </w:t>
      </w:r>
      <w:r>
        <w:t>with</w:t>
      </w:r>
      <w:r w:rsidRPr="00411D5E">
        <w:t xml:space="preserve"> </w:t>
      </w:r>
      <w:r>
        <w:t>application in</w:t>
      </w:r>
      <w:r w:rsidRPr="00411D5E">
        <w:t xml:space="preserve"> </w:t>
      </w:r>
      <w:r>
        <w:t xml:space="preserve">the diagnosis of </w:t>
      </w:r>
      <w:r w:rsidRPr="00411D5E">
        <w:t xml:space="preserve">neurodegenerative conditions (Filippi et al, 2012). PET is used to evaluate the uptake of FDG by brain tissue, measured as the regional cerebral metabolic rate for glucose (CMRgl). The CMRgl provides information about the entity of neuronal loss or synapse dysfunction, which are important indicators of AD (Vacante et al, 2013). In particular, AD is typically characterised by </w:t>
      </w:r>
      <w:r>
        <w:t xml:space="preserve">a pattern of </w:t>
      </w:r>
      <w:r w:rsidRPr="00411D5E">
        <w:t>hypometabolism or hypoperfusion in the tempor</w:t>
      </w:r>
      <w:r w:rsidR="00411C2F">
        <w:t>o</w:t>
      </w:r>
      <w:r>
        <w:t>parietal lobe (Herholz, 2002)</w:t>
      </w:r>
      <w:r w:rsidRPr="00411D5E">
        <w:t xml:space="preserve">. </w:t>
      </w:r>
      <w:r>
        <w:t xml:space="preserve">Another </w:t>
      </w:r>
      <w:r w:rsidRPr="00DF6D47">
        <w:t xml:space="preserve">biomarker (Pittsburgh Compound B (PiB)) </w:t>
      </w:r>
      <w:r>
        <w:t xml:space="preserve">used in conjunction with PET </w:t>
      </w:r>
      <w:r w:rsidRPr="00DF6D47">
        <w:t>has gained</w:t>
      </w:r>
      <w:r>
        <w:t xml:space="preserve"> recent attention but is not the focus of the current Assessment Report.</w:t>
      </w:r>
    </w:p>
    <w:p w14:paraId="5F87BC18" w14:textId="642665C2" w:rsidR="00246C7A" w:rsidRDefault="00246C7A" w:rsidP="00246C7A">
      <w:r>
        <w:t xml:space="preserve">Similar to other imaging modalities, accurate diagnostic interpretation of the brain FDG-PET scans depends on the experience and skill of the person interpreting the results. FDG-PET measurements often lack clearly defined cut-offs to distinguish between normal and pathologic findings and therefore visual ratings depend heavily on the observer’s prior experience and </w:t>
      </w:r>
      <w:r w:rsidRPr="000D1344">
        <w:t>training (Bohnen et al, 2012). Several automated tools are now available, with the most common being voxel-based analysis techniques</w:t>
      </w:r>
      <w:r>
        <w:t xml:space="preserve"> with statistical parametric mapping procedures. This allows observer-independent, quantitative mapping of regional glucose metabolic abnormalities, through statistical comparison of the 18F-FDG pattern in the individual brain against the mean and standard </w:t>
      </w:r>
      <w:r w:rsidRPr="00246C7A">
        <w:t xml:space="preserve">deviation (SD) of a control population. While there is some evidence that the addition of quantitative information improves diagnostic accuracy (Frisoni et al, 2013), subjective (visual) interpretation of the brain scan </w:t>
      </w:r>
      <w:r w:rsidR="00982EC6">
        <w:t>may still be common</w:t>
      </w:r>
      <w:r w:rsidRPr="00246C7A">
        <w:t xml:space="preserve"> in clinical practice.</w:t>
      </w:r>
    </w:p>
    <w:p w14:paraId="7547CB71" w14:textId="77777777" w:rsidR="00246C7A" w:rsidRDefault="00246C7A" w:rsidP="00246C7A">
      <w:pPr>
        <w:pStyle w:val="Heading3"/>
      </w:pPr>
      <w:bookmarkStart w:id="21" w:name="_Ref403479414"/>
      <w:bookmarkStart w:id="22" w:name="_Ref403489347"/>
      <w:r>
        <w:t>Clinical need</w:t>
      </w:r>
      <w:bookmarkEnd w:id="21"/>
      <w:bookmarkEnd w:id="22"/>
    </w:p>
    <w:p w14:paraId="5E54AF60" w14:textId="77777777" w:rsidR="00246C7A" w:rsidRPr="009D1FCC" w:rsidRDefault="00246C7A" w:rsidP="00246C7A">
      <w:r w:rsidRPr="009D1FCC">
        <w:t>Currently, there is no single test that can diagnose AD and a definitive diag</w:t>
      </w:r>
      <w:r>
        <w:t>nosis can be made only through</w:t>
      </w:r>
      <w:r w:rsidRPr="009D1FCC">
        <w:t xml:space="preserve"> brain </w:t>
      </w:r>
      <w:r w:rsidRPr="00246C7A">
        <w:t>autopsy (Hyman et al, 2012).</w:t>
      </w:r>
      <w:r w:rsidRPr="009D1FCC">
        <w:t xml:space="preserve"> The exclusion of other causes of the early, non-specific symptoms of AD is therefore a fundamental part of the diagnostic process</w:t>
      </w:r>
      <w:r>
        <w:t xml:space="preserve"> and a major challenge faced by GPs</w:t>
      </w:r>
      <w:r w:rsidRPr="009D1FCC">
        <w:t xml:space="preserve">. Specialist examination and routine blood tests are undertaken to rule out differential diagnoses including dementia and delirium, hypothyroidism, and severe vitamin B12 </w:t>
      </w:r>
      <w:r w:rsidRPr="000D1344">
        <w:t>deficiency (Vacante et al, 2013). Structural</w:t>
      </w:r>
      <w:r w:rsidRPr="009D1FCC">
        <w:t xml:space="preserve"> imaging </w:t>
      </w:r>
      <w:r>
        <w:t>(preferably MRI)</w:t>
      </w:r>
      <w:r w:rsidRPr="009D1FCC">
        <w:t xml:space="preserve"> is used to exclude underlying conditions such as subdural haematoma and brain tumours. In addition to ruling out differential diagnoses, structural MRI may</w:t>
      </w:r>
      <w:r>
        <w:t>, depending on the stage of the disease,</w:t>
      </w:r>
      <w:r w:rsidRPr="009D1FCC">
        <w:t xml:space="preserve"> </w:t>
      </w:r>
      <w:r>
        <w:t>reveal</w:t>
      </w:r>
      <w:r w:rsidRPr="009D1FCC">
        <w:t xml:space="preserve"> cerebral alterations </w:t>
      </w:r>
      <w:r>
        <w:t>that are</w:t>
      </w:r>
      <w:r w:rsidRPr="009D1FCC">
        <w:t xml:space="preserve"> characteristic of AD (</w:t>
      </w:r>
      <w:r>
        <w:t>e.g.</w:t>
      </w:r>
      <w:r w:rsidRPr="009D1FCC">
        <w:t xml:space="preserve"> </w:t>
      </w:r>
      <w:r>
        <w:t xml:space="preserve">brain </w:t>
      </w:r>
      <w:r w:rsidRPr="009D1FCC">
        <w:t>atrophy).</w:t>
      </w:r>
    </w:p>
    <w:p w14:paraId="71D8E37E" w14:textId="2E8490ED" w:rsidR="00246C7A" w:rsidRDefault="00246C7A" w:rsidP="00246C7A">
      <w:r>
        <w:t>As such, structural imaging, in combination with other prior tests, will often provide enough information to confidently diagnose AD in moderate to severe cases. However, the presence of AD in a mildly affected brain is</w:t>
      </w:r>
      <w:r w:rsidRPr="007A094C">
        <w:t xml:space="preserve"> more difficult to</w:t>
      </w:r>
      <w:r>
        <w:t xml:space="preserve"> diagnose using MRI, particularly due to difficulty in distinguishing it from the mild decline in memory that can occur with normal aging and from mild cognitive manifestations of other neuropsychiatric </w:t>
      </w:r>
      <w:r w:rsidRPr="00246C7A">
        <w:t>conditions (Silverman et al, 2008). In contrast,</w:t>
      </w:r>
      <w:r>
        <w:t xml:space="preserve"> f</w:t>
      </w:r>
      <w:r w:rsidRPr="007A094C">
        <w:t>unctional imaging</w:t>
      </w:r>
      <w:r>
        <w:t>,</w:t>
      </w:r>
      <w:r w:rsidRPr="007A094C">
        <w:t xml:space="preserve"> including PET and </w:t>
      </w:r>
      <w:r w:rsidRPr="00A83E9C">
        <w:t xml:space="preserve">single-photon emission computed tomography </w:t>
      </w:r>
      <w:r>
        <w:t>(</w:t>
      </w:r>
      <w:r w:rsidRPr="007A094C">
        <w:t>SPECT</w:t>
      </w:r>
      <w:r>
        <w:t>),</w:t>
      </w:r>
      <w:r w:rsidRPr="007A094C">
        <w:t xml:space="preserve"> </w:t>
      </w:r>
      <w:r>
        <w:t>is</w:t>
      </w:r>
      <w:r w:rsidRPr="007A094C">
        <w:t xml:space="preserve"> able to </w:t>
      </w:r>
      <w:r w:rsidRPr="007A094C">
        <w:lastRenderedPageBreak/>
        <w:t>identify changes in glucose and oxygen metabolism, respectivel</w:t>
      </w:r>
      <w:r>
        <w:t xml:space="preserve">y, that is characteristic of AD before widespread atrophy </w:t>
      </w:r>
      <w:r w:rsidRPr="00403713">
        <w:t>occurs (</w:t>
      </w:r>
      <w:r w:rsidR="00403713" w:rsidRPr="00403713">
        <w:t>Bloudek et al, 2011</w:t>
      </w:r>
      <w:r w:rsidRPr="00403713">
        <w:t>). The clinical need</w:t>
      </w:r>
      <w:r>
        <w:t xml:space="preserve"> for such diagnostic techniques is therefore very high in patients with early signs of AD, who have not yet passed the optimal window for therapeutic intervention.</w:t>
      </w:r>
    </w:p>
    <w:p w14:paraId="289C4F03" w14:textId="77777777" w:rsidR="00246C7A" w:rsidRDefault="00246C7A" w:rsidP="00246C7A">
      <w:r>
        <w:t xml:space="preserve">Physician confidence in a dementia diagnosis can also be challenging in younger patients, in atypical presentations, in patients with comorbid depressive and cognitive symptoms, and in patients with a higher level of education, who can experience a substantial decline of cognitive </w:t>
      </w:r>
      <w:r w:rsidRPr="000D1344">
        <w:t>function before reaching the lower normal limits of standardised neuropsychological tests (Bohnen et al, 2012). More accurate assessment of dementia diagnosis can help to better select appropriate patients</w:t>
      </w:r>
      <w:r>
        <w:t xml:space="preserve"> for anti-dementia therapy and family prognostic planning.</w:t>
      </w:r>
    </w:p>
    <w:p w14:paraId="0F8FF1D8" w14:textId="6444680B" w:rsidR="00246C7A" w:rsidRPr="00403713" w:rsidRDefault="00246C7A" w:rsidP="00246C7A">
      <w:r>
        <w:t xml:space="preserve">In Australia, there are currently around 300,000 people living with dementia (predominantly AD) and </w:t>
      </w:r>
      <w:r w:rsidRPr="00403713">
        <w:t>the figure is projected to rise to around one million in 2050 as the population rapidly grows and ages (Phillips</w:t>
      </w:r>
      <w:r w:rsidR="00B25281">
        <w:t xml:space="preserve"> et al</w:t>
      </w:r>
      <w:r w:rsidRPr="00403713">
        <w:t>, 2011). Currently, symptoms of dementia are detected by family members an average of 1.9 years prior to the first medical consultation and an average of 3.1 years passes before a firm diagnosis is made (Phillips et al, 2011). Rates of early diagnosis in a mild stage of AD may be improved if FDG-PET was made more readily available and accepted into the standard diagnostic pathway for mild or diagnostically challenging AD. With the availability of effective treatment, the detection of AD at an early stage could have a significant effect on downstream medical and residential aged care expenditure</w:t>
      </w:r>
      <w:r w:rsidR="00774E8F">
        <w:t>.</w:t>
      </w:r>
    </w:p>
    <w:p w14:paraId="203DB773" w14:textId="7F7B772E" w:rsidR="00246C7A" w:rsidRPr="00403713" w:rsidRDefault="00246C7A" w:rsidP="00246C7A">
      <w:r w:rsidRPr="00403713">
        <w:t xml:space="preserve">Despite the fact that there is currently no cure for AD, there are numerous advantages associated with early diagnosis. Several treatments are available that have been reported to slow cognitive and functional decline and diminish the severity of behavioural and psychiatric symptoms (Vacante et al, 2013). Patients with AD that is diagnosed in its early stages could benefit from the optimal use of the available drugs (see </w:t>
      </w:r>
      <w:r w:rsidRPr="00403713">
        <w:fldChar w:fldCharType="begin"/>
      </w:r>
      <w:r w:rsidRPr="00403713">
        <w:instrText xml:space="preserve"> REF _Ref403047112 \h </w:instrText>
      </w:r>
      <w:r w:rsidR="00403713">
        <w:instrText xml:space="preserve"> \* MERGEFORMAT </w:instrText>
      </w:r>
      <w:r w:rsidRPr="00403713">
        <w:fldChar w:fldCharType="separate"/>
      </w:r>
      <w:r w:rsidR="00C67698">
        <w:t xml:space="preserve">Table </w:t>
      </w:r>
      <w:r w:rsidR="00C67698">
        <w:rPr>
          <w:noProof/>
        </w:rPr>
        <w:t>A.2</w:t>
      </w:r>
      <w:r w:rsidR="00C67698">
        <w:rPr>
          <w:noProof/>
        </w:rPr>
        <w:noBreakHyphen/>
        <w:t>1</w:t>
      </w:r>
      <w:r w:rsidRPr="00403713">
        <w:fldChar w:fldCharType="end"/>
      </w:r>
      <w:r w:rsidRPr="00403713">
        <w:t>), with the possibility of delayed progression to more debilitating stages of disease. In addition, they may be able to trial newly developed interventions and will have a greater opportunity to plan care strategies and organise legal matters such as power of attorney (Phillips et al, 2011).</w:t>
      </w:r>
    </w:p>
    <w:p w14:paraId="7AB3714B" w14:textId="0A33312F" w:rsidR="00246C7A" w:rsidRDefault="00246C7A" w:rsidP="00246C7A">
      <w:r w:rsidRPr="00403713">
        <w:t>Importantly, functional imaging techniques such</w:t>
      </w:r>
      <w:r>
        <w:t xml:space="preserve"> as FDG-PET have very limited utility in patients with severe AD, as less advanced diagnostic </w:t>
      </w:r>
      <w:r w:rsidRPr="00246C7A">
        <w:t>techniques (e.g. cognitive tests and/or MRI) would be sufficient to provide a confident diagnosis (McMahon et al, 2003). Furthermore, in Australia</w:t>
      </w:r>
      <w:r w:rsidR="00661BC5">
        <w:t>,</w:t>
      </w:r>
      <w:r w:rsidRPr="00246C7A">
        <w:t xml:space="preserve"> patients with severe AD are excluded</w:t>
      </w:r>
      <w:r>
        <w:t xml:space="preserve"> from the </w:t>
      </w:r>
      <w:r w:rsidR="00EF7DFC">
        <w:t>Pharmaceutical Benefits Scheme (</w:t>
      </w:r>
      <w:r>
        <w:t>PBS</w:t>
      </w:r>
      <w:r w:rsidR="00EF7DFC">
        <w:t>)</w:t>
      </w:r>
      <w:r>
        <w:t xml:space="preserve">-eligible population for AD drugs and therefore would not benefit from access to subsidised therapy. </w:t>
      </w:r>
    </w:p>
    <w:p w14:paraId="510E4521" w14:textId="77777777" w:rsidR="00246C7A" w:rsidRDefault="00246C7A" w:rsidP="00246C7A">
      <w:r>
        <w:t xml:space="preserve">As the Australian population rapidly ages, the addition of FDG-PET into the diagnostic pathway of mild and difficult-to-diagnose AD will mean that less patients miss the optimal window in which the condition responds to therapy (i.e. before the onset of severe symptoms). </w:t>
      </w:r>
      <w:r w:rsidRPr="00FB5478">
        <w:t>The timely diagnosis of AD is the</w:t>
      </w:r>
      <w:r>
        <w:t xml:space="preserve">refore paramount and FDG-PET may be an </w:t>
      </w:r>
      <w:r w:rsidRPr="00FB5478">
        <w:t>important diagnostic tool where other tests and imaging modalities are unable to provide a confident diagnosis of AD.</w:t>
      </w:r>
    </w:p>
    <w:p w14:paraId="2B7ED8A2" w14:textId="6147E068" w:rsidR="00246C7A" w:rsidRDefault="00246C7A" w:rsidP="00246C7A">
      <w:r w:rsidRPr="00FB5478">
        <w:t xml:space="preserve">As well as its utility in the diagnosis of AD, FDG-PET has utility in providing </w:t>
      </w:r>
      <w:r>
        <w:t xml:space="preserve">greater </w:t>
      </w:r>
      <w:r w:rsidRPr="00FB5478">
        <w:t>prognostic informat</w:t>
      </w:r>
      <w:r>
        <w:t>ion than other diagnostic tools</w:t>
      </w:r>
      <w:r w:rsidR="00411C2F">
        <w:t>. Hypometabolism in the temporo</w:t>
      </w:r>
      <w:r>
        <w:t xml:space="preserve">parietal lobe would indicate underlying AD and the patient would therefore know at an early stage that their cognitive decline is irreversible. </w:t>
      </w:r>
    </w:p>
    <w:p w14:paraId="3C4989EE" w14:textId="77777777" w:rsidR="00246C7A" w:rsidRDefault="00246C7A" w:rsidP="00246C7A">
      <w:pPr>
        <w:pStyle w:val="Heading3"/>
      </w:pPr>
      <w:bookmarkStart w:id="23" w:name="_Ref404950041"/>
      <w:r>
        <w:lastRenderedPageBreak/>
        <w:t>Regulatory status and prerequisites</w:t>
      </w:r>
      <w:bookmarkEnd w:id="23"/>
    </w:p>
    <w:p w14:paraId="6C3D4973" w14:textId="77777777" w:rsidR="00246C7A" w:rsidRPr="00D331C2" w:rsidRDefault="00246C7A" w:rsidP="00246C7A">
      <w:pPr>
        <w:keepNext/>
        <w:spacing w:after="120"/>
        <w:rPr>
          <w:b/>
        </w:rPr>
      </w:pPr>
      <w:r>
        <w:rPr>
          <w:b/>
        </w:rPr>
        <w:t>Regulation</w:t>
      </w:r>
    </w:p>
    <w:p w14:paraId="0637A064" w14:textId="77777777" w:rsidR="00246C7A" w:rsidRDefault="00246C7A" w:rsidP="00403713">
      <w:pPr>
        <w:spacing w:after="120"/>
      </w:pPr>
      <w:r>
        <w:t>According to the Final Protocol, there are three PET machines registered on the Australian Register of Therapeutic Goods (ARTG):</w:t>
      </w:r>
    </w:p>
    <w:p w14:paraId="1F10C71D" w14:textId="77777777" w:rsidR="00246C7A" w:rsidRDefault="00246C7A" w:rsidP="00246C7A">
      <w:pPr>
        <w:pStyle w:val="ListParagraph"/>
        <w:numPr>
          <w:ilvl w:val="0"/>
          <w:numId w:val="12"/>
        </w:numPr>
      </w:pPr>
      <w:r>
        <w:t>GE Healthcare Australia Pty Ltd. ARTG #156649 and ARTG #114476</w:t>
      </w:r>
    </w:p>
    <w:p w14:paraId="61B37282" w14:textId="77777777" w:rsidR="00246C7A" w:rsidRDefault="00246C7A" w:rsidP="00246C7A">
      <w:pPr>
        <w:pStyle w:val="ListParagraph"/>
        <w:numPr>
          <w:ilvl w:val="0"/>
          <w:numId w:val="12"/>
        </w:numPr>
      </w:pPr>
      <w:r>
        <w:t>Phillips Electronics Australia Pty. ARTG #147067</w:t>
      </w:r>
    </w:p>
    <w:p w14:paraId="3C3CD04D" w14:textId="77777777" w:rsidR="00246C7A" w:rsidRDefault="00246C7A" w:rsidP="00403713">
      <w:pPr>
        <w:spacing w:after="120"/>
      </w:pPr>
      <w:r>
        <w:t>There are two registered PET/CT machine types</w:t>
      </w:r>
      <w:r>
        <w:rPr>
          <w:rStyle w:val="FootnoteReference"/>
        </w:rPr>
        <w:footnoteReference w:id="1"/>
      </w:r>
      <w:r>
        <w:t>:</w:t>
      </w:r>
    </w:p>
    <w:p w14:paraId="040FE31B" w14:textId="77777777" w:rsidR="00246C7A" w:rsidRDefault="00246C7A" w:rsidP="00246C7A">
      <w:pPr>
        <w:pStyle w:val="ListParagraph"/>
        <w:numPr>
          <w:ilvl w:val="0"/>
          <w:numId w:val="13"/>
        </w:numPr>
      </w:pPr>
      <w:r>
        <w:t>Siemens Ltd. ARTG #144218</w:t>
      </w:r>
    </w:p>
    <w:p w14:paraId="70884112" w14:textId="77777777" w:rsidR="00246C7A" w:rsidRDefault="00246C7A" w:rsidP="00246C7A">
      <w:pPr>
        <w:pStyle w:val="ListParagraph"/>
        <w:numPr>
          <w:ilvl w:val="0"/>
          <w:numId w:val="13"/>
        </w:numPr>
      </w:pPr>
      <w:r>
        <w:t xml:space="preserve">Philips Electronics </w:t>
      </w:r>
      <w:r w:rsidRPr="006F7E3D">
        <w:t>Australia Ltd.</w:t>
      </w:r>
      <w:r>
        <w:t xml:space="preserve"> ARTG #118077</w:t>
      </w:r>
    </w:p>
    <w:p w14:paraId="36354D92" w14:textId="77777777" w:rsidR="00246C7A" w:rsidRDefault="00246C7A" w:rsidP="00403713">
      <w:pPr>
        <w:spacing w:after="120"/>
      </w:pPr>
      <w:r>
        <w:t>There are two registered PET/MRI machine types:</w:t>
      </w:r>
    </w:p>
    <w:p w14:paraId="35EDA199" w14:textId="77777777" w:rsidR="00246C7A" w:rsidRDefault="00246C7A" w:rsidP="00246C7A">
      <w:pPr>
        <w:pStyle w:val="ListParagraph"/>
        <w:numPr>
          <w:ilvl w:val="0"/>
          <w:numId w:val="14"/>
        </w:numPr>
      </w:pPr>
      <w:r>
        <w:t>Siemens Ltd. ARTG #188470</w:t>
      </w:r>
    </w:p>
    <w:p w14:paraId="785D2FF6" w14:textId="77777777" w:rsidR="00246C7A" w:rsidRDefault="00246C7A" w:rsidP="00246C7A">
      <w:pPr>
        <w:pStyle w:val="ListParagraph"/>
        <w:numPr>
          <w:ilvl w:val="0"/>
          <w:numId w:val="14"/>
        </w:numPr>
      </w:pPr>
      <w:r>
        <w:t>Philips Electronics Australia Ltd. ARTG #193622.</w:t>
      </w:r>
    </w:p>
    <w:p w14:paraId="2A05F837" w14:textId="77777777" w:rsidR="00246C7A" w:rsidRDefault="00246C7A" w:rsidP="00403713">
      <w:pPr>
        <w:spacing w:after="120"/>
      </w:pPr>
      <w:r>
        <w:t xml:space="preserve">There are also four registered types of PET </w:t>
      </w:r>
      <w:r w:rsidRPr="00D331C2">
        <w:t>imaging software available</w:t>
      </w:r>
      <w:r>
        <w:t>:</w:t>
      </w:r>
    </w:p>
    <w:p w14:paraId="42101598" w14:textId="77777777" w:rsidR="00246C7A" w:rsidRDefault="00246C7A" w:rsidP="00246C7A">
      <w:pPr>
        <w:pStyle w:val="ListParagraph"/>
        <w:numPr>
          <w:ilvl w:val="0"/>
          <w:numId w:val="15"/>
        </w:numPr>
      </w:pPr>
      <w:r>
        <w:t>Siemens Ltd. ARTG #181848 and ARTG #178420</w:t>
      </w:r>
    </w:p>
    <w:p w14:paraId="7E194A39" w14:textId="77777777" w:rsidR="00246C7A" w:rsidRDefault="00246C7A" w:rsidP="00246C7A">
      <w:pPr>
        <w:pStyle w:val="ListParagraph"/>
        <w:numPr>
          <w:ilvl w:val="0"/>
          <w:numId w:val="15"/>
        </w:numPr>
      </w:pPr>
      <w:r>
        <w:t>GE Healthcare Australia Pty Ltd. ARTG #154936 and ARTG #153390.</w:t>
      </w:r>
    </w:p>
    <w:p w14:paraId="2B415D07" w14:textId="77777777" w:rsidR="00246C7A" w:rsidRDefault="00246C7A" w:rsidP="00403713">
      <w:pPr>
        <w:spacing w:after="120"/>
      </w:pPr>
      <w:r>
        <w:t xml:space="preserve">There are two </w:t>
      </w:r>
      <w:r w:rsidRPr="002B5704">
        <w:t xml:space="preserve">registered entries for </w:t>
      </w:r>
      <w:r>
        <w:t>FDG injection</w:t>
      </w:r>
      <w:r w:rsidRPr="002B5704">
        <w:t>:</w:t>
      </w:r>
    </w:p>
    <w:p w14:paraId="059A93D0" w14:textId="77777777" w:rsidR="00246C7A" w:rsidRDefault="00246C7A" w:rsidP="00246C7A">
      <w:pPr>
        <w:pStyle w:val="ListParagraph"/>
        <w:numPr>
          <w:ilvl w:val="0"/>
          <w:numId w:val="16"/>
        </w:numPr>
      </w:pPr>
      <w:r w:rsidRPr="002B5704">
        <w:t>2-deoxy-2-(</w:t>
      </w:r>
      <w:r w:rsidRPr="002B5704">
        <w:rPr>
          <w:vertAlign w:val="superscript"/>
        </w:rPr>
        <w:t>18</w:t>
      </w:r>
      <w:r w:rsidRPr="002B5704">
        <w:t>F)fluoro-D-glucose</w:t>
      </w:r>
      <w:r>
        <w:t>; Austin Health, in Melbourne, ARTG #54251</w:t>
      </w:r>
    </w:p>
    <w:p w14:paraId="162543DE" w14:textId="77777777" w:rsidR="00246C7A" w:rsidRDefault="00246C7A" w:rsidP="00246C7A">
      <w:pPr>
        <w:pStyle w:val="ListParagraph"/>
        <w:numPr>
          <w:ilvl w:val="0"/>
          <w:numId w:val="16"/>
        </w:numPr>
      </w:pPr>
      <w:r>
        <w:t>FDGen (Fludeoxyglucose [</w:t>
      </w:r>
      <w:r w:rsidRPr="00260EC5">
        <w:rPr>
          <w:vertAlign w:val="superscript"/>
        </w:rPr>
        <w:t>18</w:t>
      </w:r>
      <w:r>
        <w:t xml:space="preserve">F] Injection); PETNET Australia Pty Ltd, with ARTG #78935 (Licence number MI-2009-LI-03349-3). </w:t>
      </w:r>
    </w:p>
    <w:p w14:paraId="2EA9630E" w14:textId="77777777" w:rsidR="00246C7A" w:rsidRDefault="00246C7A" w:rsidP="00246C7A">
      <w:r>
        <w:t>Only the FDG product from Austin Health lists neurological disorders as an indication.</w:t>
      </w:r>
    </w:p>
    <w:p w14:paraId="3349EDE6" w14:textId="1A5ED8FC" w:rsidR="00246C7A" w:rsidRDefault="00246C7A" w:rsidP="00246C7A">
      <w:r>
        <w:t>Additionally, there is a second commercial supplier of radiolabelled FDG in Australia, Cyclotek which is a TGA approved manufacturer (Licence number MI-12092005-LI-000904-2). Radiolabelled FDG is also produced at the Royal Prince Alfred Hospital (NSW), Peter MacCallum Cancer Institute (VIC), Royal Brisbane Hospital (QLD), Wesley Hospital (QLD) and Sir Charles Gairdner Hospital (WA).</w:t>
      </w:r>
    </w:p>
    <w:p w14:paraId="363853EB" w14:textId="77777777" w:rsidR="00246C7A" w:rsidRDefault="00246C7A" w:rsidP="00246C7A">
      <w:r>
        <w:t xml:space="preserve">The requested MBS listing for FDG-PET is consistent with the regulatory body approved indication. </w:t>
      </w:r>
    </w:p>
    <w:p w14:paraId="29F81D2A" w14:textId="77777777" w:rsidR="00246C7A" w:rsidRDefault="00246C7A" w:rsidP="00246C7A">
      <w:pPr>
        <w:keepNext/>
        <w:widowControl w:val="0"/>
        <w:spacing w:after="120"/>
        <w:rPr>
          <w:b/>
        </w:rPr>
      </w:pPr>
      <w:r>
        <w:rPr>
          <w:b/>
        </w:rPr>
        <w:t>Prerequisites</w:t>
      </w:r>
    </w:p>
    <w:p w14:paraId="2E838FFA" w14:textId="77777777" w:rsidR="00246C7A" w:rsidRDefault="00246C7A" w:rsidP="00246C7A">
      <w:r>
        <w:t>Reimbursement of the proposed medical service would require referral from a recognised specialist (e.g. geriatrician, psychiatrist, neurologist) or consultant physician.</w:t>
      </w:r>
    </w:p>
    <w:p w14:paraId="08373ABF" w14:textId="77777777" w:rsidR="00246C7A" w:rsidRDefault="00246C7A" w:rsidP="00246C7A">
      <w:r>
        <w:t xml:space="preserve">PET scanners are often confined to large, metropolitan, public hospitals due to the high capital cost of the scanner and ongoing costs to maintain and operate the machine. </w:t>
      </w:r>
    </w:p>
    <w:p w14:paraId="49D56B75" w14:textId="17A01312" w:rsidR="00246C7A" w:rsidRDefault="00246C7A" w:rsidP="00246C7A">
      <w:r>
        <w:t xml:space="preserve">Additionally, each PET scan has a cost associated with the purchase and transport of radiochemicals. </w:t>
      </w:r>
      <w:r w:rsidRPr="005608F3">
        <w:t>Because the half-life of fluorine</w:t>
      </w:r>
      <w:r w:rsidR="00420CA0">
        <w:t>(F)</w:t>
      </w:r>
      <w:r w:rsidRPr="005608F3">
        <w:t xml:space="preserve">-18 is about two hours, the prepared </w:t>
      </w:r>
      <w:r w:rsidRPr="005608F3">
        <w:lastRenderedPageBreak/>
        <w:t>dose of a radiopharmaceutical bearing this radionuclide will undergo multiple half-lives of decay during the working day. This necessitates frequent recalibration of the remaining dose (determination of activity per unit volume) and careful planning with respect to patient scheduling.</w:t>
      </w:r>
    </w:p>
    <w:p w14:paraId="1B883894" w14:textId="77777777" w:rsidR="00246C7A" w:rsidRDefault="00246C7A" w:rsidP="00246C7A">
      <w:pPr>
        <w:pStyle w:val="Heading3"/>
      </w:pPr>
      <w:r w:rsidRPr="003578A6">
        <w:t>Co-administered and associated services</w:t>
      </w:r>
    </w:p>
    <w:p w14:paraId="53EF4DC5" w14:textId="77777777" w:rsidR="00246C7A" w:rsidRPr="006B6E39" w:rsidRDefault="00246C7A" w:rsidP="00246C7A">
      <w:r w:rsidRPr="006B6E39">
        <w:t xml:space="preserve">There are no diagnostic tests or other MBS services that would typically be co-administered with FDG-PET. </w:t>
      </w:r>
    </w:p>
    <w:p w14:paraId="1E876DC3" w14:textId="77777777" w:rsidR="00246C7A" w:rsidRDefault="00246C7A" w:rsidP="00246C7A">
      <w:r w:rsidRPr="006B6E39">
        <w:t>The proposed listing of FDG-PET could marginally increase the number of associated GP attendances (MBS item 23) if a greater number of patients are diagnosed with AD and regularly see their GP to monitor and/or manage their condition. Conversely, the potential earlier diagnosis of AD through FDG-PET could minimise GP visits, as ongoing GP attendances to investigate the non-specific symptoms of undiagnosed AD would be avoided. These potential downstream costs or savings are highly uncertain.</w:t>
      </w:r>
      <w:r>
        <w:t xml:space="preserve"> </w:t>
      </w:r>
    </w:p>
    <w:p w14:paraId="4C8A9A98" w14:textId="77777777" w:rsidR="00246C7A" w:rsidRPr="00C562A4" w:rsidRDefault="00246C7A" w:rsidP="00246C7A">
      <w:pPr>
        <w:spacing w:after="120"/>
        <w:rPr>
          <w:b/>
        </w:rPr>
      </w:pPr>
      <w:r>
        <w:rPr>
          <w:b/>
        </w:rPr>
        <w:t>Anti-dementia medicines for AD</w:t>
      </w:r>
    </w:p>
    <w:p w14:paraId="7C59A15E" w14:textId="77777777" w:rsidR="00246C7A" w:rsidRDefault="00246C7A" w:rsidP="00246C7A">
      <w:r>
        <w:t xml:space="preserve">There are four drugs subsidised through the PBS and Repatriation Pharmaceutical Benefits Scheme (RPBS) for patients who have a diagnosis of AD (see </w:t>
      </w:r>
      <w:r>
        <w:fldChar w:fldCharType="begin"/>
      </w:r>
      <w:r>
        <w:instrText xml:space="preserve"> REF _Ref403047112 \h </w:instrText>
      </w:r>
      <w:r>
        <w:fldChar w:fldCharType="separate"/>
      </w:r>
      <w:r w:rsidR="00C67698">
        <w:t xml:space="preserve">Table </w:t>
      </w:r>
      <w:r w:rsidR="00C67698">
        <w:rPr>
          <w:noProof/>
        </w:rPr>
        <w:t>A.2</w:t>
      </w:r>
      <w:r w:rsidR="00C67698">
        <w:noBreakHyphen/>
      </w:r>
      <w:r w:rsidR="00C67698">
        <w:rPr>
          <w:noProof/>
        </w:rPr>
        <w:t>1</w:t>
      </w:r>
      <w:r>
        <w:fldChar w:fldCharType="end"/>
      </w:r>
      <w:r>
        <w:t xml:space="preserve">). </w:t>
      </w:r>
    </w:p>
    <w:p w14:paraId="15907F6C" w14:textId="77777777" w:rsidR="00246C7A" w:rsidRDefault="00246C7A" w:rsidP="00246C7A">
      <w:pPr>
        <w:pStyle w:val="Caption"/>
      </w:pPr>
      <w:bookmarkStart w:id="24" w:name="_Ref403047112"/>
      <w:bookmarkStart w:id="25" w:name="_Toc406325485"/>
      <w:bookmarkStart w:id="26" w:name="_Toc408845199"/>
      <w:r>
        <w:t xml:space="preserve">Table </w:t>
      </w:r>
      <w:fldSimple w:instr=" STYLEREF 2 \s ">
        <w:r w:rsidR="00C67698">
          <w:rPr>
            <w:noProof/>
          </w:rPr>
          <w:t>A.2</w:t>
        </w:r>
      </w:fldSimple>
      <w:r>
        <w:noBreakHyphen/>
      </w:r>
      <w:fldSimple w:instr=" SEQ Table \* ARABIC \s 2 ">
        <w:r w:rsidR="00C67698">
          <w:rPr>
            <w:noProof/>
          </w:rPr>
          <w:t>1</w:t>
        </w:r>
      </w:fldSimple>
      <w:bookmarkEnd w:id="24"/>
      <w:r>
        <w:tab/>
        <w:t>List of PBS-subsidised drugs used for the treatment of AD</w:t>
      </w:r>
      <w:bookmarkEnd w:id="25"/>
      <w:bookmarkEnd w:id="2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PBS-subsidised drugs used for the treatment of AD"/>
        <w:tblDescription w:val="The drug class, drug name, trade name and PBS codes for the four anti-dementia medicines listed on the PBS. "/>
      </w:tblPr>
      <w:tblGrid>
        <w:gridCol w:w="1969"/>
        <w:gridCol w:w="1417"/>
        <w:gridCol w:w="1843"/>
        <w:gridCol w:w="3067"/>
      </w:tblGrid>
      <w:tr w:rsidR="00246C7A" w14:paraId="4DF5C995" w14:textId="77777777" w:rsidTr="00246C7A">
        <w:tc>
          <w:tcPr>
            <w:tcW w:w="1969" w:type="dxa"/>
          </w:tcPr>
          <w:p w14:paraId="637517D7" w14:textId="77777777" w:rsidR="00246C7A" w:rsidRDefault="00246C7A" w:rsidP="00246C7A">
            <w:pPr>
              <w:pStyle w:val="Tabletextboldleft"/>
            </w:pPr>
            <w:r>
              <w:t>Drug class</w:t>
            </w:r>
          </w:p>
        </w:tc>
        <w:tc>
          <w:tcPr>
            <w:tcW w:w="1417" w:type="dxa"/>
          </w:tcPr>
          <w:p w14:paraId="1E20897F" w14:textId="77777777" w:rsidR="00246C7A" w:rsidRDefault="00246C7A" w:rsidP="00246C7A">
            <w:pPr>
              <w:pStyle w:val="Tabletextboldleft"/>
            </w:pPr>
            <w:r>
              <w:t>Drug name</w:t>
            </w:r>
          </w:p>
        </w:tc>
        <w:tc>
          <w:tcPr>
            <w:tcW w:w="1843" w:type="dxa"/>
          </w:tcPr>
          <w:p w14:paraId="61478050" w14:textId="77777777" w:rsidR="00246C7A" w:rsidRDefault="00246C7A" w:rsidP="00246C7A">
            <w:pPr>
              <w:pStyle w:val="Tabletextboldleft"/>
            </w:pPr>
            <w:r>
              <w:t>Trade name</w:t>
            </w:r>
          </w:p>
        </w:tc>
        <w:tc>
          <w:tcPr>
            <w:tcW w:w="3067" w:type="dxa"/>
          </w:tcPr>
          <w:p w14:paraId="0F12593A" w14:textId="77777777" w:rsidR="00246C7A" w:rsidRDefault="00246C7A" w:rsidP="00246C7A">
            <w:pPr>
              <w:pStyle w:val="Tabletextboldleft"/>
            </w:pPr>
            <w:r>
              <w:t>PBS codes</w:t>
            </w:r>
          </w:p>
        </w:tc>
      </w:tr>
      <w:tr w:rsidR="00246C7A" w14:paraId="2CBF7998" w14:textId="77777777" w:rsidTr="00246C7A">
        <w:tc>
          <w:tcPr>
            <w:tcW w:w="1969" w:type="dxa"/>
          </w:tcPr>
          <w:p w14:paraId="694325DA" w14:textId="77777777" w:rsidR="00246C7A" w:rsidRDefault="00246C7A" w:rsidP="00246C7A">
            <w:pPr>
              <w:pStyle w:val="Tabletextcentred"/>
              <w:keepNext/>
              <w:jc w:val="left"/>
            </w:pPr>
            <w:r>
              <w:t>Acetylcholinesterase inhibitor</w:t>
            </w:r>
          </w:p>
        </w:tc>
        <w:tc>
          <w:tcPr>
            <w:tcW w:w="1417" w:type="dxa"/>
          </w:tcPr>
          <w:p w14:paraId="50101C66" w14:textId="77777777" w:rsidR="00246C7A" w:rsidRDefault="00246C7A" w:rsidP="00246C7A">
            <w:pPr>
              <w:pStyle w:val="Tabletextcentred"/>
              <w:keepNext/>
              <w:jc w:val="left"/>
            </w:pPr>
            <w:r>
              <w:t>Donepezil</w:t>
            </w:r>
          </w:p>
        </w:tc>
        <w:tc>
          <w:tcPr>
            <w:tcW w:w="1843" w:type="dxa"/>
          </w:tcPr>
          <w:p w14:paraId="151E46BB" w14:textId="77777777" w:rsidR="00246C7A" w:rsidRDefault="00246C7A" w:rsidP="00246C7A">
            <w:pPr>
              <w:pStyle w:val="Tabletextcentred"/>
              <w:keepNext/>
              <w:jc w:val="left"/>
            </w:pPr>
            <w:r>
              <w:t>Aricept®</w:t>
            </w:r>
          </w:p>
        </w:tc>
        <w:tc>
          <w:tcPr>
            <w:tcW w:w="3067" w:type="dxa"/>
          </w:tcPr>
          <w:p w14:paraId="458C26F6" w14:textId="77777777" w:rsidR="00246C7A" w:rsidRPr="00C26210" w:rsidRDefault="00246C7A" w:rsidP="00246C7A">
            <w:pPr>
              <w:pStyle w:val="Tabletextcentred"/>
              <w:keepNext/>
              <w:jc w:val="left"/>
            </w:pPr>
            <w:r w:rsidRPr="00C26210">
              <w:t>2479L, 2532G, 8495D, 8496E</w:t>
            </w:r>
          </w:p>
        </w:tc>
      </w:tr>
      <w:tr w:rsidR="00246C7A" w14:paraId="11BAC28F" w14:textId="77777777" w:rsidTr="00246C7A">
        <w:tc>
          <w:tcPr>
            <w:tcW w:w="1969" w:type="dxa"/>
          </w:tcPr>
          <w:p w14:paraId="48A887F9" w14:textId="77777777" w:rsidR="00246C7A" w:rsidRDefault="00246C7A" w:rsidP="00246C7A">
            <w:pPr>
              <w:pStyle w:val="Tabletextcentred"/>
              <w:keepNext/>
              <w:jc w:val="left"/>
            </w:pPr>
            <w:r w:rsidRPr="00C26210">
              <w:t>Acetylcholinesterase inhibitor</w:t>
            </w:r>
          </w:p>
        </w:tc>
        <w:tc>
          <w:tcPr>
            <w:tcW w:w="1417" w:type="dxa"/>
          </w:tcPr>
          <w:p w14:paraId="04752770" w14:textId="77777777" w:rsidR="00246C7A" w:rsidRDefault="00246C7A" w:rsidP="00246C7A">
            <w:pPr>
              <w:pStyle w:val="Tabletextcentred"/>
              <w:keepNext/>
              <w:jc w:val="left"/>
            </w:pPr>
            <w:r>
              <w:t>Galantamine</w:t>
            </w:r>
          </w:p>
        </w:tc>
        <w:tc>
          <w:tcPr>
            <w:tcW w:w="1843" w:type="dxa"/>
          </w:tcPr>
          <w:p w14:paraId="1D76AE35" w14:textId="77777777" w:rsidR="00246C7A" w:rsidRDefault="00246C7A" w:rsidP="00246C7A">
            <w:pPr>
              <w:pStyle w:val="Tabletextcentred"/>
              <w:keepNext/>
              <w:jc w:val="left"/>
            </w:pPr>
            <w:r>
              <w:t>Reminyl®</w:t>
            </w:r>
          </w:p>
          <w:p w14:paraId="6D05FBC5" w14:textId="77777777" w:rsidR="00246C7A" w:rsidRDefault="00246C7A" w:rsidP="00246C7A">
            <w:pPr>
              <w:pStyle w:val="Tabletextcentred"/>
              <w:keepNext/>
              <w:jc w:val="left"/>
            </w:pPr>
            <w:r>
              <w:t>Galantyl®</w:t>
            </w:r>
          </w:p>
        </w:tc>
        <w:tc>
          <w:tcPr>
            <w:tcW w:w="3067" w:type="dxa"/>
          </w:tcPr>
          <w:p w14:paraId="1998B093" w14:textId="77777777" w:rsidR="00246C7A" w:rsidRPr="00C26210" w:rsidRDefault="00246C7A" w:rsidP="00246C7A">
            <w:pPr>
              <w:pStyle w:val="Tabletextcentred"/>
              <w:keepNext/>
              <w:jc w:val="left"/>
            </w:pPr>
            <w:r w:rsidRPr="00C26210">
              <w:t>2463P, 2531F, 2537M, 8770N, 8771P, 8772Q</w:t>
            </w:r>
          </w:p>
        </w:tc>
      </w:tr>
      <w:tr w:rsidR="00246C7A" w14:paraId="00D1F9D2" w14:textId="77777777" w:rsidTr="00246C7A">
        <w:tc>
          <w:tcPr>
            <w:tcW w:w="1969" w:type="dxa"/>
          </w:tcPr>
          <w:p w14:paraId="44C6A28B" w14:textId="77777777" w:rsidR="00246C7A" w:rsidRDefault="00246C7A" w:rsidP="00246C7A">
            <w:pPr>
              <w:pStyle w:val="Tabletextcentred"/>
              <w:keepNext/>
              <w:jc w:val="left"/>
            </w:pPr>
            <w:r w:rsidRPr="00C26210">
              <w:t>Acetylcholinesterase inhibitor</w:t>
            </w:r>
          </w:p>
        </w:tc>
        <w:tc>
          <w:tcPr>
            <w:tcW w:w="1417" w:type="dxa"/>
          </w:tcPr>
          <w:p w14:paraId="135689FD" w14:textId="77777777" w:rsidR="00246C7A" w:rsidRDefault="00246C7A" w:rsidP="00246C7A">
            <w:pPr>
              <w:pStyle w:val="Tabletextcentred"/>
              <w:keepNext/>
              <w:jc w:val="left"/>
            </w:pPr>
            <w:r>
              <w:t>Rivastigmine</w:t>
            </w:r>
          </w:p>
        </w:tc>
        <w:tc>
          <w:tcPr>
            <w:tcW w:w="1843" w:type="dxa"/>
          </w:tcPr>
          <w:p w14:paraId="79F85A11" w14:textId="77777777" w:rsidR="00246C7A" w:rsidRDefault="00246C7A" w:rsidP="00246C7A">
            <w:pPr>
              <w:pStyle w:val="Tabletextcentred"/>
              <w:keepNext/>
              <w:jc w:val="left"/>
            </w:pPr>
            <w:r>
              <w:t>Exelon®</w:t>
            </w:r>
          </w:p>
        </w:tc>
        <w:tc>
          <w:tcPr>
            <w:tcW w:w="3067" w:type="dxa"/>
          </w:tcPr>
          <w:p w14:paraId="47A42FFE" w14:textId="77777777" w:rsidR="00246C7A" w:rsidRPr="00C26210" w:rsidRDefault="00246C7A" w:rsidP="00246C7A">
            <w:pPr>
              <w:pStyle w:val="Tabletextcentred"/>
              <w:keepNext/>
              <w:jc w:val="left"/>
            </w:pPr>
            <w:r w:rsidRPr="00C26210">
              <w:t>2475G, 2476H, 2477J, 2493F, 2494G, 2526Y, 2551G, 8497F, 8498G, 84</w:t>
            </w:r>
            <w:r>
              <w:t>99H, 8500J, 8563Q, 9161E, 9162F</w:t>
            </w:r>
          </w:p>
        </w:tc>
      </w:tr>
      <w:tr w:rsidR="00246C7A" w14:paraId="402B7669" w14:textId="77777777" w:rsidTr="00246C7A">
        <w:tc>
          <w:tcPr>
            <w:tcW w:w="1969" w:type="dxa"/>
          </w:tcPr>
          <w:p w14:paraId="126998E7" w14:textId="77777777" w:rsidR="00246C7A" w:rsidRDefault="00246C7A" w:rsidP="00246C7A">
            <w:pPr>
              <w:pStyle w:val="Tabletextcentred"/>
              <w:keepNext/>
              <w:jc w:val="left"/>
            </w:pPr>
            <w:r>
              <w:t>NMDA receptor antagonist</w:t>
            </w:r>
          </w:p>
        </w:tc>
        <w:tc>
          <w:tcPr>
            <w:tcW w:w="1417" w:type="dxa"/>
          </w:tcPr>
          <w:p w14:paraId="781B7E74" w14:textId="77777777" w:rsidR="00246C7A" w:rsidRDefault="00246C7A" w:rsidP="00246C7A">
            <w:pPr>
              <w:pStyle w:val="Tabletextcentred"/>
              <w:keepNext/>
              <w:jc w:val="left"/>
            </w:pPr>
            <w:r>
              <w:t>Memantine</w:t>
            </w:r>
          </w:p>
        </w:tc>
        <w:tc>
          <w:tcPr>
            <w:tcW w:w="1843" w:type="dxa"/>
          </w:tcPr>
          <w:p w14:paraId="51CF17BF" w14:textId="77777777" w:rsidR="00246C7A" w:rsidRDefault="00246C7A" w:rsidP="00246C7A">
            <w:pPr>
              <w:pStyle w:val="Tabletextcentred"/>
              <w:keepNext/>
              <w:jc w:val="left"/>
            </w:pPr>
            <w:r>
              <w:t>Memanxa®</w:t>
            </w:r>
          </w:p>
          <w:p w14:paraId="10CED654" w14:textId="77777777" w:rsidR="00246C7A" w:rsidRDefault="00246C7A" w:rsidP="00246C7A">
            <w:pPr>
              <w:pStyle w:val="Tabletextcentred"/>
              <w:keepNext/>
              <w:jc w:val="left"/>
            </w:pPr>
            <w:r>
              <w:t>Ebixa®</w:t>
            </w:r>
          </w:p>
          <w:p w14:paraId="6A01031E" w14:textId="77777777" w:rsidR="00246C7A" w:rsidRDefault="00246C7A" w:rsidP="00246C7A">
            <w:pPr>
              <w:pStyle w:val="Tabletextcentred"/>
              <w:keepNext/>
              <w:jc w:val="left"/>
            </w:pPr>
            <w:r>
              <w:t>APO-Memantine®</w:t>
            </w:r>
          </w:p>
        </w:tc>
        <w:tc>
          <w:tcPr>
            <w:tcW w:w="3067" w:type="dxa"/>
          </w:tcPr>
          <w:p w14:paraId="43E1955A" w14:textId="77777777" w:rsidR="00246C7A" w:rsidRPr="00C26210" w:rsidRDefault="00246C7A" w:rsidP="00246C7A">
            <w:pPr>
              <w:pStyle w:val="Tabletextcentred"/>
              <w:keepNext/>
              <w:jc w:val="left"/>
            </w:pPr>
            <w:r w:rsidRPr="00C26210">
              <w:t>1956Y, 2492E, 2513G, 9306T</w:t>
            </w:r>
          </w:p>
        </w:tc>
      </w:tr>
    </w:tbl>
    <w:p w14:paraId="5E6A7661" w14:textId="77777777" w:rsidR="00246C7A" w:rsidRDefault="00246C7A" w:rsidP="00246C7A">
      <w:pPr>
        <w:pStyle w:val="Tablefootnotes"/>
      </w:pPr>
      <w:r>
        <w:t>Abbreviations: AD, Alzheimer’s disease; NMDA, N-methyl-D-aspartate; PBS, Pharmaceutical Benefits Scheme.</w:t>
      </w:r>
    </w:p>
    <w:p w14:paraId="354C5815" w14:textId="77777777" w:rsidR="00246C7A" w:rsidRDefault="00246C7A" w:rsidP="00246C7A">
      <w:r>
        <w:t>The acetylcholinesterase inhibitors (AChEIs) work by stopping the breakdown of acetylcholine in the brain, effectively increasing the level of this chemical. Acetylcholine is used by the nerve cells in the brain and is important for memory. Increasing the level of acetylcholine can increase communication between nerve cells and may improve or stabilise the symptoms of AD.</w:t>
      </w:r>
    </w:p>
    <w:p w14:paraId="4CDBE63C" w14:textId="4353E33A" w:rsidR="00246C7A" w:rsidRDefault="00246C7A" w:rsidP="00246C7A">
      <w:r>
        <w:t xml:space="preserve">Memantine acts quite differently to the </w:t>
      </w:r>
      <w:r w:rsidR="004359DF">
        <w:t>A</w:t>
      </w:r>
      <w:r>
        <w:t>C</w:t>
      </w:r>
      <w:r w:rsidR="004359DF">
        <w:t>h</w:t>
      </w:r>
      <w:r>
        <w:t>EIs. It works by blocking the chemical glutamate. This prevents too much calcium entering the brain’s nerve cells, which can damage or affect the function of the cells.</w:t>
      </w:r>
    </w:p>
    <w:p w14:paraId="2B1C6603" w14:textId="4AB61F9A" w:rsidR="00246C7A" w:rsidRDefault="00246C7A" w:rsidP="00246C7A">
      <w:r>
        <w:t xml:space="preserve">The four medicines listed on the PBS do not cure </w:t>
      </w:r>
      <w:r w:rsidR="00DC4543">
        <w:t>AD</w:t>
      </w:r>
      <w:r>
        <w:t xml:space="preserve"> but give some relief from symptoms, and may slow decline in progression of the disease for a period of time in some patients (PBS Review, 2012)</w:t>
      </w:r>
      <w:r w:rsidR="00420CA0">
        <w:rPr>
          <w:rStyle w:val="FootnoteReference"/>
        </w:rPr>
        <w:footnoteReference w:id="2"/>
      </w:r>
      <w:r>
        <w:t>. These medicines also have significant side effects, which means that some people do not tolerate these medicines and will need to stop treatment within months of starting. Starting at a low dose with upward titration has been reported to overcome some of these issues (PBS Review, 2012).</w:t>
      </w:r>
    </w:p>
    <w:p w14:paraId="7B824F3D" w14:textId="77777777" w:rsidR="00246C7A" w:rsidRDefault="00246C7A" w:rsidP="00246C7A">
      <w:r>
        <w:lastRenderedPageBreak/>
        <w:t xml:space="preserve">Access to the PBS subsidy is restricted to cases confirmed by (or in consultation with) a specialist or consultant physician, subject to specific clinical criteria being met (MMSE or Standardised Mini-Mental State Examination (SMMSE) scores). </w:t>
      </w:r>
    </w:p>
    <w:p w14:paraId="5126C24F" w14:textId="77777777" w:rsidR="00246C7A" w:rsidRDefault="00246C7A" w:rsidP="00246C7A">
      <w:r w:rsidRPr="00586A45">
        <w:t xml:space="preserve">As discussed in Section A.2.3, </w:t>
      </w:r>
      <w:r>
        <w:t>patients with severe AD are unable to access PBS-subsidised AD drugs and generally require an MMSE or SMMSE score of 10 or more (on a 30-point scale) for initial therapy. A patient with an (S)MMSE score of 9 or less may be able to access the PBS-subsidised therapy provided that they are unable to register a higher score for reasons other than AD (e.g. intellectual disability, lack of competence in English, limited education).</w:t>
      </w:r>
    </w:p>
    <w:p w14:paraId="56F920F2" w14:textId="77777777" w:rsidR="00246C7A" w:rsidRDefault="00246C7A" w:rsidP="00246C7A">
      <w:r>
        <w:t xml:space="preserve">In 2009–10, a total of 392,796 subsidised dementia-specific medications were dispensed with an average annual growth in the dispensing of subsidised dementia-specific medications of 8% each year between 2002–03 and 2009–10 (AIHW, 2012). Based on PBS and RPBS data, Australian Government expenditure on dementia-specific medications in 2009–10 was $58.7 million (AIHW, 2012). </w:t>
      </w:r>
    </w:p>
    <w:p w14:paraId="2E71D25C" w14:textId="77777777" w:rsidR="00246C7A" w:rsidRPr="00BA36CB" w:rsidRDefault="00246C7A" w:rsidP="00246C7A">
      <w:r>
        <w:t xml:space="preserve">The proposed listing of FDG-PET to diagnose AD could marginally increase the rate of uptake of these medications but any effect is likely to be small (see Section </w:t>
      </w:r>
      <w:r>
        <w:fldChar w:fldCharType="begin"/>
      </w:r>
      <w:r>
        <w:instrText xml:space="preserve"> REF _Ref402771977 \w \h </w:instrText>
      </w:r>
      <w:r>
        <w:fldChar w:fldCharType="separate"/>
      </w:r>
      <w:r w:rsidR="00C67698">
        <w:t>E.5</w:t>
      </w:r>
      <w:r>
        <w:fldChar w:fldCharType="end"/>
      </w:r>
      <w:r>
        <w:t>).</w:t>
      </w:r>
    </w:p>
    <w:p w14:paraId="5F9FE338" w14:textId="77777777" w:rsidR="00246C7A" w:rsidRDefault="00246C7A" w:rsidP="00246C7A">
      <w:pPr>
        <w:pStyle w:val="Heading3"/>
      </w:pPr>
      <w:r>
        <w:t>Current reimbursement arrangements</w:t>
      </w:r>
    </w:p>
    <w:p w14:paraId="13DCC658" w14:textId="77777777" w:rsidR="00246C7A" w:rsidRDefault="00246C7A" w:rsidP="00246C7A">
      <w:r>
        <w:t>Currently, public reimbursement of FDG-PET for the diagnosis of AD is not available, although FDG-PET is funded through the MBS for a range of other indications: MBS items 61523 to 61646 (Group I4 – Nuclear Medicine Imaging), which are predominately whole body scans relating to oncology.</w:t>
      </w:r>
    </w:p>
    <w:p w14:paraId="17B1E022" w14:textId="77777777" w:rsidR="00246C7A" w:rsidRPr="002674F1" w:rsidRDefault="00246C7A" w:rsidP="00246C7A">
      <w:r>
        <w:t xml:space="preserve">In the absence of public funding for FDG-PET for the diagnosis of AD, patients with suspected AD who undergo FDG-PET have to pay for the service out-of-pocket. There is no private health insurance rebate for PET services. </w:t>
      </w:r>
    </w:p>
    <w:p w14:paraId="1DF03ABE" w14:textId="77777777" w:rsidR="00246C7A" w:rsidRDefault="00246C7A" w:rsidP="00246C7A">
      <w:pPr>
        <w:pStyle w:val="Heading3"/>
      </w:pPr>
      <w:r>
        <w:t>Existing MBS services for the diagnosis of AD</w:t>
      </w:r>
    </w:p>
    <w:p w14:paraId="240A3BF4" w14:textId="77777777" w:rsidR="00246C7A" w:rsidRDefault="00246C7A" w:rsidP="00246C7A">
      <w:r>
        <w:t xml:space="preserve">As discussed in Section </w:t>
      </w:r>
      <w:r>
        <w:fldChar w:fldCharType="begin"/>
      </w:r>
      <w:r>
        <w:instrText xml:space="preserve"> REF _Ref403566864 \w \h </w:instrText>
      </w:r>
      <w:r>
        <w:fldChar w:fldCharType="separate"/>
      </w:r>
      <w:r w:rsidR="00C67698">
        <w:t>A.2.1</w:t>
      </w:r>
      <w:r>
        <w:fldChar w:fldCharType="end"/>
      </w:r>
      <w:r>
        <w:t xml:space="preserve">, the diagnosis of AD in Australia involves an initial clinical and cognitive evaluation by a GP and blood tests for routine biochemistry, haematology, thyroid function, vitamin B12 and folate. The GP may also conduct a CT scan before referring the patient to a specialist </w:t>
      </w:r>
      <w:r w:rsidRPr="002466C6">
        <w:t>(e.g. neurologist, neuropsychiatrist, geriatrician</w:t>
      </w:r>
      <w:r>
        <w:t>)</w:t>
      </w:r>
      <w:r w:rsidRPr="002466C6">
        <w:t xml:space="preserve"> </w:t>
      </w:r>
      <w:r>
        <w:t xml:space="preserve">who will conduct a further clinical evaluation and may request an MRI. All of the aforementioned tests are currently funded through the MBS and the intention of the application is that FDG-PET would supplement rather than replace those MBS items in the diagnostic pathway. </w:t>
      </w:r>
    </w:p>
    <w:p w14:paraId="37AACA92" w14:textId="77777777" w:rsidR="00246C7A" w:rsidRPr="00CF75B6" w:rsidRDefault="00246C7A" w:rsidP="00246C7A">
      <w:r>
        <w:t xml:space="preserve">In contrast, it is proposed that FDG-PET would replace SPECT in the diagnostic pathway, where other diagnostic methods are inconclusive. The assessment of cerebral perfusion with SPECT is currently funded through MBS item 61402. SPECT for the diagnosis of AD is discussed further in Section </w:t>
      </w:r>
      <w:r>
        <w:fldChar w:fldCharType="begin"/>
      </w:r>
      <w:r>
        <w:instrText xml:space="preserve"> REF _Ref403051723 \w \h </w:instrText>
      </w:r>
      <w:r>
        <w:fldChar w:fldCharType="separate"/>
      </w:r>
      <w:r w:rsidR="00C67698">
        <w:t>A.4</w:t>
      </w:r>
      <w:r>
        <w:fldChar w:fldCharType="end"/>
      </w:r>
      <w:r>
        <w:t>.</w:t>
      </w:r>
    </w:p>
    <w:p w14:paraId="2E2A0F18" w14:textId="77777777" w:rsidR="00246C7A" w:rsidRDefault="00246C7A" w:rsidP="00246C7A">
      <w:pPr>
        <w:pStyle w:val="Heading2"/>
      </w:pPr>
      <w:bookmarkStart w:id="27" w:name="_Toc382219923"/>
      <w:bookmarkStart w:id="28" w:name="_Toc406325424"/>
      <w:bookmarkStart w:id="29" w:name="_Toc408845154"/>
      <w:r>
        <w:t>Proposed MBS listing sought</w:t>
      </w:r>
      <w:bookmarkEnd w:id="27"/>
      <w:bookmarkEnd w:id="28"/>
      <w:bookmarkEnd w:id="29"/>
    </w:p>
    <w:p w14:paraId="1E91CD35" w14:textId="77777777" w:rsidR="00246C7A" w:rsidRDefault="00246C7A" w:rsidP="00246C7A">
      <w:pPr>
        <w:pStyle w:val="Heading3"/>
      </w:pPr>
      <w:bookmarkStart w:id="30" w:name="_Ref402782633"/>
      <w:r>
        <w:t>Proposed descriptor for the service</w:t>
      </w:r>
      <w:bookmarkEnd w:id="30"/>
    </w:p>
    <w:p w14:paraId="5A7A3AA7" w14:textId="72504FDB" w:rsidR="00246C7A" w:rsidRDefault="00246C7A" w:rsidP="00246C7A">
      <w:r>
        <w:fldChar w:fldCharType="begin"/>
      </w:r>
      <w:r>
        <w:instrText xml:space="preserve"> REF _Ref402528004 \h </w:instrText>
      </w:r>
      <w:r>
        <w:fldChar w:fldCharType="separate"/>
      </w:r>
      <w:r w:rsidR="00C67698">
        <w:t xml:space="preserve">Table </w:t>
      </w:r>
      <w:r w:rsidR="00C67698">
        <w:rPr>
          <w:noProof/>
        </w:rPr>
        <w:t>A.3</w:t>
      </w:r>
      <w:r w:rsidR="00C67698">
        <w:noBreakHyphen/>
      </w:r>
      <w:r w:rsidR="00C67698">
        <w:rPr>
          <w:noProof/>
        </w:rPr>
        <w:t>1</w:t>
      </w:r>
      <w:r>
        <w:fldChar w:fldCharType="end"/>
      </w:r>
      <w:r>
        <w:t xml:space="preserve"> presents the MBS descriptor for the proposed medical service, as shown in the Final Protocol (Table 1, p8). The Applicant did not recommend specific wording for </w:t>
      </w:r>
      <w:r>
        <w:lastRenderedPageBreak/>
        <w:t xml:space="preserve">the proposed MBS item; however, they did state that the technique is the same as for MBS item 61559 (FDG-PET study of the brain, performed for the evaluation of refractory epilepsy which is being evaluated for surgery). Based on MBS item 61559, the Assessment Group who prepared the Final Protocol developed the proposed item descriptor. The fees shown in </w:t>
      </w:r>
      <w:r>
        <w:fldChar w:fldCharType="begin"/>
      </w:r>
      <w:r>
        <w:instrText xml:space="preserve"> REF _Ref402528004 \h </w:instrText>
      </w:r>
      <w:r>
        <w:fldChar w:fldCharType="separate"/>
      </w:r>
      <w:r w:rsidR="00C67698">
        <w:t xml:space="preserve">Table </w:t>
      </w:r>
      <w:r w:rsidR="00C67698">
        <w:rPr>
          <w:noProof/>
        </w:rPr>
        <w:t>A.3</w:t>
      </w:r>
      <w:r w:rsidR="00C67698">
        <w:noBreakHyphen/>
      </w:r>
      <w:r w:rsidR="00C67698">
        <w:rPr>
          <w:noProof/>
        </w:rPr>
        <w:t>1</w:t>
      </w:r>
      <w:r>
        <w:fldChar w:fldCharType="end"/>
      </w:r>
      <w:r>
        <w:t xml:space="preserve"> have been updated to reflect the current fees according to MBS Online (accessed 12 November, 2014).</w:t>
      </w:r>
    </w:p>
    <w:p w14:paraId="1E28EEB0" w14:textId="77777777" w:rsidR="00246C7A" w:rsidRDefault="00246C7A" w:rsidP="00246C7A">
      <w:pPr>
        <w:pStyle w:val="Caption"/>
      </w:pPr>
      <w:bookmarkStart w:id="31" w:name="_Ref402528004"/>
      <w:bookmarkStart w:id="32" w:name="_Toc406325486"/>
      <w:bookmarkStart w:id="33" w:name="_Toc408845200"/>
      <w:r>
        <w:t xml:space="preserve">Table </w:t>
      </w:r>
      <w:fldSimple w:instr=" STYLEREF 2 \s ">
        <w:r w:rsidR="00C67698">
          <w:rPr>
            <w:noProof/>
          </w:rPr>
          <w:t>A.3</w:t>
        </w:r>
      </w:fldSimple>
      <w:r>
        <w:noBreakHyphen/>
      </w:r>
      <w:fldSimple w:instr=" SEQ Table \* ARABIC \s 2 ">
        <w:r w:rsidR="00C67698">
          <w:rPr>
            <w:noProof/>
          </w:rPr>
          <w:t>1</w:t>
        </w:r>
      </w:fldSimple>
      <w:bookmarkEnd w:id="31"/>
      <w:r>
        <w:tab/>
        <w:t>Proposed MBS item descriptor</w:t>
      </w:r>
      <w:bookmarkEnd w:id="32"/>
      <w:bookmarkEnd w:id="3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MBS item descriptor"/>
        <w:tblDescription w:val="The proposed items descriptor for FDG-PET study of the brain, performed for the diagnosis of AD."/>
      </w:tblPr>
      <w:tblGrid>
        <w:gridCol w:w="8296"/>
      </w:tblGrid>
      <w:tr w:rsidR="00246C7A" w14:paraId="3FFBD685" w14:textId="77777777" w:rsidTr="00246C7A">
        <w:trPr>
          <w:tblHeader/>
        </w:trPr>
        <w:tc>
          <w:tcPr>
            <w:tcW w:w="8296" w:type="dxa"/>
          </w:tcPr>
          <w:p w14:paraId="23599D7F" w14:textId="77777777" w:rsidR="00246C7A" w:rsidRPr="007476FE" w:rsidRDefault="00246C7A" w:rsidP="00246C7A">
            <w:pPr>
              <w:pStyle w:val="Tabletextboldleft"/>
              <w:jc w:val="right"/>
            </w:pPr>
            <w:r w:rsidRPr="007476FE">
              <w:t xml:space="preserve">Category </w:t>
            </w:r>
            <w:r>
              <w:t>5 – DIAGNOSTIC IMAGING SERVICES</w:t>
            </w:r>
          </w:p>
        </w:tc>
      </w:tr>
      <w:tr w:rsidR="00246C7A" w14:paraId="1502BCFF" w14:textId="77777777" w:rsidTr="00246C7A">
        <w:tc>
          <w:tcPr>
            <w:tcW w:w="8296" w:type="dxa"/>
          </w:tcPr>
          <w:p w14:paraId="3B618DCC" w14:textId="77777777" w:rsidR="00246C7A" w:rsidRPr="00A019C4" w:rsidRDefault="00246C7A" w:rsidP="00246C7A">
            <w:pPr>
              <w:spacing w:after="120"/>
              <w:ind w:left="0"/>
              <w:jc w:val="both"/>
              <w:rPr>
                <w:rFonts w:ascii="Arial Narrow" w:eastAsia="SimSun" w:hAnsi="Arial Narrow" w:cs="Tahoma"/>
                <w:b/>
                <w:sz w:val="20"/>
                <w:szCs w:val="20"/>
                <w:lang w:val="en-US" w:eastAsia="ja-JP"/>
              </w:rPr>
            </w:pPr>
            <w:r w:rsidRPr="00504673">
              <w:rPr>
                <w:rFonts w:ascii="Arial Narrow" w:eastAsia="SimSun" w:hAnsi="Arial Narrow" w:cs="Tahoma"/>
                <w:b/>
                <w:sz w:val="20"/>
                <w:szCs w:val="20"/>
                <w:lang w:val="en-US" w:eastAsia="ja-JP"/>
              </w:rPr>
              <w:t xml:space="preserve">MBS </w:t>
            </w:r>
            <w:r>
              <w:rPr>
                <w:rFonts w:ascii="Arial Narrow" w:eastAsia="SimSun" w:hAnsi="Arial Narrow" w:cs="Tahoma"/>
                <w:b/>
                <w:sz w:val="20"/>
                <w:szCs w:val="20"/>
                <w:lang w:val="en-US" w:eastAsia="ja-JP"/>
              </w:rPr>
              <w:t>[item number]</w:t>
            </w:r>
          </w:p>
          <w:p w14:paraId="2889B103" w14:textId="77777777" w:rsidR="00246C7A" w:rsidRDefault="00246C7A" w:rsidP="00246C7A">
            <w:pPr>
              <w:pStyle w:val="Tabletextboldleft"/>
              <w:rPr>
                <w:b w:val="0"/>
              </w:rPr>
            </w:pPr>
            <w:r>
              <w:rPr>
                <w:b w:val="0"/>
              </w:rPr>
              <w:t>FDG PET study of the brain, performed for the diagnosis of Alzheimer’s disease where clinical evaluation by a specialist, or in consultation with a specialist, and MRI are equivocal (R)</w:t>
            </w:r>
          </w:p>
          <w:p w14:paraId="45589B21" w14:textId="77777777" w:rsidR="00246C7A" w:rsidRDefault="00246C7A" w:rsidP="00246C7A">
            <w:pPr>
              <w:pStyle w:val="Tabletextboldleft"/>
              <w:rPr>
                <w:b w:val="0"/>
              </w:rPr>
            </w:pPr>
          </w:p>
          <w:p w14:paraId="73440F10" w14:textId="77777777" w:rsidR="00246C7A" w:rsidRPr="00FE2CAC" w:rsidRDefault="00246C7A" w:rsidP="00246C7A">
            <w:pPr>
              <w:pStyle w:val="Tabletextboldleft"/>
              <w:rPr>
                <w:b w:val="0"/>
              </w:rPr>
            </w:pPr>
            <w:r>
              <w:t xml:space="preserve">Fee: </w:t>
            </w:r>
            <w:r>
              <w:rPr>
                <w:b w:val="0"/>
              </w:rPr>
              <w:t xml:space="preserve">$918.00  </w:t>
            </w:r>
            <w:r>
              <w:t xml:space="preserve">Benefit: </w:t>
            </w:r>
            <w:r>
              <w:rPr>
                <w:b w:val="0"/>
              </w:rPr>
              <w:t>75% = $688.50  85% = $839.60</w:t>
            </w:r>
          </w:p>
        </w:tc>
      </w:tr>
    </w:tbl>
    <w:p w14:paraId="25193092" w14:textId="77777777" w:rsidR="00246C7A" w:rsidRDefault="00246C7A" w:rsidP="00246C7A">
      <w:pPr>
        <w:pStyle w:val="Tablefootnotes"/>
      </w:pPr>
      <w:r>
        <w:t>Source: Final Protocol September 2014, p8, updated to reflect changes introduced 01 November 2014 in the calculation of 85% benefit</w:t>
      </w:r>
    </w:p>
    <w:p w14:paraId="526911C7" w14:textId="3EB18866" w:rsidR="00246C7A" w:rsidRDefault="00246C7A" w:rsidP="00246C7A">
      <w:r>
        <w:t>FDG-PET scans for the diagnosis of AD will be provided by a nuclear medicine specialist upon receipt of a written referral from a medical specialist. The professional groups most likely to order this test are neurologists, geriatricians and psychiatrists.</w:t>
      </w:r>
    </w:p>
    <w:p w14:paraId="4FEF5254" w14:textId="700706C5" w:rsidR="008359FC" w:rsidRDefault="00246C7A" w:rsidP="008359FC">
      <w:r>
        <w:t xml:space="preserve">Importantly, while a characteristic AD pattern of hypometabolism may be observed visually (i.e. qualitatively) using FDG-PET, the Applicant proposed that MBS funding should be restricted to FDG-PET assessments that use a semi-quantitative method of analysis. </w:t>
      </w:r>
      <w:r w:rsidR="00E140A2">
        <w:t xml:space="preserve">This is not explicitly stated in the proposed MBS item descriptor. </w:t>
      </w:r>
      <w:r>
        <w:t>Compared with visual interpretation, computer software programs such as NEUROSTAT 3D-SSP allow for a more objective analysis of the pattern of hypometabolism by comparing the pattern of tracer uptake in the patient’s scan with a reference data set (Filippi et al, 2012).</w:t>
      </w:r>
    </w:p>
    <w:p w14:paraId="43C9C329" w14:textId="47E731C2" w:rsidR="00246C7A" w:rsidRDefault="00246C7A" w:rsidP="00246C7A">
      <w:r>
        <w:t>As discussed in the Final Protocol, it is expected that patients would only have one FDG-PET scan for the diagnosis of AD. While the item descriptor does not preclude multiple FDG-PET scans in one patient, it is likely that patients in whom the diagnosis remains equivocal would only have a repeat scan 2-3 years later</w:t>
      </w:r>
      <w:r>
        <w:rPr>
          <w:rStyle w:val="FootnoteReference"/>
        </w:rPr>
        <w:footnoteReference w:id="3"/>
      </w:r>
      <w:r>
        <w:t>. Similarly, patients with a negative test who experience persistent symptoms of cognitive decline may undergo a repeat scan after 2-3 years.</w:t>
      </w:r>
    </w:p>
    <w:p w14:paraId="2E50E612" w14:textId="77777777" w:rsidR="00246C7A" w:rsidRDefault="00246C7A" w:rsidP="00246C7A">
      <w:pPr>
        <w:pStyle w:val="Heading3"/>
      </w:pPr>
      <w:r>
        <w:t>Proposed fee for the service</w:t>
      </w:r>
    </w:p>
    <w:p w14:paraId="709702C6" w14:textId="2FD115C2" w:rsidR="00246C7A" w:rsidRPr="00BA36CB" w:rsidRDefault="00246C7A" w:rsidP="00246C7A">
      <w:r>
        <w:t xml:space="preserve">As discussed in the Final Protocol, the Applicant has proposed a fee of $1,180, which is greater than the fee current fee of $918.00 for MBS item 61559. No explicit justification for the higher fee was provided; however it may have been to offset the cost of the computer software discussed in Section </w:t>
      </w:r>
      <w:r>
        <w:fldChar w:fldCharType="begin"/>
      </w:r>
      <w:r>
        <w:instrText xml:space="preserve"> REF _Ref402782633 \w \h </w:instrText>
      </w:r>
      <w:r>
        <w:fldChar w:fldCharType="separate"/>
      </w:r>
      <w:r w:rsidR="00C67698">
        <w:t>A.3.1</w:t>
      </w:r>
      <w:r>
        <w:fldChar w:fldCharType="end"/>
      </w:r>
      <w:r>
        <w:t>. The Applicant stated that the programs cost up to $40,000; however PASC subsequently advised that certain program</w:t>
      </w:r>
      <w:r w:rsidR="00420CA0">
        <w:t>s</w:t>
      </w:r>
      <w:r>
        <w:t xml:space="preserve"> (e.g. NEUROSTAT 3D-SSP) are available as freeware.</w:t>
      </w:r>
    </w:p>
    <w:p w14:paraId="6C5255A5" w14:textId="77777777" w:rsidR="00246C7A" w:rsidRDefault="00246C7A" w:rsidP="00246C7A">
      <w:pPr>
        <w:pStyle w:val="Heading2"/>
      </w:pPr>
      <w:bookmarkStart w:id="34" w:name="_Toc382219924"/>
      <w:bookmarkStart w:id="35" w:name="_Ref403051723"/>
      <w:bookmarkStart w:id="36" w:name="_Ref404950015"/>
      <w:bookmarkStart w:id="37" w:name="_Toc406325425"/>
      <w:bookmarkStart w:id="38" w:name="_Toc408845155"/>
      <w:r>
        <w:t>Comparator details</w:t>
      </w:r>
      <w:bookmarkEnd w:id="34"/>
      <w:bookmarkEnd w:id="35"/>
      <w:bookmarkEnd w:id="36"/>
      <w:bookmarkEnd w:id="37"/>
      <w:bookmarkEnd w:id="38"/>
    </w:p>
    <w:p w14:paraId="2DAC948D" w14:textId="77777777" w:rsidR="00246C7A" w:rsidRDefault="00246C7A" w:rsidP="00246C7A">
      <w:r w:rsidRPr="00344C8E">
        <w:t>The assessment of cerebral perfusion with SPECT is currently funded through MBS item 61402</w:t>
      </w:r>
      <w:r>
        <w:t xml:space="preserve"> as shown in </w:t>
      </w:r>
      <w:r>
        <w:fldChar w:fldCharType="begin"/>
      </w:r>
      <w:r>
        <w:instrText xml:space="preserve"> REF _Ref403558270 \h </w:instrText>
      </w:r>
      <w:r>
        <w:fldChar w:fldCharType="separate"/>
      </w:r>
      <w:r w:rsidR="00C67698">
        <w:t xml:space="preserve">Table </w:t>
      </w:r>
      <w:r w:rsidR="00C67698">
        <w:rPr>
          <w:noProof/>
        </w:rPr>
        <w:t>A.4</w:t>
      </w:r>
      <w:r w:rsidR="00C67698">
        <w:noBreakHyphen/>
      </w:r>
      <w:r w:rsidR="00C67698">
        <w:rPr>
          <w:noProof/>
        </w:rPr>
        <w:t>1</w:t>
      </w:r>
      <w:r>
        <w:fldChar w:fldCharType="end"/>
      </w:r>
      <w:r>
        <w:t xml:space="preserve">. The most commonly used tracer to examine cerebral blood flow (CBF) using SPECT is 99m-Tc-hexamethylpropylene (HMPAO); however, several other tracers have been investigated in clinical studies. </w:t>
      </w:r>
    </w:p>
    <w:p w14:paraId="50CBB791" w14:textId="77777777" w:rsidR="00246C7A" w:rsidRDefault="00246C7A" w:rsidP="00246C7A">
      <w:pPr>
        <w:pStyle w:val="Caption"/>
      </w:pPr>
      <w:bookmarkStart w:id="39" w:name="_Ref403558270"/>
      <w:bookmarkStart w:id="40" w:name="_Toc406325487"/>
      <w:bookmarkStart w:id="41" w:name="_Toc408845201"/>
      <w:r>
        <w:lastRenderedPageBreak/>
        <w:t xml:space="preserve">Table </w:t>
      </w:r>
      <w:fldSimple w:instr=" STYLEREF 2 \s ">
        <w:r w:rsidR="00C67698">
          <w:rPr>
            <w:noProof/>
          </w:rPr>
          <w:t>A.4</w:t>
        </w:r>
      </w:fldSimple>
      <w:r>
        <w:noBreakHyphen/>
      </w:r>
      <w:fldSimple w:instr=" SEQ Table \* ARABIC \s 2 ">
        <w:r w:rsidR="00C67698">
          <w:rPr>
            <w:noProof/>
          </w:rPr>
          <w:t>1</w:t>
        </w:r>
      </w:fldSimple>
      <w:bookmarkEnd w:id="39"/>
      <w:r>
        <w:tab/>
        <w:t>MBS item descriptor and fee for MBS item 61402</w:t>
      </w:r>
      <w:bookmarkEnd w:id="40"/>
      <w:bookmarkEnd w:id="4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BS item 61402"/>
        <w:tblDescription w:val="The item descriptor and fee for MBS item 61402 for cerebral perfusion study with SPECT."/>
      </w:tblPr>
      <w:tblGrid>
        <w:gridCol w:w="8296"/>
      </w:tblGrid>
      <w:tr w:rsidR="00246C7A" w14:paraId="7B4B035E" w14:textId="77777777" w:rsidTr="00246C7A">
        <w:trPr>
          <w:tblHeader/>
        </w:trPr>
        <w:tc>
          <w:tcPr>
            <w:tcW w:w="8296" w:type="dxa"/>
          </w:tcPr>
          <w:p w14:paraId="324E276B" w14:textId="77777777" w:rsidR="00246C7A" w:rsidRPr="007476FE" w:rsidRDefault="00246C7A" w:rsidP="00246C7A">
            <w:pPr>
              <w:pStyle w:val="Tabletextboldleft"/>
              <w:jc w:val="right"/>
            </w:pPr>
            <w:r w:rsidRPr="007476FE">
              <w:t xml:space="preserve">Category </w:t>
            </w:r>
            <w:r>
              <w:t>5 – DIAGNOSTIC IMAGING SERVICES</w:t>
            </w:r>
          </w:p>
        </w:tc>
      </w:tr>
      <w:tr w:rsidR="00246C7A" w14:paraId="207D3D7C" w14:textId="77777777" w:rsidTr="00246C7A">
        <w:tc>
          <w:tcPr>
            <w:tcW w:w="8296" w:type="dxa"/>
          </w:tcPr>
          <w:p w14:paraId="07CD22A4" w14:textId="77777777" w:rsidR="00246C7A" w:rsidRPr="00A019C4" w:rsidRDefault="00246C7A" w:rsidP="00246C7A">
            <w:pPr>
              <w:spacing w:after="120"/>
              <w:ind w:left="0"/>
              <w:jc w:val="both"/>
              <w:rPr>
                <w:rFonts w:ascii="Arial Narrow" w:eastAsia="SimSun" w:hAnsi="Arial Narrow" w:cs="Tahoma"/>
                <w:b/>
                <w:sz w:val="20"/>
                <w:szCs w:val="20"/>
                <w:lang w:val="en-US" w:eastAsia="ja-JP"/>
              </w:rPr>
            </w:pPr>
            <w:r w:rsidRPr="00504673">
              <w:rPr>
                <w:rFonts w:ascii="Arial Narrow" w:eastAsia="SimSun" w:hAnsi="Arial Narrow" w:cs="Tahoma"/>
                <w:b/>
                <w:sz w:val="20"/>
                <w:szCs w:val="20"/>
                <w:lang w:val="en-US" w:eastAsia="ja-JP"/>
              </w:rPr>
              <w:t xml:space="preserve">MBS </w:t>
            </w:r>
            <w:r>
              <w:rPr>
                <w:rFonts w:ascii="Arial Narrow" w:eastAsia="SimSun" w:hAnsi="Arial Narrow" w:cs="Tahoma"/>
                <w:b/>
                <w:sz w:val="20"/>
                <w:szCs w:val="20"/>
                <w:lang w:val="en-US" w:eastAsia="ja-JP"/>
              </w:rPr>
              <w:t>61402</w:t>
            </w:r>
          </w:p>
          <w:p w14:paraId="63B699DC" w14:textId="77777777" w:rsidR="00246C7A" w:rsidRDefault="00246C7A" w:rsidP="00246C7A">
            <w:pPr>
              <w:pStyle w:val="Tabletextboldleft"/>
              <w:rPr>
                <w:b w:val="0"/>
              </w:rPr>
            </w:pPr>
            <w:r>
              <w:rPr>
                <w:b w:val="0"/>
              </w:rPr>
              <w:t>CEREBRAL PERFUSION STUDY, with single photon emission tomography and with planar imaging when undertaken (R)</w:t>
            </w:r>
          </w:p>
          <w:p w14:paraId="6F39742C" w14:textId="77777777" w:rsidR="00246C7A" w:rsidRDefault="00246C7A" w:rsidP="00246C7A">
            <w:pPr>
              <w:pStyle w:val="Tabletextboldleft"/>
              <w:rPr>
                <w:b w:val="0"/>
              </w:rPr>
            </w:pPr>
          </w:p>
          <w:p w14:paraId="0A2AA15E" w14:textId="77777777" w:rsidR="00246C7A" w:rsidRPr="00FE2CAC" w:rsidRDefault="00246C7A" w:rsidP="00246C7A">
            <w:pPr>
              <w:pStyle w:val="Tabletextboldleft"/>
              <w:rPr>
                <w:b w:val="0"/>
              </w:rPr>
            </w:pPr>
            <w:r>
              <w:t xml:space="preserve">Fee: </w:t>
            </w:r>
            <w:r>
              <w:rPr>
                <w:b w:val="0"/>
              </w:rPr>
              <w:t xml:space="preserve">$605.05  </w:t>
            </w:r>
            <w:r>
              <w:t xml:space="preserve">Benefit: </w:t>
            </w:r>
            <w:r>
              <w:rPr>
                <w:b w:val="0"/>
              </w:rPr>
              <w:t>75% = $453.80  85% = $526.65</w:t>
            </w:r>
          </w:p>
        </w:tc>
      </w:tr>
    </w:tbl>
    <w:p w14:paraId="7FAC8992" w14:textId="77777777" w:rsidR="00246C7A" w:rsidRDefault="00246C7A" w:rsidP="00246C7A">
      <w:pPr>
        <w:pStyle w:val="Tablefootnotes"/>
      </w:pPr>
      <w:r>
        <w:t>Source: MBS Online, accessed 12 November 2014.</w:t>
      </w:r>
    </w:p>
    <w:p w14:paraId="1926A9D7" w14:textId="120049DC" w:rsidR="00246C7A" w:rsidRDefault="00246C7A" w:rsidP="00246C7A">
      <w:r>
        <w:t xml:space="preserve">Like FDG-PET, SPECT can be analysed using semi-quantitative methods. Both CBF and CMRgl (assessed using FDG-PET) reflect brain metabolism and can assist in diagnosing AD. </w:t>
      </w:r>
      <w:r w:rsidRPr="006A5DEA">
        <w:t>SPECT is technically less demanding and more widely available than PET but also has lower resolution (Filippi et al., 2012).</w:t>
      </w:r>
      <w:r>
        <w:t xml:space="preserve"> FDG-</w:t>
      </w:r>
      <w:r w:rsidRPr="000B1823">
        <w:t>PET is proposed as a replacement test to SPECT, although the availability of FDG</w:t>
      </w:r>
      <w:r w:rsidR="000E05F2">
        <w:t>-</w:t>
      </w:r>
      <w:r w:rsidRPr="000B1823">
        <w:t>PET may limit the ex</w:t>
      </w:r>
      <w:r>
        <w:t>tent to which it replaces SPECT, particularly in rural and regional areas.</w:t>
      </w:r>
    </w:p>
    <w:p w14:paraId="7B4E640F" w14:textId="2E527A7E" w:rsidR="00246C7A" w:rsidRDefault="00246C7A" w:rsidP="00246C7A">
      <w:pPr>
        <w:pStyle w:val="Heading2"/>
      </w:pPr>
      <w:bookmarkStart w:id="42" w:name="_Toc382219925"/>
      <w:bookmarkStart w:id="43" w:name="_Toc406325426"/>
      <w:bookmarkStart w:id="44" w:name="_Toc408845156"/>
      <w:r>
        <w:t>Clinical management algorithm</w:t>
      </w:r>
      <w:bookmarkEnd w:id="42"/>
      <w:bookmarkEnd w:id="43"/>
      <w:bookmarkEnd w:id="44"/>
    </w:p>
    <w:p w14:paraId="0961942E" w14:textId="77777777" w:rsidR="00246C7A" w:rsidRDefault="00246C7A" w:rsidP="00246C7A">
      <w:r>
        <w:t xml:space="preserve">The clinical management algorithm for the diagnosis of patients with suspected AD is shown in </w:t>
      </w:r>
      <w:r>
        <w:fldChar w:fldCharType="begin"/>
      </w:r>
      <w:r>
        <w:instrText xml:space="preserve"> REF _Ref403142733 \h </w:instrText>
      </w:r>
      <w:r>
        <w:fldChar w:fldCharType="separate"/>
      </w:r>
      <w:r w:rsidR="00C67698">
        <w:t xml:space="preserve">Figure </w:t>
      </w:r>
      <w:r w:rsidR="00C67698">
        <w:rPr>
          <w:noProof/>
        </w:rPr>
        <w:t>A.5</w:t>
      </w:r>
      <w:r w:rsidR="00C67698">
        <w:noBreakHyphen/>
      </w:r>
      <w:r w:rsidR="00C67698">
        <w:rPr>
          <w:noProof/>
        </w:rPr>
        <w:t>1</w:t>
      </w:r>
      <w:r>
        <w:fldChar w:fldCharType="end"/>
      </w:r>
      <w:r>
        <w:t xml:space="preserve">. The various tests outlined in the algorithm are all currently available for suspected AD patients in Australia; however, under the current funding arrangements an MBS rebate is not available for FDG-PET. Under proposed funding arrangements an MBS rebate is available for all diagnostic tests shown in the clinical algorithm. </w:t>
      </w:r>
    </w:p>
    <w:p w14:paraId="7F7E5E95" w14:textId="77777777" w:rsidR="00246C7A" w:rsidRPr="009C2084" w:rsidRDefault="00246C7A" w:rsidP="00246C7A">
      <w:r>
        <w:t xml:space="preserve">The clinical management algorithm shows that SPECT is currently used to resolve difficult cases in which prior tests have been inconclusive. In particular, SPECT provides information that assists with the differentiation between different types of dementia. </w:t>
      </w:r>
    </w:p>
    <w:p w14:paraId="2DFF6AF9" w14:textId="522C1BAE" w:rsidR="00246C7A" w:rsidRDefault="00246C7A" w:rsidP="00246C7A">
      <w:pPr>
        <w:pStyle w:val="Caption"/>
      </w:pPr>
      <w:bookmarkStart w:id="45" w:name="_Ref403142733"/>
      <w:bookmarkStart w:id="46" w:name="_Toc406325544"/>
      <w:bookmarkStart w:id="47" w:name="_Toc408845268"/>
      <w:r>
        <w:lastRenderedPageBreak/>
        <w:t xml:space="preserve">Figure </w:t>
      </w:r>
      <w:fldSimple w:instr=" STYLEREF 2 \s ">
        <w:r w:rsidR="00C67698">
          <w:rPr>
            <w:noProof/>
          </w:rPr>
          <w:t>A.5</w:t>
        </w:r>
      </w:fldSimple>
      <w:r w:rsidR="009955C9">
        <w:noBreakHyphen/>
      </w:r>
      <w:fldSimple w:instr=" SEQ Figure \* ARABIC \s 2 ">
        <w:r w:rsidR="00C67698">
          <w:rPr>
            <w:noProof/>
          </w:rPr>
          <w:t>1</w:t>
        </w:r>
      </w:fldSimple>
      <w:bookmarkEnd w:id="45"/>
      <w:r>
        <w:tab/>
        <w:t>Clinical management algorithm for AD diagnosis with FDG-PET</w:t>
      </w:r>
      <w:bookmarkEnd w:id="46"/>
      <w:bookmarkEnd w:id="47"/>
    </w:p>
    <w:p w14:paraId="6E7E762D" w14:textId="77777777" w:rsidR="000F05F3" w:rsidRDefault="00C84DD0" w:rsidP="000F05F3">
      <w:pPr>
        <w:pStyle w:val="Tablefootnotes"/>
      </w:pPr>
      <w:r>
        <w:rPr>
          <w:noProof/>
          <w:lang w:eastAsia="en-AU"/>
        </w:rPr>
        <w:drawing>
          <wp:inline distT="0" distB="0" distL="0" distR="0" wp14:anchorId="18C66CC9" wp14:editId="6417A57D">
            <wp:extent cx="5444767" cy="7210425"/>
            <wp:effectExtent l="0" t="0" r="3810" b="0"/>
            <wp:docPr id="3" name="Picture 3" descr="The clinical management algorithm for AD diagnosis with FDG-PET versus AD diagnosis with SPECT." title="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Algorithm.tif"/>
                    <pic:cNvPicPr/>
                  </pic:nvPicPr>
                  <pic:blipFill>
                    <a:blip r:embed="rId13">
                      <a:extLst>
                        <a:ext uri="{28A0092B-C50C-407E-A947-70E740481C1C}">
                          <a14:useLocalDpi xmlns:a14="http://schemas.microsoft.com/office/drawing/2010/main" val="0"/>
                        </a:ext>
                      </a:extLst>
                    </a:blip>
                    <a:stretch>
                      <a:fillRect/>
                    </a:stretch>
                  </pic:blipFill>
                  <pic:spPr>
                    <a:xfrm>
                      <a:off x="0" y="0"/>
                      <a:ext cx="5447531" cy="7214086"/>
                    </a:xfrm>
                    <a:prstGeom prst="rect">
                      <a:avLst/>
                    </a:prstGeom>
                  </pic:spPr>
                </pic:pic>
              </a:graphicData>
            </a:graphic>
          </wp:inline>
        </w:drawing>
      </w:r>
    </w:p>
    <w:p w14:paraId="7A34A1AB" w14:textId="77777777" w:rsidR="00406035" w:rsidRDefault="00406035" w:rsidP="000F05F3">
      <w:pPr>
        <w:pStyle w:val="Tablefootnotes"/>
      </w:pPr>
    </w:p>
    <w:p w14:paraId="30CA4EC5" w14:textId="65E8A044" w:rsidR="00246C7A" w:rsidRDefault="00246C7A" w:rsidP="000F05F3">
      <w:pPr>
        <w:pStyle w:val="Tablefootnotes"/>
      </w:pPr>
      <w:r>
        <w:t xml:space="preserve">Abbreviations: AD, Alzheimer’s disease; FDG, </w:t>
      </w:r>
      <w:r w:rsidRPr="00E943DE">
        <w:t>flu</w:t>
      </w:r>
      <w:r w:rsidR="0038452F">
        <w:t>o</w:t>
      </w:r>
      <w:r w:rsidRPr="00E943DE">
        <w:t>rodeoxyglucose</w:t>
      </w:r>
      <w:r>
        <w:t>;</w:t>
      </w:r>
      <w:r w:rsidRPr="00E943DE">
        <w:t xml:space="preserve"> </w:t>
      </w:r>
      <w:r>
        <w:t xml:space="preserve">MRI, magnetic resonance imaging; </w:t>
      </w:r>
      <w:r w:rsidR="0003027D">
        <w:t xml:space="preserve">PET, positron emission tomography; </w:t>
      </w:r>
      <w:r>
        <w:t>QoL, quality of life; SPECT, single-photon emission computed tomography.</w:t>
      </w:r>
    </w:p>
    <w:p w14:paraId="1F7B6BAC" w14:textId="77777777" w:rsidR="00AB3C8C" w:rsidRPr="00023508" w:rsidRDefault="00AB3C8C" w:rsidP="00246C7A">
      <w:pPr>
        <w:pStyle w:val="Tablefootnotes"/>
      </w:pPr>
    </w:p>
    <w:p w14:paraId="5C3CA179" w14:textId="77777777" w:rsidR="00246C7A" w:rsidRDefault="00246C7A" w:rsidP="00246C7A">
      <w:pPr>
        <w:pStyle w:val="Heading2"/>
      </w:pPr>
      <w:bookmarkStart w:id="48" w:name="_Toc382219926"/>
      <w:bookmarkStart w:id="49" w:name="_Ref403400118"/>
      <w:bookmarkStart w:id="50" w:name="_Toc406325427"/>
      <w:bookmarkStart w:id="51" w:name="_Toc408845157"/>
      <w:r>
        <w:lastRenderedPageBreak/>
        <w:t>Differences between the proposed medical service and the main comparator</w:t>
      </w:r>
      <w:bookmarkEnd w:id="48"/>
      <w:bookmarkEnd w:id="49"/>
      <w:bookmarkEnd w:id="50"/>
      <w:bookmarkEnd w:id="51"/>
    </w:p>
    <w:p w14:paraId="1D0B8ADB" w14:textId="343C0199" w:rsidR="00246C7A" w:rsidRDefault="00246C7A" w:rsidP="00246C7A">
      <w:r>
        <w:t xml:space="preserve">Both SPECT and PET have different advantages and disadvantages. Equipment needed for SPECT is cheaper and more widely available. Access to PET </w:t>
      </w:r>
      <w:r w:rsidR="00600D95">
        <w:t>scanning</w:t>
      </w:r>
      <w:r>
        <w:t xml:space="preserve"> in Australia </w:t>
      </w:r>
      <w:r w:rsidR="00600D95">
        <w:t>is</w:t>
      </w:r>
      <w:r>
        <w:t xml:space="preserve"> more restricted, particularly in regional areas, although the number of PET facilities is increasing with more widespread </w:t>
      </w:r>
      <w:r w:rsidR="00600D95">
        <w:t>application</w:t>
      </w:r>
      <w:r>
        <w:t xml:space="preserve"> in oncology for </w:t>
      </w:r>
      <w:r w:rsidRPr="00246C7A">
        <w:t>diagnosis and monitoring. SPECT is still most frequently used in Europe to aid diagnosis of dementia (Ebmeier, 2010) whereas PET is used more widely in the USA.</w:t>
      </w:r>
    </w:p>
    <w:p w14:paraId="5EDABC9D" w14:textId="77777777" w:rsidR="00246C7A" w:rsidRPr="00B8141D" w:rsidRDefault="00246C7A" w:rsidP="00246C7A">
      <w:r>
        <w:t xml:space="preserve">Unlike PET, </w:t>
      </w:r>
      <w:r w:rsidRPr="00246C7A">
        <w:t>SPECT scanning relies on photon-emitting isotopes instead of radioisotopes. SPECT isotopes have longer half-lives and are relatively cheap compared with PET isotopes (Colloby and O’Brien, 2004). While FDG-PET is used to detect characteristic patterns of glucose hypometabolism</w:t>
      </w:r>
      <w:r>
        <w:t xml:space="preserve"> in patients with AD, SPECT imaging is used to assess characteristic patterns of regional blood </w:t>
      </w:r>
      <w:r w:rsidRPr="000D1344">
        <w:t>flow (Gaugler et al, 2013).</w:t>
      </w:r>
      <w:r>
        <w:t xml:space="preserve"> SPECT tracers provide a ‘snapshot’ of blood flow around the time of injection; in contrast, FDG-PET images are ‘real time’ representations of metabolism while the subject is in the scanner. PET has advantages with </w:t>
      </w:r>
      <w:r w:rsidRPr="00246C7A">
        <w:t>respect to spatial resolution, with resolution of 4-6 mm as compared with SPECT resolution of 8-16 mm (Colloby and O’Brien, 2004).</w:t>
      </w:r>
    </w:p>
    <w:p w14:paraId="0882B0B3" w14:textId="77777777" w:rsidR="00246C7A" w:rsidRDefault="00246C7A" w:rsidP="00246C7A">
      <w:pPr>
        <w:pStyle w:val="Heading2"/>
      </w:pPr>
      <w:bookmarkStart w:id="52" w:name="_Toc382219927"/>
      <w:bookmarkStart w:id="53" w:name="_Toc406325428"/>
      <w:bookmarkStart w:id="54" w:name="_Toc408845158"/>
      <w:r>
        <w:t>Clinical claim</w:t>
      </w:r>
      <w:bookmarkEnd w:id="52"/>
      <w:bookmarkEnd w:id="53"/>
      <w:bookmarkEnd w:id="54"/>
    </w:p>
    <w:p w14:paraId="18C17874" w14:textId="77777777" w:rsidR="00246C7A" w:rsidRDefault="00246C7A" w:rsidP="00246C7A">
      <w:r>
        <w:t xml:space="preserve">Existing MBS-funded tests for the diagnosis of AD have significant limitations in terms of reaching a confident diagnosis of AD. In its early stages, AD is particularly difficult to differentiate from other conditions (see Section </w:t>
      </w:r>
      <w:r>
        <w:fldChar w:fldCharType="begin"/>
      </w:r>
      <w:r>
        <w:instrText xml:space="preserve"> REF _Ref403489347 \w \h </w:instrText>
      </w:r>
      <w:r>
        <w:fldChar w:fldCharType="separate"/>
      </w:r>
      <w:r w:rsidR="00C67698">
        <w:t>A.2.3</w:t>
      </w:r>
      <w:r>
        <w:fldChar w:fldCharType="end"/>
      </w:r>
      <w:r>
        <w:t>). Structural imaging techniques are mainly used to exclude surgically treatable causes of cognitive impairment (e.g. subdural haematoma) but are typically unable to differentiate between the various types of dementia. SPECT, the only functional diagnostic tool that is currently listed on the MBS, can provide diagnostic support in challenging cases; however, SPECT is associated with limitations in image resolution and is claimed to be inferior to FDG-PET in terms of diagnostic accuracy in cases of suspected AD.</w:t>
      </w:r>
    </w:p>
    <w:p w14:paraId="5136C12C" w14:textId="77777777" w:rsidR="00246C7A" w:rsidRDefault="00246C7A" w:rsidP="00246C7A">
      <w:r>
        <w:t xml:space="preserve">The improved patient selection afforded by FDG-PET may significantly reduce the number of mild or diagnostically challenging cases of AD that remain undiagnosed, or in which diagnosis is delayed until the onset of more severe cognitive symptoms. Overall, when compared with SPECT, FDG-PET may improve patient outcomes by providing the </w:t>
      </w:r>
      <w:r w:rsidRPr="00E603CC">
        <w:t>opportunity to pursue treatment</w:t>
      </w:r>
      <w:r>
        <w:t xml:space="preserve"> strategies at a disease stage that is responsive to treatment.</w:t>
      </w:r>
    </w:p>
    <w:p w14:paraId="3C9D9651" w14:textId="77777777" w:rsidR="00246C7A" w:rsidRPr="0013083C" w:rsidRDefault="00246C7A" w:rsidP="00246C7A">
      <w:pPr>
        <w:pStyle w:val="Heading2"/>
      </w:pPr>
      <w:bookmarkStart w:id="55" w:name="_Toc382219928"/>
      <w:bookmarkStart w:id="56" w:name="_Toc406325429"/>
      <w:bookmarkStart w:id="57" w:name="_Ref406369174"/>
      <w:bookmarkStart w:id="58" w:name="_Toc408845159"/>
      <w:r>
        <w:t>Primary elements of the decision analysis</w:t>
      </w:r>
      <w:bookmarkEnd w:id="55"/>
      <w:bookmarkEnd w:id="56"/>
      <w:bookmarkEnd w:id="57"/>
      <w:bookmarkEnd w:id="58"/>
    </w:p>
    <w:p w14:paraId="049C7965" w14:textId="28594A2A" w:rsidR="00246C7A" w:rsidRDefault="00246C7A" w:rsidP="00246C7A">
      <w:pPr>
        <w:rPr>
          <w:rFonts w:eastAsia="Times New Roman" w:cs="Times New Roman"/>
          <w:szCs w:val="24"/>
        </w:rPr>
      </w:pPr>
      <w:r>
        <w:t>As the proposed medical service is a diagnostic test, the research question that underpins this e</w:t>
      </w:r>
      <w:r w:rsidRPr="0013083C">
        <w:t xml:space="preserve">vidence-based assessment </w:t>
      </w:r>
      <w:r>
        <w:t>is formulated around the PPICO criteria, in which the key components are</w:t>
      </w:r>
      <w:r w:rsidRPr="0013083C">
        <w:t xml:space="preserve"> the target population (P), </w:t>
      </w:r>
      <w:r>
        <w:t xml:space="preserve">prior tests (P), </w:t>
      </w:r>
      <w:r w:rsidRPr="0013083C">
        <w:t xml:space="preserve">the intervention (I), comparator (C) and target outcomes (O). </w:t>
      </w:r>
      <w:r w:rsidRPr="0013083C">
        <w:rPr>
          <w:rFonts w:eastAsia="Times New Roman" w:cs="Times New Roman"/>
          <w:szCs w:val="24"/>
        </w:rPr>
        <w:t xml:space="preserve">The specific components of the PPICO criteria (shown </w:t>
      </w:r>
      <w:r>
        <w:rPr>
          <w:rFonts w:eastAsia="Times New Roman" w:cs="Times New Roman"/>
          <w:szCs w:val="24"/>
        </w:rPr>
        <w:t xml:space="preserve">in </w:t>
      </w:r>
      <w:r>
        <w:rPr>
          <w:rFonts w:eastAsia="Times New Roman" w:cs="Times New Roman"/>
          <w:szCs w:val="24"/>
        </w:rPr>
        <w:fldChar w:fldCharType="begin"/>
      </w:r>
      <w:r>
        <w:rPr>
          <w:rFonts w:eastAsia="Times New Roman" w:cs="Times New Roman"/>
          <w:szCs w:val="24"/>
        </w:rPr>
        <w:instrText xml:space="preserve"> REF _Ref403053405 \h </w:instrText>
      </w:r>
      <w:r>
        <w:rPr>
          <w:rFonts w:eastAsia="Times New Roman" w:cs="Times New Roman"/>
          <w:szCs w:val="24"/>
        </w:rPr>
      </w:r>
      <w:r>
        <w:rPr>
          <w:rFonts w:eastAsia="Times New Roman" w:cs="Times New Roman"/>
          <w:szCs w:val="24"/>
        </w:rPr>
        <w:fldChar w:fldCharType="separate"/>
      </w:r>
      <w:r w:rsidR="00C67698">
        <w:t xml:space="preserve">Table </w:t>
      </w:r>
      <w:r w:rsidR="00C67698">
        <w:rPr>
          <w:noProof/>
        </w:rPr>
        <w:t>A.8</w:t>
      </w:r>
      <w:r w:rsidR="00C67698">
        <w:noBreakHyphen/>
      </w:r>
      <w:r w:rsidR="00C67698">
        <w:rPr>
          <w:noProof/>
        </w:rPr>
        <w:t>1</w:t>
      </w:r>
      <w:r>
        <w:rPr>
          <w:rFonts w:eastAsia="Times New Roman" w:cs="Times New Roman"/>
          <w:szCs w:val="24"/>
        </w:rPr>
        <w:fldChar w:fldCharType="end"/>
      </w:r>
      <w:r>
        <w:rPr>
          <w:rFonts w:eastAsia="Times New Roman" w:cs="Times New Roman"/>
          <w:szCs w:val="24"/>
        </w:rPr>
        <w:t xml:space="preserve">) </w:t>
      </w:r>
      <w:r w:rsidRPr="0013083C">
        <w:rPr>
          <w:rFonts w:eastAsia="Times New Roman" w:cs="Times New Roman"/>
          <w:szCs w:val="24"/>
        </w:rPr>
        <w:t>are used to inform the literature search strategy and the economi</w:t>
      </w:r>
      <w:r>
        <w:rPr>
          <w:rFonts w:eastAsia="Times New Roman" w:cs="Times New Roman"/>
          <w:szCs w:val="24"/>
        </w:rPr>
        <w:t>c evaluation.</w:t>
      </w:r>
    </w:p>
    <w:p w14:paraId="74832EBB" w14:textId="77777777" w:rsidR="00C771F6" w:rsidRDefault="00C771F6">
      <w:pPr>
        <w:spacing w:after="160" w:line="259" w:lineRule="auto"/>
        <w:ind w:left="0"/>
        <w:rPr>
          <w:rFonts w:eastAsia="Times New Roman" w:cs="Times New Roman"/>
          <w:szCs w:val="24"/>
        </w:rPr>
      </w:pPr>
      <w:r>
        <w:rPr>
          <w:rFonts w:eastAsia="Times New Roman" w:cs="Times New Roman"/>
          <w:szCs w:val="24"/>
        </w:rPr>
        <w:br w:type="page"/>
      </w:r>
    </w:p>
    <w:p w14:paraId="01E9D49D" w14:textId="2D320F56" w:rsidR="00246C7A" w:rsidRDefault="00246C7A" w:rsidP="00246C7A">
      <w:r>
        <w:rPr>
          <w:rFonts w:eastAsia="Times New Roman" w:cs="Times New Roman"/>
          <w:szCs w:val="24"/>
        </w:rPr>
        <w:lastRenderedPageBreak/>
        <w:t>As per the</w:t>
      </w:r>
      <w:r w:rsidRPr="0013083C">
        <w:rPr>
          <w:rFonts w:eastAsia="Times New Roman" w:cs="Times New Roman"/>
          <w:szCs w:val="24"/>
        </w:rPr>
        <w:t xml:space="preserve"> Final Protocol,</w:t>
      </w:r>
      <w:r>
        <w:rPr>
          <w:rFonts w:eastAsia="Times New Roman" w:cs="Times New Roman"/>
          <w:szCs w:val="24"/>
        </w:rPr>
        <w:t xml:space="preserve"> the</w:t>
      </w:r>
      <w:r w:rsidRPr="0013083C">
        <w:t xml:space="preserve"> question for public funding addressed in this review is:</w:t>
      </w:r>
    </w:p>
    <w:p w14:paraId="028E3200" w14:textId="77777777" w:rsidR="00246C7A" w:rsidRDefault="00246C7A" w:rsidP="00246C7A">
      <w:pPr>
        <w:ind w:left="709"/>
        <w:jc w:val="both"/>
        <w:rPr>
          <w:i/>
        </w:rPr>
      </w:pPr>
      <w:r>
        <w:rPr>
          <w:i/>
        </w:rPr>
        <w:t>In people with suspected Alzheimer’s disease in whom prior tests (clinical evaluation, MRI and blood tests) have been inconclusive, what is the safety, effectiveness and cost-effectiveness of FDG-PET as a replacement for SPECT for establishing a diagnosis?</w:t>
      </w:r>
    </w:p>
    <w:p w14:paraId="2420EEDD" w14:textId="77777777" w:rsidR="00246C7A" w:rsidRDefault="00246C7A" w:rsidP="00246C7A">
      <w:pPr>
        <w:pStyle w:val="Caption"/>
      </w:pPr>
      <w:bookmarkStart w:id="59" w:name="_Ref403053405"/>
      <w:bookmarkStart w:id="60" w:name="_Toc406325488"/>
      <w:bookmarkStart w:id="61" w:name="_Toc408845202"/>
      <w:r>
        <w:t xml:space="preserve">Table </w:t>
      </w:r>
      <w:fldSimple w:instr=" STYLEREF 2 \s ">
        <w:r w:rsidR="00C67698">
          <w:rPr>
            <w:noProof/>
          </w:rPr>
          <w:t>A.8</w:t>
        </w:r>
      </w:fldSimple>
      <w:r>
        <w:noBreakHyphen/>
      </w:r>
      <w:fldSimple w:instr=" SEQ Table \* ARABIC \s 2 ">
        <w:r w:rsidR="00C67698">
          <w:rPr>
            <w:noProof/>
          </w:rPr>
          <w:t>1</w:t>
        </w:r>
      </w:fldSimple>
      <w:bookmarkEnd w:id="59"/>
      <w:r>
        <w:tab/>
        <w:t>Summary of PPICO criteria to define research question that assessment will investigate</w:t>
      </w:r>
      <w:bookmarkEnd w:id="60"/>
      <w:bookmarkEnd w:id="61"/>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Caption w:val="Summary of PICO to define research questions that assessment will investigate"/>
        <w:tblDescription w:val="The patients, prior tests, intervention, comparator and outcomes relevant to the assessment. The table also outlines the reference standard."/>
      </w:tblPr>
      <w:tblGrid>
        <w:gridCol w:w="992"/>
        <w:gridCol w:w="1701"/>
        <w:gridCol w:w="1134"/>
        <w:gridCol w:w="1134"/>
        <w:gridCol w:w="1276"/>
        <w:gridCol w:w="2126"/>
      </w:tblGrid>
      <w:tr w:rsidR="00246C7A" w:rsidRPr="00B43BF0" w14:paraId="36CDAB70" w14:textId="77777777" w:rsidTr="00246C7A">
        <w:trPr>
          <w:tblHeader/>
        </w:trPr>
        <w:tc>
          <w:tcPr>
            <w:tcW w:w="992" w:type="dxa"/>
          </w:tcPr>
          <w:p w14:paraId="1E785BFD" w14:textId="77777777" w:rsidR="00246C7A" w:rsidRPr="00B43BF0" w:rsidRDefault="00246C7A" w:rsidP="00246C7A">
            <w:pPr>
              <w:keepNext/>
              <w:spacing w:before="40" w:after="0"/>
              <w:ind w:left="0"/>
              <w:jc w:val="center"/>
              <w:rPr>
                <w:rFonts w:ascii="Arial Narrow" w:eastAsia="Times New Roman" w:hAnsi="Arial Narrow" w:cs="Times New Roman"/>
                <w:b/>
                <w:sz w:val="20"/>
                <w:szCs w:val="20"/>
                <w:lang w:eastAsia="en-AU"/>
              </w:rPr>
            </w:pPr>
            <w:r w:rsidRPr="00B43BF0">
              <w:rPr>
                <w:rFonts w:ascii="Arial Narrow" w:eastAsia="Times New Roman" w:hAnsi="Arial Narrow" w:cs="Times New Roman"/>
                <w:b/>
                <w:sz w:val="20"/>
                <w:szCs w:val="20"/>
                <w:lang w:eastAsia="en-AU"/>
              </w:rPr>
              <w:t>Patients</w:t>
            </w:r>
          </w:p>
        </w:tc>
        <w:tc>
          <w:tcPr>
            <w:tcW w:w="1701" w:type="dxa"/>
          </w:tcPr>
          <w:p w14:paraId="0A6DC497" w14:textId="77777777" w:rsidR="00246C7A" w:rsidRPr="00B43BF0" w:rsidRDefault="00246C7A" w:rsidP="00246C7A">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Prior tests</w:t>
            </w:r>
          </w:p>
        </w:tc>
        <w:tc>
          <w:tcPr>
            <w:tcW w:w="1134" w:type="dxa"/>
            <w:tcBorders>
              <w:right w:val="single" w:sz="4" w:space="0" w:color="auto"/>
            </w:tcBorders>
          </w:tcPr>
          <w:p w14:paraId="301B99DE" w14:textId="77777777" w:rsidR="00246C7A" w:rsidRPr="00B43BF0" w:rsidRDefault="00246C7A" w:rsidP="00246C7A">
            <w:pPr>
              <w:keepNext/>
              <w:spacing w:before="40" w:after="0"/>
              <w:ind w:left="0"/>
              <w:jc w:val="center"/>
              <w:rPr>
                <w:rFonts w:ascii="Arial Narrow" w:eastAsia="Times New Roman" w:hAnsi="Arial Narrow" w:cs="Times New Roman"/>
                <w:b/>
                <w:sz w:val="20"/>
                <w:szCs w:val="20"/>
                <w:lang w:eastAsia="en-AU"/>
              </w:rPr>
            </w:pPr>
            <w:r w:rsidRPr="007847F4">
              <w:rPr>
                <w:rFonts w:ascii="Arial Narrow" w:eastAsia="Times New Roman" w:hAnsi="Arial Narrow" w:cs="Times New Roman"/>
                <w:b/>
                <w:sz w:val="20"/>
                <w:szCs w:val="20"/>
                <w:lang w:eastAsia="en-AU"/>
              </w:rPr>
              <w:t>Intervention</w:t>
            </w:r>
          </w:p>
        </w:tc>
        <w:tc>
          <w:tcPr>
            <w:tcW w:w="1134" w:type="dxa"/>
            <w:tcBorders>
              <w:top w:val="single" w:sz="4" w:space="0" w:color="auto"/>
              <w:left w:val="single" w:sz="4" w:space="0" w:color="auto"/>
              <w:bottom w:val="single" w:sz="4" w:space="0" w:color="auto"/>
              <w:right w:val="single" w:sz="4" w:space="0" w:color="auto"/>
            </w:tcBorders>
          </w:tcPr>
          <w:p w14:paraId="2DEA984A" w14:textId="77777777" w:rsidR="00246C7A" w:rsidRPr="00B43BF0" w:rsidRDefault="00246C7A" w:rsidP="00246C7A">
            <w:pPr>
              <w:keepNext/>
              <w:spacing w:before="40" w:after="0"/>
              <w:ind w:left="0"/>
              <w:jc w:val="center"/>
              <w:rPr>
                <w:rFonts w:ascii="Arial Narrow" w:eastAsia="Times New Roman" w:hAnsi="Arial Narrow" w:cs="Times New Roman"/>
                <w:b/>
                <w:sz w:val="20"/>
                <w:szCs w:val="20"/>
                <w:lang w:eastAsia="en-AU"/>
              </w:rPr>
            </w:pPr>
            <w:r w:rsidRPr="00B43BF0">
              <w:rPr>
                <w:rFonts w:ascii="Arial Narrow" w:eastAsia="Times New Roman" w:hAnsi="Arial Narrow" w:cs="Times New Roman"/>
                <w:b/>
                <w:sz w:val="20"/>
                <w:szCs w:val="20"/>
                <w:lang w:eastAsia="en-AU"/>
              </w:rPr>
              <w:t>Comparator</w:t>
            </w:r>
          </w:p>
        </w:tc>
        <w:tc>
          <w:tcPr>
            <w:tcW w:w="1276" w:type="dxa"/>
            <w:tcBorders>
              <w:top w:val="single" w:sz="4" w:space="0" w:color="auto"/>
              <w:left w:val="single" w:sz="4" w:space="0" w:color="auto"/>
              <w:bottom w:val="single" w:sz="4" w:space="0" w:color="auto"/>
              <w:right w:val="single" w:sz="4" w:space="0" w:color="auto"/>
            </w:tcBorders>
          </w:tcPr>
          <w:p w14:paraId="1BE12308" w14:textId="77777777" w:rsidR="00246C7A" w:rsidRPr="00B43BF0" w:rsidRDefault="00246C7A" w:rsidP="00246C7A">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Reference standard</w:t>
            </w:r>
          </w:p>
        </w:tc>
        <w:tc>
          <w:tcPr>
            <w:tcW w:w="2126" w:type="dxa"/>
            <w:tcBorders>
              <w:left w:val="single" w:sz="4" w:space="0" w:color="auto"/>
            </w:tcBorders>
          </w:tcPr>
          <w:p w14:paraId="27099CB6" w14:textId="77777777" w:rsidR="00246C7A" w:rsidRPr="00B43BF0" w:rsidRDefault="00246C7A" w:rsidP="00246C7A">
            <w:pPr>
              <w:keepNext/>
              <w:spacing w:before="40" w:after="0"/>
              <w:ind w:left="0"/>
              <w:jc w:val="center"/>
              <w:rPr>
                <w:rFonts w:ascii="Arial Narrow" w:eastAsia="Times New Roman" w:hAnsi="Arial Narrow" w:cs="Times New Roman"/>
                <w:b/>
                <w:sz w:val="20"/>
                <w:szCs w:val="20"/>
                <w:lang w:eastAsia="en-AU"/>
              </w:rPr>
            </w:pPr>
            <w:r w:rsidRPr="00B43BF0">
              <w:rPr>
                <w:rFonts w:ascii="Arial Narrow" w:eastAsia="Times New Roman" w:hAnsi="Arial Narrow" w:cs="Times New Roman"/>
                <w:b/>
                <w:sz w:val="20"/>
                <w:szCs w:val="20"/>
                <w:lang w:eastAsia="en-AU"/>
              </w:rPr>
              <w:t>Outcomes to be assessed</w:t>
            </w:r>
          </w:p>
        </w:tc>
      </w:tr>
      <w:tr w:rsidR="00246C7A" w:rsidRPr="00B43BF0" w14:paraId="1C5B6673" w14:textId="77777777" w:rsidTr="00246C7A">
        <w:tc>
          <w:tcPr>
            <w:tcW w:w="992" w:type="dxa"/>
          </w:tcPr>
          <w:p w14:paraId="0B36BFCF" w14:textId="77777777" w:rsidR="00246C7A" w:rsidRPr="00B43BF0" w:rsidRDefault="00246C7A" w:rsidP="00246C7A">
            <w:pPr>
              <w:keepNext/>
              <w:tabs>
                <w:tab w:val="left" w:pos="-6946"/>
              </w:tabs>
              <w:spacing w:before="40" w:after="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People with suspected AD in whom prior tests have been inconclusive</w:t>
            </w:r>
          </w:p>
        </w:tc>
        <w:tc>
          <w:tcPr>
            <w:tcW w:w="1701" w:type="dxa"/>
          </w:tcPr>
          <w:p w14:paraId="4E690CB0" w14:textId="77777777" w:rsidR="00246C7A" w:rsidRDefault="00246C7A" w:rsidP="00246C7A">
            <w:pPr>
              <w:pStyle w:val="ListParagraph"/>
              <w:keepNext/>
              <w:numPr>
                <w:ilvl w:val="0"/>
                <w:numId w:val="17"/>
              </w:numPr>
              <w:spacing w:before="40" w:after="40"/>
              <w:ind w:left="209" w:hanging="193"/>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Clinical evaluation</w:t>
            </w:r>
          </w:p>
          <w:p w14:paraId="2F18A763" w14:textId="77777777" w:rsidR="00246C7A" w:rsidRDefault="00246C7A" w:rsidP="00246C7A">
            <w:pPr>
              <w:pStyle w:val="ListParagraph"/>
              <w:keepNext/>
              <w:numPr>
                <w:ilvl w:val="0"/>
                <w:numId w:val="17"/>
              </w:numPr>
              <w:spacing w:before="40" w:after="40"/>
              <w:ind w:left="209" w:hanging="193"/>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Structural imaging: MRI (or CT only where MRI is contraindicated)</w:t>
            </w:r>
          </w:p>
          <w:p w14:paraId="5FDA4692" w14:textId="77777777" w:rsidR="00246C7A" w:rsidRDefault="00246C7A" w:rsidP="00246C7A">
            <w:pPr>
              <w:pStyle w:val="ListParagraph"/>
              <w:keepNext/>
              <w:numPr>
                <w:ilvl w:val="0"/>
                <w:numId w:val="17"/>
              </w:numPr>
              <w:spacing w:before="40" w:after="40"/>
              <w:ind w:left="209" w:hanging="193"/>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Blood tests</w:t>
            </w:r>
          </w:p>
          <w:p w14:paraId="53D2456D" w14:textId="77777777" w:rsidR="00246C7A" w:rsidRDefault="00246C7A" w:rsidP="00246C7A">
            <w:pPr>
              <w:pStyle w:val="ListParagraph"/>
              <w:keepNext/>
              <w:numPr>
                <w:ilvl w:val="1"/>
                <w:numId w:val="17"/>
              </w:numPr>
              <w:spacing w:before="40" w:after="40"/>
              <w:ind w:left="634" w:hanging="284"/>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Routine biochemistry</w:t>
            </w:r>
          </w:p>
          <w:p w14:paraId="44BE4023" w14:textId="77777777" w:rsidR="00246C7A" w:rsidRDefault="00246C7A" w:rsidP="00246C7A">
            <w:pPr>
              <w:pStyle w:val="ListParagraph"/>
              <w:keepNext/>
              <w:numPr>
                <w:ilvl w:val="1"/>
                <w:numId w:val="17"/>
              </w:numPr>
              <w:spacing w:before="40" w:after="40"/>
              <w:ind w:left="634" w:hanging="274"/>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Haematology</w:t>
            </w:r>
          </w:p>
          <w:p w14:paraId="51AF5AE0" w14:textId="77777777" w:rsidR="00246C7A" w:rsidRDefault="00246C7A" w:rsidP="00246C7A">
            <w:pPr>
              <w:pStyle w:val="ListParagraph"/>
              <w:keepNext/>
              <w:numPr>
                <w:ilvl w:val="1"/>
                <w:numId w:val="17"/>
              </w:numPr>
              <w:spacing w:before="40" w:after="40"/>
              <w:ind w:left="634" w:hanging="274"/>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Thyroid function</w:t>
            </w:r>
          </w:p>
          <w:p w14:paraId="4F3E2D40" w14:textId="77777777" w:rsidR="00246C7A" w:rsidRPr="007847F4" w:rsidRDefault="00246C7A" w:rsidP="00246C7A">
            <w:pPr>
              <w:pStyle w:val="ListParagraph"/>
              <w:keepNext/>
              <w:numPr>
                <w:ilvl w:val="1"/>
                <w:numId w:val="17"/>
              </w:numPr>
              <w:spacing w:before="40" w:after="40"/>
              <w:ind w:left="634" w:hanging="274"/>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Vitamins B12 and folate</w:t>
            </w:r>
          </w:p>
        </w:tc>
        <w:tc>
          <w:tcPr>
            <w:tcW w:w="1134" w:type="dxa"/>
            <w:tcBorders>
              <w:right w:val="single" w:sz="4" w:space="0" w:color="auto"/>
            </w:tcBorders>
          </w:tcPr>
          <w:p w14:paraId="1F5ABCFB" w14:textId="77777777" w:rsidR="00246C7A" w:rsidRPr="00B43BF0" w:rsidRDefault="00246C7A" w:rsidP="00246C7A">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Semi-quantitative FDG-PET</w:t>
            </w:r>
          </w:p>
        </w:tc>
        <w:tc>
          <w:tcPr>
            <w:tcW w:w="1134" w:type="dxa"/>
            <w:tcBorders>
              <w:top w:val="single" w:sz="4" w:space="0" w:color="auto"/>
              <w:left w:val="single" w:sz="4" w:space="0" w:color="auto"/>
              <w:bottom w:val="single" w:sz="4" w:space="0" w:color="auto"/>
              <w:right w:val="single" w:sz="4" w:space="0" w:color="auto"/>
            </w:tcBorders>
          </w:tcPr>
          <w:p w14:paraId="77109CA8" w14:textId="77777777" w:rsidR="00246C7A" w:rsidRPr="00B43BF0" w:rsidRDefault="00246C7A" w:rsidP="00246C7A">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SPECT</w:t>
            </w:r>
          </w:p>
        </w:tc>
        <w:tc>
          <w:tcPr>
            <w:tcW w:w="1276" w:type="dxa"/>
            <w:tcBorders>
              <w:top w:val="single" w:sz="4" w:space="0" w:color="auto"/>
              <w:left w:val="single" w:sz="4" w:space="0" w:color="auto"/>
              <w:bottom w:val="single" w:sz="4" w:space="0" w:color="auto"/>
              <w:right w:val="single" w:sz="4" w:space="0" w:color="auto"/>
            </w:tcBorders>
          </w:tcPr>
          <w:p w14:paraId="5356D111" w14:textId="78B61DEA" w:rsidR="00246C7A" w:rsidRPr="00B43BF0" w:rsidRDefault="00246C7A" w:rsidP="00246C7A">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Histopathologic diagnosis via autopsy or biopsy, or long</w:t>
            </w:r>
            <w:r w:rsidR="00617B67">
              <w:rPr>
                <w:rFonts w:ascii="Arial Narrow" w:eastAsia="Times New Roman" w:hAnsi="Arial Narrow" w:cs="Times New Roman"/>
                <w:sz w:val="20"/>
                <w:szCs w:val="20"/>
                <w:lang w:eastAsia="en-AU"/>
              </w:rPr>
              <w:t>-</w:t>
            </w:r>
            <w:r>
              <w:rPr>
                <w:rFonts w:ascii="Arial Narrow" w:eastAsia="Times New Roman" w:hAnsi="Arial Narrow" w:cs="Times New Roman"/>
                <w:sz w:val="20"/>
                <w:szCs w:val="20"/>
                <w:lang w:eastAsia="en-AU"/>
              </w:rPr>
              <w:t>term clinical follow</w:t>
            </w:r>
            <w:r w:rsidR="000E05F2">
              <w:rPr>
                <w:rFonts w:ascii="Arial Narrow" w:eastAsia="Times New Roman" w:hAnsi="Arial Narrow" w:cs="Times New Roman"/>
                <w:sz w:val="20"/>
                <w:szCs w:val="20"/>
                <w:lang w:eastAsia="en-AU"/>
              </w:rPr>
              <w:t>-</w:t>
            </w:r>
            <w:r>
              <w:rPr>
                <w:rFonts w:ascii="Arial Narrow" w:eastAsia="Times New Roman" w:hAnsi="Arial Narrow" w:cs="Times New Roman"/>
                <w:sz w:val="20"/>
                <w:szCs w:val="20"/>
                <w:lang w:eastAsia="en-AU"/>
              </w:rPr>
              <w:t>up</w:t>
            </w:r>
          </w:p>
        </w:tc>
        <w:tc>
          <w:tcPr>
            <w:tcW w:w="2126" w:type="dxa"/>
            <w:tcBorders>
              <w:left w:val="single" w:sz="4" w:space="0" w:color="auto"/>
            </w:tcBorders>
          </w:tcPr>
          <w:p w14:paraId="449F52B7" w14:textId="77777777" w:rsidR="00246C7A" w:rsidRPr="00B43BF0" w:rsidRDefault="00246C7A" w:rsidP="00246C7A">
            <w:pPr>
              <w:keepNext/>
              <w:spacing w:before="40" w:after="0"/>
              <w:ind w:left="0"/>
              <w:rPr>
                <w:rFonts w:ascii="Arial Narrow" w:eastAsia="Times New Roman" w:hAnsi="Arial Narrow" w:cs="Times New Roman"/>
                <w:b/>
                <w:sz w:val="20"/>
                <w:szCs w:val="20"/>
                <w:u w:val="single"/>
                <w:lang w:eastAsia="en-AU"/>
              </w:rPr>
            </w:pPr>
            <w:r w:rsidRPr="00B43BF0">
              <w:rPr>
                <w:rFonts w:ascii="Arial Narrow" w:eastAsia="Times New Roman" w:hAnsi="Arial Narrow" w:cs="Times New Roman"/>
                <w:b/>
                <w:sz w:val="20"/>
                <w:szCs w:val="20"/>
                <w:u w:val="single"/>
                <w:lang w:eastAsia="en-AU"/>
              </w:rPr>
              <w:t>Safety</w:t>
            </w:r>
          </w:p>
          <w:p w14:paraId="2F3512A5" w14:textId="77777777" w:rsidR="00246C7A" w:rsidRDefault="00246C7A" w:rsidP="00246C7A">
            <w:pPr>
              <w:keepNext/>
              <w:spacing w:after="0"/>
              <w:ind w:left="0"/>
              <w:rPr>
                <w:rFonts w:ascii="Arial Narrow" w:eastAsia="Times New Roman" w:hAnsi="Arial Narrow" w:cs="Times New Roman"/>
                <w:sz w:val="20"/>
                <w:szCs w:val="20"/>
              </w:rPr>
            </w:pPr>
            <w:r>
              <w:rPr>
                <w:rFonts w:ascii="Arial Narrow" w:eastAsia="Times New Roman" w:hAnsi="Arial Narrow" w:cs="Times New Roman"/>
                <w:sz w:val="20"/>
                <w:szCs w:val="20"/>
              </w:rPr>
              <w:t>Adverse events</w:t>
            </w:r>
          </w:p>
          <w:p w14:paraId="22190774" w14:textId="77777777" w:rsidR="00246C7A" w:rsidRPr="00B43BF0" w:rsidRDefault="00246C7A" w:rsidP="00246C7A">
            <w:pPr>
              <w:keepNext/>
              <w:spacing w:after="60"/>
              <w:ind w:left="0"/>
              <w:rPr>
                <w:rFonts w:ascii="Arial Narrow" w:eastAsia="Times New Roman" w:hAnsi="Arial Narrow" w:cs="Times New Roman"/>
                <w:sz w:val="20"/>
                <w:szCs w:val="20"/>
              </w:rPr>
            </w:pPr>
            <w:r>
              <w:rPr>
                <w:rFonts w:ascii="Arial Narrow" w:eastAsia="Times New Roman" w:hAnsi="Arial Narrow" w:cs="Times New Roman"/>
                <w:sz w:val="20"/>
                <w:szCs w:val="20"/>
              </w:rPr>
              <w:t>Radiation exposure</w:t>
            </w:r>
          </w:p>
          <w:p w14:paraId="353FB9DE" w14:textId="77777777" w:rsidR="00246C7A" w:rsidRDefault="00246C7A" w:rsidP="00246C7A">
            <w:pPr>
              <w:keepNext/>
              <w:spacing w:before="40" w:after="0"/>
              <w:ind w:left="0"/>
              <w:rPr>
                <w:rFonts w:ascii="Arial Narrow" w:eastAsia="Times New Roman" w:hAnsi="Arial Narrow" w:cs="Times New Roman"/>
                <w:b/>
                <w:sz w:val="20"/>
                <w:szCs w:val="20"/>
                <w:u w:val="single"/>
              </w:rPr>
            </w:pPr>
            <w:r>
              <w:rPr>
                <w:rFonts w:ascii="Arial Narrow" w:eastAsia="Times New Roman" w:hAnsi="Arial Narrow" w:cs="Times New Roman"/>
                <w:b/>
                <w:sz w:val="20"/>
                <w:szCs w:val="20"/>
                <w:u w:val="single"/>
              </w:rPr>
              <w:t>Diagno</w:t>
            </w:r>
            <w:r w:rsidRPr="00B43BF0">
              <w:rPr>
                <w:rFonts w:ascii="Arial Narrow" w:eastAsia="Times New Roman" w:hAnsi="Arial Narrow" w:cs="Times New Roman"/>
                <w:b/>
                <w:sz w:val="20"/>
                <w:szCs w:val="20"/>
                <w:u w:val="single"/>
              </w:rPr>
              <w:t>s</w:t>
            </w:r>
            <w:r>
              <w:rPr>
                <w:rFonts w:ascii="Arial Narrow" w:eastAsia="Times New Roman" w:hAnsi="Arial Narrow" w:cs="Times New Roman"/>
                <w:b/>
                <w:sz w:val="20"/>
                <w:szCs w:val="20"/>
                <w:u w:val="single"/>
              </w:rPr>
              <w:t>tic accuracy</w:t>
            </w:r>
          </w:p>
          <w:p w14:paraId="68CA537C" w14:textId="77777777" w:rsidR="00246C7A" w:rsidRDefault="00246C7A" w:rsidP="00246C7A">
            <w:pPr>
              <w:keepNext/>
              <w:spacing w:after="0"/>
              <w:ind w:left="0"/>
              <w:rPr>
                <w:rFonts w:ascii="Arial Narrow" w:eastAsia="Times New Roman" w:hAnsi="Arial Narrow" w:cs="Times New Roman"/>
                <w:b/>
                <w:sz w:val="20"/>
                <w:szCs w:val="20"/>
                <w:u w:val="single"/>
              </w:rPr>
            </w:pPr>
            <w:r>
              <w:rPr>
                <w:rFonts w:ascii="Arial Narrow" w:eastAsia="Times New Roman" w:hAnsi="Arial Narrow" w:cs="Times New Roman"/>
                <w:sz w:val="20"/>
                <w:szCs w:val="20"/>
              </w:rPr>
              <w:t>Sensitivity</w:t>
            </w:r>
          </w:p>
          <w:p w14:paraId="34F1B415" w14:textId="77777777" w:rsidR="00246C7A" w:rsidRDefault="00246C7A" w:rsidP="00246C7A">
            <w:pPr>
              <w:keepNext/>
              <w:spacing w:after="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Specificity</w:t>
            </w:r>
          </w:p>
          <w:p w14:paraId="37966305" w14:textId="77777777" w:rsidR="00246C7A" w:rsidRDefault="00246C7A" w:rsidP="00246C7A">
            <w:pPr>
              <w:keepNext/>
              <w:spacing w:after="6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Additional TP &amp; FP</w:t>
            </w:r>
          </w:p>
          <w:p w14:paraId="1F61850B" w14:textId="77777777" w:rsidR="00246C7A" w:rsidRDefault="00246C7A" w:rsidP="00246C7A">
            <w:pPr>
              <w:keepNext/>
              <w:spacing w:before="40" w:after="0"/>
              <w:ind w:left="0"/>
              <w:rPr>
                <w:rFonts w:ascii="Arial Narrow" w:eastAsia="Times New Roman" w:hAnsi="Arial Narrow" w:cs="Times New Roman"/>
                <w:sz w:val="20"/>
                <w:szCs w:val="20"/>
                <w:lang w:eastAsia="en-AU"/>
              </w:rPr>
            </w:pPr>
            <w:r>
              <w:rPr>
                <w:rFonts w:ascii="Arial Narrow" w:eastAsia="Times New Roman" w:hAnsi="Arial Narrow" w:cs="Times New Roman"/>
                <w:b/>
                <w:sz w:val="20"/>
                <w:szCs w:val="20"/>
                <w:u w:val="single"/>
                <w:lang w:eastAsia="en-AU"/>
              </w:rPr>
              <w:t>Change in management</w:t>
            </w:r>
          </w:p>
          <w:p w14:paraId="7B39C2BF" w14:textId="77777777" w:rsidR="00246C7A" w:rsidRDefault="00246C7A" w:rsidP="00246C7A">
            <w:pPr>
              <w:keepNext/>
              <w:spacing w:after="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Treatment instigated</w:t>
            </w:r>
          </w:p>
          <w:p w14:paraId="71F10BB9" w14:textId="77777777" w:rsidR="00246C7A" w:rsidRDefault="00246C7A" w:rsidP="00246C7A">
            <w:pPr>
              <w:keepNext/>
              <w:spacing w:after="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Treatment avoided</w:t>
            </w:r>
          </w:p>
          <w:p w14:paraId="475BBF9A" w14:textId="77777777" w:rsidR="00246C7A" w:rsidRDefault="00246C7A" w:rsidP="00246C7A">
            <w:pPr>
              <w:keepNext/>
              <w:spacing w:after="6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Other changes occurring in ≥10% patients</w:t>
            </w:r>
          </w:p>
          <w:p w14:paraId="25D2597A" w14:textId="77777777" w:rsidR="00246C7A" w:rsidRDefault="00246C7A" w:rsidP="00246C7A">
            <w:pPr>
              <w:keepNext/>
              <w:spacing w:before="40" w:after="0"/>
              <w:ind w:left="0"/>
              <w:rPr>
                <w:rFonts w:ascii="Arial Narrow" w:eastAsia="Times New Roman" w:hAnsi="Arial Narrow" w:cs="Times New Roman"/>
                <w:b/>
                <w:sz w:val="20"/>
                <w:szCs w:val="20"/>
                <w:u w:val="single"/>
                <w:lang w:eastAsia="en-AU"/>
              </w:rPr>
            </w:pPr>
            <w:r>
              <w:rPr>
                <w:rFonts w:ascii="Arial Narrow" w:eastAsia="Times New Roman" w:hAnsi="Arial Narrow" w:cs="Times New Roman"/>
                <w:b/>
                <w:sz w:val="20"/>
                <w:szCs w:val="20"/>
                <w:u w:val="single"/>
                <w:lang w:eastAsia="en-AU"/>
              </w:rPr>
              <w:t>Patient outcomes</w:t>
            </w:r>
          </w:p>
          <w:p w14:paraId="11BF71B1" w14:textId="77777777" w:rsidR="00246C7A" w:rsidRDefault="00246C7A" w:rsidP="00246C7A">
            <w:pPr>
              <w:keepNext/>
              <w:spacing w:after="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Disease-specific mortality</w:t>
            </w:r>
          </w:p>
          <w:p w14:paraId="78795B01" w14:textId="77777777" w:rsidR="00246C7A" w:rsidRDefault="00246C7A" w:rsidP="00246C7A">
            <w:pPr>
              <w:keepNext/>
              <w:spacing w:after="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Disease progression</w:t>
            </w:r>
          </w:p>
          <w:p w14:paraId="62A52F0C" w14:textId="77777777" w:rsidR="00246C7A" w:rsidRDefault="00246C7A" w:rsidP="00246C7A">
            <w:pPr>
              <w:pStyle w:val="ListParagraph"/>
              <w:keepNext/>
              <w:numPr>
                <w:ilvl w:val="0"/>
                <w:numId w:val="18"/>
              </w:numPr>
              <w:spacing w:after="0"/>
              <w:ind w:left="368" w:hanging="141"/>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Cognitive function</w:t>
            </w:r>
          </w:p>
          <w:p w14:paraId="760AB899" w14:textId="77777777" w:rsidR="00246C7A" w:rsidRDefault="00246C7A" w:rsidP="00246C7A">
            <w:pPr>
              <w:pStyle w:val="ListParagraph"/>
              <w:keepNext/>
              <w:numPr>
                <w:ilvl w:val="0"/>
                <w:numId w:val="18"/>
              </w:numPr>
              <w:spacing w:after="0"/>
              <w:ind w:left="368" w:hanging="141"/>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Global outcome</w:t>
            </w:r>
          </w:p>
          <w:p w14:paraId="1458AC3D" w14:textId="77777777" w:rsidR="00246C7A" w:rsidRDefault="00246C7A" w:rsidP="00246C7A">
            <w:pPr>
              <w:pStyle w:val="ListParagraph"/>
              <w:keepNext/>
              <w:numPr>
                <w:ilvl w:val="0"/>
                <w:numId w:val="18"/>
              </w:numPr>
              <w:spacing w:after="0"/>
              <w:ind w:left="368" w:hanging="141"/>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Activities of daily life</w:t>
            </w:r>
          </w:p>
          <w:p w14:paraId="28D44DF1" w14:textId="77777777" w:rsidR="00246C7A" w:rsidRDefault="00246C7A" w:rsidP="00246C7A">
            <w:pPr>
              <w:keepNext/>
              <w:spacing w:after="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Quality of life</w:t>
            </w:r>
          </w:p>
          <w:p w14:paraId="73BEEFB6" w14:textId="77777777" w:rsidR="00246C7A" w:rsidRPr="00070231" w:rsidRDefault="00246C7A" w:rsidP="00246C7A">
            <w:pPr>
              <w:keepNext/>
              <w:spacing w:after="6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Prognostic value</w:t>
            </w:r>
          </w:p>
          <w:p w14:paraId="7EFF1F29" w14:textId="77777777" w:rsidR="00246C7A" w:rsidRPr="00A831AC" w:rsidRDefault="00246C7A" w:rsidP="00246C7A">
            <w:pPr>
              <w:keepNext/>
              <w:spacing w:before="40" w:after="60"/>
              <w:ind w:left="0"/>
              <w:rPr>
                <w:rFonts w:ascii="Arial Narrow" w:eastAsia="Times New Roman" w:hAnsi="Arial Narrow" w:cs="Times New Roman"/>
                <w:b/>
                <w:sz w:val="20"/>
                <w:szCs w:val="20"/>
                <w:u w:val="single"/>
                <w:lang w:eastAsia="en-AU"/>
              </w:rPr>
            </w:pPr>
            <w:r w:rsidRPr="00B43BF0">
              <w:rPr>
                <w:rFonts w:ascii="Arial Narrow" w:eastAsia="Times New Roman" w:hAnsi="Arial Narrow" w:cs="Times New Roman"/>
                <w:b/>
                <w:sz w:val="20"/>
                <w:szCs w:val="20"/>
                <w:u w:val="single"/>
                <w:lang w:eastAsia="en-AU"/>
              </w:rPr>
              <w:t>Cost-effectiveness</w:t>
            </w:r>
          </w:p>
        </w:tc>
      </w:tr>
    </w:tbl>
    <w:p w14:paraId="79761BAC" w14:textId="2551FBC6" w:rsidR="00246C7A" w:rsidRDefault="00246C7A" w:rsidP="00246C7A">
      <w:pPr>
        <w:pStyle w:val="Tablefootnotes"/>
      </w:pPr>
      <w:r>
        <w:t>Abbreviations: AD, Alzheimer’s disease; CT, computed tomography; MRI, magnetic r</w:t>
      </w:r>
      <w:r w:rsidR="00ED6384">
        <w:t xml:space="preserve">esonance imaging; FDG-PET, </w:t>
      </w:r>
      <w:r>
        <w:t>flu</w:t>
      </w:r>
      <w:r w:rsidR="008F0DD0">
        <w:t>o</w:t>
      </w:r>
      <w:r>
        <w:t>rodeoxyglucose positron emission tomography; FP, false positive; SPECT, single-photon emission computed tomography; TP, true positive.</w:t>
      </w:r>
    </w:p>
    <w:p w14:paraId="431083C7" w14:textId="77777777" w:rsidR="00246C7A" w:rsidRDefault="00246C7A" w:rsidP="00246C7A">
      <w:r>
        <w:t xml:space="preserve">There are important considerations relating to the two reference standards presented in </w:t>
      </w:r>
      <w:r>
        <w:fldChar w:fldCharType="begin"/>
      </w:r>
      <w:r>
        <w:instrText xml:space="preserve"> REF _Ref403053405 \h </w:instrText>
      </w:r>
      <w:r>
        <w:fldChar w:fldCharType="separate"/>
      </w:r>
      <w:r w:rsidR="00C67698">
        <w:t xml:space="preserve">Table </w:t>
      </w:r>
      <w:r w:rsidR="00C67698">
        <w:rPr>
          <w:noProof/>
        </w:rPr>
        <w:t>A.8</w:t>
      </w:r>
      <w:r w:rsidR="00C67698">
        <w:noBreakHyphen/>
      </w:r>
      <w:r w:rsidR="00C67698">
        <w:rPr>
          <w:noProof/>
        </w:rPr>
        <w:t>1</w:t>
      </w:r>
      <w:r>
        <w:fldChar w:fldCharType="end"/>
      </w:r>
      <w:r>
        <w:t>. For studies that followed patients longitudinally (i.e. long-term clinical follow-up), a patient may have been deemed to have a non-progressive course after two or three years of stable cognitive status. However, some of these patients may have developed signs of progressive dementia after the period of follow-up in the study. If these patients had a negative FDG-PET or SPECT scan, they would have been categorised as true negatives when in fact they were false negatives, so the sensitivity reported would be falsely elevated. If patients had an abnormal FDG-PET or SPECT scan with no progression detected during follow-up (but progression evident on longer term follow-up), they would have been classified as false positives when in fact they were true positives, and the specificity reported would be lower than the true specificity.</w:t>
      </w:r>
    </w:p>
    <w:p w14:paraId="6B9C5184" w14:textId="77777777" w:rsidR="00246C7A" w:rsidRDefault="00246C7A" w:rsidP="00246C7A">
      <w:r>
        <w:t xml:space="preserve">Although postmortem pathologic diagnosis of AD is considered the ‘gold standard’, it is becoming increasingly apparent that it is not a perfect reference standard in practice. There </w:t>
      </w:r>
      <w:r w:rsidRPr="000D1344">
        <w:t>is no universally accepted set of pathologic diagnostic criteria, and the various diagnostic algorithms place discordant degrees of reliance on varying diagnostic factors (Bohnen et al, 2013). Thus, a</w:t>
      </w:r>
      <w:r>
        <w:t xml:space="preserve"> patient’s autopsy diagnosis will be dependent on the criteria used, which potentially limits the specificity of any studies correlating </w:t>
      </w:r>
      <w:r w:rsidRPr="000D1344">
        <w:t xml:space="preserve">FDG-PET or SPECT with postmortem diagnosis. This is particularly relevant given emerging evidence of pre-symptomatic AD in otherwise healthy elderly persons (Aizenstein et al, 2008). </w:t>
      </w:r>
      <w:r w:rsidRPr="000D1344">
        <w:lastRenderedPageBreak/>
        <w:t>Furthermore, mixed pathologies can be detected in patients diagnosed with AD at the</w:t>
      </w:r>
      <w:r>
        <w:t xml:space="preserve"> time of </w:t>
      </w:r>
      <w:r w:rsidRPr="000D1344">
        <w:t>autopsy (Kovacs et al, 2008) and in</w:t>
      </w:r>
      <w:r>
        <w:t xml:space="preserve"> these instances it can be difficult, if not impossible, to determine the relative pathologic contributions to the patient’s cognitive abnormalities. These </w:t>
      </w:r>
      <w:r w:rsidRPr="00EE4EB1">
        <w:t>concerns have prompted recent revisions to the guidelines on neuropathologic criteria for AD from the National Institute on Aging-Alzheimer’s Association (NIA-AA) (Hyman et al, 2012).</w:t>
      </w:r>
    </w:p>
    <w:p w14:paraId="507ECE36" w14:textId="77777777" w:rsidR="002332F2" w:rsidRPr="0013083C" w:rsidRDefault="002332F2" w:rsidP="001B28C7">
      <w:pPr>
        <w:pStyle w:val="Tablefootnotes"/>
      </w:pPr>
    </w:p>
    <w:p w14:paraId="4A8C008F" w14:textId="72F50A2C" w:rsidR="00874204" w:rsidRDefault="00874204" w:rsidP="00F710E2">
      <w:pPr>
        <w:pStyle w:val="Heading1"/>
      </w:pPr>
      <w:bookmarkStart w:id="62" w:name="_Toc382219929"/>
      <w:bookmarkStart w:id="63" w:name="_Toc408845160"/>
      <w:r w:rsidRPr="00F710E2">
        <w:lastRenderedPageBreak/>
        <w:t>Clinical</w:t>
      </w:r>
      <w:r>
        <w:t xml:space="preserve"> evaluation for the main indication</w:t>
      </w:r>
      <w:bookmarkEnd w:id="62"/>
      <w:bookmarkEnd w:id="63"/>
    </w:p>
    <w:p w14:paraId="75CB3147" w14:textId="77777777" w:rsidR="00511657" w:rsidRDefault="00511657" w:rsidP="00511657">
      <w:bookmarkStart w:id="64" w:name="_Toc382219930"/>
      <w:r>
        <w:t xml:space="preserve">This assessment uses the theoretical framework outlined in the MSAC </w:t>
      </w:r>
      <w:r w:rsidRPr="00867BA5">
        <w:rPr>
          <w:i/>
        </w:rPr>
        <w:t xml:space="preserve">Guidelines for the Assessment of Diagnostic Technologies </w:t>
      </w:r>
      <w:r>
        <w:t xml:space="preserve">(August 2005). </w:t>
      </w:r>
    </w:p>
    <w:p w14:paraId="0F2E6FA6" w14:textId="77777777" w:rsidR="00511657" w:rsidRDefault="00511657" w:rsidP="00511657">
      <w:pPr>
        <w:spacing w:after="120"/>
      </w:pPr>
      <w:r>
        <w:t xml:space="preserve">This means that evidence of the clinical effectiveness of FDG-PET for the diagnosis of AD requires either: </w:t>
      </w:r>
    </w:p>
    <w:p w14:paraId="037DFAB7" w14:textId="77777777" w:rsidR="00511657" w:rsidRDefault="00511657" w:rsidP="003140D6">
      <w:pPr>
        <w:pStyle w:val="ListParagraph"/>
        <w:numPr>
          <w:ilvl w:val="0"/>
          <w:numId w:val="15"/>
        </w:numPr>
      </w:pPr>
      <w:r w:rsidRPr="00867BA5">
        <w:t xml:space="preserve">evidence of the effectiveness of </w:t>
      </w:r>
      <w:r>
        <w:t>FDG-PET</w:t>
      </w:r>
      <w:r w:rsidRPr="00867BA5">
        <w:t xml:space="preserve"> from high-quality comparative studies evaluating the use of </w:t>
      </w:r>
      <w:r>
        <w:t>FDG-PET</w:t>
      </w:r>
      <w:r w:rsidRPr="00867BA5">
        <w:t xml:space="preserve"> and subsequent treatment compared to </w:t>
      </w:r>
      <w:r>
        <w:t>the use of SPECT</w:t>
      </w:r>
      <w:r w:rsidRPr="00867BA5">
        <w:t xml:space="preserve"> and </w:t>
      </w:r>
      <w:r>
        <w:t xml:space="preserve">subsequent </w:t>
      </w:r>
      <w:r w:rsidRPr="00867BA5">
        <w:t xml:space="preserve">treatment (direct evidence). Randomised controlled trials </w:t>
      </w:r>
      <w:r>
        <w:t xml:space="preserve">(RCTs) </w:t>
      </w:r>
      <w:r w:rsidRPr="00867BA5">
        <w:t xml:space="preserve">provide the highest quality evidence for this comparison. </w:t>
      </w:r>
      <w:r>
        <w:t>Or, if this is not available:</w:t>
      </w:r>
    </w:p>
    <w:p w14:paraId="1307F5EE" w14:textId="77777777" w:rsidR="00511657" w:rsidRDefault="00511657" w:rsidP="003140D6">
      <w:pPr>
        <w:pStyle w:val="ListParagraph"/>
        <w:numPr>
          <w:ilvl w:val="0"/>
          <w:numId w:val="15"/>
        </w:numPr>
      </w:pPr>
      <w:r w:rsidRPr="00867BA5">
        <w:t xml:space="preserve">evidence of treatment effectiveness from high-quality comparative studies evaluating the treatment for </w:t>
      </w:r>
      <w:r>
        <w:t>AD</w:t>
      </w:r>
      <w:r w:rsidRPr="00867BA5">
        <w:t xml:space="preserve">, linked with applicable and high-quality evidence of the accuracy of </w:t>
      </w:r>
      <w:r>
        <w:t>FDG-PET</w:t>
      </w:r>
      <w:r w:rsidRPr="00867BA5">
        <w:t xml:space="preserve"> compared to </w:t>
      </w:r>
      <w:r>
        <w:t>SPECT</w:t>
      </w:r>
      <w:r w:rsidRPr="00867BA5">
        <w:t xml:space="preserve"> </w:t>
      </w:r>
      <w:r>
        <w:t>to diagnose AD</w:t>
      </w:r>
      <w:r w:rsidRPr="00867BA5">
        <w:t xml:space="preserve">. This is called ‘linked evidence’. </w:t>
      </w:r>
    </w:p>
    <w:p w14:paraId="33726ED3" w14:textId="14C15BDB" w:rsidR="00511657" w:rsidRDefault="00511657" w:rsidP="00511657">
      <w:r>
        <w:t>There was no direct evidence available assessing the impact of FDG-PET on the diagnosis</w:t>
      </w:r>
      <w:r w:rsidR="000105A7">
        <w:t xml:space="preserve"> and subsequent treatment</w:t>
      </w:r>
      <w:r>
        <w:t xml:space="preserve"> of AD, so in this assessment a linked evidence approach was required. That means that evidence from studies that report on diagnostic test performance (diagnostic accuracy), the impact on clinical decision</w:t>
      </w:r>
      <w:r w:rsidR="000E05F2">
        <w:t>-</w:t>
      </w:r>
      <w:r>
        <w:t>making, and the impact of the treatment of diagnosed patients on health outcomes, was narratively linked in order to infer the effect of the diagnostic test on patient health outcomes.</w:t>
      </w:r>
    </w:p>
    <w:p w14:paraId="48125371" w14:textId="3EF00C45" w:rsidR="00511657" w:rsidRDefault="00511657" w:rsidP="00511657">
      <w:r>
        <w:t xml:space="preserve">For the last step of the linked analysis, a search was conducted to identify systematic reviews of RCTs (Level I evidence) on treatment effectiveness in patients with AD. This provides data on the health outcomes of those who </w:t>
      </w:r>
      <w:r w:rsidRPr="00636CEC">
        <w:t xml:space="preserve">are correctly diagnosed </w:t>
      </w:r>
      <w:r>
        <w:t>(</w:t>
      </w:r>
      <w:r w:rsidRPr="00636CEC">
        <w:t>i.e. true positives</w:t>
      </w:r>
      <w:r>
        <w:t>)</w:t>
      </w:r>
      <w:r w:rsidRPr="00636CEC">
        <w:t xml:space="preserve">. </w:t>
      </w:r>
      <w:r>
        <w:t xml:space="preserve">The same studies </w:t>
      </w:r>
      <w:r w:rsidR="009D2102">
        <w:t>can then be used to infer</w:t>
      </w:r>
      <w:r>
        <w:t xml:space="preserve"> t</w:t>
      </w:r>
      <w:r w:rsidRPr="00636CEC">
        <w:t>he implications associated with inappropriately treating people who are incorrectly diagnosed with AD (false positives) and the implications of not properly treating people who are incorrectly given an alternative diagnosis to AD</w:t>
      </w:r>
      <w:r>
        <w:t xml:space="preserve"> (false negatives)</w:t>
      </w:r>
      <w:r w:rsidRPr="00636CEC">
        <w:t>.</w:t>
      </w:r>
      <w:r>
        <w:t xml:space="preserve"> </w:t>
      </w:r>
      <w:r w:rsidRPr="00636CEC">
        <w:t>For people initially suspected of AD but who are eventually given an alternative diagnosis</w:t>
      </w:r>
      <w:r>
        <w:t xml:space="preserve"> (true negatives)</w:t>
      </w:r>
      <w:r w:rsidRPr="00636CEC">
        <w:t xml:space="preserve">, it </w:t>
      </w:r>
      <w:r>
        <w:t>is</w:t>
      </w:r>
      <w:r w:rsidRPr="00636CEC">
        <w:t xml:space="preserve"> assumed that their management/treatment would be optimised as a consequence of obtaining the correct diagnosis.</w:t>
      </w:r>
    </w:p>
    <w:p w14:paraId="0217F823" w14:textId="77777777" w:rsidR="00511657" w:rsidRDefault="00511657" w:rsidP="00511657">
      <w:pPr>
        <w:pStyle w:val="Heading2"/>
      </w:pPr>
      <w:bookmarkStart w:id="65" w:name="_Toc406231643"/>
      <w:bookmarkStart w:id="66" w:name="_Toc408845161"/>
      <w:r w:rsidRPr="00FE1202">
        <w:t>Description</w:t>
      </w:r>
      <w:r>
        <w:t xml:space="preserve"> of search </w:t>
      </w:r>
      <w:r w:rsidRPr="00DD06FA">
        <w:t>strategies</w:t>
      </w:r>
      <w:bookmarkEnd w:id="64"/>
      <w:bookmarkEnd w:id="65"/>
      <w:bookmarkEnd w:id="66"/>
    </w:p>
    <w:p w14:paraId="6C970146" w14:textId="77777777" w:rsidR="00511657" w:rsidRPr="004F0FC4" w:rsidRDefault="00511657" w:rsidP="00511657">
      <w:pPr>
        <w:pStyle w:val="Heading3"/>
      </w:pPr>
      <w:r>
        <w:t>Literature search strategy and sources</w:t>
      </w:r>
    </w:p>
    <w:p w14:paraId="7818BADD" w14:textId="77777777" w:rsidR="00511657" w:rsidRPr="003E1F6C" w:rsidRDefault="00511657" w:rsidP="00511657">
      <w:pPr>
        <w:pStyle w:val="Heading4"/>
      </w:pPr>
      <w:r>
        <w:t xml:space="preserve">AD diagnosis using FDG-PET </w:t>
      </w:r>
    </w:p>
    <w:p w14:paraId="67C5985C" w14:textId="77777777" w:rsidR="00511657" w:rsidRDefault="00511657" w:rsidP="00511657">
      <w:pPr>
        <w:rPr>
          <w:highlight w:val="yellow"/>
        </w:rPr>
      </w:pPr>
      <w:r>
        <w:t>A systematic literature search was conducted to identify studies that report diagnostic accuracy, safety, and change in patient management as a result of imaging using FDG-PET compared with SPECT in the target population.</w:t>
      </w:r>
    </w:p>
    <w:p w14:paraId="2272E6CD" w14:textId="4FCAD585" w:rsidR="00511657" w:rsidRDefault="00511657" w:rsidP="00511657">
      <w:r>
        <w:t>Electronic searches of EMBASE.com and the Cochrane Library were conducted using the search terms outlined in</w:t>
      </w:r>
      <w:r w:rsidR="00A71AB3">
        <w:t xml:space="preserve"> </w:t>
      </w:r>
      <w:r w:rsidR="00A71AB3">
        <w:fldChar w:fldCharType="begin"/>
      </w:r>
      <w:r w:rsidR="00A71AB3">
        <w:instrText xml:space="preserve"> REF _Ref404854563 \w \h </w:instrText>
      </w:r>
      <w:r w:rsidR="00A71AB3">
        <w:fldChar w:fldCharType="separate"/>
      </w:r>
      <w:r w:rsidR="00C67698">
        <w:t>Appendix 2</w:t>
      </w:r>
      <w:r w:rsidR="00A71AB3">
        <w:fldChar w:fldCharType="end"/>
      </w:r>
      <w:r>
        <w:t xml:space="preserve">. The search terms were broad enough to ensure that economic studies relating to FDG-PET and AD would also be captured. The search </w:t>
      </w:r>
      <w:r>
        <w:lastRenderedPageBreak/>
        <w:t>of EMBASE.com (which concurrently searches Medline and EMBASE) was conducted on 3 November, 2014 and the Cochrane Library (</w:t>
      </w:r>
      <w:r w:rsidRPr="00520530">
        <w:t>Cochrane Database of Systematic Reviews, Database of Abstracts of Reviews of Effect, Cochrane Central Register of Controlled Trials, Health Technology Assessment Database, Economic Evaluation Database</w:t>
      </w:r>
      <w:r>
        <w:t>) was searched on 22 November, 2014.</w:t>
      </w:r>
    </w:p>
    <w:p w14:paraId="2D0D1719" w14:textId="77777777" w:rsidR="00511657" w:rsidRDefault="00511657" w:rsidP="00511657">
      <w:r>
        <w:t xml:space="preserve">In addition, reference lists of relevant reviews and primary studies were hand-searched to identify additional studies. Databases maintained by health technology assessment (HTA) agencies were also reviewed for relevant reports. </w:t>
      </w:r>
    </w:p>
    <w:p w14:paraId="6A3BDEA4" w14:textId="77777777" w:rsidR="00511657" w:rsidRDefault="00511657" w:rsidP="00511657">
      <w:pPr>
        <w:pStyle w:val="Heading4"/>
      </w:pPr>
      <w:r>
        <w:t>Treatment for AD</w:t>
      </w:r>
    </w:p>
    <w:p w14:paraId="15D91B23" w14:textId="4CD9C6D6" w:rsidR="00511657" w:rsidRDefault="00511657" w:rsidP="00511657">
      <w:pPr>
        <w:spacing w:after="120"/>
      </w:pPr>
      <w:r>
        <w:t>A separate literature search was conducted of PubMed, the Cochrane Library (Cochrane Reviews, Other Reviews) and the websites of HTA agencies to identify recent systematic reviews and meta-analyses relating to the efficacy and safety of pharmacotherapies for AD. In order to capture the most recent evidence, the search was limited to systematic reviews published from 2010 onwards. The search terms are outlined in</w:t>
      </w:r>
      <w:r w:rsidR="00A71AB3">
        <w:t xml:space="preserve"> </w:t>
      </w:r>
      <w:r w:rsidR="00A71AB3">
        <w:fldChar w:fldCharType="begin"/>
      </w:r>
      <w:r w:rsidR="00A71AB3">
        <w:instrText xml:space="preserve"> REF _Ref404854563 \w \h </w:instrText>
      </w:r>
      <w:r w:rsidR="00A71AB3">
        <w:fldChar w:fldCharType="separate"/>
      </w:r>
      <w:r w:rsidR="00C67698">
        <w:t>Appendix 2</w:t>
      </w:r>
      <w:r w:rsidR="00A71AB3">
        <w:fldChar w:fldCharType="end"/>
      </w:r>
      <w:r>
        <w:t>.</w:t>
      </w:r>
    </w:p>
    <w:p w14:paraId="44F2D439" w14:textId="77777777" w:rsidR="00511657" w:rsidRDefault="00511657" w:rsidP="00511657">
      <w:pPr>
        <w:pStyle w:val="Heading3"/>
      </w:pPr>
      <w:bookmarkStart w:id="67" w:name="_Ref404866623"/>
      <w:r w:rsidRPr="00CD1742">
        <w:t>Selection</w:t>
      </w:r>
      <w:r>
        <w:t xml:space="preserve"> </w:t>
      </w:r>
      <w:r w:rsidRPr="00F710E2">
        <w:t>criteria</w:t>
      </w:r>
      <w:bookmarkEnd w:id="67"/>
    </w:p>
    <w:p w14:paraId="32C465A0" w14:textId="77777777" w:rsidR="00511657" w:rsidRPr="003E1F6C" w:rsidRDefault="00511657" w:rsidP="00511657">
      <w:pPr>
        <w:pStyle w:val="Heading4"/>
      </w:pPr>
      <w:r>
        <w:t xml:space="preserve">AD diagnosis using FDG-PET </w:t>
      </w:r>
    </w:p>
    <w:p w14:paraId="337B7993" w14:textId="77777777" w:rsidR="00511657" w:rsidRDefault="00511657" w:rsidP="00511657">
      <w:pPr>
        <w:spacing w:after="120"/>
      </w:pPr>
      <w:r>
        <w:t xml:space="preserve">The eligibility criteria for inclusion in this Assessment Report were underpinned by the main components of the research question (prior test, population, intervention, </w:t>
      </w:r>
      <w:r w:rsidRPr="00666D6F">
        <w:t xml:space="preserve">comparator and outcomes), as </w:t>
      </w:r>
      <w:r>
        <w:t xml:space="preserve">outlined in </w:t>
      </w:r>
      <w:r>
        <w:fldChar w:fldCharType="begin"/>
      </w:r>
      <w:r>
        <w:instrText xml:space="preserve"> REF _Ref403053405 \h </w:instrText>
      </w:r>
      <w:r>
        <w:fldChar w:fldCharType="separate"/>
      </w:r>
      <w:r w:rsidR="00C67698">
        <w:t xml:space="preserve">Table </w:t>
      </w:r>
      <w:r w:rsidR="00C67698">
        <w:rPr>
          <w:noProof/>
        </w:rPr>
        <w:t>A.8</w:t>
      </w:r>
      <w:r w:rsidR="00C67698">
        <w:noBreakHyphen/>
      </w:r>
      <w:r w:rsidR="00C67698">
        <w:rPr>
          <w:noProof/>
        </w:rPr>
        <w:t>1</w:t>
      </w:r>
      <w:r>
        <w:fldChar w:fldCharType="end"/>
      </w:r>
      <w:r w:rsidRPr="00666D6F">
        <w:t xml:space="preserve">. </w:t>
      </w:r>
      <w:r>
        <w:t>Specifically, studies were excluded for the following reasons:</w:t>
      </w:r>
    </w:p>
    <w:p w14:paraId="22F3DD10" w14:textId="77777777" w:rsidR="00511657" w:rsidRDefault="00511657" w:rsidP="003140D6">
      <w:pPr>
        <w:numPr>
          <w:ilvl w:val="0"/>
          <w:numId w:val="20"/>
        </w:numPr>
        <w:contextualSpacing/>
      </w:pPr>
      <w:r w:rsidRPr="006B446D">
        <w:t>Wrong publication</w:t>
      </w:r>
      <w:r>
        <w:t>/study</w:t>
      </w:r>
      <w:r w:rsidRPr="006B446D">
        <w:t xml:space="preserve"> type – literature reviews, </w:t>
      </w:r>
      <w:r>
        <w:t xml:space="preserve">case reports, </w:t>
      </w:r>
      <w:r w:rsidRPr="006B446D">
        <w:t>studies not fully published or peer-reviewed (editorials, letters, conference proceedings, abstracts)</w:t>
      </w:r>
      <w:r>
        <w:t>, non-human and in vitro studies</w:t>
      </w:r>
      <w:r w:rsidRPr="006B446D">
        <w:t>.</w:t>
      </w:r>
    </w:p>
    <w:p w14:paraId="00746E6E" w14:textId="77777777" w:rsidR="00511657" w:rsidRPr="006B446D" w:rsidRDefault="00511657" w:rsidP="003140D6">
      <w:pPr>
        <w:numPr>
          <w:ilvl w:val="0"/>
          <w:numId w:val="20"/>
        </w:numPr>
        <w:contextualSpacing/>
      </w:pPr>
      <w:r>
        <w:t>Wrong intervention</w:t>
      </w:r>
      <w:r w:rsidRPr="006B446D">
        <w:t xml:space="preserve"> – not </w:t>
      </w:r>
      <w:r>
        <w:t>FDG-PET</w:t>
      </w:r>
      <w:r w:rsidRPr="006B446D">
        <w:t>.</w:t>
      </w:r>
    </w:p>
    <w:p w14:paraId="0DBD2D9B" w14:textId="3C23EADC" w:rsidR="00511657" w:rsidRPr="006B446D" w:rsidRDefault="00511657" w:rsidP="003140D6">
      <w:pPr>
        <w:numPr>
          <w:ilvl w:val="0"/>
          <w:numId w:val="20"/>
        </w:numPr>
        <w:contextualSpacing/>
      </w:pPr>
      <w:r w:rsidRPr="006B446D">
        <w:t xml:space="preserve">Wrong </w:t>
      </w:r>
      <w:r>
        <w:t xml:space="preserve">population – not AD, suspected AD, </w:t>
      </w:r>
      <w:r w:rsidR="009F1282">
        <w:t>mild cognitive impairment (</w:t>
      </w:r>
      <w:r>
        <w:t>MCI</w:t>
      </w:r>
      <w:r w:rsidR="009F1282">
        <w:t>)</w:t>
      </w:r>
      <w:r>
        <w:t xml:space="preserve"> or other unspecified dementia.</w:t>
      </w:r>
    </w:p>
    <w:p w14:paraId="2D8B5D44" w14:textId="77777777" w:rsidR="00511657" w:rsidRPr="006B446D" w:rsidRDefault="00511657" w:rsidP="003140D6">
      <w:pPr>
        <w:numPr>
          <w:ilvl w:val="0"/>
          <w:numId w:val="20"/>
        </w:numPr>
        <w:contextualSpacing/>
      </w:pPr>
      <w:r>
        <w:t xml:space="preserve">Wrong </w:t>
      </w:r>
      <w:r w:rsidRPr="00666D6F">
        <w:t>outcomes – no diagnostic accuracy, change in management, safety or patient outcomes reported.</w:t>
      </w:r>
    </w:p>
    <w:p w14:paraId="5685C365" w14:textId="77777777" w:rsidR="00511657" w:rsidRDefault="00511657" w:rsidP="003140D6">
      <w:pPr>
        <w:numPr>
          <w:ilvl w:val="0"/>
          <w:numId w:val="20"/>
        </w:numPr>
        <w:contextualSpacing/>
      </w:pPr>
      <w:r>
        <w:t>Wrong comparator – not SPECT</w:t>
      </w:r>
      <w:r w:rsidRPr="006B446D">
        <w:t>.</w:t>
      </w:r>
    </w:p>
    <w:p w14:paraId="0B8C249C" w14:textId="77777777" w:rsidR="002365F4" w:rsidRDefault="002365F4" w:rsidP="002365F4">
      <w:pPr>
        <w:contextualSpacing/>
      </w:pPr>
    </w:p>
    <w:p w14:paraId="1EEE891C" w14:textId="50125E04" w:rsidR="002365F4" w:rsidRDefault="002365F4" w:rsidP="002365F4">
      <w:pPr>
        <w:contextualSpacing/>
      </w:pPr>
      <w:r w:rsidRPr="002365F4">
        <w:t xml:space="preserve">Although HMPAO is the most commonly used tracer to examine CBF using SPECT, studies that reported the diagnostic accuracy of SPECT using other tracers (e.g. </w:t>
      </w:r>
      <w:r w:rsidR="004537DF" w:rsidRPr="004537DF">
        <w:t xml:space="preserve">ethyl cysteinate dimer </w:t>
      </w:r>
      <w:r w:rsidR="004537DF">
        <w:t>(</w:t>
      </w:r>
      <w:r w:rsidRPr="002365F4">
        <w:t>ECD</w:t>
      </w:r>
      <w:r w:rsidR="004537DF">
        <w:t>)</w:t>
      </w:r>
      <w:r w:rsidRPr="002365F4">
        <w:t xml:space="preserve">, </w:t>
      </w:r>
      <w:r w:rsidR="004537DF" w:rsidRPr="004537DF">
        <w:t xml:space="preserve">iodoamphetamine </w:t>
      </w:r>
      <w:r w:rsidR="004537DF">
        <w:t>(</w:t>
      </w:r>
      <w:r w:rsidRPr="002365F4">
        <w:t>IMP</w:t>
      </w:r>
      <w:r w:rsidR="004537DF">
        <w:t>)</w:t>
      </w:r>
      <w:r w:rsidRPr="002365F4">
        <w:t>) were also included in the Assessment Report.</w:t>
      </w:r>
    </w:p>
    <w:p w14:paraId="64A5D909" w14:textId="77777777" w:rsidR="00511657" w:rsidRDefault="00511657" w:rsidP="00511657">
      <w:pPr>
        <w:pStyle w:val="Heading4"/>
      </w:pPr>
      <w:r>
        <w:t>Treatment for AD</w:t>
      </w:r>
    </w:p>
    <w:p w14:paraId="4984209C" w14:textId="77777777" w:rsidR="00511657" w:rsidRDefault="00511657" w:rsidP="00511657">
      <w:pPr>
        <w:spacing w:after="120"/>
      </w:pPr>
      <w:r>
        <w:t>The interventions considered relevant to the treatment of AD were those medicines currently listed on the PBS:</w:t>
      </w:r>
    </w:p>
    <w:p w14:paraId="6CE3E18D" w14:textId="77777777" w:rsidR="00511657" w:rsidRDefault="00511657" w:rsidP="003140D6">
      <w:pPr>
        <w:pStyle w:val="ListParagraph"/>
        <w:numPr>
          <w:ilvl w:val="0"/>
          <w:numId w:val="15"/>
        </w:numPr>
      </w:pPr>
      <w:r>
        <w:t>AChEIs (donepezil, galantamine, rivastigmine); and</w:t>
      </w:r>
    </w:p>
    <w:p w14:paraId="330C5C55" w14:textId="234B48B3" w:rsidR="00C771F6" w:rsidRDefault="00511657" w:rsidP="00D843F0">
      <w:pPr>
        <w:pStyle w:val="ListParagraph"/>
        <w:numPr>
          <w:ilvl w:val="0"/>
          <w:numId w:val="15"/>
        </w:numPr>
      </w:pPr>
      <w:r>
        <w:t>N-methyl-d-aspartate antagonists (memantine).</w:t>
      </w:r>
      <w:r w:rsidR="00D843F0">
        <w:t xml:space="preserve"> </w:t>
      </w:r>
      <w:r w:rsidR="00C771F6">
        <w:br w:type="page"/>
      </w:r>
    </w:p>
    <w:p w14:paraId="21A5B674" w14:textId="67A4A9A0" w:rsidR="00511657" w:rsidRDefault="00511657" w:rsidP="00511657">
      <w:pPr>
        <w:spacing w:after="120"/>
      </w:pPr>
      <w:r>
        <w:lastRenderedPageBreak/>
        <w:t xml:space="preserve">Only recent </w:t>
      </w:r>
      <w:r w:rsidR="00BF2BB6">
        <w:t xml:space="preserve">(2010 onwards) </w:t>
      </w:r>
      <w:r>
        <w:t>high-level evidence was considered. Studies were excluded for the following reasons:</w:t>
      </w:r>
    </w:p>
    <w:p w14:paraId="6D554B4B" w14:textId="77777777" w:rsidR="00511657" w:rsidRDefault="00511657" w:rsidP="003140D6">
      <w:pPr>
        <w:numPr>
          <w:ilvl w:val="0"/>
          <w:numId w:val="20"/>
        </w:numPr>
        <w:contextualSpacing/>
      </w:pPr>
      <w:r w:rsidRPr="006B446D">
        <w:t>Wrong publication</w:t>
      </w:r>
      <w:r>
        <w:t>/study</w:t>
      </w:r>
      <w:r w:rsidRPr="006B446D">
        <w:t xml:space="preserve"> type – </w:t>
      </w:r>
      <w:r>
        <w:t xml:space="preserve">non-systematic </w:t>
      </w:r>
      <w:r w:rsidRPr="006B446D">
        <w:t xml:space="preserve">literature reviews, </w:t>
      </w:r>
      <w:r>
        <w:t xml:space="preserve">primary studies, case reports, </w:t>
      </w:r>
      <w:r w:rsidRPr="006B446D">
        <w:t>studies not fully published or peer-reviewed (editorials, letters, conference proceedings, abstracts)</w:t>
      </w:r>
      <w:r>
        <w:t>, non-human and in vitro studies</w:t>
      </w:r>
      <w:r w:rsidRPr="006B446D">
        <w:t>.</w:t>
      </w:r>
    </w:p>
    <w:p w14:paraId="7C365D33" w14:textId="77777777" w:rsidR="00511657" w:rsidRPr="006B446D" w:rsidRDefault="00511657" w:rsidP="003140D6">
      <w:pPr>
        <w:numPr>
          <w:ilvl w:val="0"/>
          <w:numId w:val="20"/>
        </w:numPr>
        <w:contextualSpacing/>
      </w:pPr>
      <w:r>
        <w:t>Wrong intervention</w:t>
      </w:r>
      <w:r w:rsidRPr="006B446D">
        <w:t xml:space="preserve"> – not </w:t>
      </w:r>
      <w:r>
        <w:t>donepezil, galantamine, rivastigmine or memantine</w:t>
      </w:r>
      <w:r w:rsidRPr="006B446D">
        <w:t>.</w:t>
      </w:r>
    </w:p>
    <w:p w14:paraId="4CA26F87" w14:textId="77777777" w:rsidR="00511657" w:rsidRPr="006B446D" w:rsidRDefault="00511657" w:rsidP="003140D6">
      <w:pPr>
        <w:numPr>
          <w:ilvl w:val="0"/>
          <w:numId w:val="20"/>
        </w:numPr>
        <w:contextualSpacing/>
      </w:pPr>
      <w:r w:rsidRPr="006B446D">
        <w:t xml:space="preserve">Wrong </w:t>
      </w:r>
      <w:r>
        <w:t>population – not AD.</w:t>
      </w:r>
    </w:p>
    <w:p w14:paraId="0E9D6D94" w14:textId="7F290F85" w:rsidR="00511657" w:rsidRPr="006B446D" w:rsidRDefault="00511657" w:rsidP="003140D6">
      <w:pPr>
        <w:numPr>
          <w:ilvl w:val="0"/>
          <w:numId w:val="20"/>
        </w:numPr>
        <w:contextualSpacing/>
      </w:pPr>
      <w:r>
        <w:t xml:space="preserve">Wrong </w:t>
      </w:r>
      <w:r w:rsidRPr="00666D6F">
        <w:t>outcomes – no patient outcomes reported</w:t>
      </w:r>
      <w:r>
        <w:t xml:space="preserve"> </w:t>
      </w:r>
      <w:r w:rsidR="00BF2BB6">
        <w:t>or outcomes not relevant to the economic model</w:t>
      </w:r>
      <w:r w:rsidRPr="00666D6F">
        <w:t>.</w:t>
      </w:r>
    </w:p>
    <w:p w14:paraId="488190F2" w14:textId="77777777" w:rsidR="00511657" w:rsidRDefault="00511657" w:rsidP="003140D6">
      <w:pPr>
        <w:numPr>
          <w:ilvl w:val="0"/>
          <w:numId w:val="20"/>
        </w:numPr>
        <w:contextualSpacing/>
      </w:pPr>
      <w:r>
        <w:t>Wrong comparator – not placebo or no treatment</w:t>
      </w:r>
      <w:r w:rsidRPr="006B446D">
        <w:t>.</w:t>
      </w:r>
    </w:p>
    <w:p w14:paraId="4A56A26D" w14:textId="77777777" w:rsidR="00511657" w:rsidRDefault="00511657" w:rsidP="00511657">
      <w:pPr>
        <w:pStyle w:val="Heading3"/>
      </w:pPr>
      <w:r w:rsidRPr="00CD1742">
        <w:t>Search</w:t>
      </w:r>
      <w:r>
        <w:t xml:space="preserve"> results</w:t>
      </w:r>
    </w:p>
    <w:p w14:paraId="78A1FC3F" w14:textId="77777777" w:rsidR="00511657" w:rsidRPr="003E1F6C" w:rsidRDefault="00511657" w:rsidP="00511657">
      <w:pPr>
        <w:pStyle w:val="Heading4"/>
      </w:pPr>
      <w:r>
        <w:t xml:space="preserve">AD diagnosis using FDG-PET </w:t>
      </w:r>
    </w:p>
    <w:p w14:paraId="7956F61E" w14:textId="77777777" w:rsidR="00511657" w:rsidRDefault="00511657" w:rsidP="00511657">
      <w:r>
        <w:t xml:space="preserve">The search of EMBASE.com yielded 2,205 potentially relevant publications. The titles and abstracts were screened using the selection criteria outlined in Section </w:t>
      </w:r>
      <w:r>
        <w:fldChar w:fldCharType="begin"/>
      </w:r>
      <w:r>
        <w:instrText xml:space="preserve"> REF _Ref404866623 \w \h </w:instrText>
      </w:r>
      <w:r>
        <w:fldChar w:fldCharType="separate"/>
      </w:r>
      <w:r w:rsidR="00C67698">
        <w:t>B.1.2</w:t>
      </w:r>
      <w:r>
        <w:fldChar w:fldCharType="end"/>
      </w:r>
      <w:r>
        <w:t>.</w:t>
      </w:r>
    </w:p>
    <w:p w14:paraId="182CD935" w14:textId="2F9570D2" w:rsidR="00511657" w:rsidRDefault="00511657" w:rsidP="00511657">
      <w:r>
        <w:t>A total of 2,187 studies were excluded (including 13 duplicates), leaving 18 publications for which the full texts were retrieved. The full papers were assessed for inclusion/</w:t>
      </w:r>
      <w:r w:rsidRPr="00326EB4">
        <w:t xml:space="preserve">exclusion. </w:t>
      </w:r>
      <w:r>
        <w:t xml:space="preserve">Six </w:t>
      </w:r>
      <w:r w:rsidRPr="00326EB4">
        <w:t>studies</w:t>
      </w:r>
      <w:r>
        <w:t xml:space="preserve"> were subsequently excluded, </w:t>
      </w:r>
      <w:r w:rsidRPr="001930AF">
        <w:t xml:space="preserve">leaving </w:t>
      </w:r>
      <w:r>
        <w:t>12</w:t>
      </w:r>
      <w:r w:rsidRPr="001930AF">
        <w:t xml:space="preserve"> included</w:t>
      </w:r>
      <w:r>
        <w:t xml:space="preserve"> publications. </w:t>
      </w:r>
      <w:r w:rsidR="002D5BC1">
        <w:t>Two</w:t>
      </w:r>
      <w:r>
        <w:t xml:space="preserve"> of the </w:t>
      </w:r>
      <w:r w:rsidR="002D5BC1">
        <w:t>284</w:t>
      </w:r>
      <w:r>
        <w:t xml:space="preserve"> potentially relevant citations identified through the Cochrane Library included information on the diagnostic accuracy of FDG-PET versus SPECT.</w:t>
      </w:r>
      <w:r w:rsidR="002D5BC1">
        <w:t xml:space="preserve"> Both of these publications were already captured in the search of EMBASE.com.</w:t>
      </w:r>
    </w:p>
    <w:p w14:paraId="0B9586EC" w14:textId="77777777" w:rsidR="00511657" w:rsidRDefault="00511657" w:rsidP="00511657">
      <w:r>
        <w:t xml:space="preserve">A summary of the literature review process is presented in </w:t>
      </w:r>
      <w:r>
        <w:fldChar w:fldCharType="begin"/>
      </w:r>
      <w:r>
        <w:instrText xml:space="preserve"> REF _Ref404899761 \h </w:instrText>
      </w:r>
      <w:r>
        <w:fldChar w:fldCharType="separate"/>
      </w:r>
      <w:r w:rsidR="00C67698">
        <w:t xml:space="preserve">Table </w:t>
      </w:r>
      <w:r w:rsidR="00C67698">
        <w:rPr>
          <w:noProof/>
        </w:rPr>
        <w:t>B.1</w:t>
      </w:r>
      <w:r w:rsidR="00C67698">
        <w:noBreakHyphen/>
      </w:r>
      <w:r w:rsidR="00C67698">
        <w:rPr>
          <w:noProof/>
        </w:rPr>
        <w:t>1</w:t>
      </w:r>
      <w:r>
        <w:fldChar w:fldCharType="end"/>
      </w:r>
      <w:r>
        <w:t xml:space="preserve">. </w:t>
      </w:r>
    </w:p>
    <w:p w14:paraId="0265B5D9" w14:textId="3C797A84" w:rsidR="00511657" w:rsidRDefault="00511657" w:rsidP="00511657">
      <w:pPr>
        <w:pStyle w:val="Caption"/>
      </w:pPr>
      <w:bookmarkStart w:id="68" w:name="_Ref404899761"/>
      <w:bookmarkStart w:id="69" w:name="_Toc406231696"/>
      <w:bookmarkStart w:id="70" w:name="_Toc408845203"/>
      <w:r>
        <w:t xml:space="preserve">Table </w:t>
      </w:r>
      <w:fldSimple w:instr=" STYLEREF 2 \s ">
        <w:r w:rsidR="00C67698">
          <w:rPr>
            <w:noProof/>
          </w:rPr>
          <w:t>B.1</w:t>
        </w:r>
      </w:fldSimple>
      <w:r w:rsidR="00524916">
        <w:noBreakHyphen/>
      </w:r>
      <w:fldSimple w:instr=" SEQ Table \* ARABIC \s 2 ">
        <w:r w:rsidR="00C67698">
          <w:rPr>
            <w:noProof/>
          </w:rPr>
          <w:t>1</w:t>
        </w:r>
      </w:fldSimple>
      <w:bookmarkEnd w:id="68"/>
      <w:r>
        <w:tab/>
        <w:t>Summary of the process used to identify relevant studies</w:t>
      </w:r>
      <w:bookmarkEnd w:id="69"/>
      <w:r w:rsidR="00BF2BB6">
        <w:t xml:space="preserve"> of diagnostic effectiveness</w:t>
      </w:r>
      <w:bookmarkEnd w:id="70"/>
    </w:p>
    <w:tbl>
      <w:tblPr>
        <w:tblStyle w:val="TableGrid2"/>
        <w:tblW w:w="0" w:type="auto"/>
        <w:tblInd w:w="720" w:type="dxa"/>
        <w:tblLook w:val="04A0" w:firstRow="1" w:lastRow="0" w:firstColumn="1" w:lastColumn="0" w:noHBand="0" w:noVBand="1"/>
        <w:tblCaption w:val="The literature review process used to identify relevant studies of diagnostic effectiveness"/>
        <w:tblDescription w:val="The reasons for exclusion and the number of studies removed at each stage of the eligibility screening"/>
      </w:tblPr>
      <w:tblGrid>
        <w:gridCol w:w="5087"/>
        <w:gridCol w:w="1559"/>
        <w:gridCol w:w="1650"/>
      </w:tblGrid>
      <w:tr w:rsidR="00511657" w:rsidRPr="00672F3A" w14:paraId="5DFD72F4" w14:textId="77777777" w:rsidTr="00511657">
        <w:trPr>
          <w:tblHeader/>
        </w:trPr>
        <w:tc>
          <w:tcPr>
            <w:tcW w:w="5087" w:type="dxa"/>
          </w:tcPr>
          <w:p w14:paraId="12FDFC75" w14:textId="77777777" w:rsidR="00511657" w:rsidRPr="00672F3A" w:rsidRDefault="00511657" w:rsidP="00511657">
            <w:pPr>
              <w:keepNext/>
              <w:spacing w:after="0"/>
              <w:ind w:left="0"/>
              <w:rPr>
                <w:rFonts w:ascii="Arial Narrow" w:eastAsia="Times New Roman" w:hAnsi="Arial Narrow" w:cs="Arial"/>
                <w:b/>
                <w:sz w:val="20"/>
                <w:szCs w:val="20"/>
              </w:rPr>
            </w:pPr>
          </w:p>
        </w:tc>
        <w:tc>
          <w:tcPr>
            <w:tcW w:w="1559" w:type="dxa"/>
          </w:tcPr>
          <w:p w14:paraId="34CAD7F1" w14:textId="77777777" w:rsidR="00511657" w:rsidRPr="00672F3A" w:rsidRDefault="00511657" w:rsidP="00511657">
            <w:pPr>
              <w:keepNext/>
              <w:spacing w:after="0"/>
              <w:ind w:left="0"/>
              <w:jc w:val="center"/>
              <w:rPr>
                <w:rFonts w:ascii="Arial Narrow" w:eastAsia="Times New Roman" w:hAnsi="Arial Narrow" w:cs="Arial"/>
                <w:b/>
                <w:sz w:val="20"/>
                <w:szCs w:val="20"/>
              </w:rPr>
            </w:pPr>
            <w:r>
              <w:rPr>
                <w:rFonts w:ascii="Arial Narrow" w:eastAsia="Times New Roman" w:hAnsi="Arial Narrow" w:cs="Arial"/>
                <w:b/>
                <w:sz w:val="20"/>
                <w:szCs w:val="20"/>
              </w:rPr>
              <w:t>EMBASE</w:t>
            </w:r>
            <w:r w:rsidRPr="00672F3A">
              <w:rPr>
                <w:rFonts w:ascii="Arial Narrow" w:eastAsia="Times New Roman" w:hAnsi="Arial Narrow" w:cs="Arial"/>
                <w:b/>
                <w:sz w:val="20"/>
                <w:szCs w:val="20"/>
              </w:rPr>
              <w:t>.com</w:t>
            </w:r>
          </w:p>
        </w:tc>
        <w:tc>
          <w:tcPr>
            <w:tcW w:w="1650" w:type="dxa"/>
          </w:tcPr>
          <w:p w14:paraId="64CB154F" w14:textId="77777777" w:rsidR="00511657" w:rsidRPr="00672F3A" w:rsidRDefault="00511657" w:rsidP="00511657">
            <w:pPr>
              <w:keepNext/>
              <w:spacing w:after="0"/>
              <w:ind w:left="0"/>
              <w:jc w:val="center"/>
              <w:rPr>
                <w:rFonts w:ascii="Arial Narrow" w:eastAsia="Times New Roman" w:hAnsi="Arial Narrow" w:cs="Arial"/>
                <w:b/>
                <w:sz w:val="20"/>
                <w:szCs w:val="20"/>
              </w:rPr>
            </w:pPr>
            <w:r w:rsidRPr="00672F3A">
              <w:rPr>
                <w:rFonts w:ascii="Arial Narrow" w:eastAsia="Times New Roman" w:hAnsi="Arial Narrow" w:cs="Arial"/>
                <w:b/>
                <w:sz w:val="20"/>
                <w:szCs w:val="20"/>
              </w:rPr>
              <w:t xml:space="preserve">Cochrane </w:t>
            </w:r>
            <w:r>
              <w:rPr>
                <w:rFonts w:ascii="Arial Narrow" w:eastAsia="Times New Roman" w:hAnsi="Arial Narrow" w:cs="Arial"/>
                <w:b/>
                <w:sz w:val="20"/>
                <w:szCs w:val="20"/>
              </w:rPr>
              <w:t>L</w:t>
            </w:r>
            <w:r w:rsidRPr="00672F3A">
              <w:rPr>
                <w:rFonts w:ascii="Arial Narrow" w:eastAsia="Times New Roman" w:hAnsi="Arial Narrow" w:cs="Arial"/>
                <w:b/>
                <w:sz w:val="20"/>
                <w:szCs w:val="20"/>
              </w:rPr>
              <w:t>ibrary</w:t>
            </w:r>
          </w:p>
        </w:tc>
      </w:tr>
      <w:tr w:rsidR="00511657" w:rsidRPr="00672F3A" w14:paraId="3A699CEF" w14:textId="77777777" w:rsidTr="00511657">
        <w:tc>
          <w:tcPr>
            <w:tcW w:w="5087" w:type="dxa"/>
          </w:tcPr>
          <w:p w14:paraId="5F2FF320" w14:textId="77777777" w:rsidR="00511657" w:rsidRPr="00672F3A" w:rsidRDefault="00511657" w:rsidP="00511657">
            <w:pPr>
              <w:keepNext/>
              <w:spacing w:after="0"/>
              <w:ind w:left="0"/>
              <w:rPr>
                <w:rFonts w:ascii="Arial Narrow" w:eastAsia="Times New Roman" w:hAnsi="Arial Narrow" w:cs="Times New Roman"/>
                <w:sz w:val="20"/>
                <w:szCs w:val="24"/>
              </w:rPr>
            </w:pPr>
            <w:r w:rsidRPr="00672F3A">
              <w:rPr>
                <w:rFonts w:ascii="Arial Narrow" w:eastAsia="Times New Roman" w:hAnsi="Arial Narrow" w:cs="Times New Roman"/>
                <w:sz w:val="20"/>
                <w:szCs w:val="24"/>
              </w:rPr>
              <w:t>Number of citations retrieved by search</w:t>
            </w:r>
          </w:p>
        </w:tc>
        <w:tc>
          <w:tcPr>
            <w:tcW w:w="1559" w:type="dxa"/>
          </w:tcPr>
          <w:p w14:paraId="4D8EEF76"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2,205</w:t>
            </w:r>
          </w:p>
        </w:tc>
        <w:tc>
          <w:tcPr>
            <w:tcW w:w="1650" w:type="dxa"/>
          </w:tcPr>
          <w:p w14:paraId="7F855DBA" w14:textId="68B0387C" w:rsidR="00511657" w:rsidRPr="00672F3A" w:rsidRDefault="00BC4E7E"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284</w:t>
            </w:r>
          </w:p>
        </w:tc>
      </w:tr>
      <w:tr w:rsidR="00511657" w:rsidRPr="00672F3A" w14:paraId="4B4631DC" w14:textId="77777777" w:rsidTr="00511657">
        <w:tc>
          <w:tcPr>
            <w:tcW w:w="5087" w:type="dxa"/>
          </w:tcPr>
          <w:p w14:paraId="00B65A1D" w14:textId="77777777" w:rsidR="00511657" w:rsidRPr="00672F3A" w:rsidRDefault="00511657" w:rsidP="00511657">
            <w:pPr>
              <w:keepNext/>
              <w:spacing w:after="0"/>
              <w:ind w:left="0"/>
              <w:rPr>
                <w:rFonts w:ascii="Arial Narrow" w:eastAsia="Times New Roman" w:hAnsi="Arial Narrow" w:cs="Times New Roman"/>
                <w:sz w:val="20"/>
                <w:szCs w:val="24"/>
              </w:rPr>
            </w:pPr>
            <w:r w:rsidRPr="00672F3A">
              <w:rPr>
                <w:rFonts w:ascii="Arial Narrow" w:eastAsia="Times New Roman" w:hAnsi="Arial Narrow" w:cs="Times New Roman"/>
                <w:sz w:val="20"/>
                <w:szCs w:val="24"/>
              </w:rPr>
              <w:t>Number of duplicate citations removed</w:t>
            </w:r>
          </w:p>
        </w:tc>
        <w:tc>
          <w:tcPr>
            <w:tcW w:w="1559" w:type="dxa"/>
          </w:tcPr>
          <w:p w14:paraId="6EABC37A"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13</w:t>
            </w:r>
          </w:p>
        </w:tc>
        <w:tc>
          <w:tcPr>
            <w:tcW w:w="1650" w:type="dxa"/>
          </w:tcPr>
          <w:p w14:paraId="4E772152" w14:textId="3D8FE123"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1</w:t>
            </w:r>
          </w:p>
        </w:tc>
      </w:tr>
      <w:tr w:rsidR="00511657" w:rsidRPr="00672F3A" w14:paraId="3CD73802" w14:textId="77777777" w:rsidTr="00511657">
        <w:tc>
          <w:tcPr>
            <w:tcW w:w="5087" w:type="dxa"/>
          </w:tcPr>
          <w:p w14:paraId="5EF3B46A" w14:textId="77777777" w:rsidR="00511657" w:rsidRPr="00672F3A" w:rsidRDefault="00511657" w:rsidP="00511657">
            <w:pPr>
              <w:keepNext/>
              <w:spacing w:after="0"/>
              <w:ind w:left="0"/>
              <w:rPr>
                <w:rFonts w:ascii="Arial Narrow" w:eastAsia="Times New Roman" w:hAnsi="Arial Narrow" w:cs="Times New Roman"/>
                <w:sz w:val="20"/>
                <w:szCs w:val="24"/>
              </w:rPr>
            </w:pPr>
            <w:r w:rsidRPr="00672F3A">
              <w:rPr>
                <w:rFonts w:ascii="Arial Narrow" w:eastAsia="Times New Roman" w:hAnsi="Arial Narrow" w:cs="Times New Roman"/>
                <w:sz w:val="20"/>
                <w:szCs w:val="24"/>
              </w:rPr>
              <w:t>Number of citations screened by title and abstract review</w:t>
            </w:r>
          </w:p>
        </w:tc>
        <w:tc>
          <w:tcPr>
            <w:tcW w:w="1559" w:type="dxa"/>
          </w:tcPr>
          <w:p w14:paraId="465D2B23"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2,192</w:t>
            </w:r>
          </w:p>
        </w:tc>
        <w:tc>
          <w:tcPr>
            <w:tcW w:w="1650" w:type="dxa"/>
          </w:tcPr>
          <w:p w14:paraId="7F4CB561" w14:textId="483483C5"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283</w:t>
            </w:r>
          </w:p>
        </w:tc>
      </w:tr>
      <w:tr w:rsidR="00511657" w:rsidRPr="00672F3A" w14:paraId="2E68E762" w14:textId="77777777" w:rsidTr="00511657">
        <w:tc>
          <w:tcPr>
            <w:tcW w:w="5087" w:type="dxa"/>
          </w:tcPr>
          <w:p w14:paraId="278C829D" w14:textId="77777777" w:rsidR="00511657" w:rsidRPr="00672F3A" w:rsidRDefault="00511657" w:rsidP="00511657">
            <w:pPr>
              <w:keepNext/>
              <w:spacing w:after="0"/>
              <w:ind w:left="0"/>
              <w:rPr>
                <w:rFonts w:ascii="Arial Narrow" w:eastAsia="Times New Roman" w:hAnsi="Arial Narrow" w:cs="Times New Roman"/>
                <w:b/>
                <w:sz w:val="20"/>
                <w:szCs w:val="24"/>
              </w:rPr>
            </w:pPr>
            <w:r w:rsidRPr="00672F3A">
              <w:rPr>
                <w:rFonts w:ascii="Arial Narrow" w:eastAsia="Times New Roman" w:hAnsi="Arial Narrow" w:cs="Times New Roman"/>
                <w:b/>
                <w:sz w:val="20"/>
                <w:szCs w:val="24"/>
              </w:rPr>
              <w:t>Number of citations excluded after title/abstract review:</w:t>
            </w:r>
          </w:p>
        </w:tc>
        <w:tc>
          <w:tcPr>
            <w:tcW w:w="1559" w:type="dxa"/>
          </w:tcPr>
          <w:p w14:paraId="547B8B5D"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650" w:type="dxa"/>
          </w:tcPr>
          <w:p w14:paraId="229E4FD2"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511657" w:rsidRPr="00672F3A" w14:paraId="4A53C826" w14:textId="77777777" w:rsidTr="00511657">
        <w:tc>
          <w:tcPr>
            <w:tcW w:w="5087" w:type="dxa"/>
          </w:tcPr>
          <w:p w14:paraId="09816802" w14:textId="3AC3B593" w:rsidR="00511657" w:rsidRPr="00672F3A" w:rsidRDefault="00511657" w:rsidP="003140D6">
            <w:pPr>
              <w:keepNext/>
              <w:numPr>
                <w:ilvl w:val="0"/>
                <w:numId w:val="22"/>
              </w:numPr>
              <w:spacing w:after="0"/>
              <w:ind w:left="301" w:hanging="283"/>
              <w:rPr>
                <w:rFonts w:ascii="Arial Narrow" w:eastAsia="Times New Roman" w:hAnsi="Arial Narrow" w:cs="Times New Roman"/>
                <w:sz w:val="20"/>
                <w:szCs w:val="24"/>
              </w:rPr>
            </w:pPr>
            <w:r w:rsidRPr="00672F3A">
              <w:rPr>
                <w:rFonts w:ascii="Arial Narrow" w:eastAsia="Times New Roman" w:hAnsi="Arial Narrow" w:cs="Times New Roman"/>
                <w:sz w:val="20"/>
                <w:szCs w:val="24"/>
              </w:rPr>
              <w:t>Wrong publication type</w:t>
            </w:r>
            <w:r w:rsidR="005726A4">
              <w:rPr>
                <w:rFonts w:ascii="Arial Narrow" w:eastAsia="Times New Roman" w:hAnsi="Arial Narrow" w:cs="Times New Roman"/>
                <w:sz w:val="20"/>
                <w:szCs w:val="24"/>
              </w:rPr>
              <w:t xml:space="preserve"> or not in English</w:t>
            </w:r>
          </w:p>
        </w:tc>
        <w:tc>
          <w:tcPr>
            <w:tcW w:w="1559" w:type="dxa"/>
          </w:tcPr>
          <w:p w14:paraId="447FBA31"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518</w:t>
            </w:r>
          </w:p>
        </w:tc>
        <w:tc>
          <w:tcPr>
            <w:tcW w:w="1650" w:type="dxa"/>
          </w:tcPr>
          <w:p w14:paraId="7316BCBE" w14:textId="6DBA7153" w:rsidR="00511657" w:rsidRPr="00672F3A" w:rsidRDefault="005726A4"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39</w:t>
            </w:r>
          </w:p>
        </w:tc>
      </w:tr>
      <w:tr w:rsidR="00511657" w:rsidRPr="00672F3A" w14:paraId="406C18D9" w14:textId="77777777" w:rsidTr="00511657">
        <w:tc>
          <w:tcPr>
            <w:tcW w:w="5087" w:type="dxa"/>
          </w:tcPr>
          <w:p w14:paraId="0B322EDA" w14:textId="77777777" w:rsidR="00511657" w:rsidRPr="00672F3A" w:rsidRDefault="00511657" w:rsidP="003140D6">
            <w:pPr>
              <w:keepNext/>
              <w:numPr>
                <w:ilvl w:val="0"/>
                <w:numId w:val="22"/>
              </w:numPr>
              <w:spacing w:after="0"/>
              <w:ind w:left="301" w:hanging="283"/>
              <w:rPr>
                <w:rFonts w:ascii="Arial Narrow" w:eastAsia="Times New Roman" w:hAnsi="Arial Narrow" w:cs="Times New Roman"/>
                <w:sz w:val="20"/>
                <w:szCs w:val="24"/>
              </w:rPr>
            </w:pPr>
            <w:r w:rsidRPr="00672F3A">
              <w:rPr>
                <w:rFonts w:ascii="Arial Narrow" w:eastAsia="Times New Roman" w:hAnsi="Arial Narrow" w:cs="Times New Roman"/>
                <w:sz w:val="20"/>
                <w:szCs w:val="24"/>
              </w:rPr>
              <w:t xml:space="preserve">Wrong </w:t>
            </w:r>
            <w:r>
              <w:rPr>
                <w:rFonts w:ascii="Arial Narrow" w:eastAsia="Times New Roman" w:hAnsi="Arial Narrow" w:cs="Times New Roman"/>
                <w:sz w:val="20"/>
                <w:szCs w:val="24"/>
              </w:rPr>
              <w:t>intervention</w:t>
            </w:r>
          </w:p>
        </w:tc>
        <w:tc>
          <w:tcPr>
            <w:tcW w:w="1559" w:type="dxa"/>
          </w:tcPr>
          <w:p w14:paraId="1F3C1AE4"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275</w:t>
            </w:r>
          </w:p>
        </w:tc>
        <w:tc>
          <w:tcPr>
            <w:tcW w:w="1650" w:type="dxa"/>
          </w:tcPr>
          <w:p w14:paraId="5FE0716C" w14:textId="71B4CA57" w:rsidR="00511657" w:rsidRPr="00672F3A" w:rsidRDefault="005726A4"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111</w:t>
            </w:r>
          </w:p>
        </w:tc>
      </w:tr>
      <w:tr w:rsidR="00511657" w:rsidRPr="00672F3A" w14:paraId="3E9319F0" w14:textId="77777777" w:rsidTr="00511657">
        <w:tc>
          <w:tcPr>
            <w:tcW w:w="5087" w:type="dxa"/>
          </w:tcPr>
          <w:p w14:paraId="0E0203CB" w14:textId="77777777" w:rsidR="00511657" w:rsidRPr="00672F3A" w:rsidRDefault="00511657" w:rsidP="003140D6">
            <w:pPr>
              <w:keepNext/>
              <w:numPr>
                <w:ilvl w:val="0"/>
                <w:numId w:val="22"/>
              </w:numPr>
              <w:spacing w:after="0"/>
              <w:ind w:left="301" w:hanging="283"/>
              <w:rPr>
                <w:rFonts w:ascii="Arial Narrow" w:eastAsia="Times New Roman" w:hAnsi="Arial Narrow" w:cs="Times New Roman"/>
                <w:sz w:val="20"/>
                <w:szCs w:val="24"/>
              </w:rPr>
            </w:pPr>
            <w:r>
              <w:rPr>
                <w:rFonts w:ascii="Arial Narrow" w:eastAsia="Times New Roman" w:hAnsi="Arial Narrow" w:cs="Times New Roman"/>
                <w:sz w:val="20"/>
                <w:szCs w:val="24"/>
              </w:rPr>
              <w:t>Wrong population</w:t>
            </w:r>
          </w:p>
        </w:tc>
        <w:tc>
          <w:tcPr>
            <w:tcW w:w="1559" w:type="dxa"/>
          </w:tcPr>
          <w:p w14:paraId="7E5836BE"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547</w:t>
            </w:r>
          </w:p>
        </w:tc>
        <w:tc>
          <w:tcPr>
            <w:tcW w:w="1650" w:type="dxa"/>
          </w:tcPr>
          <w:p w14:paraId="1939197A" w14:textId="08DAA6E0" w:rsidR="00511657" w:rsidRPr="00672F3A" w:rsidRDefault="005726A4"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42</w:t>
            </w:r>
          </w:p>
        </w:tc>
      </w:tr>
      <w:tr w:rsidR="00511657" w:rsidRPr="00672F3A" w14:paraId="2A4DBC44" w14:textId="77777777" w:rsidTr="00511657">
        <w:tc>
          <w:tcPr>
            <w:tcW w:w="5087" w:type="dxa"/>
          </w:tcPr>
          <w:p w14:paraId="2C56E401" w14:textId="77777777" w:rsidR="00511657" w:rsidRPr="00672F3A" w:rsidRDefault="00511657" w:rsidP="003140D6">
            <w:pPr>
              <w:keepNext/>
              <w:numPr>
                <w:ilvl w:val="0"/>
                <w:numId w:val="22"/>
              </w:numPr>
              <w:spacing w:after="0"/>
              <w:ind w:left="301" w:hanging="283"/>
              <w:rPr>
                <w:rFonts w:ascii="Arial Narrow" w:eastAsia="Times New Roman" w:hAnsi="Arial Narrow" w:cs="Times New Roman"/>
                <w:sz w:val="20"/>
                <w:szCs w:val="24"/>
              </w:rPr>
            </w:pPr>
            <w:r>
              <w:rPr>
                <w:rFonts w:ascii="Arial Narrow" w:eastAsia="Times New Roman" w:hAnsi="Arial Narrow" w:cs="Times New Roman"/>
                <w:sz w:val="20"/>
                <w:szCs w:val="24"/>
              </w:rPr>
              <w:t>Wrong outcomes</w:t>
            </w:r>
          </w:p>
        </w:tc>
        <w:tc>
          <w:tcPr>
            <w:tcW w:w="1559" w:type="dxa"/>
          </w:tcPr>
          <w:p w14:paraId="1C75CFB6"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605</w:t>
            </w:r>
          </w:p>
        </w:tc>
        <w:tc>
          <w:tcPr>
            <w:tcW w:w="1650" w:type="dxa"/>
          </w:tcPr>
          <w:p w14:paraId="6EAE2852" w14:textId="2FB52E27" w:rsidR="00511657" w:rsidRPr="00672F3A" w:rsidRDefault="005726A4"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16</w:t>
            </w:r>
          </w:p>
        </w:tc>
      </w:tr>
      <w:tr w:rsidR="00511657" w:rsidRPr="00672F3A" w14:paraId="09325F44" w14:textId="77777777" w:rsidTr="00511657">
        <w:tc>
          <w:tcPr>
            <w:tcW w:w="5087" w:type="dxa"/>
          </w:tcPr>
          <w:p w14:paraId="033C3487" w14:textId="77777777" w:rsidR="00511657" w:rsidRPr="00672F3A" w:rsidRDefault="00511657" w:rsidP="003140D6">
            <w:pPr>
              <w:keepNext/>
              <w:numPr>
                <w:ilvl w:val="0"/>
                <w:numId w:val="22"/>
              </w:numPr>
              <w:spacing w:after="0"/>
              <w:ind w:left="301" w:hanging="283"/>
              <w:rPr>
                <w:rFonts w:ascii="Arial Narrow" w:eastAsia="Times New Roman" w:hAnsi="Arial Narrow" w:cs="Times New Roman"/>
                <w:sz w:val="20"/>
                <w:szCs w:val="24"/>
              </w:rPr>
            </w:pPr>
            <w:r>
              <w:rPr>
                <w:rFonts w:ascii="Arial Narrow" w:eastAsia="Times New Roman" w:hAnsi="Arial Narrow" w:cs="Times New Roman"/>
                <w:sz w:val="20"/>
                <w:szCs w:val="24"/>
              </w:rPr>
              <w:t>Wrong comparator</w:t>
            </w:r>
          </w:p>
        </w:tc>
        <w:tc>
          <w:tcPr>
            <w:tcW w:w="1559" w:type="dxa"/>
          </w:tcPr>
          <w:p w14:paraId="37B7DEE2"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229</w:t>
            </w:r>
          </w:p>
        </w:tc>
        <w:tc>
          <w:tcPr>
            <w:tcW w:w="1650" w:type="dxa"/>
          </w:tcPr>
          <w:p w14:paraId="23EE54A7" w14:textId="25E54061" w:rsidR="00511657" w:rsidRPr="00672F3A" w:rsidRDefault="005726A4"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73</w:t>
            </w:r>
          </w:p>
        </w:tc>
      </w:tr>
      <w:tr w:rsidR="00511657" w:rsidRPr="00672F3A" w14:paraId="1A30A6E0" w14:textId="77777777" w:rsidTr="00511657">
        <w:tc>
          <w:tcPr>
            <w:tcW w:w="5087" w:type="dxa"/>
          </w:tcPr>
          <w:p w14:paraId="6C7D69F3" w14:textId="77777777" w:rsidR="00511657" w:rsidRPr="00672F3A" w:rsidRDefault="00511657" w:rsidP="00511657">
            <w:pPr>
              <w:keepNext/>
              <w:spacing w:after="0"/>
              <w:ind w:left="0"/>
              <w:jc w:val="right"/>
              <w:rPr>
                <w:rFonts w:ascii="Arial Narrow" w:eastAsia="Times New Roman" w:hAnsi="Arial Narrow" w:cs="Times New Roman"/>
                <w:sz w:val="20"/>
                <w:szCs w:val="24"/>
              </w:rPr>
            </w:pPr>
            <w:r w:rsidRPr="00672F3A">
              <w:rPr>
                <w:rFonts w:ascii="Arial Narrow" w:eastAsia="Times New Roman" w:hAnsi="Arial Narrow" w:cs="Times New Roman"/>
                <w:b/>
                <w:sz w:val="20"/>
                <w:szCs w:val="24"/>
              </w:rPr>
              <w:t>Total excluded</w:t>
            </w:r>
            <w:r w:rsidRPr="00672F3A">
              <w:rPr>
                <w:rFonts w:ascii="Arial Narrow" w:eastAsia="Times New Roman" w:hAnsi="Arial Narrow" w:cs="Times New Roman"/>
                <w:sz w:val="20"/>
                <w:szCs w:val="24"/>
              </w:rPr>
              <w:t xml:space="preserve"> </w:t>
            </w:r>
          </w:p>
        </w:tc>
        <w:tc>
          <w:tcPr>
            <w:tcW w:w="1559" w:type="dxa"/>
          </w:tcPr>
          <w:p w14:paraId="22567C9A"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2,174</w:t>
            </w:r>
          </w:p>
        </w:tc>
        <w:tc>
          <w:tcPr>
            <w:tcW w:w="1650" w:type="dxa"/>
          </w:tcPr>
          <w:p w14:paraId="6AF6D405" w14:textId="7703747E"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281</w:t>
            </w:r>
          </w:p>
        </w:tc>
      </w:tr>
      <w:tr w:rsidR="00511657" w:rsidRPr="00672F3A" w14:paraId="1053B7A6" w14:textId="77777777" w:rsidTr="00511657">
        <w:tc>
          <w:tcPr>
            <w:tcW w:w="5087" w:type="dxa"/>
          </w:tcPr>
          <w:p w14:paraId="577E97F2" w14:textId="77777777" w:rsidR="00511657" w:rsidRPr="00672F3A" w:rsidRDefault="00511657" w:rsidP="00511657">
            <w:pPr>
              <w:keepNext/>
              <w:spacing w:after="0"/>
              <w:ind w:left="0"/>
              <w:rPr>
                <w:rFonts w:ascii="Arial Narrow" w:eastAsia="Times New Roman" w:hAnsi="Arial Narrow" w:cs="Times New Roman"/>
                <w:sz w:val="20"/>
                <w:szCs w:val="24"/>
              </w:rPr>
            </w:pPr>
            <w:r w:rsidRPr="00672F3A">
              <w:rPr>
                <w:rFonts w:ascii="Arial Narrow" w:eastAsia="Times New Roman" w:hAnsi="Arial Narrow" w:cs="Times New Roman"/>
                <w:sz w:val="20"/>
                <w:szCs w:val="24"/>
              </w:rPr>
              <w:t>Number of citations screened by full text review</w:t>
            </w:r>
          </w:p>
        </w:tc>
        <w:tc>
          <w:tcPr>
            <w:tcW w:w="1559" w:type="dxa"/>
          </w:tcPr>
          <w:p w14:paraId="2E97FE13"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18</w:t>
            </w:r>
          </w:p>
        </w:tc>
        <w:tc>
          <w:tcPr>
            <w:tcW w:w="1650" w:type="dxa"/>
          </w:tcPr>
          <w:p w14:paraId="17FAEC9B" w14:textId="5FA1A3D7"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w:t>
            </w:r>
          </w:p>
        </w:tc>
      </w:tr>
      <w:tr w:rsidR="00511657" w:rsidRPr="00672F3A" w14:paraId="5DD32DCD" w14:textId="77777777" w:rsidTr="00511657">
        <w:tc>
          <w:tcPr>
            <w:tcW w:w="5087" w:type="dxa"/>
          </w:tcPr>
          <w:p w14:paraId="76B91DC3" w14:textId="77777777" w:rsidR="00511657" w:rsidRPr="00672F3A" w:rsidRDefault="00511657" w:rsidP="00511657">
            <w:pPr>
              <w:keepNext/>
              <w:spacing w:after="0"/>
              <w:ind w:left="0"/>
              <w:rPr>
                <w:rFonts w:ascii="Arial Narrow" w:eastAsia="Times New Roman" w:hAnsi="Arial Narrow" w:cs="Times New Roman"/>
                <w:b/>
                <w:sz w:val="20"/>
                <w:szCs w:val="24"/>
              </w:rPr>
            </w:pPr>
            <w:r w:rsidRPr="00672F3A">
              <w:rPr>
                <w:rFonts w:ascii="Arial Narrow" w:eastAsia="Times New Roman" w:hAnsi="Arial Narrow" w:cs="Times New Roman"/>
                <w:b/>
                <w:sz w:val="20"/>
                <w:szCs w:val="24"/>
              </w:rPr>
              <w:t>Number of citations excluded after full text review:</w:t>
            </w:r>
          </w:p>
        </w:tc>
        <w:tc>
          <w:tcPr>
            <w:tcW w:w="1559" w:type="dxa"/>
          </w:tcPr>
          <w:p w14:paraId="36B7C677"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650" w:type="dxa"/>
          </w:tcPr>
          <w:p w14:paraId="43458A30"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511657" w:rsidRPr="00672F3A" w14:paraId="53B9BA3F" w14:textId="77777777" w:rsidTr="00511657">
        <w:tc>
          <w:tcPr>
            <w:tcW w:w="5087" w:type="dxa"/>
          </w:tcPr>
          <w:p w14:paraId="0990ED90" w14:textId="77777777" w:rsidR="00511657" w:rsidRPr="00672F3A" w:rsidRDefault="00511657" w:rsidP="003140D6">
            <w:pPr>
              <w:keepNext/>
              <w:numPr>
                <w:ilvl w:val="0"/>
                <w:numId w:val="22"/>
              </w:numPr>
              <w:spacing w:after="0"/>
              <w:ind w:left="301" w:hanging="283"/>
              <w:rPr>
                <w:rFonts w:ascii="Arial Narrow" w:eastAsia="Times New Roman" w:hAnsi="Arial Narrow" w:cs="Times New Roman"/>
                <w:sz w:val="20"/>
                <w:szCs w:val="24"/>
              </w:rPr>
            </w:pPr>
            <w:r>
              <w:rPr>
                <w:rFonts w:ascii="Arial Narrow" w:eastAsia="Times New Roman" w:hAnsi="Arial Narrow" w:cs="Times New Roman"/>
                <w:sz w:val="20"/>
                <w:szCs w:val="24"/>
              </w:rPr>
              <w:t>Wrong publication type</w:t>
            </w:r>
          </w:p>
        </w:tc>
        <w:tc>
          <w:tcPr>
            <w:tcW w:w="1559" w:type="dxa"/>
          </w:tcPr>
          <w:p w14:paraId="17F669DB"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w:t>
            </w:r>
          </w:p>
        </w:tc>
        <w:tc>
          <w:tcPr>
            <w:tcW w:w="1650" w:type="dxa"/>
          </w:tcPr>
          <w:p w14:paraId="6347C768" w14:textId="6429BD0C"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0</w:t>
            </w:r>
          </w:p>
        </w:tc>
      </w:tr>
      <w:tr w:rsidR="00511657" w:rsidRPr="00672F3A" w14:paraId="1F476EAA" w14:textId="77777777" w:rsidTr="00511657">
        <w:tc>
          <w:tcPr>
            <w:tcW w:w="5087" w:type="dxa"/>
          </w:tcPr>
          <w:p w14:paraId="172AD815" w14:textId="77777777" w:rsidR="00511657" w:rsidRPr="00672F3A" w:rsidRDefault="00511657" w:rsidP="003140D6">
            <w:pPr>
              <w:keepNext/>
              <w:numPr>
                <w:ilvl w:val="0"/>
                <w:numId w:val="22"/>
              </w:numPr>
              <w:spacing w:after="0"/>
              <w:ind w:left="301" w:hanging="283"/>
              <w:rPr>
                <w:rFonts w:ascii="Arial Narrow" w:eastAsia="Times New Roman" w:hAnsi="Arial Narrow" w:cs="Times New Roman"/>
                <w:sz w:val="20"/>
                <w:szCs w:val="24"/>
              </w:rPr>
            </w:pPr>
            <w:r>
              <w:rPr>
                <w:rFonts w:ascii="Arial Narrow" w:eastAsia="Times New Roman" w:hAnsi="Arial Narrow" w:cs="Times New Roman"/>
                <w:sz w:val="20"/>
                <w:szCs w:val="24"/>
              </w:rPr>
              <w:t>Wrong outcomes</w:t>
            </w:r>
          </w:p>
        </w:tc>
        <w:tc>
          <w:tcPr>
            <w:tcW w:w="1559" w:type="dxa"/>
          </w:tcPr>
          <w:p w14:paraId="61B06542"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w:t>
            </w:r>
          </w:p>
        </w:tc>
        <w:tc>
          <w:tcPr>
            <w:tcW w:w="1650" w:type="dxa"/>
          </w:tcPr>
          <w:p w14:paraId="472987B1" w14:textId="35FBC14D"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0</w:t>
            </w:r>
          </w:p>
        </w:tc>
      </w:tr>
      <w:tr w:rsidR="00511657" w:rsidRPr="00672F3A" w14:paraId="73C5CD6E" w14:textId="77777777" w:rsidTr="00511657">
        <w:tc>
          <w:tcPr>
            <w:tcW w:w="5087" w:type="dxa"/>
          </w:tcPr>
          <w:p w14:paraId="126D2FAD" w14:textId="77777777" w:rsidR="00511657" w:rsidRDefault="00511657" w:rsidP="003140D6">
            <w:pPr>
              <w:keepNext/>
              <w:numPr>
                <w:ilvl w:val="0"/>
                <w:numId w:val="22"/>
              </w:numPr>
              <w:spacing w:after="0"/>
              <w:ind w:left="301" w:hanging="283"/>
              <w:rPr>
                <w:rFonts w:ascii="Arial Narrow" w:eastAsia="Times New Roman" w:hAnsi="Arial Narrow" w:cs="Times New Roman"/>
                <w:sz w:val="20"/>
                <w:szCs w:val="24"/>
              </w:rPr>
            </w:pPr>
            <w:r>
              <w:rPr>
                <w:rFonts w:ascii="Arial Narrow" w:eastAsia="Times New Roman" w:hAnsi="Arial Narrow" w:cs="Times New Roman"/>
                <w:sz w:val="20"/>
                <w:szCs w:val="24"/>
              </w:rPr>
              <w:t>Wrong comparator</w:t>
            </w:r>
          </w:p>
        </w:tc>
        <w:tc>
          <w:tcPr>
            <w:tcW w:w="1559" w:type="dxa"/>
          </w:tcPr>
          <w:p w14:paraId="01CAB101" w14:textId="77777777" w:rsidR="00511657"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w:t>
            </w:r>
          </w:p>
        </w:tc>
        <w:tc>
          <w:tcPr>
            <w:tcW w:w="1650" w:type="dxa"/>
          </w:tcPr>
          <w:p w14:paraId="57F52CD5" w14:textId="33EA200A"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0</w:t>
            </w:r>
          </w:p>
        </w:tc>
      </w:tr>
      <w:tr w:rsidR="00511657" w:rsidRPr="00672F3A" w14:paraId="6571E4CF" w14:textId="77777777" w:rsidTr="00511657">
        <w:tc>
          <w:tcPr>
            <w:tcW w:w="5087" w:type="dxa"/>
          </w:tcPr>
          <w:p w14:paraId="0666F4F1" w14:textId="77777777" w:rsidR="00511657" w:rsidRPr="00672F3A" w:rsidRDefault="00511657" w:rsidP="00511657">
            <w:pPr>
              <w:keepNext/>
              <w:spacing w:after="0"/>
              <w:ind w:left="0"/>
              <w:jc w:val="right"/>
              <w:rPr>
                <w:rFonts w:ascii="Arial Narrow" w:eastAsia="Times New Roman" w:hAnsi="Arial Narrow" w:cs="Times New Roman"/>
                <w:sz w:val="20"/>
                <w:szCs w:val="24"/>
              </w:rPr>
            </w:pPr>
            <w:r w:rsidRPr="00672F3A">
              <w:rPr>
                <w:rFonts w:ascii="Arial Narrow" w:eastAsia="Times New Roman" w:hAnsi="Arial Narrow" w:cs="Times New Roman"/>
                <w:b/>
                <w:sz w:val="20"/>
                <w:szCs w:val="24"/>
              </w:rPr>
              <w:t>Total excluded</w:t>
            </w:r>
          </w:p>
        </w:tc>
        <w:tc>
          <w:tcPr>
            <w:tcW w:w="1559" w:type="dxa"/>
          </w:tcPr>
          <w:p w14:paraId="36CF7E52"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6</w:t>
            </w:r>
          </w:p>
        </w:tc>
        <w:tc>
          <w:tcPr>
            <w:tcW w:w="1650" w:type="dxa"/>
          </w:tcPr>
          <w:p w14:paraId="512DCF2D" w14:textId="7B867D3B"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0</w:t>
            </w:r>
          </w:p>
        </w:tc>
      </w:tr>
      <w:tr w:rsidR="00511657" w:rsidRPr="00672F3A" w14:paraId="13DB3916" w14:textId="77777777" w:rsidTr="00511657">
        <w:tc>
          <w:tcPr>
            <w:tcW w:w="5087" w:type="dxa"/>
          </w:tcPr>
          <w:p w14:paraId="5D63D5E1" w14:textId="77777777" w:rsidR="00511657" w:rsidRPr="00672F3A" w:rsidRDefault="00511657" w:rsidP="00511657">
            <w:pPr>
              <w:keepNext/>
              <w:spacing w:after="0"/>
              <w:ind w:left="0"/>
              <w:rPr>
                <w:rFonts w:ascii="Arial Narrow" w:eastAsia="Times New Roman" w:hAnsi="Arial Narrow" w:cs="Times New Roman"/>
                <w:sz w:val="20"/>
                <w:szCs w:val="24"/>
              </w:rPr>
            </w:pPr>
            <w:r w:rsidRPr="00672F3A">
              <w:rPr>
                <w:rFonts w:ascii="Arial Narrow" w:eastAsia="Times New Roman" w:hAnsi="Arial Narrow" w:cs="Times New Roman"/>
                <w:sz w:val="20"/>
                <w:szCs w:val="24"/>
              </w:rPr>
              <w:t>Total number of citations included from each database</w:t>
            </w:r>
          </w:p>
        </w:tc>
        <w:tc>
          <w:tcPr>
            <w:tcW w:w="1559" w:type="dxa"/>
          </w:tcPr>
          <w:p w14:paraId="5A10FC2B" w14:textId="77777777" w:rsidR="00511657" w:rsidRPr="00672F3A" w:rsidRDefault="00511657"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12</w:t>
            </w:r>
          </w:p>
        </w:tc>
        <w:tc>
          <w:tcPr>
            <w:tcW w:w="1650" w:type="dxa"/>
          </w:tcPr>
          <w:p w14:paraId="58A6D8E2" w14:textId="770F2AC6" w:rsidR="00511657" w:rsidRPr="00672F3A" w:rsidRDefault="002D5BC1"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2</w:t>
            </w:r>
          </w:p>
        </w:tc>
      </w:tr>
      <w:tr w:rsidR="009F1282" w:rsidRPr="00672F3A" w14:paraId="146E5383" w14:textId="77777777" w:rsidTr="00511657">
        <w:tc>
          <w:tcPr>
            <w:tcW w:w="5087" w:type="dxa"/>
          </w:tcPr>
          <w:p w14:paraId="69CB2A52" w14:textId="67F335F5" w:rsidR="009F1282" w:rsidRPr="00672F3A" w:rsidRDefault="009F1282" w:rsidP="00511657">
            <w:pPr>
              <w:keepNext/>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Total number of</w:t>
            </w:r>
            <w:r w:rsidR="001C1764">
              <w:rPr>
                <w:rFonts w:ascii="Arial Narrow" w:eastAsia="Times New Roman" w:hAnsi="Arial Narrow" w:cs="Times New Roman"/>
                <w:sz w:val="20"/>
                <w:szCs w:val="24"/>
              </w:rPr>
              <w:t xml:space="preserve"> citations (excluding duplicates</w:t>
            </w:r>
            <w:r>
              <w:rPr>
                <w:rFonts w:ascii="Arial Narrow" w:eastAsia="Times New Roman" w:hAnsi="Arial Narrow" w:cs="Times New Roman"/>
                <w:sz w:val="20"/>
                <w:szCs w:val="24"/>
              </w:rPr>
              <w:t>)</w:t>
            </w:r>
          </w:p>
        </w:tc>
        <w:tc>
          <w:tcPr>
            <w:tcW w:w="1559" w:type="dxa"/>
          </w:tcPr>
          <w:p w14:paraId="32236F12" w14:textId="2B63540B" w:rsidR="009F1282" w:rsidRDefault="009F1282"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12</w:t>
            </w:r>
          </w:p>
        </w:tc>
        <w:tc>
          <w:tcPr>
            <w:tcW w:w="1650" w:type="dxa"/>
          </w:tcPr>
          <w:p w14:paraId="1468D2DE" w14:textId="7869DECD" w:rsidR="009F1282" w:rsidRDefault="001C1764" w:rsidP="00511657">
            <w:pPr>
              <w:keepNext/>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bl>
    <w:p w14:paraId="5C29B272" w14:textId="1AB23A01" w:rsidR="00511657" w:rsidRDefault="00511657" w:rsidP="00C771F6">
      <w:pPr>
        <w:ind w:left="0"/>
      </w:pPr>
    </w:p>
    <w:p w14:paraId="46AF94C2" w14:textId="047EF199" w:rsidR="00511657" w:rsidRDefault="00511657" w:rsidP="00511657">
      <w:r>
        <w:t xml:space="preserve">One additional systematic review was identified through hand-searching of grey literature. The systematic review and meta-analysis of test accuracy in studies with autopsy-confirmed diagnosis was not identified in the search, possibly due to its recent </w:t>
      </w:r>
      <w:r>
        <w:lastRenderedPageBreak/>
        <w:t xml:space="preserve">publication date (Cure et al, 2014). The rationale behind the inclusion of Cure et al (2014) is discussed further in </w:t>
      </w:r>
      <w:r>
        <w:fldChar w:fldCharType="begin"/>
      </w:r>
      <w:r>
        <w:instrText xml:space="preserve"> REF _Ref404938359 \w \h </w:instrText>
      </w:r>
      <w:r>
        <w:fldChar w:fldCharType="separate"/>
      </w:r>
      <w:r w:rsidR="00C67698">
        <w:t>B.2.2</w:t>
      </w:r>
      <w:r>
        <w:fldChar w:fldCharType="end"/>
      </w:r>
      <w:r>
        <w:t xml:space="preserve">, as it did not meet the eligibility criteria of the </w:t>
      </w:r>
      <w:r w:rsidR="009F1282">
        <w:t>Assessment Report</w:t>
      </w:r>
      <w:r>
        <w:t>.</w:t>
      </w:r>
    </w:p>
    <w:p w14:paraId="58EAAC0B" w14:textId="77777777" w:rsidR="00511657" w:rsidRPr="00814C80" w:rsidRDefault="00511657" w:rsidP="00511657">
      <w:pPr>
        <w:pStyle w:val="Heading4"/>
      </w:pPr>
      <w:r>
        <w:t>Treatment for AD</w:t>
      </w:r>
    </w:p>
    <w:p w14:paraId="29F91E5F" w14:textId="0BC77D3C" w:rsidR="00BF2BB6" w:rsidRDefault="00BF2BB6" w:rsidP="00BF2BB6">
      <w:r>
        <w:t xml:space="preserve">The search of the Cochrane Library yielded 92 potentially relevant systematic reviews of the effectiveness and safety of pharmacotherapy (AChEIs and memantine) for AD. The titles and abstracts were screened using the selection criteria outlined in Section </w:t>
      </w:r>
      <w:r>
        <w:fldChar w:fldCharType="begin"/>
      </w:r>
      <w:r>
        <w:instrText xml:space="preserve"> REF _Ref404866623 \w \h </w:instrText>
      </w:r>
      <w:r>
        <w:fldChar w:fldCharType="separate"/>
      </w:r>
      <w:r w:rsidR="00C67698">
        <w:t>B.1.2</w:t>
      </w:r>
      <w:r>
        <w:fldChar w:fldCharType="end"/>
      </w:r>
      <w:r>
        <w:t xml:space="preserve">. </w:t>
      </w:r>
    </w:p>
    <w:p w14:paraId="2A073EA6" w14:textId="7708FF9E" w:rsidR="00BF2BB6" w:rsidRDefault="00BF2BB6" w:rsidP="00BF2BB6">
      <w:r>
        <w:t xml:space="preserve">A summary of the literature review process is presented in </w:t>
      </w:r>
      <w:r>
        <w:fldChar w:fldCharType="begin"/>
      </w:r>
      <w:r>
        <w:instrText xml:space="preserve"> REF _Ref406356323 \h </w:instrText>
      </w:r>
      <w:r>
        <w:fldChar w:fldCharType="separate"/>
      </w:r>
      <w:r w:rsidR="00C67698">
        <w:t xml:space="preserve">Table </w:t>
      </w:r>
      <w:r w:rsidR="00C67698">
        <w:rPr>
          <w:noProof/>
        </w:rPr>
        <w:t>B.1</w:t>
      </w:r>
      <w:r w:rsidR="00C67698">
        <w:noBreakHyphen/>
      </w:r>
      <w:r w:rsidR="00C67698">
        <w:rPr>
          <w:noProof/>
        </w:rPr>
        <w:t>2</w:t>
      </w:r>
      <w:r>
        <w:fldChar w:fldCharType="end"/>
      </w:r>
      <w:r>
        <w:t>.</w:t>
      </w:r>
    </w:p>
    <w:p w14:paraId="6C7D2D69" w14:textId="48C41E6B" w:rsidR="00BF2BB6" w:rsidRDefault="00BF2BB6" w:rsidP="00BF2BB6">
      <w:pPr>
        <w:pStyle w:val="Caption"/>
      </w:pPr>
      <w:bookmarkStart w:id="71" w:name="_Ref406356323"/>
      <w:bookmarkStart w:id="72" w:name="_Toc408845204"/>
      <w:r>
        <w:t xml:space="preserve">Table </w:t>
      </w:r>
      <w:fldSimple w:instr=" STYLEREF 2 \s ">
        <w:r w:rsidR="00C67698">
          <w:rPr>
            <w:noProof/>
          </w:rPr>
          <w:t>B.1</w:t>
        </w:r>
      </w:fldSimple>
      <w:r w:rsidR="00524916">
        <w:noBreakHyphen/>
      </w:r>
      <w:fldSimple w:instr=" SEQ Table \* ARABIC \s 2 ">
        <w:r w:rsidR="00C67698">
          <w:rPr>
            <w:noProof/>
          </w:rPr>
          <w:t>2</w:t>
        </w:r>
      </w:fldSimple>
      <w:bookmarkEnd w:id="71"/>
      <w:r>
        <w:tab/>
        <w:t>Summary of the process used to identify relevant studies of treatment for AD</w:t>
      </w:r>
      <w:bookmarkEnd w:id="72"/>
    </w:p>
    <w:tbl>
      <w:tblPr>
        <w:tblStyle w:val="TableGrid"/>
        <w:tblW w:w="4610" w:type="pct"/>
        <w:tblInd w:w="704" w:type="dxa"/>
        <w:tblLook w:val="04A0" w:firstRow="1" w:lastRow="0" w:firstColumn="1" w:lastColumn="0" w:noHBand="0" w:noVBand="1"/>
        <w:tblCaption w:val="Summary of the process used to identify relevant studies of treatment for AD"/>
        <w:tblDescription w:val="Reasons for exclusion and the number of studies removed under each of the exclusion criteria."/>
      </w:tblPr>
      <w:tblGrid>
        <w:gridCol w:w="6256"/>
        <w:gridCol w:w="2265"/>
      </w:tblGrid>
      <w:tr w:rsidR="00BF2BB6" w14:paraId="32BB25E9" w14:textId="77777777" w:rsidTr="00126E0B">
        <w:trPr>
          <w:tblHeader/>
        </w:trPr>
        <w:tc>
          <w:tcPr>
            <w:tcW w:w="3671" w:type="pct"/>
          </w:tcPr>
          <w:p w14:paraId="3AC2FC91" w14:textId="77777777" w:rsidR="00BF2BB6" w:rsidRDefault="00BF2BB6" w:rsidP="00126E0B">
            <w:pPr>
              <w:pStyle w:val="Tabletextboldleft"/>
            </w:pPr>
          </w:p>
        </w:tc>
        <w:tc>
          <w:tcPr>
            <w:tcW w:w="1329" w:type="pct"/>
          </w:tcPr>
          <w:p w14:paraId="65601965" w14:textId="77777777" w:rsidR="00BF2BB6" w:rsidRPr="00A9458D" w:rsidRDefault="00BF2BB6" w:rsidP="00126E0B">
            <w:pPr>
              <w:pStyle w:val="Tabletextboldleft"/>
              <w:jc w:val="center"/>
            </w:pPr>
            <w:r>
              <w:t>Cochrane Li</w:t>
            </w:r>
            <w:r w:rsidRPr="00A9458D">
              <w:t>brary</w:t>
            </w:r>
          </w:p>
        </w:tc>
      </w:tr>
      <w:tr w:rsidR="00BF2BB6" w:rsidRPr="00387119" w14:paraId="4DB40A69" w14:textId="77777777" w:rsidTr="00126E0B">
        <w:tc>
          <w:tcPr>
            <w:tcW w:w="3671" w:type="pct"/>
          </w:tcPr>
          <w:p w14:paraId="50AA3CE7" w14:textId="77777777" w:rsidR="00BF2BB6" w:rsidRDefault="00BF2BB6" w:rsidP="00126E0B">
            <w:pPr>
              <w:pStyle w:val="Tabletextcentred"/>
              <w:keepNext/>
              <w:jc w:val="left"/>
            </w:pPr>
            <w:r>
              <w:t>Number of citations retrieved by search</w:t>
            </w:r>
          </w:p>
        </w:tc>
        <w:tc>
          <w:tcPr>
            <w:tcW w:w="1329" w:type="pct"/>
          </w:tcPr>
          <w:p w14:paraId="2DEF3AEB" w14:textId="77777777" w:rsidR="00BF2BB6" w:rsidRPr="00A9458D" w:rsidRDefault="00BF2BB6" w:rsidP="00126E0B">
            <w:pPr>
              <w:pStyle w:val="Tabletextcentred"/>
              <w:keepNext/>
            </w:pPr>
            <w:r>
              <w:t>92</w:t>
            </w:r>
          </w:p>
        </w:tc>
      </w:tr>
      <w:tr w:rsidR="00BF2BB6" w:rsidRPr="00387119" w14:paraId="600A688A" w14:textId="77777777" w:rsidTr="00126E0B">
        <w:tc>
          <w:tcPr>
            <w:tcW w:w="3671" w:type="pct"/>
            <w:tcBorders>
              <w:bottom w:val="nil"/>
            </w:tcBorders>
          </w:tcPr>
          <w:p w14:paraId="0F002B19" w14:textId="77777777" w:rsidR="00BF2BB6" w:rsidRPr="007E0BC3" w:rsidRDefault="00BF2BB6" w:rsidP="00126E0B">
            <w:pPr>
              <w:pStyle w:val="Tabletextcentred"/>
              <w:keepNext/>
              <w:jc w:val="left"/>
              <w:rPr>
                <w:b/>
              </w:rPr>
            </w:pPr>
            <w:r w:rsidRPr="007E0BC3">
              <w:rPr>
                <w:b/>
              </w:rPr>
              <w:t>Number of citations exclu</w:t>
            </w:r>
            <w:r>
              <w:rPr>
                <w:b/>
              </w:rPr>
              <w:t>ded after title/abstract review:</w:t>
            </w:r>
          </w:p>
        </w:tc>
        <w:tc>
          <w:tcPr>
            <w:tcW w:w="1329" w:type="pct"/>
            <w:tcBorders>
              <w:bottom w:val="nil"/>
            </w:tcBorders>
          </w:tcPr>
          <w:p w14:paraId="14822677" w14:textId="77777777" w:rsidR="00BF2BB6" w:rsidRPr="00A9458D" w:rsidRDefault="00BF2BB6" w:rsidP="00126E0B">
            <w:pPr>
              <w:pStyle w:val="Tabletextcentred"/>
              <w:keepNext/>
            </w:pPr>
            <w:r>
              <w:t>-</w:t>
            </w:r>
          </w:p>
        </w:tc>
      </w:tr>
      <w:tr w:rsidR="00BF2BB6" w:rsidRPr="00387119" w14:paraId="4E3FE565" w14:textId="77777777" w:rsidTr="00126E0B">
        <w:tc>
          <w:tcPr>
            <w:tcW w:w="3671" w:type="pct"/>
            <w:tcBorders>
              <w:top w:val="nil"/>
              <w:bottom w:val="nil"/>
            </w:tcBorders>
          </w:tcPr>
          <w:p w14:paraId="0A5950A6" w14:textId="77777777" w:rsidR="00BF2BB6" w:rsidRPr="007E0BC3" w:rsidRDefault="00BF2BB6" w:rsidP="003140D6">
            <w:pPr>
              <w:pStyle w:val="Tabletextcentred"/>
              <w:keepNext/>
              <w:numPr>
                <w:ilvl w:val="0"/>
                <w:numId w:val="22"/>
              </w:numPr>
              <w:ind w:left="301" w:hanging="283"/>
              <w:jc w:val="left"/>
            </w:pPr>
            <w:r>
              <w:t>Wrong intervention: not AChEI or memantine</w:t>
            </w:r>
          </w:p>
        </w:tc>
        <w:tc>
          <w:tcPr>
            <w:tcW w:w="1329" w:type="pct"/>
            <w:tcBorders>
              <w:top w:val="nil"/>
              <w:bottom w:val="nil"/>
            </w:tcBorders>
          </w:tcPr>
          <w:p w14:paraId="1F77B3F8" w14:textId="77777777" w:rsidR="00BF2BB6" w:rsidRPr="00A9458D" w:rsidRDefault="00BF2BB6" w:rsidP="00126E0B">
            <w:pPr>
              <w:pStyle w:val="Tabletextcentred"/>
              <w:keepNext/>
            </w:pPr>
            <w:r>
              <w:t>53</w:t>
            </w:r>
          </w:p>
        </w:tc>
      </w:tr>
      <w:tr w:rsidR="00BF2BB6" w:rsidRPr="00387119" w14:paraId="289C34AF" w14:textId="77777777" w:rsidTr="00126E0B">
        <w:tc>
          <w:tcPr>
            <w:tcW w:w="3671" w:type="pct"/>
            <w:tcBorders>
              <w:top w:val="nil"/>
              <w:bottom w:val="nil"/>
            </w:tcBorders>
          </w:tcPr>
          <w:p w14:paraId="0450254B" w14:textId="77777777" w:rsidR="00BF2BB6" w:rsidRDefault="00BF2BB6" w:rsidP="003140D6">
            <w:pPr>
              <w:pStyle w:val="Tabletextcentred"/>
              <w:keepNext/>
              <w:numPr>
                <w:ilvl w:val="0"/>
                <w:numId w:val="22"/>
              </w:numPr>
              <w:ind w:left="301" w:hanging="283"/>
              <w:jc w:val="left"/>
            </w:pPr>
            <w:r>
              <w:t xml:space="preserve">Wrong population: not AD </w:t>
            </w:r>
          </w:p>
        </w:tc>
        <w:tc>
          <w:tcPr>
            <w:tcW w:w="1329" w:type="pct"/>
            <w:tcBorders>
              <w:top w:val="nil"/>
              <w:bottom w:val="nil"/>
            </w:tcBorders>
          </w:tcPr>
          <w:p w14:paraId="11B35A4F" w14:textId="77777777" w:rsidR="00BF2BB6" w:rsidRPr="00A9458D" w:rsidRDefault="00BF2BB6" w:rsidP="00126E0B">
            <w:pPr>
              <w:pStyle w:val="Tabletextcentred"/>
              <w:keepNext/>
            </w:pPr>
            <w:r>
              <w:t>20</w:t>
            </w:r>
          </w:p>
        </w:tc>
      </w:tr>
      <w:tr w:rsidR="00BF2BB6" w:rsidRPr="00387119" w14:paraId="1B853C34" w14:textId="77777777" w:rsidTr="00126E0B">
        <w:tc>
          <w:tcPr>
            <w:tcW w:w="3671" w:type="pct"/>
            <w:tcBorders>
              <w:top w:val="nil"/>
              <w:bottom w:val="nil"/>
            </w:tcBorders>
          </w:tcPr>
          <w:p w14:paraId="0B9DE8F5" w14:textId="77777777" w:rsidR="00BF2BB6" w:rsidRDefault="00BF2BB6" w:rsidP="003140D6">
            <w:pPr>
              <w:pStyle w:val="Tabletextcentred"/>
              <w:keepNext/>
              <w:numPr>
                <w:ilvl w:val="0"/>
                <w:numId w:val="22"/>
              </w:numPr>
              <w:ind w:left="301" w:hanging="283"/>
              <w:jc w:val="left"/>
            </w:pPr>
            <w:r>
              <w:t>Wrong or no outcomes</w:t>
            </w:r>
          </w:p>
        </w:tc>
        <w:tc>
          <w:tcPr>
            <w:tcW w:w="1329" w:type="pct"/>
            <w:tcBorders>
              <w:top w:val="nil"/>
              <w:bottom w:val="nil"/>
            </w:tcBorders>
          </w:tcPr>
          <w:p w14:paraId="43FEA824" w14:textId="77777777" w:rsidR="00BF2BB6" w:rsidRPr="00A9458D" w:rsidRDefault="00BF2BB6" w:rsidP="00126E0B">
            <w:pPr>
              <w:pStyle w:val="Tabletextcentred"/>
              <w:keepNext/>
            </w:pPr>
            <w:r>
              <w:t>7</w:t>
            </w:r>
          </w:p>
        </w:tc>
      </w:tr>
      <w:tr w:rsidR="00BF2BB6" w:rsidRPr="00387119" w14:paraId="1F3F6932" w14:textId="77777777" w:rsidTr="00126E0B">
        <w:tc>
          <w:tcPr>
            <w:tcW w:w="3671" w:type="pct"/>
            <w:tcBorders>
              <w:top w:val="nil"/>
              <w:bottom w:val="nil"/>
            </w:tcBorders>
          </w:tcPr>
          <w:p w14:paraId="61636989" w14:textId="77777777" w:rsidR="00BF2BB6" w:rsidRDefault="00BF2BB6" w:rsidP="003140D6">
            <w:pPr>
              <w:pStyle w:val="Tabletextcentred"/>
              <w:keepNext/>
              <w:numPr>
                <w:ilvl w:val="0"/>
                <w:numId w:val="22"/>
              </w:numPr>
              <w:ind w:left="301" w:hanging="283"/>
              <w:jc w:val="left"/>
            </w:pPr>
            <w:r>
              <w:t>Not in English</w:t>
            </w:r>
          </w:p>
        </w:tc>
        <w:tc>
          <w:tcPr>
            <w:tcW w:w="1329" w:type="pct"/>
            <w:tcBorders>
              <w:top w:val="nil"/>
              <w:bottom w:val="nil"/>
            </w:tcBorders>
          </w:tcPr>
          <w:p w14:paraId="3DD49405" w14:textId="77777777" w:rsidR="00BF2BB6" w:rsidRDefault="00BF2BB6" w:rsidP="00126E0B">
            <w:pPr>
              <w:pStyle w:val="Tabletextcentred"/>
              <w:keepNext/>
            </w:pPr>
            <w:r>
              <w:t>3</w:t>
            </w:r>
          </w:p>
        </w:tc>
      </w:tr>
      <w:tr w:rsidR="00BF2BB6" w:rsidRPr="00387119" w14:paraId="00F58F1D" w14:textId="77777777" w:rsidTr="00126E0B">
        <w:tc>
          <w:tcPr>
            <w:tcW w:w="3671" w:type="pct"/>
            <w:tcBorders>
              <w:top w:val="nil"/>
              <w:bottom w:val="nil"/>
            </w:tcBorders>
          </w:tcPr>
          <w:p w14:paraId="5EB373C9" w14:textId="77777777" w:rsidR="00BF2BB6" w:rsidRDefault="00BF2BB6" w:rsidP="003140D6">
            <w:pPr>
              <w:pStyle w:val="Tabletextcentred"/>
              <w:keepNext/>
              <w:numPr>
                <w:ilvl w:val="0"/>
                <w:numId w:val="22"/>
              </w:numPr>
              <w:ind w:left="301" w:hanging="283"/>
              <w:jc w:val="left"/>
            </w:pPr>
            <w:r>
              <w:t>Duplicate</w:t>
            </w:r>
          </w:p>
        </w:tc>
        <w:tc>
          <w:tcPr>
            <w:tcW w:w="1329" w:type="pct"/>
            <w:tcBorders>
              <w:top w:val="nil"/>
              <w:bottom w:val="nil"/>
            </w:tcBorders>
          </w:tcPr>
          <w:p w14:paraId="256DD0F2" w14:textId="77777777" w:rsidR="00BF2BB6" w:rsidRDefault="00BF2BB6" w:rsidP="00126E0B">
            <w:pPr>
              <w:pStyle w:val="Tabletextcentred"/>
              <w:keepNext/>
            </w:pPr>
            <w:r>
              <w:t>1</w:t>
            </w:r>
          </w:p>
        </w:tc>
      </w:tr>
      <w:tr w:rsidR="00BF2BB6" w:rsidRPr="00387119" w14:paraId="47DF50E7" w14:textId="77777777" w:rsidTr="00126E0B">
        <w:tc>
          <w:tcPr>
            <w:tcW w:w="3671" w:type="pct"/>
            <w:tcBorders>
              <w:top w:val="single" w:sz="4" w:space="0" w:color="auto"/>
            </w:tcBorders>
          </w:tcPr>
          <w:p w14:paraId="677FEBAD" w14:textId="77777777" w:rsidR="00BF2BB6" w:rsidRDefault="00BF2BB6" w:rsidP="00126E0B">
            <w:pPr>
              <w:pStyle w:val="Tabletextcentred"/>
              <w:keepNext/>
              <w:jc w:val="right"/>
            </w:pPr>
            <w:r>
              <w:rPr>
                <w:b/>
              </w:rPr>
              <w:t>Total excluded</w:t>
            </w:r>
            <w:r>
              <w:t xml:space="preserve"> </w:t>
            </w:r>
          </w:p>
        </w:tc>
        <w:tc>
          <w:tcPr>
            <w:tcW w:w="1329" w:type="pct"/>
            <w:tcBorders>
              <w:top w:val="single" w:sz="4" w:space="0" w:color="auto"/>
            </w:tcBorders>
          </w:tcPr>
          <w:p w14:paraId="31814921" w14:textId="77777777" w:rsidR="00BF2BB6" w:rsidRPr="00A9458D" w:rsidRDefault="00BF2BB6" w:rsidP="00126E0B">
            <w:pPr>
              <w:pStyle w:val="Tabletextcentred"/>
              <w:keepNext/>
            </w:pPr>
            <w:r>
              <w:t>84</w:t>
            </w:r>
          </w:p>
        </w:tc>
      </w:tr>
      <w:tr w:rsidR="00BF2BB6" w:rsidRPr="00387119" w14:paraId="46B7BFF2" w14:textId="77777777" w:rsidTr="00126E0B">
        <w:tc>
          <w:tcPr>
            <w:tcW w:w="3671" w:type="pct"/>
          </w:tcPr>
          <w:p w14:paraId="5D2F868F" w14:textId="77777777" w:rsidR="00BF2BB6" w:rsidRDefault="00BF2BB6" w:rsidP="00126E0B">
            <w:pPr>
              <w:pStyle w:val="Tabletextcentred"/>
              <w:keepNext/>
              <w:jc w:val="left"/>
            </w:pPr>
            <w:r>
              <w:t>Total number of citations included for further consideration</w:t>
            </w:r>
          </w:p>
        </w:tc>
        <w:tc>
          <w:tcPr>
            <w:tcW w:w="1329" w:type="pct"/>
            <w:tcBorders>
              <w:left w:val="nil"/>
            </w:tcBorders>
          </w:tcPr>
          <w:p w14:paraId="0349F139" w14:textId="77777777" w:rsidR="00BF2BB6" w:rsidRPr="00A9458D" w:rsidRDefault="00BF2BB6" w:rsidP="00126E0B">
            <w:pPr>
              <w:pStyle w:val="Tabletextcentred"/>
              <w:keepNext/>
            </w:pPr>
            <w:r>
              <w:t>8</w:t>
            </w:r>
          </w:p>
        </w:tc>
      </w:tr>
    </w:tbl>
    <w:p w14:paraId="124B6F27" w14:textId="60B5FC9A" w:rsidR="00BF2BB6" w:rsidRDefault="00BF2BB6" w:rsidP="00BF2BB6">
      <w:pPr>
        <w:pStyle w:val="Tablefootnotes"/>
      </w:pPr>
      <w:r>
        <w:t>Abbreviations: AChEI, acetylcholinesterase; AD, Alzheimer’s disease</w:t>
      </w:r>
    </w:p>
    <w:p w14:paraId="3DD70C78" w14:textId="7AC71CB3" w:rsidR="00511657" w:rsidRPr="00A900C3" w:rsidRDefault="004E4137" w:rsidP="00511657">
      <w:r>
        <w:t>A</w:t>
      </w:r>
      <w:r w:rsidR="00511657">
        <w:t xml:space="preserve"> search of the Pharmaceutical Benefits Advisory Committee (PBAC) website identified a</w:t>
      </w:r>
      <w:r>
        <w:t>n additional systematic review within a</w:t>
      </w:r>
      <w:r w:rsidR="00511657">
        <w:t xml:space="preserve"> </w:t>
      </w:r>
      <w:r>
        <w:t>p</w:t>
      </w:r>
      <w:r w:rsidR="00511657" w:rsidRPr="00E06A02">
        <w:t xml:space="preserve">ost-market </w:t>
      </w:r>
      <w:r>
        <w:t>r</w:t>
      </w:r>
      <w:r w:rsidR="00511657" w:rsidRPr="00E06A02">
        <w:t xml:space="preserve">eview of PBS </w:t>
      </w:r>
      <w:r w:rsidR="00511657">
        <w:t>a</w:t>
      </w:r>
      <w:r w:rsidR="00511657" w:rsidRPr="00E06A02">
        <w:t>nti-</w:t>
      </w:r>
      <w:r w:rsidR="00511657">
        <w:t>d</w:t>
      </w:r>
      <w:r w:rsidR="00511657" w:rsidRPr="00E06A02">
        <w:t xml:space="preserve">ementia </w:t>
      </w:r>
      <w:r w:rsidR="00511657">
        <w:t>m</w:t>
      </w:r>
      <w:r w:rsidR="00511657" w:rsidRPr="00E06A02">
        <w:t>edicines for AD (PBS Review, 2012)</w:t>
      </w:r>
      <w:r w:rsidR="00511657">
        <w:t>.</w:t>
      </w:r>
    </w:p>
    <w:p w14:paraId="7E0635B3" w14:textId="77777777" w:rsidR="00511657" w:rsidRDefault="00511657" w:rsidP="00511657">
      <w:pPr>
        <w:pStyle w:val="Heading2"/>
        <w:ind w:left="431" w:hanging="431"/>
      </w:pPr>
      <w:bookmarkStart w:id="73" w:name="_Ref406069306"/>
      <w:bookmarkStart w:id="74" w:name="_Toc406231644"/>
      <w:bookmarkStart w:id="75" w:name="_Toc408845162"/>
      <w:r>
        <w:t>Listing of all studies</w:t>
      </w:r>
      <w:bookmarkEnd w:id="73"/>
      <w:bookmarkEnd w:id="74"/>
      <w:bookmarkEnd w:id="75"/>
    </w:p>
    <w:p w14:paraId="4F4719A0" w14:textId="77777777" w:rsidR="00511657" w:rsidRDefault="00511657" w:rsidP="00511657">
      <w:pPr>
        <w:pStyle w:val="Heading3"/>
      </w:pPr>
      <w:bookmarkStart w:id="76" w:name="_Ref404939403"/>
      <w:r>
        <w:t>Direct evidence of diagnostic effectiveness</w:t>
      </w:r>
      <w:bookmarkEnd w:id="76"/>
    </w:p>
    <w:p w14:paraId="75AEE3DE" w14:textId="5AC30635" w:rsidR="00511657" w:rsidRDefault="00511657" w:rsidP="00511657">
      <w:r>
        <w:t xml:space="preserve">No studies were identified that assessed the direct health impact </w:t>
      </w:r>
      <w:r w:rsidR="00865D20">
        <w:t xml:space="preserve">(effectiveness) </w:t>
      </w:r>
      <w:r>
        <w:t>of FDG-PET versus SPECT in the target population.</w:t>
      </w:r>
    </w:p>
    <w:p w14:paraId="5168A632" w14:textId="77777777" w:rsidR="00511657" w:rsidRDefault="00511657" w:rsidP="00511657">
      <w:pPr>
        <w:pStyle w:val="Heading3"/>
      </w:pPr>
      <w:bookmarkStart w:id="77" w:name="_Ref404938359"/>
      <w:r>
        <w:t>Diagnostic accuracy</w:t>
      </w:r>
      <w:bookmarkEnd w:id="77"/>
    </w:p>
    <w:p w14:paraId="36BCB165" w14:textId="77777777" w:rsidR="00511657" w:rsidRDefault="00511657" w:rsidP="00511657">
      <w:r w:rsidRPr="009C1114">
        <w:t xml:space="preserve">In </w:t>
      </w:r>
      <w:r w:rsidRPr="00C36AA1">
        <w:t xml:space="preserve">total, </w:t>
      </w:r>
      <w:r>
        <w:t xml:space="preserve">12 studies met the eligibility criteria, including three systematic reviews and nine </w:t>
      </w:r>
      <w:r w:rsidRPr="00C36AA1">
        <w:t>primary</w:t>
      </w:r>
      <w:r>
        <w:t xml:space="preserve"> studies (see </w:t>
      </w:r>
      <w:r>
        <w:fldChar w:fldCharType="begin"/>
      </w:r>
      <w:r>
        <w:instrText xml:space="preserve"> REF _Ref404896022 \h </w:instrText>
      </w:r>
      <w:r>
        <w:fldChar w:fldCharType="separate"/>
      </w:r>
      <w:r w:rsidR="00C67698">
        <w:t xml:space="preserve">Table </w:t>
      </w:r>
      <w:r w:rsidR="00C67698">
        <w:rPr>
          <w:noProof/>
        </w:rPr>
        <w:t>B.2</w:t>
      </w:r>
      <w:r w:rsidR="00C67698">
        <w:noBreakHyphen/>
      </w:r>
      <w:r w:rsidR="00C67698">
        <w:rPr>
          <w:noProof/>
        </w:rPr>
        <w:t>1</w:t>
      </w:r>
      <w:r>
        <w:fldChar w:fldCharType="end"/>
      </w:r>
      <w:r>
        <w:t>). The nine primary studies identified from the systematic literature search all directly compared the diagnostic accuracy of FDG-PET and SPECT in a single patient population</w:t>
      </w:r>
      <w:r w:rsidRPr="00C36AA1">
        <w:t xml:space="preserve">. </w:t>
      </w:r>
    </w:p>
    <w:p w14:paraId="7FEE3260" w14:textId="4267F07C" w:rsidR="00511657" w:rsidRDefault="00511657" w:rsidP="00511657">
      <w:r>
        <w:t xml:space="preserve">The three included systematic reviews all included some of those primary studies, with </w:t>
      </w:r>
      <w:r w:rsidR="00247F17">
        <w:t xml:space="preserve">direct </w:t>
      </w:r>
      <w:r>
        <w:t xml:space="preserve">evidence </w:t>
      </w:r>
      <w:r w:rsidR="00247F17">
        <w:t>comparing</w:t>
      </w:r>
      <w:r>
        <w:t xml:space="preserve"> FDG-PET and SPECT. While other systematic reviews, which included evidence for both FDG-PET and SPECT were identified in the literature search, they were ultimately excluded as none of their included studies provided direct, comparative evidence. Furthermore, the evidence in the excluded reviews has been superseded by the more recent, comprehensive reviews, which are listed in </w:t>
      </w:r>
      <w:r>
        <w:fldChar w:fldCharType="begin"/>
      </w:r>
      <w:r>
        <w:instrText xml:space="preserve"> REF _Ref404896022 \h </w:instrText>
      </w:r>
      <w:r>
        <w:fldChar w:fldCharType="separate"/>
      </w:r>
      <w:r w:rsidR="00C67698">
        <w:t xml:space="preserve">Table </w:t>
      </w:r>
      <w:r w:rsidR="00C67698">
        <w:rPr>
          <w:noProof/>
        </w:rPr>
        <w:t>B.2</w:t>
      </w:r>
      <w:r w:rsidR="00C67698">
        <w:noBreakHyphen/>
      </w:r>
      <w:r w:rsidR="00C67698">
        <w:rPr>
          <w:noProof/>
        </w:rPr>
        <w:t>1</w:t>
      </w:r>
      <w:r>
        <w:fldChar w:fldCharType="end"/>
      </w:r>
      <w:r>
        <w:t>.</w:t>
      </w:r>
    </w:p>
    <w:p w14:paraId="700F800A" w14:textId="1B257243" w:rsidR="00511657" w:rsidRDefault="00511657" w:rsidP="00511657">
      <w:pPr>
        <w:pStyle w:val="Caption"/>
        <w:keepLines/>
      </w:pPr>
      <w:bookmarkStart w:id="78" w:name="_Ref404896022"/>
      <w:bookmarkStart w:id="79" w:name="_Toc406231697"/>
      <w:bookmarkStart w:id="80" w:name="_Toc408845205"/>
      <w:r>
        <w:lastRenderedPageBreak/>
        <w:t xml:space="preserve">Table </w:t>
      </w:r>
      <w:fldSimple w:instr=" STYLEREF 2 \s ">
        <w:r w:rsidR="00C67698">
          <w:rPr>
            <w:noProof/>
          </w:rPr>
          <w:t>B.2</w:t>
        </w:r>
      </w:fldSimple>
      <w:r w:rsidR="00524916">
        <w:noBreakHyphen/>
      </w:r>
      <w:fldSimple w:instr=" SEQ Table \* ARABIC \s 2 ">
        <w:r w:rsidR="00C67698">
          <w:rPr>
            <w:noProof/>
          </w:rPr>
          <w:t>1</w:t>
        </w:r>
      </w:fldSimple>
      <w:bookmarkEnd w:id="78"/>
      <w:r>
        <w:tab/>
        <w:t>List of included studies comparing diagnostic accuracy of FDG-PET and SPECT</w:t>
      </w:r>
      <w:bookmarkEnd w:id="79"/>
      <w:bookmarkEnd w:id="8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 list of included studies"/>
        <w:tblDescription w:val="Citation details for the included systematic reviews and primary studies that compare the diagnostic accuracy of FDG-PET and SPECT."/>
      </w:tblPr>
      <w:tblGrid>
        <w:gridCol w:w="1685"/>
        <w:gridCol w:w="6611"/>
      </w:tblGrid>
      <w:tr w:rsidR="00511657" w14:paraId="14996379" w14:textId="77777777" w:rsidTr="009B55BB">
        <w:trPr>
          <w:tblHeader/>
        </w:trPr>
        <w:tc>
          <w:tcPr>
            <w:tcW w:w="1685" w:type="dxa"/>
          </w:tcPr>
          <w:p w14:paraId="1DAFE084" w14:textId="77777777" w:rsidR="00511657" w:rsidRDefault="00511657" w:rsidP="00511657">
            <w:pPr>
              <w:pStyle w:val="Tabletextboldleft"/>
              <w:keepLines/>
            </w:pPr>
            <w:r>
              <w:t>Study ID</w:t>
            </w:r>
          </w:p>
        </w:tc>
        <w:tc>
          <w:tcPr>
            <w:tcW w:w="6611" w:type="dxa"/>
          </w:tcPr>
          <w:p w14:paraId="7F44FC8B" w14:textId="77777777" w:rsidR="00511657" w:rsidRDefault="00511657" w:rsidP="00511657">
            <w:pPr>
              <w:pStyle w:val="Tabletextboldleft"/>
              <w:keepLines/>
            </w:pPr>
            <w:r>
              <w:t>Citation</w:t>
            </w:r>
          </w:p>
        </w:tc>
      </w:tr>
      <w:tr w:rsidR="00511657" w14:paraId="22488E9A" w14:textId="77777777" w:rsidTr="009B55BB">
        <w:tc>
          <w:tcPr>
            <w:tcW w:w="1685" w:type="dxa"/>
            <w:shd w:val="clear" w:color="auto" w:fill="D0CECE" w:themeFill="background2" w:themeFillShade="E6"/>
          </w:tcPr>
          <w:p w14:paraId="5B89DFEA" w14:textId="77777777" w:rsidR="00511657" w:rsidRPr="00F575F6" w:rsidRDefault="00511657" w:rsidP="00511657">
            <w:pPr>
              <w:pStyle w:val="Tabletextcentred"/>
              <w:keepNext/>
              <w:keepLines/>
              <w:jc w:val="left"/>
            </w:pPr>
            <w:r w:rsidRPr="00F575F6">
              <w:t>Systematic reviews</w:t>
            </w:r>
          </w:p>
        </w:tc>
        <w:tc>
          <w:tcPr>
            <w:tcW w:w="6611" w:type="dxa"/>
            <w:shd w:val="clear" w:color="auto" w:fill="D0CECE" w:themeFill="background2" w:themeFillShade="E6"/>
          </w:tcPr>
          <w:p w14:paraId="535FEE5F" w14:textId="77777777" w:rsidR="00511657" w:rsidRPr="002F7605" w:rsidRDefault="00511657" w:rsidP="00511657">
            <w:pPr>
              <w:pStyle w:val="Tabletextcentred"/>
              <w:keepNext/>
              <w:keepLines/>
              <w:jc w:val="left"/>
            </w:pPr>
            <w:r>
              <w:t>-</w:t>
            </w:r>
          </w:p>
        </w:tc>
      </w:tr>
      <w:tr w:rsidR="00511657" w14:paraId="785DAF70" w14:textId="77777777" w:rsidTr="009B55BB">
        <w:tc>
          <w:tcPr>
            <w:tcW w:w="1685" w:type="dxa"/>
          </w:tcPr>
          <w:p w14:paraId="5493667D" w14:textId="77777777" w:rsidR="00511657" w:rsidRDefault="00511657" w:rsidP="00511657">
            <w:pPr>
              <w:pStyle w:val="Tabletextcentred"/>
              <w:keepNext/>
              <w:keepLines/>
              <w:jc w:val="left"/>
            </w:pPr>
            <w:r>
              <w:t>Bloudek (2011)</w:t>
            </w:r>
          </w:p>
        </w:tc>
        <w:tc>
          <w:tcPr>
            <w:tcW w:w="6611" w:type="dxa"/>
          </w:tcPr>
          <w:p w14:paraId="35CF9A42" w14:textId="77777777" w:rsidR="00511657" w:rsidRPr="00C26210" w:rsidRDefault="00511657" w:rsidP="00511657">
            <w:pPr>
              <w:pStyle w:val="Tabletextcentred"/>
              <w:keepNext/>
              <w:keepLines/>
              <w:jc w:val="left"/>
            </w:pPr>
            <w:r w:rsidRPr="002F7605">
              <w:t xml:space="preserve">Bloudek LM, Spackman DE, Blankenburg M &amp; Sullivan SD (2011). Review and meta-analysis of biomarkers and diagnostic imaging in Alzheimer's disease. </w:t>
            </w:r>
            <w:r w:rsidRPr="003B1818">
              <w:rPr>
                <w:i/>
              </w:rPr>
              <w:t>Journal of Alzheimer's Disease</w:t>
            </w:r>
            <w:r w:rsidRPr="002F7605">
              <w:t>, 26(4):627-645.</w:t>
            </w:r>
          </w:p>
        </w:tc>
      </w:tr>
      <w:tr w:rsidR="00511657" w14:paraId="0625418B" w14:textId="77777777" w:rsidTr="009B55BB">
        <w:tc>
          <w:tcPr>
            <w:tcW w:w="1685" w:type="dxa"/>
          </w:tcPr>
          <w:p w14:paraId="3D20573F" w14:textId="77777777" w:rsidR="00511657" w:rsidRDefault="00511657" w:rsidP="00511657">
            <w:pPr>
              <w:pStyle w:val="Tabletextcentred"/>
              <w:jc w:val="left"/>
            </w:pPr>
            <w:r>
              <w:t>Davison (2014)</w:t>
            </w:r>
          </w:p>
        </w:tc>
        <w:tc>
          <w:tcPr>
            <w:tcW w:w="6611" w:type="dxa"/>
          </w:tcPr>
          <w:p w14:paraId="1CBFD398" w14:textId="77777777" w:rsidR="00511657" w:rsidRPr="00C26210" w:rsidRDefault="00511657" w:rsidP="00511657">
            <w:pPr>
              <w:pStyle w:val="Tabletextcentred"/>
              <w:jc w:val="left"/>
            </w:pPr>
            <w:r w:rsidRPr="007B79C5">
              <w:t xml:space="preserve">Davison CM &amp; O'Brien JT (2014). A comparison of FDG-PET and blood flow SPECT in the diagnosis of neurodegenerative dementias: A systematic review. </w:t>
            </w:r>
            <w:r w:rsidRPr="003B1818">
              <w:rPr>
                <w:i/>
              </w:rPr>
              <w:t>International Journal of Geriatric Psychiatry</w:t>
            </w:r>
            <w:r w:rsidRPr="007B79C5">
              <w:t>, 29(6):551-561.</w:t>
            </w:r>
          </w:p>
        </w:tc>
      </w:tr>
      <w:tr w:rsidR="00511657" w14:paraId="0EA11A41" w14:textId="77777777" w:rsidTr="009B55BB">
        <w:tc>
          <w:tcPr>
            <w:tcW w:w="1685" w:type="dxa"/>
          </w:tcPr>
          <w:p w14:paraId="5E50245F" w14:textId="77777777" w:rsidR="00511657" w:rsidRDefault="00511657" w:rsidP="00511657">
            <w:pPr>
              <w:pStyle w:val="Tabletextcentred"/>
              <w:jc w:val="left"/>
            </w:pPr>
            <w:r>
              <w:t>Frisoni (2013)</w:t>
            </w:r>
          </w:p>
        </w:tc>
        <w:tc>
          <w:tcPr>
            <w:tcW w:w="6611" w:type="dxa"/>
          </w:tcPr>
          <w:p w14:paraId="4390372A" w14:textId="77777777" w:rsidR="00511657" w:rsidRPr="002F7605" w:rsidRDefault="00511657" w:rsidP="00511657">
            <w:pPr>
              <w:pStyle w:val="Tabletextcentred"/>
              <w:jc w:val="left"/>
            </w:pPr>
            <w:r>
              <w:t xml:space="preserve">Frisoni GB, Bocchetta M, Chetelat G, Rabinovici GD, De Leon MJ, Kaye J, et al. (2013). Imaging markers for Alzheimer disease: Which vs how. </w:t>
            </w:r>
            <w:r w:rsidRPr="0034014C">
              <w:rPr>
                <w:i/>
              </w:rPr>
              <w:t>Neurology</w:t>
            </w:r>
            <w:r>
              <w:t>, 81(5):487-500.</w:t>
            </w:r>
          </w:p>
        </w:tc>
      </w:tr>
      <w:tr w:rsidR="00511657" w14:paraId="1FC0F446" w14:textId="77777777" w:rsidTr="009B55BB">
        <w:tc>
          <w:tcPr>
            <w:tcW w:w="1685" w:type="dxa"/>
            <w:shd w:val="clear" w:color="auto" w:fill="D0CECE" w:themeFill="background2" w:themeFillShade="E6"/>
          </w:tcPr>
          <w:p w14:paraId="5578FAD7" w14:textId="77777777" w:rsidR="00511657" w:rsidRPr="00F575F6" w:rsidRDefault="00511657" w:rsidP="00511657">
            <w:pPr>
              <w:pStyle w:val="Tabletextcentred"/>
              <w:jc w:val="left"/>
            </w:pPr>
            <w:r w:rsidRPr="00F575F6">
              <w:t>Primary studies</w:t>
            </w:r>
          </w:p>
        </w:tc>
        <w:tc>
          <w:tcPr>
            <w:tcW w:w="6611" w:type="dxa"/>
            <w:shd w:val="clear" w:color="auto" w:fill="D0CECE" w:themeFill="background2" w:themeFillShade="E6"/>
          </w:tcPr>
          <w:p w14:paraId="1D3BF209" w14:textId="77777777" w:rsidR="00511657" w:rsidRPr="007B79C5" w:rsidRDefault="00511657" w:rsidP="00511657">
            <w:pPr>
              <w:pStyle w:val="Tabletextcentred"/>
              <w:jc w:val="left"/>
            </w:pPr>
            <w:r>
              <w:t>-</w:t>
            </w:r>
          </w:p>
        </w:tc>
      </w:tr>
      <w:tr w:rsidR="00511657" w14:paraId="1C4DEEA4" w14:textId="77777777" w:rsidTr="009B55BB">
        <w:tc>
          <w:tcPr>
            <w:tcW w:w="1685" w:type="dxa"/>
          </w:tcPr>
          <w:p w14:paraId="4867F353" w14:textId="77777777" w:rsidR="00511657" w:rsidRDefault="00511657" w:rsidP="00511657">
            <w:pPr>
              <w:pStyle w:val="Tabletextcentred"/>
              <w:jc w:val="left"/>
            </w:pPr>
            <w:r>
              <w:t>D</w:t>
            </w:r>
            <w:r w:rsidRPr="00646354">
              <w:t>ö</w:t>
            </w:r>
            <w:r>
              <w:t>bert (2005)</w:t>
            </w:r>
          </w:p>
        </w:tc>
        <w:tc>
          <w:tcPr>
            <w:tcW w:w="6611" w:type="dxa"/>
          </w:tcPr>
          <w:p w14:paraId="56EEA572" w14:textId="77777777" w:rsidR="00511657" w:rsidRPr="00C26210" w:rsidRDefault="00511657" w:rsidP="00511657">
            <w:pPr>
              <w:pStyle w:val="Tabletextcentred"/>
              <w:jc w:val="left"/>
            </w:pPr>
            <w:r w:rsidRPr="007B79C5">
              <w:t>D</w:t>
            </w:r>
            <w:r w:rsidRPr="00646354">
              <w:t>ö</w:t>
            </w:r>
            <w:r w:rsidRPr="007B79C5">
              <w:t xml:space="preserve">bert N, Pantel J, Frolich L, Hamscho N, Menzel C &amp; Grunwald F (2005). Diagnostic value of FDG-PET and HMPAO-SPET in patients with mild dementia and mild cognitive impairment: Metabolic index and perfusion index. </w:t>
            </w:r>
            <w:r w:rsidRPr="003B1818">
              <w:rPr>
                <w:i/>
              </w:rPr>
              <w:t>Dementia and Geriatric Cognitive Disorders</w:t>
            </w:r>
            <w:r w:rsidRPr="007B79C5">
              <w:t>, 20(2-3):63-70.</w:t>
            </w:r>
          </w:p>
        </w:tc>
      </w:tr>
      <w:tr w:rsidR="00511657" w14:paraId="15B48BE1" w14:textId="77777777" w:rsidTr="009B55BB">
        <w:tc>
          <w:tcPr>
            <w:tcW w:w="1685" w:type="dxa"/>
          </w:tcPr>
          <w:p w14:paraId="74C8D674" w14:textId="77777777" w:rsidR="00511657" w:rsidRDefault="00511657" w:rsidP="00511657">
            <w:pPr>
              <w:pStyle w:val="Tabletextcentred"/>
              <w:jc w:val="left"/>
            </w:pPr>
            <w:r>
              <w:t>Herholz (2002)</w:t>
            </w:r>
          </w:p>
        </w:tc>
        <w:tc>
          <w:tcPr>
            <w:tcW w:w="6611" w:type="dxa"/>
          </w:tcPr>
          <w:p w14:paraId="57D807EA" w14:textId="77777777" w:rsidR="00511657" w:rsidRPr="00C26210" w:rsidRDefault="00511657" w:rsidP="00511657">
            <w:pPr>
              <w:pStyle w:val="Tabletextcentred"/>
              <w:jc w:val="left"/>
            </w:pPr>
            <w:r w:rsidRPr="002F7605">
              <w:t xml:space="preserve">Herholz K, Schopphoff H, Schmidt M, Mielke R, Eschner W, Scheidhauer K, et al. (2002). Direct comparison of spatially normalized PET and SPECT scans in Alzheimer's disease. </w:t>
            </w:r>
            <w:r w:rsidRPr="003B1818">
              <w:rPr>
                <w:i/>
              </w:rPr>
              <w:t>Journal of Nuclear Medicine</w:t>
            </w:r>
            <w:r w:rsidRPr="002F7605">
              <w:t>, 43(1):21-26.</w:t>
            </w:r>
          </w:p>
        </w:tc>
      </w:tr>
      <w:tr w:rsidR="00511657" w14:paraId="56442C73" w14:textId="77777777" w:rsidTr="009B55BB">
        <w:tc>
          <w:tcPr>
            <w:tcW w:w="1685" w:type="dxa"/>
          </w:tcPr>
          <w:p w14:paraId="4A66F17B" w14:textId="77777777" w:rsidR="00511657" w:rsidRDefault="00511657" w:rsidP="00511657">
            <w:pPr>
              <w:pStyle w:val="Tabletextcentred"/>
              <w:jc w:val="left"/>
            </w:pPr>
            <w:r>
              <w:t>Ishii (1999)</w:t>
            </w:r>
          </w:p>
        </w:tc>
        <w:tc>
          <w:tcPr>
            <w:tcW w:w="6611" w:type="dxa"/>
          </w:tcPr>
          <w:p w14:paraId="6A4AE51B" w14:textId="77777777" w:rsidR="00511657" w:rsidRPr="00C26210" w:rsidRDefault="00511657" w:rsidP="00511657">
            <w:pPr>
              <w:pStyle w:val="Tabletextcentred"/>
              <w:jc w:val="left"/>
            </w:pPr>
            <w:r w:rsidRPr="002F7605">
              <w:t xml:space="preserve">Ishii K, Sasaki M, Sakamoto S, Yamaji S, Kitagaki H &amp; Mori E (1999). Tc-99m Ethyl Cysteinate Dimer SPECT and 2-[F-18]fluoro-2-deoxy-D- glucose PET in Alzheimer's disease: Comparison of perfusion and metabolic patterns. </w:t>
            </w:r>
            <w:r w:rsidRPr="003B1818">
              <w:rPr>
                <w:i/>
              </w:rPr>
              <w:t>Clinical Nuclear Medicine</w:t>
            </w:r>
            <w:r w:rsidRPr="002F7605">
              <w:t>, 24(8):572-575.</w:t>
            </w:r>
          </w:p>
        </w:tc>
      </w:tr>
      <w:tr w:rsidR="00511657" w14:paraId="69C487D8" w14:textId="77777777" w:rsidTr="009B55BB">
        <w:tc>
          <w:tcPr>
            <w:tcW w:w="1685" w:type="dxa"/>
          </w:tcPr>
          <w:p w14:paraId="106A2A59" w14:textId="77777777" w:rsidR="00511657" w:rsidRDefault="00511657" w:rsidP="00511657">
            <w:pPr>
              <w:pStyle w:val="Tabletextcentred"/>
              <w:jc w:val="left"/>
            </w:pPr>
            <w:r>
              <w:t>Ito (2014)</w:t>
            </w:r>
          </w:p>
        </w:tc>
        <w:tc>
          <w:tcPr>
            <w:tcW w:w="6611" w:type="dxa"/>
          </w:tcPr>
          <w:p w14:paraId="53E74164" w14:textId="77777777" w:rsidR="00511657" w:rsidRPr="00C26210" w:rsidRDefault="00511657" w:rsidP="00511657">
            <w:pPr>
              <w:pStyle w:val="Tabletextcentred"/>
              <w:jc w:val="left"/>
            </w:pPr>
            <w:r w:rsidRPr="00FF2DBD">
              <w:t xml:space="preserve">Ito K, Shimano Y, Imabayashi E, Nakata Y, Omachi Y, Sato N, et al. (2014). Concordance between 99mTc-ECD SPECT and 18F-FDG PET interpretations in patients with cognitive disorders diagnosed according to NIA-AA criteria. </w:t>
            </w:r>
            <w:r w:rsidRPr="003B1818">
              <w:rPr>
                <w:i/>
              </w:rPr>
              <w:t>International Journal of Geriatric Psychiatry</w:t>
            </w:r>
            <w:r>
              <w:t>, 29(10):1079-86.</w:t>
            </w:r>
          </w:p>
        </w:tc>
      </w:tr>
      <w:tr w:rsidR="00511657" w14:paraId="5FB48B67" w14:textId="77777777" w:rsidTr="009B55BB">
        <w:tc>
          <w:tcPr>
            <w:tcW w:w="1685" w:type="dxa"/>
          </w:tcPr>
          <w:p w14:paraId="339C669A" w14:textId="77777777" w:rsidR="00511657" w:rsidRDefault="00511657" w:rsidP="00511657">
            <w:pPr>
              <w:pStyle w:val="Tabletextcentred"/>
              <w:jc w:val="left"/>
            </w:pPr>
            <w:r>
              <w:t>Kuwabara (1990)</w:t>
            </w:r>
          </w:p>
        </w:tc>
        <w:tc>
          <w:tcPr>
            <w:tcW w:w="6611" w:type="dxa"/>
          </w:tcPr>
          <w:p w14:paraId="1218E276" w14:textId="77777777" w:rsidR="00511657" w:rsidRPr="00C26210" w:rsidRDefault="00511657" w:rsidP="00511657">
            <w:pPr>
              <w:pStyle w:val="Tabletextcentred"/>
              <w:jc w:val="left"/>
            </w:pPr>
            <w:r w:rsidRPr="002F7605">
              <w:t xml:space="preserve">Kuwabara Y, Ichiya Y, Otsuka M, Tahara T, Fukumura T, Gunasekera R, et al. (1990). Comparison of I-123 IMP and Tc-99m HMPAO SPECT studies with PET in dementia. </w:t>
            </w:r>
            <w:r w:rsidRPr="003B1818">
              <w:rPr>
                <w:i/>
              </w:rPr>
              <w:t>Annals of Nuclear Medicine</w:t>
            </w:r>
            <w:r w:rsidRPr="002F7605">
              <w:t>, 4(3):75-82.</w:t>
            </w:r>
          </w:p>
        </w:tc>
      </w:tr>
      <w:tr w:rsidR="00511657" w14:paraId="694B6213" w14:textId="77777777" w:rsidTr="009B55BB">
        <w:tc>
          <w:tcPr>
            <w:tcW w:w="1685" w:type="dxa"/>
          </w:tcPr>
          <w:p w14:paraId="2C54D3A6" w14:textId="77777777" w:rsidR="00511657" w:rsidRDefault="00511657" w:rsidP="00511657">
            <w:pPr>
              <w:pStyle w:val="Tabletextcentred"/>
              <w:jc w:val="left"/>
            </w:pPr>
            <w:r>
              <w:t>Messa (1994)</w:t>
            </w:r>
          </w:p>
        </w:tc>
        <w:tc>
          <w:tcPr>
            <w:tcW w:w="6611" w:type="dxa"/>
          </w:tcPr>
          <w:p w14:paraId="4D4849FE" w14:textId="77777777" w:rsidR="00511657" w:rsidRPr="00C26210" w:rsidRDefault="00511657" w:rsidP="00511657">
            <w:pPr>
              <w:pStyle w:val="Tabletextcentred"/>
              <w:jc w:val="left"/>
            </w:pPr>
            <w:r w:rsidRPr="002F7605">
              <w:t xml:space="preserve">Messa C, Perani D, Lucignani G, Zenorini A, Zito F, Rizzo G, et al. (1994). High-resolution technetium-99m-HMPAO SPECT in patients with probable Alzheimer's disease: Comparison with fluorine-18-FDG PET. </w:t>
            </w:r>
            <w:r w:rsidRPr="003B1818">
              <w:rPr>
                <w:i/>
              </w:rPr>
              <w:t>Journal of Nuclear Medicine</w:t>
            </w:r>
            <w:r w:rsidRPr="002F7605">
              <w:t>, 35(2):210-216.</w:t>
            </w:r>
          </w:p>
        </w:tc>
      </w:tr>
      <w:tr w:rsidR="00511657" w14:paraId="067D8BE4" w14:textId="77777777" w:rsidTr="009B55BB">
        <w:tc>
          <w:tcPr>
            <w:tcW w:w="1685" w:type="dxa"/>
          </w:tcPr>
          <w:p w14:paraId="0BFE53B7" w14:textId="77777777" w:rsidR="00511657" w:rsidRDefault="00511657" w:rsidP="00511657">
            <w:pPr>
              <w:pStyle w:val="Tabletextcentred"/>
              <w:jc w:val="left"/>
            </w:pPr>
            <w:r>
              <w:t>Mielke (1994)</w:t>
            </w:r>
          </w:p>
        </w:tc>
        <w:tc>
          <w:tcPr>
            <w:tcW w:w="6611" w:type="dxa"/>
          </w:tcPr>
          <w:p w14:paraId="36DE3AAB" w14:textId="77777777" w:rsidR="00511657" w:rsidRPr="00C26210" w:rsidRDefault="00511657" w:rsidP="00511657">
            <w:pPr>
              <w:pStyle w:val="Tabletextcentred"/>
              <w:jc w:val="left"/>
            </w:pPr>
            <w:r w:rsidRPr="002F7605">
              <w:t xml:space="preserve">Mielke R, Pietrzyk U, Jacobs A, Fink GR, Ichimiya A, Kessler J, et al. (1994). HMPAO SPET and FDG PET in Alzheimer's disease and vascular dementia: Comparison of perfusion and metabolic pattern. </w:t>
            </w:r>
            <w:r w:rsidRPr="003B1818">
              <w:rPr>
                <w:i/>
              </w:rPr>
              <w:t>European Journal of Nuclear Medicine</w:t>
            </w:r>
            <w:r w:rsidRPr="002F7605">
              <w:t>, 21(10):1052-1060.</w:t>
            </w:r>
          </w:p>
        </w:tc>
      </w:tr>
      <w:tr w:rsidR="00511657" w14:paraId="6C6ED733" w14:textId="77777777" w:rsidTr="009B55BB">
        <w:tc>
          <w:tcPr>
            <w:tcW w:w="1685" w:type="dxa"/>
          </w:tcPr>
          <w:p w14:paraId="196C4E2C" w14:textId="77777777" w:rsidR="00511657" w:rsidRDefault="00511657" w:rsidP="00511657">
            <w:pPr>
              <w:pStyle w:val="Tabletextcentred"/>
              <w:jc w:val="left"/>
            </w:pPr>
            <w:r>
              <w:t>Morinaga (2010)</w:t>
            </w:r>
          </w:p>
        </w:tc>
        <w:tc>
          <w:tcPr>
            <w:tcW w:w="6611" w:type="dxa"/>
          </w:tcPr>
          <w:p w14:paraId="6AFFA521" w14:textId="77777777" w:rsidR="00511657" w:rsidRPr="00FF2DBD" w:rsidRDefault="00511657" w:rsidP="00511657">
            <w:pPr>
              <w:pStyle w:val="Tabletextcentred"/>
              <w:jc w:val="left"/>
            </w:pPr>
            <w:r w:rsidRPr="00FF2DBD">
              <w:t xml:space="preserve">Morinaga A, Ono K, Ikeda T, Ikeda Y, Shima K, Noguchi-Shinohara M, et al. (2010). A comparison of the diagnostic sensitivity of MRI, CBF-SPECT, FDG-PET and cerebrospinal fluid biomarkers for detecting Alzheimer's disease in a memory clinic. </w:t>
            </w:r>
            <w:r w:rsidRPr="003B1818">
              <w:rPr>
                <w:i/>
              </w:rPr>
              <w:t>Dementia and Geriatric Cognitive Disorders</w:t>
            </w:r>
            <w:r w:rsidRPr="00FF2DBD">
              <w:t>, 30(4):285-292.</w:t>
            </w:r>
          </w:p>
        </w:tc>
      </w:tr>
      <w:tr w:rsidR="00511657" w14:paraId="01D01CF4" w14:textId="77777777" w:rsidTr="009B55BB">
        <w:tc>
          <w:tcPr>
            <w:tcW w:w="1685" w:type="dxa"/>
          </w:tcPr>
          <w:p w14:paraId="7342B53D" w14:textId="77777777" w:rsidR="00511657" w:rsidRDefault="00511657" w:rsidP="00511657">
            <w:pPr>
              <w:pStyle w:val="Tabletextcentred"/>
              <w:jc w:val="left"/>
            </w:pPr>
            <w:r>
              <w:t>Nihashi (2007)</w:t>
            </w:r>
          </w:p>
        </w:tc>
        <w:tc>
          <w:tcPr>
            <w:tcW w:w="6611" w:type="dxa"/>
          </w:tcPr>
          <w:p w14:paraId="612FCCC9" w14:textId="77777777" w:rsidR="00511657" w:rsidRPr="00C26210" w:rsidRDefault="00511657" w:rsidP="00511657">
            <w:pPr>
              <w:pStyle w:val="Tabletextcentred"/>
              <w:jc w:val="left"/>
            </w:pPr>
            <w:r w:rsidRPr="002F7605">
              <w:t xml:space="preserve">Nihashi T, Yatsuya H, Hayasaka K, Kato R, Kawatsu S, Arahata Y, et al. (2007). Direct comparison study between FDG-PET and IMP-SPECT for diagnosing Alzheimer's disease using 3D-SSP analysis in the same patients. </w:t>
            </w:r>
            <w:r w:rsidRPr="003B1818">
              <w:rPr>
                <w:i/>
              </w:rPr>
              <w:t>Radiation Medicine - Medical Imaging and Radiation Oncology</w:t>
            </w:r>
            <w:r w:rsidRPr="002F7605">
              <w:t>, 25(6):255-262.</w:t>
            </w:r>
          </w:p>
        </w:tc>
      </w:tr>
    </w:tbl>
    <w:p w14:paraId="27F37FA1" w14:textId="77777777" w:rsidR="00511657" w:rsidRDefault="00511657" w:rsidP="00511657">
      <w:pPr>
        <w:ind w:left="0"/>
      </w:pPr>
    </w:p>
    <w:p w14:paraId="437405CD" w14:textId="2881A0C3" w:rsidR="00511657" w:rsidRDefault="00511657" w:rsidP="00511657">
      <w:pPr>
        <w:spacing w:after="160" w:line="259" w:lineRule="auto"/>
      </w:pPr>
      <w:r>
        <w:t xml:space="preserve">Due to a paucity of good-quality, comparative studies, the Assessment Report also presents diagnostic accuracy findings from a number of studies that did not directly compare FDG-PET and SPECT. The citation details of those studies are provided in </w:t>
      </w:r>
      <w:r>
        <w:fldChar w:fldCharType="begin"/>
      </w:r>
      <w:r>
        <w:instrText xml:space="preserve"> REF _Ref404897750 \h </w:instrText>
      </w:r>
      <w:r>
        <w:fldChar w:fldCharType="separate"/>
      </w:r>
      <w:r w:rsidR="00C67698">
        <w:t xml:space="preserve">Table </w:t>
      </w:r>
      <w:r w:rsidR="00C67698">
        <w:rPr>
          <w:noProof/>
        </w:rPr>
        <w:t>B.2</w:t>
      </w:r>
      <w:r w:rsidR="00C67698">
        <w:noBreakHyphen/>
      </w:r>
      <w:r w:rsidR="00C67698">
        <w:rPr>
          <w:noProof/>
        </w:rPr>
        <w:t>2</w:t>
      </w:r>
      <w:r>
        <w:fldChar w:fldCharType="end"/>
      </w:r>
      <w:r>
        <w:t xml:space="preserve">. The </w:t>
      </w:r>
      <w:r w:rsidR="00247F17">
        <w:t xml:space="preserve">additional </w:t>
      </w:r>
      <w:r>
        <w:t xml:space="preserve">13 primary studies were excluded from the systematic evidence review based on wrong (or lack of) comparator, but ultimately were included in Section B to supplement the limited </w:t>
      </w:r>
      <w:r w:rsidR="00247F17">
        <w:t xml:space="preserve">body of direct </w:t>
      </w:r>
      <w:r>
        <w:t xml:space="preserve">evidence. </w:t>
      </w:r>
    </w:p>
    <w:p w14:paraId="550F70CC" w14:textId="77777777" w:rsidR="00511657" w:rsidRDefault="00511657" w:rsidP="00511657">
      <w:r>
        <w:t xml:space="preserve">The three systematic reviews shown in </w:t>
      </w:r>
      <w:r>
        <w:fldChar w:fldCharType="begin"/>
      </w:r>
      <w:r>
        <w:instrText xml:space="preserve"> REF _Ref404896022 \h </w:instrText>
      </w:r>
      <w:r>
        <w:fldChar w:fldCharType="separate"/>
      </w:r>
      <w:r w:rsidR="00C67698">
        <w:t xml:space="preserve">Table </w:t>
      </w:r>
      <w:r w:rsidR="00C67698">
        <w:rPr>
          <w:noProof/>
        </w:rPr>
        <w:t>B.2</w:t>
      </w:r>
      <w:r w:rsidR="00C67698">
        <w:noBreakHyphen/>
      </w:r>
      <w:r w:rsidR="00C67698">
        <w:rPr>
          <w:noProof/>
        </w:rPr>
        <w:t>1</w:t>
      </w:r>
      <w:r>
        <w:fldChar w:fldCharType="end"/>
      </w:r>
      <w:r>
        <w:t xml:space="preserve"> and the systematic review by Cure et al (2014) were used to identify the additional primary studies containing indirect </w:t>
      </w:r>
      <w:r>
        <w:lastRenderedPageBreak/>
        <w:t xml:space="preserve">evidence. Importantly, studies of FDG-PET or SPECT alone were only included in the clinical evaluation if the diagnostic accuracy of the test was assessed against the reference standard (i.e. histopathologic diagnosis via autopsy or biopsy). </w:t>
      </w:r>
      <w:r w:rsidRPr="00140EC4">
        <w:t>None of the comparative studies included follow-up to autopsy</w:t>
      </w:r>
      <w:r>
        <w:t>/biopsy</w:t>
      </w:r>
      <w:r w:rsidRPr="00140EC4">
        <w:t>.</w:t>
      </w:r>
    </w:p>
    <w:p w14:paraId="4C672E75" w14:textId="100118E8" w:rsidR="00511657" w:rsidRDefault="00511657" w:rsidP="00511657">
      <w:r>
        <w:t xml:space="preserve">The most comprehensive list of applicable studies was found in Cure et al (2014), as the inclusion criteria was limited to those studies with autopsy confirmation of diagnosis; hence Cure et al (2014) was included in Section B despite not meeting the eligibility criteria of providing direct evidence for the diagnostic accuracy of FDG-PET versus SPECT. Most of the primary studies (indirect evidence) were also included in the systematic reviews by Bloudek et al (2011) and Davison et al (2014); however, studies with pathological confirmation of diagnosis were not their sole focus. As such, not all indirect evidence presented in those two systematic reviews is included in the Assessment Report as </w:t>
      </w:r>
      <w:r w:rsidRPr="000400DB">
        <w:t xml:space="preserve">they were deemed to be of insufficient quality (i.e. they </w:t>
      </w:r>
      <w:r w:rsidR="00247F17">
        <w:t>did not directly compare FDG-PET and SPECT</w:t>
      </w:r>
      <w:r w:rsidRPr="000400DB">
        <w:t>, nor did they have pathologically confirmed AD diagnosis).</w:t>
      </w:r>
    </w:p>
    <w:p w14:paraId="5B5F8E12" w14:textId="0AEC9119" w:rsidR="00F012E1" w:rsidRDefault="00511657" w:rsidP="00511657">
      <w:r>
        <w:t xml:space="preserve">While the aforementioned systematic reviews were used to identify the primary studies in </w:t>
      </w:r>
      <w:r>
        <w:fldChar w:fldCharType="begin"/>
      </w:r>
      <w:r>
        <w:instrText xml:space="preserve"> REF _Ref404897750 \h </w:instrText>
      </w:r>
      <w:r>
        <w:fldChar w:fldCharType="separate"/>
      </w:r>
      <w:r w:rsidR="00C67698">
        <w:t xml:space="preserve">Table </w:t>
      </w:r>
      <w:r w:rsidR="00C67698">
        <w:rPr>
          <w:noProof/>
        </w:rPr>
        <w:t>B.2</w:t>
      </w:r>
      <w:r w:rsidR="00C67698">
        <w:noBreakHyphen/>
      </w:r>
      <w:r w:rsidR="00C67698">
        <w:rPr>
          <w:noProof/>
        </w:rPr>
        <w:t>2</w:t>
      </w:r>
      <w:r>
        <w:fldChar w:fldCharType="end"/>
      </w:r>
      <w:r>
        <w:t xml:space="preserve">, there were numerous discrepancies in the reporting of those studies between systematic reviews. As a result, most of the individual papers were retrieved for the purpose of data extraction. </w:t>
      </w:r>
    </w:p>
    <w:p w14:paraId="71A910A8" w14:textId="15253B60" w:rsidR="00511657" w:rsidRDefault="00511657" w:rsidP="00511657">
      <w:pPr>
        <w:pStyle w:val="Caption"/>
      </w:pPr>
      <w:bookmarkStart w:id="81" w:name="_Ref404897750"/>
      <w:bookmarkStart w:id="82" w:name="_Toc406231698"/>
      <w:bookmarkStart w:id="83" w:name="_Toc408845206"/>
      <w:r>
        <w:t xml:space="preserve">Table </w:t>
      </w:r>
      <w:fldSimple w:instr=" STYLEREF 2 \s ">
        <w:r w:rsidR="00C67698">
          <w:rPr>
            <w:noProof/>
          </w:rPr>
          <w:t>B.2</w:t>
        </w:r>
      </w:fldSimple>
      <w:r w:rsidR="00524916">
        <w:noBreakHyphen/>
      </w:r>
      <w:fldSimple w:instr=" SEQ Table \* ARABIC \s 2 ">
        <w:r w:rsidR="00C67698">
          <w:rPr>
            <w:noProof/>
          </w:rPr>
          <w:t>2</w:t>
        </w:r>
      </w:fldSimple>
      <w:bookmarkEnd w:id="81"/>
      <w:r>
        <w:tab/>
        <w:t>List of studies reporting diagnostic accuracy of FDG-PET or SPECT</w:t>
      </w:r>
      <w:bookmarkEnd w:id="82"/>
      <w:bookmarkEnd w:id="8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 list of included studies."/>
        <w:tblDescription w:val="The citation details for included studies that report diagnostic accuracy of FDG-PET or SPECT."/>
      </w:tblPr>
      <w:tblGrid>
        <w:gridCol w:w="1656"/>
        <w:gridCol w:w="6640"/>
      </w:tblGrid>
      <w:tr w:rsidR="00511657" w14:paraId="5E2EB6CE" w14:textId="77777777" w:rsidTr="003D1597">
        <w:trPr>
          <w:tblHeader/>
        </w:trPr>
        <w:tc>
          <w:tcPr>
            <w:tcW w:w="1656" w:type="dxa"/>
          </w:tcPr>
          <w:p w14:paraId="7DF1016D" w14:textId="77777777" w:rsidR="00511657" w:rsidRDefault="00511657" w:rsidP="00511657">
            <w:pPr>
              <w:pStyle w:val="Tabletextboldleft"/>
              <w:keepNext w:val="0"/>
            </w:pPr>
            <w:r>
              <w:t>Study ID</w:t>
            </w:r>
          </w:p>
        </w:tc>
        <w:tc>
          <w:tcPr>
            <w:tcW w:w="6640" w:type="dxa"/>
          </w:tcPr>
          <w:p w14:paraId="21D0B14E" w14:textId="77777777" w:rsidR="00511657" w:rsidRDefault="00511657" w:rsidP="00511657">
            <w:pPr>
              <w:pStyle w:val="Tabletextboldleft"/>
              <w:keepNext w:val="0"/>
            </w:pPr>
            <w:r>
              <w:t>Citation</w:t>
            </w:r>
          </w:p>
        </w:tc>
      </w:tr>
      <w:tr w:rsidR="00511657" w14:paraId="2A823FE3" w14:textId="77777777" w:rsidTr="003D1597">
        <w:tc>
          <w:tcPr>
            <w:tcW w:w="1656" w:type="dxa"/>
            <w:shd w:val="clear" w:color="auto" w:fill="D0CECE" w:themeFill="background2" w:themeFillShade="E6"/>
          </w:tcPr>
          <w:p w14:paraId="4127E2E3" w14:textId="77777777" w:rsidR="00511657" w:rsidRDefault="00511657" w:rsidP="00511657">
            <w:pPr>
              <w:pStyle w:val="Tabletextcentred"/>
              <w:jc w:val="left"/>
            </w:pPr>
            <w:r>
              <w:t>Systematic reviews</w:t>
            </w:r>
          </w:p>
        </w:tc>
        <w:tc>
          <w:tcPr>
            <w:tcW w:w="6640" w:type="dxa"/>
            <w:shd w:val="clear" w:color="auto" w:fill="D0CECE" w:themeFill="background2" w:themeFillShade="E6"/>
          </w:tcPr>
          <w:p w14:paraId="32380771" w14:textId="77777777" w:rsidR="00511657" w:rsidRDefault="00511657" w:rsidP="00511657">
            <w:pPr>
              <w:pStyle w:val="Tabletextcentred"/>
              <w:jc w:val="left"/>
            </w:pPr>
            <w:r>
              <w:t>-</w:t>
            </w:r>
          </w:p>
        </w:tc>
      </w:tr>
      <w:tr w:rsidR="00511657" w14:paraId="609758EA" w14:textId="77777777" w:rsidTr="003D1597">
        <w:tc>
          <w:tcPr>
            <w:tcW w:w="1656" w:type="dxa"/>
            <w:shd w:val="clear" w:color="auto" w:fill="FFFFFF" w:themeFill="background1"/>
          </w:tcPr>
          <w:p w14:paraId="61D9A607" w14:textId="77777777" w:rsidR="00511657" w:rsidRDefault="00511657" w:rsidP="00511657">
            <w:pPr>
              <w:pStyle w:val="Tabletextcentred"/>
              <w:jc w:val="left"/>
            </w:pPr>
            <w:r>
              <w:t>Cure (2014)</w:t>
            </w:r>
          </w:p>
        </w:tc>
        <w:tc>
          <w:tcPr>
            <w:tcW w:w="6640" w:type="dxa"/>
            <w:shd w:val="clear" w:color="auto" w:fill="FFFFFF" w:themeFill="background1"/>
          </w:tcPr>
          <w:p w14:paraId="75C34E14" w14:textId="77777777" w:rsidR="00511657" w:rsidRPr="00327621" w:rsidRDefault="00511657" w:rsidP="00511657">
            <w:pPr>
              <w:pStyle w:val="Tabletextcentred"/>
              <w:jc w:val="left"/>
            </w:pPr>
            <w:r>
              <w:t xml:space="preserve">Cure S, Abrams K, Belger M, Dell’agnello G &amp; Happich M (2014). </w:t>
            </w:r>
            <w:r w:rsidRPr="00327621">
              <w:t>Systematic literature review and meta-analysis of diagnostic test accuracy in Alzheimer's disease and other dementia using autopsy as standard of truth.</w:t>
            </w:r>
            <w:r>
              <w:t xml:space="preserve"> </w:t>
            </w:r>
            <w:r>
              <w:rPr>
                <w:i/>
              </w:rPr>
              <w:t xml:space="preserve">J Alzheimers Dis, </w:t>
            </w:r>
            <w:r>
              <w:t>42(1):169-82.</w:t>
            </w:r>
          </w:p>
        </w:tc>
      </w:tr>
      <w:tr w:rsidR="00511657" w14:paraId="0BCC7A2A" w14:textId="77777777" w:rsidTr="003D1597">
        <w:tc>
          <w:tcPr>
            <w:tcW w:w="1656" w:type="dxa"/>
            <w:shd w:val="clear" w:color="auto" w:fill="D0CECE" w:themeFill="background2" w:themeFillShade="E6"/>
          </w:tcPr>
          <w:p w14:paraId="293AE865" w14:textId="77777777" w:rsidR="00511657" w:rsidRDefault="00511657" w:rsidP="00511657">
            <w:pPr>
              <w:pStyle w:val="Tabletextcentred"/>
              <w:jc w:val="left"/>
            </w:pPr>
            <w:r>
              <w:t>Primary studies</w:t>
            </w:r>
          </w:p>
        </w:tc>
        <w:tc>
          <w:tcPr>
            <w:tcW w:w="6640" w:type="dxa"/>
            <w:shd w:val="clear" w:color="auto" w:fill="D0CECE" w:themeFill="background2" w:themeFillShade="E6"/>
          </w:tcPr>
          <w:p w14:paraId="53F226EF" w14:textId="77777777" w:rsidR="00511657" w:rsidRDefault="00511657" w:rsidP="00511657">
            <w:pPr>
              <w:pStyle w:val="Tabletextcentred"/>
              <w:jc w:val="left"/>
            </w:pPr>
            <w:r>
              <w:t>-</w:t>
            </w:r>
          </w:p>
        </w:tc>
      </w:tr>
      <w:tr w:rsidR="00511657" w14:paraId="7D84AAF9" w14:textId="77777777" w:rsidTr="003D1597">
        <w:tc>
          <w:tcPr>
            <w:tcW w:w="1656" w:type="dxa"/>
          </w:tcPr>
          <w:p w14:paraId="3E7760D8" w14:textId="77777777" w:rsidR="00511657" w:rsidRDefault="00511657" w:rsidP="00511657">
            <w:pPr>
              <w:pStyle w:val="Tabletextcentred"/>
              <w:jc w:val="left"/>
            </w:pPr>
            <w:r>
              <w:t>Bonte (1993)</w:t>
            </w:r>
          </w:p>
        </w:tc>
        <w:tc>
          <w:tcPr>
            <w:tcW w:w="6640" w:type="dxa"/>
          </w:tcPr>
          <w:p w14:paraId="04CB122B" w14:textId="77777777" w:rsidR="00511657" w:rsidRPr="00C26210" w:rsidRDefault="00511657" w:rsidP="00511657">
            <w:pPr>
              <w:pStyle w:val="Tabletextcentred"/>
              <w:jc w:val="left"/>
            </w:pPr>
            <w:r>
              <w:t xml:space="preserve">Bonte FJ, Tintner R, Weiner MF, Bigio EH, White CL, III (1993) Brain blood flow in the dementias: SPECT with histopathologic correlation. </w:t>
            </w:r>
            <w:r w:rsidRPr="00866FD7">
              <w:rPr>
                <w:i/>
              </w:rPr>
              <w:t>Radiology</w:t>
            </w:r>
            <w:r>
              <w:t>, 186:361-365.</w:t>
            </w:r>
          </w:p>
        </w:tc>
      </w:tr>
      <w:tr w:rsidR="00511657" w14:paraId="3AC8D3CF" w14:textId="77777777" w:rsidTr="003D1597">
        <w:tc>
          <w:tcPr>
            <w:tcW w:w="1656" w:type="dxa"/>
          </w:tcPr>
          <w:p w14:paraId="65A00ADD" w14:textId="77777777" w:rsidR="00511657" w:rsidRDefault="00511657" w:rsidP="00511657">
            <w:pPr>
              <w:pStyle w:val="Tabletextcentred"/>
              <w:jc w:val="left"/>
            </w:pPr>
            <w:r>
              <w:t>Bonte (1997)</w:t>
            </w:r>
          </w:p>
        </w:tc>
        <w:tc>
          <w:tcPr>
            <w:tcW w:w="6640" w:type="dxa"/>
          </w:tcPr>
          <w:p w14:paraId="47CDBC97" w14:textId="77777777" w:rsidR="00511657" w:rsidRPr="00C26210" w:rsidRDefault="00511657" w:rsidP="00511657">
            <w:pPr>
              <w:pStyle w:val="Tabletextcentred"/>
              <w:jc w:val="left"/>
            </w:pPr>
            <w:r>
              <w:t>Bonte FJ, Weiner MF, Bigio EH, White CL, III (1997) Brain blood flow in the dementias: SPECT with histopathologic correlation in 54 patients.</w:t>
            </w:r>
            <w:r w:rsidRPr="00866FD7">
              <w:rPr>
                <w:i/>
              </w:rPr>
              <w:t xml:space="preserve"> Radiology</w:t>
            </w:r>
            <w:r>
              <w:t>, 202:793-797.</w:t>
            </w:r>
          </w:p>
        </w:tc>
      </w:tr>
      <w:tr w:rsidR="00511657" w14:paraId="35350090" w14:textId="77777777" w:rsidTr="003D1597">
        <w:tc>
          <w:tcPr>
            <w:tcW w:w="1656" w:type="dxa"/>
          </w:tcPr>
          <w:p w14:paraId="457275B4" w14:textId="77777777" w:rsidR="00511657" w:rsidRDefault="00511657" w:rsidP="00511657">
            <w:pPr>
              <w:pStyle w:val="Tabletextcentred"/>
              <w:jc w:val="left"/>
            </w:pPr>
            <w:r>
              <w:t>Bonte (2004)</w:t>
            </w:r>
          </w:p>
        </w:tc>
        <w:tc>
          <w:tcPr>
            <w:tcW w:w="6640" w:type="dxa"/>
          </w:tcPr>
          <w:p w14:paraId="531A5B7F" w14:textId="77777777" w:rsidR="00511657" w:rsidRPr="00C26210" w:rsidRDefault="00511657" w:rsidP="00511657">
            <w:pPr>
              <w:pStyle w:val="Tabletextcentred"/>
              <w:jc w:val="left"/>
            </w:pPr>
            <w:r>
              <w:t xml:space="preserve">Bonte FJ, Harris TS, Roney CA, Hynan LS (2004) Differential diagnosis between Alzheimer’s and frontotemporal disease by the posterior cingulate sign. </w:t>
            </w:r>
            <w:r w:rsidRPr="00866FD7">
              <w:rPr>
                <w:i/>
              </w:rPr>
              <w:t>J Nucl Med</w:t>
            </w:r>
            <w:r>
              <w:rPr>
                <w:i/>
              </w:rPr>
              <w:t>,</w:t>
            </w:r>
            <w:r>
              <w:t xml:space="preserve"> 45:771-774.</w:t>
            </w:r>
          </w:p>
        </w:tc>
      </w:tr>
      <w:tr w:rsidR="00511657" w14:paraId="40886AA9" w14:textId="77777777" w:rsidTr="003D1597">
        <w:tc>
          <w:tcPr>
            <w:tcW w:w="1656" w:type="dxa"/>
          </w:tcPr>
          <w:p w14:paraId="4D635D98" w14:textId="77777777" w:rsidR="00511657" w:rsidRDefault="00511657" w:rsidP="00511657">
            <w:pPr>
              <w:pStyle w:val="Tabletextcentred"/>
              <w:jc w:val="left"/>
            </w:pPr>
            <w:r>
              <w:t>Bonte (2006)</w:t>
            </w:r>
          </w:p>
        </w:tc>
        <w:tc>
          <w:tcPr>
            <w:tcW w:w="6640" w:type="dxa"/>
          </w:tcPr>
          <w:p w14:paraId="780A5C6B" w14:textId="77777777" w:rsidR="00511657" w:rsidRPr="006E1B9C" w:rsidRDefault="00511657" w:rsidP="00511657">
            <w:pPr>
              <w:spacing w:after="0"/>
              <w:ind w:left="0"/>
              <w:rPr>
                <w:rFonts w:ascii="Arial Narrow" w:hAnsi="Arial Narrow"/>
                <w:noProof/>
                <w:sz w:val="20"/>
                <w:szCs w:val="20"/>
              </w:rPr>
            </w:pPr>
            <w:r w:rsidRPr="006E1B9C">
              <w:rPr>
                <w:rFonts w:ascii="Arial Narrow" w:hAnsi="Arial Narrow"/>
                <w:noProof/>
                <w:sz w:val="20"/>
                <w:szCs w:val="20"/>
              </w:rPr>
              <w:t xml:space="preserve">Bonte FJ, Harris TS, Hynan LS, Bigio EH &amp; White ICL (2006). Tc-99m HMPAO SPECT in the differential diagnosis of the dementias with histopathologic confirmation. </w:t>
            </w:r>
            <w:r w:rsidRPr="006E1B9C">
              <w:rPr>
                <w:rFonts w:ascii="Arial Narrow" w:hAnsi="Arial Narrow"/>
                <w:i/>
                <w:noProof/>
                <w:sz w:val="20"/>
                <w:szCs w:val="20"/>
              </w:rPr>
              <w:t>Clinical Nuclear Medicine,</w:t>
            </w:r>
            <w:r w:rsidRPr="006E1B9C">
              <w:rPr>
                <w:rFonts w:ascii="Arial Narrow" w:hAnsi="Arial Narrow"/>
                <w:noProof/>
                <w:sz w:val="20"/>
                <w:szCs w:val="20"/>
              </w:rPr>
              <w:t xml:space="preserve"> 31(7):376-378.</w:t>
            </w:r>
          </w:p>
        </w:tc>
      </w:tr>
      <w:tr w:rsidR="00511657" w14:paraId="4C87D0C9" w14:textId="77777777" w:rsidTr="003D1597">
        <w:tc>
          <w:tcPr>
            <w:tcW w:w="1656" w:type="dxa"/>
          </w:tcPr>
          <w:p w14:paraId="4C709D8D" w14:textId="77777777" w:rsidR="00511657" w:rsidRDefault="00511657" w:rsidP="00511657">
            <w:pPr>
              <w:pStyle w:val="Tabletextcentred"/>
              <w:jc w:val="left"/>
            </w:pPr>
            <w:r>
              <w:t>Foster (2007)</w:t>
            </w:r>
          </w:p>
        </w:tc>
        <w:tc>
          <w:tcPr>
            <w:tcW w:w="6640" w:type="dxa"/>
          </w:tcPr>
          <w:p w14:paraId="175900FE" w14:textId="77777777" w:rsidR="00511657" w:rsidRPr="00C26210" w:rsidRDefault="00511657" w:rsidP="00511657">
            <w:pPr>
              <w:pStyle w:val="Tabletextcentred"/>
              <w:jc w:val="left"/>
            </w:pPr>
            <w:r w:rsidRPr="006E1B9C">
              <w:t xml:space="preserve">Foster NL, Heidebrink JL, Clark CM, Jagust WJ, Arnold SE, Barbas NR, et al. (2007). FDG-PET improves accuracy in distinguishing frontotemporal dementia and Alzheimer's disease. </w:t>
            </w:r>
            <w:r w:rsidRPr="003B1818">
              <w:rPr>
                <w:i/>
              </w:rPr>
              <w:t>Brain</w:t>
            </w:r>
            <w:r w:rsidRPr="006E1B9C">
              <w:t>, 130(10):2616-2635.</w:t>
            </w:r>
          </w:p>
        </w:tc>
      </w:tr>
      <w:tr w:rsidR="00511657" w14:paraId="7AE091A1" w14:textId="77777777" w:rsidTr="003D1597">
        <w:tc>
          <w:tcPr>
            <w:tcW w:w="1656" w:type="dxa"/>
          </w:tcPr>
          <w:p w14:paraId="116197EC" w14:textId="77777777" w:rsidR="00511657" w:rsidRDefault="00511657" w:rsidP="00511657">
            <w:pPr>
              <w:pStyle w:val="Tabletextcentred"/>
              <w:jc w:val="left"/>
            </w:pPr>
            <w:r>
              <w:t>Hoffman (2000)</w:t>
            </w:r>
          </w:p>
        </w:tc>
        <w:tc>
          <w:tcPr>
            <w:tcW w:w="6640" w:type="dxa"/>
          </w:tcPr>
          <w:p w14:paraId="680DF799" w14:textId="77777777" w:rsidR="00511657" w:rsidRPr="00C26210" w:rsidRDefault="00511657" w:rsidP="00511657">
            <w:pPr>
              <w:pStyle w:val="Tabletextcentred"/>
              <w:jc w:val="left"/>
            </w:pPr>
            <w:r w:rsidRPr="006E1B9C">
              <w:t xml:space="preserve">Hoffman JM, Welsh-Bohmer KA, Hanson M, Crain B, Hulette C, Earl N, et al. (2000). FDG PET imaging in patients with pathologically verified dementia. </w:t>
            </w:r>
            <w:r w:rsidRPr="003B1818">
              <w:rPr>
                <w:i/>
              </w:rPr>
              <w:t>Journal of Nuclear Medicine</w:t>
            </w:r>
            <w:r w:rsidRPr="006E1B9C">
              <w:t>, 41(11):1920-1928.</w:t>
            </w:r>
          </w:p>
        </w:tc>
      </w:tr>
      <w:tr w:rsidR="00511657" w14:paraId="4EFEA0BE" w14:textId="77777777" w:rsidTr="003D1597">
        <w:tc>
          <w:tcPr>
            <w:tcW w:w="1656" w:type="dxa"/>
          </w:tcPr>
          <w:p w14:paraId="143FC0A8" w14:textId="77777777" w:rsidR="00511657" w:rsidRDefault="00511657" w:rsidP="00511657">
            <w:pPr>
              <w:pStyle w:val="Tabletextcentred"/>
              <w:jc w:val="left"/>
            </w:pPr>
            <w:r>
              <w:t>Jagust (2001)</w:t>
            </w:r>
          </w:p>
        </w:tc>
        <w:tc>
          <w:tcPr>
            <w:tcW w:w="6640" w:type="dxa"/>
          </w:tcPr>
          <w:p w14:paraId="6CCEA78C" w14:textId="6692D649" w:rsidR="00511657" w:rsidRPr="006E1B9C" w:rsidRDefault="00511657" w:rsidP="00511657">
            <w:pPr>
              <w:pStyle w:val="Tabletextcentred"/>
              <w:jc w:val="left"/>
            </w:pPr>
            <w:r>
              <w:t xml:space="preserve">Jagust W, Thisted R, Devous MD Sr, Van Heertum R, Mayberg H, Jobst K, et al. (2001) SPECT perfusion imaging in the diagnosis of Alzheimer’s disease: a clinical-pathologic study. </w:t>
            </w:r>
            <w:r w:rsidRPr="002D668B">
              <w:rPr>
                <w:i/>
              </w:rPr>
              <w:t>Neurology</w:t>
            </w:r>
            <w:r>
              <w:rPr>
                <w:i/>
              </w:rPr>
              <w:t>,</w:t>
            </w:r>
            <w:r>
              <w:t xml:space="preserve"> 56(7):950–</w:t>
            </w:r>
            <w:r w:rsidR="00550781">
              <w:t>956.</w:t>
            </w:r>
          </w:p>
        </w:tc>
      </w:tr>
      <w:tr w:rsidR="00511657" w14:paraId="07E8BB85" w14:textId="77777777" w:rsidTr="003D1597">
        <w:tc>
          <w:tcPr>
            <w:tcW w:w="1656" w:type="dxa"/>
          </w:tcPr>
          <w:p w14:paraId="19696EAB" w14:textId="77777777" w:rsidR="00511657" w:rsidRDefault="00511657" w:rsidP="00511657">
            <w:pPr>
              <w:pStyle w:val="Tabletextcentred"/>
              <w:jc w:val="left"/>
            </w:pPr>
            <w:r>
              <w:t>Jagust (2007)</w:t>
            </w:r>
          </w:p>
        </w:tc>
        <w:tc>
          <w:tcPr>
            <w:tcW w:w="6640" w:type="dxa"/>
          </w:tcPr>
          <w:p w14:paraId="7CC76132" w14:textId="77777777" w:rsidR="00511657" w:rsidRPr="00C26210" w:rsidRDefault="00511657" w:rsidP="00511657">
            <w:pPr>
              <w:pStyle w:val="Tabletextcentred"/>
              <w:jc w:val="left"/>
            </w:pPr>
            <w:r w:rsidRPr="006E1B9C">
              <w:t xml:space="preserve">Jagust W, Reed B, Mungas D, Ellis W &amp; DeCarli C (2007). What does fluorodeoxyglucose PET imaging add to a clinical diagnosis of dementia? </w:t>
            </w:r>
            <w:r w:rsidRPr="003B1818">
              <w:rPr>
                <w:i/>
              </w:rPr>
              <w:t>Neurology</w:t>
            </w:r>
            <w:r w:rsidRPr="006E1B9C">
              <w:t>, 69(9):871-877.</w:t>
            </w:r>
          </w:p>
        </w:tc>
      </w:tr>
      <w:tr w:rsidR="00511657" w14:paraId="1B735EBC" w14:textId="77777777" w:rsidTr="003D1597">
        <w:tc>
          <w:tcPr>
            <w:tcW w:w="1656" w:type="dxa"/>
          </w:tcPr>
          <w:p w14:paraId="066E96A4" w14:textId="77777777" w:rsidR="00511657" w:rsidRDefault="00511657" w:rsidP="00511657">
            <w:pPr>
              <w:pStyle w:val="Tabletextcentred"/>
              <w:jc w:val="left"/>
            </w:pPr>
            <w:r>
              <w:t>Jobst (1998)</w:t>
            </w:r>
          </w:p>
        </w:tc>
        <w:tc>
          <w:tcPr>
            <w:tcW w:w="6640" w:type="dxa"/>
          </w:tcPr>
          <w:p w14:paraId="5B95C354" w14:textId="77777777" w:rsidR="00511657" w:rsidRPr="006E1B9C" w:rsidRDefault="00511657" w:rsidP="00511657">
            <w:pPr>
              <w:pStyle w:val="Tabletextcentred"/>
              <w:jc w:val="left"/>
            </w:pPr>
            <w:r>
              <w:t xml:space="preserve">Jobst KA, Barnetson LP, Shepstone BJ (1998) Accurate prediction of histologically confirmed Alzheimer’s disease and the differential diagnosis of dementia: The use of NINCDSADRDA and DSM-III-R criteria, SPECT, X-ray CT, and ApoE4 in medial temporal lobe dementias. Oxford Project to Investigate Memory and Aging. </w:t>
            </w:r>
            <w:r w:rsidRPr="0007280A">
              <w:rPr>
                <w:i/>
              </w:rPr>
              <w:t>Int Psychogeriatr</w:t>
            </w:r>
            <w:r>
              <w:rPr>
                <w:i/>
              </w:rPr>
              <w:t>,</w:t>
            </w:r>
            <w:r>
              <w:t xml:space="preserve"> 10:271-302.</w:t>
            </w:r>
          </w:p>
        </w:tc>
      </w:tr>
      <w:tr w:rsidR="00511657" w14:paraId="082F77A5" w14:textId="77777777" w:rsidTr="003D1597">
        <w:tc>
          <w:tcPr>
            <w:tcW w:w="1656" w:type="dxa"/>
          </w:tcPr>
          <w:p w14:paraId="34061762" w14:textId="77777777" w:rsidR="00511657" w:rsidRDefault="00511657" w:rsidP="00511657">
            <w:pPr>
              <w:pStyle w:val="Tabletextcentred"/>
              <w:jc w:val="left"/>
            </w:pPr>
            <w:r>
              <w:lastRenderedPageBreak/>
              <w:t>McNeill (2007)</w:t>
            </w:r>
          </w:p>
        </w:tc>
        <w:tc>
          <w:tcPr>
            <w:tcW w:w="6640" w:type="dxa"/>
          </w:tcPr>
          <w:p w14:paraId="68BBD035" w14:textId="77777777" w:rsidR="00511657" w:rsidRDefault="00511657" w:rsidP="00511657">
            <w:pPr>
              <w:pStyle w:val="Tabletextcentred"/>
              <w:jc w:val="left"/>
            </w:pPr>
            <w:r>
              <w:t xml:space="preserve">McNeill R, Sare GM, Manoharan M, Testa HJ, Mann DM, Neary D, et al. (2007) Accuracy of single-photon emission computed tomography in differentiating frontotemporal dementia from Alzheimer’s disease. </w:t>
            </w:r>
            <w:r w:rsidRPr="002D668B">
              <w:rPr>
                <w:i/>
              </w:rPr>
              <w:t>J Neurol Neurosurg Psychiatry</w:t>
            </w:r>
            <w:r>
              <w:t>,</w:t>
            </w:r>
            <w:r w:rsidRPr="002D668B">
              <w:rPr>
                <w:i/>
              </w:rPr>
              <w:t xml:space="preserve"> </w:t>
            </w:r>
            <w:r>
              <w:t>78:350-335.</w:t>
            </w:r>
          </w:p>
        </w:tc>
      </w:tr>
      <w:tr w:rsidR="00511657" w14:paraId="1BA02053" w14:textId="77777777" w:rsidTr="003D1597">
        <w:tc>
          <w:tcPr>
            <w:tcW w:w="1656" w:type="dxa"/>
          </w:tcPr>
          <w:p w14:paraId="200DA81F" w14:textId="77777777" w:rsidR="00511657" w:rsidRDefault="00511657" w:rsidP="00511657">
            <w:pPr>
              <w:pStyle w:val="Tabletextcentred"/>
              <w:jc w:val="left"/>
            </w:pPr>
            <w:r>
              <w:t>Minoshima (2001)</w:t>
            </w:r>
          </w:p>
        </w:tc>
        <w:tc>
          <w:tcPr>
            <w:tcW w:w="6640" w:type="dxa"/>
          </w:tcPr>
          <w:p w14:paraId="46F7630F" w14:textId="77777777" w:rsidR="00511657" w:rsidRDefault="00511657" w:rsidP="00511657">
            <w:pPr>
              <w:pStyle w:val="Tabletextcentred"/>
              <w:jc w:val="left"/>
            </w:pPr>
            <w:r>
              <w:t xml:space="preserve">Minoshima S, Foster NL, Sima AAF, et al. 2001. Alzheimer’s disease versus dementia with Lewy bodies: cerebral metabolic distinction with autopsy confirmation. </w:t>
            </w:r>
            <w:r w:rsidRPr="008A1ACB">
              <w:rPr>
                <w:i/>
              </w:rPr>
              <w:t>Ann Neurol</w:t>
            </w:r>
            <w:r>
              <w:t xml:space="preserve"> 50:358–265.</w:t>
            </w:r>
          </w:p>
        </w:tc>
      </w:tr>
      <w:tr w:rsidR="00511657" w14:paraId="13D06871" w14:textId="77777777" w:rsidTr="003D1597">
        <w:tc>
          <w:tcPr>
            <w:tcW w:w="1656" w:type="dxa"/>
          </w:tcPr>
          <w:p w14:paraId="6904DCE0" w14:textId="77777777" w:rsidR="00511657" w:rsidRDefault="00511657" w:rsidP="00511657">
            <w:pPr>
              <w:pStyle w:val="Tabletextcentred"/>
              <w:jc w:val="left"/>
            </w:pPr>
            <w:r>
              <w:t>Rusina (2010)</w:t>
            </w:r>
          </w:p>
        </w:tc>
        <w:tc>
          <w:tcPr>
            <w:tcW w:w="6640" w:type="dxa"/>
          </w:tcPr>
          <w:p w14:paraId="7A9A7D93" w14:textId="77777777" w:rsidR="00511657" w:rsidRPr="003B1818" w:rsidRDefault="00511657" w:rsidP="00511657">
            <w:pPr>
              <w:pStyle w:val="Tabletextcentred"/>
              <w:jc w:val="left"/>
            </w:pPr>
            <w:r>
              <w:t xml:space="preserve">Rusina R, Kukal J, Belicek T, Buncova M &amp; Matej R (2010). Use of fuzzy edge single-photon emission computed tomography analysis in definite Alzheimer’s disease – a retrospective study. </w:t>
            </w:r>
            <w:r>
              <w:rPr>
                <w:i/>
              </w:rPr>
              <w:t>BMC Med Imaging</w:t>
            </w:r>
            <w:r>
              <w:t>, 10:20.</w:t>
            </w:r>
          </w:p>
        </w:tc>
      </w:tr>
      <w:tr w:rsidR="00511657" w14:paraId="1A08344F" w14:textId="77777777" w:rsidTr="003D1597">
        <w:tc>
          <w:tcPr>
            <w:tcW w:w="1656" w:type="dxa"/>
          </w:tcPr>
          <w:p w14:paraId="3D436A3A" w14:textId="77777777" w:rsidR="00511657" w:rsidRDefault="00511657" w:rsidP="00511657">
            <w:pPr>
              <w:pStyle w:val="Tabletextcentred"/>
              <w:jc w:val="left"/>
            </w:pPr>
            <w:r>
              <w:t>Silverman (2001)</w:t>
            </w:r>
          </w:p>
        </w:tc>
        <w:tc>
          <w:tcPr>
            <w:tcW w:w="6640" w:type="dxa"/>
          </w:tcPr>
          <w:p w14:paraId="5E4F0F3B" w14:textId="77777777" w:rsidR="00511657" w:rsidRPr="00C26210" w:rsidRDefault="00511657" w:rsidP="00511657">
            <w:pPr>
              <w:pStyle w:val="Tabletextcentred"/>
              <w:jc w:val="left"/>
            </w:pPr>
            <w:r w:rsidRPr="006E1B9C">
              <w:t xml:space="preserve">Silverman DHS, Small GW, Chang CY, Lu CS, Kung de Aburto MA, Chen W, et al. (2001). Positron emission tomography in evaluation of dementia: Regional brain metabolism and long-term outcome. </w:t>
            </w:r>
            <w:r w:rsidRPr="003B1818">
              <w:rPr>
                <w:i/>
              </w:rPr>
              <w:t>Journal of the American Medical Association</w:t>
            </w:r>
            <w:r w:rsidRPr="006E1B9C">
              <w:t>, 286(17):2120-2127.</w:t>
            </w:r>
          </w:p>
        </w:tc>
      </w:tr>
    </w:tbl>
    <w:p w14:paraId="47CB876D" w14:textId="77777777" w:rsidR="00511657" w:rsidRDefault="00511657" w:rsidP="00511657"/>
    <w:p w14:paraId="66173A6F" w14:textId="77777777" w:rsidR="00511657" w:rsidRDefault="00511657" w:rsidP="00511657">
      <w:r>
        <w:t xml:space="preserve">The matrix in </w:t>
      </w:r>
      <w:r>
        <w:fldChar w:fldCharType="begin"/>
      </w:r>
      <w:r>
        <w:instrText xml:space="preserve"> REF _Ref405457478 \h </w:instrText>
      </w:r>
      <w:r>
        <w:fldChar w:fldCharType="separate"/>
      </w:r>
      <w:r w:rsidR="00C67698">
        <w:t xml:space="preserve">Table </w:t>
      </w:r>
      <w:r w:rsidR="00C67698">
        <w:rPr>
          <w:noProof/>
        </w:rPr>
        <w:t>B.2</w:t>
      </w:r>
      <w:r w:rsidR="00C67698">
        <w:noBreakHyphen/>
      </w:r>
      <w:r w:rsidR="00C67698">
        <w:rPr>
          <w:noProof/>
        </w:rPr>
        <w:t>3</w:t>
      </w:r>
      <w:r>
        <w:fldChar w:fldCharType="end"/>
      </w:r>
      <w:r>
        <w:t xml:space="preserve"> shows the four included systematic reviews and all of the primary studies that are discussed throughout Section B. Three of the systematic reviews included studies that directly compared the diagnostic accuracy of FDG-PET and SPECT in the diagnosis of AD. As discussed above, the only studies included in Section B that did not directly compare FDG-PET and SPECT are studies that had pathological confirmation of AD diagnosis (listed under ‘Indirect evidence’ in </w:t>
      </w:r>
      <w:r>
        <w:fldChar w:fldCharType="begin"/>
      </w:r>
      <w:r>
        <w:instrText xml:space="preserve"> REF _Ref405457478 \h </w:instrText>
      </w:r>
      <w:r>
        <w:fldChar w:fldCharType="separate"/>
      </w:r>
      <w:r w:rsidR="00C67698">
        <w:t xml:space="preserve">Table </w:t>
      </w:r>
      <w:r w:rsidR="00C67698">
        <w:rPr>
          <w:noProof/>
        </w:rPr>
        <w:t>B.2</w:t>
      </w:r>
      <w:r w:rsidR="00C67698">
        <w:noBreakHyphen/>
      </w:r>
      <w:r w:rsidR="00C67698">
        <w:rPr>
          <w:noProof/>
        </w:rPr>
        <w:t>3</w:t>
      </w:r>
      <w:r>
        <w:fldChar w:fldCharType="end"/>
      </w:r>
      <w:r>
        <w:t>).</w:t>
      </w:r>
    </w:p>
    <w:p w14:paraId="2429AC5D" w14:textId="6CE3E542" w:rsidR="00511657" w:rsidRDefault="00511657" w:rsidP="00511657">
      <w:pPr>
        <w:pStyle w:val="Caption"/>
      </w:pPr>
      <w:bookmarkStart w:id="84" w:name="_Ref405457478"/>
      <w:bookmarkStart w:id="85" w:name="_Toc406231699"/>
      <w:bookmarkStart w:id="86" w:name="_Toc408845207"/>
      <w:r>
        <w:t xml:space="preserve">Table </w:t>
      </w:r>
      <w:fldSimple w:instr=" STYLEREF 2 \s ">
        <w:r w:rsidR="00C67698">
          <w:rPr>
            <w:noProof/>
          </w:rPr>
          <w:t>B.2</w:t>
        </w:r>
      </w:fldSimple>
      <w:r w:rsidR="00524916">
        <w:noBreakHyphen/>
      </w:r>
      <w:fldSimple w:instr=" SEQ Table \* ARABIC \s 2 ">
        <w:r w:rsidR="00C67698">
          <w:rPr>
            <w:noProof/>
          </w:rPr>
          <w:t>3</w:t>
        </w:r>
      </w:fldSimple>
      <w:bookmarkEnd w:id="84"/>
      <w:r>
        <w:tab/>
        <w:t>Matrix showing primary studies included in each of the systematic reviews</w:t>
      </w:r>
      <w:bookmarkEnd w:id="85"/>
      <w:bookmarkEnd w:id="86"/>
    </w:p>
    <w:tbl>
      <w:tblPr>
        <w:tblStyle w:val="TableGrid3"/>
        <w:tblW w:w="8345" w:type="dxa"/>
        <w:tblInd w:w="720" w:type="dxa"/>
        <w:tblLayout w:type="fixed"/>
        <w:tblCellMar>
          <w:left w:w="57" w:type="dxa"/>
          <w:right w:w="57" w:type="dxa"/>
        </w:tblCellMar>
        <w:tblLook w:val="04A0" w:firstRow="1" w:lastRow="0" w:firstColumn="1" w:lastColumn="0" w:noHBand="0" w:noVBand="1"/>
        <w:tblCaption w:val="A matrix showing primary studies included in each of the systematic reviews"/>
        <w:tblDescription w:val="The four systematic reviews and twenty-two primary studies considered in the diagnostic accuracy sections of the Assessment Report."/>
      </w:tblPr>
      <w:tblGrid>
        <w:gridCol w:w="1969"/>
        <w:gridCol w:w="1594"/>
        <w:gridCol w:w="1594"/>
        <w:gridCol w:w="1594"/>
        <w:gridCol w:w="1594"/>
      </w:tblGrid>
      <w:tr w:rsidR="00511657" w:rsidRPr="00B5394F" w14:paraId="0CE08899" w14:textId="77777777" w:rsidTr="00F83CF3">
        <w:trPr>
          <w:tblHeader/>
        </w:trPr>
        <w:tc>
          <w:tcPr>
            <w:tcW w:w="1969" w:type="dxa"/>
          </w:tcPr>
          <w:p w14:paraId="6DC61ECF" w14:textId="77777777" w:rsidR="00511657" w:rsidRPr="00B5394F" w:rsidRDefault="00511657" w:rsidP="00511657">
            <w:pPr>
              <w:spacing w:after="0"/>
              <w:ind w:left="0"/>
              <w:rPr>
                <w:rFonts w:ascii="Arial Narrow" w:eastAsia="Times New Roman" w:hAnsi="Arial Narrow" w:cs="Arial"/>
                <w:b/>
                <w:sz w:val="20"/>
                <w:szCs w:val="20"/>
              </w:rPr>
            </w:pPr>
            <w:r w:rsidRPr="00B5394F">
              <w:rPr>
                <w:rFonts w:ascii="Arial Narrow" w:eastAsia="Times New Roman" w:hAnsi="Arial Narrow" w:cs="Arial"/>
                <w:b/>
                <w:sz w:val="20"/>
                <w:szCs w:val="20"/>
              </w:rPr>
              <w:t>Study ID</w:t>
            </w:r>
          </w:p>
        </w:tc>
        <w:tc>
          <w:tcPr>
            <w:tcW w:w="1594" w:type="dxa"/>
          </w:tcPr>
          <w:p w14:paraId="6498DFC9" w14:textId="77777777" w:rsidR="00511657" w:rsidRPr="00B5394F" w:rsidRDefault="00511657" w:rsidP="00511657">
            <w:pPr>
              <w:spacing w:after="0"/>
              <w:ind w:left="0"/>
              <w:jc w:val="center"/>
              <w:rPr>
                <w:rFonts w:ascii="Arial Narrow" w:eastAsia="Times New Roman" w:hAnsi="Arial Narrow" w:cs="Arial"/>
                <w:b/>
                <w:sz w:val="20"/>
                <w:szCs w:val="20"/>
              </w:rPr>
            </w:pPr>
            <w:r w:rsidRPr="00B5394F">
              <w:rPr>
                <w:rFonts w:ascii="Arial Narrow" w:eastAsia="Times New Roman" w:hAnsi="Arial Narrow" w:cs="Arial"/>
                <w:b/>
                <w:sz w:val="20"/>
                <w:szCs w:val="20"/>
              </w:rPr>
              <w:t>Cure (2014)</w:t>
            </w:r>
          </w:p>
        </w:tc>
        <w:tc>
          <w:tcPr>
            <w:tcW w:w="1594" w:type="dxa"/>
          </w:tcPr>
          <w:p w14:paraId="57CE1422" w14:textId="77777777" w:rsidR="00511657" w:rsidRPr="00B5394F" w:rsidRDefault="00511657" w:rsidP="00511657">
            <w:pPr>
              <w:spacing w:after="0"/>
              <w:ind w:left="0"/>
              <w:jc w:val="center"/>
              <w:rPr>
                <w:rFonts w:ascii="Arial Narrow" w:eastAsia="Times New Roman" w:hAnsi="Arial Narrow" w:cs="Arial"/>
                <w:b/>
                <w:sz w:val="20"/>
                <w:szCs w:val="20"/>
              </w:rPr>
            </w:pPr>
            <w:r w:rsidRPr="00B5394F">
              <w:rPr>
                <w:rFonts w:ascii="Arial Narrow" w:eastAsia="Times New Roman" w:hAnsi="Arial Narrow" w:cs="Arial"/>
                <w:b/>
                <w:sz w:val="20"/>
                <w:szCs w:val="20"/>
              </w:rPr>
              <w:t>Davison (2014)</w:t>
            </w:r>
          </w:p>
        </w:tc>
        <w:tc>
          <w:tcPr>
            <w:tcW w:w="1594" w:type="dxa"/>
          </w:tcPr>
          <w:p w14:paraId="17E74EB2" w14:textId="77777777" w:rsidR="00511657" w:rsidRPr="00B5394F" w:rsidRDefault="00511657" w:rsidP="00511657">
            <w:pPr>
              <w:spacing w:after="0"/>
              <w:ind w:left="0"/>
              <w:jc w:val="center"/>
              <w:rPr>
                <w:rFonts w:ascii="Arial Narrow" w:eastAsia="Times New Roman" w:hAnsi="Arial Narrow" w:cs="Arial"/>
                <w:b/>
                <w:sz w:val="20"/>
                <w:szCs w:val="20"/>
              </w:rPr>
            </w:pPr>
            <w:r>
              <w:rPr>
                <w:rFonts w:ascii="Arial Narrow" w:eastAsia="Times New Roman" w:hAnsi="Arial Narrow" w:cs="Arial"/>
                <w:b/>
                <w:sz w:val="20"/>
                <w:szCs w:val="20"/>
              </w:rPr>
              <w:t>Frisoni (2013)</w:t>
            </w:r>
          </w:p>
        </w:tc>
        <w:tc>
          <w:tcPr>
            <w:tcW w:w="1594" w:type="dxa"/>
          </w:tcPr>
          <w:p w14:paraId="1FC2BD2F" w14:textId="77777777" w:rsidR="00511657" w:rsidRPr="00B5394F" w:rsidRDefault="00511657" w:rsidP="00511657">
            <w:pPr>
              <w:spacing w:after="0"/>
              <w:ind w:left="0"/>
              <w:jc w:val="center"/>
              <w:rPr>
                <w:rFonts w:ascii="Arial Narrow" w:eastAsia="Times New Roman" w:hAnsi="Arial Narrow" w:cs="Arial"/>
                <w:b/>
                <w:sz w:val="20"/>
                <w:szCs w:val="20"/>
              </w:rPr>
            </w:pPr>
            <w:r w:rsidRPr="00B5394F">
              <w:rPr>
                <w:rFonts w:ascii="Arial Narrow" w:eastAsia="Times New Roman" w:hAnsi="Arial Narrow" w:cs="Arial"/>
                <w:b/>
                <w:sz w:val="20"/>
                <w:szCs w:val="20"/>
              </w:rPr>
              <w:t>Bloudek (2011)</w:t>
            </w:r>
          </w:p>
        </w:tc>
      </w:tr>
      <w:tr w:rsidR="00511657" w:rsidRPr="00B5394F" w14:paraId="70DFB921" w14:textId="77777777" w:rsidTr="00511657">
        <w:tc>
          <w:tcPr>
            <w:tcW w:w="1969" w:type="dxa"/>
            <w:shd w:val="clear" w:color="auto" w:fill="D0CECE" w:themeFill="background2" w:themeFillShade="E6"/>
          </w:tcPr>
          <w:p w14:paraId="1CE504DD" w14:textId="5063831A" w:rsidR="00511657" w:rsidRPr="00B5394F" w:rsidRDefault="00F012E1"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Direct</w:t>
            </w:r>
            <w:r w:rsidRPr="00B5394F">
              <w:rPr>
                <w:rFonts w:ascii="Arial Narrow" w:eastAsia="Times New Roman" w:hAnsi="Arial Narrow" w:cs="Times New Roman"/>
                <w:sz w:val="20"/>
                <w:szCs w:val="24"/>
              </w:rPr>
              <w:t xml:space="preserve"> </w:t>
            </w:r>
            <w:r w:rsidR="00511657" w:rsidRPr="00B5394F">
              <w:rPr>
                <w:rFonts w:ascii="Arial Narrow" w:eastAsia="Times New Roman" w:hAnsi="Arial Narrow" w:cs="Times New Roman"/>
                <w:sz w:val="20"/>
                <w:szCs w:val="24"/>
              </w:rPr>
              <w:t>evidence</w:t>
            </w:r>
          </w:p>
        </w:tc>
        <w:tc>
          <w:tcPr>
            <w:tcW w:w="1594" w:type="dxa"/>
            <w:shd w:val="clear" w:color="auto" w:fill="D0CECE" w:themeFill="background2" w:themeFillShade="E6"/>
          </w:tcPr>
          <w:p w14:paraId="18F85D5E"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shd w:val="clear" w:color="auto" w:fill="D0CECE" w:themeFill="background2" w:themeFillShade="E6"/>
          </w:tcPr>
          <w:p w14:paraId="0B2292C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shd w:val="clear" w:color="auto" w:fill="D0CECE" w:themeFill="background2" w:themeFillShade="E6"/>
          </w:tcPr>
          <w:p w14:paraId="4865958A"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shd w:val="clear" w:color="auto" w:fill="D0CECE" w:themeFill="background2" w:themeFillShade="E6"/>
          </w:tcPr>
          <w:p w14:paraId="7C26A04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6913E2EE" w14:textId="77777777" w:rsidTr="00511657">
        <w:tc>
          <w:tcPr>
            <w:tcW w:w="1969" w:type="dxa"/>
          </w:tcPr>
          <w:p w14:paraId="51CE1236"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Ito (2014)</w:t>
            </w:r>
          </w:p>
        </w:tc>
        <w:tc>
          <w:tcPr>
            <w:tcW w:w="1594" w:type="dxa"/>
          </w:tcPr>
          <w:p w14:paraId="699D78C2"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592E8DD5"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6A03F8AC"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3567C596"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196386C9" w14:textId="77777777" w:rsidTr="00511657">
        <w:tc>
          <w:tcPr>
            <w:tcW w:w="1969" w:type="dxa"/>
          </w:tcPr>
          <w:p w14:paraId="3AF5C3B1"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Morinaga (2010)</w:t>
            </w:r>
          </w:p>
        </w:tc>
        <w:tc>
          <w:tcPr>
            <w:tcW w:w="1594" w:type="dxa"/>
          </w:tcPr>
          <w:p w14:paraId="0161211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064017C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63DCD049"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292F5F30"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74F06D9A" w14:textId="77777777" w:rsidTr="00511657">
        <w:tc>
          <w:tcPr>
            <w:tcW w:w="1969" w:type="dxa"/>
          </w:tcPr>
          <w:p w14:paraId="1A369866"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Nihashi (2007)</w:t>
            </w:r>
          </w:p>
        </w:tc>
        <w:tc>
          <w:tcPr>
            <w:tcW w:w="1594" w:type="dxa"/>
          </w:tcPr>
          <w:p w14:paraId="3B81508E"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6AFC26B5"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665E6C3"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E52AE2A"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564CD4F3" w14:textId="77777777" w:rsidTr="00511657">
        <w:tc>
          <w:tcPr>
            <w:tcW w:w="1969" w:type="dxa"/>
          </w:tcPr>
          <w:p w14:paraId="46A99FF6"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Döbert (2005)</w:t>
            </w:r>
          </w:p>
        </w:tc>
        <w:tc>
          <w:tcPr>
            <w:tcW w:w="1594" w:type="dxa"/>
          </w:tcPr>
          <w:p w14:paraId="746A734F"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32D6A0D3"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EE493B2"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5202F3B9"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3139E8C9" w14:textId="77777777" w:rsidTr="00511657">
        <w:tc>
          <w:tcPr>
            <w:tcW w:w="1969" w:type="dxa"/>
          </w:tcPr>
          <w:p w14:paraId="5C9258D3" w14:textId="77777777" w:rsidR="00511657" w:rsidRPr="00DE2297" w:rsidRDefault="00511657" w:rsidP="00511657">
            <w:pPr>
              <w:spacing w:after="0"/>
              <w:ind w:left="0"/>
              <w:rPr>
                <w:rFonts w:ascii="Arial Narrow" w:eastAsia="Times New Roman" w:hAnsi="Arial Narrow" w:cs="Times New Roman"/>
                <w:sz w:val="20"/>
                <w:szCs w:val="24"/>
                <w:vertAlign w:val="superscript"/>
              </w:rPr>
            </w:pPr>
            <w:r w:rsidRPr="00B5394F">
              <w:rPr>
                <w:rFonts w:ascii="Arial Narrow" w:eastAsia="Times New Roman" w:hAnsi="Arial Narrow" w:cs="Times New Roman"/>
                <w:sz w:val="20"/>
                <w:szCs w:val="24"/>
              </w:rPr>
              <w:t>Herholz (2002)</w:t>
            </w:r>
            <w:r>
              <w:rPr>
                <w:rFonts w:ascii="Arial Narrow" w:eastAsia="Times New Roman" w:hAnsi="Arial Narrow" w:cs="Times New Roman"/>
                <w:sz w:val="20"/>
                <w:szCs w:val="24"/>
                <w:vertAlign w:val="superscript"/>
              </w:rPr>
              <w:t>a</w:t>
            </w:r>
          </w:p>
        </w:tc>
        <w:tc>
          <w:tcPr>
            <w:tcW w:w="1594" w:type="dxa"/>
          </w:tcPr>
          <w:p w14:paraId="75667BBA"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77A5900B"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2593F168"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37A0DC8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6064DC5C" w14:textId="77777777" w:rsidTr="00511657">
        <w:tc>
          <w:tcPr>
            <w:tcW w:w="1969" w:type="dxa"/>
          </w:tcPr>
          <w:p w14:paraId="15A43F83"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Ishii (1999)</w:t>
            </w:r>
          </w:p>
        </w:tc>
        <w:tc>
          <w:tcPr>
            <w:tcW w:w="1594" w:type="dxa"/>
          </w:tcPr>
          <w:p w14:paraId="59254BEC"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06DE7395"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1F04BC40"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13B6A1AB"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465E8F70" w14:textId="77777777" w:rsidTr="00511657">
        <w:tc>
          <w:tcPr>
            <w:tcW w:w="1969" w:type="dxa"/>
          </w:tcPr>
          <w:p w14:paraId="18669AF4"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Messa (1994)</w:t>
            </w:r>
          </w:p>
        </w:tc>
        <w:tc>
          <w:tcPr>
            <w:tcW w:w="1594" w:type="dxa"/>
          </w:tcPr>
          <w:p w14:paraId="33533AD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1B05066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2AD43F8B"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2B9676F6"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1F95DE88" w14:textId="77777777" w:rsidTr="00511657">
        <w:tc>
          <w:tcPr>
            <w:tcW w:w="1969" w:type="dxa"/>
          </w:tcPr>
          <w:p w14:paraId="34B18DE3"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Mielke (1994)</w:t>
            </w:r>
          </w:p>
        </w:tc>
        <w:tc>
          <w:tcPr>
            <w:tcW w:w="1594" w:type="dxa"/>
          </w:tcPr>
          <w:p w14:paraId="1A9CFAE9"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13526E06"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5C53AA8E"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10C2E34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61C28864" w14:textId="77777777" w:rsidTr="00511657">
        <w:tc>
          <w:tcPr>
            <w:tcW w:w="1969" w:type="dxa"/>
          </w:tcPr>
          <w:p w14:paraId="5386C2AC"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Kuwabara (1990)</w:t>
            </w:r>
          </w:p>
        </w:tc>
        <w:tc>
          <w:tcPr>
            <w:tcW w:w="1594" w:type="dxa"/>
          </w:tcPr>
          <w:p w14:paraId="73E73452"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07CF26F4"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3116072E"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351E2D74"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673B24E6" w14:textId="77777777" w:rsidTr="00511657">
        <w:tc>
          <w:tcPr>
            <w:tcW w:w="1969" w:type="dxa"/>
            <w:shd w:val="clear" w:color="auto" w:fill="D0CECE" w:themeFill="background2" w:themeFillShade="E6"/>
          </w:tcPr>
          <w:p w14:paraId="7EF74894"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Indirect evidence</w:t>
            </w:r>
          </w:p>
        </w:tc>
        <w:tc>
          <w:tcPr>
            <w:tcW w:w="1594" w:type="dxa"/>
            <w:shd w:val="clear" w:color="auto" w:fill="D0CECE" w:themeFill="background2" w:themeFillShade="E6"/>
          </w:tcPr>
          <w:p w14:paraId="6FA85750"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shd w:val="clear" w:color="auto" w:fill="D0CECE" w:themeFill="background2" w:themeFillShade="E6"/>
          </w:tcPr>
          <w:p w14:paraId="282A9A84"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shd w:val="clear" w:color="auto" w:fill="D0CECE" w:themeFill="background2" w:themeFillShade="E6"/>
          </w:tcPr>
          <w:p w14:paraId="05767693"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shd w:val="clear" w:color="auto" w:fill="D0CECE" w:themeFill="background2" w:themeFillShade="E6"/>
          </w:tcPr>
          <w:p w14:paraId="2CAF96DB"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435DE9F0" w14:textId="77777777" w:rsidTr="00511657">
        <w:tc>
          <w:tcPr>
            <w:tcW w:w="1969" w:type="dxa"/>
          </w:tcPr>
          <w:p w14:paraId="6303877C"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Rusina (2010)</w:t>
            </w:r>
          </w:p>
        </w:tc>
        <w:tc>
          <w:tcPr>
            <w:tcW w:w="1594" w:type="dxa"/>
          </w:tcPr>
          <w:p w14:paraId="19718A86"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33DBEE6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1756AAD6"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72E4820C"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6D963436" w14:textId="77777777" w:rsidTr="00511657">
        <w:tc>
          <w:tcPr>
            <w:tcW w:w="1969" w:type="dxa"/>
          </w:tcPr>
          <w:p w14:paraId="04E48577"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Foster (2007)</w:t>
            </w:r>
          </w:p>
        </w:tc>
        <w:tc>
          <w:tcPr>
            <w:tcW w:w="1594" w:type="dxa"/>
          </w:tcPr>
          <w:p w14:paraId="4DE0E193"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73A98D9"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2E068B82"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4C22C96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7DABBE16" w14:textId="77777777" w:rsidTr="00511657">
        <w:tc>
          <w:tcPr>
            <w:tcW w:w="1969" w:type="dxa"/>
          </w:tcPr>
          <w:p w14:paraId="365DDEC0"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Jagust (2007)</w:t>
            </w:r>
          </w:p>
        </w:tc>
        <w:tc>
          <w:tcPr>
            <w:tcW w:w="1594" w:type="dxa"/>
          </w:tcPr>
          <w:p w14:paraId="4A372B3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181B10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277211EC"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5E26482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2DAC7759" w14:textId="77777777" w:rsidTr="00511657">
        <w:tc>
          <w:tcPr>
            <w:tcW w:w="1969" w:type="dxa"/>
          </w:tcPr>
          <w:p w14:paraId="40A846BB"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Silverman (2001)</w:t>
            </w:r>
          </w:p>
        </w:tc>
        <w:tc>
          <w:tcPr>
            <w:tcW w:w="1594" w:type="dxa"/>
          </w:tcPr>
          <w:p w14:paraId="12AE4DC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3EA769A"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14D4CB56"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2897078"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3184230C" w14:textId="77777777" w:rsidTr="00511657">
        <w:tc>
          <w:tcPr>
            <w:tcW w:w="1969" w:type="dxa"/>
          </w:tcPr>
          <w:p w14:paraId="4C6B5D4F"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Hoffman (2000)</w:t>
            </w:r>
          </w:p>
        </w:tc>
        <w:tc>
          <w:tcPr>
            <w:tcW w:w="1594" w:type="dxa"/>
          </w:tcPr>
          <w:p w14:paraId="4DE78095"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53CA8A6"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31EBDF3"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0D69DE5C"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3DBCD104" w14:textId="77777777" w:rsidTr="00511657">
        <w:tc>
          <w:tcPr>
            <w:tcW w:w="1969" w:type="dxa"/>
          </w:tcPr>
          <w:p w14:paraId="354162F8"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McNeill (2007)</w:t>
            </w:r>
          </w:p>
        </w:tc>
        <w:tc>
          <w:tcPr>
            <w:tcW w:w="1594" w:type="dxa"/>
          </w:tcPr>
          <w:p w14:paraId="287E953E"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1B303A80"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24410536"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6D71B1BF"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4C85DD0F" w14:textId="77777777" w:rsidTr="00511657">
        <w:tc>
          <w:tcPr>
            <w:tcW w:w="1969" w:type="dxa"/>
          </w:tcPr>
          <w:p w14:paraId="0FAB5E33"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Bonte (2006)</w:t>
            </w:r>
          </w:p>
        </w:tc>
        <w:tc>
          <w:tcPr>
            <w:tcW w:w="1594" w:type="dxa"/>
          </w:tcPr>
          <w:p w14:paraId="3C49728A"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8BBF1D2"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0D38EF64"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 xml:space="preserve"> -</w:t>
            </w:r>
          </w:p>
        </w:tc>
        <w:tc>
          <w:tcPr>
            <w:tcW w:w="1594" w:type="dxa"/>
          </w:tcPr>
          <w:p w14:paraId="5C448A98"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61912432" w14:textId="77777777" w:rsidTr="00511657">
        <w:tc>
          <w:tcPr>
            <w:tcW w:w="1969" w:type="dxa"/>
          </w:tcPr>
          <w:p w14:paraId="467E5B3F"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Bonte (2004)</w:t>
            </w:r>
          </w:p>
        </w:tc>
        <w:tc>
          <w:tcPr>
            <w:tcW w:w="1594" w:type="dxa"/>
          </w:tcPr>
          <w:p w14:paraId="787F4EB5"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6FB7941"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38678410"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76421E4B"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45C1B2ED" w14:textId="77777777" w:rsidTr="00511657">
        <w:tc>
          <w:tcPr>
            <w:tcW w:w="1969" w:type="dxa"/>
          </w:tcPr>
          <w:p w14:paraId="1826833C"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Jagust (2001)</w:t>
            </w:r>
          </w:p>
        </w:tc>
        <w:tc>
          <w:tcPr>
            <w:tcW w:w="1594" w:type="dxa"/>
          </w:tcPr>
          <w:p w14:paraId="18854BF2"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4CBF50C4"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28A3E7A"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C8BAEE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634C6AD9" w14:textId="77777777" w:rsidTr="00511657">
        <w:tc>
          <w:tcPr>
            <w:tcW w:w="1969" w:type="dxa"/>
          </w:tcPr>
          <w:p w14:paraId="32FA143A"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Minoshima (2001)</w:t>
            </w:r>
          </w:p>
        </w:tc>
        <w:tc>
          <w:tcPr>
            <w:tcW w:w="1594" w:type="dxa"/>
          </w:tcPr>
          <w:p w14:paraId="3EE6BEA6"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352CCE62"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12F6448B"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0CB0522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r>
      <w:tr w:rsidR="00511657" w:rsidRPr="00B5394F" w14:paraId="6E86E111" w14:textId="77777777" w:rsidTr="00511657">
        <w:tc>
          <w:tcPr>
            <w:tcW w:w="1969" w:type="dxa"/>
          </w:tcPr>
          <w:p w14:paraId="05ABE805"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Jobst (1998)</w:t>
            </w:r>
          </w:p>
        </w:tc>
        <w:tc>
          <w:tcPr>
            <w:tcW w:w="1594" w:type="dxa"/>
          </w:tcPr>
          <w:p w14:paraId="2EF0AB7C"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1EF7934"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3B09B2D5"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7E1E614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048B9C75" w14:textId="77777777" w:rsidTr="00511657">
        <w:tc>
          <w:tcPr>
            <w:tcW w:w="1969" w:type="dxa"/>
          </w:tcPr>
          <w:p w14:paraId="4775482E"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Bonte (1997)</w:t>
            </w:r>
          </w:p>
        </w:tc>
        <w:tc>
          <w:tcPr>
            <w:tcW w:w="1594" w:type="dxa"/>
          </w:tcPr>
          <w:p w14:paraId="795EE20D"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481308A7"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1D3FD94B"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357FD7EE"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r w:rsidR="00511657" w:rsidRPr="00B5394F" w14:paraId="5A663ADC" w14:textId="77777777" w:rsidTr="00511657">
        <w:tc>
          <w:tcPr>
            <w:tcW w:w="1969" w:type="dxa"/>
          </w:tcPr>
          <w:p w14:paraId="7AFDE38E" w14:textId="77777777" w:rsidR="00511657" w:rsidRPr="00B5394F" w:rsidRDefault="00511657" w:rsidP="00511657">
            <w:pPr>
              <w:spacing w:after="0"/>
              <w:ind w:left="0"/>
              <w:rPr>
                <w:rFonts w:ascii="Arial Narrow" w:eastAsia="Times New Roman" w:hAnsi="Arial Narrow" w:cs="Times New Roman"/>
                <w:sz w:val="20"/>
                <w:szCs w:val="24"/>
              </w:rPr>
            </w:pPr>
            <w:r w:rsidRPr="00B5394F">
              <w:rPr>
                <w:rFonts w:ascii="Arial Narrow" w:eastAsia="Times New Roman" w:hAnsi="Arial Narrow" w:cs="Times New Roman"/>
                <w:sz w:val="20"/>
                <w:szCs w:val="24"/>
              </w:rPr>
              <w:t>Bonte (1993)</w:t>
            </w:r>
          </w:p>
        </w:tc>
        <w:tc>
          <w:tcPr>
            <w:tcW w:w="1594" w:type="dxa"/>
          </w:tcPr>
          <w:p w14:paraId="790FC17C"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c>
          <w:tcPr>
            <w:tcW w:w="1594" w:type="dxa"/>
          </w:tcPr>
          <w:p w14:paraId="6C7E9879"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t>-</w:t>
            </w:r>
          </w:p>
        </w:tc>
        <w:tc>
          <w:tcPr>
            <w:tcW w:w="1594" w:type="dxa"/>
          </w:tcPr>
          <w:p w14:paraId="4FAC3F7C" w14:textId="77777777" w:rsidR="00511657" w:rsidRPr="00B5394F" w:rsidRDefault="00511657" w:rsidP="0051165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594" w:type="dxa"/>
          </w:tcPr>
          <w:p w14:paraId="1E0C56AF" w14:textId="77777777" w:rsidR="00511657" w:rsidRPr="00B5394F" w:rsidRDefault="00511657" w:rsidP="00511657">
            <w:pPr>
              <w:spacing w:after="0"/>
              <w:ind w:left="0"/>
              <w:jc w:val="center"/>
              <w:rPr>
                <w:rFonts w:ascii="Arial Narrow" w:eastAsia="Times New Roman" w:hAnsi="Arial Narrow" w:cs="Times New Roman"/>
                <w:sz w:val="20"/>
                <w:szCs w:val="24"/>
              </w:rPr>
            </w:pPr>
            <w:r w:rsidRPr="00B5394F">
              <w:rPr>
                <w:rFonts w:ascii="Arial Narrow" w:eastAsia="Times New Roman" w:hAnsi="Arial Narrow" w:cs="Times New Roman"/>
                <w:sz w:val="20"/>
                <w:szCs w:val="24"/>
              </w:rPr>
              <w:sym w:font="Wingdings" w:char="F0FC"/>
            </w:r>
          </w:p>
        </w:tc>
      </w:tr>
    </w:tbl>
    <w:p w14:paraId="1EECE81C" w14:textId="77777777" w:rsidR="00511657" w:rsidRPr="00DE2297" w:rsidRDefault="00511657" w:rsidP="00511657">
      <w:pPr>
        <w:pStyle w:val="Tablefootnotes"/>
      </w:pPr>
      <w:r>
        <w:rPr>
          <w:vertAlign w:val="superscript"/>
        </w:rPr>
        <w:t xml:space="preserve">a </w:t>
      </w:r>
      <w:r>
        <w:t xml:space="preserve">Bloudek (2011) and Frisoni (2013) both included a different 2002 study by Herholz et al. It was included in the FDG-PET meta-analysis in Bloudek (2011); however it is not included individually in the Assessment Report as it reports the diagnostic accuracy of FDG-PET only and does not have autopsy confirmation of diagnosis. </w:t>
      </w:r>
    </w:p>
    <w:p w14:paraId="01913A04" w14:textId="01374DF0" w:rsidR="00511657" w:rsidRDefault="00511657" w:rsidP="00511657">
      <w:r>
        <w:t xml:space="preserve">Upon closer inspection, two potentially relevant studies (Minoshima et al, 2001; and Morinaga et al, 2010, shown in </w:t>
      </w:r>
      <w:r>
        <w:fldChar w:fldCharType="begin"/>
      </w:r>
      <w:r>
        <w:instrText xml:space="preserve"> REF _Ref405457478 \h </w:instrText>
      </w:r>
      <w:r>
        <w:fldChar w:fldCharType="separate"/>
      </w:r>
      <w:r w:rsidR="00C67698">
        <w:t xml:space="preserve">Table </w:t>
      </w:r>
      <w:r w:rsidR="00C67698">
        <w:rPr>
          <w:noProof/>
        </w:rPr>
        <w:t>B.2</w:t>
      </w:r>
      <w:r w:rsidR="00C67698">
        <w:noBreakHyphen/>
      </w:r>
      <w:r w:rsidR="00C67698">
        <w:rPr>
          <w:noProof/>
        </w:rPr>
        <w:t>3</w:t>
      </w:r>
      <w:r>
        <w:fldChar w:fldCharType="end"/>
      </w:r>
      <w:r>
        <w:t>) were excluded from the clinical evaluation. Morinaga et al (2010) compared the diagnostic sensitivity of MRI, CBF-SPECT, FDG-</w:t>
      </w:r>
      <w:r>
        <w:lastRenderedPageBreak/>
        <w:t xml:space="preserve">PET and </w:t>
      </w:r>
      <w:r w:rsidR="00A81AF1">
        <w:t>cerebrospinal fluid (</w:t>
      </w:r>
      <w:r>
        <w:t>CSF</w:t>
      </w:r>
      <w:r w:rsidR="00A81AF1">
        <w:t>)</w:t>
      </w:r>
      <w:r>
        <w:t xml:space="preserve"> biomarkers for detecting AD. Only 87 of the 207 patients included in the study underwent FDG-PET, while 163 underwent CBF-SPECT. It was unclear how many patients underwent both tests. As a result, there was no usable diagnostic accuracy data and the study was excluded.</w:t>
      </w:r>
    </w:p>
    <w:p w14:paraId="3B6B55A3" w14:textId="0034A1DB" w:rsidR="00511657" w:rsidRDefault="00511657" w:rsidP="00511657">
      <w:r>
        <w:t xml:space="preserve">Minoshima et al (2001) examined the ability of FDG-PET to distinguish </w:t>
      </w:r>
      <w:r w:rsidR="009F1282">
        <w:t>Dementia with Lewy bodies (</w:t>
      </w:r>
      <w:r>
        <w:t>D</w:t>
      </w:r>
      <w:r w:rsidR="00525024">
        <w:t>LB</w:t>
      </w:r>
      <w:r w:rsidR="009F1282">
        <w:t>)</w:t>
      </w:r>
      <w:r w:rsidR="00525024">
        <w:t xml:space="preserve"> and AD, in cases where the D</w:t>
      </w:r>
      <w:r>
        <w:t>L</w:t>
      </w:r>
      <w:r w:rsidR="00525024">
        <w:t>B</w:t>
      </w:r>
      <w:r>
        <w:t xml:space="preserve"> and AD diagnoses were later confirmed on autopsy. The study reported a sensitivity of 90% and specificity of 80% when discriminating DLB and AD; however it was not entirely clear to which of the diagnoses the results related. The reporting of the Minoshima study in Davison et al (2014) was also unclear.</w:t>
      </w:r>
    </w:p>
    <w:p w14:paraId="1FC1322C" w14:textId="77777777" w:rsidR="00511657" w:rsidRDefault="00511657" w:rsidP="00511657">
      <w:r>
        <w:t xml:space="preserve">Neither Morinaga et al (2010) nor Minoshima et al (2001) will be discussed beyond Section </w:t>
      </w:r>
      <w:r>
        <w:fldChar w:fldCharType="begin"/>
      </w:r>
      <w:r>
        <w:instrText xml:space="preserve"> REF _Ref406069306 \w \h </w:instrText>
      </w:r>
      <w:r>
        <w:fldChar w:fldCharType="separate"/>
      </w:r>
      <w:r w:rsidR="00C67698">
        <w:t>B.2</w:t>
      </w:r>
      <w:r>
        <w:fldChar w:fldCharType="end"/>
      </w:r>
      <w:r>
        <w:t xml:space="preserve"> of this Assessment Report.</w:t>
      </w:r>
    </w:p>
    <w:p w14:paraId="51AE8CC3" w14:textId="77777777" w:rsidR="00511657" w:rsidRDefault="00511657" w:rsidP="00511657">
      <w:pPr>
        <w:pStyle w:val="Heading3"/>
      </w:pPr>
      <w:r>
        <w:t>Safety</w:t>
      </w:r>
    </w:p>
    <w:p w14:paraId="17BCC366" w14:textId="5528BFD5" w:rsidR="00511657" w:rsidRPr="00814C80" w:rsidRDefault="000D1CC0" w:rsidP="000D1CC0">
      <w:r>
        <w:t>No primary studies were identified that specifically examined the safety of FDG-PET versus SPECT in patients with AD. Only one systematic review of FDG-PET for the evaluation of dementia included safety of FDG-PET as an outcome (Bohnen et al, 2012).</w:t>
      </w:r>
    </w:p>
    <w:p w14:paraId="3FA0EA16" w14:textId="77777777" w:rsidR="00511657" w:rsidRDefault="00511657" w:rsidP="00511657">
      <w:pPr>
        <w:pStyle w:val="Heading3"/>
      </w:pPr>
      <w:r>
        <w:t>Change in patient management</w:t>
      </w:r>
    </w:p>
    <w:p w14:paraId="49DF0CC4" w14:textId="251080CE" w:rsidR="00F45338" w:rsidRDefault="00903DA7" w:rsidP="00F45338">
      <w:r>
        <w:t>There is limited clinical evidence reporting the downstream impact of functional imaging on change in patient management and patient outcomes. No studies were identified that compared change in patient management after FDG-PET compared with SPECT. However, one retrospective study was identified that reported on change in patient management after use of FDG-PET in the diagnosis of dementia</w:t>
      </w:r>
      <w:r w:rsidR="000F6961">
        <w:t xml:space="preserve"> in a memory clinic setting (Laf</w:t>
      </w:r>
      <w:r>
        <w:t xml:space="preserve">orce et al, 2010). </w:t>
      </w:r>
      <w:r w:rsidR="00F45338">
        <w:t xml:space="preserve">This study followed patients for an average of 1.5 years after their clinical diagnosis and is discussed in detail in Sections B.3-B.6. </w:t>
      </w:r>
    </w:p>
    <w:p w14:paraId="0B84DA31" w14:textId="04EEF6EB" w:rsidR="00903DA7" w:rsidRDefault="00F45338" w:rsidP="00F45338">
      <w:r>
        <w:t>A</w:t>
      </w:r>
      <w:r w:rsidR="00CC3ACE">
        <w:t>n</w:t>
      </w:r>
      <w:r>
        <w:t xml:space="preserve"> Australian study that</w:t>
      </w:r>
      <w:r w:rsidR="0025189C">
        <w:t xml:space="preserve"> </w:t>
      </w:r>
      <w:r>
        <w:t xml:space="preserve">reported on change in patient management after FDG-PET was also identified in the literature search </w:t>
      </w:r>
      <w:r w:rsidR="00CC3ACE">
        <w:t>but was excluded because</w:t>
      </w:r>
      <w:r>
        <w:t xml:space="preserve"> the FDG-PET diagnosis was not confirmed by neuropathological examination or clinical follow-up</w:t>
      </w:r>
      <w:r w:rsidR="00CC3ACE">
        <w:t xml:space="preserve"> </w:t>
      </w:r>
      <w:r w:rsidR="00CC3ACE" w:rsidRPr="00CC3ACE">
        <w:t>(Elias et al, 2014).</w:t>
      </w:r>
      <w:r>
        <w:t xml:space="preserve"> </w:t>
      </w:r>
      <w:r w:rsidR="00CC3ACE">
        <w:t>A</w:t>
      </w:r>
      <w:r>
        <w:t>s acknowledged by the authors, “the benefits of the alterations in management by FDG-PET can only be inferred and are not proven”. A</w:t>
      </w:r>
      <w:r w:rsidR="00CC3ACE">
        <w:t>lthough</w:t>
      </w:r>
      <w:r w:rsidR="00DE75C6">
        <w:t xml:space="preserve"> the Elias et al (2014)</w:t>
      </w:r>
      <w:r>
        <w:t xml:space="preserve"> study </w:t>
      </w:r>
      <w:r w:rsidR="009C4E93">
        <w:t xml:space="preserve">does not meet the eligibility criteria, </w:t>
      </w:r>
      <w:r w:rsidR="00DE75C6">
        <w:t>the findings are</w:t>
      </w:r>
      <w:r w:rsidR="00DE75C6" w:rsidRPr="00DE75C6">
        <w:t xml:space="preserve"> briefly discussed in Section B.6</w:t>
      </w:r>
      <w:r w:rsidR="00DE75C6">
        <w:t xml:space="preserve">, as </w:t>
      </w:r>
      <w:r w:rsidR="009C4E93">
        <w:t xml:space="preserve">it represents the only Australian evidence for change in patient management </w:t>
      </w:r>
      <w:r w:rsidR="00DE75C6">
        <w:t>following FDG-PET.</w:t>
      </w:r>
    </w:p>
    <w:p w14:paraId="53108C2F" w14:textId="77777777" w:rsidR="00511657" w:rsidRDefault="00511657" w:rsidP="00511657">
      <w:pPr>
        <w:pStyle w:val="Heading3"/>
      </w:pPr>
      <w:r>
        <w:t>Change in patient outcomes</w:t>
      </w:r>
    </w:p>
    <w:p w14:paraId="17542167" w14:textId="77777777" w:rsidR="000D1CC0" w:rsidRDefault="00511657" w:rsidP="00D02F64">
      <w:r>
        <w:t>To answer the question of whether a change in management leads to improved patient health outcomes, a literature search was conducted to identify systematic reviews on the effectiveness and safety of treatment (AChEIs and memantine) for AD.</w:t>
      </w:r>
      <w:r w:rsidR="004E4137">
        <w:t xml:space="preserve"> </w:t>
      </w:r>
    </w:p>
    <w:p w14:paraId="4137D439" w14:textId="119229CA" w:rsidR="004E4137" w:rsidRDefault="00D02F64" w:rsidP="00D02F64">
      <w:r>
        <w:t>Nine</w:t>
      </w:r>
      <w:r w:rsidR="004E4137">
        <w:t xml:space="preserve"> systematic reviews were identified</w:t>
      </w:r>
      <w:r>
        <w:t xml:space="preserve"> in total (eight from the Cochrane Library and one from </w:t>
      </w:r>
      <w:r w:rsidR="0000583C">
        <w:t>a search of the Department of Health website</w:t>
      </w:r>
      <w:r>
        <w:t>)</w:t>
      </w:r>
      <w:r w:rsidR="004E4137">
        <w:t xml:space="preserve">; however, four were excluded because they did not exclusively review evidence in patients with AD or assessed non-standard treatment regimens. An additional review was excluded because it assessed only one of the treatments available (memantine). Of the four </w:t>
      </w:r>
      <w:r w:rsidR="000E37C2">
        <w:t>remaining</w:t>
      </w:r>
      <w:r w:rsidR="004E4137">
        <w:t xml:space="preserve"> </w:t>
      </w:r>
      <w:r w:rsidR="000E37C2">
        <w:t>published reviews</w:t>
      </w:r>
      <w:r w:rsidR="004E4137">
        <w:t xml:space="preserve">, </w:t>
      </w:r>
      <w:r>
        <w:t>two were related;</w:t>
      </w:r>
      <w:r w:rsidR="000E37C2">
        <w:t xml:space="preserve"> an HTA by Bond et al (2012) and an associated publication by Hyde et al (2013). </w:t>
      </w:r>
    </w:p>
    <w:p w14:paraId="15D55B10" w14:textId="6023F2C2" w:rsidR="004E4137" w:rsidRDefault="004E4137" w:rsidP="004E4137">
      <w:pPr>
        <w:pStyle w:val="Caption"/>
      </w:pPr>
      <w:bookmarkStart w:id="87" w:name="_Toc408845208"/>
      <w:r>
        <w:lastRenderedPageBreak/>
        <w:t xml:space="preserve">Table </w:t>
      </w:r>
      <w:fldSimple w:instr=" STYLEREF 2 \s ">
        <w:r w:rsidR="00C67698">
          <w:rPr>
            <w:noProof/>
          </w:rPr>
          <w:t>B.2</w:t>
        </w:r>
      </w:fldSimple>
      <w:r w:rsidR="00524916">
        <w:noBreakHyphen/>
      </w:r>
      <w:fldSimple w:instr=" SEQ Table \* ARABIC \s 2 ">
        <w:r w:rsidR="00C67698">
          <w:rPr>
            <w:noProof/>
          </w:rPr>
          <w:t>4</w:t>
        </w:r>
      </w:fldSimple>
      <w:r>
        <w:tab/>
        <w:t>List of systematic reviews of the effectiveness and safety of anti-dementia medicines for AD</w:t>
      </w:r>
      <w:bookmarkEnd w:id="87"/>
    </w:p>
    <w:tbl>
      <w:tblPr>
        <w:tblStyle w:val="TableGrid"/>
        <w:tblW w:w="4610" w:type="pct"/>
        <w:tblInd w:w="704" w:type="dxa"/>
        <w:tblLook w:val="04A0" w:firstRow="1" w:lastRow="0" w:firstColumn="1" w:lastColumn="0" w:noHBand="0" w:noVBand="1"/>
        <w:tblCaption w:val="List of systematic reviews of the effectiveness and safety of anti-dementia medicines for AD"/>
        <w:tblDescription w:val="The citation details of the included systematic reviews. The table also provides citation details and reason for exclusion for reviews that were excluded after full text review."/>
      </w:tblPr>
      <w:tblGrid>
        <w:gridCol w:w="6974"/>
        <w:gridCol w:w="1547"/>
      </w:tblGrid>
      <w:tr w:rsidR="004E4137" w14:paraId="66C141D6" w14:textId="77777777" w:rsidTr="00556738">
        <w:trPr>
          <w:tblHeader/>
        </w:trPr>
        <w:tc>
          <w:tcPr>
            <w:tcW w:w="4092" w:type="pct"/>
          </w:tcPr>
          <w:p w14:paraId="35132BD0" w14:textId="77777777" w:rsidR="004E4137" w:rsidRDefault="004E4137" w:rsidP="00126E0B">
            <w:pPr>
              <w:pStyle w:val="Tabletextboldleft"/>
            </w:pPr>
            <w:r>
              <w:t>Citation</w:t>
            </w:r>
          </w:p>
        </w:tc>
        <w:tc>
          <w:tcPr>
            <w:tcW w:w="908" w:type="pct"/>
          </w:tcPr>
          <w:p w14:paraId="3B848A7A" w14:textId="77777777" w:rsidR="004E4137" w:rsidRDefault="004E4137" w:rsidP="00126E0B">
            <w:pPr>
              <w:pStyle w:val="Tabletextboldleft"/>
            </w:pPr>
            <w:r>
              <w:t>Reason for exclusion</w:t>
            </w:r>
          </w:p>
        </w:tc>
      </w:tr>
      <w:tr w:rsidR="004E4137" w14:paraId="08C0E21E" w14:textId="77777777" w:rsidTr="000E37C2">
        <w:tc>
          <w:tcPr>
            <w:tcW w:w="4092" w:type="pct"/>
            <w:tcBorders>
              <w:bottom w:val="single" w:sz="4" w:space="0" w:color="auto"/>
            </w:tcBorders>
          </w:tcPr>
          <w:p w14:paraId="1F078E94" w14:textId="77777777" w:rsidR="004E4137" w:rsidRDefault="004E4137" w:rsidP="00126E0B">
            <w:pPr>
              <w:pStyle w:val="Tabletextcentred"/>
              <w:keepNext/>
              <w:jc w:val="left"/>
            </w:pPr>
            <w:r w:rsidRPr="00D05882">
              <w:t>Bond M, Rogers G, Peters J, Anderson R, Hoyle M, Miners A, Moxham T, Davis S, Thokala P, Wailoo A, Jeffreys M, Hyde C. The effectiveness and cost-effectiveness of donepezil, galantamine, rivastigmine and memantine for the treatment of Alzheimer’s disease (review of TA111): a systematic review and economic model. Health Technol Assess 2012; 16: 1-470.</w:t>
            </w:r>
          </w:p>
        </w:tc>
        <w:tc>
          <w:tcPr>
            <w:tcW w:w="908" w:type="pct"/>
            <w:tcBorders>
              <w:bottom w:val="single" w:sz="4" w:space="0" w:color="auto"/>
            </w:tcBorders>
          </w:tcPr>
          <w:p w14:paraId="7FF58373" w14:textId="19477D76" w:rsidR="004E4137" w:rsidRDefault="004E4137" w:rsidP="00126E0B">
            <w:pPr>
              <w:pStyle w:val="Tabletextcentred"/>
              <w:keepNext/>
              <w:jc w:val="left"/>
            </w:pPr>
            <w:r>
              <w:t>Included</w:t>
            </w:r>
            <w:r w:rsidR="00550781">
              <w:t>.</w:t>
            </w:r>
          </w:p>
        </w:tc>
      </w:tr>
      <w:tr w:rsidR="004E4137" w14:paraId="5824255A" w14:textId="77777777" w:rsidTr="000E37C2">
        <w:tc>
          <w:tcPr>
            <w:tcW w:w="4092" w:type="pct"/>
            <w:tcBorders>
              <w:bottom w:val="single" w:sz="4" w:space="0" w:color="auto"/>
            </w:tcBorders>
          </w:tcPr>
          <w:p w14:paraId="6AAF5ECE" w14:textId="77777777" w:rsidR="004E4137" w:rsidRPr="002C764A" w:rsidRDefault="004E4137" w:rsidP="00126E0B">
            <w:pPr>
              <w:pStyle w:val="Tabletextcentred"/>
              <w:keepNext/>
              <w:jc w:val="left"/>
            </w:pPr>
            <w:r>
              <w:t>Farrimond LE, Roberts E, McShane R. Memantine and cholinesterase inhibitor combination therapy for Alzheimer's disease: a systematic review. BMJ Open. 2012;11:2(3).</w:t>
            </w:r>
          </w:p>
        </w:tc>
        <w:tc>
          <w:tcPr>
            <w:tcW w:w="908" w:type="pct"/>
            <w:tcBorders>
              <w:bottom w:val="single" w:sz="4" w:space="0" w:color="auto"/>
            </w:tcBorders>
          </w:tcPr>
          <w:p w14:paraId="64D4F0BB" w14:textId="76A8A84E" w:rsidR="004E4137" w:rsidRDefault="000E37C2" w:rsidP="00126E0B">
            <w:pPr>
              <w:pStyle w:val="Tabletextcentred"/>
              <w:keepNext/>
              <w:jc w:val="left"/>
            </w:pPr>
            <w:r>
              <w:t xml:space="preserve">Excluded. </w:t>
            </w:r>
            <w:r w:rsidR="004E4137">
              <w:t>Combination therapy only.</w:t>
            </w:r>
          </w:p>
        </w:tc>
      </w:tr>
      <w:tr w:rsidR="004E4137" w14:paraId="394074F1" w14:textId="77777777" w:rsidTr="000E37C2">
        <w:tc>
          <w:tcPr>
            <w:tcW w:w="4092" w:type="pct"/>
            <w:tcBorders>
              <w:bottom w:val="single" w:sz="4" w:space="0" w:color="auto"/>
            </w:tcBorders>
          </w:tcPr>
          <w:p w14:paraId="7DB9CB5A" w14:textId="77777777" w:rsidR="004E4137" w:rsidRPr="00AE7F75" w:rsidRDefault="004E4137" w:rsidP="00126E0B">
            <w:pPr>
              <w:pStyle w:val="Tabletextcentred"/>
              <w:keepNext/>
              <w:jc w:val="left"/>
            </w:pPr>
            <w:r w:rsidRPr="00C127E9">
              <w:t>Hyde C, Peters J, Bond M, Rogers G, Hoyle M, Anderson R, Jeffreys M, Davis S, Thokala P, Moxham T. Evolution of the evidence on the effectiveness and cost-effectiveness of acetylcholinesterase inhibitors and memantine for Alzheimer's disease: systematic review and economic model. Age Ageing. 2013;42(1):14-20.</w:t>
            </w:r>
          </w:p>
        </w:tc>
        <w:tc>
          <w:tcPr>
            <w:tcW w:w="908" w:type="pct"/>
            <w:tcBorders>
              <w:bottom w:val="single" w:sz="4" w:space="0" w:color="auto"/>
            </w:tcBorders>
          </w:tcPr>
          <w:p w14:paraId="5BBB3DD8" w14:textId="66A4E74A" w:rsidR="004E4137" w:rsidRPr="00595D45" w:rsidRDefault="004E4137" w:rsidP="00126E0B">
            <w:pPr>
              <w:pStyle w:val="Tabletextcentred"/>
              <w:keepNext/>
              <w:jc w:val="left"/>
            </w:pPr>
            <w:r>
              <w:t>Included</w:t>
            </w:r>
            <w:r w:rsidR="000E37C2">
              <w:t>. Publication based on Bond et al (2012) HTA for NICE</w:t>
            </w:r>
            <w:r w:rsidR="00550781">
              <w:t>.</w:t>
            </w:r>
          </w:p>
        </w:tc>
      </w:tr>
      <w:tr w:rsidR="004E4137" w14:paraId="08ABEF59" w14:textId="77777777" w:rsidTr="000E37C2">
        <w:tc>
          <w:tcPr>
            <w:tcW w:w="4092" w:type="pct"/>
            <w:tcBorders>
              <w:bottom w:val="single" w:sz="4" w:space="0" w:color="auto"/>
            </w:tcBorders>
          </w:tcPr>
          <w:p w14:paraId="78D3037C" w14:textId="77777777" w:rsidR="004E4137" w:rsidRPr="00AE7F75" w:rsidRDefault="004E4137" w:rsidP="00126E0B">
            <w:pPr>
              <w:pStyle w:val="Tabletextcentred"/>
              <w:keepNext/>
              <w:jc w:val="left"/>
            </w:pPr>
            <w:r>
              <w:t xml:space="preserve">Muayqil T, Camicioli R. </w:t>
            </w:r>
            <w:r w:rsidRPr="006C39F0">
              <w:t>Systematic review and meta-analysis of combination therapy with cholinesterase inhibitors and memantine in Alzheimer's disease and other dementias</w:t>
            </w:r>
            <w:r>
              <w:t xml:space="preserve">. </w:t>
            </w:r>
            <w:r w:rsidRPr="006C39F0">
              <w:t>Dementia and Geriatric Cognitive Disorders Extra</w:t>
            </w:r>
            <w:r>
              <w:t>. 2012;1:546-572.</w:t>
            </w:r>
          </w:p>
        </w:tc>
        <w:tc>
          <w:tcPr>
            <w:tcW w:w="908" w:type="pct"/>
            <w:tcBorders>
              <w:bottom w:val="single" w:sz="4" w:space="0" w:color="auto"/>
            </w:tcBorders>
          </w:tcPr>
          <w:p w14:paraId="5239A641" w14:textId="5F49F067" w:rsidR="004E4137" w:rsidRPr="00595D45" w:rsidRDefault="000E37C2" w:rsidP="00126E0B">
            <w:pPr>
              <w:pStyle w:val="Tabletextcentred"/>
              <w:keepNext/>
              <w:jc w:val="left"/>
            </w:pPr>
            <w:r>
              <w:t xml:space="preserve">Excluded. </w:t>
            </w:r>
            <w:r w:rsidR="004E4137">
              <w:t>Population not restricted to AD</w:t>
            </w:r>
            <w:r w:rsidR="00550781">
              <w:t>.</w:t>
            </w:r>
          </w:p>
        </w:tc>
      </w:tr>
      <w:tr w:rsidR="004E4137" w14:paraId="0EC0B1A2" w14:textId="77777777" w:rsidTr="000E37C2">
        <w:tc>
          <w:tcPr>
            <w:tcW w:w="4092" w:type="pct"/>
            <w:tcBorders>
              <w:bottom w:val="single" w:sz="4" w:space="0" w:color="auto"/>
            </w:tcBorders>
          </w:tcPr>
          <w:p w14:paraId="4709D3BE" w14:textId="77777777" w:rsidR="004E4137" w:rsidRDefault="004E4137" w:rsidP="00126E0B">
            <w:pPr>
              <w:pStyle w:val="Tabletextcentred"/>
              <w:keepNext/>
              <w:jc w:val="left"/>
            </w:pPr>
            <w:r>
              <w:t xml:space="preserve">Oremus M, Santaguida P, Raina P. </w:t>
            </w:r>
            <w:r w:rsidRPr="00BF2422">
              <w:t>Efficacy and safety of galantamine hydrobromide in the treatment of mild to moderate dementia</w:t>
            </w:r>
            <w:r>
              <w:t xml:space="preserve">. </w:t>
            </w:r>
            <w:r w:rsidRPr="00BF2422">
              <w:t>Clinical Medicine Insights: Therapeutics</w:t>
            </w:r>
            <w:r>
              <w:t>. 2010;4:809-824.</w:t>
            </w:r>
          </w:p>
        </w:tc>
        <w:tc>
          <w:tcPr>
            <w:tcW w:w="908" w:type="pct"/>
            <w:tcBorders>
              <w:bottom w:val="single" w:sz="4" w:space="0" w:color="auto"/>
            </w:tcBorders>
          </w:tcPr>
          <w:p w14:paraId="5F0CF285" w14:textId="32987630" w:rsidR="004E4137" w:rsidRDefault="000E37C2" w:rsidP="00126E0B">
            <w:pPr>
              <w:pStyle w:val="Tabletextcentred"/>
              <w:keepNext/>
              <w:jc w:val="left"/>
            </w:pPr>
            <w:r>
              <w:t xml:space="preserve">Excluded. </w:t>
            </w:r>
            <w:r w:rsidR="004E4137">
              <w:t>Population not restricted to AD</w:t>
            </w:r>
            <w:r w:rsidR="00550781">
              <w:t>.</w:t>
            </w:r>
          </w:p>
        </w:tc>
      </w:tr>
      <w:tr w:rsidR="004E4137" w14:paraId="5A2BA950" w14:textId="77777777" w:rsidTr="000E37C2">
        <w:tc>
          <w:tcPr>
            <w:tcW w:w="4092" w:type="pct"/>
            <w:tcBorders>
              <w:bottom w:val="single" w:sz="4" w:space="0" w:color="auto"/>
            </w:tcBorders>
          </w:tcPr>
          <w:p w14:paraId="78C4297B" w14:textId="1DB12BE8" w:rsidR="004E4137" w:rsidRDefault="004E4137" w:rsidP="00126E0B">
            <w:pPr>
              <w:pStyle w:val="Tabletextcentred"/>
              <w:keepNext/>
              <w:jc w:val="left"/>
            </w:pPr>
            <w:r w:rsidRPr="00DE5C17">
              <w:t>Post-market Review of P</w:t>
            </w:r>
            <w:r>
              <w:t>harmaceutical Benefits Scheme</w:t>
            </w:r>
            <w:r w:rsidRPr="00DE5C17">
              <w:t xml:space="preserve"> anti-dementia medicines to treat AD</w:t>
            </w:r>
            <w:r>
              <w:t xml:space="preserve">, October 2012. Prepared for the </w:t>
            </w:r>
            <w:r w:rsidRPr="00DE5C17">
              <w:t>Pharmaceutical Benefits Advisory Committee (PBAC) by Monash University, University of South Australia, and the Department of Health and Ageing</w:t>
            </w:r>
            <w:r>
              <w:t>.</w:t>
            </w:r>
            <w:r>
              <w:rPr>
                <w:rStyle w:val="FootnoteReference"/>
              </w:rPr>
              <w:footnoteReference w:id="4"/>
            </w:r>
          </w:p>
        </w:tc>
        <w:tc>
          <w:tcPr>
            <w:tcW w:w="908" w:type="pct"/>
            <w:tcBorders>
              <w:bottom w:val="single" w:sz="4" w:space="0" w:color="auto"/>
            </w:tcBorders>
          </w:tcPr>
          <w:p w14:paraId="18784CEC" w14:textId="1DFACFF4" w:rsidR="004E4137" w:rsidRDefault="004E4137" w:rsidP="00126E0B">
            <w:pPr>
              <w:pStyle w:val="Tabletextcentred"/>
              <w:keepNext/>
              <w:jc w:val="left"/>
            </w:pPr>
            <w:r>
              <w:t>Included</w:t>
            </w:r>
            <w:r w:rsidR="00550781">
              <w:t>.</w:t>
            </w:r>
          </w:p>
        </w:tc>
      </w:tr>
      <w:tr w:rsidR="004E4137" w14:paraId="4B01C4F6" w14:textId="77777777" w:rsidTr="000E37C2">
        <w:tc>
          <w:tcPr>
            <w:tcW w:w="4092" w:type="pct"/>
            <w:tcBorders>
              <w:bottom w:val="single" w:sz="4" w:space="0" w:color="auto"/>
            </w:tcBorders>
          </w:tcPr>
          <w:p w14:paraId="116B5B1D" w14:textId="77777777" w:rsidR="004E4137" w:rsidRPr="002C764A" w:rsidRDefault="004E4137" w:rsidP="00126E0B">
            <w:pPr>
              <w:pStyle w:val="Tabletextcentred"/>
              <w:keepNext/>
              <w:jc w:val="left"/>
            </w:pPr>
            <w:r>
              <w:t xml:space="preserve">Schneider, LS, Dagerman KS, Higgins JP, McShane R. </w:t>
            </w:r>
            <w:r w:rsidRPr="006C39F0">
              <w:t>Lack of evidence for the efficacy of memantine in mild Alzheimer disease</w:t>
            </w:r>
            <w:r>
              <w:t xml:space="preserve">. </w:t>
            </w:r>
            <w:r w:rsidRPr="006C39F0">
              <w:t>Archives of Neurology</w:t>
            </w:r>
            <w:r>
              <w:t>. 2011;8:991-998.</w:t>
            </w:r>
          </w:p>
        </w:tc>
        <w:tc>
          <w:tcPr>
            <w:tcW w:w="908" w:type="pct"/>
            <w:tcBorders>
              <w:bottom w:val="single" w:sz="4" w:space="0" w:color="auto"/>
            </w:tcBorders>
          </w:tcPr>
          <w:p w14:paraId="5E93110B" w14:textId="09D3972C" w:rsidR="004E4137" w:rsidRDefault="000E37C2" w:rsidP="00126E0B">
            <w:pPr>
              <w:pStyle w:val="Tabletextcentred"/>
              <w:keepNext/>
              <w:jc w:val="left"/>
            </w:pPr>
            <w:r>
              <w:t xml:space="preserve">Excluded. </w:t>
            </w:r>
            <w:r w:rsidR="004E4137">
              <w:t>Not a licensed indication for memantine.</w:t>
            </w:r>
          </w:p>
        </w:tc>
      </w:tr>
      <w:tr w:rsidR="004E4137" w14:paraId="3E9BAD12" w14:textId="77777777" w:rsidTr="000E37C2">
        <w:tc>
          <w:tcPr>
            <w:tcW w:w="4092" w:type="pct"/>
            <w:tcBorders>
              <w:bottom w:val="single" w:sz="4" w:space="0" w:color="auto"/>
            </w:tcBorders>
          </w:tcPr>
          <w:p w14:paraId="1DEDF5C6" w14:textId="77777777" w:rsidR="004E4137" w:rsidRDefault="004E4137" w:rsidP="00126E0B">
            <w:pPr>
              <w:pStyle w:val="Tabletextcentred"/>
              <w:keepNext/>
              <w:jc w:val="left"/>
            </w:pPr>
            <w:r>
              <w:t>Tan CC, Yu JT, Wang HF, Tan MS, Meng XF, Wang C, Jiang T, Zhu XC, Tan L. Efficacy and safety of donepezil, galantamine, rivastigmine, and memantine for the treatment of Alzheimer's disease: a systematic review and meta-analysis. J Alzheimers Dis. 2014;41(2):615-631.</w:t>
            </w:r>
          </w:p>
        </w:tc>
        <w:tc>
          <w:tcPr>
            <w:tcW w:w="908" w:type="pct"/>
            <w:tcBorders>
              <w:bottom w:val="single" w:sz="4" w:space="0" w:color="auto"/>
            </w:tcBorders>
          </w:tcPr>
          <w:p w14:paraId="4CFA6FB1" w14:textId="5876B8AC" w:rsidR="004E4137" w:rsidRDefault="000E37C2" w:rsidP="00126E0B">
            <w:pPr>
              <w:pStyle w:val="Tabletextcentred"/>
              <w:keepNext/>
              <w:jc w:val="left"/>
            </w:pPr>
            <w:r>
              <w:t xml:space="preserve">Review from China. </w:t>
            </w:r>
            <w:r w:rsidR="004E4137">
              <w:t>Included</w:t>
            </w:r>
            <w:r>
              <w:t xml:space="preserve"> – but not discussed further.</w:t>
            </w:r>
          </w:p>
        </w:tc>
      </w:tr>
      <w:tr w:rsidR="004E4137" w14:paraId="7EB27AE0" w14:textId="77777777" w:rsidTr="000E37C2">
        <w:tc>
          <w:tcPr>
            <w:tcW w:w="4092" w:type="pct"/>
            <w:tcBorders>
              <w:bottom w:val="single" w:sz="4" w:space="0" w:color="auto"/>
            </w:tcBorders>
          </w:tcPr>
          <w:p w14:paraId="754B6839" w14:textId="77777777" w:rsidR="004E4137" w:rsidRDefault="004E4137" w:rsidP="00126E0B">
            <w:pPr>
              <w:pStyle w:val="Tabletextcentred"/>
              <w:keepNext/>
              <w:jc w:val="left"/>
            </w:pPr>
            <w:r>
              <w:t xml:space="preserve">Yang Z, Zhou X, Zhang Q. </w:t>
            </w:r>
            <w:r w:rsidRPr="00D05882">
              <w:t>Effectiveness and safety of memantine treatment for Alzheimer's disease</w:t>
            </w:r>
            <w:r>
              <w:t xml:space="preserve">. </w:t>
            </w:r>
            <w:r w:rsidRPr="00D05882">
              <w:t>Journal of Alzheimer's Disease</w:t>
            </w:r>
            <w:r>
              <w:t>. 2013;3:445-458.</w:t>
            </w:r>
          </w:p>
        </w:tc>
        <w:tc>
          <w:tcPr>
            <w:tcW w:w="908" w:type="pct"/>
            <w:tcBorders>
              <w:bottom w:val="single" w:sz="4" w:space="0" w:color="auto"/>
            </w:tcBorders>
          </w:tcPr>
          <w:p w14:paraId="68EA46FE" w14:textId="155B1C93" w:rsidR="004E4137" w:rsidRDefault="000E37C2" w:rsidP="00126E0B">
            <w:pPr>
              <w:pStyle w:val="Tabletextcentred"/>
              <w:keepNext/>
              <w:jc w:val="left"/>
            </w:pPr>
            <w:r>
              <w:t xml:space="preserve">Excluded. </w:t>
            </w:r>
            <w:r w:rsidR="004E4137">
              <w:t>Memantine only.</w:t>
            </w:r>
          </w:p>
        </w:tc>
      </w:tr>
    </w:tbl>
    <w:p w14:paraId="2020E634" w14:textId="77777777" w:rsidR="004E4137" w:rsidRDefault="004E4137" w:rsidP="004E4137">
      <w:pPr>
        <w:pStyle w:val="Tablefootnotes"/>
      </w:pPr>
    </w:p>
    <w:p w14:paraId="557DACBB" w14:textId="42699F29" w:rsidR="00D02F64" w:rsidRDefault="00D02F64" w:rsidP="00F83CF3">
      <w:r>
        <w:t>The systematic review by Tan et al (2014) will not be discussed further as the other two reviews (PBS Review, 2012; Bond et al, 2012) are of high-quality and have been used to underpin decision-making.</w:t>
      </w:r>
    </w:p>
    <w:p w14:paraId="4AB221EF" w14:textId="4AC7474F" w:rsidR="00BD112C" w:rsidRDefault="0000583C" w:rsidP="00F83CF3">
      <w:r>
        <w:t>The P</w:t>
      </w:r>
      <w:r w:rsidR="00093E89" w:rsidRPr="00093E89">
        <w:t>ost-market Review of PBS anti-dementia medicines to treat AD</w:t>
      </w:r>
      <w:r>
        <w:t xml:space="preserve"> was</w:t>
      </w:r>
      <w:r w:rsidR="00093E89">
        <w:t xml:space="preserve"> prepared for the PBAC by Monash University, </w:t>
      </w:r>
      <w:r>
        <w:t xml:space="preserve">the </w:t>
      </w:r>
      <w:r w:rsidR="00093E89">
        <w:t>University of South Australia, and the Department of Health and Ageing in October 2012.</w:t>
      </w:r>
      <w:r w:rsidR="00F83CF3">
        <w:t xml:space="preserve"> </w:t>
      </w:r>
      <w:r w:rsidR="00BD112C">
        <w:t>An initial review of AChEIs</w:t>
      </w:r>
      <w:r w:rsidR="00BD112C" w:rsidRPr="00BD112C">
        <w:t xml:space="preserve"> listed on the PBS </w:t>
      </w:r>
      <w:r w:rsidR="00BD112C">
        <w:t>had been</w:t>
      </w:r>
      <w:r w:rsidR="00BD112C" w:rsidRPr="00BD112C">
        <w:t xml:space="preserve"> conducted </w:t>
      </w:r>
      <w:r w:rsidR="00BD112C">
        <w:t xml:space="preserve">by </w:t>
      </w:r>
      <w:r w:rsidR="00BD112C" w:rsidRPr="00BD112C">
        <w:t xml:space="preserve">the </w:t>
      </w:r>
      <w:r w:rsidR="00BD112C">
        <w:t>Drug Utilisation Sub-Committee (</w:t>
      </w:r>
      <w:r w:rsidR="00BD112C" w:rsidRPr="00BD112C">
        <w:t>DUSC</w:t>
      </w:r>
      <w:r w:rsidR="00BD112C">
        <w:t>)</w:t>
      </w:r>
      <w:r w:rsidR="00BD112C" w:rsidRPr="00BD112C">
        <w:t xml:space="preserve"> of PBAC in 2009</w:t>
      </w:r>
      <w:r w:rsidR="00BD112C">
        <w:t xml:space="preserve"> </w:t>
      </w:r>
      <w:r w:rsidR="00BD112C" w:rsidRPr="00BD112C">
        <w:t xml:space="preserve">as part of a post-market surveillance program to ensure </w:t>
      </w:r>
      <w:r w:rsidR="00BD112C">
        <w:t>t</w:t>
      </w:r>
      <w:r w:rsidR="00816F47">
        <w:t>he</w:t>
      </w:r>
      <w:r w:rsidR="00BD112C" w:rsidRPr="00BD112C">
        <w:t xml:space="preserve"> safe and cost-effective </w:t>
      </w:r>
      <w:r w:rsidR="00BD112C">
        <w:t>use</w:t>
      </w:r>
      <w:r w:rsidR="00816F47">
        <w:t xml:space="preserve"> of these medicines</w:t>
      </w:r>
      <w:r w:rsidR="00BD112C" w:rsidRPr="00BD112C">
        <w:t xml:space="preserve">. </w:t>
      </w:r>
      <w:r w:rsidR="00BD112C">
        <w:t>The review</w:t>
      </w:r>
      <w:r w:rsidR="00BD112C" w:rsidRPr="00BD112C">
        <w:t xml:space="preserve"> indicated these medicines were being prescribed to </w:t>
      </w:r>
      <w:r w:rsidR="00816F47">
        <w:t>a larger population for longer periods of time</w:t>
      </w:r>
      <w:r w:rsidR="00BD112C" w:rsidRPr="00BD112C">
        <w:t xml:space="preserve"> than originally expected. This additional use, while not necessarily inappropriate, is not cost-effective use as originally assessed by PBAC.</w:t>
      </w:r>
    </w:p>
    <w:p w14:paraId="1FF28967" w14:textId="28EBDA54" w:rsidR="00F83CF3" w:rsidRDefault="00F83CF3" w:rsidP="00816F47">
      <w:r>
        <w:t xml:space="preserve">The </w:t>
      </w:r>
      <w:r w:rsidR="00BD112C">
        <w:t xml:space="preserve">2012 PBS Review of anti-dementia medicines </w:t>
      </w:r>
      <w:r>
        <w:t xml:space="preserve">is comprised of six parts, of which </w:t>
      </w:r>
      <w:r w:rsidR="00816F47">
        <w:t>one in particular is</w:t>
      </w:r>
      <w:r>
        <w:t xml:space="preserve"> relevant to Section B of the current Assessment Report:</w:t>
      </w:r>
      <w:r w:rsidR="00816F47">
        <w:t xml:space="preserve"> </w:t>
      </w:r>
      <w:r w:rsidRPr="00F83CF3">
        <w:t xml:space="preserve">an update of the efficacy and safety of </w:t>
      </w:r>
      <w:r>
        <w:t>A</w:t>
      </w:r>
      <w:r w:rsidRPr="00F83CF3">
        <w:t>C</w:t>
      </w:r>
      <w:r>
        <w:t>h</w:t>
      </w:r>
      <w:r w:rsidRPr="00F83CF3">
        <w:t xml:space="preserve">EIs and memantine. A systematic literature review was conducted to determine if any additional evidence on safety and efficacy had been </w:t>
      </w:r>
      <w:r w:rsidRPr="00F83CF3">
        <w:lastRenderedPageBreak/>
        <w:t>published since the PBS listing of these medicines that could inform PBAC on both short and long</w:t>
      </w:r>
      <w:r>
        <w:t>er term outcomes (beyond six</w:t>
      </w:r>
      <w:r w:rsidRPr="00F83CF3">
        <w:t xml:space="preserve"> months) when used individually and in combination</w:t>
      </w:r>
      <w:r w:rsidR="00816F47">
        <w:t>.</w:t>
      </w:r>
    </w:p>
    <w:p w14:paraId="2213B733" w14:textId="31E5CBC9" w:rsidR="00F83CF3" w:rsidRDefault="000A4389" w:rsidP="00643214">
      <w:r>
        <w:t xml:space="preserve">Bond et al (2012) conducted a systematic review and economic evaluation for the National Institute for Health and Clinical Excellence (NICE) to update guidance to the </w:t>
      </w:r>
      <w:r w:rsidR="00B06445">
        <w:t>National Health Service (</w:t>
      </w:r>
      <w:r>
        <w:t>NHS</w:t>
      </w:r>
      <w:r w:rsidR="00B06445">
        <w:t>)</w:t>
      </w:r>
      <w:r>
        <w:t xml:space="preserve"> in England and Wales on the clinical effectiveness and cost-effectiveness of donepezil, galantamine, rivastigmine and memantine for the treatment of AD, which was issued in November 2006 (</w:t>
      </w:r>
      <w:r w:rsidR="009F1282">
        <w:t>updated</w:t>
      </w:r>
      <w:r>
        <w:t xml:space="preserve"> September 2007 and August 2009). </w:t>
      </w:r>
      <w:r w:rsidR="00643214">
        <w:t xml:space="preserve">In the previous NICE review in 2004, there was evidence for the effectiveness of donepezil, galantamine and rivastigmine on improving cognition, function, behaviour and global impact over the short term whereas the evidence on the effectiveness of memantine was much more uncertain. Important gaps in the evidence were identified concerning long-term outcomes, impact on </w:t>
      </w:r>
      <w:r w:rsidR="00B06445">
        <w:t>quality of life (</w:t>
      </w:r>
      <w:r w:rsidR="00643214">
        <w:t>QoL</w:t>
      </w:r>
      <w:r w:rsidR="00B06445">
        <w:t>)</w:t>
      </w:r>
      <w:r w:rsidR="00643214">
        <w:t>, carers and time to institutionalisation.</w:t>
      </w:r>
    </w:p>
    <w:p w14:paraId="2898E4A9" w14:textId="41C25091" w:rsidR="00F932DB" w:rsidRDefault="00F932DB" w:rsidP="00643214">
      <w:r>
        <w:t>The PBS Review (2012) and HTA for NICE (Bond et al, 2012) will be discussed briefly in Section B.3 and then the findings from these reviews will be discussed in Section B.6. Only the studies of diagnostic accuracy are discussed in Section B.4 and Section B.5.</w:t>
      </w:r>
    </w:p>
    <w:p w14:paraId="27E46B5B" w14:textId="77777777" w:rsidR="00511657" w:rsidRDefault="00511657" w:rsidP="00511657">
      <w:pPr>
        <w:pStyle w:val="Heading2"/>
      </w:pPr>
      <w:bookmarkStart w:id="88" w:name="_Toc406231645"/>
      <w:bookmarkStart w:id="89" w:name="_Toc408845163"/>
      <w:r>
        <w:t xml:space="preserve">Assessment of the </w:t>
      </w:r>
      <w:r w:rsidRPr="00DD06FA">
        <w:t>measures</w:t>
      </w:r>
      <w:r>
        <w:t xml:space="preserve"> taken by investigators to minimise </w:t>
      </w:r>
      <w:r w:rsidRPr="00C47E47">
        <w:t>bias</w:t>
      </w:r>
      <w:bookmarkEnd w:id="88"/>
      <w:bookmarkEnd w:id="89"/>
    </w:p>
    <w:p w14:paraId="64CB1286" w14:textId="77777777" w:rsidR="00816F47" w:rsidRDefault="00816F47" w:rsidP="00816F47">
      <w:pPr>
        <w:pStyle w:val="Heading3"/>
      </w:pPr>
      <w:r>
        <w:t>Diagnostic accuracy</w:t>
      </w:r>
    </w:p>
    <w:p w14:paraId="00F75755" w14:textId="5A079038" w:rsidR="00511657" w:rsidRDefault="0025189C" w:rsidP="00511657">
      <w:r>
        <w:t>Primary</w:t>
      </w:r>
      <w:r w:rsidR="00511657">
        <w:t xml:space="preserve"> studies assessing diagnostic accuracy were graded according to a pre-specified quality and applicability criteria (MSAC, 2005), as shown in </w:t>
      </w:r>
      <w:r w:rsidR="00511657">
        <w:fldChar w:fldCharType="begin"/>
      </w:r>
      <w:r w:rsidR="00511657">
        <w:instrText xml:space="preserve"> REF _Ref404779303 \h </w:instrText>
      </w:r>
      <w:r w:rsidR="00511657">
        <w:fldChar w:fldCharType="separate"/>
      </w:r>
      <w:r w:rsidR="00C67698">
        <w:t xml:space="preserve">Table </w:t>
      </w:r>
      <w:r w:rsidR="00C67698">
        <w:rPr>
          <w:noProof/>
        </w:rPr>
        <w:t>B.3</w:t>
      </w:r>
      <w:r w:rsidR="00C67698">
        <w:noBreakHyphen/>
      </w:r>
      <w:r w:rsidR="00C67698">
        <w:rPr>
          <w:noProof/>
        </w:rPr>
        <w:t>1</w:t>
      </w:r>
      <w:r w:rsidR="00511657">
        <w:fldChar w:fldCharType="end"/>
      </w:r>
      <w:r w:rsidR="00511657">
        <w:t>. Quality assessment was based on the QUADAS-2 tool (Whiting et al, 2011).</w:t>
      </w:r>
    </w:p>
    <w:p w14:paraId="2BDE001E" w14:textId="7CCD6ECF" w:rsidR="00511657" w:rsidRDefault="00511657" w:rsidP="00511657">
      <w:pPr>
        <w:pStyle w:val="Caption"/>
      </w:pPr>
      <w:bookmarkStart w:id="90" w:name="_Ref404779303"/>
      <w:bookmarkStart w:id="91" w:name="_Toc406231703"/>
      <w:bookmarkStart w:id="92" w:name="_Toc408845209"/>
      <w:r>
        <w:t xml:space="preserve">Table </w:t>
      </w:r>
      <w:fldSimple w:instr=" STYLEREF 2 \s ">
        <w:r w:rsidR="00C67698">
          <w:rPr>
            <w:noProof/>
          </w:rPr>
          <w:t>B.3</w:t>
        </w:r>
      </w:fldSimple>
      <w:r w:rsidR="00524916">
        <w:noBreakHyphen/>
      </w:r>
      <w:fldSimple w:instr=" SEQ Table \* ARABIC \s 2 ">
        <w:r w:rsidR="00C67698">
          <w:rPr>
            <w:noProof/>
          </w:rPr>
          <w:t>1</w:t>
        </w:r>
      </w:fldSimple>
      <w:bookmarkEnd w:id="90"/>
      <w:r>
        <w:tab/>
        <w:t>Grading system used to rank included studies</w:t>
      </w:r>
      <w:bookmarkEnd w:id="91"/>
      <w:bookmarkEnd w:id="92"/>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Caption w:val="The grading system used to rank included studies"/>
        <w:tblDescription w:val="The components of the grading system including whether an appropriate comparison was used, whether an applicable population was chosen and the overall quality of the study."/>
      </w:tblPr>
      <w:tblGrid>
        <w:gridCol w:w="1843"/>
        <w:gridCol w:w="4536"/>
        <w:gridCol w:w="1984"/>
      </w:tblGrid>
      <w:tr w:rsidR="00511657" w:rsidRPr="00B43BF0" w14:paraId="250BCDAB" w14:textId="77777777" w:rsidTr="00511657">
        <w:trPr>
          <w:tblHeader/>
        </w:trPr>
        <w:tc>
          <w:tcPr>
            <w:tcW w:w="1843" w:type="dxa"/>
            <w:tcBorders>
              <w:right w:val="single" w:sz="4" w:space="0" w:color="auto"/>
            </w:tcBorders>
          </w:tcPr>
          <w:p w14:paraId="7EB74721" w14:textId="77777777" w:rsidR="00511657" w:rsidRPr="00B43BF0" w:rsidRDefault="00511657" w:rsidP="00511657">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Validity criteria</w:t>
            </w:r>
          </w:p>
        </w:tc>
        <w:tc>
          <w:tcPr>
            <w:tcW w:w="4536" w:type="dxa"/>
            <w:tcBorders>
              <w:top w:val="single" w:sz="4" w:space="0" w:color="auto"/>
              <w:left w:val="single" w:sz="4" w:space="0" w:color="auto"/>
              <w:bottom w:val="single" w:sz="4" w:space="0" w:color="auto"/>
              <w:right w:val="single" w:sz="4" w:space="0" w:color="auto"/>
            </w:tcBorders>
          </w:tcPr>
          <w:p w14:paraId="5830A639" w14:textId="77777777" w:rsidR="00511657" w:rsidRPr="00B43BF0" w:rsidRDefault="00511657" w:rsidP="00511657">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Description</w:t>
            </w:r>
          </w:p>
        </w:tc>
        <w:tc>
          <w:tcPr>
            <w:tcW w:w="1984" w:type="dxa"/>
            <w:tcBorders>
              <w:left w:val="single" w:sz="4" w:space="0" w:color="auto"/>
            </w:tcBorders>
          </w:tcPr>
          <w:p w14:paraId="5D65CA39" w14:textId="77777777" w:rsidR="00511657" w:rsidRPr="00B43BF0" w:rsidRDefault="00511657" w:rsidP="00511657">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Grading system</w:t>
            </w:r>
          </w:p>
        </w:tc>
      </w:tr>
      <w:tr w:rsidR="00511657" w:rsidRPr="00B43BF0" w14:paraId="2C2C68BA" w14:textId="77777777" w:rsidTr="00511657">
        <w:tc>
          <w:tcPr>
            <w:tcW w:w="1843" w:type="dxa"/>
            <w:tcBorders>
              <w:right w:val="single" w:sz="4" w:space="0" w:color="auto"/>
            </w:tcBorders>
          </w:tcPr>
          <w:p w14:paraId="50DDCE3F" w14:textId="77777777" w:rsidR="00511657" w:rsidRPr="00B43BF0"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Appropriate comparison</w:t>
            </w:r>
          </w:p>
        </w:tc>
        <w:tc>
          <w:tcPr>
            <w:tcW w:w="4536" w:type="dxa"/>
            <w:tcBorders>
              <w:top w:val="single" w:sz="4" w:space="0" w:color="auto"/>
              <w:left w:val="single" w:sz="4" w:space="0" w:color="auto"/>
              <w:bottom w:val="single" w:sz="4" w:space="0" w:color="auto"/>
              <w:right w:val="single" w:sz="4" w:space="0" w:color="auto"/>
            </w:tcBorders>
          </w:tcPr>
          <w:p w14:paraId="683E1868" w14:textId="77777777" w:rsidR="00511657" w:rsidRPr="00B43BF0"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Did the study evaluate a direct comparison of the index test strategy versus the comparator test strategy?</w:t>
            </w:r>
          </w:p>
        </w:tc>
        <w:tc>
          <w:tcPr>
            <w:tcW w:w="1984" w:type="dxa"/>
            <w:tcBorders>
              <w:left w:val="single" w:sz="4" w:space="0" w:color="auto"/>
            </w:tcBorders>
          </w:tcPr>
          <w:p w14:paraId="313B3F99" w14:textId="77777777" w:rsidR="00511657"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C1 direct comparison</w:t>
            </w:r>
          </w:p>
          <w:p w14:paraId="4903A70D" w14:textId="77777777" w:rsidR="00511657" w:rsidRPr="00B43BF0"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CX other comparison</w:t>
            </w:r>
          </w:p>
        </w:tc>
      </w:tr>
      <w:tr w:rsidR="00511657" w:rsidRPr="00B43BF0" w14:paraId="491316BA" w14:textId="77777777" w:rsidTr="00511657">
        <w:tc>
          <w:tcPr>
            <w:tcW w:w="1843" w:type="dxa"/>
            <w:tcBorders>
              <w:right w:val="single" w:sz="4" w:space="0" w:color="auto"/>
            </w:tcBorders>
          </w:tcPr>
          <w:p w14:paraId="3EBA7A97" w14:textId="77777777" w:rsidR="00511657" w:rsidRPr="00B43BF0"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Applicable population</w:t>
            </w:r>
          </w:p>
        </w:tc>
        <w:tc>
          <w:tcPr>
            <w:tcW w:w="4536" w:type="dxa"/>
            <w:tcBorders>
              <w:top w:val="single" w:sz="4" w:space="0" w:color="auto"/>
              <w:left w:val="single" w:sz="4" w:space="0" w:color="auto"/>
              <w:bottom w:val="single" w:sz="4" w:space="0" w:color="auto"/>
              <w:right w:val="single" w:sz="4" w:space="0" w:color="auto"/>
            </w:tcBorders>
          </w:tcPr>
          <w:p w14:paraId="12FDD697" w14:textId="77777777" w:rsidR="00511657" w:rsidRPr="00B43BF0"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Did the study evaluate the index test in a population that is representative of the subject characteristics (age and sex) and clinical setting (disease prevalence, disease severity, referral filter and sequence of tests) for the clinical indication of interest?</w:t>
            </w:r>
          </w:p>
        </w:tc>
        <w:tc>
          <w:tcPr>
            <w:tcW w:w="1984" w:type="dxa"/>
            <w:tcBorders>
              <w:left w:val="single" w:sz="4" w:space="0" w:color="auto"/>
            </w:tcBorders>
          </w:tcPr>
          <w:p w14:paraId="2F1E0944" w14:textId="77777777" w:rsidR="00511657"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P1 applicable</w:t>
            </w:r>
          </w:p>
          <w:p w14:paraId="2E564833" w14:textId="77777777" w:rsidR="00511657"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P2 limited</w:t>
            </w:r>
          </w:p>
          <w:p w14:paraId="3F1CA5D8" w14:textId="77777777" w:rsidR="00511657" w:rsidRPr="00B43BF0"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P3 different population</w:t>
            </w:r>
          </w:p>
        </w:tc>
      </w:tr>
      <w:tr w:rsidR="00511657" w:rsidRPr="00B43BF0" w14:paraId="53CC1280" w14:textId="77777777" w:rsidTr="00511657">
        <w:tc>
          <w:tcPr>
            <w:tcW w:w="1843" w:type="dxa"/>
            <w:tcBorders>
              <w:right w:val="single" w:sz="4" w:space="0" w:color="auto"/>
            </w:tcBorders>
          </w:tcPr>
          <w:p w14:paraId="7C5BAD71" w14:textId="77777777" w:rsidR="00511657" w:rsidRPr="00B43BF0"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Quality of study</w:t>
            </w:r>
          </w:p>
        </w:tc>
        <w:tc>
          <w:tcPr>
            <w:tcW w:w="4536" w:type="dxa"/>
            <w:tcBorders>
              <w:top w:val="single" w:sz="4" w:space="0" w:color="auto"/>
              <w:left w:val="single" w:sz="4" w:space="0" w:color="auto"/>
              <w:bottom w:val="single" w:sz="4" w:space="0" w:color="auto"/>
              <w:right w:val="single" w:sz="4" w:space="0" w:color="auto"/>
            </w:tcBorders>
          </w:tcPr>
          <w:p w14:paraId="6419BA04" w14:textId="77777777" w:rsidR="00511657"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Was the study designed to avoid bias?</w:t>
            </w:r>
          </w:p>
          <w:p w14:paraId="4A020FEF" w14:textId="77777777" w:rsidR="00511657"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High quality = no potential for bias based on pre-defined key quality criteria.</w:t>
            </w:r>
          </w:p>
          <w:p w14:paraId="4C2A0D8E" w14:textId="77777777" w:rsidR="00511657"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Medium quality = some potential for bias in areas other than those pre-specified as key criteria.</w:t>
            </w:r>
          </w:p>
          <w:p w14:paraId="0456D03D" w14:textId="77777777" w:rsidR="00511657" w:rsidRPr="00B43BF0" w:rsidRDefault="00511657" w:rsidP="00511657">
            <w:pPr>
              <w:keepNext/>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Poor quality = poor reference standard and/or potential for bias based on key pre-specified criteria.</w:t>
            </w:r>
          </w:p>
        </w:tc>
        <w:tc>
          <w:tcPr>
            <w:tcW w:w="1984" w:type="dxa"/>
            <w:tcBorders>
              <w:left w:val="single" w:sz="4" w:space="0" w:color="auto"/>
            </w:tcBorders>
          </w:tcPr>
          <w:p w14:paraId="117F6ADC" w14:textId="77777777" w:rsidR="00511657"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Q1 high quality</w:t>
            </w:r>
          </w:p>
          <w:p w14:paraId="60334453" w14:textId="77777777" w:rsidR="00511657"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Q2 medium</w:t>
            </w:r>
          </w:p>
          <w:p w14:paraId="29D10C28" w14:textId="77777777" w:rsidR="00511657" w:rsidRPr="00B43BF0" w:rsidRDefault="00511657" w:rsidP="00511657">
            <w:pPr>
              <w:keepNext/>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Q3 poor reference standard, poor quality or insufficient information</w:t>
            </w:r>
          </w:p>
        </w:tc>
      </w:tr>
    </w:tbl>
    <w:p w14:paraId="56EEACA3" w14:textId="77777777" w:rsidR="00511657" w:rsidRDefault="00511657" w:rsidP="00511657">
      <w:pPr>
        <w:pStyle w:val="Tablefootnotes"/>
      </w:pPr>
      <w:r>
        <w:t>Abbreviations: C, comparison; P, population; Q, quality.</w:t>
      </w:r>
    </w:p>
    <w:p w14:paraId="1D61D7E3" w14:textId="77777777" w:rsidR="00511657" w:rsidRDefault="00511657" w:rsidP="00511657">
      <w:r>
        <w:t xml:space="preserve">As the </w:t>
      </w:r>
      <w:r w:rsidRPr="00CB61A9">
        <w:t xml:space="preserve">focus of the research question is the </w:t>
      </w:r>
      <w:r w:rsidRPr="00CB61A9">
        <w:rPr>
          <w:i/>
        </w:rPr>
        <w:t>comparative</w:t>
      </w:r>
      <w:r w:rsidRPr="00CB61A9">
        <w:t xml:space="preserve"> safety and effectiveness of FDG-PET and SPECT, the quality assessment was undertaken for comparative </w:t>
      </w:r>
      <w:r>
        <w:t xml:space="preserve">diagnostic </w:t>
      </w:r>
      <w:r w:rsidRPr="00CB61A9">
        <w:t>studies only (i.e. primary studies listed in Table B.2 1).</w:t>
      </w:r>
      <w:r>
        <w:t xml:space="preserve"> The indirect evidence serves as supplementary information only, as there is a high risk of bias introduced by comparing diagnostic techniques in different populations and settings.</w:t>
      </w:r>
    </w:p>
    <w:p w14:paraId="4DA3DDCE" w14:textId="6F348B1C" w:rsidR="00511657" w:rsidRDefault="00511657" w:rsidP="00511657">
      <w:pPr>
        <w:pStyle w:val="Caption"/>
      </w:pPr>
      <w:bookmarkStart w:id="93" w:name="_Toc406231704"/>
      <w:bookmarkStart w:id="94" w:name="_Toc408845210"/>
      <w:r>
        <w:lastRenderedPageBreak/>
        <w:t xml:space="preserve">Table </w:t>
      </w:r>
      <w:fldSimple w:instr=" STYLEREF 2 \s ">
        <w:r w:rsidR="00C67698">
          <w:rPr>
            <w:noProof/>
          </w:rPr>
          <w:t>B.3</w:t>
        </w:r>
      </w:fldSimple>
      <w:r w:rsidR="00524916">
        <w:noBreakHyphen/>
      </w:r>
      <w:fldSimple w:instr=" SEQ Table \* ARABIC \s 2 ">
        <w:r w:rsidR="00C67698">
          <w:rPr>
            <w:noProof/>
          </w:rPr>
          <w:t>2</w:t>
        </w:r>
      </w:fldSimple>
      <w:r>
        <w:tab/>
      </w:r>
      <w:r w:rsidR="009F1282">
        <w:t>Grading</w:t>
      </w:r>
      <w:r>
        <w:t xml:space="preserve"> of included comparative studies</w:t>
      </w:r>
      <w:bookmarkEnd w:id="93"/>
      <w:bookmarkEnd w:id="94"/>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Caption w:val="The quality of included comparative studies"/>
        <w:tblDescription w:val="The validity criteria results for each of the eight included comparative studies."/>
      </w:tblPr>
      <w:tblGrid>
        <w:gridCol w:w="1418"/>
        <w:gridCol w:w="6945"/>
      </w:tblGrid>
      <w:tr w:rsidR="00511657" w:rsidRPr="00B27C09" w14:paraId="5E090FB5" w14:textId="77777777" w:rsidTr="00511657">
        <w:trPr>
          <w:tblHeader/>
        </w:trPr>
        <w:tc>
          <w:tcPr>
            <w:tcW w:w="1418" w:type="dxa"/>
            <w:tcBorders>
              <w:right w:val="single" w:sz="4" w:space="0" w:color="auto"/>
            </w:tcBorders>
          </w:tcPr>
          <w:p w14:paraId="22810679" w14:textId="77777777" w:rsidR="00511657" w:rsidRPr="00B27C09" w:rsidRDefault="00511657" w:rsidP="00511657">
            <w:pPr>
              <w:spacing w:before="40" w:after="0"/>
              <w:ind w:left="0"/>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Study ID</w:t>
            </w:r>
          </w:p>
        </w:tc>
        <w:tc>
          <w:tcPr>
            <w:tcW w:w="6945" w:type="dxa"/>
            <w:tcBorders>
              <w:top w:val="single" w:sz="4" w:space="0" w:color="auto"/>
              <w:left w:val="single" w:sz="4" w:space="0" w:color="auto"/>
              <w:bottom w:val="single" w:sz="4" w:space="0" w:color="auto"/>
            </w:tcBorders>
          </w:tcPr>
          <w:p w14:paraId="4AE2133E" w14:textId="77777777" w:rsidR="00511657" w:rsidRPr="00B27C09" w:rsidRDefault="00511657" w:rsidP="00511657">
            <w:pPr>
              <w:spacing w:before="40" w:after="0"/>
              <w:ind w:left="0"/>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Validity criteria results</w:t>
            </w:r>
            <w:r w:rsidRPr="003662B0">
              <w:rPr>
                <w:rFonts w:ascii="Arial Narrow" w:eastAsia="Times New Roman" w:hAnsi="Arial Narrow" w:cs="Times New Roman"/>
                <w:b/>
                <w:sz w:val="20"/>
                <w:szCs w:val="20"/>
                <w:vertAlign w:val="superscript"/>
                <w:lang w:eastAsia="en-AU"/>
              </w:rPr>
              <w:t>a</w:t>
            </w:r>
          </w:p>
        </w:tc>
      </w:tr>
      <w:tr w:rsidR="00511657" w:rsidRPr="00B27C09" w14:paraId="4D74EEAD" w14:textId="77777777" w:rsidTr="00511657">
        <w:tc>
          <w:tcPr>
            <w:tcW w:w="1418" w:type="dxa"/>
            <w:tcBorders>
              <w:right w:val="single" w:sz="4" w:space="0" w:color="auto"/>
            </w:tcBorders>
          </w:tcPr>
          <w:p w14:paraId="1CAC78F5" w14:textId="77777777" w:rsidR="00511657" w:rsidRPr="00B27C09" w:rsidRDefault="00511657" w:rsidP="00511657">
            <w:pPr>
              <w:spacing w:before="40" w:after="40"/>
              <w:ind w:left="0"/>
              <w:rPr>
                <w:rFonts w:ascii="Arial Narrow" w:eastAsia="Times New Roman" w:hAnsi="Arial Narrow" w:cs="Times New Roman"/>
                <w:sz w:val="20"/>
                <w:szCs w:val="20"/>
                <w:lang w:eastAsia="en-AU"/>
              </w:rPr>
            </w:pPr>
            <w:r w:rsidRPr="008D0DDA">
              <w:rPr>
                <w:rFonts w:ascii="Arial Narrow" w:eastAsia="Times New Roman" w:hAnsi="Arial Narrow" w:cs="Times New Roman"/>
                <w:sz w:val="20"/>
                <w:szCs w:val="20"/>
                <w:lang w:eastAsia="en-AU"/>
              </w:rPr>
              <w:t>D</w:t>
            </w:r>
            <w:r w:rsidRPr="00646354">
              <w:rPr>
                <w:rFonts w:ascii="Arial Narrow" w:eastAsia="Times New Roman" w:hAnsi="Arial Narrow" w:cs="Times New Roman"/>
                <w:sz w:val="20"/>
                <w:szCs w:val="20"/>
                <w:lang w:eastAsia="en-AU"/>
              </w:rPr>
              <w:t>ö</w:t>
            </w:r>
            <w:r w:rsidRPr="008D0DDA">
              <w:rPr>
                <w:rFonts w:ascii="Arial Narrow" w:eastAsia="Times New Roman" w:hAnsi="Arial Narrow" w:cs="Times New Roman"/>
                <w:sz w:val="20"/>
                <w:szCs w:val="20"/>
                <w:lang w:eastAsia="en-AU"/>
              </w:rPr>
              <w:t>bert (2005)</w:t>
            </w:r>
          </w:p>
        </w:tc>
        <w:tc>
          <w:tcPr>
            <w:tcW w:w="6945" w:type="dxa"/>
            <w:tcBorders>
              <w:top w:val="single" w:sz="4" w:space="0" w:color="auto"/>
              <w:left w:val="single" w:sz="4" w:space="0" w:color="auto"/>
              <w:bottom w:val="single" w:sz="4" w:space="0" w:color="auto"/>
            </w:tcBorders>
          </w:tcPr>
          <w:p w14:paraId="1FA91F8E" w14:textId="77777777" w:rsidR="00511657" w:rsidRPr="009434A8" w:rsidRDefault="00511657" w:rsidP="00511657">
            <w:pPr>
              <w:spacing w:before="40" w:after="0"/>
              <w:ind w:left="0"/>
              <w:rPr>
                <w:rFonts w:ascii="Arial Narrow" w:eastAsia="Times New Roman" w:hAnsi="Arial Narrow" w:cs="Times New Roman"/>
                <w:sz w:val="20"/>
                <w:szCs w:val="20"/>
                <w:lang w:val="en-GB"/>
              </w:rPr>
            </w:pPr>
            <w:r w:rsidRPr="009434A8">
              <w:rPr>
                <w:rFonts w:ascii="Arial Narrow" w:eastAsia="Times New Roman" w:hAnsi="Arial Narrow" w:cs="Times New Roman"/>
                <w:b/>
                <w:sz w:val="20"/>
                <w:szCs w:val="20"/>
                <w:lang w:val="en-GB"/>
              </w:rPr>
              <w:t>C1:</w:t>
            </w:r>
            <w:r w:rsidRPr="009434A8">
              <w:rPr>
                <w:rFonts w:ascii="Arial Narrow" w:eastAsia="Times New Roman" w:hAnsi="Arial Narrow" w:cs="Times New Roman"/>
                <w:sz w:val="20"/>
                <w:szCs w:val="20"/>
                <w:lang w:val="en-GB"/>
              </w:rPr>
              <w:t xml:space="preserve"> FDG-PET</w:t>
            </w:r>
            <w:r>
              <w:rPr>
                <w:rFonts w:ascii="Arial Narrow" w:eastAsia="Times New Roman" w:hAnsi="Arial Narrow" w:cs="Times New Roman"/>
                <w:sz w:val="20"/>
                <w:szCs w:val="20"/>
                <w:lang w:val="en-GB"/>
              </w:rPr>
              <w:t xml:space="preserve"> vs </w:t>
            </w:r>
            <w:r w:rsidRPr="00005797">
              <w:rPr>
                <w:rFonts w:ascii="Arial Narrow" w:eastAsia="Times New Roman" w:hAnsi="Arial Narrow" w:cs="Times New Roman"/>
                <w:sz w:val="20"/>
                <w:szCs w:val="20"/>
                <w:lang w:val="en-GB"/>
              </w:rPr>
              <w:t>HMP</w:t>
            </w:r>
            <w:r>
              <w:rPr>
                <w:rFonts w:ascii="Arial Narrow" w:eastAsia="Times New Roman" w:hAnsi="Arial Narrow" w:cs="Times New Roman"/>
                <w:sz w:val="20"/>
                <w:szCs w:val="20"/>
                <w:lang w:val="en-GB"/>
              </w:rPr>
              <w:t>AO-SPECT</w:t>
            </w:r>
            <w:r w:rsidRPr="009434A8">
              <w:rPr>
                <w:rFonts w:ascii="Arial Narrow" w:eastAsia="Times New Roman" w:hAnsi="Arial Narrow" w:cs="Times New Roman"/>
                <w:sz w:val="20"/>
                <w:szCs w:val="20"/>
                <w:lang w:val="en-GB"/>
              </w:rPr>
              <w:t>.</w:t>
            </w:r>
          </w:p>
          <w:p w14:paraId="362C482E" w14:textId="77777777" w:rsidR="00511657" w:rsidRDefault="00511657" w:rsidP="00511657">
            <w:pPr>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b/>
                <w:sz w:val="20"/>
                <w:szCs w:val="20"/>
                <w:lang w:val="en-GB"/>
              </w:rPr>
              <w:t>P1</w:t>
            </w:r>
            <w:r w:rsidRPr="009434A8">
              <w:rPr>
                <w:rFonts w:ascii="Arial Narrow" w:eastAsia="Times New Roman" w:hAnsi="Arial Narrow" w:cs="Times New Roman"/>
                <w:b/>
                <w:sz w:val="20"/>
                <w:szCs w:val="20"/>
                <w:lang w:val="en-GB"/>
              </w:rPr>
              <w:t>:</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All patients had suspected early dementia (no cases had severe MMSE score – lowest 14; median 24).</w:t>
            </w:r>
          </w:p>
          <w:p w14:paraId="5BD9CC06" w14:textId="77777777" w:rsidR="00511657" w:rsidRPr="00AA1CF8" w:rsidRDefault="00511657" w:rsidP="00511657">
            <w:pPr>
              <w:spacing w:before="40" w:after="0"/>
              <w:ind w:left="0"/>
              <w:rPr>
                <w:rFonts w:ascii="Arial Narrow" w:eastAsia="Times New Roman" w:hAnsi="Arial Narrow" w:cs="Times New Roman"/>
                <w:sz w:val="20"/>
                <w:szCs w:val="20"/>
                <w:lang w:val="en-GB"/>
              </w:rPr>
            </w:pPr>
            <w:r w:rsidRPr="009434A8">
              <w:rPr>
                <w:rFonts w:ascii="Arial Narrow" w:eastAsia="Times New Roman" w:hAnsi="Arial Narrow" w:cs="Times New Roman"/>
                <w:b/>
                <w:sz w:val="20"/>
                <w:szCs w:val="20"/>
                <w:lang w:val="en-GB"/>
              </w:rPr>
              <w:t>Q</w:t>
            </w:r>
            <w:r>
              <w:rPr>
                <w:rFonts w:ascii="Arial Narrow" w:eastAsia="Times New Roman" w:hAnsi="Arial Narrow" w:cs="Times New Roman"/>
                <w:b/>
                <w:sz w:val="20"/>
                <w:szCs w:val="20"/>
                <w:lang w:val="en-GB"/>
              </w:rPr>
              <w:t>3</w:t>
            </w:r>
            <w:r w:rsidRPr="009434A8">
              <w:rPr>
                <w:rFonts w:ascii="Arial Narrow" w:eastAsia="Times New Roman" w:hAnsi="Arial Narrow" w:cs="Times New Roman"/>
                <w:b/>
                <w:sz w:val="20"/>
                <w:szCs w:val="20"/>
                <w:lang w:val="en-GB"/>
              </w:rPr>
              <w:t>:</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 xml:space="preserve">Small sample size. Reference standard was longitudinal clinical follow-up (mean 16 months), which may not represent an accurate diagnosis. </w:t>
            </w:r>
          </w:p>
        </w:tc>
      </w:tr>
      <w:tr w:rsidR="00511657" w:rsidRPr="00B27C09" w14:paraId="1FFF4549" w14:textId="77777777" w:rsidTr="00511657">
        <w:tc>
          <w:tcPr>
            <w:tcW w:w="1418" w:type="dxa"/>
            <w:tcBorders>
              <w:right w:val="single" w:sz="4" w:space="0" w:color="auto"/>
            </w:tcBorders>
            <w:shd w:val="clear" w:color="auto" w:fill="FFFFFF" w:themeFill="background1"/>
          </w:tcPr>
          <w:p w14:paraId="19F53D4A" w14:textId="77777777" w:rsidR="00511657" w:rsidRPr="00B27C09" w:rsidRDefault="00511657" w:rsidP="00511657">
            <w:pPr>
              <w:spacing w:before="40" w:after="40"/>
              <w:ind w:left="0"/>
              <w:rPr>
                <w:rFonts w:ascii="Arial Narrow" w:eastAsia="Times New Roman" w:hAnsi="Arial Narrow" w:cs="Times New Roman"/>
                <w:sz w:val="20"/>
                <w:szCs w:val="20"/>
                <w:lang w:eastAsia="en-AU"/>
              </w:rPr>
            </w:pPr>
            <w:r w:rsidRPr="008D0DDA">
              <w:rPr>
                <w:rFonts w:ascii="Arial Narrow" w:eastAsia="Times New Roman" w:hAnsi="Arial Narrow" w:cs="Times New Roman"/>
                <w:sz w:val="20"/>
                <w:szCs w:val="20"/>
                <w:lang w:eastAsia="en-AU"/>
              </w:rPr>
              <w:t>Herholz (2002)</w:t>
            </w:r>
          </w:p>
        </w:tc>
        <w:tc>
          <w:tcPr>
            <w:tcW w:w="6945" w:type="dxa"/>
            <w:tcBorders>
              <w:top w:val="single" w:sz="4" w:space="0" w:color="auto"/>
              <w:left w:val="single" w:sz="4" w:space="0" w:color="auto"/>
              <w:bottom w:val="single" w:sz="4" w:space="0" w:color="auto"/>
            </w:tcBorders>
            <w:shd w:val="clear" w:color="auto" w:fill="FFFFFF" w:themeFill="background1"/>
          </w:tcPr>
          <w:p w14:paraId="703CFC92" w14:textId="77777777" w:rsidR="00511657" w:rsidRPr="008022C9" w:rsidRDefault="00511657" w:rsidP="00511657">
            <w:pPr>
              <w:spacing w:before="40" w:after="0"/>
              <w:ind w:left="0"/>
              <w:rPr>
                <w:rFonts w:ascii="Arial Narrow" w:eastAsia="Times New Roman" w:hAnsi="Arial Narrow" w:cs="Times New Roman"/>
                <w:sz w:val="20"/>
                <w:szCs w:val="20"/>
                <w:lang w:val="en-GB"/>
              </w:rPr>
            </w:pPr>
            <w:r w:rsidRPr="008022C9">
              <w:rPr>
                <w:rFonts w:ascii="Arial Narrow" w:eastAsia="Times New Roman" w:hAnsi="Arial Narrow" w:cs="Times New Roman"/>
                <w:b/>
                <w:sz w:val="20"/>
                <w:szCs w:val="20"/>
                <w:lang w:val="en-GB"/>
              </w:rPr>
              <w:t>C1</w:t>
            </w:r>
            <w:r w:rsidRPr="008022C9">
              <w:rPr>
                <w:rFonts w:ascii="Arial Narrow" w:eastAsia="Times New Roman" w:hAnsi="Arial Narrow" w:cs="Times New Roman"/>
                <w:sz w:val="20"/>
                <w:szCs w:val="20"/>
                <w:lang w:val="en-GB"/>
              </w:rPr>
              <w:t>: FDG-PET</w:t>
            </w:r>
            <w:r>
              <w:rPr>
                <w:rFonts w:ascii="Arial Narrow" w:eastAsia="Times New Roman" w:hAnsi="Arial Narrow" w:cs="Times New Roman"/>
                <w:sz w:val="20"/>
                <w:szCs w:val="20"/>
                <w:lang w:val="en-GB"/>
              </w:rPr>
              <w:t xml:space="preserve"> vs HMPAO-SPECT</w:t>
            </w:r>
            <w:r w:rsidRPr="008022C9">
              <w:rPr>
                <w:rFonts w:ascii="Arial Narrow" w:eastAsia="Times New Roman" w:hAnsi="Arial Narrow" w:cs="Times New Roman"/>
                <w:sz w:val="20"/>
                <w:szCs w:val="20"/>
                <w:lang w:val="en-GB"/>
              </w:rPr>
              <w:t>.</w:t>
            </w:r>
          </w:p>
          <w:p w14:paraId="6EB2722F" w14:textId="77777777" w:rsidR="00511657" w:rsidRPr="008022C9" w:rsidRDefault="00511657" w:rsidP="00511657">
            <w:pPr>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b/>
                <w:sz w:val="20"/>
                <w:szCs w:val="20"/>
                <w:lang w:val="en-GB"/>
              </w:rPr>
              <w:t>P2</w:t>
            </w:r>
            <w:r w:rsidRPr="00D874A6">
              <w:rPr>
                <w:rFonts w:ascii="Arial Narrow" w:eastAsia="Times New Roman" w:hAnsi="Arial Narrow" w:cs="Times New Roman"/>
                <w:b/>
                <w:sz w:val="20"/>
                <w:szCs w:val="20"/>
                <w:lang w:val="en-GB"/>
              </w:rPr>
              <w:t>:</w:t>
            </w:r>
            <w:r w:rsidRPr="008022C9">
              <w:rPr>
                <w:rFonts w:ascii="Arial Narrow" w:eastAsia="Times New Roman" w:hAnsi="Arial Narrow" w:cs="Times New Roman"/>
                <w:sz w:val="20"/>
                <w:szCs w:val="20"/>
                <w:lang w:val="en-GB"/>
              </w:rPr>
              <w:t xml:space="preserve"> </w:t>
            </w:r>
            <w:r>
              <w:rPr>
                <w:rFonts w:ascii="Arial Narrow" w:eastAsia="Times New Roman" w:hAnsi="Arial Narrow" w:cs="Times New Roman"/>
                <w:sz w:val="20"/>
                <w:szCs w:val="20"/>
                <w:lang w:val="en-GB"/>
              </w:rPr>
              <w:t xml:space="preserve">Patients had a clinical diagnosis of probable AD, most of which were associated with mild cognitive impairment (MMSE 22.5). Patients had undergone CT or MRI to exclude structural brain lesions (e.g. brain infarcts, tumours). </w:t>
            </w:r>
            <w:r w:rsidRPr="000804B2">
              <w:rPr>
                <w:rFonts w:ascii="Arial Narrow" w:eastAsia="Times New Roman" w:hAnsi="Arial Narrow" w:cs="Times New Roman"/>
                <w:sz w:val="20"/>
                <w:szCs w:val="20"/>
                <w:lang w:val="en-GB"/>
              </w:rPr>
              <w:t>Controls with no cognitive impairment are unlikely to be representative of non-AD patients who undergo FDG-PET or SPECT in practice.</w:t>
            </w:r>
          </w:p>
          <w:p w14:paraId="4ED36CBC" w14:textId="157027EC" w:rsidR="00511657" w:rsidRPr="009434A8" w:rsidRDefault="00511657" w:rsidP="00511657">
            <w:pPr>
              <w:spacing w:before="40" w:after="0"/>
              <w:ind w:left="0"/>
              <w:rPr>
                <w:rFonts w:ascii="Arial Narrow" w:eastAsia="Times New Roman" w:hAnsi="Arial Narrow" w:cs="Times New Roman"/>
                <w:sz w:val="20"/>
                <w:szCs w:val="20"/>
                <w:lang w:val="en-GB"/>
              </w:rPr>
            </w:pPr>
            <w:r w:rsidRPr="009434A8">
              <w:rPr>
                <w:rFonts w:ascii="Arial Narrow" w:eastAsia="Times New Roman" w:hAnsi="Arial Narrow" w:cs="Times New Roman"/>
                <w:b/>
                <w:sz w:val="20"/>
                <w:szCs w:val="20"/>
                <w:lang w:val="en-GB"/>
              </w:rPr>
              <w:t>Q3:</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Small sample size. Poor reference standard – no histopathologic diagnosis or long</w:t>
            </w:r>
            <w:r w:rsidR="00617B67">
              <w:rPr>
                <w:rFonts w:ascii="Arial Narrow" w:eastAsia="Times New Roman" w:hAnsi="Arial Narrow" w:cs="Times New Roman"/>
                <w:sz w:val="20"/>
                <w:szCs w:val="20"/>
                <w:lang w:val="en-GB"/>
              </w:rPr>
              <w:t>-</w:t>
            </w:r>
            <w:r>
              <w:rPr>
                <w:rFonts w:ascii="Arial Narrow" w:eastAsia="Times New Roman" w:hAnsi="Arial Narrow" w:cs="Times New Roman"/>
                <w:sz w:val="20"/>
                <w:szCs w:val="20"/>
                <w:lang w:val="en-GB"/>
              </w:rPr>
              <w:t>term clinical follow-up. Sample of healthy volunteers (n=6) was too small to provide an estimate of the diagnostic accuracy (sensitivity/specificity) of the two techniques.</w:t>
            </w:r>
          </w:p>
        </w:tc>
      </w:tr>
      <w:tr w:rsidR="00511657" w:rsidRPr="00B27C09" w14:paraId="28CEDD7B" w14:textId="77777777" w:rsidTr="00511657">
        <w:tc>
          <w:tcPr>
            <w:tcW w:w="1418" w:type="dxa"/>
            <w:tcBorders>
              <w:right w:val="single" w:sz="4" w:space="0" w:color="auto"/>
            </w:tcBorders>
            <w:shd w:val="clear" w:color="auto" w:fill="FFFFFF" w:themeFill="background1"/>
          </w:tcPr>
          <w:p w14:paraId="1F11C4F5" w14:textId="77777777" w:rsidR="00511657" w:rsidRPr="00B27C09" w:rsidRDefault="00511657" w:rsidP="00511657">
            <w:pPr>
              <w:spacing w:before="40" w:after="40"/>
              <w:ind w:left="0"/>
              <w:rPr>
                <w:rFonts w:ascii="Arial Narrow" w:eastAsia="Times New Roman" w:hAnsi="Arial Narrow" w:cs="Times New Roman"/>
                <w:sz w:val="20"/>
                <w:szCs w:val="20"/>
                <w:lang w:eastAsia="en-AU"/>
              </w:rPr>
            </w:pPr>
            <w:r w:rsidRPr="008D0DDA">
              <w:rPr>
                <w:rFonts w:ascii="Arial Narrow" w:eastAsia="Times New Roman" w:hAnsi="Arial Narrow" w:cs="Times New Roman"/>
                <w:sz w:val="20"/>
                <w:szCs w:val="20"/>
                <w:lang w:eastAsia="en-AU"/>
              </w:rPr>
              <w:t>Ishii (1999)</w:t>
            </w:r>
          </w:p>
        </w:tc>
        <w:tc>
          <w:tcPr>
            <w:tcW w:w="6945" w:type="dxa"/>
            <w:tcBorders>
              <w:top w:val="single" w:sz="4" w:space="0" w:color="auto"/>
              <w:left w:val="single" w:sz="4" w:space="0" w:color="auto"/>
              <w:bottom w:val="single" w:sz="4" w:space="0" w:color="auto"/>
            </w:tcBorders>
            <w:shd w:val="clear" w:color="auto" w:fill="FFFFFF" w:themeFill="background1"/>
          </w:tcPr>
          <w:p w14:paraId="07BDB0C4" w14:textId="77777777" w:rsidR="00511657" w:rsidRPr="006C3425" w:rsidRDefault="00511657" w:rsidP="00511657">
            <w:pPr>
              <w:spacing w:before="40" w:after="0"/>
              <w:ind w:left="0"/>
              <w:rPr>
                <w:rFonts w:ascii="Arial Narrow" w:eastAsia="Times New Roman" w:hAnsi="Arial Narrow" w:cs="Times New Roman"/>
                <w:sz w:val="20"/>
                <w:szCs w:val="20"/>
                <w:lang w:val="en-GB"/>
              </w:rPr>
            </w:pPr>
            <w:r w:rsidRPr="001E00F3">
              <w:rPr>
                <w:rFonts w:ascii="Arial Narrow" w:eastAsia="Times New Roman" w:hAnsi="Arial Narrow" w:cs="Times New Roman"/>
                <w:b/>
                <w:sz w:val="20"/>
                <w:szCs w:val="20"/>
                <w:lang w:val="en-GB"/>
              </w:rPr>
              <w:t>C1:</w:t>
            </w:r>
            <w:r w:rsidRPr="006C3425">
              <w:rPr>
                <w:rFonts w:ascii="Arial Narrow" w:eastAsia="Times New Roman" w:hAnsi="Arial Narrow" w:cs="Times New Roman"/>
                <w:sz w:val="20"/>
                <w:szCs w:val="20"/>
                <w:lang w:val="en-GB"/>
              </w:rPr>
              <w:t xml:space="preserve"> FDG-PET</w:t>
            </w:r>
            <w:r>
              <w:rPr>
                <w:rFonts w:ascii="Arial Narrow" w:eastAsia="Times New Roman" w:hAnsi="Arial Narrow" w:cs="Times New Roman"/>
                <w:sz w:val="20"/>
                <w:szCs w:val="20"/>
                <w:lang w:val="en-GB"/>
              </w:rPr>
              <w:t xml:space="preserve"> vs ECD-SPECT</w:t>
            </w:r>
            <w:r w:rsidRPr="006C3425">
              <w:rPr>
                <w:rFonts w:ascii="Arial Narrow" w:eastAsia="Times New Roman" w:hAnsi="Arial Narrow" w:cs="Times New Roman"/>
                <w:sz w:val="20"/>
                <w:szCs w:val="20"/>
                <w:lang w:val="en-GB"/>
              </w:rPr>
              <w:t>.</w:t>
            </w:r>
          </w:p>
          <w:p w14:paraId="133306CE" w14:textId="77777777" w:rsidR="00511657" w:rsidRPr="006C3425" w:rsidRDefault="00511657" w:rsidP="00511657">
            <w:pPr>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b/>
                <w:sz w:val="20"/>
                <w:szCs w:val="20"/>
                <w:lang w:val="en-GB"/>
              </w:rPr>
              <w:t>P2</w:t>
            </w:r>
            <w:r w:rsidRPr="001E00F3">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 xml:space="preserve">Patients with probable AD. 9 patients (90%) had mild to moderate cognitive impairment and one patient (10%) had severe cognitive impairment, according to MMSE. Unable to determine whether they were patients with difficult-to-diagnose AD. </w:t>
            </w:r>
          </w:p>
          <w:p w14:paraId="2798B7C6" w14:textId="19A166C7" w:rsidR="00511657" w:rsidRPr="009434A8" w:rsidRDefault="00511657" w:rsidP="00511657">
            <w:pPr>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b/>
                <w:sz w:val="20"/>
                <w:szCs w:val="20"/>
                <w:lang w:val="en-GB"/>
              </w:rPr>
              <w:t>Q3</w:t>
            </w:r>
            <w:r w:rsidRPr="001E00F3">
              <w:rPr>
                <w:rFonts w:ascii="Arial Narrow" w:eastAsia="Times New Roman" w:hAnsi="Arial Narrow" w:cs="Times New Roman"/>
                <w:b/>
                <w:sz w:val="20"/>
                <w:szCs w:val="20"/>
                <w:lang w:val="en-GB"/>
              </w:rPr>
              <w:t>:</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Very small sample size. Poor reference standard – no histopathologic diagnosis or long</w:t>
            </w:r>
            <w:r w:rsidR="00617B67">
              <w:rPr>
                <w:rFonts w:ascii="Arial Narrow" w:eastAsia="Times New Roman" w:hAnsi="Arial Narrow" w:cs="Times New Roman"/>
                <w:sz w:val="20"/>
                <w:szCs w:val="20"/>
                <w:lang w:val="en-GB"/>
              </w:rPr>
              <w:t>-</w:t>
            </w:r>
            <w:r>
              <w:rPr>
                <w:rFonts w:ascii="Arial Narrow" w:eastAsia="Times New Roman" w:hAnsi="Arial Narrow" w:cs="Times New Roman"/>
                <w:sz w:val="20"/>
                <w:szCs w:val="20"/>
                <w:lang w:val="en-GB"/>
              </w:rPr>
              <w:t>term clinical follow-up.</w:t>
            </w:r>
            <w:r>
              <w:rPr>
                <w:rFonts w:ascii="Arial Narrow" w:eastAsia="Times New Roman" w:hAnsi="Arial Narrow" w:cs="Times New Roman"/>
                <w:b/>
                <w:sz w:val="20"/>
                <w:szCs w:val="20"/>
                <w:lang w:val="en-GB"/>
              </w:rPr>
              <w:t xml:space="preserve"> </w:t>
            </w:r>
          </w:p>
        </w:tc>
      </w:tr>
      <w:tr w:rsidR="00511657" w:rsidRPr="00B27C09" w14:paraId="00513E74" w14:textId="77777777" w:rsidTr="00511657">
        <w:tc>
          <w:tcPr>
            <w:tcW w:w="1418" w:type="dxa"/>
            <w:tcBorders>
              <w:right w:val="single" w:sz="4" w:space="0" w:color="auto"/>
            </w:tcBorders>
          </w:tcPr>
          <w:p w14:paraId="23137427" w14:textId="77777777" w:rsidR="00511657" w:rsidRPr="008D0DDA" w:rsidRDefault="00511657" w:rsidP="00511657">
            <w:pPr>
              <w:spacing w:before="40" w:after="40"/>
              <w:ind w:left="0"/>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Ito (2014)</w:t>
            </w:r>
          </w:p>
        </w:tc>
        <w:tc>
          <w:tcPr>
            <w:tcW w:w="6945" w:type="dxa"/>
            <w:tcBorders>
              <w:top w:val="single" w:sz="4" w:space="0" w:color="auto"/>
              <w:left w:val="single" w:sz="4" w:space="0" w:color="auto"/>
              <w:bottom w:val="single" w:sz="4" w:space="0" w:color="auto"/>
            </w:tcBorders>
          </w:tcPr>
          <w:p w14:paraId="3C5BC60C" w14:textId="77777777" w:rsidR="00511657" w:rsidRPr="00583BB1" w:rsidRDefault="00511657" w:rsidP="00511657">
            <w:pPr>
              <w:spacing w:before="40" w:after="0"/>
              <w:ind w:left="0"/>
              <w:rPr>
                <w:rFonts w:ascii="Arial Narrow" w:eastAsia="Times New Roman" w:hAnsi="Arial Narrow" w:cs="Times New Roman"/>
                <w:b/>
                <w:sz w:val="20"/>
                <w:szCs w:val="20"/>
                <w:lang w:val="en-GB"/>
              </w:rPr>
            </w:pPr>
            <w:r w:rsidRPr="00583BB1">
              <w:rPr>
                <w:rFonts w:ascii="Arial Narrow" w:eastAsia="Times New Roman" w:hAnsi="Arial Narrow" w:cs="Times New Roman"/>
                <w:b/>
                <w:sz w:val="20"/>
                <w:szCs w:val="20"/>
                <w:lang w:val="en-GB"/>
              </w:rPr>
              <w:t>C1:</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 xml:space="preserve">FDG-PET vs ECD-SPECT. </w:t>
            </w:r>
          </w:p>
          <w:p w14:paraId="27C997F2" w14:textId="6E9DCA5A" w:rsidR="00511657" w:rsidRPr="00583BB1" w:rsidRDefault="00511657" w:rsidP="00511657">
            <w:pPr>
              <w:spacing w:before="40" w:after="0"/>
              <w:ind w:left="0"/>
              <w:rPr>
                <w:rFonts w:ascii="Arial Narrow" w:eastAsia="Times New Roman" w:hAnsi="Arial Narrow" w:cs="Times New Roman"/>
                <w:b/>
                <w:sz w:val="20"/>
                <w:szCs w:val="20"/>
                <w:lang w:val="en-GB"/>
              </w:rPr>
            </w:pPr>
            <w:r w:rsidRPr="00583BB1">
              <w:rPr>
                <w:rFonts w:ascii="Arial Narrow" w:eastAsia="Times New Roman" w:hAnsi="Arial Narrow" w:cs="Times New Roman"/>
                <w:b/>
                <w:sz w:val="20"/>
                <w:szCs w:val="20"/>
                <w:lang w:val="en-GB"/>
              </w:rPr>
              <w:t>P</w:t>
            </w:r>
            <w:r>
              <w:rPr>
                <w:rFonts w:ascii="Arial Narrow" w:eastAsia="Times New Roman" w:hAnsi="Arial Narrow" w:cs="Times New Roman"/>
                <w:b/>
                <w:sz w:val="20"/>
                <w:szCs w:val="20"/>
                <w:lang w:val="en-GB"/>
              </w:rPr>
              <w:t>2</w:t>
            </w:r>
            <w:r w:rsidRPr="00583BB1">
              <w:rPr>
                <w:rFonts w:ascii="Arial Narrow" w:eastAsia="Times New Roman" w:hAnsi="Arial Narrow" w:cs="Times New Roman"/>
                <w:b/>
                <w:sz w:val="20"/>
                <w:szCs w:val="20"/>
                <w:lang w:val="en-GB"/>
              </w:rPr>
              <w:t>:</w:t>
            </w:r>
            <w:r>
              <w:rPr>
                <w:rFonts w:ascii="Arial Narrow" w:eastAsia="Times New Roman" w:hAnsi="Arial Narrow" w:cs="Times New Roman"/>
                <w:b/>
                <w:sz w:val="20"/>
                <w:szCs w:val="20"/>
                <w:lang w:val="en-GB"/>
              </w:rPr>
              <w:t xml:space="preserve"> </w:t>
            </w:r>
            <w:r w:rsidRPr="00C126F6">
              <w:rPr>
                <w:rFonts w:ascii="Arial Narrow" w:eastAsia="Times New Roman" w:hAnsi="Arial Narrow" w:cs="Times New Roman"/>
                <w:sz w:val="20"/>
                <w:szCs w:val="20"/>
                <w:lang w:val="en-GB"/>
              </w:rPr>
              <w:t xml:space="preserve">Patients had a </w:t>
            </w:r>
            <w:r>
              <w:rPr>
                <w:rFonts w:ascii="Arial Narrow" w:eastAsia="Times New Roman" w:hAnsi="Arial Narrow" w:cs="Times New Roman"/>
                <w:sz w:val="20"/>
                <w:szCs w:val="20"/>
                <w:lang w:val="en-GB"/>
              </w:rPr>
              <w:t xml:space="preserve">cognitive disorder (AD, MCI, DLB or </w:t>
            </w:r>
            <w:r w:rsidR="00BD65E4">
              <w:rPr>
                <w:rFonts w:ascii="Arial Narrow" w:eastAsia="Times New Roman" w:hAnsi="Arial Narrow" w:cs="Times New Roman"/>
                <w:sz w:val="20"/>
                <w:szCs w:val="20"/>
                <w:lang w:val="en-GB"/>
              </w:rPr>
              <w:t>FTD</w:t>
            </w:r>
            <w:r>
              <w:rPr>
                <w:rFonts w:ascii="Arial Narrow" w:eastAsia="Times New Roman" w:hAnsi="Arial Narrow" w:cs="Times New Roman"/>
                <w:sz w:val="20"/>
                <w:szCs w:val="20"/>
                <w:lang w:val="en-GB"/>
              </w:rPr>
              <w:t xml:space="preserve">). Mean MMSE score in those ultimately diagnosed with AD was 19.3 (i.e. applicable population was not severe cognitive impairment). Patients had not necessarily undergone CT and/or MRI </w:t>
            </w:r>
            <w:r w:rsidRPr="00C126F6">
              <w:rPr>
                <w:rFonts w:ascii="Arial Narrow" w:eastAsia="Times New Roman" w:hAnsi="Arial Narrow" w:cs="Times New Roman"/>
                <w:sz w:val="20"/>
                <w:szCs w:val="20"/>
                <w:lang w:val="en-GB"/>
              </w:rPr>
              <w:t>to exclude structural brain lesions</w:t>
            </w:r>
            <w:r>
              <w:rPr>
                <w:rFonts w:ascii="Arial Narrow" w:eastAsia="Times New Roman" w:hAnsi="Arial Narrow" w:cs="Times New Roman"/>
                <w:sz w:val="20"/>
                <w:szCs w:val="20"/>
                <w:lang w:val="en-GB"/>
              </w:rPr>
              <w:t xml:space="preserve"> (e.g. brain infarcts, tumours) and therefore may not truly be mild/difficult-to-diagnose cases.</w:t>
            </w:r>
          </w:p>
          <w:p w14:paraId="7BD6F3BB" w14:textId="5F307203" w:rsidR="00511657" w:rsidRPr="00583BB1" w:rsidRDefault="00511657" w:rsidP="00511657">
            <w:pPr>
              <w:spacing w:before="40" w:after="0"/>
              <w:ind w:left="0"/>
              <w:rPr>
                <w:rFonts w:ascii="Arial Narrow" w:eastAsia="Times New Roman" w:hAnsi="Arial Narrow" w:cs="Times New Roman"/>
                <w:sz w:val="20"/>
                <w:szCs w:val="20"/>
                <w:highlight w:val="yellow"/>
                <w:lang w:val="en-GB"/>
              </w:rPr>
            </w:pPr>
            <w:r w:rsidRPr="00583BB1">
              <w:rPr>
                <w:rFonts w:ascii="Arial Narrow" w:eastAsia="Times New Roman" w:hAnsi="Arial Narrow" w:cs="Times New Roman"/>
                <w:b/>
                <w:sz w:val="20"/>
                <w:szCs w:val="20"/>
                <w:lang w:val="en-GB"/>
              </w:rPr>
              <w:t>Q</w:t>
            </w:r>
            <w:r>
              <w:rPr>
                <w:rFonts w:ascii="Arial Narrow" w:eastAsia="Times New Roman" w:hAnsi="Arial Narrow" w:cs="Times New Roman"/>
                <w:b/>
                <w:sz w:val="20"/>
                <w:szCs w:val="20"/>
                <w:lang w:val="en-GB"/>
              </w:rPr>
              <w:t>3</w:t>
            </w:r>
            <w:r w:rsidRPr="00583BB1">
              <w:rPr>
                <w:rFonts w:ascii="Arial Narrow" w:eastAsia="Times New Roman" w:hAnsi="Arial Narrow" w:cs="Times New Roman"/>
                <w:b/>
                <w:sz w:val="20"/>
                <w:szCs w:val="20"/>
                <w:lang w:val="en-GB"/>
              </w:rPr>
              <w:t>:</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Relatively small sample size. Poor reference standard – no histopathologic diagnosis or long</w:t>
            </w:r>
            <w:r w:rsidR="00617B67">
              <w:rPr>
                <w:rFonts w:ascii="Arial Narrow" w:eastAsia="Times New Roman" w:hAnsi="Arial Narrow" w:cs="Times New Roman"/>
                <w:sz w:val="20"/>
                <w:szCs w:val="20"/>
                <w:lang w:val="en-GB"/>
              </w:rPr>
              <w:t>-</w:t>
            </w:r>
            <w:r>
              <w:rPr>
                <w:rFonts w:ascii="Arial Narrow" w:eastAsia="Times New Roman" w:hAnsi="Arial Narrow" w:cs="Times New Roman"/>
                <w:sz w:val="20"/>
                <w:szCs w:val="20"/>
                <w:lang w:val="en-GB"/>
              </w:rPr>
              <w:t xml:space="preserve">term clinical follow-up. Final diagnosis was provided according to NIA-AA criteria by a team of certified dementia specialists. </w:t>
            </w:r>
            <w:r w:rsidRPr="009D1C45">
              <w:rPr>
                <w:rFonts w:ascii="Arial Narrow" w:eastAsia="Times New Roman" w:hAnsi="Arial Narrow" w:cs="Times New Roman"/>
                <w:sz w:val="20"/>
                <w:szCs w:val="20"/>
                <w:lang w:val="en-GB"/>
              </w:rPr>
              <w:t>While the study provided a direct comparison of PET and SPECT, all results were interpreted using visual assessment only (i.e. not semi-quantitative).</w:t>
            </w:r>
          </w:p>
        </w:tc>
      </w:tr>
      <w:tr w:rsidR="00511657" w:rsidRPr="00B27C09" w14:paraId="7B351B1E" w14:textId="77777777" w:rsidTr="00511657">
        <w:tc>
          <w:tcPr>
            <w:tcW w:w="1418" w:type="dxa"/>
            <w:tcBorders>
              <w:right w:val="single" w:sz="4" w:space="0" w:color="auto"/>
            </w:tcBorders>
            <w:shd w:val="clear" w:color="auto" w:fill="FFFFFF" w:themeFill="background1"/>
          </w:tcPr>
          <w:p w14:paraId="47D5A2CF" w14:textId="77777777" w:rsidR="00511657" w:rsidRPr="00B27C09" w:rsidRDefault="00511657" w:rsidP="00511657">
            <w:pPr>
              <w:spacing w:before="40" w:after="40"/>
              <w:ind w:left="0"/>
              <w:rPr>
                <w:rFonts w:ascii="Arial Narrow" w:eastAsia="Times New Roman" w:hAnsi="Arial Narrow" w:cs="Times New Roman"/>
                <w:sz w:val="20"/>
                <w:szCs w:val="20"/>
                <w:lang w:eastAsia="en-AU"/>
              </w:rPr>
            </w:pPr>
            <w:r w:rsidRPr="008D0DDA">
              <w:rPr>
                <w:rFonts w:ascii="Arial Narrow" w:eastAsia="Times New Roman" w:hAnsi="Arial Narrow" w:cs="Times New Roman"/>
                <w:sz w:val="20"/>
                <w:szCs w:val="20"/>
                <w:lang w:eastAsia="en-AU"/>
              </w:rPr>
              <w:t>Kuwabara (1990)</w:t>
            </w:r>
          </w:p>
        </w:tc>
        <w:tc>
          <w:tcPr>
            <w:tcW w:w="6945" w:type="dxa"/>
            <w:tcBorders>
              <w:top w:val="single" w:sz="4" w:space="0" w:color="auto"/>
              <w:left w:val="single" w:sz="4" w:space="0" w:color="auto"/>
              <w:bottom w:val="single" w:sz="4" w:space="0" w:color="auto"/>
            </w:tcBorders>
            <w:shd w:val="clear" w:color="auto" w:fill="FFFFFF" w:themeFill="background1"/>
          </w:tcPr>
          <w:p w14:paraId="69D3C1A7" w14:textId="77777777" w:rsidR="00511657" w:rsidRPr="000E7D6D" w:rsidRDefault="00511657" w:rsidP="00511657">
            <w:pPr>
              <w:spacing w:before="40" w:after="0"/>
              <w:ind w:left="0"/>
              <w:rPr>
                <w:rFonts w:ascii="Arial Narrow" w:eastAsia="Times New Roman" w:hAnsi="Arial Narrow" w:cs="Times New Roman"/>
                <w:sz w:val="20"/>
                <w:szCs w:val="20"/>
                <w:lang w:val="en-GB"/>
              </w:rPr>
            </w:pPr>
            <w:r w:rsidRPr="000E7D6D">
              <w:rPr>
                <w:rFonts w:ascii="Arial Narrow" w:eastAsia="Times New Roman" w:hAnsi="Arial Narrow" w:cs="Times New Roman"/>
                <w:b/>
                <w:sz w:val="20"/>
                <w:szCs w:val="20"/>
                <w:lang w:val="en-GB"/>
              </w:rPr>
              <w:t>C1:</w:t>
            </w:r>
            <w:r w:rsidRPr="000E7D6D">
              <w:rPr>
                <w:rFonts w:ascii="Arial Narrow" w:eastAsia="Times New Roman" w:hAnsi="Arial Narrow" w:cs="Times New Roman"/>
                <w:sz w:val="20"/>
                <w:szCs w:val="20"/>
                <w:lang w:val="en-GB"/>
              </w:rPr>
              <w:t xml:space="preserve"> </w:t>
            </w:r>
            <w:r w:rsidRPr="000E7D6D">
              <w:rPr>
                <w:rFonts w:ascii="Arial Narrow" w:eastAsia="Times New Roman" w:hAnsi="Arial Narrow" w:cs="Times New Roman"/>
                <w:sz w:val="20"/>
                <w:szCs w:val="24"/>
              </w:rPr>
              <w:t xml:space="preserve">FDG and </w:t>
            </w:r>
            <w:r w:rsidRPr="000E7D6D">
              <w:rPr>
                <w:rFonts w:ascii="Arial Narrow" w:eastAsia="Times New Roman" w:hAnsi="Arial Narrow" w:cs="Times New Roman"/>
                <w:sz w:val="20"/>
                <w:szCs w:val="24"/>
                <w:vertAlign w:val="superscript"/>
              </w:rPr>
              <w:t>15</w:t>
            </w:r>
            <w:r w:rsidRPr="000E7D6D">
              <w:rPr>
                <w:rFonts w:ascii="Arial Narrow" w:eastAsia="Times New Roman" w:hAnsi="Arial Narrow" w:cs="Times New Roman"/>
                <w:sz w:val="20"/>
                <w:szCs w:val="24"/>
              </w:rPr>
              <w:t>OH</w:t>
            </w:r>
            <w:r w:rsidRPr="000E7D6D">
              <w:rPr>
                <w:rFonts w:ascii="Arial Narrow" w:eastAsia="Times New Roman" w:hAnsi="Arial Narrow" w:cs="Times New Roman"/>
                <w:sz w:val="20"/>
                <w:szCs w:val="24"/>
                <w:vertAlign w:val="subscript"/>
              </w:rPr>
              <w:t>2</w:t>
            </w:r>
            <w:r w:rsidRPr="000E7D6D">
              <w:rPr>
                <w:rFonts w:ascii="Arial Narrow" w:eastAsia="Times New Roman" w:hAnsi="Arial Narrow" w:cs="Times New Roman"/>
                <w:sz w:val="20"/>
                <w:szCs w:val="24"/>
              </w:rPr>
              <w:t>O-PET</w:t>
            </w:r>
            <w:r>
              <w:rPr>
                <w:rFonts w:ascii="Arial Narrow" w:eastAsia="Times New Roman" w:hAnsi="Arial Narrow" w:cs="Times New Roman"/>
                <w:sz w:val="20"/>
                <w:szCs w:val="24"/>
              </w:rPr>
              <w:t xml:space="preserve"> vs I-123 IMP and HMPAO-SPECT.</w:t>
            </w:r>
          </w:p>
          <w:p w14:paraId="7BB925D1" w14:textId="77777777" w:rsidR="00511657" w:rsidRPr="000E7D6D" w:rsidRDefault="00511657" w:rsidP="00511657">
            <w:pPr>
              <w:spacing w:before="40" w:after="0"/>
              <w:ind w:left="0"/>
              <w:rPr>
                <w:rFonts w:ascii="Arial Narrow" w:eastAsia="Times New Roman" w:hAnsi="Arial Narrow" w:cs="Times New Roman"/>
                <w:sz w:val="20"/>
                <w:szCs w:val="20"/>
                <w:lang w:val="en-GB"/>
              </w:rPr>
            </w:pPr>
            <w:r w:rsidRPr="000E7D6D">
              <w:rPr>
                <w:rFonts w:ascii="Arial Narrow" w:eastAsia="Times New Roman" w:hAnsi="Arial Narrow" w:cs="Times New Roman"/>
                <w:b/>
                <w:sz w:val="20"/>
                <w:szCs w:val="20"/>
                <w:lang w:val="en-GB"/>
              </w:rPr>
              <w:t>P2:</w:t>
            </w:r>
            <w:r w:rsidRPr="000E7D6D">
              <w:rPr>
                <w:rFonts w:ascii="Arial Narrow" w:eastAsia="Times New Roman" w:hAnsi="Arial Narrow" w:cs="Times New Roman"/>
                <w:sz w:val="20"/>
                <w:szCs w:val="20"/>
                <w:lang w:val="en-GB"/>
              </w:rPr>
              <w:t xml:space="preserve"> </w:t>
            </w:r>
            <w:r>
              <w:rPr>
                <w:rFonts w:ascii="Arial Narrow" w:eastAsia="Times New Roman" w:hAnsi="Arial Narrow" w:cs="Times New Roman"/>
                <w:sz w:val="20"/>
                <w:szCs w:val="20"/>
                <w:lang w:val="en-GB"/>
              </w:rPr>
              <w:t>Patients already had a diagnosis of AD. More severe AD than clinical indication of interest (all patients were classified as moderate or severe AD and were showing mild or moderate atrophy on CT and/or MRI). Relatively young AD patient population (mean age: 58 years).</w:t>
            </w:r>
          </w:p>
          <w:p w14:paraId="08ECB053" w14:textId="3A525EFA" w:rsidR="00511657" w:rsidRPr="00B27C09" w:rsidRDefault="00511657" w:rsidP="00511657">
            <w:pPr>
              <w:spacing w:before="40" w:after="0"/>
              <w:ind w:left="0"/>
              <w:rPr>
                <w:rFonts w:ascii="Arial Narrow" w:eastAsia="Times New Roman" w:hAnsi="Arial Narrow" w:cs="Times New Roman"/>
                <w:sz w:val="20"/>
                <w:szCs w:val="20"/>
                <w:lang w:val="en-GB"/>
              </w:rPr>
            </w:pPr>
            <w:r w:rsidRPr="000E7D6D">
              <w:rPr>
                <w:rFonts w:ascii="Arial Narrow" w:eastAsia="Times New Roman" w:hAnsi="Arial Narrow" w:cs="Times New Roman"/>
                <w:b/>
                <w:sz w:val="20"/>
                <w:szCs w:val="20"/>
                <w:lang w:val="en-GB"/>
              </w:rPr>
              <w:t>Q3:</w:t>
            </w:r>
            <w:r>
              <w:rPr>
                <w:rFonts w:ascii="Arial Narrow" w:eastAsia="Times New Roman" w:hAnsi="Arial Narrow" w:cs="Times New Roman"/>
                <w:sz w:val="20"/>
                <w:szCs w:val="20"/>
                <w:lang w:val="en-GB"/>
              </w:rPr>
              <w:t xml:space="preserve"> Small sample size. Poor reference standard – no histopathologic diagnosis or long</w:t>
            </w:r>
            <w:r w:rsidR="00617B67">
              <w:rPr>
                <w:rFonts w:ascii="Arial Narrow" w:eastAsia="Times New Roman" w:hAnsi="Arial Narrow" w:cs="Times New Roman"/>
                <w:sz w:val="20"/>
                <w:szCs w:val="20"/>
                <w:lang w:val="en-GB"/>
              </w:rPr>
              <w:t>-</w:t>
            </w:r>
            <w:r>
              <w:rPr>
                <w:rFonts w:ascii="Arial Narrow" w:eastAsia="Times New Roman" w:hAnsi="Arial Narrow" w:cs="Times New Roman"/>
                <w:sz w:val="20"/>
                <w:szCs w:val="20"/>
                <w:lang w:val="en-GB"/>
              </w:rPr>
              <w:t>term clinical follow-up. Different control groups were used for PET and SPECT – the PET controls were normal volunteers, whereas the SPECT controls had mild neurological symptoms.</w:t>
            </w:r>
          </w:p>
        </w:tc>
      </w:tr>
      <w:tr w:rsidR="00511657" w:rsidRPr="00B27C09" w14:paraId="6EE2201A" w14:textId="77777777" w:rsidTr="00511657">
        <w:tc>
          <w:tcPr>
            <w:tcW w:w="1418" w:type="dxa"/>
            <w:tcBorders>
              <w:right w:val="single" w:sz="4" w:space="0" w:color="auto"/>
            </w:tcBorders>
            <w:shd w:val="clear" w:color="auto" w:fill="FFFFFF" w:themeFill="background1"/>
          </w:tcPr>
          <w:p w14:paraId="3F5E4C3A" w14:textId="77777777" w:rsidR="00511657" w:rsidRPr="00B27C09" w:rsidRDefault="00511657" w:rsidP="00511657">
            <w:pPr>
              <w:spacing w:before="40" w:after="40"/>
              <w:ind w:left="0"/>
              <w:rPr>
                <w:rFonts w:ascii="Arial Narrow" w:eastAsia="Times New Roman" w:hAnsi="Arial Narrow" w:cs="Times New Roman"/>
                <w:sz w:val="20"/>
                <w:szCs w:val="20"/>
                <w:lang w:eastAsia="en-AU"/>
              </w:rPr>
            </w:pPr>
            <w:r w:rsidRPr="008D0DDA">
              <w:rPr>
                <w:rFonts w:ascii="Arial Narrow" w:eastAsia="Times New Roman" w:hAnsi="Arial Narrow" w:cs="Times New Roman"/>
                <w:sz w:val="20"/>
                <w:szCs w:val="20"/>
                <w:lang w:eastAsia="en-AU"/>
              </w:rPr>
              <w:t>Messa (1994)</w:t>
            </w:r>
          </w:p>
        </w:tc>
        <w:tc>
          <w:tcPr>
            <w:tcW w:w="6945" w:type="dxa"/>
            <w:tcBorders>
              <w:top w:val="single" w:sz="4" w:space="0" w:color="auto"/>
              <w:left w:val="single" w:sz="4" w:space="0" w:color="auto"/>
              <w:bottom w:val="single" w:sz="4" w:space="0" w:color="auto"/>
            </w:tcBorders>
            <w:shd w:val="clear" w:color="auto" w:fill="FFFFFF" w:themeFill="background1"/>
          </w:tcPr>
          <w:p w14:paraId="1F9F3081" w14:textId="77777777" w:rsidR="00511657" w:rsidRPr="00A65645" w:rsidRDefault="00511657" w:rsidP="00511657">
            <w:pPr>
              <w:spacing w:before="40" w:after="0"/>
              <w:ind w:left="0"/>
              <w:rPr>
                <w:rFonts w:ascii="Arial Narrow" w:eastAsia="Times New Roman" w:hAnsi="Arial Narrow" w:cs="Times New Roman"/>
                <w:sz w:val="20"/>
                <w:szCs w:val="20"/>
                <w:lang w:val="en-GB"/>
              </w:rPr>
            </w:pPr>
            <w:r w:rsidRPr="00A65645">
              <w:rPr>
                <w:rFonts w:ascii="Arial Narrow" w:eastAsia="Times New Roman" w:hAnsi="Arial Narrow" w:cs="Times New Roman"/>
                <w:b/>
                <w:sz w:val="20"/>
                <w:szCs w:val="20"/>
                <w:lang w:val="en-GB"/>
              </w:rPr>
              <w:t xml:space="preserve">C1: </w:t>
            </w:r>
            <w:r w:rsidRPr="00A65645">
              <w:rPr>
                <w:rFonts w:ascii="Arial Narrow" w:eastAsia="Times New Roman" w:hAnsi="Arial Narrow" w:cs="Times New Roman"/>
                <w:sz w:val="20"/>
                <w:szCs w:val="20"/>
                <w:lang w:val="en-GB"/>
              </w:rPr>
              <w:t>FDG-PET</w:t>
            </w:r>
            <w:r>
              <w:rPr>
                <w:rFonts w:ascii="Arial Narrow" w:eastAsia="Times New Roman" w:hAnsi="Arial Narrow" w:cs="Times New Roman"/>
                <w:sz w:val="20"/>
                <w:szCs w:val="20"/>
                <w:lang w:val="en-GB"/>
              </w:rPr>
              <w:t xml:space="preserve"> vs HMPAO-SPECT.</w:t>
            </w:r>
          </w:p>
          <w:p w14:paraId="391479C3" w14:textId="77777777" w:rsidR="00511657" w:rsidRPr="00A65645" w:rsidRDefault="00511657" w:rsidP="00511657">
            <w:pPr>
              <w:spacing w:before="40" w:after="0"/>
              <w:ind w:left="0"/>
              <w:rPr>
                <w:rFonts w:ascii="Arial Narrow" w:eastAsia="Times New Roman" w:hAnsi="Arial Narrow" w:cs="Times New Roman"/>
                <w:sz w:val="20"/>
                <w:szCs w:val="20"/>
                <w:lang w:val="en-GB"/>
              </w:rPr>
            </w:pPr>
            <w:r w:rsidRPr="00A65645">
              <w:rPr>
                <w:rFonts w:ascii="Arial Narrow" w:eastAsia="Times New Roman" w:hAnsi="Arial Narrow" w:cs="Times New Roman"/>
                <w:b/>
                <w:sz w:val="20"/>
                <w:szCs w:val="20"/>
                <w:lang w:val="en-GB"/>
              </w:rPr>
              <w:t>P</w:t>
            </w:r>
            <w:r>
              <w:rPr>
                <w:rFonts w:ascii="Arial Narrow" w:eastAsia="Times New Roman" w:hAnsi="Arial Narrow" w:cs="Times New Roman"/>
                <w:b/>
                <w:sz w:val="20"/>
                <w:szCs w:val="20"/>
                <w:lang w:val="en-GB"/>
              </w:rPr>
              <w:t>2</w:t>
            </w:r>
            <w:r w:rsidRPr="00A65645">
              <w:rPr>
                <w:rFonts w:ascii="Arial Narrow" w:eastAsia="Times New Roman" w:hAnsi="Arial Narrow" w:cs="Times New Roman"/>
                <w:b/>
                <w:sz w:val="20"/>
                <w:szCs w:val="20"/>
                <w:lang w:val="en-GB"/>
              </w:rPr>
              <w:t>:</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Patients with probable AD who had undergone clinical examination and MRI. 90% had mild or moderate cognitive impairment according to MMSE score (10% normal, 0% severe). However, controls with no cognitive impairment are unlikely to be representative of non-AD patients who undergo FDG-PET or SPECT in practice.</w:t>
            </w:r>
          </w:p>
          <w:p w14:paraId="619010D2" w14:textId="57B91181" w:rsidR="00511657" w:rsidRPr="00A65645" w:rsidRDefault="00511657" w:rsidP="00511657">
            <w:pPr>
              <w:spacing w:before="40" w:after="0"/>
              <w:ind w:left="0"/>
              <w:rPr>
                <w:rFonts w:ascii="Arial Narrow" w:eastAsia="Times New Roman" w:hAnsi="Arial Narrow" w:cs="Times New Roman"/>
                <w:sz w:val="20"/>
                <w:szCs w:val="20"/>
                <w:lang w:val="en-GB"/>
              </w:rPr>
            </w:pPr>
            <w:r>
              <w:rPr>
                <w:rFonts w:ascii="Arial Narrow" w:eastAsia="Times New Roman" w:hAnsi="Arial Narrow" w:cs="Times New Roman"/>
                <w:b/>
                <w:sz w:val="20"/>
                <w:szCs w:val="20"/>
                <w:lang w:val="en-GB"/>
              </w:rPr>
              <w:t>Q3</w:t>
            </w:r>
            <w:r w:rsidRPr="00A65645">
              <w:rPr>
                <w:rFonts w:ascii="Arial Narrow" w:eastAsia="Times New Roman" w:hAnsi="Arial Narrow" w:cs="Times New Roman"/>
                <w:b/>
                <w:sz w:val="20"/>
                <w:szCs w:val="20"/>
                <w:lang w:val="en-GB"/>
              </w:rPr>
              <w:t>:</w:t>
            </w:r>
            <w:r>
              <w:rPr>
                <w:rFonts w:ascii="Arial Narrow" w:eastAsia="Times New Roman" w:hAnsi="Arial Narrow" w:cs="Times New Roman"/>
                <w:b/>
                <w:sz w:val="20"/>
                <w:szCs w:val="20"/>
                <w:lang w:val="en-GB"/>
              </w:rPr>
              <w:t xml:space="preserve"> </w:t>
            </w:r>
            <w:r w:rsidRPr="00A65645">
              <w:rPr>
                <w:rFonts w:ascii="Arial Narrow" w:eastAsia="Times New Roman" w:hAnsi="Arial Narrow" w:cs="Times New Roman"/>
                <w:sz w:val="20"/>
                <w:szCs w:val="20"/>
                <w:lang w:val="en-GB"/>
              </w:rPr>
              <w:t>Small sample size. Poor reference standard – no histopathologic diagnosis or long</w:t>
            </w:r>
            <w:r w:rsidR="00617B67">
              <w:rPr>
                <w:rFonts w:ascii="Arial Narrow" w:eastAsia="Times New Roman" w:hAnsi="Arial Narrow" w:cs="Times New Roman"/>
                <w:sz w:val="20"/>
                <w:szCs w:val="20"/>
                <w:lang w:val="en-GB"/>
              </w:rPr>
              <w:t>-</w:t>
            </w:r>
            <w:r w:rsidRPr="00A65645">
              <w:rPr>
                <w:rFonts w:ascii="Arial Narrow" w:eastAsia="Times New Roman" w:hAnsi="Arial Narrow" w:cs="Times New Roman"/>
                <w:sz w:val="20"/>
                <w:szCs w:val="20"/>
                <w:lang w:val="en-GB"/>
              </w:rPr>
              <w:t>term clinical follow-up.</w:t>
            </w:r>
            <w:r>
              <w:rPr>
                <w:rFonts w:ascii="Arial Narrow" w:eastAsia="Times New Roman" w:hAnsi="Arial Narrow" w:cs="Times New Roman"/>
                <w:sz w:val="20"/>
                <w:szCs w:val="20"/>
                <w:lang w:val="en-GB"/>
              </w:rPr>
              <w:t xml:space="preserve"> Different control groups used for PET and SPECT (however all were free from known neurological diseases, as assessed by clinical history, standard clinical and neurological examinations and neuropsychological testing (MMSE)).</w:t>
            </w:r>
          </w:p>
        </w:tc>
      </w:tr>
      <w:tr w:rsidR="00511657" w:rsidRPr="00B27C09" w14:paraId="77FD7552" w14:textId="77777777" w:rsidTr="00511657">
        <w:tc>
          <w:tcPr>
            <w:tcW w:w="1418" w:type="dxa"/>
            <w:tcBorders>
              <w:right w:val="single" w:sz="4" w:space="0" w:color="auto"/>
            </w:tcBorders>
            <w:shd w:val="clear" w:color="auto" w:fill="FFFFFF" w:themeFill="background1"/>
          </w:tcPr>
          <w:p w14:paraId="73F68126" w14:textId="77777777" w:rsidR="00511657" w:rsidRPr="00B27C09" w:rsidRDefault="00511657" w:rsidP="00511657">
            <w:pPr>
              <w:spacing w:before="40" w:after="40"/>
              <w:ind w:left="0"/>
              <w:rPr>
                <w:rFonts w:ascii="Arial Narrow" w:eastAsia="Times New Roman" w:hAnsi="Arial Narrow" w:cs="Times New Roman"/>
                <w:sz w:val="20"/>
                <w:szCs w:val="20"/>
                <w:lang w:eastAsia="en-AU"/>
              </w:rPr>
            </w:pPr>
            <w:r w:rsidRPr="008D0DDA">
              <w:rPr>
                <w:rFonts w:ascii="Arial Narrow" w:eastAsia="Times New Roman" w:hAnsi="Arial Narrow" w:cs="Times New Roman"/>
                <w:sz w:val="20"/>
                <w:szCs w:val="20"/>
                <w:lang w:eastAsia="en-AU"/>
              </w:rPr>
              <w:t>Mielke (1994)</w:t>
            </w:r>
          </w:p>
        </w:tc>
        <w:tc>
          <w:tcPr>
            <w:tcW w:w="6945" w:type="dxa"/>
            <w:tcBorders>
              <w:top w:val="single" w:sz="4" w:space="0" w:color="auto"/>
              <w:left w:val="single" w:sz="4" w:space="0" w:color="auto"/>
              <w:bottom w:val="single" w:sz="4" w:space="0" w:color="auto"/>
            </w:tcBorders>
            <w:shd w:val="clear" w:color="auto" w:fill="FFFFFF" w:themeFill="background1"/>
          </w:tcPr>
          <w:p w14:paraId="52C58ACF" w14:textId="77777777" w:rsidR="00511657" w:rsidRPr="00BA6BCB" w:rsidRDefault="00511657" w:rsidP="00511657">
            <w:pPr>
              <w:spacing w:before="40" w:after="0"/>
              <w:ind w:left="0"/>
              <w:rPr>
                <w:rFonts w:ascii="Arial Narrow" w:eastAsia="Times New Roman" w:hAnsi="Arial Narrow" w:cs="Times New Roman"/>
                <w:sz w:val="20"/>
                <w:szCs w:val="20"/>
                <w:lang w:val="en-GB"/>
              </w:rPr>
            </w:pPr>
            <w:r w:rsidRPr="009D1642">
              <w:rPr>
                <w:rFonts w:ascii="Arial Narrow" w:eastAsia="Times New Roman" w:hAnsi="Arial Narrow" w:cs="Times New Roman"/>
                <w:b/>
                <w:sz w:val="20"/>
                <w:szCs w:val="20"/>
                <w:lang w:val="en-GB"/>
              </w:rPr>
              <w:t>C1:</w:t>
            </w:r>
            <w:r>
              <w:t xml:space="preserve"> </w:t>
            </w:r>
            <w:r w:rsidRPr="00D867F3">
              <w:rPr>
                <w:rFonts w:ascii="Arial Narrow" w:eastAsia="Times New Roman" w:hAnsi="Arial Narrow" w:cs="Times New Roman"/>
                <w:sz w:val="20"/>
                <w:szCs w:val="20"/>
                <w:lang w:val="en-GB"/>
              </w:rPr>
              <w:t>FDG-PET</w:t>
            </w:r>
            <w:r>
              <w:rPr>
                <w:rFonts w:ascii="Arial Narrow" w:eastAsia="Times New Roman" w:hAnsi="Arial Narrow" w:cs="Times New Roman"/>
                <w:sz w:val="20"/>
                <w:szCs w:val="20"/>
                <w:lang w:val="en-GB"/>
              </w:rPr>
              <w:t xml:space="preserve"> vs HMPAO-SPECT</w:t>
            </w:r>
            <w:r w:rsidRPr="00D867F3">
              <w:rPr>
                <w:rFonts w:ascii="Arial Narrow" w:eastAsia="Times New Roman" w:hAnsi="Arial Narrow" w:cs="Times New Roman"/>
                <w:sz w:val="20"/>
                <w:szCs w:val="20"/>
                <w:lang w:val="en-GB"/>
              </w:rPr>
              <w:t>.</w:t>
            </w:r>
          </w:p>
          <w:p w14:paraId="7F6B18B6" w14:textId="77777777" w:rsidR="00511657" w:rsidRPr="00BA6BCB" w:rsidRDefault="00511657" w:rsidP="00511657">
            <w:pPr>
              <w:spacing w:before="40" w:after="0"/>
              <w:ind w:left="0"/>
              <w:rPr>
                <w:rFonts w:ascii="Arial Narrow" w:eastAsia="Times New Roman" w:hAnsi="Arial Narrow" w:cs="Times New Roman"/>
                <w:sz w:val="20"/>
                <w:szCs w:val="20"/>
                <w:lang w:val="en-GB"/>
              </w:rPr>
            </w:pPr>
            <w:r w:rsidRPr="009D1642">
              <w:rPr>
                <w:rFonts w:ascii="Arial Narrow" w:eastAsia="Times New Roman" w:hAnsi="Arial Narrow" w:cs="Times New Roman"/>
                <w:b/>
                <w:sz w:val="20"/>
                <w:szCs w:val="20"/>
                <w:lang w:val="en-GB"/>
              </w:rPr>
              <w:t>P</w:t>
            </w:r>
            <w:r>
              <w:rPr>
                <w:rFonts w:ascii="Arial Narrow" w:eastAsia="Times New Roman" w:hAnsi="Arial Narrow" w:cs="Times New Roman"/>
                <w:b/>
                <w:sz w:val="20"/>
                <w:szCs w:val="20"/>
                <w:lang w:val="en-GB"/>
              </w:rPr>
              <w:t>2</w:t>
            </w:r>
            <w:r w:rsidRPr="009D1642">
              <w:rPr>
                <w:rFonts w:ascii="Arial Narrow" w:eastAsia="Times New Roman" w:hAnsi="Arial Narrow" w:cs="Times New Roman"/>
                <w:b/>
                <w:sz w:val="20"/>
                <w:szCs w:val="20"/>
                <w:lang w:val="en-GB"/>
              </w:rPr>
              <w:t>:</w:t>
            </w:r>
            <w:r>
              <w:rPr>
                <w:rFonts w:ascii="Arial Narrow" w:eastAsia="Times New Roman" w:hAnsi="Arial Narrow" w:cs="Times New Roman"/>
                <w:sz w:val="20"/>
                <w:szCs w:val="20"/>
                <w:lang w:val="en-GB"/>
              </w:rPr>
              <w:t xml:space="preserve"> Overall, probable AD p</w:t>
            </w:r>
            <w:r w:rsidRPr="00BA6BCB">
              <w:rPr>
                <w:rFonts w:ascii="Arial Narrow" w:eastAsia="Times New Roman" w:hAnsi="Arial Narrow" w:cs="Times New Roman"/>
                <w:sz w:val="20"/>
                <w:szCs w:val="20"/>
                <w:lang w:val="en-GB"/>
              </w:rPr>
              <w:t>atients had mild cognitive impairment according to mean MMSE score</w:t>
            </w:r>
            <w:r>
              <w:rPr>
                <w:rFonts w:ascii="Arial Narrow" w:eastAsia="Times New Roman" w:hAnsi="Arial Narrow" w:cs="Times New Roman"/>
                <w:sz w:val="20"/>
                <w:szCs w:val="20"/>
                <w:lang w:val="en-GB"/>
              </w:rPr>
              <w:t xml:space="preserve"> (20.9); controls had no cognitive impairment (mean MMSE: 28.8). Controls with no cognitive impairment are unlikely to be representative of non-AD patients who undergo FDG-PET or SPECT in practice. </w:t>
            </w:r>
          </w:p>
          <w:p w14:paraId="4AA00570" w14:textId="19A53CEB" w:rsidR="00511657" w:rsidRPr="009434A8" w:rsidRDefault="00511657" w:rsidP="00511657">
            <w:pPr>
              <w:spacing w:before="40" w:after="0"/>
              <w:ind w:left="0"/>
              <w:rPr>
                <w:rFonts w:ascii="Arial Narrow" w:eastAsia="Times New Roman" w:hAnsi="Arial Narrow" w:cs="Times New Roman"/>
                <w:b/>
                <w:sz w:val="20"/>
                <w:szCs w:val="20"/>
                <w:lang w:val="en-GB"/>
              </w:rPr>
            </w:pPr>
            <w:r>
              <w:rPr>
                <w:rFonts w:ascii="Arial Narrow" w:eastAsia="Times New Roman" w:hAnsi="Arial Narrow" w:cs="Times New Roman"/>
                <w:b/>
                <w:sz w:val="20"/>
                <w:szCs w:val="20"/>
                <w:lang w:val="en-GB"/>
              </w:rPr>
              <w:t>Q3</w:t>
            </w:r>
            <w:r w:rsidRPr="009D1642">
              <w:rPr>
                <w:rFonts w:ascii="Arial Narrow" w:eastAsia="Times New Roman" w:hAnsi="Arial Narrow" w:cs="Times New Roman"/>
                <w:b/>
                <w:sz w:val="20"/>
                <w:szCs w:val="20"/>
                <w:lang w:val="en-GB"/>
              </w:rPr>
              <w:t>:</w:t>
            </w:r>
            <w:r>
              <w:t xml:space="preserve"> </w:t>
            </w:r>
            <w:r w:rsidRPr="00A6035F">
              <w:rPr>
                <w:rFonts w:ascii="Arial Narrow" w:eastAsia="Times New Roman" w:hAnsi="Arial Narrow" w:cs="Times New Roman"/>
                <w:sz w:val="20"/>
                <w:szCs w:val="20"/>
                <w:lang w:val="en-GB"/>
              </w:rPr>
              <w:t xml:space="preserve">Small </w:t>
            </w:r>
            <w:r w:rsidRPr="009434A8">
              <w:rPr>
                <w:rFonts w:ascii="Arial Narrow" w:eastAsia="Times New Roman" w:hAnsi="Arial Narrow" w:cs="Times New Roman"/>
                <w:sz w:val="20"/>
                <w:szCs w:val="20"/>
                <w:lang w:val="en-GB"/>
              </w:rPr>
              <w:t>sample size. Poor reference standard – no histopathologic diagnosis or long</w:t>
            </w:r>
            <w:r w:rsidR="00617B67">
              <w:rPr>
                <w:rFonts w:ascii="Arial Narrow" w:eastAsia="Times New Roman" w:hAnsi="Arial Narrow" w:cs="Times New Roman"/>
                <w:sz w:val="20"/>
                <w:szCs w:val="20"/>
                <w:lang w:val="en-GB"/>
              </w:rPr>
              <w:t>-</w:t>
            </w:r>
            <w:r w:rsidRPr="009434A8">
              <w:rPr>
                <w:rFonts w:ascii="Arial Narrow" w:eastAsia="Times New Roman" w:hAnsi="Arial Narrow" w:cs="Times New Roman"/>
                <w:sz w:val="20"/>
                <w:szCs w:val="20"/>
                <w:lang w:val="en-GB"/>
              </w:rPr>
              <w:t>term clinical follow-up.</w:t>
            </w:r>
          </w:p>
        </w:tc>
      </w:tr>
      <w:tr w:rsidR="00511657" w:rsidRPr="00B27C09" w14:paraId="30C7F325" w14:textId="77777777" w:rsidTr="00511657">
        <w:tc>
          <w:tcPr>
            <w:tcW w:w="1418" w:type="dxa"/>
            <w:tcBorders>
              <w:right w:val="single" w:sz="4" w:space="0" w:color="auto"/>
            </w:tcBorders>
          </w:tcPr>
          <w:p w14:paraId="518AD09C" w14:textId="77777777" w:rsidR="00511657" w:rsidRPr="008D0DDA" w:rsidRDefault="00511657" w:rsidP="00511657">
            <w:pPr>
              <w:spacing w:before="40" w:after="40"/>
              <w:ind w:left="0"/>
              <w:rPr>
                <w:rFonts w:ascii="Arial Narrow" w:eastAsia="Times New Roman" w:hAnsi="Arial Narrow" w:cs="Times New Roman"/>
                <w:sz w:val="20"/>
                <w:szCs w:val="20"/>
                <w:lang w:eastAsia="en-AU"/>
              </w:rPr>
            </w:pPr>
            <w:r w:rsidRPr="008D0DDA">
              <w:rPr>
                <w:rFonts w:ascii="Arial Narrow" w:eastAsia="Times New Roman" w:hAnsi="Arial Narrow" w:cs="Times New Roman"/>
                <w:sz w:val="20"/>
                <w:szCs w:val="20"/>
                <w:lang w:eastAsia="en-AU"/>
              </w:rPr>
              <w:lastRenderedPageBreak/>
              <w:t>Nihashi (2007)</w:t>
            </w:r>
          </w:p>
        </w:tc>
        <w:tc>
          <w:tcPr>
            <w:tcW w:w="6945" w:type="dxa"/>
            <w:tcBorders>
              <w:top w:val="single" w:sz="4" w:space="0" w:color="auto"/>
              <w:left w:val="single" w:sz="4" w:space="0" w:color="auto"/>
              <w:bottom w:val="single" w:sz="4" w:space="0" w:color="auto"/>
            </w:tcBorders>
          </w:tcPr>
          <w:p w14:paraId="5571DA65" w14:textId="77777777" w:rsidR="00511657" w:rsidRPr="008C50C1" w:rsidRDefault="00511657" w:rsidP="00511657">
            <w:pPr>
              <w:spacing w:before="40" w:after="0"/>
              <w:ind w:left="0"/>
              <w:rPr>
                <w:rFonts w:ascii="Arial Narrow" w:eastAsia="Times New Roman" w:hAnsi="Arial Narrow" w:cs="Times New Roman"/>
                <w:sz w:val="20"/>
                <w:szCs w:val="20"/>
                <w:lang w:val="en-GB"/>
              </w:rPr>
            </w:pPr>
            <w:r w:rsidRPr="00A106DD">
              <w:rPr>
                <w:rFonts w:ascii="Arial Narrow" w:eastAsia="Times New Roman" w:hAnsi="Arial Narrow" w:cs="Times New Roman"/>
                <w:b/>
                <w:sz w:val="20"/>
                <w:szCs w:val="20"/>
                <w:lang w:val="en-GB"/>
              </w:rPr>
              <w:t>C1:</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FDG-PET vs IMP-SPECT.</w:t>
            </w:r>
          </w:p>
          <w:p w14:paraId="0BD439D9" w14:textId="77777777" w:rsidR="00511657" w:rsidRPr="00E12EBB" w:rsidRDefault="00511657" w:rsidP="00511657">
            <w:pPr>
              <w:spacing w:before="40" w:after="0"/>
              <w:ind w:left="0"/>
              <w:rPr>
                <w:rFonts w:ascii="Arial Narrow" w:eastAsia="Times New Roman" w:hAnsi="Arial Narrow" w:cs="Times New Roman"/>
                <w:sz w:val="20"/>
                <w:szCs w:val="20"/>
                <w:lang w:val="en-GB"/>
              </w:rPr>
            </w:pPr>
            <w:r w:rsidRPr="00A106DD">
              <w:rPr>
                <w:rFonts w:ascii="Arial Narrow" w:eastAsia="Times New Roman" w:hAnsi="Arial Narrow" w:cs="Times New Roman"/>
                <w:b/>
                <w:sz w:val="20"/>
                <w:szCs w:val="20"/>
                <w:lang w:val="en-GB"/>
              </w:rPr>
              <w:t>P2:</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 xml:space="preserve">Patients with probable </w:t>
            </w:r>
            <w:r w:rsidRPr="0049300E">
              <w:rPr>
                <w:rFonts w:ascii="Arial Narrow" w:eastAsia="Times New Roman" w:hAnsi="Arial Narrow" w:cs="Times New Roman"/>
                <w:sz w:val="20"/>
                <w:szCs w:val="20"/>
                <w:lang w:val="en-GB"/>
              </w:rPr>
              <w:t>moderate</w:t>
            </w:r>
            <w:r>
              <w:rPr>
                <w:rFonts w:ascii="Arial Narrow" w:eastAsia="Times New Roman" w:hAnsi="Arial Narrow" w:cs="Times New Roman"/>
                <w:sz w:val="20"/>
                <w:szCs w:val="20"/>
                <w:lang w:val="en-GB"/>
              </w:rPr>
              <w:t xml:space="preserve"> AD (likely to be a more severe AD population than the disease stage of interest). </w:t>
            </w:r>
          </w:p>
          <w:p w14:paraId="67BBF58C" w14:textId="0642D94C" w:rsidR="00511657" w:rsidRPr="00E12EBB" w:rsidRDefault="00511657" w:rsidP="00511657">
            <w:pPr>
              <w:spacing w:before="40" w:after="0"/>
              <w:ind w:left="0"/>
              <w:rPr>
                <w:rFonts w:ascii="Arial Narrow" w:eastAsia="Times New Roman" w:hAnsi="Arial Narrow" w:cs="Times New Roman"/>
                <w:sz w:val="20"/>
                <w:szCs w:val="20"/>
                <w:lang w:val="en-GB"/>
              </w:rPr>
            </w:pPr>
            <w:r w:rsidRPr="00A106DD">
              <w:rPr>
                <w:rFonts w:ascii="Arial Narrow" w:eastAsia="Times New Roman" w:hAnsi="Arial Narrow" w:cs="Times New Roman"/>
                <w:b/>
                <w:sz w:val="20"/>
                <w:szCs w:val="20"/>
                <w:lang w:val="en-GB"/>
              </w:rPr>
              <w:t>Q2:</w:t>
            </w:r>
            <w:r>
              <w:rPr>
                <w:rFonts w:ascii="Arial Narrow" w:eastAsia="Times New Roman" w:hAnsi="Arial Narrow" w:cs="Times New Roman"/>
                <w:b/>
                <w:sz w:val="20"/>
                <w:szCs w:val="20"/>
                <w:lang w:val="en-GB"/>
              </w:rPr>
              <w:t xml:space="preserve"> </w:t>
            </w:r>
            <w:r>
              <w:rPr>
                <w:rFonts w:ascii="Arial Narrow" w:eastAsia="Times New Roman" w:hAnsi="Arial Narrow" w:cs="Times New Roman"/>
                <w:sz w:val="20"/>
                <w:szCs w:val="20"/>
                <w:lang w:val="en-GB"/>
              </w:rPr>
              <w:t xml:space="preserve">Very small sample size. </w:t>
            </w:r>
            <w:r w:rsidRPr="00C370DB">
              <w:rPr>
                <w:rFonts w:ascii="Arial Narrow" w:eastAsia="Times New Roman" w:hAnsi="Arial Narrow" w:cs="Times New Roman"/>
                <w:sz w:val="20"/>
                <w:szCs w:val="20"/>
                <w:lang w:val="en-GB"/>
              </w:rPr>
              <w:t>Different control groups used for PET and SPECT (however all were free from known neurological diseases</w:t>
            </w:r>
            <w:r>
              <w:rPr>
                <w:rFonts w:ascii="Arial Narrow" w:eastAsia="Times New Roman" w:hAnsi="Arial Narrow" w:cs="Times New Roman"/>
                <w:sz w:val="20"/>
                <w:szCs w:val="20"/>
                <w:lang w:val="en-GB"/>
              </w:rPr>
              <w:t xml:space="preserve">). </w:t>
            </w:r>
            <w:r w:rsidRPr="00A65645">
              <w:rPr>
                <w:rFonts w:ascii="Arial Narrow" w:eastAsia="Times New Roman" w:hAnsi="Arial Narrow" w:cs="Times New Roman"/>
                <w:sz w:val="20"/>
                <w:szCs w:val="20"/>
                <w:lang w:val="en-GB"/>
              </w:rPr>
              <w:t>Poor reference standard – no histopathologic diagnosis or long</w:t>
            </w:r>
            <w:r w:rsidR="00617B67">
              <w:rPr>
                <w:rFonts w:ascii="Arial Narrow" w:eastAsia="Times New Roman" w:hAnsi="Arial Narrow" w:cs="Times New Roman"/>
                <w:sz w:val="20"/>
                <w:szCs w:val="20"/>
                <w:lang w:val="en-GB"/>
              </w:rPr>
              <w:t>-</w:t>
            </w:r>
            <w:r w:rsidRPr="00A65645">
              <w:rPr>
                <w:rFonts w:ascii="Arial Narrow" w:eastAsia="Times New Roman" w:hAnsi="Arial Narrow" w:cs="Times New Roman"/>
                <w:sz w:val="20"/>
                <w:szCs w:val="20"/>
                <w:lang w:val="en-GB"/>
              </w:rPr>
              <w:t>term clinical follow-up.</w:t>
            </w:r>
          </w:p>
        </w:tc>
      </w:tr>
    </w:tbl>
    <w:p w14:paraId="01C7B2E1" w14:textId="549880DC" w:rsidR="00511657" w:rsidRDefault="00511657" w:rsidP="00511657">
      <w:pPr>
        <w:pStyle w:val="Tablefootnotes"/>
      </w:pPr>
      <w:r>
        <w:t>Abbreviations: AD, Alzheimer’s disease; C, comparison; CT, computed tomography; DLB, Dementia with Lewy bodies; ECD,</w:t>
      </w:r>
      <w:r w:rsidR="004537DF" w:rsidRPr="004537DF">
        <w:t xml:space="preserve"> ethyl cysteinate dimer</w:t>
      </w:r>
      <w:r>
        <w:t>; FDG, flu</w:t>
      </w:r>
      <w:r w:rsidR="008F0DD0">
        <w:t>o</w:t>
      </w:r>
      <w:r>
        <w:t xml:space="preserve">rodeoxyglucose; </w:t>
      </w:r>
      <w:r w:rsidR="00BD65E4">
        <w:t>FTD</w:t>
      </w:r>
      <w:r>
        <w:t xml:space="preserve">, </w:t>
      </w:r>
      <w:r w:rsidRPr="00F96DDF">
        <w:t xml:space="preserve">frontotemporal </w:t>
      </w:r>
      <w:r w:rsidR="00BC64FA">
        <w:t>dementia</w:t>
      </w:r>
      <w:r>
        <w:t>;</w:t>
      </w:r>
      <w:r w:rsidRPr="00F96DDF">
        <w:t xml:space="preserve"> </w:t>
      </w:r>
      <w:r>
        <w:t xml:space="preserve">HMPAO, </w:t>
      </w:r>
      <w:r w:rsidRPr="00F96DDF">
        <w:t>hexamethylpropylene amine oxime</w:t>
      </w:r>
      <w:r>
        <w:t>; IMP, iodoamphetamine; MCI, mild cognitive impairment; MMSE, Mini</w:t>
      </w:r>
      <w:r w:rsidR="00617B67">
        <w:t>-</w:t>
      </w:r>
      <w:r>
        <w:t>Mental State Examination; MRI, magnetic resonance imaging; NIA-AA, National Institute on Aging and the Alzheimer’s Association Workshop; P, population; PET, positron emission tomography; Q, quality; SPECT, single-photon emission computed tomography.</w:t>
      </w:r>
    </w:p>
    <w:p w14:paraId="65260C72" w14:textId="4017DCA1" w:rsidR="00511657" w:rsidRDefault="00511657" w:rsidP="00511657">
      <w:pPr>
        <w:pStyle w:val="Tablefootnotes"/>
      </w:pPr>
      <w:r w:rsidRPr="003662B0">
        <w:rPr>
          <w:vertAlign w:val="superscript"/>
        </w:rPr>
        <w:t>a</w:t>
      </w:r>
      <w:r>
        <w:t xml:space="preserve"> Grading system based on </w:t>
      </w:r>
      <w:r>
        <w:fldChar w:fldCharType="begin"/>
      </w:r>
      <w:r>
        <w:instrText xml:space="preserve"> REF _Ref404779303 \h </w:instrText>
      </w:r>
      <w:r>
        <w:fldChar w:fldCharType="separate"/>
      </w:r>
      <w:r w:rsidR="00C67698">
        <w:t xml:space="preserve">Table </w:t>
      </w:r>
      <w:r w:rsidR="00C67698">
        <w:rPr>
          <w:noProof/>
        </w:rPr>
        <w:t>B.3</w:t>
      </w:r>
      <w:r w:rsidR="00C67698">
        <w:noBreakHyphen/>
      </w:r>
      <w:r w:rsidR="00C67698">
        <w:rPr>
          <w:noProof/>
        </w:rPr>
        <w:t>1</w:t>
      </w:r>
      <w:r>
        <w:fldChar w:fldCharType="end"/>
      </w:r>
      <w:r w:rsidR="00B06445">
        <w:t>.</w:t>
      </w:r>
    </w:p>
    <w:p w14:paraId="7FB85FC8" w14:textId="335537D5" w:rsidR="00511657" w:rsidRDefault="00511657" w:rsidP="00511657">
      <w:r>
        <w:t>Overall, the major limitations were very low sample sizes and variable control groups in which PET and SPECT results were assessed against different sets of controls. In addition, many studies concluded that one technique was superior on the basis of an extra one or two cases correctly diagnosed (Davison et al, 2014).</w:t>
      </w:r>
    </w:p>
    <w:p w14:paraId="5304F054" w14:textId="5E370BBE" w:rsidR="002B7C38" w:rsidRDefault="003D66D6" w:rsidP="00511657">
      <w:r>
        <w:t>Most of the studie</w:t>
      </w:r>
      <w:r w:rsidR="00511657">
        <w:t xml:space="preserve">s included insufficient reference standards, for example, validation of AD was against clinical diagnostic criteria (and without longitudinal follow-up). Therefore, the evidence base of comparative FDG-PET and SPECT studies is limited and, as highlighted by Davison et al (2014), “inadequate to make very broad generalisations about the superiority of one technique over another”. </w:t>
      </w:r>
    </w:p>
    <w:p w14:paraId="2288F62F" w14:textId="1C9A6EE5" w:rsidR="00903DA7" w:rsidRDefault="00903DA7" w:rsidP="00903DA7">
      <w:pPr>
        <w:pStyle w:val="Heading3"/>
      </w:pPr>
      <w:r>
        <w:t>Change in patient management</w:t>
      </w:r>
    </w:p>
    <w:p w14:paraId="599BF886" w14:textId="7C8DE481" w:rsidR="00517E66" w:rsidRDefault="000F6961" w:rsidP="00517E66">
      <w:r>
        <w:t>The study by Laf</w:t>
      </w:r>
      <w:r w:rsidR="00903DA7">
        <w:t xml:space="preserve">orce et al (2010) reviewed the files of all patients who had been referred to a </w:t>
      </w:r>
      <w:r w:rsidR="00F87F00">
        <w:t xml:space="preserve">specialised </w:t>
      </w:r>
      <w:r w:rsidR="00903DA7">
        <w:t>memory clinic in Canada between January 2006 and June 2008 (i.e. 1,498 files including 554 new consultations)</w:t>
      </w:r>
      <w:r w:rsidR="00517E66">
        <w:t xml:space="preserve">. Patients were eligible if they </w:t>
      </w:r>
      <w:r w:rsidR="00903DA7">
        <w:t xml:space="preserve">had a clinical diagnosis of MCI, typical dementia or atypical/unclear dementia and had FDG-PET within two months of the clinical diagnosis. Patients were re-evaluated within three months of the FDG-PET scan </w:t>
      </w:r>
      <w:r w:rsidR="00F87F00">
        <w:t xml:space="preserve">(to limit the confounding impact of disease progression on diagnostic change) </w:t>
      </w:r>
      <w:r w:rsidR="00903DA7">
        <w:t xml:space="preserve">and again on average 18 months after the initial clinical diagnosis. </w:t>
      </w:r>
      <w:r w:rsidR="00517E66">
        <w:t>The study was based on clinical diagnoses; no post</w:t>
      </w:r>
      <w:r w:rsidR="00EB2552">
        <w:t>mortem</w:t>
      </w:r>
      <w:r w:rsidR="00517E66">
        <w:t xml:space="preserve"> confirmatory analyses with histologically proven material were obtained.</w:t>
      </w:r>
    </w:p>
    <w:p w14:paraId="57CCFD91" w14:textId="553E7F06" w:rsidR="00903DA7" w:rsidRDefault="00903DA7" w:rsidP="00903DA7">
      <w:r>
        <w:t>All of the initial clinical diagnoses were made by two experienced cognitive neurologists and an experienced geriatric psychologist. All diagnoses were made using standard criteria based on clinical interview, functional assessment, neurological examinations, neuropsychological screening, MRI</w:t>
      </w:r>
      <w:r w:rsidR="000F6961">
        <w:t>,</w:t>
      </w:r>
      <w:r>
        <w:t xml:space="preserve"> and laboratory studies. </w:t>
      </w:r>
      <w:r w:rsidR="00517E66">
        <w:t>Atypical/unclear dementias included cases where the initial clinical diagnosis was uncertain, unclassified, or the clinician listed several possible hypothetical diagnoses.</w:t>
      </w:r>
    </w:p>
    <w:p w14:paraId="0A79074E" w14:textId="28D427DD" w:rsidR="00C31ECF" w:rsidRDefault="00903DA7" w:rsidP="00C31ECF">
      <w:r>
        <w:t>Images were evaluated by a unique rater who was not blind to the clinician’s diagnostic hypotheses. The rater had extensive experience in reading FDG-PET scans in research and clinical settings.</w:t>
      </w:r>
      <w:r w:rsidR="00C31ECF">
        <w:t xml:space="preserve"> Scans were initially analysed visually but in the latter half of the study, software was introduced to compare each scan with a group of 18 normal elderly controls.</w:t>
      </w:r>
    </w:p>
    <w:p w14:paraId="13C7B6A3" w14:textId="049D178E" w:rsidR="00816F47" w:rsidRDefault="00816F47" w:rsidP="00816F47">
      <w:pPr>
        <w:pStyle w:val="Heading3"/>
      </w:pPr>
      <w:r>
        <w:lastRenderedPageBreak/>
        <w:t>Change in patient outcomes</w:t>
      </w:r>
    </w:p>
    <w:p w14:paraId="5F7DD7A0" w14:textId="483776F8" w:rsidR="000A4389" w:rsidRDefault="000A4389" w:rsidP="000A4389">
      <w:pPr>
        <w:pStyle w:val="Heading4"/>
      </w:pPr>
      <w:r>
        <w:t>Bond et al (2012) HTA for NICE</w:t>
      </w:r>
    </w:p>
    <w:p w14:paraId="24ADC005" w14:textId="3764042D" w:rsidR="000A4389" w:rsidRDefault="0084021C" w:rsidP="00F209AA">
      <w:r>
        <w:t xml:space="preserve">A </w:t>
      </w:r>
      <w:r w:rsidR="001C7455">
        <w:t>good</w:t>
      </w:r>
      <w:r>
        <w:t>-quality</w:t>
      </w:r>
      <w:r w:rsidR="00C25A88">
        <w:t xml:space="preserve"> systematic review </w:t>
      </w:r>
      <w:r w:rsidR="001C7455">
        <w:t xml:space="preserve">of clinical and economic evidence </w:t>
      </w:r>
      <w:r>
        <w:t xml:space="preserve">was </w:t>
      </w:r>
      <w:r w:rsidR="00C25A88">
        <w:t>undertaken to update NICE guidance</w:t>
      </w:r>
      <w:r w:rsidR="001C7455">
        <w:t xml:space="preserve"> on the use of AChEIs and memantine for the treatment of AD</w:t>
      </w:r>
      <w:r w:rsidR="00C25A88">
        <w:t>. The literature searches (</w:t>
      </w:r>
      <w:r w:rsidR="001C7455">
        <w:t>conducted</w:t>
      </w:r>
      <w:r w:rsidR="00C25A88">
        <w:t xml:space="preserve"> in November 2009 and again in March 2010) aimed to identify</w:t>
      </w:r>
      <w:r w:rsidR="000A4389">
        <w:t xml:space="preserve"> systemat</w:t>
      </w:r>
      <w:r w:rsidR="00C25A88">
        <w:t>ic reviews and/or meta-analyses, RCTs</w:t>
      </w:r>
      <w:r w:rsidR="000A4389">
        <w:t xml:space="preserve"> and ongoing research</w:t>
      </w:r>
      <w:r>
        <w:t xml:space="preserve"> published since the previous literature search in 2004</w:t>
      </w:r>
      <w:r w:rsidR="000A4389">
        <w:t>.</w:t>
      </w:r>
      <w:r w:rsidR="00F209AA">
        <w:t xml:space="preserve"> Trials that included participants with mixed dementia were included if the predominant dementia was AD.</w:t>
      </w:r>
    </w:p>
    <w:p w14:paraId="66C405F3" w14:textId="7A9A2C2D" w:rsidR="00C25A88" w:rsidRDefault="00C25A88" w:rsidP="00C25A88">
      <w:r>
        <w:t xml:space="preserve">A total of four systematic reviews and 17 RCTs were identified </w:t>
      </w:r>
      <w:r w:rsidR="00E0172C">
        <w:t>that</w:t>
      </w:r>
      <w:r>
        <w:t xml:space="preserve"> had been published since 2004. There were 12 pair-wise comparisons with placebo: </w:t>
      </w:r>
      <w:r w:rsidR="0006115C">
        <w:t xml:space="preserve">five for </w:t>
      </w:r>
      <w:r>
        <w:t>donepezil (</w:t>
      </w:r>
      <w:r w:rsidR="00E0172C">
        <w:t>N</w:t>
      </w:r>
      <w:r>
        <w:t xml:space="preserve"> = 234); </w:t>
      </w:r>
      <w:r w:rsidR="0006115C">
        <w:t xml:space="preserve">three for </w:t>
      </w:r>
      <w:r>
        <w:t>galantamine (</w:t>
      </w:r>
      <w:r w:rsidR="00E0172C">
        <w:t>N</w:t>
      </w:r>
      <w:r>
        <w:t xml:space="preserve"> = 1386); </w:t>
      </w:r>
      <w:r w:rsidR="0006115C">
        <w:t xml:space="preserve">three for </w:t>
      </w:r>
      <w:r>
        <w:t>rivastigmine (</w:t>
      </w:r>
      <w:r w:rsidR="00E0172C">
        <w:t>N</w:t>
      </w:r>
      <w:r>
        <w:t xml:space="preserve"> = 1995); and</w:t>
      </w:r>
      <w:r w:rsidR="0006115C">
        <w:t xml:space="preserve"> one for</w:t>
      </w:r>
      <w:r>
        <w:t xml:space="preserve"> memantine (</w:t>
      </w:r>
      <w:r w:rsidR="00E0172C">
        <w:t>N</w:t>
      </w:r>
      <w:r>
        <w:t xml:space="preserve"> = 350). The search also identified four head-to-head studies and one combination therapy study (memantine added to AChEIs). Taken as a whole, the quality of the trials was considered </w:t>
      </w:r>
      <w:r w:rsidR="00E0172C">
        <w:t xml:space="preserve">by the authors </w:t>
      </w:r>
      <w:r>
        <w:t>to be “disappointing”.</w:t>
      </w:r>
    </w:p>
    <w:p w14:paraId="7DC31D33" w14:textId="77777777" w:rsidR="00DE5C17" w:rsidRDefault="00DE5C17" w:rsidP="00DE5C17">
      <w:pPr>
        <w:pStyle w:val="Heading4"/>
      </w:pPr>
      <w:r>
        <w:t>PBS Review of anti-dementia medicines to treat AD (2012)</w:t>
      </w:r>
    </w:p>
    <w:p w14:paraId="41441A8C" w14:textId="079DBFCC" w:rsidR="00DE5C17" w:rsidRDefault="00DE5C17" w:rsidP="00DE5C17">
      <w:r>
        <w:t xml:space="preserve">The PBS Review of anti-dementia medicines to treat AD (October 2012) was undertaken for the PBAC by the Centre for Health Economics at Monash University, the Veterans’ Medicines Advice and Therapeutics Education Services at the University of South Australia, and the Pharmaceutical Policy Branch of the Department of Health and Ageing. As such, it is assumed that the assessment of the effectiveness and safety of the AChEIs and memantine is of high-quality. The literature search (conducted in May 2012) was intended to identify all systematic reviews and RCTs assessing donepezil, rivastigmine, galantamine and memantine, either alone or in combination in patients with AD, compared with placebo or another AChEI or memantine. </w:t>
      </w:r>
      <w:r>
        <w:fldChar w:fldCharType="begin"/>
      </w:r>
      <w:r>
        <w:instrText xml:space="preserve"> REF _Ref406331541 \h </w:instrText>
      </w:r>
      <w:r>
        <w:fldChar w:fldCharType="separate"/>
      </w:r>
      <w:r w:rsidR="00C67698">
        <w:t xml:space="preserve">Table </w:t>
      </w:r>
      <w:r w:rsidR="00C67698">
        <w:rPr>
          <w:noProof/>
        </w:rPr>
        <w:t>B.3</w:t>
      </w:r>
      <w:r w:rsidR="00C67698">
        <w:noBreakHyphen/>
      </w:r>
      <w:r w:rsidR="00C67698">
        <w:rPr>
          <w:noProof/>
        </w:rPr>
        <w:t>3</w:t>
      </w:r>
      <w:r>
        <w:fldChar w:fldCharType="end"/>
      </w:r>
      <w:r>
        <w:t xml:space="preserve"> summarises the number of trials identified from the literature search. The authors of the PBS Review undertook quality assessment of the included studies using </w:t>
      </w:r>
      <w:r w:rsidR="00F53A00">
        <w:t>the Grading of Recommendations Assessment, Development and Evaluation (</w:t>
      </w:r>
      <w:r>
        <w:t>GRADE</w:t>
      </w:r>
      <w:r w:rsidR="00F53A00">
        <w:t>)</w:t>
      </w:r>
      <w:r>
        <w:t xml:space="preserve"> criteria, reporting very low to high quality ratings for the AChEI studies and low quality ratings for all memantine studies. Some of the information in the report was redacted due to commercial confidentiality.</w:t>
      </w:r>
    </w:p>
    <w:p w14:paraId="6CBB51C9" w14:textId="54378606" w:rsidR="00DE5C17" w:rsidRDefault="00DE5C17" w:rsidP="00DE5C17">
      <w:pPr>
        <w:pStyle w:val="Caption"/>
      </w:pPr>
      <w:bookmarkStart w:id="95" w:name="_Ref406331541"/>
      <w:bookmarkStart w:id="96" w:name="_Toc408845211"/>
      <w:r>
        <w:t xml:space="preserve">Table </w:t>
      </w:r>
      <w:fldSimple w:instr=" STYLEREF 2 \s ">
        <w:r w:rsidR="00C67698">
          <w:rPr>
            <w:noProof/>
          </w:rPr>
          <w:t>B.3</w:t>
        </w:r>
      </w:fldSimple>
      <w:r w:rsidR="00524916">
        <w:noBreakHyphen/>
      </w:r>
      <w:fldSimple w:instr=" SEQ Table \* ARABIC \s 2 ">
        <w:r w:rsidR="00C67698">
          <w:rPr>
            <w:noProof/>
          </w:rPr>
          <w:t>3</w:t>
        </w:r>
      </w:fldSimple>
      <w:bookmarkEnd w:id="95"/>
      <w:r>
        <w:tab/>
        <w:t>Trials of AChEIs and memantine identified in the PBS Review (October 2012)</w:t>
      </w:r>
      <w:bookmarkEnd w:id="96"/>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Caption w:val="The trials of anti-dementia drugs identified in the October 2012 PBS Review"/>
        <w:tblDescription w:val="The number of clinical trials and total number of patients included in the 2012 PBS Review for donepezil, rivastigmine, galantamine and memantine."/>
      </w:tblPr>
      <w:tblGrid>
        <w:gridCol w:w="2410"/>
        <w:gridCol w:w="3544"/>
        <w:gridCol w:w="2409"/>
      </w:tblGrid>
      <w:tr w:rsidR="00DE5C17" w:rsidRPr="00B43BF0" w14:paraId="68146260" w14:textId="77777777" w:rsidTr="00BF2422">
        <w:trPr>
          <w:tblHeader/>
        </w:trPr>
        <w:tc>
          <w:tcPr>
            <w:tcW w:w="2410" w:type="dxa"/>
            <w:tcBorders>
              <w:right w:val="single" w:sz="4" w:space="0" w:color="auto"/>
            </w:tcBorders>
          </w:tcPr>
          <w:p w14:paraId="693D7F8F" w14:textId="77777777" w:rsidR="00DE5C17" w:rsidRPr="00B43BF0" w:rsidRDefault="00DE5C17" w:rsidP="00BF2422">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Drug</w:t>
            </w:r>
          </w:p>
        </w:tc>
        <w:tc>
          <w:tcPr>
            <w:tcW w:w="3544" w:type="dxa"/>
            <w:tcBorders>
              <w:top w:val="single" w:sz="4" w:space="0" w:color="auto"/>
              <w:left w:val="single" w:sz="4" w:space="0" w:color="auto"/>
              <w:bottom w:val="single" w:sz="4" w:space="0" w:color="auto"/>
              <w:right w:val="single" w:sz="4" w:space="0" w:color="auto"/>
            </w:tcBorders>
          </w:tcPr>
          <w:p w14:paraId="77536E62" w14:textId="77777777" w:rsidR="00DE5C17" w:rsidRPr="00B43BF0" w:rsidRDefault="00DE5C17" w:rsidP="00BF2422">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Total number of clinical trials</w:t>
            </w:r>
          </w:p>
        </w:tc>
        <w:tc>
          <w:tcPr>
            <w:tcW w:w="2409" w:type="dxa"/>
            <w:tcBorders>
              <w:left w:val="single" w:sz="4" w:space="0" w:color="auto"/>
            </w:tcBorders>
          </w:tcPr>
          <w:p w14:paraId="56BE92D9" w14:textId="77777777" w:rsidR="00DE5C17" w:rsidRPr="00B43BF0" w:rsidRDefault="00DE5C17" w:rsidP="00BF2422">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Total number of patients</w:t>
            </w:r>
          </w:p>
        </w:tc>
      </w:tr>
      <w:tr w:rsidR="00DE5C17" w:rsidRPr="00B43BF0" w14:paraId="2DD72BFF" w14:textId="77777777" w:rsidTr="00BF2422">
        <w:tc>
          <w:tcPr>
            <w:tcW w:w="2410" w:type="dxa"/>
            <w:tcBorders>
              <w:right w:val="single" w:sz="4" w:space="0" w:color="auto"/>
            </w:tcBorders>
          </w:tcPr>
          <w:p w14:paraId="710EEB04"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sidRPr="001A1B30">
              <w:rPr>
                <w:rFonts w:ascii="Arial Narrow" w:eastAsia="Times New Roman" w:hAnsi="Arial Narrow" w:cs="Times New Roman"/>
                <w:sz w:val="20"/>
                <w:szCs w:val="20"/>
                <w:lang w:eastAsia="en-AU"/>
              </w:rPr>
              <w:t>donepezil</w:t>
            </w:r>
          </w:p>
        </w:tc>
        <w:tc>
          <w:tcPr>
            <w:tcW w:w="3544" w:type="dxa"/>
            <w:tcBorders>
              <w:top w:val="single" w:sz="4" w:space="0" w:color="auto"/>
              <w:left w:val="single" w:sz="4" w:space="0" w:color="auto"/>
              <w:bottom w:val="single" w:sz="4" w:space="0" w:color="auto"/>
              <w:right w:val="single" w:sz="4" w:space="0" w:color="auto"/>
            </w:tcBorders>
          </w:tcPr>
          <w:p w14:paraId="645AF91A"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24</w:t>
            </w:r>
          </w:p>
        </w:tc>
        <w:tc>
          <w:tcPr>
            <w:tcW w:w="2409" w:type="dxa"/>
            <w:tcBorders>
              <w:left w:val="single" w:sz="4" w:space="0" w:color="auto"/>
            </w:tcBorders>
          </w:tcPr>
          <w:p w14:paraId="11135601" w14:textId="77777777" w:rsidR="00DE5C17" w:rsidRPr="00B43BF0" w:rsidRDefault="00DE5C17" w:rsidP="00BF2422">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5,493</w:t>
            </w:r>
          </w:p>
        </w:tc>
      </w:tr>
      <w:tr w:rsidR="00DE5C17" w:rsidRPr="00B43BF0" w14:paraId="1CE89490" w14:textId="77777777" w:rsidTr="00BF2422">
        <w:tc>
          <w:tcPr>
            <w:tcW w:w="2410" w:type="dxa"/>
            <w:tcBorders>
              <w:right w:val="single" w:sz="4" w:space="0" w:color="auto"/>
            </w:tcBorders>
          </w:tcPr>
          <w:p w14:paraId="32BFA1FD"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r</w:t>
            </w:r>
            <w:r w:rsidRPr="001A1B30">
              <w:rPr>
                <w:rFonts w:ascii="Arial Narrow" w:eastAsia="Times New Roman" w:hAnsi="Arial Narrow" w:cs="Times New Roman"/>
                <w:sz w:val="20"/>
                <w:szCs w:val="20"/>
                <w:lang w:eastAsia="en-AU"/>
              </w:rPr>
              <w:t>ivastigmine</w:t>
            </w:r>
          </w:p>
        </w:tc>
        <w:tc>
          <w:tcPr>
            <w:tcW w:w="3544" w:type="dxa"/>
            <w:tcBorders>
              <w:top w:val="single" w:sz="4" w:space="0" w:color="auto"/>
              <w:left w:val="single" w:sz="4" w:space="0" w:color="auto"/>
              <w:bottom w:val="single" w:sz="4" w:space="0" w:color="auto"/>
              <w:right w:val="single" w:sz="4" w:space="0" w:color="auto"/>
            </w:tcBorders>
          </w:tcPr>
          <w:p w14:paraId="7CB64444"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11</w:t>
            </w:r>
          </w:p>
        </w:tc>
        <w:tc>
          <w:tcPr>
            <w:tcW w:w="2409" w:type="dxa"/>
            <w:tcBorders>
              <w:left w:val="single" w:sz="4" w:space="0" w:color="auto"/>
            </w:tcBorders>
          </w:tcPr>
          <w:p w14:paraId="7765F157" w14:textId="77777777" w:rsidR="00DE5C17" w:rsidRPr="00B43BF0" w:rsidRDefault="00DE5C17" w:rsidP="00BF2422">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5,268</w:t>
            </w:r>
          </w:p>
        </w:tc>
      </w:tr>
      <w:tr w:rsidR="00DE5C17" w:rsidRPr="00B43BF0" w14:paraId="34B7C9D4" w14:textId="77777777" w:rsidTr="00BF2422">
        <w:tc>
          <w:tcPr>
            <w:tcW w:w="2410" w:type="dxa"/>
            <w:tcBorders>
              <w:right w:val="single" w:sz="4" w:space="0" w:color="auto"/>
            </w:tcBorders>
          </w:tcPr>
          <w:p w14:paraId="219818D4"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g</w:t>
            </w:r>
            <w:r w:rsidRPr="001A1B30">
              <w:rPr>
                <w:rFonts w:ascii="Arial Narrow" w:eastAsia="Times New Roman" w:hAnsi="Arial Narrow" w:cs="Times New Roman"/>
                <w:sz w:val="20"/>
                <w:szCs w:val="20"/>
                <w:lang w:eastAsia="en-AU"/>
              </w:rPr>
              <w:t>alantamine</w:t>
            </w:r>
          </w:p>
        </w:tc>
        <w:tc>
          <w:tcPr>
            <w:tcW w:w="3544" w:type="dxa"/>
            <w:tcBorders>
              <w:top w:val="single" w:sz="4" w:space="0" w:color="auto"/>
              <w:left w:val="single" w:sz="4" w:space="0" w:color="auto"/>
              <w:bottom w:val="single" w:sz="4" w:space="0" w:color="auto"/>
              <w:right w:val="single" w:sz="4" w:space="0" w:color="auto"/>
            </w:tcBorders>
          </w:tcPr>
          <w:p w14:paraId="62FD3F8D"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8</w:t>
            </w:r>
          </w:p>
        </w:tc>
        <w:tc>
          <w:tcPr>
            <w:tcW w:w="2409" w:type="dxa"/>
            <w:tcBorders>
              <w:left w:val="single" w:sz="4" w:space="0" w:color="auto"/>
            </w:tcBorders>
          </w:tcPr>
          <w:p w14:paraId="287BE974" w14:textId="77777777" w:rsidR="00DE5C17" w:rsidRPr="00B43BF0" w:rsidRDefault="00DE5C17" w:rsidP="00BF2422">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4,631</w:t>
            </w:r>
          </w:p>
        </w:tc>
      </w:tr>
      <w:tr w:rsidR="00DE5C17" w:rsidRPr="00B43BF0" w14:paraId="4AB40399" w14:textId="77777777" w:rsidTr="00BF2422">
        <w:tc>
          <w:tcPr>
            <w:tcW w:w="2410" w:type="dxa"/>
            <w:tcBorders>
              <w:right w:val="single" w:sz="4" w:space="0" w:color="auto"/>
            </w:tcBorders>
          </w:tcPr>
          <w:p w14:paraId="09C696D2"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sidRPr="001A1B30">
              <w:rPr>
                <w:rFonts w:ascii="Arial Narrow" w:eastAsia="Times New Roman" w:hAnsi="Arial Narrow" w:cs="Times New Roman"/>
                <w:sz w:val="20"/>
                <w:szCs w:val="20"/>
                <w:lang w:eastAsia="en-AU"/>
              </w:rPr>
              <w:t>memantine</w:t>
            </w:r>
          </w:p>
        </w:tc>
        <w:tc>
          <w:tcPr>
            <w:tcW w:w="3544" w:type="dxa"/>
            <w:tcBorders>
              <w:top w:val="single" w:sz="4" w:space="0" w:color="auto"/>
              <w:left w:val="single" w:sz="4" w:space="0" w:color="auto"/>
              <w:bottom w:val="single" w:sz="4" w:space="0" w:color="auto"/>
              <w:right w:val="single" w:sz="4" w:space="0" w:color="auto"/>
            </w:tcBorders>
          </w:tcPr>
          <w:p w14:paraId="2294B0BC" w14:textId="77777777" w:rsidR="00DE5C17" w:rsidRPr="00B43BF0" w:rsidRDefault="00DE5C17" w:rsidP="00BF2422">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4</w:t>
            </w:r>
          </w:p>
        </w:tc>
        <w:tc>
          <w:tcPr>
            <w:tcW w:w="2409" w:type="dxa"/>
            <w:tcBorders>
              <w:left w:val="single" w:sz="4" w:space="0" w:color="auto"/>
            </w:tcBorders>
          </w:tcPr>
          <w:p w14:paraId="3D4CE9D9" w14:textId="77777777" w:rsidR="00DE5C17" w:rsidRPr="00B43BF0" w:rsidRDefault="00DE5C17" w:rsidP="00BF2422">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1,475</w:t>
            </w:r>
          </w:p>
        </w:tc>
      </w:tr>
    </w:tbl>
    <w:p w14:paraId="7B3D67C6" w14:textId="77777777" w:rsidR="00DE5C17" w:rsidRPr="00816F47" w:rsidRDefault="00DE5C17" w:rsidP="00DE5C17"/>
    <w:p w14:paraId="45BF50AF" w14:textId="77777777" w:rsidR="003D1597" w:rsidRDefault="003D1597">
      <w:pPr>
        <w:spacing w:after="160" w:line="259" w:lineRule="auto"/>
        <w:ind w:left="0"/>
        <w:rPr>
          <w:rFonts w:ascii="Tahoma" w:eastAsiaTheme="majorEastAsia" w:hAnsi="Tahoma" w:cstheme="majorBidi"/>
          <w:b/>
          <w:sz w:val="28"/>
          <w:szCs w:val="26"/>
        </w:rPr>
      </w:pPr>
      <w:bookmarkStart w:id="97" w:name="_Toc406231646"/>
      <w:r>
        <w:br w:type="page"/>
      </w:r>
    </w:p>
    <w:p w14:paraId="22656E53" w14:textId="7FA706DD" w:rsidR="00511657" w:rsidRPr="004D5119" w:rsidRDefault="00511657" w:rsidP="00511657">
      <w:pPr>
        <w:pStyle w:val="Heading2"/>
      </w:pPr>
      <w:bookmarkStart w:id="98" w:name="_Toc408845164"/>
      <w:r>
        <w:lastRenderedPageBreak/>
        <w:t>Characteristics of the included studies</w:t>
      </w:r>
      <w:bookmarkEnd w:id="97"/>
      <w:bookmarkEnd w:id="98"/>
    </w:p>
    <w:p w14:paraId="5B7C2361" w14:textId="77777777" w:rsidR="00903DA7" w:rsidRDefault="00903DA7" w:rsidP="00511657">
      <w:pPr>
        <w:pStyle w:val="Heading3"/>
      </w:pPr>
      <w:bookmarkStart w:id="99" w:name="_Ref406410686"/>
      <w:r>
        <w:t>Diagnostic accuracy</w:t>
      </w:r>
      <w:bookmarkEnd w:id="99"/>
    </w:p>
    <w:p w14:paraId="28462FBC" w14:textId="6DBFFBD8" w:rsidR="00511657" w:rsidRPr="00C14192" w:rsidRDefault="0025189C" w:rsidP="00903DA7">
      <w:pPr>
        <w:pStyle w:val="Heading4"/>
      </w:pPr>
      <w:r>
        <w:t>Direct evidence</w:t>
      </w:r>
    </w:p>
    <w:p w14:paraId="27A20103" w14:textId="415149D1" w:rsidR="00511657" w:rsidRDefault="00511657" w:rsidP="00511657">
      <w:r>
        <w:t>Of the three systematic reviews, Davison et al (2014) was the most recent and comprehensiv</w:t>
      </w:r>
      <w:r w:rsidR="00156B71">
        <w:t>e. It included seven of the eight</w:t>
      </w:r>
      <w:r w:rsidR="001F69AD">
        <w:t xml:space="preserve"> </w:t>
      </w:r>
      <w:r>
        <w:t xml:space="preserve">studies that </w:t>
      </w:r>
      <w:r w:rsidR="001F69AD">
        <w:t xml:space="preserve">directly </w:t>
      </w:r>
      <w:r w:rsidR="0077260A">
        <w:t>compared</w:t>
      </w:r>
      <w:r>
        <w:t xml:space="preserve"> the diagnostic accuracy</w:t>
      </w:r>
      <w:r w:rsidRPr="00D543A2">
        <w:t xml:space="preserve"> of FDG-PET and SPECT</w:t>
      </w:r>
      <w:r>
        <w:t>. Davison et al (2014) also included studies that assessed either FDG-PET or SPECT alone</w:t>
      </w:r>
      <w:r w:rsidR="002365F4">
        <w:t>.</w:t>
      </w:r>
    </w:p>
    <w:p w14:paraId="0D0D8F08" w14:textId="6689C046" w:rsidR="00511657" w:rsidRDefault="00511657" w:rsidP="00511657">
      <w:r>
        <w:t>Similarly, the systematic review by Bloudek et al (2001) included an arr</w:t>
      </w:r>
      <w:r w:rsidR="00CC63DE">
        <w:t>ay of studies</w:t>
      </w:r>
      <w:r w:rsidR="002365F4" w:rsidRPr="002365F4">
        <w:t xml:space="preserve"> that directly compared the diagnostic accuracy of FDG-PET with SPECT</w:t>
      </w:r>
      <w:r w:rsidR="00040904">
        <w:t>,</w:t>
      </w:r>
      <w:r w:rsidR="002365F4" w:rsidRPr="002365F4">
        <w:t xml:space="preserve"> and studies that reported the diagnostic accuracy of FDG-PET or SPECT</w:t>
      </w:r>
      <w:r>
        <w:t>. A variety of meta-analyses were conducted encompassing 33 PET studies, 19 SPECT studies and various subsets of those studies according to the comparison groups (e.g. normal controls, demented controls, MCI).</w:t>
      </w:r>
    </w:p>
    <w:p w14:paraId="5C34EF8F" w14:textId="609CAA21" w:rsidR="00511657" w:rsidRDefault="00511657" w:rsidP="00511657">
      <w:r>
        <w:t>The third systematic review (Frisoni et al, 2013) i</w:t>
      </w:r>
      <w:r w:rsidR="002365F4">
        <w:t>dentified</w:t>
      </w:r>
      <w:r>
        <w:t xml:space="preserve"> </w:t>
      </w:r>
      <w:r w:rsidR="001C4646">
        <w:t>two of the eight included</w:t>
      </w:r>
      <w:r>
        <w:t xml:space="preserve"> comparative studies along with many other studies</w:t>
      </w:r>
      <w:r w:rsidR="001F69AD">
        <w:t xml:space="preserve"> of FDG-PET or SPECT</w:t>
      </w:r>
      <w:r>
        <w:t xml:space="preserve"> with a variety of reference standards. Primary studies were excluded </w:t>
      </w:r>
      <w:r w:rsidR="001F69AD">
        <w:t xml:space="preserve">from the systematic review </w:t>
      </w:r>
      <w:r>
        <w:t xml:space="preserve">if they </w:t>
      </w:r>
      <w:r w:rsidR="001F69AD">
        <w:t>reported</w:t>
      </w:r>
      <w:r>
        <w:t xml:space="preserve"> the diagnostic accuracy of AD versus other types of dementia, as the focus was on separating AD from healthy controls. As such, this review has limited applicability to ‘real-world’ use of FDG-PET and SPECT, as proposed in the MBS item descriptor.</w:t>
      </w:r>
    </w:p>
    <w:p w14:paraId="75D72FFD" w14:textId="736AA018" w:rsidR="00511657" w:rsidRDefault="00511657" w:rsidP="00511657">
      <w:r>
        <w:t xml:space="preserve">All of the </w:t>
      </w:r>
      <w:r w:rsidR="001F69AD">
        <w:t>comparative</w:t>
      </w:r>
      <w:r>
        <w:t xml:space="preserve"> studies </w:t>
      </w:r>
      <w:r w:rsidR="001F69AD">
        <w:t xml:space="preserve">included in the Assessment Report </w:t>
      </w:r>
      <w:r>
        <w:t>had small sample sizes (ranging from 10 to 55 participants) and were relatively old, with four of the eight studies published prior to the year 2000. Four studies were conducted in Japan, three were from Germany, and one was from Italy. There were no studies of FDG-PET versus SPECT from Australia.</w:t>
      </w:r>
    </w:p>
    <w:p w14:paraId="5B590474" w14:textId="43438344" w:rsidR="00511657" w:rsidRDefault="00511657" w:rsidP="00511657">
      <w:r>
        <w:t>Döbert et al (2005) assessed the diagnostic accuracy of FDG-PET and HMPAO-SPECT according to a consensus clinical diagnosis at follow-up. While clinical follow-up was undertaken at an average of only 16 months (± 12 months), this st</w:t>
      </w:r>
      <w:r w:rsidR="001C4646">
        <w:t>udy was the only one of the eight</w:t>
      </w:r>
      <w:r>
        <w:t xml:space="preserve"> comparative studies that partly fulfilled the reference standard as per the Final Protocol (Table 4, p.15).</w:t>
      </w:r>
    </w:p>
    <w:p w14:paraId="010CC69D" w14:textId="58ABA9A5" w:rsidR="00511657" w:rsidRDefault="00511657" w:rsidP="00511657">
      <w:r>
        <w:t>A recent Japanese study by Ito et al (2014) examined the concordance of diagnostic abilities and interobserver agreement between FDG-PET and ECD-SPECT in 55 patients with cognitive disorders. A team of dementia specialists diagnosed AD according to the NIA-AA research criteria, which included neuronal injury markers such as MRI, functional imaging and, importantly, an amyloid-binding radiotracer (</w:t>
      </w:r>
      <w:r>
        <w:rPr>
          <w:vertAlign w:val="superscript"/>
        </w:rPr>
        <w:t>11</w:t>
      </w:r>
      <w:r>
        <w:t xml:space="preserve">C-PIB PET). DLB and </w:t>
      </w:r>
      <w:r w:rsidR="00BD65E4">
        <w:t>FTD</w:t>
      </w:r>
      <w:r>
        <w:t xml:space="preserve"> were also diagnosed according to established criteria. The findings of FDG-PET and SPECT scans were evaluated by three radiologists/nuclear medicine physicians and compared with the consensus clinical diagnosis. </w:t>
      </w:r>
    </w:p>
    <w:p w14:paraId="622C1ACC" w14:textId="5456D166" w:rsidR="00511657" w:rsidRPr="00284AB0" w:rsidRDefault="00511657" w:rsidP="00511657">
      <w:r>
        <w:t xml:space="preserve">The main similarity between Döbert et al (2005) and Ito et al (2014) is that both studies included a broad population of patients with suspected MCI or dementia </w:t>
      </w:r>
      <w:r w:rsidRPr="00AE519F">
        <w:t xml:space="preserve">(including DLB, </w:t>
      </w:r>
      <w:r w:rsidR="00BD65E4">
        <w:t>FTD</w:t>
      </w:r>
      <w:r w:rsidRPr="00AE519F">
        <w:t xml:space="preserve">, </w:t>
      </w:r>
      <w:r w:rsidR="0077260A">
        <w:t>vascular dementia (</w:t>
      </w:r>
      <w:r w:rsidRPr="00AE519F">
        <w:t>VD</w:t>
      </w:r>
      <w:r w:rsidR="0077260A">
        <w:t>)</w:t>
      </w:r>
      <w:r w:rsidRPr="00AE519F">
        <w:t xml:space="preserve"> and mixed-type dementia (MIX))</w:t>
      </w:r>
      <w:r>
        <w:t xml:space="preserve">. </w:t>
      </w:r>
    </w:p>
    <w:p w14:paraId="510CF2EE" w14:textId="2CE5EEA2" w:rsidR="00511657" w:rsidRDefault="00B7405F" w:rsidP="00511657">
      <w:r>
        <w:t>In contrast, the remaining six</w:t>
      </w:r>
      <w:r w:rsidR="00511657">
        <w:t xml:space="preserve"> studies all recruited patients with clinically suspected or diagnosed AD. The s</w:t>
      </w:r>
      <w:r w:rsidR="001C4646">
        <w:t>ix</w:t>
      </w:r>
      <w:r w:rsidR="00511657">
        <w:t xml:space="preserve"> studies adopted similar methodology, assessing patterns of </w:t>
      </w:r>
      <w:r w:rsidR="00511657">
        <w:lastRenderedPageBreak/>
        <w:t>glucose metabolism (FDG-PET) or perfusion (SPECT) in certain brain regions of interest (ROIs).</w:t>
      </w:r>
      <w:r w:rsidR="00511657">
        <w:rPr>
          <w:rStyle w:val="FootnoteReference"/>
        </w:rPr>
        <w:footnoteReference w:id="5"/>
      </w:r>
      <w:r w:rsidR="00511657">
        <w:t xml:space="preserve"> Diagnostic accuracy was evaluated by comparing the ability of FDG-PET and SPECT to detect differences in metabolism/perfusion between AD patients and cognitively normal controls (see Table B.4 1). In that respect, those studies were inherently different from Döbert et al (2005) and Ito et al (2014), which used the test to discriminate between people who were all cognitively impaired due to different sub</w:t>
      </w:r>
      <w:r w:rsidR="00EB2552">
        <w:t>-types</w:t>
      </w:r>
      <w:r w:rsidR="00511657">
        <w:t xml:space="preserve"> of dementia.</w:t>
      </w:r>
    </w:p>
    <w:p w14:paraId="78D06C33" w14:textId="77777777" w:rsidR="00511657" w:rsidRDefault="00511657" w:rsidP="00511657">
      <w:r>
        <w:t xml:space="preserve">Importantly, most of the included studies listed in </w:t>
      </w:r>
      <w:r>
        <w:fldChar w:fldCharType="begin"/>
      </w:r>
      <w:r>
        <w:instrText xml:space="preserve"> REF _Ref406079030 \h </w:instrText>
      </w:r>
      <w:r>
        <w:fldChar w:fldCharType="separate"/>
      </w:r>
      <w:r w:rsidR="00C67698">
        <w:t xml:space="preserve">Table </w:t>
      </w:r>
      <w:r w:rsidR="00C67698">
        <w:rPr>
          <w:noProof/>
        </w:rPr>
        <w:t>B.4</w:t>
      </w:r>
      <w:r w:rsidR="00C67698">
        <w:noBreakHyphen/>
      </w:r>
      <w:r w:rsidR="00C67698">
        <w:rPr>
          <w:noProof/>
        </w:rPr>
        <w:t>1</w:t>
      </w:r>
      <w:r>
        <w:fldChar w:fldCharType="end"/>
      </w:r>
      <w:r>
        <w:t xml:space="preserve"> did not precisely match the population relevant to the proposed MBS listing. Specifically, very few of the papers stated that FDG-PET or SPECT were used in difficult cases, where the diagnosis remained uncertain after clinical evaluation and structural imaging. As such, the diagnostic accuracy of FDG-PET and SPECT may have been evaluated in a patient population with more easily recognised and diagnosable AD. It is unclear whether this would have a differential effect on the results of FDG-PET versus SPECT.</w:t>
      </w:r>
    </w:p>
    <w:p w14:paraId="6ED3D543" w14:textId="77777777" w:rsidR="00511657" w:rsidRDefault="00511657" w:rsidP="00511657"/>
    <w:p w14:paraId="4FA96B8B" w14:textId="77777777" w:rsidR="00511657" w:rsidRPr="000A207C" w:rsidRDefault="00511657" w:rsidP="00511657">
      <w:pPr>
        <w:sectPr w:rsidR="00511657" w:rsidRPr="000A207C" w:rsidSect="00F710E2">
          <w:pgSz w:w="11906" w:h="16838" w:code="9"/>
          <w:pgMar w:top="1440" w:right="1440" w:bottom="1440" w:left="1440" w:header="680" w:footer="1021" w:gutter="0"/>
          <w:cols w:space="708"/>
          <w:docGrid w:linePitch="360"/>
        </w:sectPr>
      </w:pPr>
    </w:p>
    <w:p w14:paraId="318F853E" w14:textId="2295CC76" w:rsidR="00511657" w:rsidRDefault="00511657" w:rsidP="00511657">
      <w:pPr>
        <w:pStyle w:val="Caption"/>
      </w:pPr>
      <w:bookmarkStart w:id="100" w:name="_Ref406079030"/>
      <w:bookmarkStart w:id="101" w:name="_Toc406231705"/>
      <w:bookmarkStart w:id="102" w:name="_Toc408845212"/>
      <w:r>
        <w:lastRenderedPageBreak/>
        <w:t xml:space="preserve">Table </w:t>
      </w:r>
      <w:fldSimple w:instr=" STYLEREF 2 \s ">
        <w:r w:rsidR="00C67698">
          <w:rPr>
            <w:noProof/>
          </w:rPr>
          <w:t>B.4</w:t>
        </w:r>
      </w:fldSimple>
      <w:r w:rsidR="00524916">
        <w:noBreakHyphen/>
      </w:r>
      <w:fldSimple w:instr=" SEQ Table \* ARABIC \s 2 ">
        <w:r w:rsidR="00C67698">
          <w:rPr>
            <w:noProof/>
          </w:rPr>
          <w:t>1</w:t>
        </w:r>
      </w:fldSimple>
      <w:bookmarkEnd w:id="100"/>
      <w:r>
        <w:tab/>
      </w:r>
      <w:r w:rsidR="001B1FD6">
        <w:t>Direct evidence</w:t>
      </w:r>
      <w:r>
        <w:t xml:space="preserve"> </w:t>
      </w:r>
      <w:r w:rsidR="00934CF0">
        <w:t>of</w:t>
      </w:r>
      <w:r>
        <w:t xml:space="preserve"> the comparative diagnostic accuracy of FDG-PET and SPECT</w:t>
      </w:r>
      <w:bookmarkEnd w:id="101"/>
      <w:bookmarkEnd w:id="102"/>
    </w:p>
    <w:tbl>
      <w:tblPr>
        <w:tblStyle w:val="TableGrid1"/>
        <w:tblW w:w="13167" w:type="dxa"/>
        <w:tblInd w:w="720" w:type="dxa"/>
        <w:shd w:val="clear" w:color="auto" w:fill="AEAAAA" w:themeFill="background2" w:themeFillShade="BF"/>
        <w:tblLayout w:type="fixed"/>
        <w:tblCellMar>
          <w:left w:w="57" w:type="dxa"/>
          <w:right w:w="57" w:type="dxa"/>
        </w:tblCellMar>
        <w:tblLook w:val="04A0" w:firstRow="1" w:lastRow="0" w:firstColumn="1" w:lastColumn="0" w:noHBand="0" w:noVBand="1"/>
        <w:tblCaption w:val="The primary studies reporting the comparative diagnostic accuracy of FDG-PET and SPECT"/>
        <w:tblDescription w:val="The characteristics of the eight included comparative studies, including study population, intervention, comparator and reference standard."/>
      </w:tblPr>
      <w:tblGrid>
        <w:gridCol w:w="1260"/>
        <w:gridCol w:w="3402"/>
        <w:gridCol w:w="1276"/>
        <w:gridCol w:w="1134"/>
        <w:gridCol w:w="1134"/>
        <w:gridCol w:w="2126"/>
        <w:gridCol w:w="2835"/>
      </w:tblGrid>
      <w:tr w:rsidR="00511657" w:rsidRPr="00AD52D3" w14:paraId="5AD51920" w14:textId="77777777" w:rsidTr="00511657">
        <w:trPr>
          <w:tblHeader/>
        </w:trPr>
        <w:tc>
          <w:tcPr>
            <w:tcW w:w="1260" w:type="dxa"/>
            <w:shd w:val="clear" w:color="auto" w:fill="FFFFFF" w:themeFill="background1"/>
          </w:tcPr>
          <w:p w14:paraId="69F77BE1" w14:textId="77777777" w:rsidR="00511657" w:rsidRPr="00AD52D3" w:rsidRDefault="00511657" w:rsidP="00511657">
            <w:pPr>
              <w:spacing w:after="0"/>
              <w:ind w:left="0"/>
              <w:rPr>
                <w:rFonts w:ascii="Arial Narrow" w:eastAsia="Times New Roman" w:hAnsi="Arial Narrow" w:cs="Arial"/>
                <w:b/>
                <w:sz w:val="20"/>
                <w:szCs w:val="20"/>
              </w:rPr>
            </w:pPr>
            <w:r w:rsidRPr="00AD52D3">
              <w:rPr>
                <w:rFonts w:ascii="Arial Narrow" w:eastAsia="Times New Roman" w:hAnsi="Arial Narrow" w:cs="Arial"/>
                <w:b/>
                <w:sz w:val="20"/>
                <w:szCs w:val="20"/>
              </w:rPr>
              <w:t>Study ID</w:t>
            </w:r>
          </w:p>
        </w:tc>
        <w:tc>
          <w:tcPr>
            <w:tcW w:w="3402" w:type="dxa"/>
            <w:shd w:val="clear" w:color="auto" w:fill="FFFFFF" w:themeFill="background1"/>
          </w:tcPr>
          <w:p w14:paraId="56585734" w14:textId="77777777" w:rsidR="00511657" w:rsidRPr="00AD52D3" w:rsidRDefault="00511657" w:rsidP="00511657">
            <w:pPr>
              <w:spacing w:after="0"/>
              <w:ind w:left="0"/>
              <w:rPr>
                <w:rFonts w:ascii="Arial Narrow" w:eastAsia="Times New Roman" w:hAnsi="Arial Narrow" w:cs="Arial"/>
                <w:b/>
                <w:sz w:val="20"/>
                <w:szCs w:val="20"/>
              </w:rPr>
            </w:pPr>
            <w:r>
              <w:rPr>
                <w:rFonts w:ascii="Arial Narrow" w:eastAsia="Times New Roman" w:hAnsi="Arial Narrow" w:cs="Arial"/>
                <w:b/>
                <w:sz w:val="20"/>
                <w:szCs w:val="20"/>
              </w:rPr>
              <w:t>Study population</w:t>
            </w:r>
          </w:p>
        </w:tc>
        <w:tc>
          <w:tcPr>
            <w:tcW w:w="1276" w:type="dxa"/>
            <w:shd w:val="clear" w:color="auto" w:fill="FFFFFF" w:themeFill="background1"/>
          </w:tcPr>
          <w:p w14:paraId="16165862" w14:textId="77777777" w:rsidR="00511657" w:rsidRPr="00AD52D3" w:rsidRDefault="00511657" w:rsidP="00511657">
            <w:pPr>
              <w:spacing w:after="0"/>
              <w:ind w:left="0"/>
              <w:rPr>
                <w:rFonts w:ascii="Arial Narrow" w:eastAsia="Times New Roman" w:hAnsi="Arial Narrow" w:cs="Arial"/>
                <w:b/>
                <w:sz w:val="20"/>
                <w:szCs w:val="20"/>
              </w:rPr>
            </w:pPr>
            <w:r w:rsidRPr="00AD52D3">
              <w:rPr>
                <w:rFonts w:ascii="Arial Narrow" w:eastAsia="Times New Roman" w:hAnsi="Arial Narrow" w:cs="Arial"/>
                <w:b/>
                <w:sz w:val="20"/>
                <w:szCs w:val="20"/>
              </w:rPr>
              <w:t>Intervention</w:t>
            </w:r>
          </w:p>
        </w:tc>
        <w:tc>
          <w:tcPr>
            <w:tcW w:w="1134" w:type="dxa"/>
            <w:shd w:val="clear" w:color="auto" w:fill="FFFFFF" w:themeFill="background1"/>
          </w:tcPr>
          <w:p w14:paraId="7249700E" w14:textId="77777777" w:rsidR="00511657" w:rsidRPr="00AD52D3" w:rsidRDefault="00511657" w:rsidP="00511657">
            <w:pPr>
              <w:spacing w:after="0"/>
              <w:ind w:left="0"/>
              <w:rPr>
                <w:rFonts w:ascii="Arial Narrow" w:eastAsia="Times New Roman" w:hAnsi="Arial Narrow" w:cs="Arial"/>
                <w:b/>
                <w:sz w:val="20"/>
                <w:szCs w:val="20"/>
              </w:rPr>
            </w:pPr>
            <w:r w:rsidRPr="00AD52D3">
              <w:rPr>
                <w:rFonts w:ascii="Arial Narrow" w:eastAsia="Times New Roman" w:hAnsi="Arial Narrow" w:cs="Arial"/>
                <w:b/>
                <w:sz w:val="20"/>
                <w:szCs w:val="20"/>
              </w:rPr>
              <w:t>Comparator</w:t>
            </w:r>
          </w:p>
        </w:tc>
        <w:tc>
          <w:tcPr>
            <w:tcW w:w="1134" w:type="dxa"/>
            <w:shd w:val="clear" w:color="auto" w:fill="FFFFFF" w:themeFill="background1"/>
          </w:tcPr>
          <w:p w14:paraId="065CBBBB" w14:textId="77777777" w:rsidR="00511657" w:rsidRPr="00AD52D3" w:rsidRDefault="00511657" w:rsidP="00511657">
            <w:pPr>
              <w:spacing w:after="0"/>
              <w:ind w:left="0"/>
              <w:rPr>
                <w:rFonts w:ascii="Arial Narrow" w:eastAsia="Times New Roman" w:hAnsi="Arial Narrow" w:cs="Arial"/>
                <w:b/>
                <w:sz w:val="20"/>
                <w:szCs w:val="20"/>
              </w:rPr>
            </w:pPr>
            <w:r w:rsidRPr="00AA00B7">
              <w:rPr>
                <w:rFonts w:ascii="Arial Narrow" w:eastAsia="Times New Roman" w:hAnsi="Arial Narrow" w:cs="Arial"/>
                <w:b/>
                <w:sz w:val="20"/>
                <w:szCs w:val="20"/>
              </w:rPr>
              <w:t>Semi-quantitative analysis</w:t>
            </w:r>
          </w:p>
        </w:tc>
        <w:tc>
          <w:tcPr>
            <w:tcW w:w="2126" w:type="dxa"/>
            <w:shd w:val="clear" w:color="auto" w:fill="FFFFFF" w:themeFill="background1"/>
          </w:tcPr>
          <w:p w14:paraId="2E9AA51D" w14:textId="77777777" w:rsidR="00511657" w:rsidRPr="00AD52D3" w:rsidRDefault="00511657" w:rsidP="00511657">
            <w:pPr>
              <w:spacing w:after="0"/>
              <w:ind w:left="0"/>
              <w:rPr>
                <w:rFonts w:ascii="Arial Narrow" w:eastAsia="Times New Roman" w:hAnsi="Arial Narrow" w:cs="Arial"/>
                <w:b/>
                <w:sz w:val="20"/>
                <w:szCs w:val="20"/>
              </w:rPr>
            </w:pPr>
            <w:r w:rsidRPr="00AD52D3">
              <w:rPr>
                <w:rFonts w:ascii="Arial Narrow" w:eastAsia="Times New Roman" w:hAnsi="Arial Narrow" w:cs="Arial"/>
                <w:b/>
                <w:sz w:val="20"/>
                <w:szCs w:val="20"/>
              </w:rPr>
              <w:t>Reference standard</w:t>
            </w:r>
          </w:p>
        </w:tc>
        <w:tc>
          <w:tcPr>
            <w:tcW w:w="2835" w:type="dxa"/>
            <w:shd w:val="clear" w:color="auto" w:fill="FFFFFF" w:themeFill="background1"/>
          </w:tcPr>
          <w:p w14:paraId="7DBD1B81" w14:textId="77777777" w:rsidR="00511657" w:rsidRPr="00AD52D3" w:rsidRDefault="00511657" w:rsidP="00511657">
            <w:pPr>
              <w:spacing w:after="0"/>
              <w:ind w:left="0"/>
              <w:rPr>
                <w:rFonts w:ascii="Arial Narrow" w:eastAsia="Times New Roman" w:hAnsi="Arial Narrow" w:cs="Arial"/>
                <w:b/>
                <w:sz w:val="20"/>
                <w:szCs w:val="20"/>
              </w:rPr>
            </w:pPr>
            <w:r>
              <w:rPr>
                <w:rFonts w:ascii="Arial Narrow" w:eastAsia="Times New Roman" w:hAnsi="Arial Narrow" w:cs="Arial"/>
                <w:b/>
                <w:sz w:val="20"/>
                <w:szCs w:val="20"/>
              </w:rPr>
              <w:t>Comments</w:t>
            </w:r>
          </w:p>
        </w:tc>
      </w:tr>
      <w:tr w:rsidR="00511657" w:rsidRPr="00AD52D3" w14:paraId="6382698E" w14:textId="77777777" w:rsidTr="00511657">
        <w:tc>
          <w:tcPr>
            <w:tcW w:w="1260" w:type="dxa"/>
            <w:shd w:val="clear" w:color="auto" w:fill="D0CECE" w:themeFill="background2" w:themeFillShade="E6"/>
          </w:tcPr>
          <w:p w14:paraId="3C31C4CE"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Dementia</w:t>
            </w:r>
          </w:p>
        </w:tc>
        <w:tc>
          <w:tcPr>
            <w:tcW w:w="3402" w:type="dxa"/>
            <w:shd w:val="clear" w:color="auto" w:fill="D0CECE" w:themeFill="background2" w:themeFillShade="E6"/>
          </w:tcPr>
          <w:p w14:paraId="5C57E70E"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276" w:type="dxa"/>
            <w:shd w:val="clear" w:color="auto" w:fill="D0CECE" w:themeFill="background2" w:themeFillShade="E6"/>
          </w:tcPr>
          <w:p w14:paraId="3347E438"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134" w:type="dxa"/>
            <w:shd w:val="clear" w:color="auto" w:fill="D0CECE" w:themeFill="background2" w:themeFillShade="E6"/>
          </w:tcPr>
          <w:p w14:paraId="680B13E7"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134" w:type="dxa"/>
            <w:shd w:val="clear" w:color="auto" w:fill="D0CECE" w:themeFill="background2" w:themeFillShade="E6"/>
          </w:tcPr>
          <w:p w14:paraId="0C0783C6"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126" w:type="dxa"/>
            <w:shd w:val="clear" w:color="auto" w:fill="D0CECE" w:themeFill="background2" w:themeFillShade="E6"/>
          </w:tcPr>
          <w:p w14:paraId="17570A44" w14:textId="77777777" w:rsidR="00511657" w:rsidRPr="0096589C"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835" w:type="dxa"/>
            <w:shd w:val="clear" w:color="auto" w:fill="D0CECE" w:themeFill="background2" w:themeFillShade="E6"/>
          </w:tcPr>
          <w:p w14:paraId="01318330" w14:textId="77777777" w:rsidR="00511657" w:rsidRPr="007D1A72"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511657" w:rsidRPr="00AD52D3" w14:paraId="6D186460" w14:textId="77777777" w:rsidTr="00511657">
        <w:tc>
          <w:tcPr>
            <w:tcW w:w="1260" w:type="dxa"/>
            <w:shd w:val="clear" w:color="auto" w:fill="FFFFFF" w:themeFill="background1"/>
          </w:tcPr>
          <w:p w14:paraId="1D18515E"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Ito (2014)</w:t>
            </w:r>
          </w:p>
        </w:tc>
        <w:tc>
          <w:tcPr>
            <w:tcW w:w="3402" w:type="dxa"/>
            <w:shd w:val="clear" w:color="auto" w:fill="FFFFFF" w:themeFill="background1"/>
          </w:tcPr>
          <w:p w14:paraId="04E75499" w14:textId="6A0A7BEE" w:rsidR="001B1FD6" w:rsidRDefault="001B1FD6"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Cases:</w:t>
            </w:r>
          </w:p>
          <w:p w14:paraId="48F64DDA" w14:textId="77777777" w:rsidR="00511657" w:rsidRPr="005C54CB"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55 patients with cognitive disorders (mean age: 73 years; mean MMSE: 19.3</w:t>
            </w:r>
            <w:r>
              <w:rPr>
                <w:rFonts w:ascii="Arial Narrow" w:eastAsia="Times New Roman" w:hAnsi="Arial Narrow" w:cs="Times New Roman"/>
                <w:sz w:val="20"/>
                <w:szCs w:val="24"/>
                <w:vertAlign w:val="superscript"/>
              </w:rPr>
              <w:t>a</w:t>
            </w:r>
            <w:r>
              <w:rPr>
                <w:rFonts w:ascii="Arial Narrow" w:eastAsia="Times New Roman" w:hAnsi="Arial Narrow" w:cs="Times New Roman"/>
                <w:sz w:val="20"/>
                <w:szCs w:val="24"/>
              </w:rPr>
              <w:t xml:space="preserve">). </w:t>
            </w:r>
          </w:p>
        </w:tc>
        <w:tc>
          <w:tcPr>
            <w:tcW w:w="1276" w:type="dxa"/>
            <w:shd w:val="clear" w:color="auto" w:fill="FFFFFF" w:themeFill="background1"/>
          </w:tcPr>
          <w:p w14:paraId="2C1581B5"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FDG-PET</w:t>
            </w:r>
          </w:p>
        </w:tc>
        <w:tc>
          <w:tcPr>
            <w:tcW w:w="1134" w:type="dxa"/>
            <w:shd w:val="clear" w:color="auto" w:fill="FFFFFF" w:themeFill="background1"/>
          </w:tcPr>
          <w:p w14:paraId="501DCA9B"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ECD-SPECT</w:t>
            </w:r>
          </w:p>
        </w:tc>
        <w:tc>
          <w:tcPr>
            <w:tcW w:w="1134" w:type="dxa"/>
            <w:shd w:val="clear" w:color="auto" w:fill="FFFFFF" w:themeFill="background1"/>
          </w:tcPr>
          <w:p w14:paraId="21F26B96"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No</w:t>
            </w:r>
          </w:p>
        </w:tc>
        <w:tc>
          <w:tcPr>
            <w:tcW w:w="2126" w:type="dxa"/>
            <w:shd w:val="clear" w:color="auto" w:fill="FFFFFF" w:themeFill="background1"/>
          </w:tcPr>
          <w:p w14:paraId="6C1613B6" w14:textId="200091E8" w:rsidR="00511657" w:rsidRPr="001E5E38" w:rsidRDefault="00511657" w:rsidP="00511657">
            <w:pPr>
              <w:spacing w:after="0"/>
              <w:ind w:left="0"/>
              <w:contextualSpacing/>
              <w:rPr>
                <w:rFonts w:ascii="Arial Narrow" w:eastAsia="Times New Roman" w:hAnsi="Arial Narrow" w:cs="Times New Roman"/>
                <w:sz w:val="20"/>
                <w:szCs w:val="24"/>
              </w:rPr>
            </w:pPr>
            <w:r w:rsidRPr="0096589C">
              <w:rPr>
                <w:rFonts w:ascii="Arial Narrow" w:eastAsia="Times New Roman" w:hAnsi="Arial Narrow" w:cs="Times New Roman"/>
                <w:sz w:val="20"/>
                <w:szCs w:val="24"/>
              </w:rPr>
              <w:t xml:space="preserve">Clinical diagnosis according to NIA-AA research criteria, using neuronal injury markers such as MRI, functional imaging, and </w:t>
            </w:r>
            <w:r w:rsidRPr="0096589C">
              <w:rPr>
                <w:rFonts w:ascii="Arial Narrow" w:eastAsia="Times New Roman" w:hAnsi="Arial Narrow" w:cs="Times New Roman"/>
                <w:sz w:val="20"/>
                <w:szCs w:val="24"/>
                <w:vertAlign w:val="superscript"/>
              </w:rPr>
              <w:t>11</w:t>
            </w:r>
            <w:r w:rsidRPr="0096589C">
              <w:rPr>
                <w:rFonts w:ascii="Arial Narrow" w:eastAsia="Times New Roman" w:hAnsi="Arial Narrow" w:cs="Times New Roman"/>
                <w:sz w:val="20"/>
                <w:szCs w:val="24"/>
              </w:rPr>
              <w:t>C-PiB PET</w:t>
            </w:r>
            <w:r>
              <w:rPr>
                <w:rFonts w:ascii="Arial Narrow" w:eastAsia="Times New Roman" w:hAnsi="Arial Narrow" w:cs="Times New Roman"/>
                <w:sz w:val="20"/>
                <w:szCs w:val="24"/>
                <w:vertAlign w:val="superscript"/>
              </w:rPr>
              <w:t>b</w:t>
            </w:r>
            <w:r w:rsidRPr="0096589C">
              <w:rPr>
                <w:rFonts w:ascii="Arial Narrow" w:eastAsia="Times New Roman" w:hAnsi="Arial Narrow" w:cs="Times New Roman"/>
                <w:sz w:val="20"/>
                <w:szCs w:val="24"/>
              </w:rPr>
              <w:t>.</w:t>
            </w:r>
            <w:r>
              <w:rPr>
                <w:rFonts w:ascii="Arial Narrow" w:eastAsia="Times New Roman" w:hAnsi="Arial Narrow" w:cs="Times New Roman"/>
                <w:sz w:val="20"/>
                <w:szCs w:val="24"/>
              </w:rPr>
              <w:t xml:space="preserve"> DLB and </w:t>
            </w:r>
            <w:r w:rsidR="00BD65E4">
              <w:rPr>
                <w:rFonts w:ascii="Arial Narrow" w:eastAsia="Times New Roman" w:hAnsi="Arial Narrow" w:cs="Times New Roman"/>
                <w:sz w:val="20"/>
                <w:szCs w:val="24"/>
              </w:rPr>
              <w:t>FTD</w:t>
            </w:r>
            <w:r>
              <w:rPr>
                <w:rFonts w:ascii="Arial Narrow" w:eastAsia="Times New Roman" w:hAnsi="Arial Narrow" w:cs="Times New Roman"/>
                <w:sz w:val="20"/>
                <w:szCs w:val="24"/>
              </w:rPr>
              <w:t xml:space="preserve"> were diagnosed according to established criteria. </w:t>
            </w:r>
          </w:p>
        </w:tc>
        <w:tc>
          <w:tcPr>
            <w:tcW w:w="2835" w:type="dxa"/>
            <w:shd w:val="clear" w:color="auto" w:fill="FFFFFF" w:themeFill="background1"/>
          </w:tcPr>
          <w:p w14:paraId="25FF0C21" w14:textId="506C6571" w:rsidR="00511657" w:rsidRDefault="00511657" w:rsidP="00511657">
            <w:pPr>
              <w:spacing w:after="0"/>
              <w:ind w:left="0"/>
              <w:contextualSpacing/>
              <w:rPr>
                <w:rFonts w:ascii="Arial Narrow" w:eastAsia="Times New Roman" w:hAnsi="Arial Narrow" w:cs="Times New Roman"/>
                <w:sz w:val="20"/>
                <w:szCs w:val="24"/>
              </w:rPr>
            </w:pPr>
            <w:r w:rsidRPr="00CC028F">
              <w:rPr>
                <w:rFonts w:ascii="Arial Narrow" w:eastAsia="Times New Roman" w:hAnsi="Arial Narrow" w:cs="Times New Roman"/>
                <w:sz w:val="20"/>
                <w:szCs w:val="24"/>
              </w:rPr>
              <w:t>The diagnos</w:t>
            </w:r>
            <w:r w:rsidR="00934CF0">
              <w:rPr>
                <w:rFonts w:ascii="Arial Narrow" w:eastAsia="Times New Roman" w:hAnsi="Arial Narrow" w:cs="Times New Roman"/>
                <w:sz w:val="20"/>
                <w:szCs w:val="24"/>
              </w:rPr>
              <w:t>i</w:t>
            </w:r>
            <w:r w:rsidRPr="00CC028F">
              <w:rPr>
                <w:rFonts w:ascii="Arial Narrow" w:eastAsia="Times New Roman" w:hAnsi="Arial Narrow" w:cs="Times New Roman"/>
                <w:sz w:val="20"/>
                <w:szCs w:val="24"/>
              </w:rPr>
              <w:t>s was made by a team of board-certified dementia specialists.</w:t>
            </w:r>
          </w:p>
          <w:p w14:paraId="44810DC1" w14:textId="77777777" w:rsidR="00511657" w:rsidRDefault="00511657" w:rsidP="00511657">
            <w:pPr>
              <w:spacing w:after="0"/>
              <w:ind w:left="0"/>
              <w:contextualSpacing/>
              <w:rPr>
                <w:rFonts w:ascii="Arial Narrow" w:eastAsia="Times New Roman" w:hAnsi="Arial Narrow" w:cs="Times New Roman"/>
                <w:sz w:val="20"/>
                <w:szCs w:val="24"/>
              </w:rPr>
            </w:pPr>
          </w:p>
          <w:p w14:paraId="25F96EB2" w14:textId="67D17F3D" w:rsidR="00511657" w:rsidRPr="007D1A72"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 xml:space="preserve">Patients were categorised into </w:t>
            </w:r>
            <w:r w:rsidRPr="007D1A72">
              <w:rPr>
                <w:rFonts w:ascii="Arial Narrow" w:eastAsia="Times New Roman" w:hAnsi="Arial Narrow" w:cs="Times New Roman"/>
                <w:sz w:val="20"/>
                <w:szCs w:val="24"/>
              </w:rPr>
              <w:t xml:space="preserve">four </w:t>
            </w:r>
            <w:r>
              <w:rPr>
                <w:rFonts w:ascii="Arial Narrow" w:eastAsia="Times New Roman" w:hAnsi="Arial Narrow" w:cs="Times New Roman"/>
                <w:sz w:val="20"/>
                <w:szCs w:val="24"/>
              </w:rPr>
              <w:t>groups</w:t>
            </w:r>
            <w:r w:rsidRPr="007D1A72">
              <w:rPr>
                <w:rFonts w:ascii="Arial Narrow" w:eastAsia="Times New Roman" w:hAnsi="Arial Narrow" w:cs="Times New Roman"/>
                <w:sz w:val="20"/>
                <w:szCs w:val="24"/>
              </w:rPr>
              <w:t xml:space="preserve"> (AD, MCI, DLB, and </w:t>
            </w:r>
            <w:r w:rsidR="00BD65E4">
              <w:rPr>
                <w:rFonts w:ascii="Arial Narrow" w:eastAsia="Times New Roman" w:hAnsi="Arial Narrow" w:cs="Times New Roman"/>
                <w:sz w:val="20"/>
                <w:szCs w:val="24"/>
              </w:rPr>
              <w:t>FTD</w:t>
            </w:r>
            <w:r w:rsidRPr="007D1A72">
              <w:rPr>
                <w:rFonts w:ascii="Arial Narrow" w:eastAsia="Times New Roman" w:hAnsi="Arial Narrow" w:cs="Times New Roman"/>
                <w:sz w:val="20"/>
                <w:szCs w:val="24"/>
              </w:rPr>
              <w:t>). T</w:t>
            </w:r>
            <w:r>
              <w:rPr>
                <w:rFonts w:ascii="Arial Narrow" w:eastAsia="Times New Roman" w:hAnsi="Arial Narrow" w:cs="Times New Roman"/>
                <w:sz w:val="20"/>
                <w:szCs w:val="24"/>
              </w:rPr>
              <w:t>o evaluate diagnostic accuracy, t</w:t>
            </w:r>
            <w:r w:rsidRPr="007D1A72">
              <w:rPr>
                <w:rFonts w:ascii="Arial Narrow" w:eastAsia="Times New Roman" w:hAnsi="Arial Narrow" w:cs="Times New Roman"/>
                <w:sz w:val="20"/>
                <w:szCs w:val="24"/>
              </w:rPr>
              <w:t>he four categories were</w:t>
            </w:r>
            <w:r>
              <w:rPr>
                <w:rFonts w:ascii="Arial Narrow" w:eastAsia="Times New Roman" w:hAnsi="Arial Narrow" w:cs="Times New Roman"/>
                <w:sz w:val="20"/>
                <w:szCs w:val="24"/>
              </w:rPr>
              <w:t xml:space="preserve"> condensed </w:t>
            </w:r>
            <w:r w:rsidRPr="007D1A72">
              <w:rPr>
                <w:rFonts w:ascii="Arial Narrow" w:eastAsia="Times New Roman" w:hAnsi="Arial Narrow" w:cs="Times New Roman"/>
                <w:sz w:val="20"/>
                <w:szCs w:val="24"/>
              </w:rPr>
              <w:t>into two categories, “AD and MCI” and “no</w:t>
            </w:r>
            <w:r>
              <w:rPr>
                <w:rFonts w:ascii="Arial Narrow" w:eastAsia="Times New Roman" w:hAnsi="Arial Narrow" w:cs="Times New Roman"/>
                <w:sz w:val="20"/>
                <w:szCs w:val="24"/>
              </w:rPr>
              <w:t>n-AD”.</w:t>
            </w:r>
          </w:p>
        </w:tc>
      </w:tr>
      <w:tr w:rsidR="00511657" w:rsidRPr="00AD52D3" w14:paraId="767DDEA6" w14:textId="77777777" w:rsidTr="00511657">
        <w:tc>
          <w:tcPr>
            <w:tcW w:w="1260" w:type="dxa"/>
            <w:shd w:val="clear" w:color="auto" w:fill="FFFFFF" w:themeFill="background1"/>
          </w:tcPr>
          <w:p w14:paraId="5BCF9C2D"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D</w:t>
            </w:r>
            <w:r w:rsidRPr="00646354">
              <w:rPr>
                <w:rFonts w:ascii="Arial Narrow" w:eastAsia="Times New Roman" w:hAnsi="Arial Narrow" w:cs="Times New Roman"/>
                <w:sz w:val="20"/>
                <w:szCs w:val="24"/>
              </w:rPr>
              <w:t>ö</w:t>
            </w:r>
            <w:r w:rsidRPr="00AD52D3">
              <w:rPr>
                <w:rFonts w:ascii="Arial Narrow" w:eastAsia="Times New Roman" w:hAnsi="Arial Narrow" w:cs="Times New Roman"/>
                <w:sz w:val="20"/>
                <w:szCs w:val="24"/>
              </w:rPr>
              <w:t>bert (2005)</w:t>
            </w:r>
          </w:p>
        </w:tc>
        <w:tc>
          <w:tcPr>
            <w:tcW w:w="3402" w:type="dxa"/>
            <w:shd w:val="clear" w:color="auto" w:fill="FFFFFF" w:themeFill="background1"/>
          </w:tcPr>
          <w:p w14:paraId="23D9306D" w14:textId="499810CA" w:rsidR="00C37318" w:rsidRDefault="00C37318"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Cases:</w:t>
            </w:r>
          </w:p>
          <w:p w14:paraId="502B2797" w14:textId="77777777" w:rsidR="00406035"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 xml:space="preserve">24 patients with suspected early dementia </w:t>
            </w:r>
            <w:r w:rsidRPr="00B267A9">
              <w:rPr>
                <w:rFonts w:ascii="Arial Narrow" w:eastAsia="Times New Roman" w:hAnsi="Arial Narrow" w:cs="Times New Roman"/>
                <w:sz w:val="20"/>
                <w:szCs w:val="24"/>
              </w:rPr>
              <w:t>(mean age: 69 years; mean MMSE: 22.9)</w:t>
            </w:r>
            <w:r>
              <w:rPr>
                <w:rFonts w:ascii="Arial Narrow" w:eastAsia="Times New Roman" w:hAnsi="Arial Narrow" w:cs="Times New Roman"/>
                <w:sz w:val="20"/>
                <w:szCs w:val="24"/>
              </w:rPr>
              <w:t xml:space="preserve">. </w:t>
            </w:r>
          </w:p>
          <w:p w14:paraId="46A75A5E" w14:textId="229A991C"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 xml:space="preserve">12 patients </w:t>
            </w:r>
            <w:r w:rsidRPr="001B65BF">
              <w:rPr>
                <w:rFonts w:ascii="Arial Narrow" w:eastAsia="Times New Roman" w:hAnsi="Arial Narrow" w:cs="Times New Roman"/>
                <w:sz w:val="20"/>
                <w:szCs w:val="24"/>
              </w:rPr>
              <w:t xml:space="preserve">fulfilled criteria for </w:t>
            </w:r>
            <w:r>
              <w:rPr>
                <w:rFonts w:ascii="Arial Narrow" w:eastAsia="Times New Roman" w:hAnsi="Arial Narrow" w:cs="Times New Roman"/>
                <w:sz w:val="20"/>
                <w:szCs w:val="24"/>
              </w:rPr>
              <w:t>mild dementia (defined as CDR of 1 and MMSE &lt;23); the other 12 patients had MCI (defined as CDR of 0.5 and MMSE ≥23)</w:t>
            </w:r>
          </w:p>
        </w:tc>
        <w:tc>
          <w:tcPr>
            <w:tcW w:w="1276" w:type="dxa"/>
            <w:shd w:val="clear" w:color="auto" w:fill="FFFFFF" w:themeFill="background1"/>
          </w:tcPr>
          <w:p w14:paraId="1D4290D5"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FDG-PET</w:t>
            </w:r>
          </w:p>
        </w:tc>
        <w:tc>
          <w:tcPr>
            <w:tcW w:w="1134" w:type="dxa"/>
            <w:shd w:val="clear" w:color="auto" w:fill="FFFFFF" w:themeFill="background1"/>
          </w:tcPr>
          <w:p w14:paraId="1DBAF633"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HMPAO-SPECT</w:t>
            </w:r>
          </w:p>
        </w:tc>
        <w:tc>
          <w:tcPr>
            <w:tcW w:w="1134" w:type="dxa"/>
            <w:shd w:val="clear" w:color="auto" w:fill="FFFFFF" w:themeFill="background1"/>
          </w:tcPr>
          <w:p w14:paraId="2883CC8F" w14:textId="7FF4BD65" w:rsidR="00511657" w:rsidRPr="00242F06" w:rsidRDefault="00242F06"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No</w:t>
            </w:r>
            <w:r>
              <w:rPr>
                <w:rFonts w:ascii="Arial Narrow" w:eastAsia="Times New Roman" w:hAnsi="Arial Narrow" w:cs="Times New Roman"/>
                <w:sz w:val="20"/>
                <w:szCs w:val="24"/>
                <w:vertAlign w:val="superscript"/>
              </w:rPr>
              <w:t>c</w:t>
            </w:r>
          </w:p>
        </w:tc>
        <w:tc>
          <w:tcPr>
            <w:tcW w:w="2126" w:type="dxa"/>
            <w:shd w:val="clear" w:color="auto" w:fill="FFFFFF" w:themeFill="background1"/>
          </w:tcPr>
          <w:p w14:paraId="634B4F1B" w14:textId="77777777" w:rsidR="00511657" w:rsidRPr="00AD52D3" w:rsidRDefault="00511657" w:rsidP="00511657">
            <w:pPr>
              <w:spacing w:after="0"/>
              <w:ind w:left="0"/>
              <w:contextualSpacing/>
              <w:rPr>
                <w:rFonts w:ascii="Arial Narrow" w:eastAsia="Times New Roman" w:hAnsi="Arial Narrow" w:cs="Times New Roman"/>
                <w:sz w:val="20"/>
                <w:szCs w:val="24"/>
              </w:rPr>
            </w:pPr>
            <w:r w:rsidRPr="00AD52D3">
              <w:rPr>
                <w:rFonts w:ascii="Arial Narrow" w:eastAsia="Times New Roman" w:hAnsi="Arial Narrow" w:cs="Times New Roman"/>
                <w:sz w:val="20"/>
                <w:szCs w:val="24"/>
              </w:rPr>
              <w:t>Final diagnosis</w:t>
            </w:r>
            <w:r>
              <w:rPr>
                <w:rFonts w:ascii="Arial Narrow" w:eastAsia="Times New Roman" w:hAnsi="Arial Narrow" w:cs="Times New Roman"/>
                <w:sz w:val="20"/>
                <w:szCs w:val="24"/>
              </w:rPr>
              <w:t xml:space="preserve"> at follow-up (mean 16 ± 12 months) based on clinical judgement by a multiprofessional team (i.e. consensus diagnosis).</w:t>
            </w:r>
          </w:p>
        </w:tc>
        <w:tc>
          <w:tcPr>
            <w:tcW w:w="2835" w:type="dxa"/>
            <w:shd w:val="clear" w:color="auto" w:fill="FFFFFF" w:themeFill="background1"/>
          </w:tcPr>
          <w:p w14:paraId="5B26B1BF" w14:textId="77777777" w:rsidR="00511657" w:rsidRPr="00AD52D3"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 xml:space="preserve">FDG-PET and HMPAO-SPECT scans were read blinded to clinical examination results by two experienced nuclear medicine physicians who reached a consensus diagnosis. </w:t>
            </w:r>
          </w:p>
        </w:tc>
      </w:tr>
      <w:tr w:rsidR="00511657" w:rsidRPr="00AD52D3" w14:paraId="08DC00FF" w14:textId="77777777" w:rsidTr="00511657">
        <w:tc>
          <w:tcPr>
            <w:tcW w:w="1260" w:type="dxa"/>
            <w:shd w:val="clear" w:color="auto" w:fill="D0CECE" w:themeFill="background2" w:themeFillShade="E6"/>
          </w:tcPr>
          <w:p w14:paraId="55D38695"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AD</w:t>
            </w:r>
          </w:p>
        </w:tc>
        <w:tc>
          <w:tcPr>
            <w:tcW w:w="3402" w:type="dxa"/>
            <w:shd w:val="clear" w:color="auto" w:fill="D0CECE" w:themeFill="background2" w:themeFillShade="E6"/>
          </w:tcPr>
          <w:p w14:paraId="2EDEDAC5" w14:textId="77777777" w:rsidR="00511657" w:rsidRPr="00CC028F" w:rsidRDefault="00511657" w:rsidP="00511657">
            <w:pPr>
              <w:spacing w:after="0"/>
              <w:ind w:left="0"/>
              <w:rPr>
                <w:rFonts w:ascii="Arial Narrow" w:eastAsia="Times New Roman" w:hAnsi="Arial Narrow" w:cs="Times New Roman"/>
                <w:sz w:val="20"/>
                <w:szCs w:val="24"/>
              </w:rPr>
            </w:pPr>
            <w:r w:rsidRPr="00CC028F">
              <w:rPr>
                <w:rFonts w:ascii="Arial Narrow" w:eastAsia="Times New Roman" w:hAnsi="Arial Narrow" w:cs="Times New Roman"/>
                <w:sz w:val="20"/>
                <w:szCs w:val="24"/>
              </w:rPr>
              <w:t>-</w:t>
            </w:r>
          </w:p>
        </w:tc>
        <w:tc>
          <w:tcPr>
            <w:tcW w:w="1276" w:type="dxa"/>
            <w:shd w:val="clear" w:color="auto" w:fill="D0CECE" w:themeFill="background2" w:themeFillShade="E6"/>
          </w:tcPr>
          <w:p w14:paraId="367B8CD6"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134" w:type="dxa"/>
            <w:shd w:val="clear" w:color="auto" w:fill="D0CECE" w:themeFill="background2" w:themeFillShade="E6"/>
          </w:tcPr>
          <w:p w14:paraId="3CD6BC58"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1134" w:type="dxa"/>
            <w:shd w:val="clear" w:color="auto" w:fill="D0CECE" w:themeFill="background2" w:themeFillShade="E6"/>
          </w:tcPr>
          <w:p w14:paraId="15044434"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126" w:type="dxa"/>
            <w:shd w:val="clear" w:color="auto" w:fill="D0CECE" w:themeFill="background2" w:themeFillShade="E6"/>
          </w:tcPr>
          <w:p w14:paraId="5FB93643" w14:textId="77777777" w:rsidR="00511657"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835" w:type="dxa"/>
            <w:shd w:val="clear" w:color="auto" w:fill="D0CECE" w:themeFill="background2" w:themeFillShade="E6"/>
          </w:tcPr>
          <w:p w14:paraId="5F638B18" w14:textId="77777777" w:rsidR="00511657" w:rsidRPr="007D1A72"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511657" w:rsidRPr="00AD52D3" w14:paraId="473FC0DB" w14:textId="77777777" w:rsidTr="00511657">
        <w:tc>
          <w:tcPr>
            <w:tcW w:w="1260" w:type="dxa"/>
            <w:shd w:val="clear" w:color="auto" w:fill="FFFFFF" w:themeFill="background1"/>
          </w:tcPr>
          <w:p w14:paraId="7B1EF1FA"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Nihashi (2007)</w:t>
            </w:r>
          </w:p>
        </w:tc>
        <w:tc>
          <w:tcPr>
            <w:tcW w:w="3402" w:type="dxa"/>
            <w:shd w:val="clear" w:color="auto" w:fill="FFFFFF" w:themeFill="background1"/>
          </w:tcPr>
          <w:p w14:paraId="6D35FEA0" w14:textId="77777777" w:rsidR="00511657" w:rsidRPr="00C5751B" w:rsidRDefault="00511657" w:rsidP="00511657">
            <w:pPr>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Cases:</w:t>
            </w:r>
          </w:p>
          <w:p w14:paraId="4B76353D"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14 patients with probable moderate AD (NINCDS-ADRDA criteria; mean age</w:t>
            </w:r>
            <w:r w:rsidRPr="00C370DB">
              <w:rPr>
                <w:rFonts w:ascii="Arial Narrow" w:eastAsia="Times New Roman" w:hAnsi="Arial Narrow" w:cs="Times New Roman"/>
                <w:sz w:val="20"/>
                <w:szCs w:val="24"/>
              </w:rPr>
              <w:t>: 70 years</w:t>
            </w:r>
            <w:r>
              <w:rPr>
                <w:rFonts w:ascii="Arial Narrow" w:eastAsia="Times New Roman" w:hAnsi="Arial Narrow" w:cs="Times New Roman"/>
                <w:sz w:val="20"/>
                <w:szCs w:val="24"/>
              </w:rPr>
              <w:t>; mean MMSE: 18.8)</w:t>
            </w:r>
          </w:p>
          <w:p w14:paraId="10E53B68" w14:textId="77777777" w:rsidR="00511657" w:rsidRPr="00C5751B" w:rsidRDefault="00511657" w:rsidP="00511657">
            <w:pPr>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PET c</w:t>
            </w:r>
            <w:r w:rsidRPr="00C5751B">
              <w:rPr>
                <w:rFonts w:ascii="Arial Narrow" w:eastAsia="Times New Roman" w:hAnsi="Arial Narrow" w:cs="Times New Roman"/>
                <w:sz w:val="20"/>
                <w:szCs w:val="24"/>
                <w:u w:val="single"/>
              </w:rPr>
              <w:t>ontrols:</w:t>
            </w:r>
          </w:p>
          <w:p w14:paraId="4524BAE1"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7 normal controls (mean age 61 years)</w:t>
            </w:r>
          </w:p>
          <w:p w14:paraId="2D222920" w14:textId="77777777" w:rsidR="00511657" w:rsidRDefault="00511657" w:rsidP="00511657">
            <w:pPr>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SPECT controls:</w:t>
            </w:r>
          </w:p>
          <w:p w14:paraId="12906CDF" w14:textId="77777777" w:rsidR="00511657" w:rsidRPr="00F81D5F"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9 normal controls (mean age 70 years)</w:t>
            </w:r>
          </w:p>
        </w:tc>
        <w:tc>
          <w:tcPr>
            <w:tcW w:w="1276" w:type="dxa"/>
            <w:shd w:val="clear" w:color="auto" w:fill="FFFFFF" w:themeFill="background1"/>
          </w:tcPr>
          <w:p w14:paraId="49AD5BFC"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FDG-PET</w:t>
            </w:r>
          </w:p>
        </w:tc>
        <w:tc>
          <w:tcPr>
            <w:tcW w:w="1134" w:type="dxa"/>
            <w:shd w:val="clear" w:color="auto" w:fill="FFFFFF" w:themeFill="background1"/>
          </w:tcPr>
          <w:p w14:paraId="1AAEBC80"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IMP-SPECT</w:t>
            </w:r>
          </w:p>
        </w:tc>
        <w:tc>
          <w:tcPr>
            <w:tcW w:w="1134" w:type="dxa"/>
            <w:shd w:val="clear" w:color="auto" w:fill="FFFFFF" w:themeFill="background1"/>
          </w:tcPr>
          <w:p w14:paraId="3C8227D5"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Yes</w:t>
            </w:r>
          </w:p>
        </w:tc>
        <w:tc>
          <w:tcPr>
            <w:tcW w:w="2126" w:type="dxa"/>
            <w:shd w:val="clear" w:color="auto" w:fill="FFFFFF" w:themeFill="background1"/>
          </w:tcPr>
          <w:p w14:paraId="683EEC18" w14:textId="77777777" w:rsidR="00511657" w:rsidRPr="00AD52D3"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No reference standard.</w:t>
            </w:r>
          </w:p>
        </w:tc>
        <w:tc>
          <w:tcPr>
            <w:tcW w:w="2835" w:type="dxa"/>
            <w:shd w:val="clear" w:color="auto" w:fill="FFFFFF" w:themeFill="background1"/>
          </w:tcPr>
          <w:p w14:paraId="50F44D21" w14:textId="721535D3" w:rsidR="00511657" w:rsidRPr="007D1A72" w:rsidRDefault="00511657" w:rsidP="00934CF0">
            <w:pPr>
              <w:spacing w:after="0"/>
              <w:ind w:left="0"/>
              <w:contextualSpacing/>
              <w:rPr>
                <w:rFonts w:ascii="Arial Narrow" w:eastAsia="Times New Roman" w:hAnsi="Arial Narrow" w:cs="Times New Roman"/>
                <w:sz w:val="20"/>
                <w:szCs w:val="24"/>
              </w:rPr>
            </w:pPr>
            <w:r w:rsidRPr="007D1A72">
              <w:rPr>
                <w:rFonts w:ascii="Arial Narrow" w:eastAsia="Times New Roman" w:hAnsi="Arial Narrow" w:cs="Times New Roman"/>
                <w:sz w:val="20"/>
                <w:szCs w:val="24"/>
              </w:rPr>
              <w:t>Study compare</w:t>
            </w:r>
            <w:r>
              <w:rPr>
                <w:rFonts w:ascii="Arial Narrow" w:eastAsia="Times New Roman" w:hAnsi="Arial Narrow" w:cs="Times New Roman"/>
                <w:sz w:val="20"/>
                <w:szCs w:val="24"/>
              </w:rPr>
              <w:t>d</w:t>
            </w:r>
            <w:r w:rsidRPr="007D1A72">
              <w:rPr>
                <w:rFonts w:ascii="Arial Narrow" w:eastAsia="Times New Roman" w:hAnsi="Arial Narrow" w:cs="Times New Roman"/>
                <w:sz w:val="20"/>
                <w:szCs w:val="24"/>
              </w:rPr>
              <w:t xml:space="preserve"> the ability to discriminate an AD pattern</w:t>
            </w:r>
            <w:r w:rsidR="00934CF0">
              <w:rPr>
                <w:rFonts w:ascii="Arial Narrow" w:eastAsia="Times New Roman" w:hAnsi="Arial Narrow" w:cs="Times New Roman"/>
                <w:sz w:val="20"/>
                <w:szCs w:val="24"/>
              </w:rPr>
              <w:t xml:space="preserve"> of metabolism</w:t>
            </w:r>
            <w:r w:rsidRPr="007D1A72">
              <w:rPr>
                <w:rFonts w:ascii="Arial Narrow" w:eastAsia="Times New Roman" w:hAnsi="Arial Narrow" w:cs="Times New Roman"/>
                <w:sz w:val="20"/>
                <w:szCs w:val="24"/>
              </w:rPr>
              <w:t xml:space="preserve"> from </w:t>
            </w:r>
            <w:r w:rsidR="00934CF0">
              <w:rPr>
                <w:rFonts w:ascii="Arial Narrow" w:eastAsia="Times New Roman" w:hAnsi="Arial Narrow" w:cs="Times New Roman"/>
                <w:sz w:val="20"/>
                <w:szCs w:val="24"/>
              </w:rPr>
              <w:t>normal metabolism</w:t>
            </w:r>
            <w:r>
              <w:rPr>
                <w:rFonts w:ascii="Arial Narrow" w:eastAsia="Times New Roman" w:hAnsi="Arial Narrow" w:cs="Times New Roman"/>
                <w:sz w:val="20"/>
                <w:szCs w:val="24"/>
              </w:rPr>
              <w:t xml:space="preserve"> in </w:t>
            </w:r>
            <w:r w:rsidRPr="007F47EC">
              <w:rPr>
                <w:rFonts w:ascii="Arial Narrow" w:eastAsia="Times New Roman" w:hAnsi="Arial Narrow" w:cs="Times New Roman"/>
                <w:sz w:val="20"/>
                <w:szCs w:val="24"/>
              </w:rPr>
              <w:t>posterior cingulate gyri-precunei and parietotemporal regions</w:t>
            </w:r>
            <w:r w:rsidRPr="007D1A72">
              <w:rPr>
                <w:rFonts w:ascii="Arial Narrow" w:eastAsia="Times New Roman" w:hAnsi="Arial Narrow" w:cs="Times New Roman"/>
                <w:sz w:val="20"/>
                <w:szCs w:val="24"/>
              </w:rPr>
              <w:t xml:space="preserve"> using a 3D-SSP analysis</w:t>
            </w:r>
            <w:r>
              <w:rPr>
                <w:rFonts w:ascii="Arial Narrow" w:eastAsia="Times New Roman" w:hAnsi="Arial Narrow" w:cs="Times New Roman"/>
                <w:sz w:val="20"/>
                <w:szCs w:val="24"/>
              </w:rPr>
              <w:t xml:space="preserve"> of FDG-PET and IMP-SPECT. Interpreted by four expert physicians.</w:t>
            </w:r>
          </w:p>
        </w:tc>
      </w:tr>
      <w:tr w:rsidR="00511657" w:rsidRPr="00AD52D3" w14:paraId="798CBDF6" w14:textId="77777777" w:rsidTr="00511657">
        <w:tc>
          <w:tcPr>
            <w:tcW w:w="1260" w:type="dxa"/>
            <w:shd w:val="clear" w:color="auto" w:fill="FFFFFF" w:themeFill="background1"/>
          </w:tcPr>
          <w:p w14:paraId="73D6718A"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lastRenderedPageBreak/>
              <w:t>Herholz (2002)</w:t>
            </w:r>
          </w:p>
        </w:tc>
        <w:tc>
          <w:tcPr>
            <w:tcW w:w="3402" w:type="dxa"/>
            <w:shd w:val="clear" w:color="auto" w:fill="FFFFFF" w:themeFill="background1"/>
          </w:tcPr>
          <w:p w14:paraId="04CEAF20" w14:textId="77777777" w:rsidR="00511657" w:rsidRDefault="00511657" w:rsidP="00511657">
            <w:pPr>
              <w:keepNext/>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Cases:</w:t>
            </w:r>
          </w:p>
          <w:p w14:paraId="082118FF" w14:textId="77777777" w:rsidR="00511657" w:rsidRDefault="00511657" w:rsidP="00511657">
            <w:pPr>
              <w:keepNext/>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26 p</w:t>
            </w:r>
            <w:r w:rsidRPr="001B65BF">
              <w:rPr>
                <w:rFonts w:ascii="Arial Narrow" w:eastAsia="Times New Roman" w:hAnsi="Arial Narrow" w:cs="Times New Roman"/>
                <w:sz w:val="20"/>
                <w:szCs w:val="24"/>
              </w:rPr>
              <w:t>atients with</w:t>
            </w:r>
            <w:r>
              <w:rPr>
                <w:rFonts w:ascii="Arial Narrow" w:eastAsia="Times New Roman" w:hAnsi="Arial Narrow" w:cs="Times New Roman"/>
                <w:sz w:val="20"/>
                <w:szCs w:val="24"/>
              </w:rPr>
              <w:t xml:space="preserve"> probable AD</w:t>
            </w:r>
            <w:r w:rsidRPr="001B65BF">
              <w:rPr>
                <w:rFonts w:ascii="Arial Narrow" w:eastAsia="Times New Roman" w:hAnsi="Arial Narrow" w:cs="Times New Roman"/>
                <w:sz w:val="20"/>
                <w:szCs w:val="24"/>
              </w:rPr>
              <w:t xml:space="preserve"> </w:t>
            </w:r>
            <w:r>
              <w:rPr>
                <w:rFonts w:ascii="Arial Narrow" w:eastAsia="Times New Roman" w:hAnsi="Arial Narrow" w:cs="Times New Roman"/>
                <w:sz w:val="20"/>
                <w:szCs w:val="24"/>
              </w:rPr>
              <w:t>(</w:t>
            </w:r>
            <w:r w:rsidRPr="001B65BF">
              <w:rPr>
                <w:rFonts w:ascii="Arial Narrow" w:eastAsia="Times New Roman" w:hAnsi="Arial Narrow" w:cs="Times New Roman"/>
                <w:sz w:val="20"/>
                <w:szCs w:val="24"/>
              </w:rPr>
              <w:t>NINCDS-ADRDA</w:t>
            </w:r>
            <w:r>
              <w:rPr>
                <w:rFonts w:ascii="Arial Narrow" w:eastAsia="Times New Roman" w:hAnsi="Arial Narrow" w:cs="Times New Roman"/>
                <w:sz w:val="20"/>
                <w:szCs w:val="24"/>
              </w:rPr>
              <w:t xml:space="preserve"> criteria; mean age: 66 years; mean MMSE 22.5)</w:t>
            </w:r>
          </w:p>
          <w:p w14:paraId="78C8B537" w14:textId="77777777" w:rsidR="00511657" w:rsidRDefault="00511657" w:rsidP="00511657">
            <w:pPr>
              <w:keepNext/>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Controls:</w:t>
            </w:r>
          </w:p>
          <w:p w14:paraId="46DD033B" w14:textId="77777777" w:rsidR="00511657" w:rsidRPr="00AD52D3" w:rsidRDefault="00511657" w:rsidP="00511657">
            <w:pPr>
              <w:keepNext/>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6 healthy volunteers with normal results from neurologic and psychiatric examination and from neuropsychologic testing (mean age: 63; mean MMSE: NR)</w:t>
            </w:r>
          </w:p>
        </w:tc>
        <w:tc>
          <w:tcPr>
            <w:tcW w:w="1276" w:type="dxa"/>
            <w:shd w:val="clear" w:color="auto" w:fill="FFFFFF" w:themeFill="background1"/>
          </w:tcPr>
          <w:p w14:paraId="27D1B8D7"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FDG-PET</w:t>
            </w:r>
          </w:p>
        </w:tc>
        <w:tc>
          <w:tcPr>
            <w:tcW w:w="1134" w:type="dxa"/>
            <w:shd w:val="clear" w:color="auto" w:fill="FFFFFF" w:themeFill="background1"/>
          </w:tcPr>
          <w:p w14:paraId="33ACD1BE"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HMPAO-SPECT</w:t>
            </w:r>
          </w:p>
        </w:tc>
        <w:tc>
          <w:tcPr>
            <w:tcW w:w="1134" w:type="dxa"/>
            <w:shd w:val="clear" w:color="auto" w:fill="FFFFFF" w:themeFill="background1"/>
          </w:tcPr>
          <w:p w14:paraId="07F7445D"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Yes</w:t>
            </w:r>
          </w:p>
        </w:tc>
        <w:tc>
          <w:tcPr>
            <w:tcW w:w="2126" w:type="dxa"/>
            <w:shd w:val="clear" w:color="auto" w:fill="FFFFFF" w:themeFill="background1"/>
          </w:tcPr>
          <w:p w14:paraId="34064B33" w14:textId="77777777" w:rsidR="00511657" w:rsidRPr="00AD52D3" w:rsidRDefault="00511657" w:rsidP="00511657">
            <w:pPr>
              <w:keepNext/>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 xml:space="preserve">No reference standard. </w:t>
            </w:r>
          </w:p>
        </w:tc>
        <w:tc>
          <w:tcPr>
            <w:tcW w:w="2835" w:type="dxa"/>
            <w:shd w:val="clear" w:color="auto" w:fill="FFFFFF" w:themeFill="background1"/>
          </w:tcPr>
          <w:p w14:paraId="707FABD5" w14:textId="77777777" w:rsidR="00511657" w:rsidRDefault="00511657" w:rsidP="00511657">
            <w:pPr>
              <w:keepNext/>
              <w:spacing w:after="0"/>
              <w:ind w:left="0"/>
              <w:rPr>
                <w:rFonts w:ascii="Arial Narrow" w:eastAsia="Times New Roman" w:hAnsi="Arial Narrow" w:cs="Times New Roman"/>
                <w:sz w:val="20"/>
                <w:szCs w:val="24"/>
              </w:rPr>
            </w:pPr>
            <w:r w:rsidRPr="00EB6DCE">
              <w:rPr>
                <w:rFonts w:ascii="Arial Narrow" w:eastAsia="Times New Roman" w:hAnsi="Arial Narrow" w:cs="Times New Roman"/>
                <w:sz w:val="20"/>
                <w:szCs w:val="24"/>
              </w:rPr>
              <w:t>Patients had undergone</w:t>
            </w:r>
            <w:r>
              <w:rPr>
                <w:rFonts w:ascii="Arial Narrow" w:eastAsia="Times New Roman" w:hAnsi="Arial Narrow" w:cs="Times New Roman"/>
                <w:sz w:val="20"/>
                <w:szCs w:val="24"/>
              </w:rPr>
              <w:t xml:space="preserve"> CT or MRI to exclude structural brain lesions (e.g. tumours or hematomas).</w:t>
            </w:r>
          </w:p>
          <w:p w14:paraId="6CEFEF15" w14:textId="77777777" w:rsidR="00511657" w:rsidRDefault="00511657" w:rsidP="00511657">
            <w:pPr>
              <w:keepNext/>
              <w:spacing w:after="0"/>
              <w:ind w:left="0"/>
              <w:rPr>
                <w:rFonts w:ascii="Arial Narrow" w:eastAsia="Times New Roman" w:hAnsi="Arial Narrow" w:cs="Times New Roman"/>
                <w:sz w:val="20"/>
                <w:szCs w:val="24"/>
              </w:rPr>
            </w:pPr>
          </w:p>
          <w:p w14:paraId="4BB3D743" w14:textId="77777777" w:rsidR="00511657" w:rsidRDefault="00511657" w:rsidP="00511657">
            <w:pPr>
              <w:keepNext/>
              <w:spacing w:after="0"/>
              <w:ind w:left="0"/>
              <w:rPr>
                <w:rFonts w:ascii="Arial Narrow" w:eastAsia="Times New Roman" w:hAnsi="Arial Narrow" w:cs="Times New Roman"/>
                <w:sz w:val="20"/>
                <w:szCs w:val="24"/>
              </w:rPr>
            </w:pPr>
            <w:r w:rsidRPr="00D059B6">
              <w:rPr>
                <w:rFonts w:ascii="Arial Narrow" w:eastAsia="Times New Roman" w:hAnsi="Arial Narrow" w:cs="Times New Roman"/>
                <w:sz w:val="20"/>
                <w:szCs w:val="24"/>
              </w:rPr>
              <w:t xml:space="preserve">Statistical parametric mapping </w:t>
            </w:r>
            <w:r>
              <w:rPr>
                <w:rFonts w:ascii="Arial Narrow" w:eastAsia="Times New Roman" w:hAnsi="Arial Narrow" w:cs="Times New Roman"/>
                <w:sz w:val="20"/>
                <w:szCs w:val="24"/>
              </w:rPr>
              <w:t xml:space="preserve">was used to </w:t>
            </w:r>
            <w:r w:rsidRPr="00D059B6">
              <w:rPr>
                <w:rFonts w:ascii="Arial Narrow" w:eastAsia="Times New Roman" w:hAnsi="Arial Narrow" w:cs="Times New Roman"/>
                <w:sz w:val="20"/>
                <w:szCs w:val="24"/>
              </w:rPr>
              <w:t>compare abnormal brain areas objectively and quantitatively.</w:t>
            </w:r>
          </w:p>
          <w:p w14:paraId="4D560F10" w14:textId="77777777" w:rsidR="00511657" w:rsidRPr="00B5241B" w:rsidRDefault="00511657" w:rsidP="00511657">
            <w:pPr>
              <w:keepNext/>
              <w:spacing w:after="0"/>
              <w:ind w:left="0"/>
              <w:rPr>
                <w:rFonts w:ascii="Arial Narrow" w:eastAsia="Times New Roman" w:hAnsi="Arial Narrow" w:cs="Times New Roman"/>
                <w:sz w:val="20"/>
                <w:szCs w:val="24"/>
                <w:highlight w:val="yellow"/>
              </w:rPr>
            </w:pPr>
          </w:p>
        </w:tc>
      </w:tr>
      <w:tr w:rsidR="00511657" w:rsidRPr="00AD52D3" w14:paraId="70BB7C0E" w14:textId="77777777" w:rsidTr="00511657">
        <w:tc>
          <w:tcPr>
            <w:tcW w:w="1260" w:type="dxa"/>
            <w:shd w:val="clear" w:color="auto" w:fill="FFFFFF" w:themeFill="background1"/>
          </w:tcPr>
          <w:p w14:paraId="27608ED0"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Ishii (1999)</w:t>
            </w:r>
          </w:p>
        </w:tc>
        <w:tc>
          <w:tcPr>
            <w:tcW w:w="3402" w:type="dxa"/>
            <w:shd w:val="clear" w:color="auto" w:fill="FFFFFF" w:themeFill="background1"/>
          </w:tcPr>
          <w:p w14:paraId="04463E0A" w14:textId="78241C6E" w:rsidR="00934CF0" w:rsidRDefault="00934CF0"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Cases:</w:t>
            </w:r>
          </w:p>
          <w:p w14:paraId="3E53928F"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10 patients with suspected mild to moderate AD (</w:t>
            </w:r>
            <w:r w:rsidRPr="001B65BF">
              <w:rPr>
                <w:rFonts w:ascii="Arial Narrow" w:eastAsia="Times New Roman" w:hAnsi="Arial Narrow" w:cs="Times New Roman"/>
                <w:sz w:val="20"/>
                <w:szCs w:val="24"/>
              </w:rPr>
              <w:t xml:space="preserve">NINCDS-ADRDA </w:t>
            </w:r>
            <w:r>
              <w:rPr>
                <w:rFonts w:ascii="Arial Narrow" w:eastAsia="Times New Roman" w:hAnsi="Arial Narrow" w:cs="Times New Roman"/>
                <w:sz w:val="20"/>
                <w:szCs w:val="24"/>
              </w:rPr>
              <w:t>criteria; mean age: 71 years; mean MMSE 19.2)</w:t>
            </w:r>
          </w:p>
        </w:tc>
        <w:tc>
          <w:tcPr>
            <w:tcW w:w="1276" w:type="dxa"/>
            <w:shd w:val="clear" w:color="auto" w:fill="FFFFFF" w:themeFill="background1"/>
          </w:tcPr>
          <w:p w14:paraId="272A5F5A"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FDG-PET</w:t>
            </w:r>
          </w:p>
        </w:tc>
        <w:tc>
          <w:tcPr>
            <w:tcW w:w="1134" w:type="dxa"/>
            <w:shd w:val="clear" w:color="auto" w:fill="FFFFFF" w:themeFill="background1"/>
          </w:tcPr>
          <w:p w14:paraId="1F98CCA6"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ECD-SPECT</w:t>
            </w:r>
          </w:p>
        </w:tc>
        <w:tc>
          <w:tcPr>
            <w:tcW w:w="1134" w:type="dxa"/>
            <w:shd w:val="clear" w:color="auto" w:fill="FFFFFF" w:themeFill="background1"/>
          </w:tcPr>
          <w:p w14:paraId="43EFC4AF"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Yes</w:t>
            </w:r>
          </w:p>
        </w:tc>
        <w:tc>
          <w:tcPr>
            <w:tcW w:w="2126" w:type="dxa"/>
            <w:shd w:val="clear" w:color="auto" w:fill="FFFFFF" w:themeFill="background1"/>
          </w:tcPr>
          <w:p w14:paraId="6059593F" w14:textId="77777777" w:rsidR="00511657" w:rsidRPr="00AD52D3"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No reference standard.</w:t>
            </w:r>
          </w:p>
        </w:tc>
        <w:tc>
          <w:tcPr>
            <w:tcW w:w="2835" w:type="dxa"/>
            <w:shd w:val="clear" w:color="auto" w:fill="FFFFFF" w:themeFill="background1"/>
          </w:tcPr>
          <w:p w14:paraId="5EC1A066" w14:textId="77777777" w:rsidR="00511657" w:rsidRDefault="00511657" w:rsidP="00511657">
            <w:pPr>
              <w:spacing w:after="0"/>
              <w:ind w:left="0"/>
              <w:contextualSpacing/>
              <w:rPr>
                <w:rFonts w:ascii="Arial Narrow" w:eastAsia="Times New Roman" w:hAnsi="Arial Narrow" w:cs="Times New Roman"/>
                <w:sz w:val="20"/>
                <w:szCs w:val="24"/>
              </w:rPr>
            </w:pPr>
            <w:r w:rsidRPr="00211F98">
              <w:rPr>
                <w:rFonts w:ascii="Arial Narrow" w:eastAsia="Times New Roman" w:hAnsi="Arial Narrow" w:cs="Times New Roman"/>
                <w:sz w:val="20"/>
                <w:szCs w:val="24"/>
              </w:rPr>
              <w:t xml:space="preserve">Images were interpreted by one reader who was blinded to the patients’ clinical data. </w:t>
            </w:r>
          </w:p>
          <w:p w14:paraId="45335314" w14:textId="77777777" w:rsidR="00511657" w:rsidRDefault="00511657" w:rsidP="00511657">
            <w:pPr>
              <w:spacing w:after="0"/>
              <w:ind w:left="0"/>
              <w:contextualSpacing/>
              <w:rPr>
                <w:rFonts w:ascii="Arial Narrow" w:eastAsia="Times New Roman" w:hAnsi="Arial Narrow" w:cs="Times New Roman"/>
                <w:sz w:val="20"/>
                <w:szCs w:val="24"/>
              </w:rPr>
            </w:pPr>
          </w:p>
          <w:p w14:paraId="5D0700ED" w14:textId="77777777" w:rsidR="00511657" w:rsidRPr="00B5241B" w:rsidRDefault="00511657" w:rsidP="00511657">
            <w:pPr>
              <w:spacing w:after="0"/>
              <w:ind w:left="0"/>
              <w:contextualSpacing/>
              <w:rPr>
                <w:rFonts w:ascii="Arial Narrow" w:eastAsia="Times New Roman" w:hAnsi="Arial Narrow" w:cs="Times New Roman"/>
                <w:sz w:val="20"/>
                <w:szCs w:val="24"/>
                <w:highlight w:val="yellow"/>
              </w:rPr>
            </w:pPr>
            <w:r>
              <w:rPr>
                <w:rFonts w:ascii="Arial Narrow" w:eastAsia="Times New Roman" w:hAnsi="Arial Narrow" w:cs="Times New Roman"/>
                <w:sz w:val="20"/>
                <w:szCs w:val="24"/>
              </w:rPr>
              <w:t>During the ECD-SPECT scan the patients’ eyes were open, whereas in FDG-PET, the patient’s eyes were closed. This may have caused the high rCBF in the occipital lobe and may limit reliability of results.</w:t>
            </w:r>
          </w:p>
        </w:tc>
      </w:tr>
      <w:tr w:rsidR="00511657" w:rsidRPr="00AD52D3" w14:paraId="534A5E21" w14:textId="77777777" w:rsidTr="00511657">
        <w:tc>
          <w:tcPr>
            <w:tcW w:w="1260" w:type="dxa"/>
            <w:shd w:val="clear" w:color="auto" w:fill="FFFFFF" w:themeFill="background1"/>
          </w:tcPr>
          <w:p w14:paraId="63931DDE"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Messa (1994)</w:t>
            </w:r>
          </w:p>
        </w:tc>
        <w:tc>
          <w:tcPr>
            <w:tcW w:w="3402" w:type="dxa"/>
            <w:shd w:val="clear" w:color="auto" w:fill="FFFFFF" w:themeFill="background1"/>
          </w:tcPr>
          <w:p w14:paraId="1DEDC65C" w14:textId="77777777" w:rsidR="00511657" w:rsidRPr="00B5241B" w:rsidRDefault="00511657" w:rsidP="00511657">
            <w:pPr>
              <w:spacing w:after="0"/>
              <w:ind w:left="0"/>
              <w:rPr>
                <w:rFonts w:ascii="Arial Narrow" w:eastAsia="Times New Roman" w:hAnsi="Arial Narrow" w:cs="Times New Roman"/>
                <w:sz w:val="20"/>
                <w:szCs w:val="24"/>
                <w:u w:val="single"/>
              </w:rPr>
            </w:pPr>
            <w:r w:rsidRPr="00B5241B">
              <w:rPr>
                <w:rFonts w:ascii="Arial Narrow" w:eastAsia="Times New Roman" w:hAnsi="Arial Narrow" w:cs="Times New Roman"/>
                <w:sz w:val="20"/>
                <w:szCs w:val="24"/>
                <w:u w:val="single"/>
              </w:rPr>
              <w:t>Cases:</w:t>
            </w:r>
          </w:p>
          <w:p w14:paraId="45DF82CD"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21 p</w:t>
            </w:r>
            <w:r w:rsidRPr="001B65BF">
              <w:rPr>
                <w:rFonts w:ascii="Arial Narrow" w:eastAsia="Times New Roman" w:hAnsi="Arial Narrow" w:cs="Times New Roman"/>
                <w:sz w:val="20"/>
                <w:szCs w:val="24"/>
              </w:rPr>
              <w:t xml:space="preserve">atients with </w:t>
            </w:r>
            <w:r>
              <w:rPr>
                <w:rFonts w:ascii="Arial Narrow" w:eastAsia="Times New Roman" w:hAnsi="Arial Narrow" w:cs="Times New Roman"/>
                <w:sz w:val="20"/>
                <w:szCs w:val="24"/>
              </w:rPr>
              <w:t>probable AD (</w:t>
            </w:r>
            <w:r w:rsidRPr="001B65BF">
              <w:rPr>
                <w:rFonts w:ascii="Arial Narrow" w:eastAsia="Times New Roman" w:hAnsi="Arial Narrow" w:cs="Times New Roman"/>
                <w:sz w:val="20"/>
                <w:szCs w:val="24"/>
              </w:rPr>
              <w:t>NINCDS-ADRDA</w:t>
            </w:r>
            <w:r>
              <w:rPr>
                <w:rFonts w:ascii="Arial Narrow" w:eastAsia="Times New Roman" w:hAnsi="Arial Narrow" w:cs="Times New Roman"/>
                <w:sz w:val="20"/>
                <w:szCs w:val="24"/>
              </w:rPr>
              <w:t xml:space="preserve"> criteria; </w:t>
            </w:r>
            <w:r w:rsidRPr="00541EA3">
              <w:rPr>
                <w:rFonts w:ascii="Arial Narrow" w:eastAsia="Times New Roman" w:hAnsi="Arial Narrow" w:cs="Times New Roman"/>
                <w:sz w:val="20"/>
                <w:szCs w:val="24"/>
              </w:rPr>
              <w:t>mean age: 63 years</w:t>
            </w:r>
            <w:r>
              <w:rPr>
                <w:rFonts w:ascii="Arial Narrow" w:eastAsia="Times New Roman" w:hAnsi="Arial Narrow" w:cs="Times New Roman"/>
                <w:sz w:val="20"/>
                <w:szCs w:val="24"/>
              </w:rPr>
              <w:t>; mean MMSE: 19.9</w:t>
            </w:r>
            <w:r w:rsidRPr="00541EA3">
              <w:rPr>
                <w:rFonts w:ascii="Arial Narrow" w:eastAsia="Times New Roman" w:hAnsi="Arial Narrow" w:cs="Times New Roman"/>
                <w:sz w:val="20"/>
                <w:szCs w:val="24"/>
              </w:rPr>
              <w:t>)</w:t>
            </w:r>
          </w:p>
          <w:p w14:paraId="2AA9C1F9" w14:textId="77777777" w:rsidR="00511657" w:rsidRPr="00B5241B" w:rsidRDefault="00511657" w:rsidP="00511657">
            <w:pPr>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PET controls:</w:t>
            </w:r>
          </w:p>
          <w:p w14:paraId="4D833C95"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10 normal controls (mean age: 47 years)</w:t>
            </w:r>
          </w:p>
          <w:p w14:paraId="3EB7F2C6" w14:textId="77777777" w:rsidR="00511657" w:rsidRDefault="00511657" w:rsidP="00511657">
            <w:pPr>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SPECT controls:</w:t>
            </w:r>
          </w:p>
          <w:p w14:paraId="31E97D2F" w14:textId="77777777" w:rsidR="00511657" w:rsidRPr="009A231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10 normal controls (mean age: 53 years)</w:t>
            </w:r>
          </w:p>
        </w:tc>
        <w:tc>
          <w:tcPr>
            <w:tcW w:w="1276" w:type="dxa"/>
            <w:shd w:val="clear" w:color="auto" w:fill="FFFFFF" w:themeFill="background1"/>
          </w:tcPr>
          <w:p w14:paraId="65743316"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FDG-PET</w:t>
            </w:r>
          </w:p>
        </w:tc>
        <w:tc>
          <w:tcPr>
            <w:tcW w:w="1134" w:type="dxa"/>
            <w:shd w:val="clear" w:color="auto" w:fill="FFFFFF" w:themeFill="background1"/>
          </w:tcPr>
          <w:p w14:paraId="35D8C9FB"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HMPAO-SPECT</w:t>
            </w:r>
          </w:p>
        </w:tc>
        <w:tc>
          <w:tcPr>
            <w:tcW w:w="1134" w:type="dxa"/>
            <w:shd w:val="clear" w:color="auto" w:fill="FFFFFF" w:themeFill="background1"/>
          </w:tcPr>
          <w:p w14:paraId="58C966BE"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Yes</w:t>
            </w:r>
          </w:p>
        </w:tc>
        <w:tc>
          <w:tcPr>
            <w:tcW w:w="2126" w:type="dxa"/>
            <w:shd w:val="clear" w:color="auto" w:fill="FFFFFF" w:themeFill="background1"/>
          </w:tcPr>
          <w:p w14:paraId="41776895" w14:textId="77777777" w:rsidR="00511657" w:rsidRPr="00AD52D3"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No reference standard.</w:t>
            </w:r>
          </w:p>
        </w:tc>
        <w:tc>
          <w:tcPr>
            <w:tcW w:w="2835" w:type="dxa"/>
            <w:shd w:val="clear" w:color="auto" w:fill="FFFFFF" w:themeFill="background1"/>
          </w:tcPr>
          <w:p w14:paraId="1CF3E2A4" w14:textId="77777777" w:rsidR="00511657" w:rsidRPr="00B5241B" w:rsidRDefault="00511657" w:rsidP="00511657">
            <w:pPr>
              <w:spacing w:after="0"/>
              <w:ind w:left="0"/>
              <w:contextualSpacing/>
              <w:rPr>
                <w:rFonts w:ascii="Arial Narrow" w:eastAsia="Times New Roman" w:hAnsi="Arial Narrow" w:cs="Times New Roman"/>
                <w:sz w:val="20"/>
                <w:szCs w:val="24"/>
                <w:highlight w:val="yellow"/>
              </w:rPr>
            </w:pPr>
            <w:r w:rsidRPr="009A2313">
              <w:rPr>
                <w:rFonts w:ascii="Arial Narrow" w:eastAsia="Times New Roman" w:hAnsi="Arial Narrow" w:cs="Times New Roman"/>
                <w:sz w:val="20"/>
                <w:szCs w:val="24"/>
              </w:rPr>
              <w:t>3 cases were normal on MRI; 1 had small lesions of the white matter; 17 showed atrophy</w:t>
            </w:r>
            <w:r>
              <w:rPr>
                <w:rFonts w:ascii="Arial Narrow" w:eastAsia="Times New Roman" w:hAnsi="Arial Narrow" w:cs="Times New Roman"/>
                <w:sz w:val="20"/>
                <w:szCs w:val="24"/>
              </w:rPr>
              <w:t>.</w:t>
            </w:r>
          </w:p>
        </w:tc>
      </w:tr>
      <w:tr w:rsidR="00511657" w:rsidRPr="00AD52D3" w14:paraId="7CE7DCC8" w14:textId="77777777" w:rsidTr="00511657">
        <w:tc>
          <w:tcPr>
            <w:tcW w:w="1260" w:type="dxa"/>
            <w:shd w:val="clear" w:color="auto" w:fill="FFFFFF" w:themeFill="background1"/>
          </w:tcPr>
          <w:p w14:paraId="670A0CCD"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lastRenderedPageBreak/>
              <w:t>Mielke (1994)</w:t>
            </w:r>
          </w:p>
        </w:tc>
        <w:tc>
          <w:tcPr>
            <w:tcW w:w="3402" w:type="dxa"/>
            <w:shd w:val="clear" w:color="auto" w:fill="FFFFFF" w:themeFill="background1"/>
          </w:tcPr>
          <w:p w14:paraId="0799F522" w14:textId="77777777" w:rsidR="00511657" w:rsidRPr="00DE0463" w:rsidRDefault="00511657" w:rsidP="00511657">
            <w:pPr>
              <w:keepNext/>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Cases:</w:t>
            </w:r>
          </w:p>
          <w:p w14:paraId="385DD8F7" w14:textId="77777777" w:rsidR="00511657" w:rsidRPr="00EA136C" w:rsidRDefault="00511657" w:rsidP="00511657">
            <w:pPr>
              <w:keepNext/>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20 p</w:t>
            </w:r>
            <w:r w:rsidRPr="001B65BF">
              <w:rPr>
                <w:rFonts w:ascii="Arial Narrow" w:eastAsia="Times New Roman" w:hAnsi="Arial Narrow" w:cs="Times New Roman"/>
                <w:sz w:val="20"/>
                <w:szCs w:val="24"/>
              </w:rPr>
              <w:t>atients with</w:t>
            </w:r>
            <w:r>
              <w:rPr>
                <w:rFonts w:ascii="Arial Narrow" w:eastAsia="Times New Roman" w:hAnsi="Arial Narrow" w:cs="Times New Roman"/>
                <w:sz w:val="20"/>
                <w:szCs w:val="24"/>
              </w:rPr>
              <w:t xml:space="preserve"> probable AD</w:t>
            </w:r>
            <w:r w:rsidRPr="001B65BF">
              <w:rPr>
                <w:rFonts w:ascii="Arial Narrow" w:eastAsia="Times New Roman" w:hAnsi="Arial Narrow" w:cs="Times New Roman"/>
                <w:sz w:val="20"/>
                <w:szCs w:val="24"/>
              </w:rPr>
              <w:t xml:space="preserve"> </w:t>
            </w:r>
            <w:r>
              <w:rPr>
                <w:rFonts w:ascii="Arial Narrow" w:eastAsia="Times New Roman" w:hAnsi="Arial Narrow" w:cs="Times New Roman"/>
                <w:sz w:val="20"/>
                <w:szCs w:val="24"/>
              </w:rPr>
              <w:t>(</w:t>
            </w:r>
            <w:r w:rsidRPr="001B65BF">
              <w:rPr>
                <w:rFonts w:ascii="Arial Narrow" w:eastAsia="Times New Roman" w:hAnsi="Arial Narrow" w:cs="Times New Roman"/>
                <w:sz w:val="20"/>
                <w:szCs w:val="24"/>
              </w:rPr>
              <w:t>NINCDS-ADRDA</w:t>
            </w:r>
            <w:r>
              <w:rPr>
                <w:rFonts w:ascii="Arial Narrow" w:eastAsia="Times New Roman" w:hAnsi="Arial Narrow" w:cs="Times New Roman"/>
                <w:sz w:val="20"/>
                <w:szCs w:val="24"/>
              </w:rPr>
              <w:t xml:space="preserve"> criteria; mean age: </w:t>
            </w:r>
            <w:r w:rsidRPr="00EA136C">
              <w:rPr>
                <w:rFonts w:ascii="Arial Narrow" w:eastAsia="Times New Roman" w:hAnsi="Arial Narrow" w:cs="Times New Roman"/>
                <w:sz w:val="20"/>
                <w:szCs w:val="24"/>
              </w:rPr>
              <w:t>69 years</w:t>
            </w:r>
            <w:r>
              <w:rPr>
                <w:rFonts w:ascii="Arial Narrow" w:eastAsia="Times New Roman" w:hAnsi="Arial Narrow" w:cs="Times New Roman"/>
                <w:sz w:val="20"/>
                <w:szCs w:val="24"/>
              </w:rPr>
              <w:t>; mean MMSE: 20.9</w:t>
            </w:r>
            <w:r w:rsidRPr="00EA136C">
              <w:rPr>
                <w:rFonts w:ascii="Arial Narrow" w:eastAsia="Times New Roman" w:hAnsi="Arial Narrow" w:cs="Times New Roman"/>
                <w:sz w:val="20"/>
                <w:szCs w:val="24"/>
              </w:rPr>
              <w:t>)</w:t>
            </w:r>
            <w:r>
              <w:rPr>
                <w:rFonts w:ascii="Arial Narrow" w:eastAsia="Times New Roman" w:hAnsi="Arial Narrow" w:cs="Times New Roman"/>
                <w:sz w:val="20"/>
                <w:szCs w:val="24"/>
              </w:rPr>
              <w:t>; and</w:t>
            </w:r>
          </w:p>
          <w:p w14:paraId="03595DBE" w14:textId="77777777" w:rsidR="00511657" w:rsidRPr="00EA136C" w:rsidRDefault="00511657" w:rsidP="00511657">
            <w:pPr>
              <w:keepNext/>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12 patients with probable V</w:t>
            </w:r>
            <w:r w:rsidRPr="00EA136C">
              <w:rPr>
                <w:rFonts w:ascii="Arial Narrow" w:eastAsia="Times New Roman" w:hAnsi="Arial Narrow" w:cs="Times New Roman"/>
                <w:sz w:val="20"/>
                <w:szCs w:val="24"/>
              </w:rPr>
              <w:t>D (NINDS-AIREN criteria; mean age: 69 years</w:t>
            </w:r>
            <w:r>
              <w:rPr>
                <w:rFonts w:ascii="Arial Narrow" w:eastAsia="Times New Roman" w:hAnsi="Arial Narrow" w:cs="Times New Roman"/>
                <w:sz w:val="20"/>
                <w:szCs w:val="24"/>
              </w:rPr>
              <w:t>; mean MMSE: 23.3</w:t>
            </w:r>
            <w:r w:rsidRPr="00EA136C">
              <w:rPr>
                <w:rFonts w:ascii="Arial Narrow" w:eastAsia="Times New Roman" w:hAnsi="Arial Narrow" w:cs="Times New Roman"/>
                <w:sz w:val="20"/>
                <w:szCs w:val="24"/>
              </w:rPr>
              <w:t>)</w:t>
            </w:r>
          </w:p>
          <w:p w14:paraId="166DE59E" w14:textId="77777777" w:rsidR="00511657" w:rsidRPr="00EA136C" w:rsidRDefault="00511657" w:rsidP="00511657">
            <w:pPr>
              <w:keepNext/>
              <w:spacing w:after="0"/>
              <w:ind w:left="0"/>
              <w:rPr>
                <w:rFonts w:ascii="Arial Narrow" w:eastAsia="Times New Roman" w:hAnsi="Arial Narrow" w:cs="Times New Roman"/>
                <w:sz w:val="20"/>
                <w:szCs w:val="24"/>
                <w:u w:val="single"/>
              </w:rPr>
            </w:pPr>
            <w:r w:rsidRPr="00EA136C">
              <w:rPr>
                <w:rFonts w:ascii="Arial Narrow" w:eastAsia="Times New Roman" w:hAnsi="Arial Narrow" w:cs="Times New Roman"/>
                <w:sz w:val="20"/>
                <w:szCs w:val="24"/>
                <w:u w:val="single"/>
              </w:rPr>
              <w:t>Controls:</w:t>
            </w:r>
          </w:p>
          <w:p w14:paraId="110E9C98" w14:textId="77777777" w:rsidR="00511657" w:rsidRPr="00AD52D3" w:rsidRDefault="00511657" w:rsidP="00511657">
            <w:pPr>
              <w:keepNext/>
              <w:spacing w:after="0"/>
              <w:ind w:left="0"/>
              <w:rPr>
                <w:rFonts w:ascii="Arial Narrow" w:eastAsia="Times New Roman" w:hAnsi="Arial Narrow" w:cs="Times New Roman"/>
                <w:sz w:val="20"/>
                <w:szCs w:val="24"/>
              </w:rPr>
            </w:pPr>
            <w:r w:rsidRPr="00EA136C">
              <w:rPr>
                <w:rFonts w:ascii="Arial Narrow" w:eastAsia="Times New Roman" w:hAnsi="Arial Narrow" w:cs="Times New Roman"/>
                <w:sz w:val="20"/>
                <w:szCs w:val="24"/>
              </w:rPr>
              <w:t>13 normal controls (mean age: 60 years</w:t>
            </w:r>
            <w:r>
              <w:rPr>
                <w:rFonts w:ascii="Arial Narrow" w:eastAsia="Times New Roman" w:hAnsi="Arial Narrow" w:cs="Times New Roman"/>
                <w:sz w:val="20"/>
                <w:szCs w:val="24"/>
              </w:rPr>
              <w:t>; mean MMSE: 28.8</w:t>
            </w:r>
            <w:r w:rsidRPr="00EA136C">
              <w:rPr>
                <w:rFonts w:ascii="Arial Narrow" w:eastAsia="Times New Roman" w:hAnsi="Arial Narrow" w:cs="Times New Roman"/>
                <w:sz w:val="20"/>
                <w:szCs w:val="24"/>
              </w:rPr>
              <w:t>)</w:t>
            </w:r>
          </w:p>
        </w:tc>
        <w:tc>
          <w:tcPr>
            <w:tcW w:w="1276" w:type="dxa"/>
            <w:shd w:val="clear" w:color="auto" w:fill="FFFFFF" w:themeFill="background1"/>
          </w:tcPr>
          <w:p w14:paraId="789A1D8D"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FDG-PET</w:t>
            </w:r>
          </w:p>
        </w:tc>
        <w:tc>
          <w:tcPr>
            <w:tcW w:w="1134" w:type="dxa"/>
            <w:shd w:val="clear" w:color="auto" w:fill="FFFFFF" w:themeFill="background1"/>
          </w:tcPr>
          <w:p w14:paraId="4B6C9C1D"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HMPAO-SPECT</w:t>
            </w:r>
          </w:p>
        </w:tc>
        <w:tc>
          <w:tcPr>
            <w:tcW w:w="1134" w:type="dxa"/>
            <w:shd w:val="clear" w:color="auto" w:fill="FFFFFF" w:themeFill="background1"/>
          </w:tcPr>
          <w:p w14:paraId="20ADE1F9" w14:textId="77777777" w:rsidR="00511657" w:rsidRPr="00AD52D3" w:rsidRDefault="00511657" w:rsidP="00511657">
            <w:pPr>
              <w:keepNext/>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Yes</w:t>
            </w:r>
          </w:p>
        </w:tc>
        <w:tc>
          <w:tcPr>
            <w:tcW w:w="2126" w:type="dxa"/>
            <w:shd w:val="clear" w:color="auto" w:fill="FFFFFF" w:themeFill="background1"/>
          </w:tcPr>
          <w:p w14:paraId="49C2D457" w14:textId="77777777" w:rsidR="00511657" w:rsidRPr="00AD52D3" w:rsidRDefault="00511657" w:rsidP="00511657">
            <w:pPr>
              <w:keepNext/>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No reference standard.</w:t>
            </w:r>
          </w:p>
        </w:tc>
        <w:tc>
          <w:tcPr>
            <w:tcW w:w="2835" w:type="dxa"/>
            <w:shd w:val="clear" w:color="auto" w:fill="FFFFFF" w:themeFill="background1"/>
          </w:tcPr>
          <w:p w14:paraId="5258E100" w14:textId="32BED4D7" w:rsidR="00511657" w:rsidRDefault="00511657" w:rsidP="00511657">
            <w:pPr>
              <w:keepNext/>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Regional HMPAO uptake relative to whole brain uptake was used to assess regional perfusion differences (rCBF). Relative CMRgl was calculated as mean regional value relative to global value. Regional data were also evaluated with regional to cerebellar ratios.</w:t>
            </w:r>
          </w:p>
          <w:p w14:paraId="36BC9D35" w14:textId="77777777" w:rsidR="00511657" w:rsidRPr="00B5241B" w:rsidRDefault="00511657" w:rsidP="00511657">
            <w:pPr>
              <w:keepNext/>
              <w:spacing w:after="0"/>
              <w:ind w:left="0"/>
              <w:contextualSpacing/>
              <w:rPr>
                <w:rFonts w:ascii="Arial Narrow" w:eastAsia="Times New Roman" w:hAnsi="Arial Narrow" w:cs="Times New Roman"/>
                <w:sz w:val="20"/>
                <w:szCs w:val="24"/>
                <w:highlight w:val="yellow"/>
              </w:rPr>
            </w:pPr>
          </w:p>
        </w:tc>
      </w:tr>
      <w:tr w:rsidR="00511657" w:rsidRPr="00AD52D3" w14:paraId="2B6E7B6C" w14:textId="77777777" w:rsidTr="00511657">
        <w:tc>
          <w:tcPr>
            <w:tcW w:w="1260" w:type="dxa"/>
            <w:shd w:val="clear" w:color="auto" w:fill="FFFFFF" w:themeFill="background1"/>
          </w:tcPr>
          <w:p w14:paraId="660DDF63"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Kuwabara (1990)</w:t>
            </w:r>
          </w:p>
        </w:tc>
        <w:tc>
          <w:tcPr>
            <w:tcW w:w="3402" w:type="dxa"/>
            <w:shd w:val="clear" w:color="auto" w:fill="FFFFFF" w:themeFill="background1"/>
          </w:tcPr>
          <w:p w14:paraId="3D3FC72F" w14:textId="77777777" w:rsidR="00511657" w:rsidRPr="000E6E36" w:rsidRDefault="00511657" w:rsidP="00511657">
            <w:pPr>
              <w:spacing w:after="0"/>
              <w:ind w:left="0"/>
              <w:rPr>
                <w:rFonts w:ascii="Arial Narrow" w:eastAsia="Times New Roman" w:hAnsi="Arial Narrow" w:cs="Times New Roman"/>
                <w:sz w:val="20"/>
                <w:szCs w:val="24"/>
                <w:u w:val="single"/>
              </w:rPr>
            </w:pPr>
            <w:r w:rsidRPr="000E6E36">
              <w:rPr>
                <w:rFonts w:ascii="Arial Narrow" w:eastAsia="Times New Roman" w:hAnsi="Arial Narrow" w:cs="Times New Roman"/>
                <w:sz w:val="20"/>
                <w:szCs w:val="24"/>
                <w:u w:val="single"/>
              </w:rPr>
              <w:t>Cases:</w:t>
            </w:r>
          </w:p>
          <w:p w14:paraId="52C93755"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 xml:space="preserve">9 patients diagnosed with AD (mean </w:t>
            </w:r>
            <w:r w:rsidRPr="008D3BAC">
              <w:rPr>
                <w:rFonts w:ascii="Arial Narrow" w:eastAsia="Times New Roman" w:hAnsi="Arial Narrow" w:cs="Times New Roman"/>
                <w:sz w:val="20"/>
                <w:szCs w:val="24"/>
              </w:rPr>
              <w:t>age: 58 years),</w:t>
            </w:r>
            <w:r>
              <w:rPr>
                <w:rFonts w:ascii="Arial Narrow" w:eastAsia="Times New Roman" w:hAnsi="Arial Narrow" w:cs="Times New Roman"/>
                <w:sz w:val="20"/>
                <w:szCs w:val="24"/>
              </w:rPr>
              <w:t xml:space="preserve"> 3 patients with</w:t>
            </w:r>
            <w:r w:rsidRPr="001B65BF">
              <w:rPr>
                <w:rFonts w:ascii="Arial Narrow" w:eastAsia="Times New Roman" w:hAnsi="Arial Narrow" w:cs="Times New Roman"/>
                <w:sz w:val="20"/>
                <w:szCs w:val="24"/>
              </w:rPr>
              <w:t xml:space="preserve"> Pick’s disease</w:t>
            </w:r>
            <w:r>
              <w:rPr>
                <w:rFonts w:ascii="Arial Narrow" w:eastAsia="Times New Roman" w:hAnsi="Arial Narrow" w:cs="Times New Roman"/>
                <w:sz w:val="20"/>
                <w:szCs w:val="24"/>
              </w:rPr>
              <w:t>; and 5 patients with multi-infarct dementia. AD diagnosed clinically (DSM-III criteria) as well as by CT and or MRI.</w:t>
            </w:r>
          </w:p>
          <w:p w14:paraId="0C5C88E1" w14:textId="77777777" w:rsidR="00511657" w:rsidRPr="000E6E36" w:rsidRDefault="00511657" w:rsidP="00511657">
            <w:pPr>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PET c</w:t>
            </w:r>
            <w:r w:rsidRPr="000E6E36">
              <w:rPr>
                <w:rFonts w:ascii="Arial Narrow" w:eastAsia="Times New Roman" w:hAnsi="Arial Narrow" w:cs="Times New Roman"/>
                <w:sz w:val="20"/>
                <w:szCs w:val="24"/>
                <w:u w:val="single"/>
              </w:rPr>
              <w:t>ontrols:</w:t>
            </w:r>
          </w:p>
          <w:p w14:paraId="54FBE0C6" w14:textId="77777777" w:rsidR="00511657"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Normal volunteers (n=NR)</w:t>
            </w:r>
          </w:p>
          <w:p w14:paraId="5DEAFF3E" w14:textId="77777777" w:rsidR="00511657" w:rsidRDefault="00511657" w:rsidP="00511657">
            <w:pPr>
              <w:spacing w:after="0"/>
              <w:ind w:left="0"/>
              <w:rPr>
                <w:rFonts w:ascii="Arial Narrow" w:eastAsia="Times New Roman" w:hAnsi="Arial Narrow" w:cs="Times New Roman"/>
                <w:sz w:val="20"/>
                <w:szCs w:val="24"/>
                <w:u w:val="single"/>
              </w:rPr>
            </w:pPr>
            <w:r>
              <w:rPr>
                <w:rFonts w:ascii="Arial Narrow" w:eastAsia="Times New Roman" w:hAnsi="Arial Narrow" w:cs="Times New Roman"/>
                <w:sz w:val="20"/>
                <w:szCs w:val="24"/>
                <w:u w:val="single"/>
              </w:rPr>
              <w:t>SPECT controls:</w:t>
            </w:r>
          </w:p>
          <w:p w14:paraId="1B4EDC45" w14:textId="77777777" w:rsidR="00511657" w:rsidRPr="003E6CC8"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Patients with mild neurological symptoms who were finally diagnosed by CT, MRI and PET as not having organic lesions (n=NR)</w:t>
            </w:r>
          </w:p>
        </w:tc>
        <w:tc>
          <w:tcPr>
            <w:tcW w:w="1276" w:type="dxa"/>
            <w:shd w:val="clear" w:color="auto" w:fill="FFFFFF" w:themeFill="background1"/>
          </w:tcPr>
          <w:p w14:paraId="3B650860" w14:textId="77777777" w:rsidR="00511657" w:rsidRPr="00AD52D3" w:rsidRDefault="00511657" w:rsidP="00511657">
            <w:pPr>
              <w:spacing w:after="0"/>
              <w:ind w:left="0"/>
              <w:rPr>
                <w:rFonts w:ascii="Arial Narrow" w:eastAsia="Times New Roman" w:hAnsi="Arial Narrow" w:cs="Times New Roman"/>
                <w:sz w:val="20"/>
                <w:szCs w:val="24"/>
              </w:rPr>
            </w:pPr>
            <w:r>
              <w:rPr>
                <w:rFonts w:ascii="Arial Narrow" w:eastAsia="Times New Roman" w:hAnsi="Arial Narrow" w:cs="Times New Roman"/>
                <w:sz w:val="20"/>
                <w:szCs w:val="24"/>
              </w:rPr>
              <w:t xml:space="preserve">FDG and </w:t>
            </w:r>
            <w:r w:rsidRPr="00AD52D3">
              <w:rPr>
                <w:rFonts w:ascii="Arial Narrow" w:eastAsia="Times New Roman" w:hAnsi="Arial Narrow" w:cs="Times New Roman"/>
                <w:sz w:val="20"/>
                <w:szCs w:val="24"/>
                <w:vertAlign w:val="superscript"/>
              </w:rPr>
              <w:t>15</w:t>
            </w:r>
            <w:r w:rsidRPr="00AD52D3">
              <w:rPr>
                <w:rFonts w:ascii="Arial Narrow" w:eastAsia="Times New Roman" w:hAnsi="Arial Narrow" w:cs="Times New Roman"/>
                <w:sz w:val="20"/>
                <w:szCs w:val="24"/>
              </w:rPr>
              <w:t>OH</w:t>
            </w:r>
            <w:r w:rsidRPr="00AD52D3">
              <w:rPr>
                <w:rFonts w:ascii="Arial Narrow" w:eastAsia="Times New Roman" w:hAnsi="Arial Narrow" w:cs="Times New Roman"/>
                <w:sz w:val="20"/>
                <w:szCs w:val="24"/>
                <w:vertAlign w:val="subscript"/>
              </w:rPr>
              <w:t>2</w:t>
            </w:r>
            <w:r>
              <w:rPr>
                <w:rFonts w:ascii="Arial Narrow" w:eastAsia="Times New Roman" w:hAnsi="Arial Narrow" w:cs="Times New Roman"/>
                <w:sz w:val="20"/>
                <w:szCs w:val="24"/>
              </w:rPr>
              <w:t>O-</w:t>
            </w:r>
            <w:r w:rsidRPr="00AD52D3">
              <w:rPr>
                <w:rFonts w:ascii="Arial Narrow" w:eastAsia="Times New Roman" w:hAnsi="Arial Narrow" w:cs="Times New Roman"/>
                <w:sz w:val="20"/>
                <w:szCs w:val="24"/>
              </w:rPr>
              <w:t>PET</w:t>
            </w:r>
          </w:p>
        </w:tc>
        <w:tc>
          <w:tcPr>
            <w:tcW w:w="1134" w:type="dxa"/>
            <w:shd w:val="clear" w:color="auto" w:fill="FFFFFF" w:themeFill="background1"/>
          </w:tcPr>
          <w:p w14:paraId="2DFF2564" w14:textId="77777777" w:rsidR="00511657" w:rsidRPr="00AD52D3" w:rsidRDefault="00511657" w:rsidP="00511657">
            <w:pPr>
              <w:spacing w:after="0"/>
              <w:ind w:left="0"/>
              <w:rPr>
                <w:rFonts w:ascii="Arial Narrow" w:eastAsia="Times New Roman" w:hAnsi="Arial Narrow" w:cs="Times New Roman"/>
                <w:sz w:val="20"/>
                <w:szCs w:val="24"/>
              </w:rPr>
            </w:pPr>
            <w:r w:rsidRPr="00AD52D3">
              <w:rPr>
                <w:rFonts w:ascii="Arial Narrow" w:eastAsia="Times New Roman" w:hAnsi="Arial Narrow" w:cs="Times New Roman"/>
                <w:sz w:val="20"/>
                <w:szCs w:val="24"/>
              </w:rPr>
              <w:t>I-123 IMP and HMPAO-SPECT</w:t>
            </w:r>
          </w:p>
        </w:tc>
        <w:tc>
          <w:tcPr>
            <w:tcW w:w="1134" w:type="dxa"/>
            <w:shd w:val="clear" w:color="auto" w:fill="FFFFFF" w:themeFill="background1"/>
          </w:tcPr>
          <w:p w14:paraId="304A30FD" w14:textId="77777777" w:rsidR="00511657" w:rsidRPr="00AD52D3" w:rsidRDefault="00511657" w:rsidP="00511657">
            <w:pPr>
              <w:spacing w:after="0"/>
              <w:ind w:left="0"/>
              <w:rPr>
                <w:rFonts w:ascii="Arial Narrow" w:eastAsia="Times New Roman" w:hAnsi="Arial Narrow" w:cs="Times New Roman"/>
                <w:sz w:val="20"/>
                <w:szCs w:val="24"/>
              </w:rPr>
            </w:pPr>
            <w:r w:rsidRPr="008D3BAC">
              <w:rPr>
                <w:rFonts w:ascii="Arial Narrow" w:eastAsia="Times New Roman" w:hAnsi="Arial Narrow" w:cs="Times New Roman"/>
                <w:sz w:val="20"/>
                <w:szCs w:val="24"/>
              </w:rPr>
              <w:t>Yes</w:t>
            </w:r>
          </w:p>
        </w:tc>
        <w:tc>
          <w:tcPr>
            <w:tcW w:w="2126" w:type="dxa"/>
            <w:shd w:val="clear" w:color="auto" w:fill="FFFFFF" w:themeFill="background1"/>
          </w:tcPr>
          <w:p w14:paraId="29463493" w14:textId="77777777" w:rsidR="00511657" w:rsidRPr="00AD52D3" w:rsidRDefault="00511657" w:rsidP="00511657">
            <w:pPr>
              <w:spacing w:after="0"/>
              <w:ind w:left="0"/>
              <w:contextualSpacing/>
              <w:rPr>
                <w:rFonts w:ascii="Arial Narrow" w:eastAsia="Times New Roman" w:hAnsi="Arial Narrow" w:cs="Times New Roman"/>
                <w:sz w:val="20"/>
                <w:szCs w:val="24"/>
              </w:rPr>
            </w:pPr>
            <w:r>
              <w:rPr>
                <w:rFonts w:ascii="Arial Narrow" w:eastAsia="Times New Roman" w:hAnsi="Arial Narrow" w:cs="Times New Roman"/>
                <w:sz w:val="20"/>
                <w:szCs w:val="24"/>
              </w:rPr>
              <w:t>No reference standard.</w:t>
            </w:r>
          </w:p>
        </w:tc>
        <w:tc>
          <w:tcPr>
            <w:tcW w:w="2835" w:type="dxa"/>
            <w:shd w:val="clear" w:color="auto" w:fill="FFFFFF" w:themeFill="background1"/>
          </w:tcPr>
          <w:p w14:paraId="055BBD01" w14:textId="77777777" w:rsidR="00511657" w:rsidRPr="00B5241B" w:rsidRDefault="00511657" w:rsidP="00511657">
            <w:pPr>
              <w:spacing w:after="0"/>
              <w:ind w:left="0"/>
              <w:contextualSpacing/>
              <w:rPr>
                <w:rFonts w:ascii="Arial Narrow" w:eastAsia="Times New Roman" w:hAnsi="Arial Narrow" w:cs="Times New Roman"/>
                <w:sz w:val="20"/>
                <w:szCs w:val="24"/>
                <w:highlight w:val="yellow"/>
              </w:rPr>
            </w:pPr>
            <w:r w:rsidRPr="008D3BAC">
              <w:rPr>
                <w:rFonts w:ascii="Arial Narrow" w:eastAsia="Times New Roman" w:hAnsi="Arial Narrow" w:cs="Times New Roman"/>
                <w:sz w:val="20"/>
                <w:szCs w:val="24"/>
              </w:rPr>
              <w:t>All AD patients had initial diagnosis of moderate or severe AD. All showed mild or moderate atrophy on CT and/or MRI.</w:t>
            </w:r>
          </w:p>
        </w:tc>
      </w:tr>
    </w:tbl>
    <w:p w14:paraId="4881B095" w14:textId="5B1024C2" w:rsidR="00511657" w:rsidRDefault="00511657" w:rsidP="00511657">
      <w:pPr>
        <w:pStyle w:val="Tablefootnotes"/>
      </w:pPr>
      <w:r>
        <w:t xml:space="preserve">Abbreviations: AD, Alzheimer’s disease; CDR, Clinical Dementia Rating; CT, computed tomography; </w:t>
      </w:r>
      <w:r w:rsidRPr="00F366DA">
        <w:t>DLB, Dementia with Lewy bodies</w:t>
      </w:r>
      <w:r>
        <w:t xml:space="preserve">; DSM, Diagnostic and Statistical Manual of Mental Disorders; </w:t>
      </w:r>
      <w:r w:rsidRPr="00F366DA">
        <w:t xml:space="preserve">ECD, </w:t>
      </w:r>
      <w:r w:rsidR="004537DF" w:rsidRPr="004537DF">
        <w:t>ethyl cysteinate dimer</w:t>
      </w:r>
      <w:r>
        <w:t xml:space="preserve">; </w:t>
      </w:r>
      <w:r w:rsidRPr="00F366DA">
        <w:t>FDG, flu</w:t>
      </w:r>
      <w:r w:rsidR="008F0DD0">
        <w:t>o</w:t>
      </w:r>
      <w:r w:rsidRPr="00F366DA">
        <w:t>rodeoxyglucose</w:t>
      </w:r>
      <w:r>
        <w:t>;</w:t>
      </w:r>
      <w:r w:rsidRPr="00F366DA">
        <w:t xml:space="preserve"> </w:t>
      </w:r>
      <w:r w:rsidR="00BD65E4">
        <w:t>FTD</w:t>
      </w:r>
      <w:r w:rsidRPr="00F366DA">
        <w:t xml:space="preserve">, frontotemporal </w:t>
      </w:r>
      <w:r w:rsidR="00BC64FA">
        <w:t>dementia</w:t>
      </w:r>
      <w:r>
        <w:t xml:space="preserve">; </w:t>
      </w:r>
      <w:r w:rsidRPr="00245EE5">
        <w:t>HMPAO, hexamethylpropylene amine oxime</w:t>
      </w:r>
      <w:r>
        <w:t>; IMP,</w:t>
      </w:r>
      <w:r w:rsidRPr="0008046C">
        <w:t xml:space="preserve"> iodoamphetamine</w:t>
      </w:r>
      <w:r>
        <w:t>;</w:t>
      </w:r>
      <w:r w:rsidRPr="0008046C">
        <w:t xml:space="preserve"> </w:t>
      </w:r>
      <w:r w:rsidRPr="00F366DA">
        <w:t>MCI, mild cognitive impairment;</w:t>
      </w:r>
      <w:r>
        <w:t xml:space="preserve"> MMSE, Mini</w:t>
      </w:r>
      <w:r w:rsidR="00617B67">
        <w:t>-</w:t>
      </w:r>
      <w:r>
        <w:t xml:space="preserve">Mental State Examination; MRI, magnetic resonance imaging; </w:t>
      </w:r>
      <w:r w:rsidRPr="00F366DA">
        <w:t>NIA-AA, National Institute on Aging and the Alzheimer’s Association Workshop</w:t>
      </w:r>
      <w:r>
        <w:t xml:space="preserve">; NINCDS-ADRDA, National Institute of Neurological and Communicative Disorders and Stroke and of the Alzheimer’s Disease and Related Disorders Association; NINDS-AIREN, National Institute of Neurological and Communicative Disorders and Stroke and the Association Internationale pour le Recherche et l’Ensignement en Neurosciences; NR, not reported; PET, positron emission tomography; rCBF, regional cerebral blood flow; SPECT, single-photon emission computed tomography; VD, vascular dementia; </w:t>
      </w:r>
      <w:r w:rsidRPr="00F366DA">
        <w:t>3D-SSP, three-dimensional stereotactic surface projections</w:t>
      </w:r>
      <w:r>
        <w:t>.</w:t>
      </w:r>
    </w:p>
    <w:p w14:paraId="32600F82" w14:textId="77777777" w:rsidR="00511657" w:rsidRDefault="00511657" w:rsidP="00511657">
      <w:pPr>
        <w:pStyle w:val="Tablefootnotes"/>
      </w:pPr>
      <w:r>
        <w:rPr>
          <w:vertAlign w:val="superscript"/>
        </w:rPr>
        <w:t xml:space="preserve">a </w:t>
      </w:r>
      <w:r>
        <w:t>Mean MMSE only in patients with a final diagnosis of AD (according to NIA-AA).</w:t>
      </w:r>
    </w:p>
    <w:p w14:paraId="2A3FBDBA" w14:textId="77777777" w:rsidR="00511657" w:rsidRDefault="00511657" w:rsidP="00511657">
      <w:pPr>
        <w:pStyle w:val="Tablefootnotes"/>
      </w:pPr>
      <w:r>
        <w:rPr>
          <w:vertAlign w:val="superscript"/>
        </w:rPr>
        <w:t xml:space="preserve">b </w:t>
      </w:r>
      <w:r w:rsidRPr="007F47EC">
        <w:t>Before the study, the 11C-PiB  PET scans were interpreted by an independent nuclear medicine physician in accordance with the NIA-AA research criteria.</w:t>
      </w:r>
    </w:p>
    <w:p w14:paraId="6B12D70E" w14:textId="232CB6F8" w:rsidR="00D843F0" w:rsidRPr="0084689D" w:rsidRDefault="00242F06" w:rsidP="00D843F0">
      <w:pPr>
        <w:pStyle w:val="Tablefootnotes"/>
      </w:pPr>
      <w:r>
        <w:rPr>
          <w:vertAlign w:val="superscript"/>
        </w:rPr>
        <w:t>c</w:t>
      </w:r>
      <w:r>
        <w:t xml:space="preserve"> </w:t>
      </w:r>
      <w:r w:rsidR="004D0C5C">
        <w:t>This aspect of the methodology was unclear. A quantitative analysis was conducted; however, it appeared that visual a</w:t>
      </w:r>
      <w:r w:rsidR="00B75310">
        <w:t>ssessment was used for diagnosis and the quantitative results were used in a separate analysis.</w:t>
      </w:r>
    </w:p>
    <w:p w14:paraId="55B67626" w14:textId="1A30C74F" w:rsidR="00511657" w:rsidRPr="0084689D" w:rsidRDefault="00511657" w:rsidP="0084689D">
      <w:pPr>
        <w:tabs>
          <w:tab w:val="left" w:pos="6690"/>
        </w:tabs>
        <w:sectPr w:rsidR="00511657" w:rsidRPr="0084689D" w:rsidSect="00AD52D3">
          <w:footerReference w:type="default" r:id="rId14"/>
          <w:pgSz w:w="16838" w:h="11906" w:orient="landscape" w:code="9"/>
          <w:pgMar w:top="1440" w:right="1440" w:bottom="1440" w:left="1440" w:header="680" w:footer="1021" w:gutter="0"/>
          <w:cols w:space="708"/>
          <w:docGrid w:linePitch="360"/>
        </w:sectPr>
      </w:pPr>
    </w:p>
    <w:p w14:paraId="68992FF3" w14:textId="792D7757" w:rsidR="00511657" w:rsidRDefault="00934CF0" w:rsidP="00903DA7">
      <w:pPr>
        <w:pStyle w:val="Heading4"/>
      </w:pPr>
      <w:bookmarkStart w:id="103" w:name="_Ref406073422"/>
      <w:r>
        <w:lastRenderedPageBreak/>
        <w:t>I</w:t>
      </w:r>
      <w:r w:rsidR="0025189C">
        <w:t>ndirect evidence</w:t>
      </w:r>
      <w:bookmarkEnd w:id="103"/>
    </w:p>
    <w:p w14:paraId="57D162A7" w14:textId="1A85AB2D" w:rsidR="00511657" w:rsidRDefault="00511657" w:rsidP="00511657">
      <w:r>
        <w:t xml:space="preserve">The clinical evaluation includes </w:t>
      </w:r>
      <w:r w:rsidR="00CB70AB">
        <w:t xml:space="preserve">additional </w:t>
      </w:r>
      <w:r>
        <w:t xml:space="preserve">diagnostic accuracy evidence from four FDG-PET studies and eight SPECT studies. </w:t>
      </w:r>
      <w:r w:rsidRPr="00FC1664">
        <w:t xml:space="preserve">Overall, the studies </w:t>
      </w:r>
      <w:r w:rsidR="00A81AF1" w:rsidRPr="00A81AF1">
        <w:t xml:space="preserve">that provide indirect evidence of the diagnostic accuracy of FDG-PET or SPECT </w:t>
      </w:r>
      <w:r w:rsidRPr="00FC1664">
        <w:t>were heterogeneous, with a range of different methods of assessment</w:t>
      </w:r>
      <w:r w:rsidR="00256F91">
        <w:t>. Only one of the FDG-PET studies (Foster et al, 2007) used semi-quantitative analysis; however, the study d</w:t>
      </w:r>
      <w:r w:rsidR="00577007">
        <w:t>id not report relevant data (i.e</w:t>
      </w:r>
      <w:r w:rsidR="00256F91">
        <w:t xml:space="preserve">. TP, FP, FN, TN) and </w:t>
      </w:r>
      <w:r w:rsidR="00F27938">
        <w:t xml:space="preserve">its value </w:t>
      </w:r>
      <w:r w:rsidR="00040904">
        <w:t>i</w:t>
      </w:r>
      <w:r w:rsidR="00F27938">
        <w:t>s therefor</w:t>
      </w:r>
      <w:r w:rsidR="00A35B36">
        <w:t>e limited.</w:t>
      </w:r>
    </w:p>
    <w:p w14:paraId="16C297A8" w14:textId="77777777" w:rsidR="00511657" w:rsidRDefault="00511657" w:rsidP="00511657">
      <w:r>
        <w:t>All four FDG-PET studies were conducted in the United States and had sample sizes ranging from 22 to 138 patients. Five of the SPECT studies were also from the United States, two were from the United Kingdom and one was from the Czech Republic. The smallest SPECT study (Rusina et al, 2010) had 27 participants, of which 17 had pathologically confirmed AD and 10 had amyotrophic lateral sclerosis (ALS) without cognitive dysfunction. The largest SPECT study (Jobst et al, 1998) had 223 participants, including 80 AD patients, 24 patients with non-AD dementias and 119 normal controls.</w:t>
      </w:r>
    </w:p>
    <w:p w14:paraId="4240CC97" w14:textId="60A2C6D7" w:rsidR="00511657" w:rsidRDefault="00511657" w:rsidP="00511657">
      <w:r>
        <w:t>Upon close inspection of the included studies it was apparent that some patients were reported in multiple publications. For example, a cohort of patients reported in Jobst et al (1998) later made up part of the patient population in Jagust et al (2001). Similarly, Bonte et al (2006) stated that 11 out of the 49 patients in their study had previously been reported in Bonte et al (1993) and Bonte et al (1997)</w:t>
      </w:r>
      <w:r w:rsidR="00BD65E4">
        <w:t xml:space="preserve">, and Silverman et al (2001) </w:t>
      </w:r>
      <w:r w:rsidR="00A76C37">
        <w:t>included</w:t>
      </w:r>
      <w:r w:rsidR="00BD65E4">
        <w:t xml:space="preserve"> some </w:t>
      </w:r>
      <w:r w:rsidR="00A76C37">
        <w:t>patient</w:t>
      </w:r>
      <w:r w:rsidR="00BD65E4">
        <w:t xml:space="preserve">s that had been </w:t>
      </w:r>
      <w:r w:rsidR="00A76C37">
        <w:t>included</w:t>
      </w:r>
      <w:r w:rsidR="00BD65E4">
        <w:t xml:space="preserve"> in Hoffman et al (2000). </w:t>
      </w:r>
    </w:p>
    <w:p w14:paraId="4AF59E69" w14:textId="03619CF3" w:rsidR="00511657" w:rsidRDefault="00511657" w:rsidP="00511657">
      <w:r>
        <w:t xml:space="preserve">While all of the studies included pathological confirmation of AD diagnoses, some did not have pathological confirmation for all non-demented controls. As discussed above, Rusina et al (2010) included 10 patients with ALS, of which five underwent autopsies confirming the absence of AD. Jobst et al (1998) included 105 living controls and only 14 controls with a postmortem diagnosis. Similarly, Jagust et al (2001) included 14 autopsied controls (possibly the same cohort) and 71 controls without a pathological diagnosis. In reporting diagnostic accuracy, the authors of the three aforementioned studies assumed that normal controls without autopsies </w:t>
      </w:r>
      <w:r w:rsidRPr="00B02A1E">
        <w:t>were truly negative for AD pathology (i.e. they were true</w:t>
      </w:r>
      <w:r w:rsidR="0064732B">
        <w:t xml:space="preserve"> </w:t>
      </w:r>
      <w:r w:rsidRPr="00B02A1E">
        <w:t>negatives or false</w:t>
      </w:r>
      <w:r w:rsidR="000E05F2">
        <w:t xml:space="preserve"> </w:t>
      </w:r>
      <w:r w:rsidRPr="00B02A1E">
        <w:t>positives), see</w:t>
      </w:r>
      <w:r w:rsidR="00B02A1E" w:rsidRPr="00B02A1E">
        <w:t xml:space="preserve"> </w:t>
      </w:r>
      <w:r w:rsidR="00B02A1E" w:rsidRPr="00B02A1E">
        <w:fldChar w:fldCharType="begin"/>
      </w:r>
      <w:r w:rsidR="00B02A1E" w:rsidRPr="00B02A1E">
        <w:instrText xml:space="preserve"> REF _Ref406399426 \h </w:instrText>
      </w:r>
      <w:r w:rsidR="00B02A1E">
        <w:instrText xml:space="preserve"> \* MERGEFORMAT </w:instrText>
      </w:r>
      <w:r w:rsidR="00B02A1E" w:rsidRPr="00B02A1E">
        <w:fldChar w:fldCharType="separate"/>
      </w:r>
      <w:r w:rsidR="00C67698">
        <w:t xml:space="preserve">Table </w:t>
      </w:r>
      <w:r w:rsidR="00C67698">
        <w:rPr>
          <w:noProof/>
        </w:rPr>
        <w:t>B.4</w:t>
      </w:r>
      <w:r w:rsidR="00C67698">
        <w:rPr>
          <w:noProof/>
        </w:rPr>
        <w:noBreakHyphen/>
        <w:t>2</w:t>
      </w:r>
      <w:r w:rsidR="00B02A1E" w:rsidRPr="00B02A1E">
        <w:fldChar w:fldCharType="end"/>
      </w:r>
      <w:r w:rsidR="00B02A1E">
        <w:t>.</w:t>
      </w:r>
    </w:p>
    <w:p w14:paraId="4BCB0F04" w14:textId="748D212B" w:rsidR="00511657" w:rsidRDefault="00511657" w:rsidP="00511657">
      <w:r>
        <w:t xml:space="preserve">The only other study without autopsy confirmation of all cases was Bonte et al (2004), which evaluated the ability of SPECT to differentiate between AD and </w:t>
      </w:r>
      <w:r w:rsidR="00BD65E4">
        <w:t>FTD</w:t>
      </w:r>
      <w:r>
        <w:t xml:space="preserve">. Autopsies were available for </w:t>
      </w:r>
      <w:r w:rsidRPr="00B80BF4">
        <w:t>17 out of 40</w:t>
      </w:r>
      <w:r>
        <w:t xml:space="preserve"> patients and for the purpose of analysis, the initial clinical diagnosis of either AD or </w:t>
      </w:r>
      <w:r w:rsidR="00BD65E4">
        <w:t>FTD</w:t>
      </w:r>
      <w:r>
        <w:t xml:space="preserve"> was assumed to be correct in the other 23 patients. </w:t>
      </w:r>
    </w:p>
    <w:p w14:paraId="278711FD" w14:textId="77777777" w:rsidR="003262DE" w:rsidRDefault="003262DE" w:rsidP="00511657"/>
    <w:p w14:paraId="03C9D4BB" w14:textId="77777777" w:rsidR="003262DE" w:rsidRPr="00AB4F03" w:rsidRDefault="003262DE" w:rsidP="00511657">
      <w:pPr>
        <w:sectPr w:rsidR="003262DE" w:rsidRPr="00AB4F03" w:rsidSect="00F710E2">
          <w:footerReference w:type="default" r:id="rId15"/>
          <w:pgSz w:w="11906" w:h="16838" w:code="9"/>
          <w:pgMar w:top="1440" w:right="1440" w:bottom="1440" w:left="1440" w:header="680" w:footer="1021" w:gutter="0"/>
          <w:cols w:space="708"/>
          <w:docGrid w:linePitch="360"/>
        </w:sectPr>
      </w:pPr>
    </w:p>
    <w:p w14:paraId="57FA4BF8" w14:textId="608CC95E" w:rsidR="00B02A1E" w:rsidRDefault="00B02A1E" w:rsidP="00B02A1E">
      <w:pPr>
        <w:pStyle w:val="Caption"/>
      </w:pPr>
      <w:bookmarkStart w:id="104" w:name="_Ref406399426"/>
      <w:bookmarkStart w:id="105" w:name="_Toc408845213"/>
      <w:r>
        <w:lastRenderedPageBreak/>
        <w:t xml:space="preserve">Table </w:t>
      </w:r>
      <w:fldSimple w:instr=" STYLEREF 2 \s ">
        <w:r w:rsidR="00C67698">
          <w:rPr>
            <w:noProof/>
          </w:rPr>
          <w:t>B.4</w:t>
        </w:r>
      </w:fldSimple>
      <w:r w:rsidR="00524916">
        <w:noBreakHyphen/>
      </w:r>
      <w:fldSimple w:instr=" SEQ Table \* ARABIC \s 2 ">
        <w:r w:rsidR="00C67698">
          <w:rPr>
            <w:noProof/>
          </w:rPr>
          <w:t>2</w:t>
        </w:r>
      </w:fldSimple>
      <w:bookmarkEnd w:id="104"/>
      <w:r>
        <w:tab/>
      </w:r>
      <w:r w:rsidR="00CB70AB">
        <w:t xml:space="preserve">Indirect evidence of </w:t>
      </w:r>
      <w:r w:rsidR="00C345CC">
        <w:t>the diagnostic accuracy of FDG-PET and</w:t>
      </w:r>
      <w:r>
        <w:t xml:space="preserve"> SPECT</w:t>
      </w:r>
      <w:bookmarkEnd w:id="105"/>
    </w:p>
    <w:tbl>
      <w:tblPr>
        <w:tblW w:w="1330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he studies reporting diagnostic accuracy of either FDG-PET or SPECT"/>
        <w:tblDescription w:val="The characteristics of studies reporting the diagnostic accuracy of FDG-PET or SPECT, including study population, intervention and reference standard."/>
      </w:tblPr>
      <w:tblGrid>
        <w:gridCol w:w="976"/>
        <w:gridCol w:w="5307"/>
        <w:gridCol w:w="1134"/>
        <w:gridCol w:w="3260"/>
        <w:gridCol w:w="2632"/>
      </w:tblGrid>
      <w:tr w:rsidR="00B02A1E" w14:paraId="03759DE0" w14:textId="77777777" w:rsidTr="003D1597">
        <w:trPr>
          <w:tblHeader/>
        </w:trPr>
        <w:tc>
          <w:tcPr>
            <w:tcW w:w="976" w:type="dxa"/>
            <w:shd w:val="clear" w:color="auto" w:fill="F2F2F2" w:themeFill="background1" w:themeFillShade="F2"/>
          </w:tcPr>
          <w:p w14:paraId="38415644" w14:textId="77777777" w:rsidR="00B02A1E" w:rsidRDefault="00B02A1E" w:rsidP="006B3ECF">
            <w:pPr>
              <w:pStyle w:val="Tabletextboldleft"/>
              <w:keepNext w:val="0"/>
            </w:pPr>
            <w:r>
              <w:t xml:space="preserve">Study ID </w:t>
            </w:r>
          </w:p>
        </w:tc>
        <w:tc>
          <w:tcPr>
            <w:tcW w:w="5307" w:type="dxa"/>
            <w:shd w:val="clear" w:color="auto" w:fill="F2F2F2" w:themeFill="background1" w:themeFillShade="F2"/>
          </w:tcPr>
          <w:p w14:paraId="3D973B21" w14:textId="77777777" w:rsidR="00B02A1E" w:rsidRDefault="00B02A1E" w:rsidP="006B3ECF">
            <w:pPr>
              <w:pStyle w:val="Tabletextboldleft"/>
              <w:keepNext w:val="0"/>
            </w:pPr>
            <w:r>
              <w:t>Study population</w:t>
            </w:r>
          </w:p>
        </w:tc>
        <w:tc>
          <w:tcPr>
            <w:tcW w:w="1134" w:type="dxa"/>
            <w:shd w:val="clear" w:color="auto" w:fill="F2F2F2" w:themeFill="background1" w:themeFillShade="F2"/>
          </w:tcPr>
          <w:p w14:paraId="6DC44551" w14:textId="77777777" w:rsidR="00B02A1E" w:rsidRDefault="00B02A1E" w:rsidP="006B3ECF">
            <w:pPr>
              <w:pStyle w:val="Tabletextboldleft"/>
              <w:keepNext w:val="0"/>
            </w:pPr>
            <w:r>
              <w:t>Intervention</w:t>
            </w:r>
          </w:p>
        </w:tc>
        <w:tc>
          <w:tcPr>
            <w:tcW w:w="3260" w:type="dxa"/>
            <w:shd w:val="clear" w:color="auto" w:fill="F2F2F2" w:themeFill="background1" w:themeFillShade="F2"/>
          </w:tcPr>
          <w:p w14:paraId="1DA41696" w14:textId="77777777" w:rsidR="00B02A1E" w:rsidRDefault="00B02A1E" w:rsidP="006B3ECF">
            <w:pPr>
              <w:pStyle w:val="Tabletextboldleft"/>
              <w:keepNext w:val="0"/>
            </w:pPr>
            <w:r>
              <w:t>Method of evaluation</w:t>
            </w:r>
          </w:p>
        </w:tc>
        <w:tc>
          <w:tcPr>
            <w:tcW w:w="2632" w:type="dxa"/>
            <w:shd w:val="clear" w:color="auto" w:fill="F2F2F2" w:themeFill="background1" w:themeFillShade="F2"/>
          </w:tcPr>
          <w:p w14:paraId="3B032A2C" w14:textId="77777777" w:rsidR="00B02A1E" w:rsidRDefault="00B02A1E" w:rsidP="006B3ECF">
            <w:pPr>
              <w:pStyle w:val="Tabletextboldleft"/>
              <w:keepNext w:val="0"/>
            </w:pPr>
            <w:r>
              <w:t>Reference standard</w:t>
            </w:r>
          </w:p>
        </w:tc>
      </w:tr>
      <w:tr w:rsidR="00B02A1E" w14:paraId="564C1A98" w14:textId="77777777" w:rsidTr="003D1597">
        <w:tc>
          <w:tcPr>
            <w:tcW w:w="976" w:type="dxa"/>
            <w:shd w:val="clear" w:color="auto" w:fill="D0CECE" w:themeFill="background2" w:themeFillShade="E6"/>
          </w:tcPr>
          <w:p w14:paraId="52363D37" w14:textId="77777777" w:rsidR="00B02A1E" w:rsidRDefault="00B02A1E" w:rsidP="006B3ECF">
            <w:pPr>
              <w:pStyle w:val="Tabletextcentred"/>
              <w:jc w:val="left"/>
            </w:pPr>
            <w:r>
              <w:t>FDG-PET</w:t>
            </w:r>
          </w:p>
        </w:tc>
        <w:tc>
          <w:tcPr>
            <w:tcW w:w="5307" w:type="dxa"/>
            <w:shd w:val="clear" w:color="auto" w:fill="D0CECE" w:themeFill="background2" w:themeFillShade="E6"/>
          </w:tcPr>
          <w:p w14:paraId="05D75295" w14:textId="77777777" w:rsidR="00B02A1E" w:rsidRPr="008223B8" w:rsidRDefault="00B02A1E" w:rsidP="006B3ECF">
            <w:pPr>
              <w:pStyle w:val="Tabletextcentred"/>
              <w:jc w:val="left"/>
            </w:pPr>
            <w:r w:rsidRPr="008223B8">
              <w:t>-</w:t>
            </w:r>
          </w:p>
        </w:tc>
        <w:tc>
          <w:tcPr>
            <w:tcW w:w="1134" w:type="dxa"/>
            <w:shd w:val="clear" w:color="auto" w:fill="D0CECE" w:themeFill="background2" w:themeFillShade="E6"/>
          </w:tcPr>
          <w:p w14:paraId="3087CB50" w14:textId="77777777" w:rsidR="00B02A1E" w:rsidRDefault="00B02A1E" w:rsidP="006B3ECF">
            <w:pPr>
              <w:pStyle w:val="Tabletextcentred"/>
              <w:jc w:val="left"/>
            </w:pPr>
            <w:r>
              <w:t>-</w:t>
            </w:r>
          </w:p>
        </w:tc>
        <w:tc>
          <w:tcPr>
            <w:tcW w:w="3260" w:type="dxa"/>
            <w:shd w:val="clear" w:color="auto" w:fill="D0CECE" w:themeFill="background2" w:themeFillShade="E6"/>
          </w:tcPr>
          <w:p w14:paraId="648F83D8" w14:textId="77777777" w:rsidR="00B02A1E" w:rsidRDefault="00B02A1E" w:rsidP="006B3ECF">
            <w:pPr>
              <w:pStyle w:val="Tabletextcentred"/>
              <w:jc w:val="left"/>
            </w:pPr>
            <w:r>
              <w:t>-</w:t>
            </w:r>
          </w:p>
        </w:tc>
        <w:tc>
          <w:tcPr>
            <w:tcW w:w="2632" w:type="dxa"/>
            <w:shd w:val="clear" w:color="auto" w:fill="D0CECE" w:themeFill="background2" w:themeFillShade="E6"/>
          </w:tcPr>
          <w:p w14:paraId="70C1CFC1" w14:textId="77777777" w:rsidR="00B02A1E" w:rsidRDefault="00B02A1E" w:rsidP="006B3ECF">
            <w:pPr>
              <w:pStyle w:val="Tabletextcentred"/>
              <w:jc w:val="left"/>
            </w:pPr>
            <w:r>
              <w:t>-</w:t>
            </w:r>
          </w:p>
        </w:tc>
      </w:tr>
      <w:tr w:rsidR="00B02A1E" w14:paraId="21A3412E" w14:textId="77777777" w:rsidTr="003D1597">
        <w:tc>
          <w:tcPr>
            <w:tcW w:w="976" w:type="dxa"/>
            <w:shd w:val="clear" w:color="auto" w:fill="auto"/>
          </w:tcPr>
          <w:p w14:paraId="40A5203F" w14:textId="77777777" w:rsidR="00B02A1E" w:rsidRDefault="00B02A1E" w:rsidP="006B3ECF">
            <w:pPr>
              <w:pStyle w:val="Tabletextcentred"/>
              <w:jc w:val="left"/>
            </w:pPr>
            <w:r>
              <w:t>Foster (2007)</w:t>
            </w:r>
          </w:p>
        </w:tc>
        <w:tc>
          <w:tcPr>
            <w:tcW w:w="5307" w:type="dxa"/>
            <w:shd w:val="clear" w:color="auto" w:fill="auto"/>
          </w:tcPr>
          <w:p w14:paraId="19D2E15D" w14:textId="77777777" w:rsidR="00B02A1E" w:rsidRDefault="00B02A1E" w:rsidP="006B3ECF">
            <w:pPr>
              <w:pStyle w:val="Tabletextcentred"/>
              <w:jc w:val="left"/>
              <w:rPr>
                <w:u w:val="single"/>
              </w:rPr>
            </w:pPr>
            <w:r>
              <w:rPr>
                <w:u w:val="single"/>
              </w:rPr>
              <w:t>Cases:</w:t>
            </w:r>
          </w:p>
          <w:p w14:paraId="4A1C6368" w14:textId="77777777" w:rsidR="00B02A1E" w:rsidRDefault="00B02A1E" w:rsidP="006B3ECF">
            <w:pPr>
              <w:pStyle w:val="Tabletextcentred"/>
              <w:jc w:val="left"/>
            </w:pPr>
            <w:r>
              <w:t xml:space="preserve">31 patients with pathologically confirmed AD (mean age: 66 years; mean MMSE score: 14); and </w:t>
            </w:r>
          </w:p>
          <w:p w14:paraId="3E1E7695" w14:textId="77777777" w:rsidR="00B02A1E" w:rsidRPr="007E44E2" w:rsidRDefault="00B02A1E" w:rsidP="006B3ECF">
            <w:pPr>
              <w:pStyle w:val="Tabletextcentred"/>
              <w:jc w:val="left"/>
            </w:pPr>
            <w:r>
              <w:t>14 patients with pathologically confirmed FTD (mean age: 66 years; mean MMSE: 16)</w:t>
            </w:r>
          </w:p>
        </w:tc>
        <w:tc>
          <w:tcPr>
            <w:tcW w:w="1134" w:type="dxa"/>
            <w:shd w:val="clear" w:color="auto" w:fill="auto"/>
          </w:tcPr>
          <w:p w14:paraId="31B7F7E3" w14:textId="77777777" w:rsidR="00B02A1E" w:rsidRDefault="00B02A1E" w:rsidP="006B3ECF">
            <w:pPr>
              <w:pStyle w:val="Tabletextcentred"/>
              <w:jc w:val="left"/>
            </w:pPr>
            <w:r>
              <w:t>FDG-PET</w:t>
            </w:r>
          </w:p>
        </w:tc>
        <w:tc>
          <w:tcPr>
            <w:tcW w:w="3260" w:type="dxa"/>
            <w:shd w:val="clear" w:color="auto" w:fill="auto"/>
          </w:tcPr>
          <w:p w14:paraId="79AD9D6C" w14:textId="5AD6BA9A" w:rsidR="00B02A1E" w:rsidRDefault="00D25339" w:rsidP="006B3ECF">
            <w:pPr>
              <w:pStyle w:val="Tabletextcentred"/>
              <w:jc w:val="left"/>
            </w:pPr>
            <w:r>
              <w:t>Consensus diagnosis by six</w:t>
            </w:r>
            <w:r w:rsidR="00B02A1E">
              <w:t xml:space="preserve"> neurologists (some were recognised experts in FDG-PET imaging, others were novices). Neurologists were shown two different displays of PET data – transaxial and stereotactic surface projection</w:t>
            </w:r>
            <w:r w:rsidR="00B02A1E">
              <w:rPr>
                <w:vertAlign w:val="superscript"/>
              </w:rPr>
              <w:t>a</w:t>
            </w:r>
            <w:r w:rsidR="00B02A1E">
              <w:t xml:space="preserve"> </w:t>
            </w:r>
          </w:p>
        </w:tc>
        <w:tc>
          <w:tcPr>
            <w:tcW w:w="2632" w:type="dxa"/>
            <w:shd w:val="clear" w:color="auto" w:fill="auto"/>
          </w:tcPr>
          <w:p w14:paraId="147D2FE6" w14:textId="77777777" w:rsidR="00B02A1E" w:rsidRDefault="00B02A1E" w:rsidP="006B3ECF">
            <w:pPr>
              <w:pStyle w:val="Tabletextcentred"/>
              <w:jc w:val="left"/>
            </w:pPr>
            <w:r>
              <w:t>Autopsy confirmation using NIA-Reagan Institute criteria</w:t>
            </w:r>
          </w:p>
        </w:tc>
      </w:tr>
      <w:tr w:rsidR="00B02A1E" w14:paraId="62BA1D83" w14:textId="77777777" w:rsidTr="003D1597">
        <w:tc>
          <w:tcPr>
            <w:tcW w:w="976" w:type="dxa"/>
            <w:shd w:val="clear" w:color="auto" w:fill="auto"/>
          </w:tcPr>
          <w:p w14:paraId="0F084526" w14:textId="77777777" w:rsidR="00B02A1E" w:rsidRDefault="00B02A1E" w:rsidP="006B3ECF">
            <w:pPr>
              <w:pStyle w:val="Tabletextcentred"/>
              <w:jc w:val="left"/>
            </w:pPr>
            <w:r>
              <w:t>Jagust (2007)</w:t>
            </w:r>
          </w:p>
        </w:tc>
        <w:tc>
          <w:tcPr>
            <w:tcW w:w="5307" w:type="dxa"/>
            <w:shd w:val="clear" w:color="auto" w:fill="auto"/>
          </w:tcPr>
          <w:p w14:paraId="53C0992C" w14:textId="693589ED" w:rsidR="001060F1" w:rsidRPr="001060F1" w:rsidRDefault="001060F1" w:rsidP="006B3ECF">
            <w:pPr>
              <w:pStyle w:val="Tabletextcentred"/>
              <w:jc w:val="left"/>
              <w:rPr>
                <w:u w:val="single"/>
              </w:rPr>
            </w:pPr>
            <w:r w:rsidRPr="001060F1">
              <w:rPr>
                <w:u w:val="single"/>
              </w:rPr>
              <w:t>Cases:</w:t>
            </w:r>
          </w:p>
          <w:p w14:paraId="4B518890" w14:textId="77777777" w:rsidR="00B02A1E" w:rsidRPr="00C26210" w:rsidRDefault="00B02A1E" w:rsidP="006B3ECF">
            <w:pPr>
              <w:pStyle w:val="Tabletextcentred"/>
              <w:jc w:val="left"/>
            </w:pPr>
            <w:r w:rsidRPr="00103C2E">
              <w:t>44 patients</w:t>
            </w:r>
            <w:r>
              <w:t xml:space="preserve"> with dementia, cognitive impairment, or normal cognitive function (mean age: 75; mean MMSE: 23, both inclusive of 9 normal controls)</w:t>
            </w:r>
          </w:p>
        </w:tc>
        <w:tc>
          <w:tcPr>
            <w:tcW w:w="1134" w:type="dxa"/>
            <w:shd w:val="clear" w:color="auto" w:fill="auto"/>
          </w:tcPr>
          <w:p w14:paraId="11F0DA47" w14:textId="77777777" w:rsidR="00B02A1E" w:rsidRPr="00C26210" w:rsidRDefault="00B02A1E" w:rsidP="006B3ECF">
            <w:pPr>
              <w:pStyle w:val="Tabletextcentred"/>
              <w:jc w:val="left"/>
            </w:pPr>
            <w:r>
              <w:t>FDG-PET</w:t>
            </w:r>
          </w:p>
        </w:tc>
        <w:tc>
          <w:tcPr>
            <w:tcW w:w="3260" w:type="dxa"/>
            <w:shd w:val="clear" w:color="auto" w:fill="auto"/>
          </w:tcPr>
          <w:p w14:paraId="5FF280BA" w14:textId="70C2607A" w:rsidR="00B02A1E" w:rsidRDefault="00D25339" w:rsidP="006B3ECF">
            <w:pPr>
              <w:pStyle w:val="Tabletextcentred"/>
              <w:jc w:val="left"/>
            </w:pPr>
            <w:r>
              <w:t>Visual evaluation by two</w:t>
            </w:r>
            <w:r w:rsidR="00B02A1E">
              <w:t xml:space="preserve"> expert raters with extensive experience reading FDG-PET scans in research settings</w:t>
            </w:r>
          </w:p>
        </w:tc>
        <w:tc>
          <w:tcPr>
            <w:tcW w:w="2632" w:type="dxa"/>
            <w:shd w:val="clear" w:color="auto" w:fill="auto"/>
          </w:tcPr>
          <w:p w14:paraId="75413C7A" w14:textId="77777777" w:rsidR="00B02A1E" w:rsidRPr="00C26210" w:rsidRDefault="00B02A1E" w:rsidP="006B3ECF">
            <w:pPr>
              <w:pStyle w:val="Tabletextcentred"/>
              <w:jc w:val="left"/>
            </w:pPr>
            <w:r>
              <w:t>Follow-up to autopsy at average 5 years. CERAD diagnostic criteria for AD were used for all cases</w:t>
            </w:r>
            <w:r>
              <w:rPr>
                <w:vertAlign w:val="superscript"/>
              </w:rPr>
              <w:t>b</w:t>
            </w:r>
            <w:r>
              <w:t>; some patients also received a final diagnosis according to the NIA-Reagan Institute criteria</w:t>
            </w:r>
          </w:p>
        </w:tc>
      </w:tr>
      <w:tr w:rsidR="00B02A1E" w14:paraId="42F70553" w14:textId="77777777" w:rsidTr="003D1597">
        <w:tc>
          <w:tcPr>
            <w:tcW w:w="976" w:type="dxa"/>
            <w:shd w:val="clear" w:color="auto" w:fill="auto"/>
          </w:tcPr>
          <w:p w14:paraId="190B1AE9" w14:textId="77777777" w:rsidR="00B02A1E" w:rsidRDefault="00B02A1E" w:rsidP="006B3ECF">
            <w:pPr>
              <w:pStyle w:val="Tabletextcentred"/>
              <w:jc w:val="left"/>
            </w:pPr>
            <w:r>
              <w:t>Silverman (2001)</w:t>
            </w:r>
          </w:p>
        </w:tc>
        <w:tc>
          <w:tcPr>
            <w:tcW w:w="5307" w:type="dxa"/>
            <w:shd w:val="clear" w:color="auto" w:fill="auto"/>
          </w:tcPr>
          <w:p w14:paraId="45F942C8" w14:textId="6F190594" w:rsidR="001060F1" w:rsidRPr="001060F1" w:rsidRDefault="001060F1" w:rsidP="006B3ECF">
            <w:pPr>
              <w:pStyle w:val="Tabletextcentred"/>
              <w:jc w:val="left"/>
              <w:rPr>
                <w:u w:val="single"/>
              </w:rPr>
            </w:pPr>
            <w:r w:rsidRPr="001060F1">
              <w:rPr>
                <w:u w:val="single"/>
              </w:rPr>
              <w:t>Cases:</w:t>
            </w:r>
          </w:p>
          <w:p w14:paraId="5A141AD5" w14:textId="77777777" w:rsidR="00B02A1E" w:rsidRPr="00C26210" w:rsidRDefault="00B02A1E" w:rsidP="006B3ECF">
            <w:pPr>
              <w:pStyle w:val="Tabletextcentred"/>
              <w:jc w:val="left"/>
            </w:pPr>
            <w:r>
              <w:t>138 patients undergoing evaluation for dementia (mean age: 66 years; MMSE: 24)</w:t>
            </w:r>
          </w:p>
        </w:tc>
        <w:tc>
          <w:tcPr>
            <w:tcW w:w="1134" w:type="dxa"/>
            <w:shd w:val="clear" w:color="auto" w:fill="auto"/>
          </w:tcPr>
          <w:p w14:paraId="50565470" w14:textId="77777777" w:rsidR="00B02A1E" w:rsidRDefault="00B02A1E" w:rsidP="006B3ECF">
            <w:pPr>
              <w:pStyle w:val="Tabletextcentred"/>
              <w:jc w:val="left"/>
            </w:pPr>
            <w:r>
              <w:t>FDG-PET</w:t>
            </w:r>
          </w:p>
          <w:p w14:paraId="1AF23E95" w14:textId="77777777" w:rsidR="00B02A1E" w:rsidRPr="00C26210" w:rsidRDefault="00B02A1E" w:rsidP="006B3ECF">
            <w:pPr>
              <w:pStyle w:val="Tabletextcentred"/>
              <w:jc w:val="left"/>
            </w:pPr>
          </w:p>
        </w:tc>
        <w:tc>
          <w:tcPr>
            <w:tcW w:w="3260" w:type="dxa"/>
            <w:shd w:val="clear" w:color="auto" w:fill="auto"/>
          </w:tcPr>
          <w:p w14:paraId="5A579133" w14:textId="77777777" w:rsidR="00B02A1E" w:rsidRDefault="00B02A1E" w:rsidP="006B3ECF">
            <w:pPr>
              <w:pStyle w:val="Tabletextcentred"/>
              <w:jc w:val="left"/>
            </w:pPr>
            <w:r>
              <w:t>Visual evaluation by a medical physician</w:t>
            </w:r>
          </w:p>
        </w:tc>
        <w:tc>
          <w:tcPr>
            <w:tcW w:w="2632" w:type="dxa"/>
            <w:shd w:val="clear" w:color="auto" w:fill="auto"/>
          </w:tcPr>
          <w:p w14:paraId="6C6A3EC5" w14:textId="77777777" w:rsidR="00B02A1E" w:rsidRPr="00C26210" w:rsidRDefault="00B02A1E" w:rsidP="006B3ECF">
            <w:pPr>
              <w:pStyle w:val="Tabletextcentred"/>
              <w:jc w:val="left"/>
            </w:pPr>
            <w:r>
              <w:t xml:space="preserve">Follow-up to autopsy at average 2.9 years (pathologic criteria varied across sites) </w:t>
            </w:r>
          </w:p>
        </w:tc>
      </w:tr>
      <w:tr w:rsidR="00B02A1E" w14:paraId="7849F41B" w14:textId="77777777" w:rsidTr="003D1597">
        <w:tc>
          <w:tcPr>
            <w:tcW w:w="976" w:type="dxa"/>
            <w:shd w:val="clear" w:color="auto" w:fill="auto"/>
          </w:tcPr>
          <w:p w14:paraId="19942170" w14:textId="77777777" w:rsidR="00B02A1E" w:rsidRDefault="00B02A1E" w:rsidP="006B3ECF">
            <w:pPr>
              <w:pStyle w:val="Tabletextcentred"/>
              <w:jc w:val="left"/>
            </w:pPr>
            <w:r>
              <w:t>Hoffman (2000)</w:t>
            </w:r>
          </w:p>
        </w:tc>
        <w:tc>
          <w:tcPr>
            <w:tcW w:w="5307" w:type="dxa"/>
            <w:shd w:val="clear" w:color="auto" w:fill="auto"/>
          </w:tcPr>
          <w:p w14:paraId="388331C9" w14:textId="77777777" w:rsidR="001060F1" w:rsidRPr="001060F1" w:rsidRDefault="001060F1" w:rsidP="006B3ECF">
            <w:pPr>
              <w:pStyle w:val="Tabletextcentred"/>
              <w:jc w:val="left"/>
              <w:rPr>
                <w:u w:val="single"/>
              </w:rPr>
            </w:pPr>
            <w:r w:rsidRPr="001060F1">
              <w:rPr>
                <w:u w:val="single"/>
              </w:rPr>
              <w:t>Cases:</w:t>
            </w:r>
          </w:p>
          <w:p w14:paraId="62D388D2" w14:textId="77777777" w:rsidR="00B02A1E" w:rsidRPr="00C26210" w:rsidRDefault="00B02A1E" w:rsidP="006B3ECF">
            <w:pPr>
              <w:pStyle w:val="Tabletextcentred"/>
              <w:jc w:val="left"/>
            </w:pPr>
            <w:r>
              <w:t xml:space="preserve">22 patients (mean age: 65 years) with difficult-to-characterise memory loss or dementia based on NINCDS-ADRDA criteria. </w:t>
            </w:r>
          </w:p>
        </w:tc>
        <w:tc>
          <w:tcPr>
            <w:tcW w:w="1134" w:type="dxa"/>
            <w:shd w:val="clear" w:color="auto" w:fill="auto"/>
          </w:tcPr>
          <w:p w14:paraId="6834D6E6" w14:textId="77777777" w:rsidR="00B02A1E" w:rsidRPr="00C26210" w:rsidRDefault="00B02A1E" w:rsidP="006B3ECF">
            <w:pPr>
              <w:pStyle w:val="Tabletextcentred"/>
              <w:jc w:val="left"/>
            </w:pPr>
            <w:r>
              <w:t>FDG-PET</w:t>
            </w:r>
          </w:p>
        </w:tc>
        <w:tc>
          <w:tcPr>
            <w:tcW w:w="3260" w:type="dxa"/>
            <w:shd w:val="clear" w:color="auto" w:fill="auto"/>
          </w:tcPr>
          <w:p w14:paraId="4E252400" w14:textId="77777777" w:rsidR="00B02A1E" w:rsidRDefault="00B02A1E" w:rsidP="006B3ECF">
            <w:pPr>
              <w:pStyle w:val="Tabletextcentred"/>
              <w:jc w:val="left"/>
            </w:pPr>
            <w:r>
              <w:t>Visual evaluation by an experienced medical physician</w:t>
            </w:r>
          </w:p>
        </w:tc>
        <w:tc>
          <w:tcPr>
            <w:tcW w:w="2632" w:type="dxa"/>
            <w:shd w:val="clear" w:color="auto" w:fill="auto"/>
          </w:tcPr>
          <w:p w14:paraId="01E2E3CE" w14:textId="77777777" w:rsidR="00B02A1E" w:rsidRPr="00C26210" w:rsidRDefault="00B02A1E" w:rsidP="006B3ECF">
            <w:pPr>
              <w:pStyle w:val="Tabletextcentred"/>
              <w:jc w:val="left"/>
            </w:pPr>
            <w:r>
              <w:t>Follow-up to autopsy in 20 cases; biopsy in 2 cases (CERAD criteria)</w:t>
            </w:r>
          </w:p>
        </w:tc>
      </w:tr>
      <w:tr w:rsidR="00B02A1E" w14:paraId="0C20CBA2" w14:textId="77777777" w:rsidTr="003D1597">
        <w:tc>
          <w:tcPr>
            <w:tcW w:w="976" w:type="dxa"/>
            <w:shd w:val="clear" w:color="auto" w:fill="D0CECE" w:themeFill="background2" w:themeFillShade="E6"/>
          </w:tcPr>
          <w:p w14:paraId="48269856" w14:textId="1C19B9F3" w:rsidR="00B02A1E" w:rsidRDefault="00B02A1E" w:rsidP="006B3ECF">
            <w:pPr>
              <w:pStyle w:val="Tabletextcentred"/>
              <w:jc w:val="left"/>
            </w:pPr>
            <w:r>
              <w:t>SPECT</w:t>
            </w:r>
          </w:p>
        </w:tc>
        <w:tc>
          <w:tcPr>
            <w:tcW w:w="5307" w:type="dxa"/>
            <w:shd w:val="clear" w:color="auto" w:fill="D0CECE" w:themeFill="background2" w:themeFillShade="E6"/>
          </w:tcPr>
          <w:p w14:paraId="0BAEF4A3" w14:textId="77777777" w:rsidR="00B02A1E" w:rsidRPr="002639EB" w:rsidRDefault="00B02A1E" w:rsidP="006B3ECF">
            <w:pPr>
              <w:pStyle w:val="Tabletextcentred"/>
              <w:jc w:val="left"/>
            </w:pPr>
            <w:r w:rsidRPr="002639EB">
              <w:t>-</w:t>
            </w:r>
          </w:p>
        </w:tc>
        <w:tc>
          <w:tcPr>
            <w:tcW w:w="1134" w:type="dxa"/>
            <w:shd w:val="clear" w:color="auto" w:fill="D0CECE" w:themeFill="background2" w:themeFillShade="E6"/>
          </w:tcPr>
          <w:p w14:paraId="51EBB913" w14:textId="77777777" w:rsidR="00B02A1E" w:rsidRDefault="00B02A1E" w:rsidP="006B3ECF">
            <w:pPr>
              <w:pStyle w:val="Tabletextcentred"/>
              <w:jc w:val="left"/>
            </w:pPr>
            <w:r>
              <w:t>-</w:t>
            </w:r>
          </w:p>
        </w:tc>
        <w:tc>
          <w:tcPr>
            <w:tcW w:w="3260" w:type="dxa"/>
            <w:shd w:val="clear" w:color="auto" w:fill="D0CECE" w:themeFill="background2" w:themeFillShade="E6"/>
          </w:tcPr>
          <w:p w14:paraId="5B280004" w14:textId="77777777" w:rsidR="00B02A1E" w:rsidRDefault="00B02A1E" w:rsidP="006B3ECF">
            <w:pPr>
              <w:pStyle w:val="Tabletextcentred"/>
              <w:jc w:val="left"/>
            </w:pPr>
            <w:r>
              <w:t>-</w:t>
            </w:r>
          </w:p>
        </w:tc>
        <w:tc>
          <w:tcPr>
            <w:tcW w:w="2632" w:type="dxa"/>
            <w:shd w:val="clear" w:color="auto" w:fill="D0CECE" w:themeFill="background2" w:themeFillShade="E6"/>
          </w:tcPr>
          <w:p w14:paraId="28958BCC" w14:textId="77777777" w:rsidR="00B02A1E" w:rsidRDefault="00B02A1E" w:rsidP="006B3ECF">
            <w:pPr>
              <w:pStyle w:val="Tabletextcentred"/>
              <w:jc w:val="left"/>
            </w:pPr>
            <w:r>
              <w:t>-</w:t>
            </w:r>
          </w:p>
        </w:tc>
      </w:tr>
      <w:tr w:rsidR="00B02A1E" w14:paraId="091F4DFB" w14:textId="77777777" w:rsidTr="003D1597">
        <w:tc>
          <w:tcPr>
            <w:tcW w:w="976" w:type="dxa"/>
            <w:shd w:val="clear" w:color="auto" w:fill="FFFFFF" w:themeFill="background1"/>
          </w:tcPr>
          <w:p w14:paraId="6130B401" w14:textId="77777777" w:rsidR="00B02A1E" w:rsidRDefault="00B02A1E" w:rsidP="006B3ECF">
            <w:pPr>
              <w:pStyle w:val="Tabletextcentred"/>
              <w:jc w:val="left"/>
            </w:pPr>
            <w:r>
              <w:t>Rusina (2010)</w:t>
            </w:r>
          </w:p>
        </w:tc>
        <w:tc>
          <w:tcPr>
            <w:tcW w:w="5307" w:type="dxa"/>
            <w:shd w:val="clear" w:color="auto" w:fill="FFFFFF" w:themeFill="background1"/>
          </w:tcPr>
          <w:p w14:paraId="2476865F" w14:textId="77777777" w:rsidR="00B02A1E" w:rsidRPr="00B82001" w:rsidRDefault="00B02A1E" w:rsidP="006B3ECF">
            <w:pPr>
              <w:pStyle w:val="Tabletextcentred"/>
              <w:jc w:val="left"/>
              <w:rPr>
                <w:u w:val="single"/>
              </w:rPr>
            </w:pPr>
            <w:r w:rsidRPr="00B82001">
              <w:rPr>
                <w:u w:val="single"/>
              </w:rPr>
              <w:t>Cases:</w:t>
            </w:r>
          </w:p>
          <w:p w14:paraId="720DB596" w14:textId="77777777" w:rsidR="00B02A1E" w:rsidRDefault="00B02A1E" w:rsidP="006B3ECF">
            <w:pPr>
              <w:pStyle w:val="Tabletextcentred"/>
              <w:jc w:val="left"/>
            </w:pPr>
            <w:r>
              <w:t>17 patients with pathologically confirmed AD (mean age: 79 years; mean MMSE: 18.7)</w:t>
            </w:r>
          </w:p>
          <w:p w14:paraId="12FC3BD9" w14:textId="77777777" w:rsidR="00B02A1E" w:rsidRPr="00B82001" w:rsidRDefault="00B02A1E" w:rsidP="006B3ECF">
            <w:pPr>
              <w:pStyle w:val="Tabletextcentred"/>
              <w:jc w:val="left"/>
              <w:rPr>
                <w:u w:val="single"/>
              </w:rPr>
            </w:pPr>
            <w:r w:rsidRPr="00B82001">
              <w:rPr>
                <w:u w:val="single"/>
              </w:rPr>
              <w:t>Controls:</w:t>
            </w:r>
          </w:p>
          <w:p w14:paraId="7190AD26" w14:textId="77777777" w:rsidR="00B02A1E" w:rsidRPr="00FA0D88" w:rsidRDefault="00B02A1E" w:rsidP="006B3ECF">
            <w:pPr>
              <w:pStyle w:val="Tabletextcentred"/>
              <w:jc w:val="left"/>
            </w:pPr>
            <w:r>
              <w:t>10 patients with ALS without signs of cognitive dysfunction (mean age: 56 years; mean MMSE: 30)</w:t>
            </w:r>
          </w:p>
        </w:tc>
        <w:tc>
          <w:tcPr>
            <w:tcW w:w="1134" w:type="dxa"/>
            <w:shd w:val="clear" w:color="auto" w:fill="FFFFFF" w:themeFill="background1"/>
          </w:tcPr>
          <w:p w14:paraId="564F8948" w14:textId="77777777" w:rsidR="00B02A1E" w:rsidRDefault="00B02A1E" w:rsidP="006B3ECF">
            <w:pPr>
              <w:pStyle w:val="Tabletextcentred"/>
              <w:jc w:val="left"/>
            </w:pPr>
            <w:r>
              <w:t>HMPAO-SPECT</w:t>
            </w:r>
          </w:p>
        </w:tc>
        <w:tc>
          <w:tcPr>
            <w:tcW w:w="3260" w:type="dxa"/>
            <w:shd w:val="clear" w:color="auto" w:fill="FFFFFF" w:themeFill="background1"/>
          </w:tcPr>
          <w:p w14:paraId="4452805F" w14:textId="77777777" w:rsidR="00B02A1E" w:rsidRDefault="00B02A1E" w:rsidP="006B3ECF">
            <w:pPr>
              <w:pStyle w:val="Tabletextcentred"/>
              <w:jc w:val="left"/>
            </w:pPr>
            <w:r>
              <w:t>3D SPECT</w:t>
            </w:r>
            <w:r>
              <w:rPr>
                <w:vertAlign w:val="superscript"/>
              </w:rPr>
              <w:t>c</w:t>
            </w:r>
            <w:r>
              <w:t xml:space="preserve"> </w:t>
            </w:r>
          </w:p>
        </w:tc>
        <w:tc>
          <w:tcPr>
            <w:tcW w:w="2632" w:type="dxa"/>
            <w:shd w:val="clear" w:color="auto" w:fill="FFFFFF" w:themeFill="background1"/>
          </w:tcPr>
          <w:p w14:paraId="2C13A7F6" w14:textId="77777777" w:rsidR="00B02A1E" w:rsidRDefault="00B02A1E" w:rsidP="006B3ECF">
            <w:pPr>
              <w:pStyle w:val="Tabletextcentred"/>
              <w:jc w:val="left"/>
            </w:pPr>
            <w:r>
              <w:t>AD confirmed by autopsy, as defined by NIA-Reagan Institute criteria (neocortical tangles score Braak V-VI) and the CERAD criteria (CERAD plaque score frequent)</w:t>
            </w:r>
          </w:p>
        </w:tc>
      </w:tr>
      <w:tr w:rsidR="00B02A1E" w14:paraId="2696FB11" w14:textId="77777777" w:rsidTr="003D1597">
        <w:tc>
          <w:tcPr>
            <w:tcW w:w="976" w:type="dxa"/>
          </w:tcPr>
          <w:p w14:paraId="10FF3FD9" w14:textId="77777777" w:rsidR="00B02A1E" w:rsidRPr="00047035" w:rsidRDefault="00B02A1E" w:rsidP="006B3ECF">
            <w:pPr>
              <w:pStyle w:val="Tabletextcentred"/>
              <w:jc w:val="left"/>
            </w:pPr>
            <w:r w:rsidRPr="00047035">
              <w:t>McNeill (2007)</w:t>
            </w:r>
          </w:p>
        </w:tc>
        <w:tc>
          <w:tcPr>
            <w:tcW w:w="5307" w:type="dxa"/>
          </w:tcPr>
          <w:p w14:paraId="2B411B02" w14:textId="77777777" w:rsidR="00B02A1E" w:rsidRPr="00047035" w:rsidRDefault="00B02A1E" w:rsidP="006B3ECF">
            <w:pPr>
              <w:pStyle w:val="Tabletextcentred"/>
              <w:jc w:val="left"/>
              <w:rPr>
                <w:u w:val="single"/>
              </w:rPr>
            </w:pPr>
            <w:r w:rsidRPr="00047035">
              <w:rPr>
                <w:u w:val="single"/>
              </w:rPr>
              <w:t>Cases:</w:t>
            </w:r>
          </w:p>
          <w:p w14:paraId="7BB5F7E3" w14:textId="77777777" w:rsidR="00B02A1E" w:rsidRDefault="00B02A1E" w:rsidP="006B3ECF">
            <w:pPr>
              <w:pStyle w:val="Tabletextcentred"/>
              <w:jc w:val="left"/>
            </w:pPr>
            <w:r w:rsidRPr="00047035">
              <w:t>31 patients with pathologically confirmed AD (mean age: 61; mean MMSE: 16)</w:t>
            </w:r>
          </w:p>
          <w:p w14:paraId="0EF3A958" w14:textId="77777777" w:rsidR="00B02A1E" w:rsidRDefault="00B02A1E" w:rsidP="006B3ECF">
            <w:pPr>
              <w:pStyle w:val="Tabletextcentred"/>
              <w:jc w:val="left"/>
              <w:rPr>
                <w:u w:val="single"/>
              </w:rPr>
            </w:pPr>
            <w:r>
              <w:rPr>
                <w:u w:val="single"/>
              </w:rPr>
              <w:t>Controls:</w:t>
            </w:r>
          </w:p>
          <w:p w14:paraId="34B43B68" w14:textId="77777777" w:rsidR="00B02A1E" w:rsidRPr="00047035" w:rsidRDefault="00B02A1E" w:rsidP="006B3ECF">
            <w:pPr>
              <w:pStyle w:val="Tabletextcentred"/>
              <w:jc w:val="left"/>
            </w:pPr>
            <w:r>
              <w:t>25 patients with pathologically confirmed FTD (mean age: 58; mean MMSE: 20)</w:t>
            </w:r>
          </w:p>
        </w:tc>
        <w:tc>
          <w:tcPr>
            <w:tcW w:w="1134" w:type="dxa"/>
          </w:tcPr>
          <w:p w14:paraId="0157E598" w14:textId="77777777" w:rsidR="00B02A1E" w:rsidRPr="00047035" w:rsidRDefault="00B02A1E" w:rsidP="006B3ECF">
            <w:pPr>
              <w:pStyle w:val="Tabletextcentred"/>
              <w:jc w:val="left"/>
            </w:pPr>
            <w:r>
              <w:t xml:space="preserve">HMPAO-SPECT </w:t>
            </w:r>
          </w:p>
        </w:tc>
        <w:tc>
          <w:tcPr>
            <w:tcW w:w="3260" w:type="dxa"/>
          </w:tcPr>
          <w:p w14:paraId="240F9F69" w14:textId="77777777" w:rsidR="00B02A1E" w:rsidRPr="00047035" w:rsidRDefault="00B02A1E" w:rsidP="006B3ECF">
            <w:pPr>
              <w:pStyle w:val="Tabletextcentred"/>
              <w:jc w:val="left"/>
            </w:pPr>
            <w:r>
              <w:t>Scans interpreted by a single, nuclear medicine expert, blinded to clinical status of the patient</w:t>
            </w:r>
          </w:p>
        </w:tc>
        <w:tc>
          <w:tcPr>
            <w:tcW w:w="2632" w:type="dxa"/>
          </w:tcPr>
          <w:p w14:paraId="0663328D" w14:textId="77777777" w:rsidR="00B02A1E" w:rsidRPr="00047035" w:rsidRDefault="00B02A1E" w:rsidP="006B3ECF">
            <w:pPr>
              <w:pStyle w:val="Tabletextcentred"/>
              <w:jc w:val="left"/>
            </w:pPr>
            <w:r>
              <w:t>Pathological diagnosis according to CERAD criteria</w:t>
            </w:r>
          </w:p>
        </w:tc>
      </w:tr>
      <w:tr w:rsidR="00B02A1E" w14:paraId="0DF67B09" w14:textId="77777777" w:rsidTr="003D1597">
        <w:tc>
          <w:tcPr>
            <w:tcW w:w="976" w:type="dxa"/>
            <w:shd w:val="clear" w:color="auto" w:fill="auto"/>
          </w:tcPr>
          <w:p w14:paraId="092A80FA" w14:textId="77777777" w:rsidR="00B02A1E" w:rsidRDefault="00B02A1E" w:rsidP="006B3ECF">
            <w:pPr>
              <w:pStyle w:val="Tabletextcentred"/>
              <w:jc w:val="left"/>
            </w:pPr>
            <w:r>
              <w:t>Bonte (2006)</w:t>
            </w:r>
          </w:p>
        </w:tc>
        <w:tc>
          <w:tcPr>
            <w:tcW w:w="5307" w:type="dxa"/>
            <w:shd w:val="clear" w:color="auto" w:fill="auto"/>
          </w:tcPr>
          <w:p w14:paraId="09090DD1" w14:textId="67A3C943" w:rsidR="001060F1" w:rsidRPr="001060F1" w:rsidRDefault="001060F1" w:rsidP="006B3ECF">
            <w:pPr>
              <w:pStyle w:val="Tabletextcentred"/>
              <w:jc w:val="left"/>
              <w:rPr>
                <w:u w:val="single"/>
              </w:rPr>
            </w:pPr>
            <w:r w:rsidRPr="001060F1">
              <w:rPr>
                <w:u w:val="single"/>
              </w:rPr>
              <w:t>Cases:</w:t>
            </w:r>
          </w:p>
          <w:p w14:paraId="3EA29EB8" w14:textId="77777777" w:rsidR="00B02A1E" w:rsidRPr="00C26210" w:rsidRDefault="00B02A1E" w:rsidP="006B3ECF">
            <w:pPr>
              <w:pStyle w:val="Tabletextcentred"/>
              <w:jc w:val="left"/>
            </w:pPr>
            <w:r>
              <w:t>49 patients with suspected dementia. Mean age of those patients who had pathologically confirmed AD (n=26) was 73 years; mean MMSE was 19.</w:t>
            </w:r>
          </w:p>
        </w:tc>
        <w:tc>
          <w:tcPr>
            <w:tcW w:w="1134" w:type="dxa"/>
            <w:shd w:val="clear" w:color="auto" w:fill="auto"/>
          </w:tcPr>
          <w:p w14:paraId="7FAFDB42" w14:textId="77777777" w:rsidR="00B02A1E" w:rsidRPr="00C26210" w:rsidRDefault="00B02A1E" w:rsidP="006B3ECF">
            <w:pPr>
              <w:pStyle w:val="Tabletextcentred"/>
              <w:jc w:val="left"/>
            </w:pPr>
            <w:r>
              <w:t>HMPAO-SPECT</w:t>
            </w:r>
          </w:p>
        </w:tc>
        <w:tc>
          <w:tcPr>
            <w:tcW w:w="3260" w:type="dxa"/>
            <w:shd w:val="clear" w:color="auto" w:fill="auto"/>
          </w:tcPr>
          <w:p w14:paraId="187B7667" w14:textId="77777777" w:rsidR="00B02A1E" w:rsidRPr="00C26210" w:rsidRDefault="00B02A1E" w:rsidP="006B3ECF">
            <w:pPr>
              <w:pStyle w:val="Tabletextcentred"/>
              <w:jc w:val="left"/>
            </w:pPr>
            <w:r>
              <w:t>Visual assessment by a single, experienced physician, blinded to clinical status of the patient. A random subset were assessed by a second consultant</w:t>
            </w:r>
          </w:p>
        </w:tc>
        <w:tc>
          <w:tcPr>
            <w:tcW w:w="2632" w:type="dxa"/>
            <w:shd w:val="clear" w:color="auto" w:fill="auto"/>
          </w:tcPr>
          <w:p w14:paraId="537A17F9" w14:textId="77777777" w:rsidR="00B02A1E" w:rsidRPr="00C26210" w:rsidRDefault="00B02A1E" w:rsidP="006B3ECF">
            <w:pPr>
              <w:pStyle w:val="Tabletextcentred"/>
              <w:jc w:val="left"/>
            </w:pPr>
            <w:r>
              <w:t>Pathology confirmation by autopsy in all cases</w:t>
            </w:r>
          </w:p>
        </w:tc>
      </w:tr>
      <w:tr w:rsidR="00B02A1E" w14:paraId="4D461DA7" w14:textId="77777777" w:rsidTr="003D1597">
        <w:tc>
          <w:tcPr>
            <w:tcW w:w="976" w:type="dxa"/>
            <w:shd w:val="clear" w:color="auto" w:fill="auto"/>
          </w:tcPr>
          <w:p w14:paraId="43DAB800" w14:textId="77777777" w:rsidR="00B02A1E" w:rsidRDefault="00B02A1E" w:rsidP="006B3ECF">
            <w:pPr>
              <w:pStyle w:val="Tabletextcentred"/>
              <w:jc w:val="left"/>
            </w:pPr>
            <w:r>
              <w:lastRenderedPageBreak/>
              <w:t>Bonte (2004)</w:t>
            </w:r>
          </w:p>
        </w:tc>
        <w:tc>
          <w:tcPr>
            <w:tcW w:w="5307" w:type="dxa"/>
            <w:shd w:val="clear" w:color="auto" w:fill="auto"/>
          </w:tcPr>
          <w:p w14:paraId="38D1A687" w14:textId="77777777" w:rsidR="00B02A1E" w:rsidRPr="00AA0926" w:rsidRDefault="00B02A1E" w:rsidP="006B3ECF">
            <w:pPr>
              <w:pStyle w:val="Tabletextcentred"/>
              <w:jc w:val="left"/>
              <w:rPr>
                <w:u w:val="single"/>
              </w:rPr>
            </w:pPr>
            <w:r w:rsidRPr="00AA0926">
              <w:rPr>
                <w:u w:val="single"/>
              </w:rPr>
              <w:t>Cases:</w:t>
            </w:r>
          </w:p>
          <w:p w14:paraId="5DEE4A4E" w14:textId="77777777" w:rsidR="00B02A1E" w:rsidRDefault="00B02A1E" w:rsidP="006B3ECF">
            <w:pPr>
              <w:pStyle w:val="Tabletextcentred"/>
              <w:jc w:val="left"/>
            </w:pPr>
            <w:r>
              <w:t>20 patients with clinically confirmed (n=10) or autopsy-proven (n=10) AD (mean age: NR)</w:t>
            </w:r>
          </w:p>
          <w:p w14:paraId="19A57432" w14:textId="77777777" w:rsidR="00B02A1E" w:rsidRPr="00AA0926" w:rsidRDefault="00B02A1E" w:rsidP="006B3ECF">
            <w:pPr>
              <w:pStyle w:val="Tabletextcentred"/>
              <w:jc w:val="left"/>
              <w:rPr>
                <w:u w:val="single"/>
              </w:rPr>
            </w:pPr>
            <w:r w:rsidRPr="00AA0926">
              <w:rPr>
                <w:u w:val="single"/>
              </w:rPr>
              <w:t>Controls:</w:t>
            </w:r>
          </w:p>
          <w:p w14:paraId="7B675E2E" w14:textId="77777777" w:rsidR="00B02A1E" w:rsidRDefault="00B02A1E" w:rsidP="006B3ECF">
            <w:pPr>
              <w:pStyle w:val="Tabletextcentred"/>
              <w:jc w:val="left"/>
            </w:pPr>
            <w:r>
              <w:t>20 patients with clinically confirmed (n=13) or autopsy-proven (n=7) FTD (mean age: NR).</w:t>
            </w:r>
          </w:p>
        </w:tc>
        <w:tc>
          <w:tcPr>
            <w:tcW w:w="1134" w:type="dxa"/>
            <w:shd w:val="clear" w:color="auto" w:fill="auto"/>
          </w:tcPr>
          <w:p w14:paraId="4794F782" w14:textId="77777777" w:rsidR="00B02A1E" w:rsidRDefault="00B02A1E" w:rsidP="006B3ECF">
            <w:pPr>
              <w:pStyle w:val="Tabletextcentred"/>
              <w:jc w:val="left"/>
            </w:pPr>
            <w:r>
              <w:t>HMPAO-SPECT</w:t>
            </w:r>
          </w:p>
        </w:tc>
        <w:tc>
          <w:tcPr>
            <w:tcW w:w="3260" w:type="dxa"/>
            <w:shd w:val="clear" w:color="auto" w:fill="auto"/>
          </w:tcPr>
          <w:p w14:paraId="38E8062D" w14:textId="77777777" w:rsidR="00B02A1E" w:rsidRDefault="00B02A1E" w:rsidP="006B3ECF">
            <w:pPr>
              <w:pStyle w:val="Tabletextcentred"/>
              <w:jc w:val="left"/>
            </w:pPr>
            <w:r>
              <w:t>Comparison with consolidated control image using statistical parametric mapping</w:t>
            </w:r>
          </w:p>
        </w:tc>
        <w:tc>
          <w:tcPr>
            <w:tcW w:w="2632" w:type="dxa"/>
            <w:shd w:val="clear" w:color="auto" w:fill="auto"/>
          </w:tcPr>
          <w:p w14:paraId="3841BEEB" w14:textId="77777777" w:rsidR="00B02A1E" w:rsidRDefault="00B02A1E" w:rsidP="006B3ECF">
            <w:pPr>
              <w:pStyle w:val="Tabletextcentred"/>
              <w:jc w:val="left"/>
            </w:pPr>
            <w:r>
              <w:t>Autopsy according to commonly used standards including NIA-Reagan Institute and CERAD criteria</w:t>
            </w:r>
          </w:p>
        </w:tc>
      </w:tr>
      <w:tr w:rsidR="00B02A1E" w14:paraId="00C86AEF" w14:textId="77777777" w:rsidTr="003D1597">
        <w:tc>
          <w:tcPr>
            <w:tcW w:w="976" w:type="dxa"/>
            <w:shd w:val="clear" w:color="auto" w:fill="auto"/>
          </w:tcPr>
          <w:p w14:paraId="15EC792B" w14:textId="77777777" w:rsidR="00B02A1E" w:rsidRDefault="00B02A1E" w:rsidP="006B3ECF">
            <w:pPr>
              <w:pStyle w:val="Tabletextcentred"/>
              <w:jc w:val="left"/>
            </w:pPr>
            <w:r>
              <w:t>Jagust (2001)</w:t>
            </w:r>
          </w:p>
        </w:tc>
        <w:tc>
          <w:tcPr>
            <w:tcW w:w="5307" w:type="dxa"/>
            <w:shd w:val="clear" w:color="auto" w:fill="auto"/>
          </w:tcPr>
          <w:p w14:paraId="2BF136DF" w14:textId="77777777" w:rsidR="00B02A1E" w:rsidRDefault="00B02A1E" w:rsidP="006B3ECF">
            <w:pPr>
              <w:pStyle w:val="Tabletextcentred"/>
              <w:jc w:val="left"/>
              <w:rPr>
                <w:u w:val="single"/>
              </w:rPr>
            </w:pPr>
            <w:r w:rsidRPr="00053D5F">
              <w:rPr>
                <w:u w:val="single"/>
              </w:rPr>
              <w:t>Cases:</w:t>
            </w:r>
          </w:p>
          <w:p w14:paraId="5FD2D117" w14:textId="77777777" w:rsidR="00B02A1E" w:rsidRDefault="00B02A1E" w:rsidP="006B3ECF">
            <w:pPr>
              <w:pStyle w:val="Tabletextcentred"/>
              <w:jc w:val="left"/>
            </w:pPr>
            <w:r>
              <w:t>70 patients with dementia followed to autopsy (mean MMSE: 13; mean age: 77 years)</w:t>
            </w:r>
          </w:p>
          <w:p w14:paraId="35AC5585" w14:textId="77777777" w:rsidR="00B02A1E" w:rsidRDefault="00B02A1E" w:rsidP="006B3ECF">
            <w:pPr>
              <w:pStyle w:val="Tabletextcentred"/>
              <w:jc w:val="left"/>
              <w:rPr>
                <w:u w:val="single"/>
              </w:rPr>
            </w:pPr>
            <w:r>
              <w:rPr>
                <w:u w:val="single"/>
              </w:rPr>
              <w:t>Controls:</w:t>
            </w:r>
          </w:p>
          <w:p w14:paraId="2F5993F4" w14:textId="77777777" w:rsidR="00B02A1E" w:rsidRPr="00053D5F" w:rsidRDefault="00B02A1E" w:rsidP="006B3ECF">
            <w:pPr>
              <w:pStyle w:val="Tabletextcentred"/>
              <w:jc w:val="left"/>
            </w:pPr>
            <w:r>
              <w:t>14 controls followed to autopsy (mean age: 80 years; mean MMSE: 28); and 71 non-autopsied controls (mean age: 73 years; mean MMSE: 29)</w:t>
            </w:r>
          </w:p>
        </w:tc>
        <w:tc>
          <w:tcPr>
            <w:tcW w:w="1134" w:type="dxa"/>
            <w:shd w:val="clear" w:color="auto" w:fill="auto"/>
          </w:tcPr>
          <w:p w14:paraId="1A8DB9CE" w14:textId="77777777" w:rsidR="00B02A1E" w:rsidRPr="00C26210" w:rsidRDefault="00B02A1E" w:rsidP="006B3ECF">
            <w:pPr>
              <w:pStyle w:val="Tabletextcentred"/>
              <w:jc w:val="left"/>
            </w:pPr>
            <w:r>
              <w:t>HMPAO-SPECT (low resolution)</w:t>
            </w:r>
          </w:p>
        </w:tc>
        <w:tc>
          <w:tcPr>
            <w:tcW w:w="3260" w:type="dxa"/>
            <w:shd w:val="clear" w:color="auto" w:fill="auto"/>
          </w:tcPr>
          <w:p w14:paraId="4A1DD639" w14:textId="408692A3" w:rsidR="00B02A1E" w:rsidRPr="00C26210" w:rsidRDefault="00D25339" w:rsidP="006B3ECF">
            <w:pPr>
              <w:pStyle w:val="Tabletextcentred"/>
              <w:jc w:val="left"/>
            </w:pPr>
            <w:r>
              <w:t>Visual evaluation by three</w:t>
            </w:r>
            <w:r w:rsidR="00B02A1E">
              <w:t xml:space="preserve"> experienced raters</w:t>
            </w:r>
          </w:p>
        </w:tc>
        <w:tc>
          <w:tcPr>
            <w:tcW w:w="2632" w:type="dxa"/>
            <w:shd w:val="clear" w:color="auto" w:fill="auto"/>
          </w:tcPr>
          <w:p w14:paraId="75B01FFF" w14:textId="77777777" w:rsidR="00B02A1E" w:rsidRPr="00C26210" w:rsidRDefault="00B02A1E" w:rsidP="006B3ECF">
            <w:pPr>
              <w:pStyle w:val="Tabletextcentred"/>
              <w:jc w:val="left"/>
            </w:pPr>
            <w:r>
              <w:t>Follow-up to autopsy (CERAD criteria)</w:t>
            </w:r>
          </w:p>
        </w:tc>
      </w:tr>
      <w:tr w:rsidR="00B02A1E" w14:paraId="09B2B8A6" w14:textId="77777777" w:rsidTr="003D1597">
        <w:tc>
          <w:tcPr>
            <w:tcW w:w="976" w:type="dxa"/>
            <w:shd w:val="clear" w:color="auto" w:fill="auto"/>
          </w:tcPr>
          <w:p w14:paraId="23BAF884" w14:textId="77777777" w:rsidR="00B02A1E" w:rsidRDefault="00B02A1E" w:rsidP="006B3ECF">
            <w:pPr>
              <w:pStyle w:val="Tabletextcentred"/>
              <w:jc w:val="left"/>
            </w:pPr>
            <w:r>
              <w:t>Jobst (1998)</w:t>
            </w:r>
          </w:p>
        </w:tc>
        <w:tc>
          <w:tcPr>
            <w:tcW w:w="5307" w:type="dxa"/>
            <w:shd w:val="clear" w:color="auto" w:fill="auto"/>
          </w:tcPr>
          <w:p w14:paraId="56DCA171" w14:textId="77777777" w:rsidR="00B02A1E" w:rsidRPr="00DB3088" w:rsidRDefault="00B02A1E" w:rsidP="006B3ECF">
            <w:pPr>
              <w:spacing w:after="0"/>
              <w:ind w:left="0"/>
              <w:rPr>
                <w:rFonts w:ascii="Arial Narrow" w:eastAsia="Times New Roman" w:hAnsi="Arial Narrow" w:cs="Times New Roman"/>
                <w:sz w:val="20"/>
                <w:szCs w:val="24"/>
                <w:u w:val="single"/>
              </w:rPr>
            </w:pPr>
            <w:r w:rsidRPr="00DB3088">
              <w:rPr>
                <w:rFonts w:ascii="Arial Narrow" w:eastAsia="Times New Roman" w:hAnsi="Arial Narrow" w:cs="Times New Roman"/>
                <w:sz w:val="20"/>
                <w:szCs w:val="24"/>
                <w:u w:val="single"/>
              </w:rPr>
              <w:t>Cases:</w:t>
            </w:r>
          </w:p>
          <w:p w14:paraId="692A47F3" w14:textId="77777777" w:rsidR="00B02A1E" w:rsidRPr="005A32BF" w:rsidRDefault="00B02A1E" w:rsidP="006B3ECF">
            <w:pPr>
              <w:spacing w:after="0"/>
              <w:ind w:left="0"/>
              <w:rPr>
                <w:rFonts w:ascii="Arial Narrow" w:eastAsia="Times New Roman" w:hAnsi="Arial Narrow" w:cs="Times New Roman"/>
                <w:sz w:val="20"/>
                <w:szCs w:val="24"/>
                <w:vertAlign w:val="superscript"/>
              </w:rPr>
            </w:pPr>
            <w:r>
              <w:rPr>
                <w:rFonts w:ascii="Arial Narrow" w:eastAsia="Times New Roman" w:hAnsi="Arial Narrow" w:cs="Times New Roman"/>
                <w:sz w:val="20"/>
                <w:szCs w:val="24"/>
              </w:rPr>
              <w:t>80</w:t>
            </w:r>
            <w:r>
              <w:rPr>
                <w:rFonts w:ascii="Arial Narrow" w:eastAsia="Times New Roman" w:hAnsi="Arial Narrow" w:cs="Times New Roman"/>
                <w:sz w:val="20"/>
                <w:szCs w:val="24"/>
                <w:vertAlign w:val="superscript"/>
              </w:rPr>
              <w:t>d</w:t>
            </w:r>
            <w:r w:rsidRPr="00DB3088">
              <w:rPr>
                <w:rFonts w:ascii="Arial Narrow" w:eastAsia="Times New Roman" w:hAnsi="Arial Narrow" w:cs="Times New Roman"/>
                <w:sz w:val="20"/>
                <w:szCs w:val="24"/>
              </w:rPr>
              <w:t xml:space="preserve"> patients with</w:t>
            </w:r>
            <w:r>
              <w:rPr>
                <w:rFonts w:ascii="Arial Narrow" w:eastAsia="Times New Roman" w:hAnsi="Arial Narrow" w:cs="Times New Roman"/>
                <w:sz w:val="20"/>
                <w:szCs w:val="24"/>
              </w:rPr>
              <w:t xml:space="preserve"> pathologically confirmed</w:t>
            </w:r>
            <w:r w:rsidRPr="00DB3088">
              <w:rPr>
                <w:rFonts w:ascii="Arial Narrow" w:eastAsia="Times New Roman" w:hAnsi="Arial Narrow" w:cs="Times New Roman"/>
                <w:sz w:val="20"/>
                <w:szCs w:val="24"/>
              </w:rPr>
              <w:t xml:space="preserve"> AD (mean age: 7</w:t>
            </w:r>
            <w:r>
              <w:rPr>
                <w:rFonts w:ascii="Arial Narrow" w:eastAsia="Times New Roman" w:hAnsi="Arial Narrow" w:cs="Times New Roman"/>
                <w:sz w:val="20"/>
                <w:szCs w:val="24"/>
              </w:rPr>
              <w:t>7</w:t>
            </w:r>
            <w:r w:rsidRPr="00DB3088">
              <w:rPr>
                <w:rFonts w:ascii="Arial Narrow" w:eastAsia="Times New Roman" w:hAnsi="Arial Narrow" w:cs="Times New Roman"/>
                <w:sz w:val="20"/>
                <w:szCs w:val="24"/>
              </w:rPr>
              <w:t xml:space="preserve"> years)</w:t>
            </w:r>
            <w:r>
              <w:rPr>
                <w:rFonts w:ascii="Arial Narrow" w:eastAsia="Times New Roman" w:hAnsi="Arial Narrow" w:cs="Times New Roman"/>
                <w:sz w:val="20"/>
                <w:szCs w:val="24"/>
              </w:rPr>
              <w:t>; and 24 patients with pathologically confirmed non-Alzheimer dementias (mean age: 75 years)</w:t>
            </w:r>
            <w:r>
              <w:rPr>
                <w:rFonts w:ascii="Arial Narrow" w:eastAsia="Times New Roman" w:hAnsi="Arial Narrow" w:cs="Times New Roman"/>
                <w:sz w:val="20"/>
                <w:szCs w:val="24"/>
                <w:vertAlign w:val="superscript"/>
              </w:rPr>
              <w:t>e</w:t>
            </w:r>
          </w:p>
          <w:p w14:paraId="161719FC" w14:textId="77777777" w:rsidR="00B02A1E" w:rsidRPr="00DB3088" w:rsidRDefault="00B02A1E" w:rsidP="006B3ECF">
            <w:pPr>
              <w:spacing w:after="0"/>
              <w:ind w:left="0"/>
              <w:rPr>
                <w:rFonts w:ascii="Arial Narrow" w:eastAsia="Times New Roman" w:hAnsi="Arial Narrow" w:cs="Times New Roman"/>
                <w:sz w:val="20"/>
                <w:szCs w:val="24"/>
                <w:u w:val="single"/>
              </w:rPr>
            </w:pPr>
            <w:r w:rsidRPr="00DB3088">
              <w:rPr>
                <w:rFonts w:ascii="Arial Narrow" w:eastAsia="Times New Roman" w:hAnsi="Arial Narrow" w:cs="Times New Roman"/>
                <w:sz w:val="20"/>
                <w:szCs w:val="24"/>
                <w:u w:val="single"/>
              </w:rPr>
              <w:t>Controls:</w:t>
            </w:r>
          </w:p>
          <w:p w14:paraId="075C8B94" w14:textId="2843DD86" w:rsidR="00B02A1E" w:rsidRPr="006B3ECF" w:rsidRDefault="00B02A1E" w:rsidP="006B3ECF">
            <w:pPr>
              <w:pStyle w:val="Tabletextcentred"/>
              <w:jc w:val="left"/>
              <w:rPr>
                <w:rFonts w:eastAsiaTheme="minorHAnsi" w:cstheme="minorBidi"/>
                <w:szCs w:val="20"/>
              </w:rPr>
            </w:pPr>
            <w:r>
              <w:rPr>
                <w:rFonts w:eastAsiaTheme="minorHAnsi" w:cstheme="minorBidi"/>
                <w:szCs w:val="20"/>
              </w:rPr>
              <w:t>105</w:t>
            </w:r>
            <w:r w:rsidRPr="00DB3088">
              <w:rPr>
                <w:rFonts w:eastAsiaTheme="minorHAnsi" w:cstheme="minorBidi"/>
                <w:szCs w:val="20"/>
              </w:rPr>
              <w:t xml:space="preserve"> normal</w:t>
            </w:r>
            <w:r>
              <w:rPr>
                <w:rFonts w:eastAsiaTheme="minorHAnsi" w:cstheme="minorBidi"/>
                <w:szCs w:val="20"/>
              </w:rPr>
              <w:t>, living</w:t>
            </w:r>
            <w:r w:rsidRPr="00DB3088">
              <w:rPr>
                <w:rFonts w:eastAsiaTheme="minorHAnsi" w:cstheme="minorBidi"/>
                <w:szCs w:val="20"/>
              </w:rPr>
              <w:t xml:space="preserve"> controls (</w:t>
            </w:r>
            <w:r w:rsidR="006B3ECF">
              <w:rPr>
                <w:rFonts w:eastAsiaTheme="minorHAnsi" w:cstheme="minorBidi"/>
                <w:szCs w:val="20"/>
              </w:rPr>
              <w:t>NINCDS-ADRDA/</w:t>
            </w:r>
            <w:r>
              <w:rPr>
                <w:rFonts w:eastAsiaTheme="minorHAnsi" w:cstheme="minorBidi"/>
                <w:szCs w:val="20"/>
              </w:rPr>
              <w:t xml:space="preserve">DSM-III-R criteria; </w:t>
            </w:r>
            <w:r w:rsidRPr="00DB3088">
              <w:rPr>
                <w:rFonts w:eastAsiaTheme="minorHAnsi" w:cstheme="minorBidi"/>
                <w:szCs w:val="20"/>
              </w:rPr>
              <w:t xml:space="preserve">mean age: </w:t>
            </w:r>
            <w:r>
              <w:rPr>
                <w:rFonts w:eastAsiaTheme="minorHAnsi" w:cstheme="minorBidi"/>
                <w:szCs w:val="20"/>
              </w:rPr>
              <w:t>69</w:t>
            </w:r>
            <w:r w:rsidRPr="00DB3088">
              <w:rPr>
                <w:rFonts w:eastAsiaTheme="minorHAnsi" w:cstheme="minorBidi"/>
                <w:szCs w:val="20"/>
              </w:rPr>
              <w:t xml:space="preserve"> years)</w:t>
            </w:r>
            <w:r>
              <w:rPr>
                <w:rFonts w:eastAsiaTheme="minorHAnsi" w:cstheme="minorBidi"/>
                <w:szCs w:val="20"/>
              </w:rPr>
              <w:t>; and 14 normal controls with pathological confirmation (mean age: 74 years)</w:t>
            </w:r>
          </w:p>
        </w:tc>
        <w:tc>
          <w:tcPr>
            <w:tcW w:w="1134" w:type="dxa"/>
            <w:shd w:val="clear" w:color="auto" w:fill="auto"/>
          </w:tcPr>
          <w:p w14:paraId="04636497" w14:textId="77777777" w:rsidR="00B02A1E" w:rsidRPr="00515F78" w:rsidRDefault="00B02A1E" w:rsidP="006B3ECF">
            <w:pPr>
              <w:pStyle w:val="Tabletextcentred"/>
              <w:jc w:val="left"/>
              <w:rPr>
                <w:vertAlign w:val="superscript"/>
              </w:rPr>
            </w:pPr>
            <w:r>
              <w:t>HMPAO-SPECT</w:t>
            </w:r>
            <w:r>
              <w:rPr>
                <w:vertAlign w:val="superscript"/>
              </w:rPr>
              <w:t>f</w:t>
            </w:r>
          </w:p>
        </w:tc>
        <w:tc>
          <w:tcPr>
            <w:tcW w:w="3260" w:type="dxa"/>
            <w:shd w:val="clear" w:color="auto" w:fill="auto"/>
          </w:tcPr>
          <w:p w14:paraId="7416B4B1" w14:textId="77777777" w:rsidR="00B02A1E" w:rsidRDefault="00B02A1E" w:rsidP="006B3ECF">
            <w:pPr>
              <w:pStyle w:val="Tabletextcentred"/>
              <w:jc w:val="left"/>
            </w:pPr>
            <w:r>
              <w:t>Visual evaluation (consensus diagnosis)</w:t>
            </w:r>
          </w:p>
        </w:tc>
        <w:tc>
          <w:tcPr>
            <w:tcW w:w="2632" w:type="dxa"/>
            <w:shd w:val="clear" w:color="auto" w:fill="auto"/>
          </w:tcPr>
          <w:p w14:paraId="261EE137" w14:textId="77777777" w:rsidR="00B02A1E" w:rsidRPr="005B6604" w:rsidRDefault="00B02A1E" w:rsidP="006B3ECF">
            <w:pPr>
              <w:pStyle w:val="Tabletextcentred"/>
              <w:jc w:val="left"/>
              <w:rPr>
                <w:vertAlign w:val="superscript"/>
              </w:rPr>
            </w:pPr>
            <w:r>
              <w:t>Pathological diagnosis of AD (CERAD criteria)</w:t>
            </w:r>
            <w:r>
              <w:rPr>
                <w:vertAlign w:val="superscript"/>
              </w:rPr>
              <w:t>b</w:t>
            </w:r>
          </w:p>
        </w:tc>
      </w:tr>
      <w:tr w:rsidR="00B02A1E" w14:paraId="0DD436D5" w14:textId="77777777" w:rsidTr="003D1597">
        <w:tc>
          <w:tcPr>
            <w:tcW w:w="976" w:type="dxa"/>
            <w:shd w:val="clear" w:color="auto" w:fill="auto"/>
          </w:tcPr>
          <w:p w14:paraId="28627E97" w14:textId="77777777" w:rsidR="00B02A1E" w:rsidRDefault="00B02A1E" w:rsidP="006B3ECF">
            <w:pPr>
              <w:pStyle w:val="Tabletextcentred"/>
              <w:jc w:val="left"/>
            </w:pPr>
            <w:r>
              <w:t>Bonte (1997)</w:t>
            </w:r>
          </w:p>
        </w:tc>
        <w:tc>
          <w:tcPr>
            <w:tcW w:w="5307" w:type="dxa"/>
            <w:shd w:val="clear" w:color="auto" w:fill="auto"/>
          </w:tcPr>
          <w:p w14:paraId="6A6AC7CA" w14:textId="1CCDAA57" w:rsidR="001060F1" w:rsidRPr="001060F1" w:rsidRDefault="001060F1" w:rsidP="006B3ECF">
            <w:pPr>
              <w:pStyle w:val="Tabletextcentred"/>
              <w:jc w:val="left"/>
              <w:rPr>
                <w:u w:val="single"/>
              </w:rPr>
            </w:pPr>
            <w:r w:rsidRPr="001060F1">
              <w:rPr>
                <w:u w:val="single"/>
              </w:rPr>
              <w:t>Cases:</w:t>
            </w:r>
          </w:p>
          <w:p w14:paraId="659F28DE" w14:textId="77777777" w:rsidR="00B02A1E" w:rsidRPr="00C26210" w:rsidRDefault="00B02A1E" w:rsidP="006B3ECF">
            <w:pPr>
              <w:pStyle w:val="Tabletextcentred"/>
              <w:jc w:val="left"/>
            </w:pPr>
            <w:r>
              <w:t>54 patients with suspected dementia (mean age: 70 years)</w:t>
            </w:r>
          </w:p>
        </w:tc>
        <w:tc>
          <w:tcPr>
            <w:tcW w:w="1134" w:type="dxa"/>
            <w:shd w:val="clear" w:color="auto" w:fill="auto"/>
          </w:tcPr>
          <w:p w14:paraId="25EFA777" w14:textId="77777777" w:rsidR="00B02A1E" w:rsidRPr="00C26210" w:rsidRDefault="00B02A1E" w:rsidP="006B3ECF">
            <w:pPr>
              <w:pStyle w:val="Tabletextcentred"/>
              <w:jc w:val="left"/>
            </w:pPr>
            <w:r>
              <w:t>133Xe and/or HMPAO-SPECT</w:t>
            </w:r>
          </w:p>
        </w:tc>
        <w:tc>
          <w:tcPr>
            <w:tcW w:w="3260" w:type="dxa"/>
            <w:shd w:val="clear" w:color="auto" w:fill="auto"/>
          </w:tcPr>
          <w:p w14:paraId="75F83966" w14:textId="77777777" w:rsidR="00B02A1E" w:rsidRPr="00C26210" w:rsidRDefault="00B02A1E" w:rsidP="006B3ECF">
            <w:pPr>
              <w:pStyle w:val="Tabletextcentred"/>
              <w:jc w:val="left"/>
            </w:pPr>
            <w:r>
              <w:t>133Xe assessed by visual interpretation and semi-quantitative ROI ratio method; most HMPAO-SPECT results assessed visually only</w:t>
            </w:r>
          </w:p>
        </w:tc>
        <w:tc>
          <w:tcPr>
            <w:tcW w:w="2632" w:type="dxa"/>
            <w:shd w:val="clear" w:color="auto" w:fill="auto"/>
          </w:tcPr>
          <w:p w14:paraId="4EBEEE99" w14:textId="77777777" w:rsidR="00B02A1E" w:rsidRPr="00C26210" w:rsidRDefault="00B02A1E" w:rsidP="006B3ECF">
            <w:pPr>
              <w:pStyle w:val="Tabletextcentred"/>
              <w:jc w:val="left"/>
            </w:pPr>
            <w:r>
              <w:t>Pathology confirmation on autopsy in 51 cases; biopsy 3 cases</w:t>
            </w:r>
          </w:p>
        </w:tc>
      </w:tr>
      <w:tr w:rsidR="00B02A1E" w14:paraId="21719A13" w14:textId="77777777" w:rsidTr="003D1597">
        <w:tc>
          <w:tcPr>
            <w:tcW w:w="976" w:type="dxa"/>
            <w:shd w:val="clear" w:color="auto" w:fill="FFFFFF" w:themeFill="background1"/>
          </w:tcPr>
          <w:p w14:paraId="2148354A" w14:textId="77777777" w:rsidR="00B02A1E" w:rsidRDefault="00B02A1E" w:rsidP="006B3ECF">
            <w:pPr>
              <w:pStyle w:val="Tabletextcentred"/>
              <w:jc w:val="left"/>
            </w:pPr>
            <w:r>
              <w:t>Bonte (1993)</w:t>
            </w:r>
          </w:p>
        </w:tc>
        <w:tc>
          <w:tcPr>
            <w:tcW w:w="5307" w:type="dxa"/>
            <w:shd w:val="clear" w:color="auto" w:fill="FFFFFF" w:themeFill="background1"/>
          </w:tcPr>
          <w:p w14:paraId="190C84EE" w14:textId="10545037" w:rsidR="001060F1" w:rsidRPr="001060F1" w:rsidRDefault="001060F1" w:rsidP="006B3ECF">
            <w:pPr>
              <w:pStyle w:val="Tabletextcentred"/>
              <w:jc w:val="left"/>
              <w:rPr>
                <w:u w:val="single"/>
              </w:rPr>
            </w:pPr>
            <w:r w:rsidRPr="001060F1">
              <w:rPr>
                <w:u w:val="single"/>
              </w:rPr>
              <w:t>Cases:</w:t>
            </w:r>
          </w:p>
          <w:p w14:paraId="6A311C4A" w14:textId="77777777" w:rsidR="00B02A1E" w:rsidRPr="005B6604" w:rsidRDefault="00B02A1E" w:rsidP="006B3ECF">
            <w:pPr>
              <w:pStyle w:val="Tabletextcentred"/>
              <w:jc w:val="left"/>
            </w:pPr>
            <w:r>
              <w:t>73 patients with dementia or suspected dementia, 18 of which had histopathologic diagnosis (mean age: 70 years)</w:t>
            </w:r>
          </w:p>
        </w:tc>
        <w:tc>
          <w:tcPr>
            <w:tcW w:w="1134" w:type="dxa"/>
            <w:shd w:val="clear" w:color="auto" w:fill="FFFFFF" w:themeFill="background1"/>
          </w:tcPr>
          <w:p w14:paraId="79173CDD" w14:textId="77777777" w:rsidR="00B02A1E" w:rsidRDefault="00B02A1E" w:rsidP="006B3ECF">
            <w:pPr>
              <w:pStyle w:val="Tabletextcentred"/>
              <w:jc w:val="left"/>
            </w:pPr>
            <w:r>
              <w:t>133Xe or HMPAO-SPECT</w:t>
            </w:r>
          </w:p>
        </w:tc>
        <w:tc>
          <w:tcPr>
            <w:tcW w:w="3260" w:type="dxa"/>
            <w:shd w:val="clear" w:color="auto" w:fill="FFFFFF" w:themeFill="background1"/>
          </w:tcPr>
          <w:p w14:paraId="0B86DF67" w14:textId="77777777" w:rsidR="00B02A1E" w:rsidRDefault="00B02A1E" w:rsidP="006B3ECF">
            <w:pPr>
              <w:pStyle w:val="Tabletextcentred"/>
              <w:jc w:val="left"/>
            </w:pPr>
            <w:r>
              <w:t>Visual interpretation or ROI ratio method</w:t>
            </w:r>
          </w:p>
        </w:tc>
        <w:tc>
          <w:tcPr>
            <w:tcW w:w="2632" w:type="dxa"/>
            <w:shd w:val="clear" w:color="auto" w:fill="FFFFFF" w:themeFill="background1"/>
          </w:tcPr>
          <w:p w14:paraId="5035224C" w14:textId="77777777" w:rsidR="00B02A1E" w:rsidRDefault="00B02A1E" w:rsidP="006B3ECF">
            <w:pPr>
              <w:pStyle w:val="Tabletextcentred"/>
              <w:jc w:val="left"/>
            </w:pPr>
            <w:r>
              <w:t>Histopathologic diagnosis (n=18)</w:t>
            </w:r>
          </w:p>
        </w:tc>
      </w:tr>
    </w:tbl>
    <w:p w14:paraId="2F24C1B1" w14:textId="0A6337C2" w:rsidR="00D51F53" w:rsidRDefault="00511657" w:rsidP="00D51F53">
      <w:pPr>
        <w:pStyle w:val="Tablefootnotes"/>
      </w:pPr>
      <w:r>
        <w:t>Abbreviations: AD, Alzheimer’s disease; ALS, amyotrophic lateral sclerosis; CERAD, Consortium to Establish a Reg</w:t>
      </w:r>
      <w:r w:rsidR="00D51F53">
        <w:t xml:space="preserve">istry for Alzheimer’s disease; </w:t>
      </w:r>
      <w:r w:rsidR="00D51F53" w:rsidRPr="00D51F53">
        <w:t xml:space="preserve">DSM, Diagnostic and Statistical Manual of Mental Disorders; FDG, fluorodeoxyglucose; FTD, frontotemporal dementia; HMPAO, hexamethylpropylene amine oxime; MMSE, Mini-Mental State Examination; </w:t>
      </w:r>
      <w:r w:rsidR="00D51F53">
        <w:t>NIA</w:t>
      </w:r>
      <w:r w:rsidR="00D51F53" w:rsidRPr="00D51F53">
        <w:t>, National Institute on Aging; NINCDS-ADRDA, National Institute of Neurological and Communicative Disorders and Stroke and of the Alzheimer’s Disease and Related Disorders A</w:t>
      </w:r>
      <w:r w:rsidR="00230060">
        <w:t>ssociation</w:t>
      </w:r>
      <w:r w:rsidR="00D51F53" w:rsidRPr="00D51F53">
        <w:t xml:space="preserve">; NR, not reported; PET, positron emission tomography; </w:t>
      </w:r>
      <w:r w:rsidR="00230AC5">
        <w:t xml:space="preserve">ROI, region of interest; </w:t>
      </w:r>
      <w:r w:rsidR="00D51F53" w:rsidRPr="00D51F53">
        <w:t>SPECT, single-photon emission computed tomography</w:t>
      </w:r>
      <w:r w:rsidR="00230AC5">
        <w:t>; Xe, Xenon.</w:t>
      </w:r>
    </w:p>
    <w:p w14:paraId="74C1CE0B" w14:textId="77777777" w:rsidR="00511657" w:rsidRDefault="00511657" w:rsidP="00511657">
      <w:pPr>
        <w:pStyle w:val="Tablefootnotes"/>
      </w:pPr>
      <w:r>
        <w:rPr>
          <w:vertAlign w:val="superscript"/>
        </w:rPr>
        <w:t>a</w:t>
      </w:r>
      <w:r>
        <w:t xml:space="preserve"> </w:t>
      </w:r>
      <w:r w:rsidRPr="00404003">
        <w:t>All raters were informed that study subjects had an autopsy-confirmed diagnosis of either FTD or AD, but they did not know the proportion of subjects with each diagnosis.</w:t>
      </w:r>
    </w:p>
    <w:p w14:paraId="4A0A7D66" w14:textId="2B6503ED" w:rsidR="00511657" w:rsidRDefault="00511657" w:rsidP="00511657">
      <w:pPr>
        <w:pStyle w:val="Tablefootnotes"/>
      </w:pPr>
      <w:r>
        <w:rPr>
          <w:vertAlign w:val="superscript"/>
        </w:rPr>
        <w:t>b</w:t>
      </w:r>
      <w:r>
        <w:t xml:space="preserve"> C</w:t>
      </w:r>
      <w:r w:rsidRPr="00404003">
        <w:t>ases with CERAD pathological assessments of “definite</w:t>
      </w:r>
      <w:r w:rsidR="00B23ED9">
        <w:t>-</w:t>
      </w:r>
      <w:r w:rsidRPr="00404003">
        <w:t>AD” or “probable-AD” were classified as having confirmed AD, and those regarded as “possible-AD” or “negative” were classified as “non-AD” cases.</w:t>
      </w:r>
    </w:p>
    <w:p w14:paraId="0F798035" w14:textId="77777777" w:rsidR="00511657" w:rsidRDefault="00511657" w:rsidP="00511657">
      <w:pPr>
        <w:pStyle w:val="Tablefootnotes"/>
      </w:pPr>
      <w:r>
        <w:rPr>
          <w:vertAlign w:val="superscript"/>
        </w:rPr>
        <w:t xml:space="preserve">c </w:t>
      </w:r>
      <w:r>
        <w:t xml:space="preserve">3D </w:t>
      </w:r>
      <w:r w:rsidRPr="00C158D5">
        <w:t>fuzzy edge detection and 3D watershed transformation</w:t>
      </w:r>
      <w:r>
        <w:t>.</w:t>
      </w:r>
    </w:p>
    <w:p w14:paraId="4338360A" w14:textId="77777777" w:rsidR="00511657" w:rsidRDefault="00511657" w:rsidP="00511657">
      <w:pPr>
        <w:pStyle w:val="Tablefootnotes"/>
      </w:pPr>
      <w:r>
        <w:rPr>
          <w:vertAlign w:val="superscript"/>
        </w:rPr>
        <w:t>d</w:t>
      </w:r>
      <w:r>
        <w:t xml:space="preserve"> 73 of the 80 AD patients underwent assessment by HMPAO-SPECT.</w:t>
      </w:r>
    </w:p>
    <w:p w14:paraId="5E7DEDBB" w14:textId="77777777" w:rsidR="00511657" w:rsidRDefault="00511657" w:rsidP="00511657">
      <w:pPr>
        <w:pStyle w:val="Tablefootnotes"/>
      </w:pPr>
      <w:r>
        <w:rPr>
          <w:vertAlign w:val="superscript"/>
        </w:rPr>
        <w:t>e</w:t>
      </w:r>
      <w:r>
        <w:t xml:space="preserve"> As diagnosed at pathological assessment.</w:t>
      </w:r>
    </w:p>
    <w:p w14:paraId="06F56A18" w14:textId="4E9620E4" w:rsidR="00511657" w:rsidRPr="006B3ECF" w:rsidRDefault="00511657" w:rsidP="006B3ECF">
      <w:pPr>
        <w:pStyle w:val="Tablefootnotes"/>
      </w:pPr>
      <w:r>
        <w:rPr>
          <w:vertAlign w:val="superscript"/>
        </w:rPr>
        <w:t>f</w:t>
      </w:r>
      <w:r>
        <w:t xml:space="preserve"> All patients underwent CT prior to SPECT to exclude identifiable intracerebral pathology.</w:t>
      </w:r>
    </w:p>
    <w:p w14:paraId="0FF3DE9B" w14:textId="77777777" w:rsidR="00511657" w:rsidRPr="006C2E1A" w:rsidRDefault="00511657" w:rsidP="00511657">
      <w:pPr>
        <w:pStyle w:val="Heading2"/>
        <w:numPr>
          <w:ilvl w:val="0"/>
          <w:numId w:val="0"/>
        </w:numPr>
        <w:sectPr w:rsidR="00511657" w:rsidRPr="006C2E1A" w:rsidSect="00511657">
          <w:footerReference w:type="default" r:id="rId16"/>
          <w:pgSz w:w="16838" w:h="11906" w:orient="landscape" w:code="9"/>
          <w:pgMar w:top="1440" w:right="1440" w:bottom="1440" w:left="1440" w:header="680" w:footer="1021" w:gutter="0"/>
          <w:cols w:space="708"/>
          <w:docGrid w:linePitch="360"/>
        </w:sectPr>
      </w:pPr>
    </w:p>
    <w:p w14:paraId="03937DE8" w14:textId="5BAAB436" w:rsidR="00903DA7" w:rsidRDefault="00903DA7" w:rsidP="00903DA7">
      <w:pPr>
        <w:pStyle w:val="Heading3"/>
      </w:pPr>
      <w:bookmarkStart w:id="106" w:name="_Toc406231647"/>
      <w:r>
        <w:lastRenderedPageBreak/>
        <w:t>Change in patient management</w:t>
      </w:r>
    </w:p>
    <w:p w14:paraId="17D6259E" w14:textId="36D9A5DD" w:rsidR="00C31ECF" w:rsidRDefault="000F6961" w:rsidP="003262DE">
      <w:r>
        <w:t>In the study by Laf</w:t>
      </w:r>
      <w:r w:rsidR="003262DE">
        <w:t xml:space="preserve">orce et al (2010), a total of 96 files were retrospectively selected and two were excluded because functional imaging was performed over a year after the initial clinical diagnosis. </w:t>
      </w:r>
      <w:r w:rsidR="00C31ECF">
        <w:t xml:space="preserve">Of the included patients, 56.4% were women, mean age at initial diagnosis was 64.7 years (SD 9.8), and the mean MMSE score was 23.5 (SD 5.0). </w:t>
      </w:r>
    </w:p>
    <w:p w14:paraId="28D3C5A8" w14:textId="604837C5" w:rsidR="0077260A" w:rsidRPr="0077260A" w:rsidRDefault="003262DE" w:rsidP="0025189C">
      <w:r>
        <w:t xml:space="preserve">At the initial clinical diagnosis, 39.4% of patients were diagnosed with an atypical/unclear dementia, which reflects the complexity of the cases that are referred to the memory clinic. Functional neuroimaging is often ordered in these patients rather than those with typical dementia. Typical dementias made up 35.1% of patients (16 with AD, 12 with FTD, and </w:t>
      </w:r>
      <w:r w:rsidR="00D25339">
        <w:t>five</w:t>
      </w:r>
      <w:r>
        <w:t xml:space="preserve"> with other types). There were 17 patients </w:t>
      </w:r>
      <w:r w:rsidR="00C31ECF">
        <w:t xml:space="preserve">(18.1%) </w:t>
      </w:r>
      <w:r>
        <w:t xml:space="preserve">with a clinical diagnosis of MCI and 7 </w:t>
      </w:r>
      <w:r w:rsidR="00C31ECF">
        <w:t xml:space="preserve">(7.4%) </w:t>
      </w:r>
      <w:r>
        <w:t>with a purely psychiatric condition.</w:t>
      </w:r>
    </w:p>
    <w:p w14:paraId="19AFA984" w14:textId="77777777" w:rsidR="00511657" w:rsidRDefault="00511657" w:rsidP="00511657">
      <w:pPr>
        <w:pStyle w:val="Heading2"/>
      </w:pPr>
      <w:bookmarkStart w:id="107" w:name="_Toc408845165"/>
      <w:r>
        <w:t>Outcome measures and analysis</w:t>
      </w:r>
      <w:bookmarkEnd w:id="106"/>
      <w:bookmarkEnd w:id="107"/>
    </w:p>
    <w:p w14:paraId="40044FDB" w14:textId="3188F2C2" w:rsidR="00906BC0" w:rsidRDefault="002E7598" w:rsidP="007C6DA7">
      <w:pPr>
        <w:pStyle w:val="Heading3"/>
      </w:pPr>
      <w:bookmarkStart w:id="108" w:name="_Ref406412454"/>
      <w:r>
        <w:t>Diagnostic accuracy</w:t>
      </w:r>
      <w:bookmarkEnd w:id="108"/>
    </w:p>
    <w:p w14:paraId="70EE4427" w14:textId="4A26DE10" w:rsidR="004B5625" w:rsidRDefault="004B5625" w:rsidP="00903AED">
      <w:pPr>
        <w:spacing w:after="120"/>
      </w:pPr>
      <w:r>
        <w:t>To assess the diagnostic accuracy of FDG-PET versus SPECT for the diagnosis of AD, the following outcomes were considered relevant, as per the PPICO criteria:</w:t>
      </w:r>
      <w:r w:rsidR="00903AED">
        <w:t xml:space="preserve"> </w:t>
      </w:r>
      <w:r>
        <w:t>sensitivity</w:t>
      </w:r>
      <w:r w:rsidR="00903AED">
        <w:t xml:space="preserve">, </w:t>
      </w:r>
      <w:r>
        <w:t>specificity</w:t>
      </w:r>
      <w:r w:rsidR="00903AED">
        <w:t xml:space="preserve">, </w:t>
      </w:r>
      <w:r>
        <w:t>number of true</w:t>
      </w:r>
      <w:r w:rsidR="0064732B">
        <w:t xml:space="preserve"> </w:t>
      </w:r>
      <w:r>
        <w:t>positives, false</w:t>
      </w:r>
      <w:r w:rsidR="000E05F2">
        <w:t xml:space="preserve"> </w:t>
      </w:r>
      <w:r>
        <w:t>positives, false</w:t>
      </w:r>
      <w:r w:rsidR="000E05F2">
        <w:t xml:space="preserve"> </w:t>
      </w:r>
      <w:r>
        <w:t>negatives, and true</w:t>
      </w:r>
      <w:r w:rsidR="0064732B">
        <w:t xml:space="preserve"> </w:t>
      </w:r>
      <w:r>
        <w:t>negatives</w:t>
      </w:r>
      <w:r w:rsidR="00903AED">
        <w:t>.</w:t>
      </w:r>
    </w:p>
    <w:p w14:paraId="7FB9718B" w14:textId="77777777" w:rsidR="004B5625" w:rsidRDefault="004B5625" w:rsidP="004B5625">
      <w:r>
        <w:t>Test sensitivity is calculated as the proportion of people with AD (as determined by histopathologic diagnosis or long-term clinical follow-up) who had a positive test result after FDG-PET or SPECT:</w:t>
      </w:r>
    </w:p>
    <w:p w14:paraId="0845D890" w14:textId="77777777" w:rsidR="004B5625" w:rsidRPr="00A54E62" w:rsidRDefault="004B5625" w:rsidP="004B5625">
      <w:pPr>
        <w:ind w:firstLine="720"/>
        <w:rPr>
          <w:i/>
        </w:rPr>
      </w:pPr>
      <w:r w:rsidRPr="00A54E62">
        <w:rPr>
          <w:i/>
        </w:rPr>
        <w:t>Sensitivity (true positive rate) = number with true positive result / total with AD</w:t>
      </w:r>
    </w:p>
    <w:p w14:paraId="7A91B18C" w14:textId="3CD8F1D6" w:rsidR="004B5625" w:rsidRDefault="004B5625" w:rsidP="004B5625">
      <w:r>
        <w:t>Test specificity is calculated as the proportion of people without AD (as determined by histopathologic diagnosis or long-term clinical follow-up) who had a n</w:t>
      </w:r>
      <w:r w:rsidR="00B23ED9">
        <w:t>egative</w:t>
      </w:r>
      <w:r>
        <w:t xml:space="preserve"> test result after FDG-PET or SPECT:</w:t>
      </w:r>
    </w:p>
    <w:p w14:paraId="425552A0" w14:textId="77777777" w:rsidR="004B5625" w:rsidRPr="00A54E62" w:rsidRDefault="004B5625" w:rsidP="004B5625">
      <w:pPr>
        <w:ind w:firstLine="720"/>
        <w:rPr>
          <w:i/>
        </w:rPr>
      </w:pPr>
      <w:r w:rsidRPr="00A54E62">
        <w:rPr>
          <w:i/>
        </w:rPr>
        <w:t xml:space="preserve">Specificity (true negative rate) = number with true negative result / total without AD </w:t>
      </w:r>
    </w:p>
    <w:p w14:paraId="5E4FAD3F" w14:textId="77777777" w:rsidR="004B5625" w:rsidRDefault="004B5625" w:rsidP="004B5625">
      <w:r>
        <w:t>According to the PPICO criteria, the appropriate reference standard for the diagnosis of AD is histopathologic diagnosis via autopsy or long-term clinical follow-up.</w:t>
      </w:r>
    </w:p>
    <w:p w14:paraId="31B64405" w14:textId="263FD10F" w:rsidR="004B5625" w:rsidRPr="00411EA5" w:rsidRDefault="004B5625" w:rsidP="004B5625">
      <w:r>
        <w:t>As discussed in</w:t>
      </w:r>
      <w:r w:rsidR="001B5A36">
        <w:t xml:space="preserve"> Section</w:t>
      </w:r>
      <w:r>
        <w:t xml:space="preserve"> </w:t>
      </w:r>
      <w:r w:rsidR="001B5A36">
        <w:rPr>
          <w:highlight w:val="yellow"/>
        </w:rPr>
        <w:fldChar w:fldCharType="begin"/>
      </w:r>
      <w:r w:rsidR="001B5A36">
        <w:instrText xml:space="preserve"> REF _Ref406410686 \w \h </w:instrText>
      </w:r>
      <w:r w:rsidR="001B5A36">
        <w:rPr>
          <w:highlight w:val="yellow"/>
        </w:rPr>
      </w:r>
      <w:r w:rsidR="001B5A36">
        <w:rPr>
          <w:highlight w:val="yellow"/>
        </w:rPr>
        <w:fldChar w:fldCharType="separate"/>
      </w:r>
      <w:r w:rsidR="00C67698">
        <w:t>B.4.1</w:t>
      </w:r>
      <w:r w:rsidR="001B5A36">
        <w:rPr>
          <w:highlight w:val="yellow"/>
        </w:rPr>
        <w:fldChar w:fldCharType="end"/>
      </w:r>
      <w:r>
        <w:t xml:space="preserve">, four FDG-PET and eight SPECT studies were identified </w:t>
      </w:r>
      <w:r w:rsidRPr="00411EA5">
        <w:t xml:space="preserve">that used histopathologic diagnosis as the reference standard. One study assessed the sensitivity and specificity of SPECT in distinguishing between patients with suspected AD and cognitively normal (non-demented) controls (Rusina et al, 2010). In one study of FDG-PET (Jagust et al, 2007) and one of SPECT (Jobst et al 1998), diagnostic accuracy was examined in a cohort of patients </w:t>
      </w:r>
      <w:r>
        <w:t>that</w:t>
      </w:r>
      <w:r w:rsidRPr="00411EA5">
        <w:t xml:space="preserve"> contained suspected AD patients, other demented patients, and cognitively normal controls. In those studies, the sensitivity and specificity of FDG-PET and SPECT could be calculated separately for the differentiation of AD patients </w:t>
      </w:r>
      <w:r>
        <w:t>versus</w:t>
      </w:r>
      <w:r w:rsidRPr="00411EA5">
        <w:t xml:space="preserve"> non-demented patients; AD patients </w:t>
      </w:r>
      <w:r>
        <w:t>versus</w:t>
      </w:r>
      <w:r w:rsidRPr="00411EA5">
        <w:t xml:space="preserve"> other demented patients (e.g. </w:t>
      </w:r>
      <w:r w:rsidR="00BD65E4">
        <w:t>FTD</w:t>
      </w:r>
      <w:r w:rsidRPr="00411EA5">
        <w:t xml:space="preserve">, DLB, VD); and AD </w:t>
      </w:r>
      <w:r>
        <w:t>versus</w:t>
      </w:r>
      <w:r w:rsidRPr="00411EA5">
        <w:t xml:space="preserve"> all controls (demented and non-demented).</w:t>
      </w:r>
    </w:p>
    <w:p w14:paraId="385C5081" w14:textId="77777777" w:rsidR="004B5625" w:rsidRPr="00411EA5" w:rsidRDefault="004B5625" w:rsidP="004B5625">
      <w:r w:rsidRPr="00411EA5">
        <w:t xml:space="preserve">The remaining three FDG-PET studies and six SPECT studies reported the sensitivity and specificity of the relevant test, where all patients included in the study had suspected dementia. The results of those studies are, therefore, thought to best represent the </w:t>
      </w:r>
      <w:r w:rsidRPr="00411EA5">
        <w:lastRenderedPageBreak/>
        <w:t xml:space="preserve">patient population who would undergo FDG-PET or SPECT for the diagnosis of suspected AD in practice. </w:t>
      </w:r>
    </w:p>
    <w:p w14:paraId="488932CA" w14:textId="27550D42" w:rsidR="004B5625" w:rsidRPr="002050BE" w:rsidRDefault="001B5A36" w:rsidP="004B5625">
      <w:r w:rsidRPr="001B5A36">
        <w:t xml:space="preserve">Section </w:t>
      </w:r>
      <w:r w:rsidRPr="001B5A36">
        <w:fldChar w:fldCharType="begin"/>
      </w:r>
      <w:r w:rsidRPr="001B5A36">
        <w:instrText xml:space="preserve"> REF _Ref406410686 \w \h </w:instrText>
      </w:r>
      <w:r>
        <w:instrText xml:space="preserve"> \* MERGEFORMAT </w:instrText>
      </w:r>
      <w:r w:rsidRPr="001B5A36">
        <w:fldChar w:fldCharType="separate"/>
      </w:r>
      <w:r w:rsidR="00C67698">
        <w:t>B.4.1</w:t>
      </w:r>
      <w:r w:rsidRPr="001B5A36">
        <w:fldChar w:fldCharType="end"/>
      </w:r>
      <w:r w:rsidRPr="001B5A36">
        <w:t xml:space="preserve"> </w:t>
      </w:r>
      <w:r w:rsidR="004B5625" w:rsidRPr="001B5A36">
        <w:t>highlighted</w:t>
      </w:r>
      <w:r w:rsidR="004B5625" w:rsidRPr="00411EA5">
        <w:t xml:space="preserve"> four studies that were included in the Assessment Report, despite not having pathological confirmation for all participants within the study (Bonte et al, 2004; Jagust et al, 2007; Jobst et al, 1998; Rusina et al, 2010). The publications reported diagnostic accuracy results that were inclusive of those patients without autopsy/biopsy results (often large, living control groups). As outlined in Section </w:t>
      </w:r>
      <w:r w:rsidR="004B5625" w:rsidRPr="00411EA5">
        <w:fldChar w:fldCharType="begin"/>
      </w:r>
      <w:r w:rsidR="004B5625" w:rsidRPr="00411EA5">
        <w:instrText xml:space="preserve"> REF _Ref404938359 \w \h  \* MERGEFORMAT </w:instrText>
      </w:r>
      <w:r w:rsidR="004B5625" w:rsidRPr="00411EA5">
        <w:fldChar w:fldCharType="separate"/>
      </w:r>
      <w:r w:rsidR="00C67698">
        <w:t>B.2.2</w:t>
      </w:r>
      <w:r w:rsidR="004B5625" w:rsidRPr="00411EA5">
        <w:fldChar w:fldCharType="end"/>
      </w:r>
      <w:r w:rsidR="004B5625" w:rsidRPr="00411EA5">
        <w:t>, indirect evidence from studies that examined only FDG-PET or SPECT was included on the basis that true diagnoses were confirmed using the reference standard; however, the existing systematic reviews generally presented the results of those studies inclusive of participants without pathological control. For the purposes of the Assessment Report, information presented in the primary publications has been used to recalculate diagnostic accuracy results for the subset of patients with pathological confirmation only. As such, the results presented in Section</w:t>
      </w:r>
      <w:r w:rsidR="00CE1316">
        <w:t xml:space="preserve"> </w:t>
      </w:r>
      <w:r w:rsidR="00CE1316">
        <w:fldChar w:fldCharType="begin"/>
      </w:r>
      <w:r w:rsidR="00CE1316">
        <w:instrText xml:space="preserve"> REF _Ref406414259 \w \h </w:instrText>
      </w:r>
      <w:r w:rsidR="00CE1316">
        <w:fldChar w:fldCharType="separate"/>
      </w:r>
      <w:r w:rsidR="00C67698">
        <w:t>B.6.1</w:t>
      </w:r>
      <w:r w:rsidR="00CE1316">
        <w:fldChar w:fldCharType="end"/>
      </w:r>
      <w:r w:rsidR="00CE1316">
        <w:t xml:space="preserve"> </w:t>
      </w:r>
      <w:r w:rsidR="004B5625" w:rsidRPr="00411EA5">
        <w:t>do not necessarily match those in the published literature, which tended to include the entire patient population from within those studies.</w:t>
      </w:r>
      <w:r w:rsidR="004B5625">
        <w:t xml:space="preserve">  </w:t>
      </w:r>
    </w:p>
    <w:p w14:paraId="526E45A0" w14:textId="3AF531BC" w:rsidR="004B5625" w:rsidRDefault="004B5625" w:rsidP="004B5625">
      <w:r>
        <w:t>Of the eight comparative studies, only one small study included long-term clinical follow-up (Döbert et al, 2005). Results from Ito et al (2014) – the only other study that assessed diagnostic accuracy results for FDG-PET versus SPECT in a broad dementia population – were combined with those from Döbert et al (2005). The combined results are shown in a 2 x 2 table, in which the results of the index diagnostic tests were cross-classified against the results showing true disease state</w:t>
      </w:r>
      <w:r w:rsidR="00CE1316">
        <w:t xml:space="preserve"> (see</w:t>
      </w:r>
      <w:r>
        <w:t xml:space="preserve"> Section</w:t>
      </w:r>
      <w:r w:rsidR="00CE1316">
        <w:t xml:space="preserve"> </w:t>
      </w:r>
      <w:r w:rsidR="00CE1316">
        <w:fldChar w:fldCharType="begin"/>
      </w:r>
      <w:r w:rsidR="00CE1316">
        <w:instrText xml:space="preserve"> REF _Ref406414259 \w \h </w:instrText>
      </w:r>
      <w:r w:rsidR="00CE1316">
        <w:fldChar w:fldCharType="separate"/>
      </w:r>
      <w:r w:rsidR="00C67698">
        <w:t>B.6.1</w:t>
      </w:r>
      <w:r w:rsidR="00CE1316">
        <w:fldChar w:fldCharType="end"/>
      </w:r>
      <w:r>
        <w:t xml:space="preserve">). </w:t>
      </w:r>
    </w:p>
    <w:p w14:paraId="315B2B85" w14:textId="69C26386" w:rsidR="007731F6" w:rsidRPr="003262DE" w:rsidRDefault="004B5625" w:rsidP="004B5625">
      <w:r>
        <w:t>The remaining comparative studies adopted other, less accepted</w:t>
      </w:r>
      <w:r w:rsidR="00B23ED9">
        <w:t>,</w:t>
      </w:r>
      <w:r>
        <w:t xml:space="preserve"> measures of diagnostic accuracy. Due to limitations in study design (i.e. lack of reference standard) it was usually not possible to accurately estimate sensitivity or specificity. As such, the diagnostic abilities of FDG-PET and SPECT were assessed using qualitative or relatively crude quantitative outcomes. For example, three studies simply reported the number of patients in which FDG-PET detected hypometabolism in AD-associated ROIs (e.g. temporo</w:t>
      </w:r>
      <w:r w:rsidR="00EB2552">
        <w:t>parietal</w:t>
      </w:r>
      <w:r>
        <w:t xml:space="preserve"> or frontal regions) compared to the number of patients in which hypometabolism was detected in the same ROIs using SPECT (Ishii et al, 1999; Kuwabara et al, 1990; Messa et al, 1994). </w:t>
      </w:r>
    </w:p>
    <w:p w14:paraId="4DB65B5E" w14:textId="6B3EA038" w:rsidR="007731F6" w:rsidRPr="003262DE" w:rsidRDefault="007731F6" w:rsidP="007C6DA7">
      <w:pPr>
        <w:pStyle w:val="Heading3"/>
      </w:pPr>
      <w:r w:rsidRPr="003262DE">
        <w:t>Safety</w:t>
      </w:r>
    </w:p>
    <w:p w14:paraId="05F6E1BC" w14:textId="37BB9B48" w:rsidR="007731F6" w:rsidRPr="00126E0B" w:rsidRDefault="003262DE" w:rsidP="007731F6">
      <w:r w:rsidRPr="003262DE">
        <w:t xml:space="preserve">Section </w:t>
      </w:r>
      <w:r w:rsidRPr="003262DE">
        <w:fldChar w:fldCharType="begin"/>
      </w:r>
      <w:r w:rsidRPr="003262DE">
        <w:instrText xml:space="preserve"> REF _Ref406369174 \r \h </w:instrText>
      </w:r>
      <w:r>
        <w:instrText xml:space="preserve"> \* MERGEFORMAT </w:instrText>
      </w:r>
      <w:r w:rsidRPr="003262DE">
        <w:fldChar w:fldCharType="separate"/>
      </w:r>
      <w:r w:rsidR="00C67698">
        <w:t>A.8</w:t>
      </w:r>
      <w:r w:rsidRPr="003262DE">
        <w:fldChar w:fldCharType="end"/>
      </w:r>
      <w:r w:rsidRPr="003262DE">
        <w:t xml:space="preserve"> states the relevant safety outcomes agreed by PASC. These included adverse events and </w:t>
      </w:r>
      <w:r w:rsidR="007731F6" w:rsidRPr="003262DE">
        <w:t>radiation exposure</w:t>
      </w:r>
      <w:r w:rsidRPr="003262DE">
        <w:t xml:space="preserve">. Limited evidence is available to address the safety of FDG-PET in patients with AD or dementia and no comparative evidence was available </w:t>
      </w:r>
      <w:r w:rsidRPr="00126E0B">
        <w:t xml:space="preserve">comparing FDG-PET with SPECT in the target population. </w:t>
      </w:r>
    </w:p>
    <w:p w14:paraId="29F8F7FF" w14:textId="17DED2AD" w:rsidR="007731F6" w:rsidRPr="00126E0B" w:rsidRDefault="007731F6" w:rsidP="007731F6">
      <w:pPr>
        <w:pStyle w:val="Heading3"/>
      </w:pPr>
      <w:r w:rsidRPr="00126E0B">
        <w:t>Change in management</w:t>
      </w:r>
    </w:p>
    <w:p w14:paraId="706B8118" w14:textId="71946149" w:rsidR="00126E0B" w:rsidRDefault="00126E0B" w:rsidP="00126E0B">
      <w:pPr>
        <w:spacing w:after="120"/>
      </w:pPr>
      <w:r w:rsidRPr="003262DE">
        <w:t xml:space="preserve">Section </w:t>
      </w:r>
      <w:r w:rsidRPr="003262DE">
        <w:fldChar w:fldCharType="begin"/>
      </w:r>
      <w:r w:rsidRPr="003262DE">
        <w:instrText xml:space="preserve"> REF _Ref406369174 \r \h </w:instrText>
      </w:r>
      <w:r>
        <w:instrText xml:space="preserve"> \* MERGEFORMAT </w:instrText>
      </w:r>
      <w:r w:rsidRPr="003262DE">
        <w:fldChar w:fldCharType="separate"/>
      </w:r>
      <w:r w:rsidR="00C67698">
        <w:t>A.8</w:t>
      </w:r>
      <w:r w:rsidRPr="003262DE">
        <w:fldChar w:fldCharType="end"/>
      </w:r>
      <w:r w:rsidRPr="003262DE">
        <w:t xml:space="preserve"> states the relevant </w:t>
      </w:r>
      <w:r>
        <w:t>patient</w:t>
      </w:r>
      <w:r w:rsidRPr="003262DE">
        <w:t xml:space="preserve"> </w:t>
      </w:r>
      <w:r w:rsidR="001A06EE">
        <w:t xml:space="preserve">management </w:t>
      </w:r>
      <w:r w:rsidRPr="003262DE">
        <w:t xml:space="preserve">outcomes </w:t>
      </w:r>
      <w:r w:rsidR="001A06EE">
        <w:t>that were agreed by PASC: t</w:t>
      </w:r>
      <w:r>
        <w:t xml:space="preserve">reatment instigated, treatment avoided, and other changes occurring in at least 10% of patients. </w:t>
      </w:r>
    </w:p>
    <w:p w14:paraId="4555BEF7" w14:textId="77777777" w:rsidR="003D1597" w:rsidRDefault="003D1597">
      <w:pPr>
        <w:spacing w:after="160" w:line="259" w:lineRule="auto"/>
        <w:ind w:left="0"/>
      </w:pPr>
      <w:r>
        <w:br w:type="page"/>
      </w:r>
    </w:p>
    <w:p w14:paraId="63F10955" w14:textId="6FD123C2" w:rsidR="00126E0B" w:rsidRDefault="00126E0B" w:rsidP="00126E0B">
      <w:pPr>
        <w:spacing w:after="120"/>
      </w:pPr>
      <w:r w:rsidRPr="00126E0B">
        <w:lastRenderedPageBreak/>
        <w:t>In the one study that</w:t>
      </w:r>
      <w:r>
        <w:t xml:space="preserve"> reported c</w:t>
      </w:r>
      <w:r w:rsidR="000F6961">
        <w:t>hange in patient management (Laf</w:t>
      </w:r>
      <w:r>
        <w:t xml:space="preserve">orce et al, 2010), the impact of FDG-PET on diagnosis was scored retrospectively using two general categories: </w:t>
      </w:r>
    </w:p>
    <w:p w14:paraId="30FFFF29" w14:textId="58D841E4" w:rsidR="00126E0B" w:rsidRDefault="00126E0B" w:rsidP="003140D6">
      <w:pPr>
        <w:pStyle w:val="ListParagraph"/>
        <w:numPr>
          <w:ilvl w:val="0"/>
          <w:numId w:val="27"/>
        </w:numPr>
      </w:pPr>
      <w:r>
        <w:t>PET contribution</w:t>
      </w:r>
      <w:r w:rsidR="00B23ED9">
        <w:t xml:space="preserve"> including:</w:t>
      </w:r>
      <w:r>
        <w:t xml:space="preserve"> ‘none’ (i.e. when PET results were entirely incompatible with the clinical presentation and did not contribute at all to the clinical diagnosis)</w:t>
      </w:r>
      <w:r w:rsidR="00B23ED9">
        <w:t>;</w:t>
      </w:r>
      <w:r>
        <w:t xml:space="preserve"> ‘helps, clarifies, orients’ (i.e. when FDG-PET imaging contributed in some way to the clinical diagnosis)</w:t>
      </w:r>
      <w:r w:rsidR="00B23ED9">
        <w:t>;</w:t>
      </w:r>
      <w:r>
        <w:t xml:space="preserve"> and ‘confirms clinical impressions’ (i.e. when FDG-PET and clinical diagnosis were identical).</w:t>
      </w:r>
    </w:p>
    <w:p w14:paraId="67EC9658" w14:textId="4890A489" w:rsidR="00126E0B" w:rsidRDefault="00126E0B" w:rsidP="003140D6">
      <w:pPr>
        <w:pStyle w:val="ListParagraph"/>
        <w:numPr>
          <w:ilvl w:val="0"/>
          <w:numId w:val="27"/>
        </w:numPr>
      </w:pPr>
      <w:r>
        <w:t>Diagnostic change following FDG-PET, scored as ‘yes’ or ‘no’.</w:t>
      </w:r>
    </w:p>
    <w:p w14:paraId="7A508E9F" w14:textId="77777777" w:rsidR="00126E0B" w:rsidRDefault="00126E0B" w:rsidP="00126E0B">
      <w:r>
        <w:t>The impact of FDG-PET on the prescription of AChEIs was also analysed.</w:t>
      </w:r>
    </w:p>
    <w:p w14:paraId="7F7C7619" w14:textId="77777777" w:rsidR="00126E0B" w:rsidRDefault="00126E0B" w:rsidP="00126E0B">
      <w:r>
        <w:t>In patients with an initial clinical diagnosis of MCI, FDG-PET was used to assess whether there was a pattern of hypometabolism that was at risk of conversion into AD (i.e. prognostic value of FDG-PET).</w:t>
      </w:r>
    </w:p>
    <w:p w14:paraId="5368FB40" w14:textId="18CC7627" w:rsidR="00517E66" w:rsidRDefault="00517E66" w:rsidP="00126E0B">
      <w:r>
        <w:t>Due to the retrospective nature of the study, sensitivity and specificity values could not be generated.</w:t>
      </w:r>
    </w:p>
    <w:p w14:paraId="5A44E66D" w14:textId="7B64A077" w:rsidR="007731F6" w:rsidRPr="003262DE" w:rsidRDefault="00B23ED9" w:rsidP="007731F6">
      <w:pPr>
        <w:pStyle w:val="Heading3"/>
      </w:pPr>
      <w:r>
        <w:t>Change in p</w:t>
      </w:r>
      <w:r w:rsidR="007731F6" w:rsidRPr="003262DE">
        <w:t>atient outcomes</w:t>
      </w:r>
    </w:p>
    <w:p w14:paraId="1DED162F" w14:textId="5AA7BF87" w:rsidR="00126E0B" w:rsidRDefault="00126E0B" w:rsidP="003262DE">
      <w:r>
        <w:t xml:space="preserve">A diagnostic test that assists with the diagnosis of AD has limited utility if treatment is ineffective. </w:t>
      </w:r>
      <w:r w:rsidR="003262DE" w:rsidRPr="003262DE">
        <w:t xml:space="preserve">Section </w:t>
      </w:r>
      <w:r w:rsidR="003262DE" w:rsidRPr="003262DE">
        <w:fldChar w:fldCharType="begin"/>
      </w:r>
      <w:r w:rsidR="003262DE" w:rsidRPr="003262DE">
        <w:instrText xml:space="preserve"> REF _Ref406369174 \r \h </w:instrText>
      </w:r>
      <w:r w:rsidR="003262DE">
        <w:instrText xml:space="preserve"> \* MERGEFORMAT </w:instrText>
      </w:r>
      <w:r w:rsidR="003262DE" w:rsidRPr="003262DE">
        <w:fldChar w:fldCharType="separate"/>
      </w:r>
      <w:r w:rsidR="00C67698">
        <w:t>A.8</w:t>
      </w:r>
      <w:r w:rsidR="003262DE" w:rsidRPr="003262DE">
        <w:fldChar w:fldCharType="end"/>
      </w:r>
      <w:r w:rsidR="003262DE" w:rsidRPr="003262DE">
        <w:t xml:space="preserve"> states the relevant </w:t>
      </w:r>
      <w:r w:rsidR="003262DE">
        <w:t>patient</w:t>
      </w:r>
      <w:r w:rsidR="003262DE" w:rsidRPr="003262DE">
        <w:t xml:space="preserve"> outcomes agreed by PASC. </w:t>
      </w:r>
      <w:r w:rsidR="003262DE">
        <w:t xml:space="preserve">These are related to downstream treatment, and </w:t>
      </w:r>
      <w:r w:rsidR="003262DE" w:rsidRPr="003262DE">
        <w:t xml:space="preserve">include </w:t>
      </w:r>
      <w:r>
        <w:t xml:space="preserve">disease-specific mortality, </w:t>
      </w:r>
      <w:r w:rsidR="007731F6" w:rsidRPr="003262DE">
        <w:t>disease progression (cognitive function, global outcom</w:t>
      </w:r>
      <w:r w:rsidR="003262DE" w:rsidRPr="003262DE">
        <w:t xml:space="preserve">e, activities of daily living) and </w:t>
      </w:r>
      <w:r w:rsidR="007731F6" w:rsidRPr="003262DE">
        <w:t>quality of life</w:t>
      </w:r>
      <w:r w:rsidR="003262DE">
        <w:t xml:space="preserve">. </w:t>
      </w:r>
    </w:p>
    <w:p w14:paraId="2048CA8D" w14:textId="1052CB0F" w:rsidR="007731F6" w:rsidRPr="003262DE" w:rsidRDefault="003262DE" w:rsidP="003262DE">
      <w:r>
        <w:t xml:space="preserve">Section B.6 addresses patient outcomes qualitatively, presenting a </w:t>
      </w:r>
      <w:r w:rsidR="00126E0B">
        <w:t>high</w:t>
      </w:r>
      <w:r>
        <w:t>-level summary of the findings of two recent systematic reviews undertaken for the PBAC (PBS Review, 2012) and NICE (Bond et al. 2012).</w:t>
      </w:r>
    </w:p>
    <w:p w14:paraId="4B28C48E" w14:textId="140784F2" w:rsidR="00F862E9" w:rsidRPr="00513A92" w:rsidRDefault="00D82516" w:rsidP="001B5A36">
      <w:pPr>
        <w:pStyle w:val="Heading2"/>
      </w:pPr>
      <w:bookmarkStart w:id="109" w:name="_Toc408845166"/>
      <w:r w:rsidRPr="00513A92">
        <w:t>Systematic overview of the results</w:t>
      </w:r>
      <w:bookmarkEnd w:id="109"/>
    </w:p>
    <w:p w14:paraId="1154477B" w14:textId="4264FC78" w:rsidR="00F862E9" w:rsidRDefault="00F862E9" w:rsidP="00F862E9">
      <w:pPr>
        <w:pStyle w:val="Heading3"/>
      </w:pPr>
      <w:bookmarkStart w:id="110" w:name="_Ref406414259"/>
      <w:r w:rsidRPr="00513A92">
        <w:t>Diagnostic accuracy</w:t>
      </w:r>
      <w:bookmarkEnd w:id="110"/>
    </w:p>
    <w:p w14:paraId="37364EDA" w14:textId="14C6D12A" w:rsidR="000166DA" w:rsidRPr="000166DA" w:rsidRDefault="00986085" w:rsidP="000166DA">
      <w:pPr>
        <w:pStyle w:val="Heading4"/>
      </w:pPr>
      <w:r>
        <w:t>Direct</w:t>
      </w:r>
      <w:r w:rsidR="003C1579">
        <w:t xml:space="preserve"> evidence</w:t>
      </w:r>
    </w:p>
    <w:p w14:paraId="4E59ABB3" w14:textId="33058658" w:rsidR="001B5A36" w:rsidRDefault="001B5A36" w:rsidP="001B5A36">
      <w:r>
        <w:t xml:space="preserve">The diagnostic accuracy results of the two comparative studies examining FDG-PET and SPECT in patients with cognitive impairment or dementia are shown in </w:t>
      </w:r>
      <w:r>
        <w:fldChar w:fldCharType="begin"/>
      </w:r>
      <w:r>
        <w:instrText xml:space="preserve"> REF _Ref405969175 \h </w:instrText>
      </w:r>
      <w:r>
        <w:fldChar w:fldCharType="separate"/>
      </w:r>
      <w:r w:rsidR="00C67698">
        <w:t xml:space="preserve">Table </w:t>
      </w:r>
      <w:r w:rsidR="00C67698">
        <w:rPr>
          <w:noProof/>
        </w:rPr>
        <w:t>B.6</w:t>
      </w:r>
      <w:r w:rsidR="00C67698">
        <w:noBreakHyphen/>
      </w:r>
      <w:r w:rsidR="00C67698">
        <w:rPr>
          <w:noProof/>
        </w:rPr>
        <w:t>1</w:t>
      </w:r>
      <w:r>
        <w:fldChar w:fldCharType="end"/>
      </w:r>
      <w:r>
        <w:t xml:space="preserve">. In Ito et al (2014), the diagnostic tests were interpreted by three readers and these results are presented separately. </w:t>
      </w:r>
    </w:p>
    <w:p w14:paraId="7B905297" w14:textId="77777777" w:rsidR="008C4D1C" w:rsidRDefault="00C345CC" w:rsidP="001B5A36">
      <w:pPr>
        <w:sectPr w:rsidR="008C4D1C" w:rsidSect="008C4D1C">
          <w:footerReference w:type="default" r:id="rId17"/>
          <w:pgSz w:w="11906" w:h="16838" w:code="9"/>
          <w:pgMar w:top="1440" w:right="1440" w:bottom="1440" w:left="1440" w:header="680" w:footer="1021" w:gutter="0"/>
          <w:cols w:space="708"/>
          <w:docGrid w:linePitch="360"/>
        </w:sectPr>
      </w:pPr>
      <w:r>
        <w:t>Döbert et al (2005) reported</w:t>
      </w:r>
      <w:r w:rsidR="001B5A36">
        <w:t xml:space="preserve"> diagnostic accuracy using two different approaches. First, AD and mixed-type dementia were recognised as separate entities, which generally resulted in comparatively lower sensitivity and specificity results. Second, AD and mixed-type dementia were combined, with the authors noting that the differentiation of those two conditions is of limited clinical importance. The results of both approaches are shown in </w:t>
      </w:r>
      <w:r w:rsidR="001B5A36">
        <w:fldChar w:fldCharType="begin"/>
      </w:r>
      <w:r w:rsidR="001B5A36">
        <w:instrText xml:space="preserve"> REF _Ref405969175 \h </w:instrText>
      </w:r>
      <w:r w:rsidR="001B5A36">
        <w:fldChar w:fldCharType="separate"/>
      </w:r>
      <w:r w:rsidR="00C67698">
        <w:t xml:space="preserve">Table </w:t>
      </w:r>
      <w:r w:rsidR="00C67698">
        <w:rPr>
          <w:noProof/>
        </w:rPr>
        <w:t>B.6</w:t>
      </w:r>
      <w:r w:rsidR="00C67698">
        <w:noBreakHyphen/>
      </w:r>
      <w:r w:rsidR="00C67698">
        <w:rPr>
          <w:noProof/>
        </w:rPr>
        <w:t>1</w:t>
      </w:r>
      <w:r w:rsidR="001B5A36">
        <w:fldChar w:fldCharType="end"/>
      </w:r>
      <w:r w:rsidR="001B5A36">
        <w:t xml:space="preserve">. </w:t>
      </w:r>
    </w:p>
    <w:p w14:paraId="24E3192B" w14:textId="3BE4225D" w:rsidR="00513A92" w:rsidRDefault="00513A92" w:rsidP="00DB1F17">
      <w:pPr>
        <w:pStyle w:val="Caption"/>
        <w:ind w:left="2268" w:right="-76" w:hanging="1548"/>
      </w:pPr>
      <w:bookmarkStart w:id="111" w:name="_Ref405969175"/>
      <w:bookmarkStart w:id="112" w:name="_Toc406401388"/>
      <w:bookmarkStart w:id="113" w:name="_Toc408845214"/>
      <w:r>
        <w:lastRenderedPageBreak/>
        <w:t xml:space="preserve">Table </w:t>
      </w:r>
      <w:fldSimple w:instr=" STYLEREF 2 \s ">
        <w:r w:rsidR="00C67698">
          <w:rPr>
            <w:noProof/>
          </w:rPr>
          <w:t>B.6</w:t>
        </w:r>
      </w:fldSimple>
      <w:r w:rsidR="00524916">
        <w:noBreakHyphen/>
      </w:r>
      <w:fldSimple w:instr=" SEQ Table \* ARABIC \s 2 ">
        <w:r w:rsidR="00C67698">
          <w:rPr>
            <w:noProof/>
          </w:rPr>
          <w:t>1</w:t>
        </w:r>
      </w:fldSimple>
      <w:bookmarkEnd w:id="111"/>
      <w:bookmarkEnd w:id="112"/>
      <w:r w:rsidR="00DB1F17">
        <w:rPr>
          <w:noProof/>
        </w:rPr>
        <w:tab/>
        <w:t>Test results and performance characteristics of studies comparing FDG-PET and SPECT in patients with cognitive impairment or dementia</w:t>
      </w:r>
      <w:bookmarkEnd w:id="113"/>
    </w:p>
    <w:tbl>
      <w:tblPr>
        <w:tblStyle w:val="TableGrid"/>
        <w:tblW w:w="13309" w:type="dxa"/>
        <w:tblInd w:w="720" w:type="dxa"/>
        <w:tblLook w:val="04A0" w:firstRow="1" w:lastRow="0" w:firstColumn="1" w:lastColumn="0" w:noHBand="0" w:noVBand="1"/>
        <w:tblCaption w:val="The test results and performance characteristics of studies comparing FDG-PET and SPECT"/>
        <w:tblDescription w:val="The number of true positives, false positives, false negatives and true negatives reported in the studies by Ito 2014 and Dobert 2005. The table also reports the sensitivity, specificity, positive predictive values and negative predictive values calculated from those studies."/>
      </w:tblPr>
      <w:tblGrid>
        <w:gridCol w:w="1616"/>
        <w:gridCol w:w="690"/>
        <w:gridCol w:w="691"/>
        <w:gridCol w:w="690"/>
        <w:gridCol w:w="691"/>
        <w:gridCol w:w="1630"/>
        <w:gridCol w:w="1630"/>
        <w:gridCol w:w="1630"/>
        <w:gridCol w:w="1631"/>
        <w:gridCol w:w="2410"/>
      </w:tblGrid>
      <w:tr w:rsidR="00513A92" w14:paraId="2CD48EE5" w14:textId="77777777" w:rsidTr="00556738">
        <w:trPr>
          <w:tblHeader/>
        </w:trPr>
        <w:tc>
          <w:tcPr>
            <w:tcW w:w="1616" w:type="dxa"/>
            <w:shd w:val="clear" w:color="auto" w:fill="FFFFFF" w:themeFill="background1"/>
          </w:tcPr>
          <w:p w14:paraId="37495DFD" w14:textId="77777777" w:rsidR="00513A92" w:rsidRDefault="00513A92" w:rsidP="00A71AB3">
            <w:pPr>
              <w:pStyle w:val="Tabletextboldleft"/>
            </w:pPr>
            <w:r>
              <w:t xml:space="preserve">Study ID </w:t>
            </w:r>
          </w:p>
        </w:tc>
        <w:tc>
          <w:tcPr>
            <w:tcW w:w="690" w:type="dxa"/>
            <w:shd w:val="clear" w:color="auto" w:fill="FFFFFF" w:themeFill="background1"/>
          </w:tcPr>
          <w:p w14:paraId="14A784CF" w14:textId="77777777" w:rsidR="00513A92" w:rsidRPr="004B7590" w:rsidRDefault="00513A92" w:rsidP="00A71AB3">
            <w:pPr>
              <w:pStyle w:val="Tabletextboldleft"/>
              <w:jc w:val="center"/>
            </w:pPr>
            <w:r>
              <w:t>TP</w:t>
            </w:r>
          </w:p>
        </w:tc>
        <w:tc>
          <w:tcPr>
            <w:tcW w:w="691" w:type="dxa"/>
            <w:shd w:val="clear" w:color="auto" w:fill="FFFFFF" w:themeFill="background1"/>
          </w:tcPr>
          <w:p w14:paraId="799EC121" w14:textId="77777777" w:rsidR="00513A92" w:rsidRDefault="00513A92" w:rsidP="00A71AB3">
            <w:pPr>
              <w:pStyle w:val="Tabletextboldleft"/>
              <w:jc w:val="center"/>
            </w:pPr>
            <w:r>
              <w:t>FP</w:t>
            </w:r>
          </w:p>
        </w:tc>
        <w:tc>
          <w:tcPr>
            <w:tcW w:w="690" w:type="dxa"/>
            <w:shd w:val="clear" w:color="auto" w:fill="FFFFFF" w:themeFill="background1"/>
          </w:tcPr>
          <w:p w14:paraId="5A63F736" w14:textId="77777777" w:rsidR="00513A92" w:rsidRDefault="00513A92" w:rsidP="00A71AB3">
            <w:pPr>
              <w:pStyle w:val="Tabletextboldleft"/>
              <w:jc w:val="center"/>
            </w:pPr>
            <w:r>
              <w:t>FN</w:t>
            </w:r>
          </w:p>
        </w:tc>
        <w:tc>
          <w:tcPr>
            <w:tcW w:w="691" w:type="dxa"/>
            <w:shd w:val="clear" w:color="auto" w:fill="FFFFFF" w:themeFill="background1"/>
          </w:tcPr>
          <w:p w14:paraId="480FC5EF" w14:textId="77777777" w:rsidR="00513A92" w:rsidRPr="004B7590" w:rsidRDefault="00513A92" w:rsidP="00A71AB3">
            <w:pPr>
              <w:pStyle w:val="Tabletextboldleft"/>
              <w:jc w:val="center"/>
            </w:pPr>
            <w:r>
              <w:t>TN</w:t>
            </w:r>
          </w:p>
        </w:tc>
        <w:tc>
          <w:tcPr>
            <w:tcW w:w="1630" w:type="dxa"/>
            <w:shd w:val="clear" w:color="auto" w:fill="FFFFFF" w:themeFill="background1"/>
          </w:tcPr>
          <w:p w14:paraId="20292A35" w14:textId="77777777" w:rsidR="00513A92" w:rsidRDefault="00513A92" w:rsidP="00A71AB3">
            <w:pPr>
              <w:pStyle w:val="Tabletextboldleft"/>
              <w:jc w:val="center"/>
            </w:pPr>
            <w:r>
              <w:t xml:space="preserve">Sensitivity </w:t>
            </w:r>
          </w:p>
          <w:p w14:paraId="6644F890" w14:textId="77777777" w:rsidR="00513A92" w:rsidRPr="004B7590" w:rsidRDefault="00513A92" w:rsidP="00A71AB3">
            <w:pPr>
              <w:pStyle w:val="Tabletextboldleft"/>
              <w:jc w:val="center"/>
            </w:pPr>
            <w:r w:rsidRPr="004B7590">
              <w:t>[95% CI]</w:t>
            </w:r>
          </w:p>
        </w:tc>
        <w:tc>
          <w:tcPr>
            <w:tcW w:w="1630" w:type="dxa"/>
            <w:shd w:val="clear" w:color="auto" w:fill="FFFFFF" w:themeFill="background1"/>
          </w:tcPr>
          <w:p w14:paraId="7F0086D3" w14:textId="77777777" w:rsidR="00513A92" w:rsidRDefault="00513A92" w:rsidP="00A71AB3">
            <w:pPr>
              <w:pStyle w:val="Tabletextboldleft"/>
              <w:jc w:val="center"/>
            </w:pPr>
            <w:r>
              <w:t xml:space="preserve">Specificity </w:t>
            </w:r>
          </w:p>
          <w:p w14:paraId="524136AD" w14:textId="77777777" w:rsidR="00513A92" w:rsidRPr="004B7590" w:rsidRDefault="00513A92" w:rsidP="00A71AB3">
            <w:pPr>
              <w:pStyle w:val="Tabletextboldleft"/>
              <w:jc w:val="center"/>
            </w:pPr>
            <w:r w:rsidRPr="004B7590">
              <w:t>[95% CI]</w:t>
            </w:r>
          </w:p>
        </w:tc>
        <w:tc>
          <w:tcPr>
            <w:tcW w:w="1630" w:type="dxa"/>
            <w:shd w:val="clear" w:color="auto" w:fill="FFFFFF" w:themeFill="background1"/>
          </w:tcPr>
          <w:p w14:paraId="2ADB6596" w14:textId="77777777" w:rsidR="00513A92" w:rsidRDefault="00513A92" w:rsidP="00A71AB3">
            <w:pPr>
              <w:pStyle w:val="Tabletextboldleft"/>
              <w:jc w:val="center"/>
            </w:pPr>
            <w:r>
              <w:t>PPV</w:t>
            </w:r>
          </w:p>
          <w:p w14:paraId="3DD5040F" w14:textId="77777777" w:rsidR="00513A92" w:rsidRDefault="00513A92" w:rsidP="00A71AB3">
            <w:pPr>
              <w:pStyle w:val="Tabletextboldleft"/>
              <w:jc w:val="center"/>
            </w:pPr>
            <w:r w:rsidRPr="00282ED6">
              <w:t>[95% CI]</w:t>
            </w:r>
          </w:p>
        </w:tc>
        <w:tc>
          <w:tcPr>
            <w:tcW w:w="1631" w:type="dxa"/>
            <w:shd w:val="clear" w:color="auto" w:fill="FFFFFF" w:themeFill="background1"/>
          </w:tcPr>
          <w:p w14:paraId="300981C0" w14:textId="77777777" w:rsidR="00513A92" w:rsidRDefault="00513A92" w:rsidP="00A71AB3">
            <w:pPr>
              <w:pStyle w:val="Tabletextboldleft"/>
              <w:jc w:val="center"/>
            </w:pPr>
            <w:r>
              <w:t>NPV</w:t>
            </w:r>
          </w:p>
          <w:p w14:paraId="77C37578" w14:textId="77777777" w:rsidR="00513A92" w:rsidRDefault="00513A92" w:rsidP="00A71AB3">
            <w:pPr>
              <w:pStyle w:val="Tabletextboldleft"/>
              <w:jc w:val="center"/>
            </w:pPr>
            <w:r w:rsidRPr="00282ED6">
              <w:t>[95% CI]</w:t>
            </w:r>
          </w:p>
        </w:tc>
        <w:tc>
          <w:tcPr>
            <w:tcW w:w="2410" w:type="dxa"/>
            <w:shd w:val="clear" w:color="auto" w:fill="FFFFFF" w:themeFill="background1"/>
          </w:tcPr>
          <w:p w14:paraId="207E6AD1" w14:textId="77777777" w:rsidR="00513A92" w:rsidRDefault="00513A92" w:rsidP="00A71AB3">
            <w:pPr>
              <w:pStyle w:val="Tabletextboldleft"/>
              <w:jc w:val="center"/>
            </w:pPr>
            <w:r>
              <w:t>Source</w:t>
            </w:r>
          </w:p>
        </w:tc>
      </w:tr>
      <w:tr w:rsidR="00513A92" w14:paraId="065043C4" w14:textId="77777777" w:rsidTr="00A71AB3">
        <w:tc>
          <w:tcPr>
            <w:tcW w:w="1616" w:type="dxa"/>
            <w:tcBorders>
              <w:bottom w:val="single" w:sz="4" w:space="0" w:color="auto"/>
            </w:tcBorders>
            <w:shd w:val="clear" w:color="auto" w:fill="D0CECE" w:themeFill="background2" w:themeFillShade="E6"/>
          </w:tcPr>
          <w:p w14:paraId="717ABF28" w14:textId="77777777" w:rsidR="00513A92" w:rsidRDefault="00513A92" w:rsidP="00A71AB3">
            <w:pPr>
              <w:pStyle w:val="Tabletextcentred"/>
              <w:keepNext/>
              <w:jc w:val="left"/>
            </w:pPr>
            <w:r>
              <w:t>FDG-PET</w:t>
            </w:r>
          </w:p>
        </w:tc>
        <w:tc>
          <w:tcPr>
            <w:tcW w:w="690" w:type="dxa"/>
            <w:tcBorders>
              <w:bottom w:val="single" w:sz="4" w:space="0" w:color="auto"/>
            </w:tcBorders>
            <w:shd w:val="clear" w:color="auto" w:fill="D0CECE" w:themeFill="background2" w:themeFillShade="E6"/>
          </w:tcPr>
          <w:p w14:paraId="0D0444D1" w14:textId="77777777" w:rsidR="00513A92" w:rsidRDefault="00513A92" w:rsidP="00A71AB3">
            <w:pPr>
              <w:pStyle w:val="Tabletextcentred"/>
              <w:keepNext/>
            </w:pPr>
            <w:r>
              <w:t>-</w:t>
            </w:r>
          </w:p>
        </w:tc>
        <w:tc>
          <w:tcPr>
            <w:tcW w:w="691" w:type="dxa"/>
            <w:tcBorders>
              <w:bottom w:val="single" w:sz="4" w:space="0" w:color="auto"/>
            </w:tcBorders>
            <w:shd w:val="clear" w:color="auto" w:fill="D0CECE" w:themeFill="background2" w:themeFillShade="E6"/>
          </w:tcPr>
          <w:p w14:paraId="77D0ACF6" w14:textId="77777777" w:rsidR="00513A92" w:rsidRDefault="00513A92" w:rsidP="00A71AB3">
            <w:pPr>
              <w:pStyle w:val="Tabletextcentred"/>
              <w:keepNext/>
            </w:pPr>
            <w:r>
              <w:t>-</w:t>
            </w:r>
          </w:p>
        </w:tc>
        <w:tc>
          <w:tcPr>
            <w:tcW w:w="690" w:type="dxa"/>
            <w:tcBorders>
              <w:bottom w:val="single" w:sz="4" w:space="0" w:color="auto"/>
            </w:tcBorders>
            <w:shd w:val="clear" w:color="auto" w:fill="D0CECE" w:themeFill="background2" w:themeFillShade="E6"/>
          </w:tcPr>
          <w:p w14:paraId="1B884B8F" w14:textId="77777777" w:rsidR="00513A92" w:rsidRDefault="00513A92" w:rsidP="00A71AB3">
            <w:pPr>
              <w:pStyle w:val="Tabletextcentred"/>
              <w:keepNext/>
            </w:pPr>
            <w:r>
              <w:t>-</w:t>
            </w:r>
          </w:p>
        </w:tc>
        <w:tc>
          <w:tcPr>
            <w:tcW w:w="691" w:type="dxa"/>
            <w:tcBorders>
              <w:bottom w:val="single" w:sz="4" w:space="0" w:color="auto"/>
            </w:tcBorders>
            <w:shd w:val="clear" w:color="auto" w:fill="D0CECE" w:themeFill="background2" w:themeFillShade="E6"/>
          </w:tcPr>
          <w:p w14:paraId="56C77FE5" w14:textId="77777777" w:rsidR="00513A92" w:rsidRDefault="00513A92" w:rsidP="00A71AB3">
            <w:pPr>
              <w:pStyle w:val="Tabletextcentred"/>
              <w:keepNext/>
            </w:pPr>
            <w:r>
              <w:t>-</w:t>
            </w:r>
          </w:p>
        </w:tc>
        <w:tc>
          <w:tcPr>
            <w:tcW w:w="1630" w:type="dxa"/>
            <w:tcBorders>
              <w:bottom w:val="single" w:sz="4" w:space="0" w:color="auto"/>
            </w:tcBorders>
            <w:shd w:val="clear" w:color="auto" w:fill="D0CECE" w:themeFill="background2" w:themeFillShade="E6"/>
          </w:tcPr>
          <w:p w14:paraId="3E8250F4" w14:textId="77777777" w:rsidR="00513A92" w:rsidRDefault="00513A92" w:rsidP="00A71AB3">
            <w:pPr>
              <w:pStyle w:val="Tabletextcentred"/>
              <w:keepNext/>
            </w:pPr>
            <w:r>
              <w:t>-</w:t>
            </w:r>
          </w:p>
        </w:tc>
        <w:tc>
          <w:tcPr>
            <w:tcW w:w="1630" w:type="dxa"/>
            <w:tcBorders>
              <w:bottom w:val="single" w:sz="4" w:space="0" w:color="auto"/>
            </w:tcBorders>
            <w:shd w:val="clear" w:color="auto" w:fill="D0CECE" w:themeFill="background2" w:themeFillShade="E6"/>
          </w:tcPr>
          <w:p w14:paraId="28687589" w14:textId="77777777" w:rsidR="00513A92" w:rsidRDefault="00513A92" w:rsidP="00A71AB3">
            <w:pPr>
              <w:pStyle w:val="Tabletextcentred"/>
              <w:keepNext/>
            </w:pPr>
            <w:r>
              <w:t>-</w:t>
            </w:r>
          </w:p>
        </w:tc>
        <w:tc>
          <w:tcPr>
            <w:tcW w:w="1630" w:type="dxa"/>
            <w:tcBorders>
              <w:bottom w:val="single" w:sz="4" w:space="0" w:color="auto"/>
            </w:tcBorders>
            <w:shd w:val="clear" w:color="auto" w:fill="D0CECE" w:themeFill="background2" w:themeFillShade="E6"/>
          </w:tcPr>
          <w:p w14:paraId="4A71DAE4" w14:textId="77777777" w:rsidR="00513A92" w:rsidRDefault="00513A92" w:rsidP="00A71AB3">
            <w:pPr>
              <w:pStyle w:val="Tabletextcentred"/>
              <w:keepNext/>
            </w:pPr>
            <w:r>
              <w:t>-</w:t>
            </w:r>
          </w:p>
        </w:tc>
        <w:tc>
          <w:tcPr>
            <w:tcW w:w="1631" w:type="dxa"/>
            <w:tcBorders>
              <w:bottom w:val="single" w:sz="4" w:space="0" w:color="auto"/>
            </w:tcBorders>
            <w:shd w:val="clear" w:color="auto" w:fill="D0CECE" w:themeFill="background2" w:themeFillShade="E6"/>
          </w:tcPr>
          <w:p w14:paraId="0CE739AB" w14:textId="77777777" w:rsidR="00513A92" w:rsidRDefault="00513A92" w:rsidP="00A71AB3">
            <w:pPr>
              <w:pStyle w:val="Tabletextcentred"/>
              <w:keepNext/>
            </w:pPr>
            <w:r>
              <w:t>-</w:t>
            </w:r>
          </w:p>
        </w:tc>
        <w:tc>
          <w:tcPr>
            <w:tcW w:w="2410" w:type="dxa"/>
            <w:tcBorders>
              <w:bottom w:val="single" w:sz="4" w:space="0" w:color="auto"/>
            </w:tcBorders>
            <w:shd w:val="clear" w:color="auto" w:fill="D0CECE" w:themeFill="background2" w:themeFillShade="E6"/>
          </w:tcPr>
          <w:p w14:paraId="1D9C0A9F" w14:textId="77777777" w:rsidR="00513A92" w:rsidRDefault="00513A92" w:rsidP="00A71AB3">
            <w:pPr>
              <w:pStyle w:val="Tabletextcentred"/>
              <w:keepNext/>
            </w:pPr>
            <w:r>
              <w:t>-</w:t>
            </w:r>
          </w:p>
        </w:tc>
      </w:tr>
      <w:tr w:rsidR="00513A92" w14:paraId="27A27BC0" w14:textId="77777777" w:rsidTr="00A71AB3">
        <w:tc>
          <w:tcPr>
            <w:tcW w:w="1616" w:type="dxa"/>
            <w:tcBorders>
              <w:bottom w:val="nil"/>
            </w:tcBorders>
            <w:shd w:val="clear" w:color="auto" w:fill="FFFFFF" w:themeFill="background1"/>
          </w:tcPr>
          <w:p w14:paraId="50446D0D" w14:textId="77777777" w:rsidR="00513A92" w:rsidRDefault="00513A92" w:rsidP="00A71AB3">
            <w:pPr>
              <w:pStyle w:val="Tabletextcentred"/>
              <w:keepNext/>
              <w:jc w:val="left"/>
            </w:pPr>
            <w:r>
              <w:t>Ito (2014)</w:t>
            </w:r>
          </w:p>
          <w:p w14:paraId="6C186410" w14:textId="77777777" w:rsidR="00513A92" w:rsidRDefault="00513A92" w:rsidP="00A71AB3">
            <w:pPr>
              <w:pStyle w:val="Tabletextcentred"/>
              <w:keepNext/>
              <w:jc w:val="left"/>
            </w:pPr>
            <w:r>
              <w:t>Reader 1</w:t>
            </w:r>
          </w:p>
        </w:tc>
        <w:tc>
          <w:tcPr>
            <w:tcW w:w="690" w:type="dxa"/>
            <w:tcBorders>
              <w:bottom w:val="nil"/>
            </w:tcBorders>
            <w:shd w:val="clear" w:color="auto" w:fill="FFFFFF" w:themeFill="background1"/>
          </w:tcPr>
          <w:p w14:paraId="7EC39991" w14:textId="77777777" w:rsidR="00513A92" w:rsidRDefault="00513A92" w:rsidP="00A71AB3">
            <w:pPr>
              <w:pStyle w:val="Tabletextcentred"/>
              <w:keepNext/>
            </w:pPr>
          </w:p>
          <w:p w14:paraId="30E75546" w14:textId="77777777" w:rsidR="00513A92" w:rsidRDefault="00513A92" w:rsidP="00A71AB3">
            <w:pPr>
              <w:pStyle w:val="Tabletextcentred"/>
              <w:keepNext/>
            </w:pPr>
            <w:r>
              <w:t>31</w:t>
            </w:r>
          </w:p>
        </w:tc>
        <w:tc>
          <w:tcPr>
            <w:tcW w:w="691" w:type="dxa"/>
            <w:tcBorders>
              <w:bottom w:val="nil"/>
            </w:tcBorders>
            <w:shd w:val="clear" w:color="auto" w:fill="FFFFFF" w:themeFill="background1"/>
          </w:tcPr>
          <w:p w14:paraId="35BF332D" w14:textId="77777777" w:rsidR="00513A92" w:rsidRDefault="00513A92" w:rsidP="00A71AB3">
            <w:pPr>
              <w:pStyle w:val="Tabletextcentred"/>
              <w:keepNext/>
            </w:pPr>
          </w:p>
          <w:p w14:paraId="031B0989" w14:textId="77777777" w:rsidR="00513A92" w:rsidRDefault="00513A92" w:rsidP="00A71AB3">
            <w:pPr>
              <w:pStyle w:val="Tabletextcentred"/>
              <w:keepNext/>
            </w:pPr>
            <w:r>
              <w:t>9</w:t>
            </w:r>
          </w:p>
        </w:tc>
        <w:tc>
          <w:tcPr>
            <w:tcW w:w="690" w:type="dxa"/>
            <w:tcBorders>
              <w:bottom w:val="nil"/>
            </w:tcBorders>
            <w:shd w:val="clear" w:color="auto" w:fill="FFFFFF" w:themeFill="background1"/>
          </w:tcPr>
          <w:p w14:paraId="3F498B7C" w14:textId="77777777" w:rsidR="00513A92" w:rsidRDefault="00513A92" w:rsidP="00A71AB3">
            <w:pPr>
              <w:pStyle w:val="Tabletextcentred"/>
              <w:keepNext/>
            </w:pPr>
          </w:p>
          <w:p w14:paraId="0378EF2B" w14:textId="77777777" w:rsidR="00513A92" w:rsidRDefault="00513A92" w:rsidP="00A71AB3">
            <w:pPr>
              <w:pStyle w:val="Tabletextcentred"/>
              <w:keepNext/>
            </w:pPr>
            <w:r>
              <w:t>9</w:t>
            </w:r>
          </w:p>
        </w:tc>
        <w:tc>
          <w:tcPr>
            <w:tcW w:w="691" w:type="dxa"/>
            <w:tcBorders>
              <w:bottom w:val="nil"/>
            </w:tcBorders>
            <w:shd w:val="clear" w:color="auto" w:fill="FFFFFF" w:themeFill="background1"/>
          </w:tcPr>
          <w:p w14:paraId="517BE3F1" w14:textId="77777777" w:rsidR="00513A92" w:rsidRDefault="00513A92" w:rsidP="00A71AB3">
            <w:pPr>
              <w:pStyle w:val="Tabletextcentred"/>
              <w:keepNext/>
            </w:pPr>
          </w:p>
          <w:p w14:paraId="18E46B8C" w14:textId="77777777" w:rsidR="00513A92" w:rsidRDefault="00513A92" w:rsidP="00A71AB3">
            <w:pPr>
              <w:pStyle w:val="Tabletextcentred"/>
              <w:keepNext/>
            </w:pPr>
            <w:r>
              <w:t>6</w:t>
            </w:r>
          </w:p>
        </w:tc>
        <w:tc>
          <w:tcPr>
            <w:tcW w:w="1630" w:type="dxa"/>
            <w:tcBorders>
              <w:bottom w:val="nil"/>
            </w:tcBorders>
            <w:shd w:val="clear" w:color="auto" w:fill="FFFFFF" w:themeFill="background1"/>
          </w:tcPr>
          <w:p w14:paraId="0DFE88EB" w14:textId="77777777" w:rsidR="00513A92" w:rsidRDefault="00513A92" w:rsidP="00A71AB3">
            <w:pPr>
              <w:pStyle w:val="Tabletextcentred"/>
              <w:keepNext/>
              <w:tabs>
                <w:tab w:val="left" w:pos="1236"/>
              </w:tabs>
            </w:pPr>
          </w:p>
          <w:p w14:paraId="78D7558B" w14:textId="77777777" w:rsidR="00513A92" w:rsidRDefault="00513A92" w:rsidP="00A71AB3">
            <w:pPr>
              <w:pStyle w:val="Tabletextcentred"/>
              <w:keepNext/>
              <w:tabs>
                <w:tab w:val="left" w:pos="1236"/>
              </w:tabs>
            </w:pPr>
            <w:r>
              <w:t>78% [62%-89%]</w:t>
            </w:r>
          </w:p>
        </w:tc>
        <w:tc>
          <w:tcPr>
            <w:tcW w:w="1630" w:type="dxa"/>
            <w:tcBorders>
              <w:bottom w:val="nil"/>
            </w:tcBorders>
            <w:shd w:val="clear" w:color="auto" w:fill="FFFFFF" w:themeFill="background1"/>
          </w:tcPr>
          <w:p w14:paraId="77F99BD8" w14:textId="77777777" w:rsidR="00513A92" w:rsidRDefault="00513A92" w:rsidP="00A71AB3">
            <w:pPr>
              <w:pStyle w:val="Tabletextcentred"/>
              <w:keepNext/>
            </w:pPr>
          </w:p>
          <w:p w14:paraId="3DDCB278" w14:textId="77777777" w:rsidR="00513A92" w:rsidRDefault="00513A92" w:rsidP="00A71AB3">
            <w:pPr>
              <w:pStyle w:val="Tabletextcentred"/>
              <w:keepNext/>
            </w:pPr>
            <w:r>
              <w:t>40% [16%-68]</w:t>
            </w:r>
          </w:p>
        </w:tc>
        <w:tc>
          <w:tcPr>
            <w:tcW w:w="1630" w:type="dxa"/>
            <w:tcBorders>
              <w:bottom w:val="nil"/>
            </w:tcBorders>
            <w:shd w:val="clear" w:color="auto" w:fill="FFFFFF" w:themeFill="background1"/>
          </w:tcPr>
          <w:p w14:paraId="56B768F4" w14:textId="77777777" w:rsidR="00513A92" w:rsidRDefault="00513A92" w:rsidP="00A71AB3">
            <w:pPr>
              <w:pStyle w:val="Tabletextcentred"/>
              <w:keepNext/>
            </w:pPr>
          </w:p>
          <w:p w14:paraId="55423DCB" w14:textId="77777777" w:rsidR="00513A92" w:rsidRDefault="00513A92" w:rsidP="00A71AB3">
            <w:pPr>
              <w:pStyle w:val="Tabletextcentred"/>
              <w:keepNext/>
            </w:pPr>
            <w:r>
              <w:t>78% [62%-89%]</w:t>
            </w:r>
          </w:p>
        </w:tc>
        <w:tc>
          <w:tcPr>
            <w:tcW w:w="1631" w:type="dxa"/>
            <w:tcBorders>
              <w:bottom w:val="nil"/>
            </w:tcBorders>
            <w:shd w:val="clear" w:color="auto" w:fill="FFFFFF" w:themeFill="background1"/>
          </w:tcPr>
          <w:p w14:paraId="694976D3" w14:textId="77777777" w:rsidR="00513A92" w:rsidRDefault="00513A92" w:rsidP="00A71AB3">
            <w:pPr>
              <w:pStyle w:val="Tabletextcentred"/>
              <w:keepNext/>
            </w:pPr>
          </w:p>
          <w:p w14:paraId="426073F0" w14:textId="77777777" w:rsidR="00513A92" w:rsidRDefault="00513A92" w:rsidP="00A71AB3">
            <w:pPr>
              <w:pStyle w:val="Tabletextcentred"/>
              <w:keepNext/>
            </w:pPr>
            <w:r>
              <w:t>40% [16%-68%]</w:t>
            </w:r>
          </w:p>
        </w:tc>
        <w:tc>
          <w:tcPr>
            <w:tcW w:w="2410" w:type="dxa"/>
            <w:tcBorders>
              <w:bottom w:val="nil"/>
            </w:tcBorders>
            <w:shd w:val="clear" w:color="auto" w:fill="FFFFFF" w:themeFill="background1"/>
          </w:tcPr>
          <w:p w14:paraId="094C9EA0" w14:textId="77777777" w:rsidR="00513A92" w:rsidRDefault="00513A92" w:rsidP="00A71AB3">
            <w:pPr>
              <w:pStyle w:val="Tabletextcentred"/>
              <w:keepNext/>
              <w:jc w:val="left"/>
            </w:pPr>
          </w:p>
          <w:p w14:paraId="5B6E0AD5" w14:textId="77777777" w:rsidR="00513A92" w:rsidRDefault="00513A92" w:rsidP="00A71AB3">
            <w:pPr>
              <w:pStyle w:val="Tabletextcentred"/>
              <w:keepNext/>
              <w:jc w:val="left"/>
            </w:pPr>
            <w:r>
              <w:t>Ito (2014), p.1084, Table 4</w:t>
            </w:r>
          </w:p>
        </w:tc>
      </w:tr>
      <w:tr w:rsidR="00513A92" w14:paraId="315E4939" w14:textId="77777777" w:rsidTr="00A71AB3">
        <w:tc>
          <w:tcPr>
            <w:tcW w:w="1616" w:type="dxa"/>
            <w:tcBorders>
              <w:top w:val="nil"/>
              <w:bottom w:val="nil"/>
            </w:tcBorders>
            <w:shd w:val="clear" w:color="auto" w:fill="FFFFFF" w:themeFill="background1"/>
          </w:tcPr>
          <w:p w14:paraId="1F723D95" w14:textId="77777777" w:rsidR="00513A92" w:rsidRDefault="00513A92" w:rsidP="00A71AB3">
            <w:pPr>
              <w:pStyle w:val="Tabletextcentred"/>
              <w:keepNext/>
              <w:jc w:val="left"/>
            </w:pPr>
            <w:r>
              <w:t>Reader 2</w:t>
            </w:r>
          </w:p>
        </w:tc>
        <w:tc>
          <w:tcPr>
            <w:tcW w:w="690" w:type="dxa"/>
            <w:tcBorders>
              <w:top w:val="nil"/>
              <w:bottom w:val="nil"/>
            </w:tcBorders>
            <w:shd w:val="clear" w:color="auto" w:fill="FFFFFF" w:themeFill="background1"/>
          </w:tcPr>
          <w:p w14:paraId="7CB145E2" w14:textId="77777777" w:rsidR="00513A92" w:rsidRDefault="00513A92" w:rsidP="00A71AB3">
            <w:pPr>
              <w:pStyle w:val="Tabletextcentred"/>
              <w:keepNext/>
            </w:pPr>
            <w:r>
              <w:t>33</w:t>
            </w:r>
          </w:p>
        </w:tc>
        <w:tc>
          <w:tcPr>
            <w:tcW w:w="691" w:type="dxa"/>
            <w:tcBorders>
              <w:top w:val="nil"/>
              <w:bottom w:val="nil"/>
            </w:tcBorders>
            <w:shd w:val="clear" w:color="auto" w:fill="FFFFFF" w:themeFill="background1"/>
          </w:tcPr>
          <w:p w14:paraId="37D2D741" w14:textId="77777777" w:rsidR="00513A92" w:rsidRDefault="00513A92" w:rsidP="00A71AB3">
            <w:pPr>
              <w:pStyle w:val="Tabletextcentred"/>
              <w:keepNext/>
            </w:pPr>
            <w:r>
              <w:t>12</w:t>
            </w:r>
          </w:p>
        </w:tc>
        <w:tc>
          <w:tcPr>
            <w:tcW w:w="690" w:type="dxa"/>
            <w:tcBorders>
              <w:top w:val="nil"/>
              <w:bottom w:val="nil"/>
            </w:tcBorders>
            <w:shd w:val="clear" w:color="auto" w:fill="FFFFFF" w:themeFill="background1"/>
          </w:tcPr>
          <w:p w14:paraId="2E989EAC" w14:textId="77777777" w:rsidR="00513A92" w:rsidRDefault="00513A92" w:rsidP="00A71AB3">
            <w:pPr>
              <w:pStyle w:val="Tabletextcentred"/>
              <w:keepNext/>
            </w:pPr>
            <w:r>
              <w:t>7</w:t>
            </w:r>
          </w:p>
        </w:tc>
        <w:tc>
          <w:tcPr>
            <w:tcW w:w="691" w:type="dxa"/>
            <w:tcBorders>
              <w:top w:val="nil"/>
              <w:bottom w:val="nil"/>
            </w:tcBorders>
            <w:shd w:val="clear" w:color="auto" w:fill="FFFFFF" w:themeFill="background1"/>
          </w:tcPr>
          <w:p w14:paraId="300BFFF5" w14:textId="77777777" w:rsidR="00513A92" w:rsidRDefault="00513A92" w:rsidP="00A71AB3">
            <w:pPr>
              <w:pStyle w:val="Tabletextcentred"/>
              <w:keepNext/>
            </w:pPr>
            <w:r>
              <w:t>3</w:t>
            </w:r>
          </w:p>
        </w:tc>
        <w:tc>
          <w:tcPr>
            <w:tcW w:w="1630" w:type="dxa"/>
            <w:tcBorders>
              <w:top w:val="nil"/>
              <w:bottom w:val="nil"/>
            </w:tcBorders>
            <w:shd w:val="clear" w:color="auto" w:fill="FFFFFF" w:themeFill="background1"/>
          </w:tcPr>
          <w:p w14:paraId="57671AD1" w14:textId="77777777" w:rsidR="00513A92" w:rsidRDefault="00513A92" w:rsidP="00A71AB3">
            <w:pPr>
              <w:pStyle w:val="Tabletextcentred"/>
              <w:keepNext/>
              <w:tabs>
                <w:tab w:val="left" w:pos="1236"/>
              </w:tabs>
            </w:pPr>
            <w:r>
              <w:t>82% [67%-93%]</w:t>
            </w:r>
          </w:p>
        </w:tc>
        <w:tc>
          <w:tcPr>
            <w:tcW w:w="1630" w:type="dxa"/>
            <w:tcBorders>
              <w:top w:val="nil"/>
              <w:bottom w:val="nil"/>
            </w:tcBorders>
            <w:shd w:val="clear" w:color="auto" w:fill="FFFFFF" w:themeFill="background1"/>
          </w:tcPr>
          <w:p w14:paraId="297CA256" w14:textId="77777777" w:rsidR="00513A92" w:rsidRPr="000A78EC" w:rsidRDefault="00513A92" w:rsidP="00A71AB3">
            <w:pPr>
              <w:pStyle w:val="Tabletextcentred"/>
              <w:keepNext/>
              <w:rPr>
                <w:vertAlign w:val="superscript"/>
              </w:rPr>
            </w:pPr>
            <w:r>
              <w:t>20% [4%-48%]</w:t>
            </w:r>
            <w:r>
              <w:rPr>
                <w:vertAlign w:val="superscript"/>
              </w:rPr>
              <w:t>a</w:t>
            </w:r>
          </w:p>
        </w:tc>
        <w:tc>
          <w:tcPr>
            <w:tcW w:w="1630" w:type="dxa"/>
            <w:tcBorders>
              <w:top w:val="nil"/>
              <w:bottom w:val="nil"/>
            </w:tcBorders>
            <w:shd w:val="clear" w:color="auto" w:fill="FFFFFF" w:themeFill="background1"/>
          </w:tcPr>
          <w:p w14:paraId="2D6C91FD" w14:textId="77777777" w:rsidR="00513A92" w:rsidRDefault="00513A92" w:rsidP="00A71AB3">
            <w:pPr>
              <w:pStyle w:val="Tabletextcentred"/>
              <w:keepNext/>
            </w:pPr>
            <w:r>
              <w:t>73% [58%-85%]</w:t>
            </w:r>
          </w:p>
        </w:tc>
        <w:tc>
          <w:tcPr>
            <w:tcW w:w="1631" w:type="dxa"/>
            <w:tcBorders>
              <w:top w:val="nil"/>
              <w:bottom w:val="nil"/>
            </w:tcBorders>
            <w:shd w:val="clear" w:color="auto" w:fill="FFFFFF" w:themeFill="background1"/>
          </w:tcPr>
          <w:p w14:paraId="39295B18" w14:textId="77777777" w:rsidR="00513A92" w:rsidRDefault="00513A92" w:rsidP="00A71AB3">
            <w:pPr>
              <w:pStyle w:val="Tabletextcentred"/>
              <w:keepNext/>
            </w:pPr>
            <w:r>
              <w:t>30% [7%-65%]</w:t>
            </w:r>
          </w:p>
        </w:tc>
        <w:tc>
          <w:tcPr>
            <w:tcW w:w="2410" w:type="dxa"/>
            <w:tcBorders>
              <w:top w:val="nil"/>
              <w:bottom w:val="nil"/>
            </w:tcBorders>
            <w:shd w:val="clear" w:color="auto" w:fill="FFFFFF" w:themeFill="background1"/>
          </w:tcPr>
          <w:p w14:paraId="02988CCD" w14:textId="77777777" w:rsidR="00513A92" w:rsidRDefault="00513A92" w:rsidP="00A71AB3">
            <w:pPr>
              <w:pStyle w:val="Tabletextcentred"/>
              <w:keepNext/>
              <w:jc w:val="left"/>
            </w:pPr>
            <w:r w:rsidRPr="000A78EC">
              <w:t>Ito (2014), p.1084, Table 4</w:t>
            </w:r>
          </w:p>
        </w:tc>
      </w:tr>
      <w:tr w:rsidR="00513A92" w14:paraId="4135EED1" w14:textId="77777777" w:rsidTr="00A71AB3">
        <w:tc>
          <w:tcPr>
            <w:tcW w:w="1616" w:type="dxa"/>
            <w:tcBorders>
              <w:top w:val="nil"/>
              <w:bottom w:val="single" w:sz="4" w:space="0" w:color="auto"/>
            </w:tcBorders>
            <w:shd w:val="clear" w:color="auto" w:fill="FFFFFF" w:themeFill="background1"/>
          </w:tcPr>
          <w:p w14:paraId="092BE4C2" w14:textId="77777777" w:rsidR="00513A92" w:rsidRDefault="00513A92" w:rsidP="00A71AB3">
            <w:pPr>
              <w:pStyle w:val="Tabletextcentred"/>
              <w:keepNext/>
              <w:jc w:val="left"/>
            </w:pPr>
            <w:r>
              <w:t>Reader 3</w:t>
            </w:r>
          </w:p>
        </w:tc>
        <w:tc>
          <w:tcPr>
            <w:tcW w:w="690" w:type="dxa"/>
            <w:tcBorders>
              <w:top w:val="nil"/>
              <w:bottom w:val="single" w:sz="4" w:space="0" w:color="auto"/>
            </w:tcBorders>
            <w:shd w:val="clear" w:color="auto" w:fill="FFFFFF" w:themeFill="background1"/>
          </w:tcPr>
          <w:p w14:paraId="73F390CF" w14:textId="77777777" w:rsidR="00513A92" w:rsidRDefault="00513A92" w:rsidP="00A71AB3">
            <w:pPr>
              <w:pStyle w:val="Tabletextcentred"/>
              <w:keepNext/>
            </w:pPr>
            <w:r>
              <w:t>30</w:t>
            </w:r>
          </w:p>
        </w:tc>
        <w:tc>
          <w:tcPr>
            <w:tcW w:w="691" w:type="dxa"/>
            <w:tcBorders>
              <w:top w:val="nil"/>
              <w:bottom w:val="single" w:sz="4" w:space="0" w:color="auto"/>
            </w:tcBorders>
            <w:shd w:val="clear" w:color="auto" w:fill="FFFFFF" w:themeFill="background1"/>
          </w:tcPr>
          <w:p w14:paraId="62074717" w14:textId="77777777" w:rsidR="00513A92" w:rsidRDefault="00513A92" w:rsidP="00A71AB3">
            <w:pPr>
              <w:pStyle w:val="Tabletextcentred"/>
              <w:keepNext/>
            </w:pPr>
            <w:r>
              <w:t>11</w:t>
            </w:r>
          </w:p>
        </w:tc>
        <w:tc>
          <w:tcPr>
            <w:tcW w:w="690" w:type="dxa"/>
            <w:tcBorders>
              <w:top w:val="nil"/>
              <w:bottom w:val="single" w:sz="4" w:space="0" w:color="auto"/>
            </w:tcBorders>
            <w:shd w:val="clear" w:color="auto" w:fill="FFFFFF" w:themeFill="background1"/>
          </w:tcPr>
          <w:p w14:paraId="4C3F1ACA" w14:textId="77777777" w:rsidR="00513A92" w:rsidRDefault="00513A92" w:rsidP="00A71AB3">
            <w:pPr>
              <w:pStyle w:val="Tabletextcentred"/>
              <w:keepNext/>
            </w:pPr>
            <w:r>
              <w:t>10</w:t>
            </w:r>
          </w:p>
        </w:tc>
        <w:tc>
          <w:tcPr>
            <w:tcW w:w="691" w:type="dxa"/>
            <w:tcBorders>
              <w:top w:val="nil"/>
              <w:bottom w:val="single" w:sz="4" w:space="0" w:color="auto"/>
            </w:tcBorders>
            <w:shd w:val="clear" w:color="auto" w:fill="FFFFFF" w:themeFill="background1"/>
          </w:tcPr>
          <w:p w14:paraId="2BF3A4A1" w14:textId="77777777" w:rsidR="00513A92" w:rsidRDefault="00513A92" w:rsidP="00A71AB3">
            <w:pPr>
              <w:pStyle w:val="Tabletextcentred"/>
              <w:keepNext/>
            </w:pPr>
            <w:r>
              <w:t>4</w:t>
            </w:r>
          </w:p>
        </w:tc>
        <w:tc>
          <w:tcPr>
            <w:tcW w:w="1630" w:type="dxa"/>
            <w:tcBorders>
              <w:top w:val="nil"/>
              <w:bottom w:val="single" w:sz="4" w:space="0" w:color="auto"/>
            </w:tcBorders>
            <w:shd w:val="clear" w:color="auto" w:fill="FFFFFF" w:themeFill="background1"/>
          </w:tcPr>
          <w:p w14:paraId="3CFF87E2" w14:textId="77777777" w:rsidR="00513A92" w:rsidRDefault="00513A92" w:rsidP="00A71AB3">
            <w:pPr>
              <w:pStyle w:val="Tabletextcentred"/>
              <w:keepNext/>
              <w:tabs>
                <w:tab w:val="left" w:pos="1236"/>
              </w:tabs>
            </w:pPr>
            <w:r>
              <w:t>75% [59%-87%]</w:t>
            </w:r>
          </w:p>
        </w:tc>
        <w:tc>
          <w:tcPr>
            <w:tcW w:w="1630" w:type="dxa"/>
            <w:tcBorders>
              <w:top w:val="nil"/>
              <w:bottom w:val="single" w:sz="4" w:space="0" w:color="auto"/>
            </w:tcBorders>
            <w:shd w:val="clear" w:color="auto" w:fill="FFFFFF" w:themeFill="background1"/>
          </w:tcPr>
          <w:p w14:paraId="320CC950" w14:textId="77777777" w:rsidR="00513A92" w:rsidRDefault="00513A92" w:rsidP="00A71AB3">
            <w:pPr>
              <w:pStyle w:val="Tabletextcentred"/>
              <w:keepNext/>
            </w:pPr>
            <w:r>
              <w:t>27% [8%-55%]</w:t>
            </w:r>
          </w:p>
        </w:tc>
        <w:tc>
          <w:tcPr>
            <w:tcW w:w="1630" w:type="dxa"/>
            <w:tcBorders>
              <w:top w:val="nil"/>
              <w:bottom w:val="single" w:sz="4" w:space="0" w:color="auto"/>
            </w:tcBorders>
            <w:shd w:val="clear" w:color="auto" w:fill="FFFFFF" w:themeFill="background1"/>
          </w:tcPr>
          <w:p w14:paraId="2F93BE3B" w14:textId="77777777" w:rsidR="00513A92" w:rsidRDefault="00513A92" w:rsidP="00A71AB3">
            <w:pPr>
              <w:pStyle w:val="Tabletextcentred"/>
              <w:keepNext/>
            </w:pPr>
            <w:r>
              <w:t>73% [57%-86%]</w:t>
            </w:r>
          </w:p>
        </w:tc>
        <w:tc>
          <w:tcPr>
            <w:tcW w:w="1631" w:type="dxa"/>
            <w:tcBorders>
              <w:top w:val="nil"/>
              <w:bottom w:val="single" w:sz="4" w:space="0" w:color="auto"/>
            </w:tcBorders>
            <w:shd w:val="clear" w:color="auto" w:fill="FFFFFF" w:themeFill="background1"/>
          </w:tcPr>
          <w:p w14:paraId="51F5B1CD" w14:textId="77777777" w:rsidR="00513A92" w:rsidRDefault="00513A92" w:rsidP="00A71AB3">
            <w:pPr>
              <w:pStyle w:val="Tabletextcentred"/>
              <w:keepNext/>
            </w:pPr>
            <w:r>
              <w:t>29% [9%-58%]</w:t>
            </w:r>
          </w:p>
        </w:tc>
        <w:tc>
          <w:tcPr>
            <w:tcW w:w="2410" w:type="dxa"/>
            <w:tcBorders>
              <w:top w:val="nil"/>
              <w:bottom w:val="single" w:sz="4" w:space="0" w:color="auto"/>
            </w:tcBorders>
            <w:shd w:val="clear" w:color="auto" w:fill="FFFFFF" w:themeFill="background1"/>
          </w:tcPr>
          <w:p w14:paraId="59B2F38B" w14:textId="77777777" w:rsidR="00513A92" w:rsidRDefault="00513A92" w:rsidP="00A71AB3">
            <w:pPr>
              <w:pStyle w:val="Tabletextcentred"/>
              <w:keepNext/>
              <w:jc w:val="left"/>
            </w:pPr>
            <w:r>
              <w:t>Ito (2014), p.1084, Table 4</w:t>
            </w:r>
          </w:p>
        </w:tc>
      </w:tr>
      <w:tr w:rsidR="00513A92" w14:paraId="7C5A5368" w14:textId="77777777" w:rsidTr="00A71AB3">
        <w:tc>
          <w:tcPr>
            <w:tcW w:w="1616" w:type="dxa"/>
            <w:tcBorders>
              <w:bottom w:val="nil"/>
            </w:tcBorders>
            <w:shd w:val="clear" w:color="auto" w:fill="FFFFFF" w:themeFill="background1"/>
          </w:tcPr>
          <w:p w14:paraId="4D17A12A" w14:textId="77777777" w:rsidR="00513A92" w:rsidRDefault="00513A92" w:rsidP="00A71AB3">
            <w:pPr>
              <w:pStyle w:val="Tabletextcentred"/>
              <w:keepNext/>
              <w:jc w:val="left"/>
            </w:pPr>
            <w:r>
              <w:t>Döbert (2005)</w:t>
            </w:r>
          </w:p>
          <w:p w14:paraId="1E8EAEE9" w14:textId="77777777" w:rsidR="00513A92" w:rsidRPr="00F92D4D" w:rsidRDefault="00513A92" w:rsidP="00A71AB3">
            <w:pPr>
              <w:pStyle w:val="Tabletextcentred"/>
              <w:keepNext/>
              <w:jc w:val="left"/>
              <w:rPr>
                <w:vertAlign w:val="superscript"/>
              </w:rPr>
            </w:pPr>
            <w:r>
              <w:t>AD only</w:t>
            </w:r>
            <w:r>
              <w:rPr>
                <w:vertAlign w:val="superscript"/>
              </w:rPr>
              <w:t>b</w:t>
            </w:r>
          </w:p>
        </w:tc>
        <w:tc>
          <w:tcPr>
            <w:tcW w:w="690" w:type="dxa"/>
            <w:tcBorders>
              <w:bottom w:val="nil"/>
            </w:tcBorders>
            <w:shd w:val="clear" w:color="auto" w:fill="FFFFFF" w:themeFill="background1"/>
          </w:tcPr>
          <w:p w14:paraId="62D8F4A3" w14:textId="77777777" w:rsidR="00513A92" w:rsidRDefault="00513A92" w:rsidP="00A71AB3">
            <w:pPr>
              <w:pStyle w:val="Tabletextcentred"/>
              <w:keepNext/>
            </w:pPr>
          </w:p>
          <w:p w14:paraId="382E02CF" w14:textId="77777777" w:rsidR="00513A92" w:rsidRPr="00245EE5" w:rsidRDefault="00513A92" w:rsidP="00A71AB3">
            <w:pPr>
              <w:pStyle w:val="Tabletextcentred"/>
              <w:keepNext/>
            </w:pPr>
            <w:r>
              <w:t>4</w:t>
            </w:r>
          </w:p>
        </w:tc>
        <w:tc>
          <w:tcPr>
            <w:tcW w:w="691" w:type="dxa"/>
            <w:tcBorders>
              <w:bottom w:val="nil"/>
            </w:tcBorders>
            <w:shd w:val="clear" w:color="auto" w:fill="FFFFFF" w:themeFill="background1"/>
          </w:tcPr>
          <w:p w14:paraId="582E80C3" w14:textId="77777777" w:rsidR="00513A92" w:rsidRDefault="00513A92" w:rsidP="00A71AB3">
            <w:pPr>
              <w:pStyle w:val="Tabletextcentred"/>
              <w:keepNext/>
            </w:pPr>
          </w:p>
          <w:p w14:paraId="0B0E9036" w14:textId="77777777" w:rsidR="00513A92" w:rsidRDefault="00513A92" w:rsidP="00A71AB3">
            <w:pPr>
              <w:pStyle w:val="Tabletextcentred"/>
              <w:keepNext/>
            </w:pPr>
            <w:r>
              <w:t>3</w:t>
            </w:r>
          </w:p>
        </w:tc>
        <w:tc>
          <w:tcPr>
            <w:tcW w:w="690" w:type="dxa"/>
            <w:tcBorders>
              <w:bottom w:val="nil"/>
            </w:tcBorders>
            <w:shd w:val="clear" w:color="auto" w:fill="FFFFFF" w:themeFill="background1"/>
          </w:tcPr>
          <w:p w14:paraId="48BF1326" w14:textId="77777777" w:rsidR="00513A92" w:rsidRDefault="00513A92" w:rsidP="00A71AB3">
            <w:pPr>
              <w:pStyle w:val="Tabletextcentred"/>
              <w:keepNext/>
            </w:pPr>
          </w:p>
          <w:p w14:paraId="654E8719" w14:textId="77777777" w:rsidR="00513A92" w:rsidRDefault="00513A92" w:rsidP="00A71AB3">
            <w:pPr>
              <w:pStyle w:val="Tabletextcentred"/>
              <w:keepNext/>
            </w:pPr>
            <w:r>
              <w:t>5</w:t>
            </w:r>
          </w:p>
        </w:tc>
        <w:tc>
          <w:tcPr>
            <w:tcW w:w="691" w:type="dxa"/>
            <w:tcBorders>
              <w:bottom w:val="nil"/>
            </w:tcBorders>
            <w:shd w:val="clear" w:color="auto" w:fill="FFFFFF" w:themeFill="background1"/>
          </w:tcPr>
          <w:p w14:paraId="10A1B24F" w14:textId="77777777" w:rsidR="00513A92" w:rsidRDefault="00513A92" w:rsidP="00A71AB3">
            <w:pPr>
              <w:pStyle w:val="Tabletextcentred"/>
              <w:keepNext/>
            </w:pPr>
          </w:p>
          <w:p w14:paraId="26424D94" w14:textId="77777777" w:rsidR="00513A92" w:rsidRPr="00245EE5" w:rsidRDefault="00513A92" w:rsidP="00A71AB3">
            <w:pPr>
              <w:pStyle w:val="Tabletextcentred"/>
              <w:keepNext/>
            </w:pPr>
            <w:r>
              <w:t>12</w:t>
            </w:r>
          </w:p>
        </w:tc>
        <w:tc>
          <w:tcPr>
            <w:tcW w:w="1630" w:type="dxa"/>
            <w:tcBorders>
              <w:bottom w:val="nil"/>
            </w:tcBorders>
            <w:shd w:val="clear" w:color="auto" w:fill="FFFFFF" w:themeFill="background1"/>
          </w:tcPr>
          <w:p w14:paraId="58A6E82D" w14:textId="77777777" w:rsidR="00513A92" w:rsidRDefault="00513A92" w:rsidP="00A71AB3">
            <w:pPr>
              <w:pStyle w:val="Tabletextcentred"/>
              <w:keepNext/>
              <w:tabs>
                <w:tab w:val="left" w:pos="1236"/>
              </w:tabs>
            </w:pPr>
          </w:p>
          <w:p w14:paraId="1625F625" w14:textId="77777777" w:rsidR="00513A92" w:rsidRPr="00245EE5" w:rsidRDefault="00513A92" w:rsidP="00A71AB3">
            <w:pPr>
              <w:pStyle w:val="Tabletextcentred"/>
              <w:keepNext/>
              <w:tabs>
                <w:tab w:val="left" w:pos="1236"/>
              </w:tabs>
            </w:pPr>
            <w:r>
              <w:t>44% [14%-79%]</w:t>
            </w:r>
          </w:p>
        </w:tc>
        <w:tc>
          <w:tcPr>
            <w:tcW w:w="1630" w:type="dxa"/>
            <w:tcBorders>
              <w:bottom w:val="nil"/>
            </w:tcBorders>
            <w:shd w:val="clear" w:color="auto" w:fill="FFFFFF" w:themeFill="background1"/>
          </w:tcPr>
          <w:p w14:paraId="49609D37" w14:textId="77777777" w:rsidR="00513A92" w:rsidRDefault="00513A92" w:rsidP="00A71AB3">
            <w:pPr>
              <w:pStyle w:val="Tabletextcentred"/>
              <w:keepNext/>
            </w:pPr>
          </w:p>
          <w:p w14:paraId="1A7C3487" w14:textId="77777777" w:rsidR="00513A92" w:rsidRPr="00245EE5" w:rsidRDefault="00513A92" w:rsidP="00A71AB3">
            <w:pPr>
              <w:pStyle w:val="Tabletextcentred"/>
              <w:keepNext/>
            </w:pPr>
            <w:r>
              <w:t>80% [52%-95%]</w:t>
            </w:r>
          </w:p>
        </w:tc>
        <w:tc>
          <w:tcPr>
            <w:tcW w:w="1630" w:type="dxa"/>
            <w:tcBorders>
              <w:bottom w:val="nil"/>
            </w:tcBorders>
            <w:shd w:val="clear" w:color="auto" w:fill="FFFFFF" w:themeFill="background1"/>
          </w:tcPr>
          <w:p w14:paraId="29F7E7F3" w14:textId="77777777" w:rsidR="00513A92" w:rsidRDefault="00513A92" w:rsidP="00A71AB3">
            <w:pPr>
              <w:pStyle w:val="Tabletextcentred"/>
              <w:keepNext/>
            </w:pPr>
          </w:p>
          <w:p w14:paraId="268A2501" w14:textId="77777777" w:rsidR="00513A92" w:rsidRDefault="00513A92" w:rsidP="00A71AB3">
            <w:pPr>
              <w:pStyle w:val="Tabletextcentred"/>
              <w:keepNext/>
            </w:pPr>
            <w:r>
              <w:t>57% [19%-90%]</w:t>
            </w:r>
          </w:p>
        </w:tc>
        <w:tc>
          <w:tcPr>
            <w:tcW w:w="1631" w:type="dxa"/>
            <w:tcBorders>
              <w:bottom w:val="nil"/>
            </w:tcBorders>
            <w:shd w:val="clear" w:color="auto" w:fill="FFFFFF" w:themeFill="background1"/>
          </w:tcPr>
          <w:p w14:paraId="1CBA5508" w14:textId="77777777" w:rsidR="00513A92" w:rsidRDefault="00513A92" w:rsidP="00A71AB3">
            <w:pPr>
              <w:pStyle w:val="Tabletextcentred"/>
              <w:keepNext/>
            </w:pPr>
          </w:p>
          <w:p w14:paraId="335CDA31" w14:textId="77777777" w:rsidR="00513A92" w:rsidRDefault="00513A92" w:rsidP="00A71AB3">
            <w:pPr>
              <w:pStyle w:val="Tabletextcentred"/>
              <w:keepNext/>
            </w:pPr>
            <w:r>
              <w:t>71% [44%-90%]</w:t>
            </w:r>
          </w:p>
        </w:tc>
        <w:tc>
          <w:tcPr>
            <w:tcW w:w="2410" w:type="dxa"/>
            <w:tcBorders>
              <w:bottom w:val="nil"/>
            </w:tcBorders>
            <w:shd w:val="clear" w:color="auto" w:fill="FFFFFF" w:themeFill="background1"/>
          </w:tcPr>
          <w:p w14:paraId="0C2B4BD1" w14:textId="77777777" w:rsidR="00513A92" w:rsidRDefault="00513A92" w:rsidP="00A71AB3">
            <w:pPr>
              <w:pStyle w:val="Tabletextcentred"/>
              <w:keepNext/>
              <w:jc w:val="left"/>
            </w:pPr>
          </w:p>
          <w:p w14:paraId="7408455F" w14:textId="77777777" w:rsidR="00513A92" w:rsidRPr="008921FE" w:rsidRDefault="00513A92" w:rsidP="00A71AB3">
            <w:pPr>
              <w:pStyle w:val="Tabletextcentred"/>
              <w:keepNext/>
              <w:jc w:val="left"/>
              <w:rPr>
                <w:vertAlign w:val="superscript"/>
              </w:rPr>
            </w:pPr>
            <w:r>
              <w:t>Döbert (2005), p.67, Table 4</w:t>
            </w:r>
          </w:p>
        </w:tc>
      </w:tr>
      <w:tr w:rsidR="00513A92" w14:paraId="6DA4D750" w14:textId="77777777" w:rsidTr="00A71AB3">
        <w:tc>
          <w:tcPr>
            <w:tcW w:w="1616" w:type="dxa"/>
            <w:tcBorders>
              <w:top w:val="nil"/>
            </w:tcBorders>
            <w:shd w:val="clear" w:color="auto" w:fill="FFFFFF" w:themeFill="background1"/>
          </w:tcPr>
          <w:p w14:paraId="303EAD66" w14:textId="77777777" w:rsidR="00513A92" w:rsidRPr="00F92D4D" w:rsidRDefault="00513A92" w:rsidP="00A71AB3">
            <w:pPr>
              <w:pStyle w:val="Tabletextcentred"/>
              <w:keepNext/>
              <w:jc w:val="left"/>
              <w:rPr>
                <w:vertAlign w:val="superscript"/>
              </w:rPr>
            </w:pPr>
            <w:r>
              <w:t>AD/MIX combined</w:t>
            </w:r>
            <w:r>
              <w:rPr>
                <w:vertAlign w:val="superscript"/>
              </w:rPr>
              <w:t>c</w:t>
            </w:r>
          </w:p>
        </w:tc>
        <w:tc>
          <w:tcPr>
            <w:tcW w:w="690" w:type="dxa"/>
            <w:tcBorders>
              <w:top w:val="nil"/>
            </w:tcBorders>
            <w:shd w:val="clear" w:color="auto" w:fill="FFFFFF" w:themeFill="background1"/>
          </w:tcPr>
          <w:p w14:paraId="6F8EFC31" w14:textId="77777777" w:rsidR="00513A92" w:rsidRDefault="00513A92" w:rsidP="00A71AB3">
            <w:pPr>
              <w:pStyle w:val="Tabletextcentred"/>
              <w:keepNext/>
            </w:pPr>
            <w:r>
              <w:t>16</w:t>
            </w:r>
          </w:p>
        </w:tc>
        <w:tc>
          <w:tcPr>
            <w:tcW w:w="691" w:type="dxa"/>
            <w:tcBorders>
              <w:top w:val="nil"/>
            </w:tcBorders>
            <w:shd w:val="clear" w:color="auto" w:fill="FFFFFF" w:themeFill="background1"/>
          </w:tcPr>
          <w:p w14:paraId="5B6DD158" w14:textId="77777777" w:rsidR="00513A92" w:rsidRDefault="00513A92" w:rsidP="00A71AB3">
            <w:pPr>
              <w:pStyle w:val="Tabletextcentred"/>
              <w:keepNext/>
            </w:pPr>
            <w:r>
              <w:t>1</w:t>
            </w:r>
          </w:p>
        </w:tc>
        <w:tc>
          <w:tcPr>
            <w:tcW w:w="690" w:type="dxa"/>
            <w:tcBorders>
              <w:top w:val="nil"/>
            </w:tcBorders>
            <w:shd w:val="clear" w:color="auto" w:fill="FFFFFF" w:themeFill="background1"/>
          </w:tcPr>
          <w:p w14:paraId="1F050C64" w14:textId="77777777" w:rsidR="00513A92" w:rsidRDefault="00513A92" w:rsidP="00A71AB3">
            <w:pPr>
              <w:pStyle w:val="Tabletextcentred"/>
              <w:keepNext/>
            </w:pPr>
            <w:r>
              <w:t>0</w:t>
            </w:r>
          </w:p>
        </w:tc>
        <w:tc>
          <w:tcPr>
            <w:tcW w:w="691" w:type="dxa"/>
            <w:tcBorders>
              <w:top w:val="nil"/>
            </w:tcBorders>
            <w:shd w:val="clear" w:color="auto" w:fill="FFFFFF" w:themeFill="background1"/>
          </w:tcPr>
          <w:p w14:paraId="1FB90FA1" w14:textId="77777777" w:rsidR="00513A92" w:rsidRDefault="00513A92" w:rsidP="00A71AB3">
            <w:pPr>
              <w:pStyle w:val="Tabletextcentred"/>
              <w:keepNext/>
            </w:pPr>
            <w:r>
              <w:t>7</w:t>
            </w:r>
          </w:p>
        </w:tc>
        <w:tc>
          <w:tcPr>
            <w:tcW w:w="1630" w:type="dxa"/>
            <w:tcBorders>
              <w:top w:val="nil"/>
            </w:tcBorders>
            <w:shd w:val="clear" w:color="auto" w:fill="FFFFFF" w:themeFill="background1"/>
          </w:tcPr>
          <w:p w14:paraId="199948EA" w14:textId="77777777" w:rsidR="00513A92" w:rsidRDefault="00513A92" w:rsidP="00A71AB3">
            <w:pPr>
              <w:pStyle w:val="Tabletextcentred"/>
              <w:keepNext/>
              <w:tabs>
                <w:tab w:val="left" w:pos="1236"/>
              </w:tabs>
            </w:pPr>
            <w:r>
              <w:t>100% [79%-100%]</w:t>
            </w:r>
          </w:p>
        </w:tc>
        <w:tc>
          <w:tcPr>
            <w:tcW w:w="1630" w:type="dxa"/>
            <w:tcBorders>
              <w:top w:val="nil"/>
            </w:tcBorders>
            <w:shd w:val="clear" w:color="auto" w:fill="FFFFFF" w:themeFill="background1"/>
          </w:tcPr>
          <w:p w14:paraId="288F000B" w14:textId="77777777" w:rsidR="00513A92" w:rsidRDefault="00513A92" w:rsidP="00A71AB3">
            <w:pPr>
              <w:pStyle w:val="Tabletextcentred"/>
              <w:keepNext/>
            </w:pPr>
            <w:r>
              <w:t>88% [47%-98%]</w:t>
            </w:r>
          </w:p>
        </w:tc>
        <w:tc>
          <w:tcPr>
            <w:tcW w:w="1630" w:type="dxa"/>
            <w:tcBorders>
              <w:top w:val="nil"/>
            </w:tcBorders>
            <w:shd w:val="clear" w:color="auto" w:fill="FFFFFF" w:themeFill="background1"/>
          </w:tcPr>
          <w:p w14:paraId="110160F8" w14:textId="77777777" w:rsidR="00513A92" w:rsidRDefault="00513A92" w:rsidP="00A71AB3">
            <w:pPr>
              <w:pStyle w:val="Tabletextcentred"/>
              <w:keepNext/>
            </w:pPr>
            <w:r>
              <w:t>94% [71%-99%]</w:t>
            </w:r>
          </w:p>
        </w:tc>
        <w:tc>
          <w:tcPr>
            <w:tcW w:w="1631" w:type="dxa"/>
            <w:tcBorders>
              <w:top w:val="nil"/>
            </w:tcBorders>
            <w:shd w:val="clear" w:color="auto" w:fill="FFFFFF" w:themeFill="background1"/>
          </w:tcPr>
          <w:p w14:paraId="7CF1BBB1" w14:textId="77777777" w:rsidR="00513A92" w:rsidRDefault="00513A92" w:rsidP="00A71AB3">
            <w:pPr>
              <w:pStyle w:val="Tabletextcentred"/>
              <w:keepNext/>
            </w:pPr>
            <w:r>
              <w:t>100% [59%-100%]</w:t>
            </w:r>
          </w:p>
        </w:tc>
        <w:tc>
          <w:tcPr>
            <w:tcW w:w="2410" w:type="dxa"/>
            <w:tcBorders>
              <w:top w:val="nil"/>
            </w:tcBorders>
            <w:shd w:val="clear" w:color="auto" w:fill="FFFFFF" w:themeFill="background1"/>
          </w:tcPr>
          <w:p w14:paraId="60BA7EF1" w14:textId="77777777" w:rsidR="00513A92" w:rsidRDefault="00513A92" w:rsidP="00A71AB3">
            <w:pPr>
              <w:pStyle w:val="Tabletextcentred"/>
              <w:keepNext/>
              <w:jc w:val="left"/>
            </w:pPr>
            <w:r>
              <w:t>Döbert (2005), p.67, Table 4</w:t>
            </w:r>
          </w:p>
        </w:tc>
      </w:tr>
      <w:tr w:rsidR="00513A92" w14:paraId="4C9586BC" w14:textId="77777777" w:rsidTr="00A71AB3">
        <w:tc>
          <w:tcPr>
            <w:tcW w:w="1616" w:type="dxa"/>
            <w:tcBorders>
              <w:bottom w:val="single" w:sz="4" w:space="0" w:color="auto"/>
            </w:tcBorders>
            <w:shd w:val="clear" w:color="auto" w:fill="D0CECE" w:themeFill="background2" w:themeFillShade="E6"/>
          </w:tcPr>
          <w:p w14:paraId="67E50A40" w14:textId="77777777" w:rsidR="00513A92" w:rsidRDefault="00513A92" w:rsidP="00A71AB3">
            <w:pPr>
              <w:pStyle w:val="Tabletextcentred"/>
              <w:keepNext/>
              <w:jc w:val="left"/>
            </w:pPr>
            <w:r>
              <w:t>SPECT</w:t>
            </w:r>
          </w:p>
        </w:tc>
        <w:tc>
          <w:tcPr>
            <w:tcW w:w="690" w:type="dxa"/>
            <w:tcBorders>
              <w:bottom w:val="single" w:sz="4" w:space="0" w:color="auto"/>
            </w:tcBorders>
            <w:shd w:val="clear" w:color="auto" w:fill="D0CECE" w:themeFill="background2" w:themeFillShade="E6"/>
          </w:tcPr>
          <w:p w14:paraId="58C7328F" w14:textId="77777777" w:rsidR="00513A92" w:rsidRDefault="00513A92" w:rsidP="00A71AB3">
            <w:pPr>
              <w:pStyle w:val="Tabletextcentred"/>
              <w:keepNext/>
            </w:pPr>
            <w:r>
              <w:t>-</w:t>
            </w:r>
          </w:p>
        </w:tc>
        <w:tc>
          <w:tcPr>
            <w:tcW w:w="691" w:type="dxa"/>
            <w:tcBorders>
              <w:bottom w:val="single" w:sz="4" w:space="0" w:color="auto"/>
            </w:tcBorders>
            <w:shd w:val="clear" w:color="auto" w:fill="D0CECE" w:themeFill="background2" w:themeFillShade="E6"/>
          </w:tcPr>
          <w:p w14:paraId="6CEB74B5" w14:textId="77777777" w:rsidR="00513A92" w:rsidRDefault="00513A92" w:rsidP="00A71AB3">
            <w:pPr>
              <w:pStyle w:val="Tabletextcentred"/>
              <w:keepNext/>
            </w:pPr>
            <w:r>
              <w:t>-</w:t>
            </w:r>
          </w:p>
        </w:tc>
        <w:tc>
          <w:tcPr>
            <w:tcW w:w="690" w:type="dxa"/>
            <w:tcBorders>
              <w:bottom w:val="single" w:sz="4" w:space="0" w:color="auto"/>
            </w:tcBorders>
            <w:shd w:val="clear" w:color="auto" w:fill="D0CECE" w:themeFill="background2" w:themeFillShade="E6"/>
          </w:tcPr>
          <w:p w14:paraId="1FE93F03" w14:textId="77777777" w:rsidR="00513A92" w:rsidRDefault="00513A92" w:rsidP="00A71AB3">
            <w:pPr>
              <w:pStyle w:val="Tabletextcentred"/>
              <w:keepNext/>
            </w:pPr>
            <w:r>
              <w:t>-</w:t>
            </w:r>
          </w:p>
        </w:tc>
        <w:tc>
          <w:tcPr>
            <w:tcW w:w="691" w:type="dxa"/>
            <w:tcBorders>
              <w:bottom w:val="single" w:sz="4" w:space="0" w:color="auto"/>
            </w:tcBorders>
            <w:shd w:val="clear" w:color="auto" w:fill="D0CECE" w:themeFill="background2" w:themeFillShade="E6"/>
          </w:tcPr>
          <w:p w14:paraId="52232849" w14:textId="77777777" w:rsidR="00513A92" w:rsidRDefault="00513A92" w:rsidP="00A71AB3">
            <w:pPr>
              <w:pStyle w:val="Tabletextcentred"/>
              <w:keepNext/>
            </w:pPr>
            <w:r>
              <w:t>-</w:t>
            </w:r>
          </w:p>
        </w:tc>
        <w:tc>
          <w:tcPr>
            <w:tcW w:w="1630" w:type="dxa"/>
            <w:tcBorders>
              <w:bottom w:val="single" w:sz="4" w:space="0" w:color="auto"/>
            </w:tcBorders>
            <w:shd w:val="clear" w:color="auto" w:fill="D0CECE" w:themeFill="background2" w:themeFillShade="E6"/>
          </w:tcPr>
          <w:p w14:paraId="29CD5C53" w14:textId="77777777" w:rsidR="00513A92" w:rsidRDefault="00513A92" w:rsidP="00A71AB3">
            <w:pPr>
              <w:pStyle w:val="Tabletextcentred"/>
              <w:keepNext/>
              <w:tabs>
                <w:tab w:val="left" w:pos="1236"/>
              </w:tabs>
            </w:pPr>
            <w:r>
              <w:t>-</w:t>
            </w:r>
          </w:p>
        </w:tc>
        <w:tc>
          <w:tcPr>
            <w:tcW w:w="1630" w:type="dxa"/>
            <w:tcBorders>
              <w:bottom w:val="single" w:sz="4" w:space="0" w:color="auto"/>
            </w:tcBorders>
            <w:shd w:val="clear" w:color="auto" w:fill="D0CECE" w:themeFill="background2" w:themeFillShade="E6"/>
          </w:tcPr>
          <w:p w14:paraId="465BB3E5" w14:textId="77777777" w:rsidR="00513A92" w:rsidRDefault="00513A92" w:rsidP="00A71AB3">
            <w:pPr>
              <w:pStyle w:val="Tabletextcentred"/>
              <w:keepNext/>
            </w:pPr>
            <w:r>
              <w:t>-</w:t>
            </w:r>
          </w:p>
        </w:tc>
        <w:tc>
          <w:tcPr>
            <w:tcW w:w="1630" w:type="dxa"/>
            <w:tcBorders>
              <w:bottom w:val="single" w:sz="4" w:space="0" w:color="auto"/>
            </w:tcBorders>
            <w:shd w:val="clear" w:color="auto" w:fill="D0CECE" w:themeFill="background2" w:themeFillShade="E6"/>
          </w:tcPr>
          <w:p w14:paraId="47112691" w14:textId="77777777" w:rsidR="00513A92" w:rsidRDefault="00513A92" w:rsidP="00A71AB3">
            <w:pPr>
              <w:pStyle w:val="Tabletextcentred"/>
              <w:keepNext/>
            </w:pPr>
            <w:r>
              <w:t>-</w:t>
            </w:r>
          </w:p>
        </w:tc>
        <w:tc>
          <w:tcPr>
            <w:tcW w:w="1631" w:type="dxa"/>
            <w:tcBorders>
              <w:bottom w:val="single" w:sz="4" w:space="0" w:color="auto"/>
            </w:tcBorders>
            <w:shd w:val="clear" w:color="auto" w:fill="D0CECE" w:themeFill="background2" w:themeFillShade="E6"/>
          </w:tcPr>
          <w:p w14:paraId="7801625D" w14:textId="77777777" w:rsidR="00513A92" w:rsidRDefault="00513A92" w:rsidP="00A71AB3">
            <w:pPr>
              <w:pStyle w:val="Tabletextcentred"/>
              <w:keepNext/>
            </w:pPr>
            <w:r>
              <w:t>-</w:t>
            </w:r>
          </w:p>
        </w:tc>
        <w:tc>
          <w:tcPr>
            <w:tcW w:w="2410" w:type="dxa"/>
            <w:tcBorders>
              <w:bottom w:val="single" w:sz="4" w:space="0" w:color="auto"/>
            </w:tcBorders>
            <w:shd w:val="clear" w:color="auto" w:fill="D0CECE" w:themeFill="background2" w:themeFillShade="E6"/>
          </w:tcPr>
          <w:p w14:paraId="682773E2" w14:textId="77777777" w:rsidR="00513A92" w:rsidRDefault="00513A92" w:rsidP="00A71AB3">
            <w:pPr>
              <w:pStyle w:val="Tabletextcentred"/>
              <w:keepNext/>
            </w:pPr>
            <w:r>
              <w:t>-</w:t>
            </w:r>
          </w:p>
        </w:tc>
      </w:tr>
      <w:tr w:rsidR="00513A92" w14:paraId="72B7734D" w14:textId="77777777" w:rsidTr="00A71AB3">
        <w:tc>
          <w:tcPr>
            <w:tcW w:w="1616" w:type="dxa"/>
            <w:tcBorders>
              <w:bottom w:val="nil"/>
            </w:tcBorders>
            <w:shd w:val="clear" w:color="auto" w:fill="FFFFFF" w:themeFill="background1"/>
          </w:tcPr>
          <w:p w14:paraId="1F5EA7C6" w14:textId="77777777" w:rsidR="00513A92" w:rsidRDefault="00513A92" w:rsidP="00A71AB3">
            <w:pPr>
              <w:pStyle w:val="Tabletextcentred"/>
              <w:keepNext/>
              <w:jc w:val="left"/>
            </w:pPr>
            <w:r>
              <w:t>Ito (2014)</w:t>
            </w:r>
          </w:p>
          <w:p w14:paraId="0D5729BB" w14:textId="77777777" w:rsidR="00513A92" w:rsidRDefault="00513A92" w:rsidP="00A71AB3">
            <w:pPr>
              <w:pStyle w:val="Tabletextcentred"/>
              <w:keepNext/>
              <w:jc w:val="left"/>
            </w:pPr>
            <w:r>
              <w:t>Reader 1</w:t>
            </w:r>
          </w:p>
        </w:tc>
        <w:tc>
          <w:tcPr>
            <w:tcW w:w="690" w:type="dxa"/>
            <w:tcBorders>
              <w:bottom w:val="nil"/>
            </w:tcBorders>
            <w:shd w:val="clear" w:color="auto" w:fill="FFFFFF" w:themeFill="background1"/>
          </w:tcPr>
          <w:p w14:paraId="63E89365" w14:textId="77777777" w:rsidR="00513A92" w:rsidRDefault="00513A92" w:rsidP="00A71AB3">
            <w:pPr>
              <w:pStyle w:val="Tabletextcentred"/>
              <w:keepNext/>
            </w:pPr>
          </w:p>
          <w:p w14:paraId="6C6B66D3" w14:textId="77777777" w:rsidR="00513A92" w:rsidRDefault="00513A92" w:rsidP="00A71AB3">
            <w:pPr>
              <w:pStyle w:val="Tabletextcentred"/>
              <w:keepNext/>
            </w:pPr>
            <w:r>
              <w:t>33</w:t>
            </w:r>
          </w:p>
        </w:tc>
        <w:tc>
          <w:tcPr>
            <w:tcW w:w="691" w:type="dxa"/>
            <w:tcBorders>
              <w:bottom w:val="nil"/>
            </w:tcBorders>
            <w:shd w:val="clear" w:color="auto" w:fill="FFFFFF" w:themeFill="background1"/>
          </w:tcPr>
          <w:p w14:paraId="6F54A463" w14:textId="77777777" w:rsidR="00513A92" w:rsidRDefault="00513A92" w:rsidP="00A71AB3">
            <w:pPr>
              <w:pStyle w:val="Tabletextcentred"/>
              <w:keepNext/>
            </w:pPr>
          </w:p>
          <w:p w14:paraId="1D334DFF" w14:textId="77777777" w:rsidR="00513A92" w:rsidRDefault="00513A92" w:rsidP="00A71AB3">
            <w:pPr>
              <w:pStyle w:val="Tabletextcentred"/>
              <w:keepNext/>
            </w:pPr>
            <w:r>
              <w:t>10</w:t>
            </w:r>
          </w:p>
        </w:tc>
        <w:tc>
          <w:tcPr>
            <w:tcW w:w="690" w:type="dxa"/>
            <w:tcBorders>
              <w:bottom w:val="nil"/>
            </w:tcBorders>
            <w:shd w:val="clear" w:color="auto" w:fill="FFFFFF" w:themeFill="background1"/>
          </w:tcPr>
          <w:p w14:paraId="5443F5FE" w14:textId="77777777" w:rsidR="00513A92" w:rsidRDefault="00513A92" w:rsidP="00A71AB3">
            <w:pPr>
              <w:pStyle w:val="Tabletextcentred"/>
              <w:keepNext/>
            </w:pPr>
          </w:p>
          <w:p w14:paraId="4E41009E" w14:textId="77777777" w:rsidR="00513A92" w:rsidRDefault="00513A92" w:rsidP="00A71AB3">
            <w:pPr>
              <w:pStyle w:val="Tabletextcentred"/>
              <w:keepNext/>
            </w:pPr>
            <w:r>
              <w:t>7</w:t>
            </w:r>
          </w:p>
        </w:tc>
        <w:tc>
          <w:tcPr>
            <w:tcW w:w="691" w:type="dxa"/>
            <w:tcBorders>
              <w:bottom w:val="nil"/>
            </w:tcBorders>
            <w:shd w:val="clear" w:color="auto" w:fill="FFFFFF" w:themeFill="background1"/>
          </w:tcPr>
          <w:p w14:paraId="2EC18418" w14:textId="77777777" w:rsidR="00513A92" w:rsidRDefault="00513A92" w:rsidP="00A71AB3">
            <w:pPr>
              <w:pStyle w:val="Tabletextcentred"/>
              <w:keepNext/>
            </w:pPr>
          </w:p>
          <w:p w14:paraId="50F54643" w14:textId="77777777" w:rsidR="00513A92" w:rsidRDefault="00513A92" w:rsidP="00A71AB3">
            <w:pPr>
              <w:pStyle w:val="Tabletextcentred"/>
              <w:keepNext/>
            </w:pPr>
            <w:r>
              <w:t>5</w:t>
            </w:r>
          </w:p>
        </w:tc>
        <w:tc>
          <w:tcPr>
            <w:tcW w:w="1630" w:type="dxa"/>
            <w:tcBorders>
              <w:bottom w:val="nil"/>
            </w:tcBorders>
            <w:shd w:val="clear" w:color="auto" w:fill="FFFFFF" w:themeFill="background1"/>
          </w:tcPr>
          <w:p w14:paraId="6C95655C" w14:textId="77777777" w:rsidR="00513A92" w:rsidRDefault="00513A92" w:rsidP="00A71AB3">
            <w:pPr>
              <w:pStyle w:val="Tabletextcentred"/>
              <w:keepNext/>
            </w:pPr>
          </w:p>
          <w:p w14:paraId="3A5E5F47" w14:textId="77777777" w:rsidR="00513A92" w:rsidRDefault="00513A92" w:rsidP="00A71AB3">
            <w:pPr>
              <w:pStyle w:val="Tabletextcentred"/>
              <w:keepNext/>
            </w:pPr>
            <w:r>
              <w:t>82% [67%-93%]</w:t>
            </w:r>
          </w:p>
        </w:tc>
        <w:tc>
          <w:tcPr>
            <w:tcW w:w="1630" w:type="dxa"/>
            <w:tcBorders>
              <w:bottom w:val="nil"/>
            </w:tcBorders>
            <w:shd w:val="clear" w:color="auto" w:fill="FFFFFF" w:themeFill="background1"/>
          </w:tcPr>
          <w:p w14:paraId="5179ED26" w14:textId="77777777" w:rsidR="00513A92" w:rsidRDefault="00513A92" w:rsidP="00A71AB3">
            <w:pPr>
              <w:pStyle w:val="Tabletextcentred"/>
              <w:keepNext/>
            </w:pPr>
          </w:p>
          <w:p w14:paraId="4D8BBA26" w14:textId="77777777" w:rsidR="00513A92" w:rsidRDefault="00513A92" w:rsidP="00A71AB3">
            <w:pPr>
              <w:pStyle w:val="Tabletextcentred"/>
              <w:keepNext/>
            </w:pPr>
            <w:r>
              <w:t>33% [12%-62%]</w:t>
            </w:r>
          </w:p>
        </w:tc>
        <w:tc>
          <w:tcPr>
            <w:tcW w:w="1630" w:type="dxa"/>
            <w:tcBorders>
              <w:bottom w:val="nil"/>
            </w:tcBorders>
            <w:shd w:val="clear" w:color="auto" w:fill="FFFFFF" w:themeFill="background1"/>
          </w:tcPr>
          <w:p w14:paraId="04711A80" w14:textId="77777777" w:rsidR="00513A92" w:rsidRDefault="00513A92" w:rsidP="00A71AB3">
            <w:pPr>
              <w:pStyle w:val="Tabletextcentred"/>
              <w:keepNext/>
            </w:pPr>
          </w:p>
          <w:p w14:paraId="02125A0D" w14:textId="77777777" w:rsidR="00513A92" w:rsidRDefault="00513A92" w:rsidP="00A71AB3">
            <w:pPr>
              <w:pStyle w:val="Tabletextcentred"/>
              <w:keepNext/>
            </w:pPr>
            <w:r>
              <w:t>77% [61%-88%]</w:t>
            </w:r>
          </w:p>
        </w:tc>
        <w:tc>
          <w:tcPr>
            <w:tcW w:w="1631" w:type="dxa"/>
            <w:tcBorders>
              <w:bottom w:val="nil"/>
            </w:tcBorders>
            <w:shd w:val="clear" w:color="auto" w:fill="FFFFFF" w:themeFill="background1"/>
          </w:tcPr>
          <w:p w14:paraId="15154505" w14:textId="77777777" w:rsidR="00513A92" w:rsidRDefault="00513A92" w:rsidP="00A71AB3">
            <w:pPr>
              <w:pStyle w:val="Tabletextcentred"/>
              <w:keepNext/>
            </w:pPr>
          </w:p>
          <w:p w14:paraId="6C058F4E" w14:textId="77777777" w:rsidR="00513A92" w:rsidRDefault="00513A92" w:rsidP="00A71AB3">
            <w:pPr>
              <w:pStyle w:val="Tabletextcentred"/>
              <w:keepNext/>
            </w:pPr>
            <w:r>
              <w:t>42% [15%-72%]</w:t>
            </w:r>
          </w:p>
        </w:tc>
        <w:tc>
          <w:tcPr>
            <w:tcW w:w="2410" w:type="dxa"/>
            <w:tcBorders>
              <w:bottom w:val="nil"/>
            </w:tcBorders>
            <w:shd w:val="clear" w:color="auto" w:fill="FFFFFF" w:themeFill="background1"/>
          </w:tcPr>
          <w:p w14:paraId="2C57A6E9" w14:textId="77777777" w:rsidR="00513A92" w:rsidRDefault="00513A92" w:rsidP="00A71AB3">
            <w:pPr>
              <w:pStyle w:val="Tabletextcentred"/>
              <w:keepNext/>
              <w:jc w:val="left"/>
            </w:pPr>
          </w:p>
          <w:p w14:paraId="39AB10FC" w14:textId="77777777" w:rsidR="00513A92" w:rsidRDefault="00513A92" w:rsidP="00A71AB3">
            <w:pPr>
              <w:pStyle w:val="Tabletextcentred"/>
              <w:keepNext/>
              <w:jc w:val="left"/>
            </w:pPr>
            <w:r>
              <w:t>Ito (2014), p.1084, Table 4</w:t>
            </w:r>
          </w:p>
        </w:tc>
      </w:tr>
      <w:tr w:rsidR="00513A92" w14:paraId="0B23CF98" w14:textId="77777777" w:rsidTr="00A71AB3">
        <w:tc>
          <w:tcPr>
            <w:tcW w:w="1616" w:type="dxa"/>
            <w:tcBorders>
              <w:top w:val="nil"/>
              <w:bottom w:val="nil"/>
            </w:tcBorders>
            <w:shd w:val="clear" w:color="auto" w:fill="FFFFFF" w:themeFill="background1"/>
          </w:tcPr>
          <w:p w14:paraId="02CF566D" w14:textId="77777777" w:rsidR="00513A92" w:rsidRDefault="00513A92" w:rsidP="00A71AB3">
            <w:pPr>
              <w:pStyle w:val="Tabletextcentred"/>
              <w:keepNext/>
              <w:jc w:val="left"/>
            </w:pPr>
            <w:r>
              <w:t>Reader 2</w:t>
            </w:r>
          </w:p>
        </w:tc>
        <w:tc>
          <w:tcPr>
            <w:tcW w:w="690" w:type="dxa"/>
            <w:tcBorders>
              <w:top w:val="nil"/>
              <w:bottom w:val="nil"/>
            </w:tcBorders>
            <w:shd w:val="clear" w:color="auto" w:fill="FFFFFF" w:themeFill="background1"/>
          </w:tcPr>
          <w:p w14:paraId="6733340A" w14:textId="77777777" w:rsidR="00513A92" w:rsidRDefault="00513A92" w:rsidP="00A71AB3">
            <w:pPr>
              <w:pStyle w:val="Tabletextcentred"/>
              <w:keepNext/>
            </w:pPr>
            <w:r>
              <w:t>33</w:t>
            </w:r>
          </w:p>
        </w:tc>
        <w:tc>
          <w:tcPr>
            <w:tcW w:w="691" w:type="dxa"/>
            <w:tcBorders>
              <w:top w:val="nil"/>
              <w:bottom w:val="nil"/>
            </w:tcBorders>
            <w:shd w:val="clear" w:color="auto" w:fill="FFFFFF" w:themeFill="background1"/>
          </w:tcPr>
          <w:p w14:paraId="3260566D" w14:textId="77777777" w:rsidR="00513A92" w:rsidRDefault="00513A92" w:rsidP="00A71AB3">
            <w:pPr>
              <w:pStyle w:val="Tabletextcentred"/>
              <w:keepNext/>
            </w:pPr>
            <w:r>
              <w:t>13</w:t>
            </w:r>
          </w:p>
        </w:tc>
        <w:tc>
          <w:tcPr>
            <w:tcW w:w="690" w:type="dxa"/>
            <w:tcBorders>
              <w:top w:val="nil"/>
              <w:bottom w:val="nil"/>
            </w:tcBorders>
            <w:shd w:val="clear" w:color="auto" w:fill="FFFFFF" w:themeFill="background1"/>
          </w:tcPr>
          <w:p w14:paraId="34E06891" w14:textId="77777777" w:rsidR="00513A92" w:rsidRDefault="00513A92" w:rsidP="00A71AB3">
            <w:pPr>
              <w:pStyle w:val="Tabletextcentred"/>
              <w:keepNext/>
            </w:pPr>
            <w:r>
              <w:t>7</w:t>
            </w:r>
          </w:p>
        </w:tc>
        <w:tc>
          <w:tcPr>
            <w:tcW w:w="691" w:type="dxa"/>
            <w:tcBorders>
              <w:top w:val="nil"/>
              <w:bottom w:val="nil"/>
            </w:tcBorders>
            <w:shd w:val="clear" w:color="auto" w:fill="FFFFFF" w:themeFill="background1"/>
          </w:tcPr>
          <w:p w14:paraId="20185BC5" w14:textId="77777777" w:rsidR="00513A92" w:rsidRDefault="00513A92" w:rsidP="00A71AB3">
            <w:pPr>
              <w:pStyle w:val="Tabletextcentred"/>
              <w:keepNext/>
            </w:pPr>
            <w:r>
              <w:t>2</w:t>
            </w:r>
          </w:p>
        </w:tc>
        <w:tc>
          <w:tcPr>
            <w:tcW w:w="1630" w:type="dxa"/>
            <w:tcBorders>
              <w:top w:val="nil"/>
              <w:bottom w:val="nil"/>
            </w:tcBorders>
            <w:shd w:val="clear" w:color="auto" w:fill="FFFFFF" w:themeFill="background1"/>
          </w:tcPr>
          <w:p w14:paraId="618546EB" w14:textId="77777777" w:rsidR="00513A92" w:rsidRDefault="00513A92" w:rsidP="00A71AB3">
            <w:pPr>
              <w:pStyle w:val="Tabletextcentred"/>
              <w:keepNext/>
            </w:pPr>
            <w:r>
              <w:t>82% [67%-93%]</w:t>
            </w:r>
          </w:p>
        </w:tc>
        <w:tc>
          <w:tcPr>
            <w:tcW w:w="1630" w:type="dxa"/>
            <w:tcBorders>
              <w:top w:val="nil"/>
              <w:bottom w:val="nil"/>
            </w:tcBorders>
            <w:shd w:val="clear" w:color="auto" w:fill="FFFFFF" w:themeFill="background1"/>
          </w:tcPr>
          <w:p w14:paraId="50FE819B" w14:textId="77777777" w:rsidR="00513A92" w:rsidRDefault="00513A92" w:rsidP="00A71AB3">
            <w:pPr>
              <w:pStyle w:val="Tabletextcentred"/>
              <w:keepNext/>
            </w:pPr>
            <w:r>
              <w:t>13% [2%-40%]</w:t>
            </w:r>
          </w:p>
        </w:tc>
        <w:tc>
          <w:tcPr>
            <w:tcW w:w="1630" w:type="dxa"/>
            <w:tcBorders>
              <w:top w:val="nil"/>
              <w:bottom w:val="nil"/>
            </w:tcBorders>
            <w:shd w:val="clear" w:color="auto" w:fill="FFFFFF" w:themeFill="background1"/>
          </w:tcPr>
          <w:p w14:paraId="4EBF0826" w14:textId="77777777" w:rsidR="00513A92" w:rsidRDefault="00513A92" w:rsidP="00A71AB3">
            <w:pPr>
              <w:pStyle w:val="Tabletextcentred"/>
              <w:keepNext/>
            </w:pPr>
            <w:r>
              <w:t>72% [57%-84%]</w:t>
            </w:r>
          </w:p>
        </w:tc>
        <w:tc>
          <w:tcPr>
            <w:tcW w:w="1631" w:type="dxa"/>
            <w:tcBorders>
              <w:top w:val="nil"/>
              <w:bottom w:val="nil"/>
            </w:tcBorders>
            <w:shd w:val="clear" w:color="auto" w:fill="FFFFFF" w:themeFill="background1"/>
          </w:tcPr>
          <w:p w14:paraId="11A888C7" w14:textId="77777777" w:rsidR="00513A92" w:rsidRDefault="00513A92" w:rsidP="00A71AB3">
            <w:pPr>
              <w:pStyle w:val="Tabletextcentred"/>
              <w:keepNext/>
            </w:pPr>
            <w:r>
              <w:t>22% [3%-60%]</w:t>
            </w:r>
          </w:p>
        </w:tc>
        <w:tc>
          <w:tcPr>
            <w:tcW w:w="2410" w:type="dxa"/>
            <w:tcBorders>
              <w:top w:val="nil"/>
              <w:bottom w:val="nil"/>
            </w:tcBorders>
            <w:shd w:val="clear" w:color="auto" w:fill="FFFFFF" w:themeFill="background1"/>
          </w:tcPr>
          <w:p w14:paraId="0993EE26" w14:textId="77777777" w:rsidR="00513A92" w:rsidRDefault="00513A92" w:rsidP="00A71AB3">
            <w:pPr>
              <w:pStyle w:val="Tabletextcentred"/>
              <w:keepNext/>
              <w:jc w:val="left"/>
            </w:pPr>
            <w:r w:rsidRPr="000A78EC">
              <w:t>Ito (2014), p.1084, Table 4</w:t>
            </w:r>
          </w:p>
        </w:tc>
      </w:tr>
      <w:tr w:rsidR="00513A92" w14:paraId="30A3B536" w14:textId="77777777" w:rsidTr="00A71AB3">
        <w:tc>
          <w:tcPr>
            <w:tcW w:w="1616" w:type="dxa"/>
            <w:tcBorders>
              <w:top w:val="nil"/>
              <w:bottom w:val="single" w:sz="4" w:space="0" w:color="auto"/>
            </w:tcBorders>
            <w:shd w:val="clear" w:color="auto" w:fill="FFFFFF" w:themeFill="background1"/>
          </w:tcPr>
          <w:p w14:paraId="77DFBF00" w14:textId="77777777" w:rsidR="00513A92" w:rsidRDefault="00513A92" w:rsidP="00A71AB3">
            <w:pPr>
              <w:pStyle w:val="Tabletextcentred"/>
              <w:keepNext/>
              <w:jc w:val="left"/>
            </w:pPr>
            <w:r>
              <w:t>Reader 3</w:t>
            </w:r>
          </w:p>
        </w:tc>
        <w:tc>
          <w:tcPr>
            <w:tcW w:w="690" w:type="dxa"/>
            <w:tcBorders>
              <w:top w:val="nil"/>
              <w:bottom w:val="single" w:sz="4" w:space="0" w:color="auto"/>
            </w:tcBorders>
            <w:shd w:val="clear" w:color="auto" w:fill="FFFFFF" w:themeFill="background1"/>
          </w:tcPr>
          <w:p w14:paraId="5DAF5976" w14:textId="77777777" w:rsidR="00513A92" w:rsidRDefault="00513A92" w:rsidP="00A71AB3">
            <w:pPr>
              <w:pStyle w:val="Tabletextcentred"/>
              <w:keepNext/>
            </w:pPr>
            <w:r>
              <w:t>35</w:t>
            </w:r>
          </w:p>
        </w:tc>
        <w:tc>
          <w:tcPr>
            <w:tcW w:w="691" w:type="dxa"/>
            <w:tcBorders>
              <w:top w:val="nil"/>
              <w:bottom w:val="single" w:sz="4" w:space="0" w:color="auto"/>
            </w:tcBorders>
            <w:shd w:val="clear" w:color="auto" w:fill="FFFFFF" w:themeFill="background1"/>
          </w:tcPr>
          <w:p w14:paraId="2B07E474" w14:textId="77777777" w:rsidR="00513A92" w:rsidRDefault="00513A92" w:rsidP="00A71AB3">
            <w:pPr>
              <w:pStyle w:val="Tabletextcentred"/>
              <w:keepNext/>
            </w:pPr>
            <w:r>
              <w:t>12</w:t>
            </w:r>
          </w:p>
        </w:tc>
        <w:tc>
          <w:tcPr>
            <w:tcW w:w="690" w:type="dxa"/>
            <w:tcBorders>
              <w:top w:val="nil"/>
              <w:bottom w:val="single" w:sz="4" w:space="0" w:color="auto"/>
            </w:tcBorders>
            <w:shd w:val="clear" w:color="auto" w:fill="FFFFFF" w:themeFill="background1"/>
          </w:tcPr>
          <w:p w14:paraId="68D3EEC9" w14:textId="77777777" w:rsidR="00513A92" w:rsidRDefault="00513A92" w:rsidP="00A71AB3">
            <w:pPr>
              <w:pStyle w:val="Tabletextcentred"/>
              <w:keepNext/>
            </w:pPr>
            <w:r>
              <w:t>5</w:t>
            </w:r>
          </w:p>
        </w:tc>
        <w:tc>
          <w:tcPr>
            <w:tcW w:w="691" w:type="dxa"/>
            <w:tcBorders>
              <w:top w:val="nil"/>
              <w:bottom w:val="single" w:sz="4" w:space="0" w:color="auto"/>
            </w:tcBorders>
            <w:shd w:val="clear" w:color="auto" w:fill="FFFFFF" w:themeFill="background1"/>
          </w:tcPr>
          <w:p w14:paraId="257C7B26" w14:textId="77777777" w:rsidR="00513A92" w:rsidRDefault="00513A92" w:rsidP="00A71AB3">
            <w:pPr>
              <w:pStyle w:val="Tabletextcentred"/>
              <w:keepNext/>
            </w:pPr>
            <w:r>
              <w:t>3</w:t>
            </w:r>
          </w:p>
        </w:tc>
        <w:tc>
          <w:tcPr>
            <w:tcW w:w="1630" w:type="dxa"/>
            <w:tcBorders>
              <w:top w:val="nil"/>
              <w:bottom w:val="single" w:sz="4" w:space="0" w:color="auto"/>
            </w:tcBorders>
            <w:shd w:val="clear" w:color="auto" w:fill="FFFFFF" w:themeFill="background1"/>
          </w:tcPr>
          <w:p w14:paraId="338D2A63" w14:textId="77777777" w:rsidR="00513A92" w:rsidRDefault="00513A92" w:rsidP="00A71AB3">
            <w:pPr>
              <w:pStyle w:val="Tabletextcentred"/>
              <w:keepNext/>
            </w:pPr>
            <w:r>
              <w:t>88% [73%-96%]</w:t>
            </w:r>
          </w:p>
        </w:tc>
        <w:tc>
          <w:tcPr>
            <w:tcW w:w="1630" w:type="dxa"/>
            <w:tcBorders>
              <w:top w:val="nil"/>
              <w:bottom w:val="single" w:sz="4" w:space="0" w:color="auto"/>
            </w:tcBorders>
            <w:shd w:val="clear" w:color="auto" w:fill="FFFFFF" w:themeFill="background1"/>
          </w:tcPr>
          <w:p w14:paraId="499FD9AD" w14:textId="77777777" w:rsidR="00513A92" w:rsidRDefault="00513A92" w:rsidP="00A71AB3">
            <w:pPr>
              <w:pStyle w:val="Tabletextcentred"/>
              <w:keepNext/>
            </w:pPr>
            <w:r>
              <w:t>20% [4%-48%]</w:t>
            </w:r>
          </w:p>
        </w:tc>
        <w:tc>
          <w:tcPr>
            <w:tcW w:w="1630" w:type="dxa"/>
            <w:tcBorders>
              <w:top w:val="nil"/>
              <w:bottom w:val="single" w:sz="4" w:space="0" w:color="auto"/>
            </w:tcBorders>
            <w:shd w:val="clear" w:color="auto" w:fill="FFFFFF" w:themeFill="background1"/>
          </w:tcPr>
          <w:p w14:paraId="146EA727" w14:textId="77777777" w:rsidR="00513A92" w:rsidRDefault="00513A92" w:rsidP="00A71AB3">
            <w:pPr>
              <w:pStyle w:val="Tabletextcentred"/>
              <w:keepNext/>
            </w:pPr>
            <w:r>
              <w:t>75% [60%-86%]</w:t>
            </w:r>
          </w:p>
        </w:tc>
        <w:tc>
          <w:tcPr>
            <w:tcW w:w="1631" w:type="dxa"/>
            <w:tcBorders>
              <w:top w:val="nil"/>
              <w:bottom w:val="single" w:sz="4" w:space="0" w:color="auto"/>
            </w:tcBorders>
            <w:shd w:val="clear" w:color="auto" w:fill="FFFFFF" w:themeFill="background1"/>
          </w:tcPr>
          <w:p w14:paraId="740F4CD2" w14:textId="77777777" w:rsidR="00513A92" w:rsidRDefault="00513A92" w:rsidP="00A71AB3">
            <w:pPr>
              <w:pStyle w:val="Tabletextcentred"/>
              <w:keepNext/>
            </w:pPr>
            <w:r>
              <w:t>38% [9%-75%]</w:t>
            </w:r>
          </w:p>
        </w:tc>
        <w:tc>
          <w:tcPr>
            <w:tcW w:w="2410" w:type="dxa"/>
            <w:tcBorders>
              <w:top w:val="nil"/>
              <w:bottom w:val="single" w:sz="4" w:space="0" w:color="auto"/>
            </w:tcBorders>
            <w:shd w:val="clear" w:color="auto" w:fill="FFFFFF" w:themeFill="background1"/>
          </w:tcPr>
          <w:p w14:paraId="0A030356" w14:textId="77777777" w:rsidR="00513A92" w:rsidRDefault="00513A92" w:rsidP="00A71AB3">
            <w:pPr>
              <w:pStyle w:val="Tabletextcentred"/>
              <w:keepNext/>
              <w:jc w:val="left"/>
            </w:pPr>
            <w:r w:rsidRPr="000A78EC">
              <w:t>Ito (2014), p.1084, Table 4</w:t>
            </w:r>
          </w:p>
        </w:tc>
      </w:tr>
      <w:tr w:rsidR="00513A92" w14:paraId="6B01B8E9" w14:textId="77777777" w:rsidTr="00A71AB3">
        <w:tc>
          <w:tcPr>
            <w:tcW w:w="1616" w:type="dxa"/>
            <w:tcBorders>
              <w:bottom w:val="nil"/>
            </w:tcBorders>
            <w:shd w:val="clear" w:color="auto" w:fill="FFFFFF" w:themeFill="background1"/>
          </w:tcPr>
          <w:p w14:paraId="136BB096" w14:textId="77777777" w:rsidR="00513A92" w:rsidRDefault="00513A92" w:rsidP="00A71AB3">
            <w:pPr>
              <w:pStyle w:val="Tabletextcentred"/>
              <w:keepNext/>
              <w:jc w:val="left"/>
            </w:pPr>
            <w:r>
              <w:t>Döbert (2005)</w:t>
            </w:r>
          </w:p>
          <w:p w14:paraId="25622769" w14:textId="77777777" w:rsidR="00513A92" w:rsidRPr="00F92D4D" w:rsidRDefault="00513A92" w:rsidP="00A71AB3">
            <w:pPr>
              <w:pStyle w:val="Tabletextcentred"/>
              <w:keepNext/>
              <w:jc w:val="left"/>
              <w:rPr>
                <w:vertAlign w:val="superscript"/>
              </w:rPr>
            </w:pPr>
            <w:r>
              <w:t>AD only</w:t>
            </w:r>
            <w:r>
              <w:rPr>
                <w:vertAlign w:val="superscript"/>
              </w:rPr>
              <w:t>b</w:t>
            </w:r>
          </w:p>
        </w:tc>
        <w:tc>
          <w:tcPr>
            <w:tcW w:w="690" w:type="dxa"/>
            <w:tcBorders>
              <w:bottom w:val="nil"/>
            </w:tcBorders>
            <w:shd w:val="clear" w:color="auto" w:fill="FFFFFF" w:themeFill="background1"/>
          </w:tcPr>
          <w:p w14:paraId="418EB479" w14:textId="77777777" w:rsidR="00513A92" w:rsidRDefault="00513A92" w:rsidP="00A71AB3">
            <w:pPr>
              <w:pStyle w:val="Tabletextcentred"/>
              <w:keepNext/>
            </w:pPr>
          </w:p>
          <w:p w14:paraId="1AAE4AD2" w14:textId="77777777" w:rsidR="00513A92" w:rsidRPr="00245EE5" w:rsidRDefault="00513A92" w:rsidP="00A71AB3">
            <w:pPr>
              <w:pStyle w:val="Tabletextcentred"/>
              <w:keepNext/>
            </w:pPr>
            <w:r>
              <w:t>1</w:t>
            </w:r>
          </w:p>
        </w:tc>
        <w:tc>
          <w:tcPr>
            <w:tcW w:w="691" w:type="dxa"/>
            <w:tcBorders>
              <w:bottom w:val="nil"/>
            </w:tcBorders>
            <w:shd w:val="clear" w:color="auto" w:fill="FFFFFF" w:themeFill="background1"/>
          </w:tcPr>
          <w:p w14:paraId="2B790AFE" w14:textId="77777777" w:rsidR="00513A92" w:rsidRDefault="00513A92" w:rsidP="00A71AB3">
            <w:pPr>
              <w:pStyle w:val="Tabletextcentred"/>
              <w:keepNext/>
            </w:pPr>
          </w:p>
          <w:p w14:paraId="5DA78EA9" w14:textId="77777777" w:rsidR="00513A92" w:rsidRDefault="00513A92" w:rsidP="00A71AB3">
            <w:pPr>
              <w:pStyle w:val="Tabletextcentred"/>
              <w:keepNext/>
            </w:pPr>
            <w:r>
              <w:t>3</w:t>
            </w:r>
          </w:p>
        </w:tc>
        <w:tc>
          <w:tcPr>
            <w:tcW w:w="690" w:type="dxa"/>
            <w:tcBorders>
              <w:bottom w:val="nil"/>
            </w:tcBorders>
            <w:shd w:val="clear" w:color="auto" w:fill="FFFFFF" w:themeFill="background1"/>
          </w:tcPr>
          <w:p w14:paraId="0018C1D0" w14:textId="77777777" w:rsidR="00513A92" w:rsidRDefault="00513A92" w:rsidP="00A71AB3">
            <w:pPr>
              <w:pStyle w:val="Tabletextcentred"/>
              <w:keepNext/>
            </w:pPr>
          </w:p>
          <w:p w14:paraId="50D008ED" w14:textId="77777777" w:rsidR="00513A92" w:rsidRDefault="00513A92" w:rsidP="00A71AB3">
            <w:pPr>
              <w:pStyle w:val="Tabletextcentred"/>
              <w:keepNext/>
            </w:pPr>
            <w:r>
              <w:t>8</w:t>
            </w:r>
          </w:p>
        </w:tc>
        <w:tc>
          <w:tcPr>
            <w:tcW w:w="691" w:type="dxa"/>
            <w:tcBorders>
              <w:bottom w:val="nil"/>
            </w:tcBorders>
            <w:shd w:val="clear" w:color="auto" w:fill="FFFFFF" w:themeFill="background1"/>
          </w:tcPr>
          <w:p w14:paraId="57F34710" w14:textId="77777777" w:rsidR="00513A92" w:rsidRDefault="00513A92" w:rsidP="00A71AB3">
            <w:pPr>
              <w:pStyle w:val="Tabletextcentred"/>
              <w:keepNext/>
            </w:pPr>
          </w:p>
          <w:p w14:paraId="2AFA058F" w14:textId="77777777" w:rsidR="00513A92" w:rsidRPr="00245EE5" w:rsidRDefault="00513A92" w:rsidP="00A71AB3">
            <w:pPr>
              <w:pStyle w:val="Tabletextcentred"/>
              <w:keepNext/>
            </w:pPr>
            <w:r>
              <w:t>12</w:t>
            </w:r>
          </w:p>
        </w:tc>
        <w:tc>
          <w:tcPr>
            <w:tcW w:w="1630" w:type="dxa"/>
            <w:tcBorders>
              <w:bottom w:val="nil"/>
            </w:tcBorders>
            <w:shd w:val="clear" w:color="auto" w:fill="FFFFFF" w:themeFill="background1"/>
          </w:tcPr>
          <w:p w14:paraId="54B40322" w14:textId="77777777" w:rsidR="00513A92" w:rsidRDefault="00513A92" w:rsidP="00A71AB3">
            <w:pPr>
              <w:pStyle w:val="Tabletextcentred"/>
              <w:keepNext/>
            </w:pPr>
          </w:p>
          <w:p w14:paraId="18E9146F" w14:textId="77777777" w:rsidR="00513A92" w:rsidRPr="00245EE5" w:rsidRDefault="00513A92" w:rsidP="00A71AB3">
            <w:pPr>
              <w:pStyle w:val="Tabletextcentred"/>
              <w:keepNext/>
            </w:pPr>
            <w:r>
              <w:t>11% [2%-48%]</w:t>
            </w:r>
          </w:p>
        </w:tc>
        <w:tc>
          <w:tcPr>
            <w:tcW w:w="1630" w:type="dxa"/>
            <w:tcBorders>
              <w:bottom w:val="nil"/>
            </w:tcBorders>
            <w:shd w:val="clear" w:color="auto" w:fill="FFFFFF" w:themeFill="background1"/>
          </w:tcPr>
          <w:p w14:paraId="40C19B13" w14:textId="77777777" w:rsidR="00513A92" w:rsidRDefault="00513A92" w:rsidP="00A71AB3">
            <w:pPr>
              <w:pStyle w:val="Tabletextcentred"/>
              <w:keepNext/>
            </w:pPr>
          </w:p>
          <w:p w14:paraId="5E66FCF2" w14:textId="77777777" w:rsidR="00513A92" w:rsidRPr="00245EE5" w:rsidRDefault="00513A92" w:rsidP="00A71AB3">
            <w:pPr>
              <w:pStyle w:val="Tabletextcentred"/>
              <w:keepNext/>
            </w:pPr>
            <w:r>
              <w:t>80% [52%-95%]</w:t>
            </w:r>
          </w:p>
        </w:tc>
        <w:tc>
          <w:tcPr>
            <w:tcW w:w="1630" w:type="dxa"/>
            <w:tcBorders>
              <w:bottom w:val="nil"/>
            </w:tcBorders>
            <w:shd w:val="clear" w:color="auto" w:fill="FFFFFF" w:themeFill="background1"/>
          </w:tcPr>
          <w:p w14:paraId="3002AFF9" w14:textId="77777777" w:rsidR="00513A92" w:rsidRDefault="00513A92" w:rsidP="00A71AB3">
            <w:pPr>
              <w:pStyle w:val="Tabletextcentred"/>
              <w:keepNext/>
            </w:pPr>
          </w:p>
          <w:p w14:paraId="7225B80C" w14:textId="77777777" w:rsidR="00513A92" w:rsidRDefault="00513A92" w:rsidP="00A71AB3">
            <w:pPr>
              <w:pStyle w:val="Tabletextcentred"/>
              <w:keepNext/>
            </w:pPr>
            <w:r>
              <w:t>25% [4%-80%]</w:t>
            </w:r>
          </w:p>
        </w:tc>
        <w:tc>
          <w:tcPr>
            <w:tcW w:w="1631" w:type="dxa"/>
            <w:tcBorders>
              <w:bottom w:val="nil"/>
            </w:tcBorders>
            <w:shd w:val="clear" w:color="auto" w:fill="FFFFFF" w:themeFill="background1"/>
          </w:tcPr>
          <w:p w14:paraId="2C12A756" w14:textId="77777777" w:rsidR="00513A92" w:rsidRDefault="00513A92" w:rsidP="00A71AB3">
            <w:pPr>
              <w:pStyle w:val="Tabletextcentred"/>
              <w:keepNext/>
            </w:pPr>
          </w:p>
          <w:p w14:paraId="62AA5533" w14:textId="77777777" w:rsidR="00513A92" w:rsidRDefault="00513A92" w:rsidP="00A71AB3">
            <w:pPr>
              <w:pStyle w:val="Tabletextcentred"/>
              <w:keepNext/>
            </w:pPr>
            <w:r>
              <w:t>60% [36%-81%]</w:t>
            </w:r>
          </w:p>
        </w:tc>
        <w:tc>
          <w:tcPr>
            <w:tcW w:w="2410" w:type="dxa"/>
            <w:tcBorders>
              <w:bottom w:val="nil"/>
            </w:tcBorders>
            <w:shd w:val="clear" w:color="auto" w:fill="FFFFFF" w:themeFill="background1"/>
          </w:tcPr>
          <w:p w14:paraId="3B935FE4" w14:textId="77777777" w:rsidR="00513A92" w:rsidRDefault="00513A92" w:rsidP="00A71AB3">
            <w:pPr>
              <w:pStyle w:val="Tabletextcentred"/>
              <w:keepNext/>
              <w:jc w:val="left"/>
            </w:pPr>
          </w:p>
          <w:p w14:paraId="1FD289EB" w14:textId="77777777" w:rsidR="00513A92" w:rsidRPr="00245EE5" w:rsidRDefault="00513A92" w:rsidP="00A71AB3">
            <w:pPr>
              <w:pStyle w:val="Tabletextcentred"/>
              <w:keepNext/>
              <w:jc w:val="left"/>
            </w:pPr>
            <w:r>
              <w:t>Döbert (2005), p.67, Table 4</w:t>
            </w:r>
          </w:p>
        </w:tc>
      </w:tr>
      <w:tr w:rsidR="00513A92" w14:paraId="45D8E50F" w14:textId="77777777" w:rsidTr="00A71AB3">
        <w:tc>
          <w:tcPr>
            <w:tcW w:w="1616" w:type="dxa"/>
            <w:tcBorders>
              <w:top w:val="nil"/>
            </w:tcBorders>
            <w:shd w:val="clear" w:color="auto" w:fill="FFFFFF" w:themeFill="background1"/>
          </w:tcPr>
          <w:p w14:paraId="3C1FB9DB" w14:textId="77777777" w:rsidR="00513A92" w:rsidRPr="00F92D4D" w:rsidRDefault="00513A92" w:rsidP="00A71AB3">
            <w:pPr>
              <w:pStyle w:val="Tabletextcentred"/>
              <w:keepNext/>
              <w:jc w:val="left"/>
              <w:rPr>
                <w:vertAlign w:val="superscript"/>
              </w:rPr>
            </w:pPr>
            <w:r>
              <w:t>AD/MIX combined</w:t>
            </w:r>
            <w:r>
              <w:rPr>
                <w:vertAlign w:val="superscript"/>
              </w:rPr>
              <w:t>c</w:t>
            </w:r>
          </w:p>
        </w:tc>
        <w:tc>
          <w:tcPr>
            <w:tcW w:w="690" w:type="dxa"/>
            <w:tcBorders>
              <w:top w:val="nil"/>
            </w:tcBorders>
            <w:shd w:val="clear" w:color="auto" w:fill="FFFFFF" w:themeFill="background1"/>
          </w:tcPr>
          <w:p w14:paraId="2829E01A" w14:textId="77777777" w:rsidR="00513A92" w:rsidRDefault="00513A92" w:rsidP="00A71AB3">
            <w:pPr>
              <w:pStyle w:val="Tabletextcentred"/>
              <w:keepNext/>
            </w:pPr>
            <w:r>
              <w:t>6</w:t>
            </w:r>
          </w:p>
        </w:tc>
        <w:tc>
          <w:tcPr>
            <w:tcW w:w="691" w:type="dxa"/>
            <w:tcBorders>
              <w:top w:val="nil"/>
            </w:tcBorders>
            <w:shd w:val="clear" w:color="auto" w:fill="FFFFFF" w:themeFill="background1"/>
          </w:tcPr>
          <w:p w14:paraId="6986FB3E" w14:textId="77777777" w:rsidR="00513A92" w:rsidRDefault="00513A92" w:rsidP="00A71AB3">
            <w:pPr>
              <w:pStyle w:val="Tabletextcentred"/>
              <w:keepNext/>
            </w:pPr>
            <w:r>
              <w:t>3</w:t>
            </w:r>
          </w:p>
        </w:tc>
        <w:tc>
          <w:tcPr>
            <w:tcW w:w="690" w:type="dxa"/>
            <w:tcBorders>
              <w:top w:val="nil"/>
            </w:tcBorders>
            <w:shd w:val="clear" w:color="auto" w:fill="FFFFFF" w:themeFill="background1"/>
          </w:tcPr>
          <w:p w14:paraId="7A616365" w14:textId="77777777" w:rsidR="00513A92" w:rsidRDefault="00513A92" w:rsidP="00A71AB3">
            <w:pPr>
              <w:pStyle w:val="Tabletextcentred"/>
              <w:keepNext/>
            </w:pPr>
            <w:r>
              <w:t>10</w:t>
            </w:r>
          </w:p>
        </w:tc>
        <w:tc>
          <w:tcPr>
            <w:tcW w:w="691" w:type="dxa"/>
            <w:tcBorders>
              <w:top w:val="nil"/>
            </w:tcBorders>
            <w:shd w:val="clear" w:color="auto" w:fill="FFFFFF" w:themeFill="background1"/>
          </w:tcPr>
          <w:p w14:paraId="052F0CC9" w14:textId="77777777" w:rsidR="00513A92" w:rsidRDefault="00513A92" w:rsidP="00A71AB3">
            <w:pPr>
              <w:pStyle w:val="Tabletextcentred"/>
              <w:keepNext/>
            </w:pPr>
            <w:r>
              <w:t>5</w:t>
            </w:r>
          </w:p>
        </w:tc>
        <w:tc>
          <w:tcPr>
            <w:tcW w:w="1630" w:type="dxa"/>
            <w:tcBorders>
              <w:top w:val="nil"/>
            </w:tcBorders>
            <w:shd w:val="clear" w:color="auto" w:fill="FFFFFF" w:themeFill="background1"/>
          </w:tcPr>
          <w:p w14:paraId="790A2E7E" w14:textId="77777777" w:rsidR="00513A92" w:rsidRDefault="00513A92" w:rsidP="00A71AB3">
            <w:pPr>
              <w:pStyle w:val="Tabletextcentred"/>
              <w:keepNext/>
            </w:pPr>
            <w:r>
              <w:t>38% [15%-65%]</w:t>
            </w:r>
          </w:p>
        </w:tc>
        <w:tc>
          <w:tcPr>
            <w:tcW w:w="1630" w:type="dxa"/>
            <w:tcBorders>
              <w:top w:val="nil"/>
            </w:tcBorders>
            <w:shd w:val="clear" w:color="auto" w:fill="FFFFFF" w:themeFill="background1"/>
          </w:tcPr>
          <w:p w14:paraId="16A68FD0" w14:textId="77777777" w:rsidR="00513A92" w:rsidRDefault="00513A92" w:rsidP="00A71AB3">
            <w:pPr>
              <w:pStyle w:val="Tabletextcentred"/>
              <w:keepNext/>
            </w:pPr>
            <w:r>
              <w:t>63% [25%-91%]</w:t>
            </w:r>
          </w:p>
        </w:tc>
        <w:tc>
          <w:tcPr>
            <w:tcW w:w="1630" w:type="dxa"/>
            <w:tcBorders>
              <w:top w:val="nil"/>
            </w:tcBorders>
            <w:shd w:val="clear" w:color="auto" w:fill="FFFFFF" w:themeFill="background1"/>
          </w:tcPr>
          <w:p w14:paraId="0EE7D1BE" w14:textId="77777777" w:rsidR="00513A92" w:rsidRDefault="00513A92" w:rsidP="00A71AB3">
            <w:pPr>
              <w:pStyle w:val="Tabletextcentred"/>
              <w:keepNext/>
            </w:pPr>
            <w:r>
              <w:t>67% [30%-92%]</w:t>
            </w:r>
          </w:p>
        </w:tc>
        <w:tc>
          <w:tcPr>
            <w:tcW w:w="1631" w:type="dxa"/>
            <w:tcBorders>
              <w:top w:val="nil"/>
            </w:tcBorders>
            <w:shd w:val="clear" w:color="auto" w:fill="FFFFFF" w:themeFill="background1"/>
          </w:tcPr>
          <w:p w14:paraId="6E661BD2" w14:textId="77777777" w:rsidR="00513A92" w:rsidRDefault="00513A92" w:rsidP="00A71AB3">
            <w:pPr>
              <w:pStyle w:val="Tabletextcentred"/>
              <w:keepNext/>
            </w:pPr>
            <w:r>
              <w:t>33% [12%-62%]</w:t>
            </w:r>
          </w:p>
        </w:tc>
        <w:tc>
          <w:tcPr>
            <w:tcW w:w="2410" w:type="dxa"/>
            <w:tcBorders>
              <w:top w:val="nil"/>
            </w:tcBorders>
            <w:shd w:val="clear" w:color="auto" w:fill="FFFFFF" w:themeFill="background1"/>
          </w:tcPr>
          <w:p w14:paraId="5E463129" w14:textId="77777777" w:rsidR="00513A92" w:rsidRDefault="00513A92" w:rsidP="00A71AB3">
            <w:pPr>
              <w:pStyle w:val="Tabletextcentred"/>
              <w:keepNext/>
              <w:jc w:val="left"/>
            </w:pPr>
            <w:r>
              <w:t>Döbert (2005), p.67, Table 4</w:t>
            </w:r>
          </w:p>
        </w:tc>
      </w:tr>
    </w:tbl>
    <w:p w14:paraId="2CD85142" w14:textId="0A04EEA1" w:rsidR="00513A92" w:rsidRDefault="00513A92" w:rsidP="00513A92">
      <w:pPr>
        <w:pStyle w:val="Tablefootnotes"/>
      </w:pPr>
      <w:r>
        <w:t xml:space="preserve">Note: Reader 1 was </w:t>
      </w:r>
      <w:r w:rsidRPr="001443AE">
        <w:t xml:space="preserve">an expert with &gt;20 years’ experience as a neurological nuclear medicine physician; </w:t>
      </w:r>
      <w:r>
        <w:t xml:space="preserve">Reader 2 was </w:t>
      </w:r>
      <w:r w:rsidRPr="001443AE">
        <w:t>a nuclear medicine physician trainee; and</w:t>
      </w:r>
      <w:r>
        <w:t xml:space="preserve"> Reader 3 was</w:t>
      </w:r>
      <w:r w:rsidRPr="001443AE">
        <w:t xml:space="preserve"> a neuroradiologist with 10 years’ experience, mainly in MRI.</w:t>
      </w:r>
    </w:p>
    <w:p w14:paraId="01B21E88" w14:textId="1E65FBC4" w:rsidR="00513A92" w:rsidRPr="001443AE" w:rsidRDefault="00513A92" w:rsidP="00513A92">
      <w:pPr>
        <w:pStyle w:val="Tablefootnotes"/>
      </w:pPr>
      <w:r>
        <w:t xml:space="preserve">Abbreviations: AD, Alzheimer’s disease; CI, confidence interval; </w:t>
      </w:r>
      <w:r w:rsidR="0003027D">
        <w:rPr>
          <w:rStyle w:val="TablefootnotesChar"/>
        </w:rPr>
        <w:t>FDG</w:t>
      </w:r>
      <w:r>
        <w:rPr>
          <w:rStyle w:val="TablefootnotesChar"/>
        </w:rPr>
        <w:t>,</w:t>
      </w:r>
      <w:r w:rsidRPr="00D05EB6">
        <w:rPr>
          <w:rStyle w:val="TablefootnotesChar"/>
        </w:rPr>
        <w:t xml:space="preserve"> flu</w:t>
      </w:r>
      <w:r w:rsidR="008F0DD0">
        <w:rPr>
          <w:rStyle w:val="TablefootnotesChar"/>
        </w:rPr>
        <w:t>o</w:t>
      </w:r>
      <w:r w:rsidRPr="00D05EB6">
        <w:rPr>
          <w:rStyle w:val="TablefootnotesChar"/>
        </w:rPr>
        <w:t>rodeoxyglucose</w:t>
      </w:r>
      <w:r>
        <w:t>; FN, false</w:t>
      </w:r>
      <w:r w:rsidR="000E05F2">
        <w:t xml:space="preserve"> </w:t>
      </w:r>
      <w:r>
        <w:t>negative; FP, false</w:t>
      </w:r>
      <w:r w:rsidR="000E05F2">
        <w:t xml:space="preserve"> </w:t>
      </w:r>
      <w:r>
        <w:t>positive; MIX, mixed-type dementia; NPV, negative predictive value; PPV, positive predictive value; SPECT, single-photon emission computed tomography; TN, true</w:t>
      </w:r>
      <w:r w:rsidR="0064732B">
        <w:t xml:space="preserve"> </w:t>
      </w:r>
      <w:r>
        <w:t>negative; TP, true</w:t>
      </w:r>
      <w:r w:rsidR="0064732B">
        <w:t xml:space="preserve"> </w:t>
      </w:r>
      <w:r>
        <w:t>positive.</w:t>
      </w:r>
    </w:p>
    <w:p w14:paraId="2949FACF" w14:textId="77777777" w:rsidR="00513A92" w:rsidRPr="000A78EC" w:rsidRDefault="00513A92" w:rsidP="00513A92">
      <w:pPr>
        <w:pStyle w:val="Tablefootnotes"/>
      </w:pPr>
      <w:r>
        <w:rPr>
          <w:vertAlign w:val="superscript"/>
        </w:rPr>
        <w:t xml:space="preserve">a </w:t>
      </w:r>
      <w:r>
        <w:t>Table 4 (p.29) reported a specificity of 13% which did not match the TP, TN, FP, FN rates shown in the same table. The specificity was recalculated.</w:t>
      </w:r>
    </w:p>
    <w:p w14:paraId="1627A1E8" w14:textId="497842CE" w:rsidR="00513A92" w:rsidRDefault="00513A92" w:rsidP="00513A92">
      <w:pPr>
        <w:pStyle w:val="Tablefootnotes"/>
      </w:pPr>
      <w:r>
        <w:rPr>
          <w:vertAlign w:val="superscript"/>
        </w:rPr>
        <w:t>b</w:t>
      </w:r>
      <w:r>
        <w:t xml:space="preserve"> Table 1 (p.65) presented sensitivity, specificity, PPV, NPV; however the calculations were slightly discrepant from those that were calculated using TP, TN, FP, FN rates presented in Table 4. The table above shows the results which were calculated using data in Table 4 (p.67), assuming that a diagnosis of ‘mixed dementia’ does not include AD.</w:t>
      </w:r>
    </w:p>
    <w:p w14:paraId="54068CEC" w14:textId="557AC076" w:rsidR="008C4D1C" w:rsidRDefault="00513A92" w:rsidP="00D843F0">
      <w:pPr>
        <w:pStyle w:val="Tablefootnotes"/>
      </w:pPr>
      <w:r w:rsidRPr="007A788C">
        <w:rPr>
          <w:vertAlign w:val="superscript"/>
        </w:rPr>
        <w:t>c</w:t>
      </w:r>
      <w:r>
        <w:t xml:space="preserve"> Calculated from Table 4 (p.67), assuming that a diagnosis of ‘mixed dementia’ includes AD. Note that there are discrepancies between the data reported in Table 4 and Table 1.</w:t>
      </w:r>
      <w:bookmarkStart w:id="114" w:name="_Ref406353383"/>
      <w:bookmarkStart w:id="115" w:name="_Toc406401389"/>
      <w:r w:rsidR="00D843F0">
        <w:t xml:space="preserve"> </w:t>
      </w:r>
    </w:p>
    <w:p w14:paraId="65006F34" w14:textId="77777777" w:rsidR="00A469B7" w:rsidRPr="008C4D1C" w:rsidRDefault="00A469B7" w:rsidP="008C4D1C">
      <w:pPr>
        <w:sectPr w:rsidR="00A469B7" w:rsidRPr="008C4D1C" w:rsidSect="00DB1F17">
          <w:footerReference w:type="default" r:id="rId18"/>
          <w:pgSz w:w="16838" w:h="11906" w:orient="landscape" w:code="9"/>
          <w:pgMar w:top="1440" w:right="1440" w:bottom="1440" w:left="1440" w:header="680" w:footer="1021" w:gutter="0"/>
          <w:cols w:space="708"/>
          <w:docGrid w:linePitch="360"/>
        </w:sectPr>
      </w:pPr>
    </w:p>
    <w:p w14:paraId="7466D2E6" w14:textId="5F0259BA" w:rsidR="00A469B7" w:rsidRPr="00A469B7" w:rsidRDefault="00C345CC" w:rsidP="00A469B7">
      <w:r>
        <w:lastRenderedPageBreak/>
        <w:t>D</w:t>
      </w:r>
      <w:r w:rsidR="00A469B7" w:rsidRPr="00A469B7">
        <w:t xml:space="preserve">ue to the similarities between the patient populations, and the lack of any alternative evidence, it was thought to be appropriate to combine the results of the two studies, as shown in the 2 x </w:t>
      </w:r>
      <w:r w:rsidR="00A469B7" w:rsidRPr="00AC287A">
        <w:t>2 tables below (</w:t>
      </w:r>
      <w:r w:rsidR="00AC287A" w:rsidRPr="00AC287A">
        <w:fldChar w:fldCharType="begin"/>
      </w:r>
      <w:r w:rsidR="00AC287A" w:rsidRPr="00AC287A">
        <w:instrText xml:space="preserve"> REF _Ref406411885 \h </w:instrText>
      </w:r>
      <w:r w:rsidR="00AC287A">
        <w:instrText xml:space="preserve"> \* MERGEFORMAT </w:instrText>
      </w:r>
      <w:r w:rsidR="00AC287A" w:rsidRPr="00AC287A">
        <w:fldChar w:fldCharType="separate"/>
      </w:r>
      <w:r w:rsidR="00C67698" w:rsidRPr="00A469B7">
        <w:t xml:space="preserve">Table </w:t>
      </w:r>
      <w:r w:rsidR="00C67698">
        <w:t>B.6</w:t>
      </w:r>
      <w:r w:rsidR="00C67698">
        <w:noBreakHyphen/>
        <w:t>2</w:t>
      </w:r>
      <w:r w:rsidR="00AC287A" w:rsidRPr="00AC287A">
        <w:fldChar w:fldCharType="end"/>
      </w:r>
      <w:r w:rsidR="00AC287A" w:rsidRPr="00AC287A">
        <w:t xml:space="preserve"> </w:t>
      </w:r>
      <w:r w:rsidR="00583545">
        <w:t xml:space="preserve">and </w:t>
      </w:r>
      <w:r w:rsidR="00583545">
        <w:fldChar w:fldCharType="begin"/>
      </w:r>
      <w:r w:rsidR="00583545">
        <w:instrText xml:space="preserve"> REF _Ref408322182 \h </w:instrText>
      </w:r>
      <w:r w:rsidR="00583545">
        <w:fldChar w:fldCharType="separate"/>
      </w:r>
      <w:r w:rsidR="00C67698" w:rsidRPr="00A469B7">
        <w:t xml:space="preserve">Table </w:t>
      </w:r>
      <w:r w:rsidR="00C67698">
        <w:rPr>
          <w:noProof/>
        </w:rPr>
        <w:t>B.6</w:t>
      </w:r>
      <w:r w:rsidR="00C67698">
        <w:noBreakHyphen/>
      </w:r>
      <w:r w:rsidR="00C67698">
        <w:rPr>
          <w:noProof/>
        </w:rPr>
        <w:t>3</w:t>
      </w:r>
      <w:r w:rsidR="00583545">
        <w:fldChar w:fldCharType="end"/>
      </w:r>
      <w:r w:rsidR="00A469B7" w:rsidRPr="00AC287A">
        <w:t>). The com</w:t>
      </w:r>
      <w:r w:rsidR="008775D6">
        <w:t>bined results are those of</w:t>
      </w:r>
      <w:r w:rsidR="00A469B7" w:rsidRPr="00AC287A">
        <w:t xml:space="preserve"> </w:t>
      </w:r>
      <w:r w:rsidR="008775D6">
        <w:t xml:space="preserve">Döbert et al (2005) and </w:t>
      </w:r>
      <w:r w:rsidR="00A469B7" w:rsidRPr="00AC287A">
        <w:t>Reader 1 from Ito et</w:t>
      </w:r>
      <w:r w:rsidR="00A469B7" w:rsidRPr="00A469B7">
        <w:t xml:space="preserve"> al (2014). Reader 1 was an expert neurological nuclear medicine physician with over 20 years’ experience (i.e. best case diagnostic accuracy).</w:t>
      </w:r>
    </w:p>
    <w:p w14:paraId="27B5C881" w14:textId="7387E532" w:rsidR="00A469B7" w:rsidRPr="00A469B7" w:rsidRDefault="00A469B7" w:rsidP="006815DC">
      <w:pPr>
        <w:pStyle w:val="Caption"/>
      </w:pPr>
      <w:bookmarkStart w:id="116" w:name="_Ref406411885"/>
      <w:bookmarkStart w:id="117" w:name="_Toc408845215"/>
      <w:r w:rsidRPr="00A469B7">
        <w:t xml:space="preserve">Table </w:t>
      </w:r>
      <w:fldSimple w:instr=" STYLEREF 2 \s ">
        <w:r w:rsidR="00C67698">
          <w:rPr>
            <w:noProof/>
          </w:rPr>
          <w:t>B.6</w:t>
        </w:r>
      </w:fldSimple>
      <w:r w:rsidR="00524916">
        <w:noBreakHyphen/>
      </w:r>
      <w:fldSimple w:instr=" SEQ Table \* ARABIC \s 2 ">
        <w:r w:rsidR="00C67698">
          <w:rPr>
            <w:noProof/>
          </w:rPr>
          <w:t>2</w:t>
        </w:r>
      </w:fldSimple>
      <w:bookmarkEnd w:id="114"/>
      <w:bookmarkEnd w:id="116"/>
      <w:r w:rsidRPr="00A469B7">
        <w:tab/>
      </w:r>
      <w:r w:rsidR="00583545">
        <w:t>Test</w:t>
      </w:r>
      <w:r w:rsidRPr="00A469B7">
        <w:t xml:space="preserve"> results and true disease state in patients with AD v</w:t>
      </w:r>
      <w:r w:rsidR="004C64A0">
        <w:t>ersus</w:t>
      </w:r>
      <w:r w:rsidRPr="00A469B7">
        <w:t xml:space="preserve"> other dementias</w:t>
      </w:r>
      <w:bookmarkEnd w:id="115"/>
      <w:bookmarkEnd w:id="117"/>
      <w:r w:rsidRPr="00A469B7">
        <w:t xml:space="preserve">  </w:t>
      </w:r>
    </w:p>
    <w:tbl>
      <w:tblPr>
        <w:tblStyle w:val="TableGrid"/>
        <w:tblW w:w="0" w:type="auto"/>
        <w:tblInd w:w="720" w:type="dxa"/>
        <w:tblLook w:val="04A0" w:firstRow="1" w:lastRow="0" w:firstColumn="1" w:lastColumn="0" w:noHBand="0" w:noVBand="1"/>
        <w:tblCaption w:val="Test results and true disease state in patients with AD versus other dementias"/>
        <w:tblDescription w:val="The test results in a 2 x 2 table format for FDG-PET and SPECT"/>
      </w:tblPr>
      <w:tblGrid>
        <w:gridCol w:w="2784"/>
        <w:gridCol w:w="2759"/>
        <w:gridCol w:w="2753"/>
      </w:tblGrid>
      <w:tr w:rsidR="00A469B7" w:rsidRPr="00A469B7" w14:paraId="4DC4937E" w14:textId="77777777" w:rsidTr="00556738">
        <w:trPr>
          <w:tblHeader/>
        </w:trPr>
        <w:tc>
          <w:tcPr>
            <w:tcW w:w="2784" w:type="dxa"/>
          </w:tcPr>
          <w:p w14:paraId="03D9B597" w14:textId="77777777" w:rsidR="00A469B7" w:rsidRPr="00A469B7" w:rsidRDefault="00A469B7" w:rsidP="00A469B7">
            <w:pPr>
              <w:keepNext/>
              <w:spacing w:after="0"/>
              <w:ind w:left="0"/>
              <w:rPr>
                <w:rFonts w:ascii="Arial Narrow" w:eastAsia="Times New Roman" w:hAnsi="Arial Narrow" w:cs="Arial"/>
                <w:b/>
                <w:sz w:val="20"/>
                <w:szCs w:val="20"/>
              </w:rPr>
            </w:pPr>
          </w:p>
        </w:tc>
        <w:tc>
          <w:tcPr>
            <w:tcW w:w="2759" w:type="dxa"/>
          </w:tcPr>
          <w:p w14:paraId="52180239"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AD present</w:t>
            </w:r>
          </w:p>
        </w:tc>
        <w:tc>
          <w:tcPr>
            <w:tcW w:w="2753" w:type="dxa"/>
          </w:tcPr>
          <w:p w14:paraId="7E1A3086"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AD absent</w:t>
            </w:r>
          </w:p>
        </w:tc>
      </w:tr>
      <w:tr w:rsidR="001F674E" w:rsidRPr="00A469B7" w14:paraId="1B4FB2C0" w14:textId="77777777" w:rsidTr="001F674E">
        <w:tc>
          <w:tcPr>
            <w:tcW w:w="2784" w:type="dxa"/>
            <w:shd w:val="clear" w:color="auto" w:fill="D0CECE" w:themeFill="background2" w:themeFillShade="E6"/>
          </w:tcPr>
          <w:p w14:paraId="7D6053DA" w14:textId="5B891F1A" w:rsidR="001F674E" w:rsidRPr="00A469B7" w:rsidRDefault="001F674E"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FDG-PET</w:t>
            </w:r>
          </w:p>
        </w:tc>
        <w:tc>
          <w:tcPr>
            <w:tcW w:w="2759" w:type="dxa"/>
            <w:shd w:val="clear" w:color="auto" w:fill="D0CECE" w:themeFill="background2" w:themeFillShade="E6"/>
          </w:tcPr>
          <w:p w14:paraId="737DCBA7" w14:textId="4A7B0ECC" w:rsidR="001F674E" w:rsidRPr="00A469B7" w:rsidRDefault="001F674E"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753" w:type="dxa"/>
            <w:shd w:val="clear" w:color="auto" w:fill="D0CECE" w:themeFill="background2" w:themeFillShade="E6"/>
          </w:tcPr>
          <w:p w14:paraId="3BFAB071" w14:textId="6DF38684" w:rsidR="001F674E" w:rsidRPr="00A469B7" w:rsidRDefault="001F674E"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A469B7" w:rsidRPr="00A469B7" w14:paraId="7F986690" w14:textId="77777777" w:rsidTr="00A71AB3">
        <w:tc>
          <w:tcPr>
            <w:tcW w:w="2784" w:type="dxa"/>
          </w:tcPr>
          <w:p w14:paraId="095B2AB5" w14:textId="653AC136" w:rsidR="00A469B7" w:rsidRPr="00A469B7" w:rsidRDefault="001F674E"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p</w:t>
            </w:r>
            <w:r w:rsidR="00A469B7" w:rsidRPr="00A469B7">
              <w:rPr>
                <w:rFonts w:ascii="Arial Narrow" w:eastAsia="Times New Roman" w:hAnsi="Arial Narrow" w:cs="Arial"/>
                <w:b/>
                <w:sz w:val="20"/>
                <w:szCs w:val="20"/>
              </w:rPr>
              <w:t>ositive</w:t>
            </w:r>
          </w:p>
        </w:tc>
        <w:tc>
          <w:tcPr>
            <w:tcW w:w="2759" w:type="dxa"/>
          </w:tcPr>
          <w:p w14:paraId="098224BE"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35</w:t>
            </w:r>
          </w:p>
        </w:tc>
        <w:tc>
          <w:tcPr>
            <w:tcW w:w="2753" w:type="dxa"/>
          </w:tcPr>
          <w:p w14:paraId="60C84F55"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12</w:t>
            </w:r>
          </w:p>
        </w:tc>
      </w:tr>
      <w:tr w:rsidR="00A469B7" w:rsidRPr="00A469B7" w14:paraId="4A7BD4DF" w14:textId="77777777" w:rsidTr="00A71AB3">
        <w:tc>
          <w:tcPr>
            <w:tcW w:w="2784" w:type="dxa"/>
          </w:tcPr>
          <w:p w14:paraId="14A397BA" w14:textId="4B6B8D18" w:rsidR="00A469B7" w:rsidRPr="00A469B7" w:rsidRDefault="001F674E"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n</w:t>
            </w:r>
            <w:r w:rsidR="00A469B7" w:rsidRPr="00A469B7">
              <w:rPr>
                <w:rFonts w:ascii="Arial Narrow" w:eastAsia="Times New Roman" w:hAnsi="Arial Narrow" w:cs="Arial"/>
                <w:b/>
                <w:sz w:val="20"/>
                <w:szCs w:val="20"/>
              </w:rPr>
              <w:t>egative</w:t>
            </w:r>
          </w:p>
        </w:tc>
        <w:tc>
          <w:tcPr>
            <w:tcW w:w="2759" w:type="dxa"/>
          </w:tcPr>
          <w:p w14:paraId="63008652"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14</w:t>
            </w:r>
          </w:p>
        </w:tc>
        <w:tc>
          <w:tcPr>
            <w:tcW w:w="2753" w:type="dxa"/>
          </w:tcPr>
          <w:p w14:paraId="262DEA22"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18</w:t>
            </w:r>
          </w:p>
        </w:tc>
      </w:tr>
      <w:tr w:rsidR="00A469B7" w:rsidRPr="00A469B7" w14:paraId="32C6B99D" w14:textId="77777777" w:rsidTr="00A71AB3">
        <w:tc>
          <w:tcPr>
            <w:tcW w:w="2784" w:type="dxa"/>
          </w:tcPr>
          <w:p w14:paraId="0BA24389"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Sensitivity [95% CI]</w:t>
            </w:r>
          </w:p>
        </w:tc>
        <w:tc>
          <w:tcPr>
            <w:tcW w:w="2759" w:type="dxa"/>
          </w:tcPr>
          <w:p w14:paraId="6B058E0C"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71% [57%-83%]</w:t>
            </w:r>
          </w:p>
        </w:tc>
        <w:tc>
          <w:tcPr>
            <w:tcW w:w="2753" w:type="dxa"/>
          </w:tcPr>
          <w:p w14:paraId="4F2753CD"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A469B7" w:rsidRPr="00A469B7" w14:paraId="75A4267C" w14:textId="77777777" w:rsidTr="00A71AB3">
        <w:tc>
          <w:tcPr>
            <w:tcW w:w="2784" w:type="dxa"/>
          </w:tcPr>
          <w:p w14:paraId="0CCB8338"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Specificity [95% CI]</w:t>
            </w:r>
          </w:p>
        </w:tc>
        <w:tc>
          <w:tcPr>
            <w:tcW w:w="2759" w:type="dxa"/>
          </w:tcPr>
          <w:p w14:paraId="7675C43F"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2753" w:type="dxa"/>
          </w:tcPr>
          <w:p w14:paraId="1EF69AFA"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60% [41%-77%]</w:t>
            </w:r>
          </w:p>
        </w:tc>
      </w:tr>
      <w:tr w:rsidR="001F674E" w:rsidRPr="00A469B7" w14:paraId="663EE2CD" w14:textId="77777777" w:rsidTr="001F674E">
        <w:tc>
          <w:tcPr>
            <w:tcW w:w="2784" w:type="dxa"/>
            <w:shd w:val="clear" w:color="auto" w:fill="D0CECE" w:themeFill="background2" w:themeFillShade="E6"/>
          </w:tcPr>
          <w:p w14:paraId="3E3D3CC3" w14:textId="158FC291" w:rsidR="001F674E" w:rsidRPr="00A469B7" w:rsidRDefault="001F674E"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SPECT</w:t>
            </w:r>
          </w:p>
        </w:tc>
        <w:tc>
          <w:tcPr>
            <w:tcW w:w="2759" w:type="dxa"/>
            <w:shd w:val="clear" w:color="auto" w:fill="D0CECE" w:themeFill="background2" w:themeFillShade="E6"/>
          </w:tcPr>
          <w:p w14:paraId="4E50DDC7" w14:textId="5C70544E" w:rsidR="001F674E" w:rsidRPr="00A469B7" w:rsidRDefault="001F674E"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753" w:type="dxa"/>
            <w:shd w:val="clear" w:color="auto" w:fill="D0CECE" w:themeFill="background2" w:themeFillShade="E6"/>
          </w:tcPr>
          <w:p w14:paraId="0F590C70" w14:textId="5C5F2E2B" w:rsidR="001F674E" w:rsidRPr="00A469B7" w:rsidRDefault="001F674E"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1F674E" w:rsidRPr="00A469B7" w14:paraId="1A584603" w14:textId="77777777" w:rsidTr="00A71AB3">
        <w:tc>
          <w:tcPr>
            <w:tcW w:w="2784" w:type="dxa"/>
          </w:tcPr>
          <w:p w14:paraId="1218401D" w14:textId="4513B835" w:rsidR="001F674E" w:rsidRDefault="001F674E" w:rsidP="001F674E">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w:t>
            </w:r>
            <w:r w:rsidRPr="00A469B7">
              <w:rPr>
                <w:rFonts w:ascii="Arial Narrow" w:eastAsia="Times New Roman" w:hAnsi="Arial Narrow" w:cs="Arial"/>
                <w:b/>
                <w:sz w:val="20"/>
                <w:szCs w:val="20"/>
              </w:rPr>
              <w:t xml:space="preserve"> </w:t>
            </w:r>
            <w:r>
              <w:rPr>
                <w:rFonts w:ascii="Arial Narrow" w:eastAsia="Times New Roman" w:hAnsi="Arial Narrow" w:cs="Arial"/>
                <w:b/>
                <w:sz w:val="20"/>
                <w:szCs w:val="20"/>
              </w:rPr>
              <w:t>p</w:t>
            </w:r>
            <w:r w:rsidRPr="00A469B7">
              <w:rPr>
                <w:rFonts w:ascii="Arial Narrow" w:eastAsia="Times New Roman" w:hAnsi="Arial Narrow" w:cs="Arial"/>
                <w:b/>
                <w:sz w:val="20"/>
                <w:szCs w:val="20"/>
              </w:rPr>
              <w:t>ositive</w:t>
            </w:r>
          </w:p>
        </w:tc>
        <w:tc>
          <w:tcPr>
            <w:tcW w:w="2759" w:type="dxa"/>
          </w:tcPr>
          <w:p w14:paraId="47604C29" w14:textId="1F376791"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34</w:t>
            </w:r>
          </w:p>
        </w:tc>
        <w:tc>
          <w:tcPr>
            <w:tcW w:w="2753" w:type="dxa"/>
          </w:tcPr>
          <w:p w14:paraId="5456A081" w14:textId="2B8CDE40"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r>
      <w:tr w:rsidR="001F674E" w:rsidRPr="00A469B7" w14:paraId="6E5DD32A" w14:textId="77777777" w:rsidTr="00A71AB3">
        <w:tc>
          <w:tcPr>
            <w:tcW w:w="2784" w:type="dxa"/>
          </w:tcPr>
          <w:p w14:paraId="39B564D9" w14:textId="1DB16343" w:rsidR="001F674E" w:rsidRDefault="001F674E" w:rsidP="001F674E">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n</w:t>
            </w:r>
            <w:r w:rsidRPr="00A469B7">
              <w:rPr>
                <w:rFonts w:ascii="Arial Narrow" w:eastAsia="Times New Roman" w:hAnsi="Arial Narrow" w:cs="Arial"/>
                <w:b/>
                <w:sz w:val="20"/>
                <w:szCs w:val="20"/>
              </w:rPr>
              <w:t>egative</w:t>
            </w:r>
          </w:p>
        </w:tc>
        <w:tc>
          <w:tcPr>
            <w:tcW w:w="2759" w:type="dxa"/>
          </w:tcPr>
          <w:p w14:paraId="7EEAB07F" w14:textId="1589F810"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15</w:t>
            </w:r>
          </w:p>
        </w:tc>
        <w:tc>
          <w:tcPr>
            <w:tcW w:w="2753" w:type="dxa"/>
          </w:tcPr>
          <w:p w14:paraId="0C81E5E9" w14:textId="68FE3F26"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17</w:t>
            </w:r>
          </w:p>
        </w:tc>
      </w:tr>
      <w:tr w:rsidR="001F674E" w:rsidRPr="00A469B7" w14:paraId="365B35CC" w14:textId="77777777" w:rsidTr="00A71AB3">
        <w:tc>
          <w:tcPr>
            <w:tcW w:w="2784" w:type="dxa"/>
          </w:tcPr>
          <w:p w14:paraId="3A8D4DEF" w14:textId="7CC97DA0" w:rsidR="001F674E" w:rsidRDefault="001F674E" w:rsidP="001F674E">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Sensitivity [95% CI]</w:t>
            </w:r>
          </w:p>
        </w:tc>
        <w:tc>
          <w:tcPr>
            <w:tcW w:w="2759" w:type="dxa"/>
          </w:tcPr>
          <w:p w14:paraId="59F395A7" w14:textId="58E567BF"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69% [55%-82%]</w:t>
            </w:r>
          </w:p>
        </w:tc>
        <w:tc>
          <w:tcPr>
            <w:tcW w:w="2753" w:type="dxa"/>
          </w:tcPr>
          <w:p w14:paraId="70C0FA9C" w14:textId="73C9F7B4"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1F674E" w:rsidRPr="00A469B7" w14:paraId="1B3E0C30" w14:textId="77777777" w:rsidTr="00A71AB3">
        <w:tc>
          <w:tcPr>
            <w:tcW w:w="2784" w:type="dxa"/>
          </w:tcPr>
          <w:p w14:paraId="075A6773" w14:textId="2630B51F" w:rsidR="001F674E" w:rsidRDefault="001F674E" w:rsidP="001F674E">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Specificity [95% CI]</w:t>
            </w:r>
          </w:p>
        </w:tc>
        <w:tc>
          <w:tcPr>
            <w:tcW w:w="2759" w:type="dxa"/>
          </w:tcPr>
          <w:p w14:paraId="323F4E6A" w14:textId="35A11C23"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2753" w:type="dxa"/>
          </w:tcPr>
          <w:p w14:paraId="41B015B8" w14:textId="00C13533" w:rsidR="001F674E" w:rsidRPr="00A469B7" w:rsidRDefault="001F674E" w:rsidP="001F674E">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57% [37%-75%]</w:t>
            </w:r>
          </w:p>
        </w:tc>
      </w:tr>
    </w:tbl>
    <w:p w14:paraId="7646ECF5" w14:textId="02EB0B25" w:rsidR="00817B5F" w:rsidRDefault="00817B5F" w:rsidP="006A66D0">
      <w:pPr>
        <w:pStyle w:val="Tablefootnotes"/>
      </w:pPr>
      <w:r>
        <w:t xml:space="preserve">Source: </w:t>
      </w:r>
      <w:r>
        <w:fldChar w:fldCharType="begin"/>
      </w:r>
      <w:r>
        <w:instrText xml:space="preserve"> REF _Ref405969175 \h </w:instrText>
      </w:r>
      <w:r>
        <w:fldChar w:fldCharType="separate"/>
      </w:r>
      <w:r w:rsidR="00C67698">
        <w:t xml:space="preserve">Table </w:t>
      </w:r>
      <w:r w:rsidR="00C67698">
        <w:rPr>
          <w:noProof/>
        </w:rPr>
        <w:t>B.6</w:t>
      </w:r>
      <w:r w:rsidR="00C67698">
        <w:noBreakHyphen/>
      </w:r>
      <w:r w:rsidR="00C67698">
        <w:rPr>
          <w:noProof/>
        </w:rPr>
        <w:t>1</w:t>
      </w:r>
      <w:r>
        <w:fldChar w:fldCharType="end"/>
      </w:r>
      <w:r>
        <w:t xml:space="preserve"> using data </w:t>
      </w:r>
      <w:r w:rsidR="008775D6">
        <w:t xml:space="preserve">from Ito (2014; Reader 1) and Döbert </w:t>
      </w:r>
      <w:r>
        <w:t>(2005; AD only).</w:t>
      </w:r>
    </w:p>
    <w:p w14:paraId="35654FB2" w14:textId="5E75A45D" w:rsidR="00A469B7" w:rsidRPr="00A469B7" w:rsidRDefault="00A469B7" w:rsidP="006A66D0">
      <w:pPr>
        <w:pStyle w:val="Tablefootnotes"/>
      </w:pPr>
      <w:r w:rsidRPr="00A469B7">
        <w:t>Abbreviations: AD, Alzheimer’s disease; CI,</w:t>
      </w:r>
      <w:r w:rsidR="00ED6384">
        <w:t xml:space="preserve"> confidence interval; FDG, </w:t>
      </w:r>
      <w:r w:rsidRPr="00A469B7">
        <w:t>flu</w:t>
      </w:r>
      <w:r w:rsidR="008F0DD0">
        <w:t>o</w:t>
      </w:r>
      <w:r w:rsidRPr="00A469B7">
        <w:t>rodeoxyglucose;</w:t>
      </w:r>
      <w:r w:rsidR="0037366D">
        <w:t xml:space="preserve"> PET, positron emission tomography; </w:t>
      </w:r>
      <w:r w:rsidR="0037366D" w:rsidRPr="0037366D">
        <w:t>SPECT, single-photon e</w:t>
      </w:r>
      <w:r w:rsidR="0037366D">
        <w:t>mission computed tomography.</w:t>
      </w:r>
    </w:p>
    <w:p w14:paraId="7C7F9B7D" w14:textId="3F70942B" w:rsidR="00A469B7" w:rsidRPr="00A469B7" w:rsidRDefault="00A469B7" w:rsidP="006815DC">
      <w:pPr>
        <w:pStyle w:val="Caption"/>
      </w:pPr>
      <w:bookmarkStart w:id="118" w:name="_Ref408322182"/>
      <w:bookmarkStart w:id="119" w:name="_Toc406401391"/>
      <w:bookmarkStart w:id="120" w:name="_Toc408845216"/>
      <w:r w:rsidRPr="00A469B7">
        <w:t xml:space="preserve">Table </w:t>
      </w:r>
      <w:fldSimple w:instr=" STYLEREF 2 \s ">
        <w:r w:rsidR="00C67698">
          <w:rPr>
            <w:noProof/>
          </w:rPr>
          <w:t>B.6</w:t>
        </w:r>
      </w:fldSimple>
      <w:r w:rsidR="00524916">
        <w:noBreakHyphen/>
      </w:r>
      <w:fldSimple w:instr=" SEQ Table \* ARABIC \s 2 ">
        <w:r w:rsidR="00C67698">
          <w:rPr>
            <w:noProof/>
          </w:rPr>
          <w:t>3</w:t>
        </w:r>
      </w:fldSimple>
      <w:bookmarkEnd w:id="118"/>
      <w:r w:rsidRPr="00A469B7">
        <w:rPr>
          <w:noProof/>
        </w:rPr>
        <w:tab/>
      </w:r>
      <w:r w:rsidR="00583545">
        <w:rPr>
          <w:noProof/>
        </w:rPr>
        <w:t>Test</w:t>
      </w:r>
      <w:r w:rsidRPr="00A469B7">
        <w:rPr>
          <w:noProof/>
        </w:rPr>
        <w:t xml:space="preserve"> results and true disease state in patients with AD or MIX v</w:t>
      </w:r>
      <w:r w:rsidR="004C64A0">
        <w:rPr>
          <w:noProof/>
        </w:rPr>
        <w:t>ersus</w:t>
      </w:r>
      <w:r w:rsidRPr="00A469B7">
        <w:rPr>
          <w:noProof/>
        </w:rPr>
        <w:t xml:space="preserve"> other dementias</w:t>
      </w:r>
      <w:bookmarkEnd w:id="119"/>
      <w:bookmarkEnd w:id="120"/>
    </w:p>
    <w:tbl>
      <w:tblPr>
        <w:tblStyle w:val="TableGrid"/>
        <w:tblW w:w="0" w:type="auto"/>
        <w:tblInd w:w="720" w:type="dxa"/>
        <w:tblLook w:val="04A0" w:firstRow="1" w:lastRow="0" w:firstColumn="1" w:lastColumn="0" w:noHBand="0" w:noVBand="1"/>
        <w:tblCaption w:val="The test results and true disease state in patients with AD or mixed-type dementia versus other dementias"/>
        <w:tblDescription w:val="The test results in a 2 x 2 table format for FDG-PET and SPECT. In this table diagnoses of AD and mixed-type dementia from Dobert 2005 were combined, with the authors noting that the differentiation of those two conditions is of limited clinical importance. "/>
      </w:tblPr>
      <w:tblGrid>
        <w:gridCol w:w="2784"/>
        <w:gridCol w:w="2759"/>
        <w:gridCol w:w="2753"/>
      </w:tblGrid>
      <w:tr w:rsidR="00A469B7" w:rsidRPr="00A469B7" w14:paraId="3EA8D046" w14:textId="77777777" w:rsidTr="00556738">
        <w:trPr>
          <w:tblHeader/>
        </w:trPr>
        <w:tc>
          <w:tcPr>
            <w:tcW w:w="2784" w:type="dxa"/>
          </w:tcPr>
          <w:p w14:paraId="467CF808" w14:textId="77777777" w:rsidR="00A469B7" w:rsidRPr="00A469B7" w:rsidRDefault="00A469B7" w:rsidP="00A469B7">
            <w:pPr>
              <w:keepNext/>
              <w:spacing w:after="0"/>
              <w:ind w:left="0"/>
              <w:rPr>
                <w:rFonts w:ascii="Arial Narrow" w:eastAsia="Times New Roman" w:hAnsi="Arial Narrow" w:cs="Arial"/>
                <w:b/>
                <w:sz w:val="20"/>
                <w:szCs w:val="20"/>
              </w:rPr>
            </w:pPr>
          </w:p>
        </w:tc>
        <w:tc>
          <w:tcPr>
            <w:tcW w:w="2759" w:type="dxa"/>
          </w:tcPr>
          <w:p w14:paraId="43441ADB"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AD present</w:t>
            </w:r>
          </w:p>
        </w:tc>
        <w:tc>
          <w:tcPr>
            <w:tcW w:w="2753" w:type="dxa"/>
          </w:tcPr>
          <w:p w14:paraId="26C71622"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AD absent</w:t>
            </w:r>
          </w:p>
        </w:tc>
      </w:tr>
      <w:tr w:rsidR="0037366D" w:rsidRPr="00A469B7" w14:paraId="4F90FAD3" w14:textId="77777777" w:rsidTr="0037366D">
        <w:tc>
          <w:tcPr>
            <w:tcW w:w="2784" w:type="dxa"/>
            <w:shd w:val="clear" w:color="auto" w:fill="D0CECE" w:themeFill="background2" w:themeFillShade="E6"/>
          </w:tcPr>
          <w:p w14:paraId="254D480D" w14:textId="07F35655" w:rsidR="0037366D" w:rsidRPr="00A469B7" w:rsidRDefault="0037366D"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FDG-PET</w:t>
            </w:r>
          </w:p>
        </w:tc>
        <w:tc>
          <w:tcPr>
            <w:tcW w:w="2759" w:type="dxa"/>
            <w:shd w:val="clear" w:color="auto" w:fill="D0CECE" w:themeFill="background2" w:themeFillShade="E6"/>
          </w:tcPr>
          <w:p w14:paraId="20D1F16B" w14:textId="58C18BCC" w:rsidR="0037366D" w:rsidRPr="00A469B7" w:rsidRDefault="0037366D"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753" w:type="dxa"/>
            <w:shd w:val="clear" w:color="auto" w:fill="D0CECE" w:themeFill="background2" w:themeFillShade="E6"/>
          </w:tcPr>
          <w:p w14:paraId="3127666C" w14:textId="141D0254" w:rsidR="0037366D" w:rsidRPr="00A469B7" w:rsidRDefault="0037366D"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A469B7" w:rsidRPr="00A469B7" w14:paraId="6FE09A61" w14:textId="77777777" w:rsidTr="00A71AB3">
        <w:tc>
          <w:tcPr>
            <w:tcW w:w="2784" w:type="dxa"/>
          </w:tcPr>
          <w:p w14:paraId="6D4AD090" w14:textId="5F8EB111" w:rsidR="00A469B7" w:rsidRPr="00A469B7" w:rsidRDefault="0037366D"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w:t>
            </w:r>
            <w:r w:rsidR="0042682F">
              <w:rPr>
                <w:rFonts w:ascii="Arial Narrow" w:eastAsia="Times New Roman" w:hAnsi="Arial Narrow" w:cs="Arial"/>
                <w:b/>
                <w:sz w:val="20"/>
                <w:szCs w:val="20"/>
              </w:rPr>
              <w:t xml:space="preserve"> p</w:t>
            </w:r>
            <w:r w:rsidR="00A469B7" w:rsidRPr="00A469B7">
              <w:rPr>
                <w:rFonts w:ascii="Arial Narrow" w:eastAsia="Times New Roman" w:hAnsi="Arial Narrow" w:cs="Arial"/>
                <w:b/>
                <w:sz w:val="20"/>
                <w:szCs w:val="20"/>
              </w:rPr>
              <w:t>ositive</w:t>
            </w:r>
          </w:p>
        </w:tc>
        <w:tc>
          <w:tcPr>
            <w:tcW w:w="2759" w:type="dxa"/>
          </w:tcPr>
          <w:p w14:paraId="6A301AEC"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47</w:t>
            </w:r>
          </w:p>
        </w:tc>
        <w:tc>
          <w:tcPr>
            <w:tcW w:w="2753" w:type="dxa"/>
          </w:tcPr>
          <w:p w14:paraId="5285BE41"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w:t>
            </w:r>
          </w:p>
        </w:tc>
      </w:tr>
      <w:tr w:rsidR="00A469B7" w:rsidRPr="00A469B7" w14:paraId="7D127229" w14:textId="77777777" w:rsidTr="00A71AB3">
        <w:tc>
          <w:tcPr>
            <w:tcW w:w="2784" w:type="dxa"/>
          </w:tcPr>
          <w:p w14:paraId="168F621E" w14:textId="1D0A0C2C" w:rsidR="00A469B7" w:rsidRPr="00A469B7" w:rsidRDefault="0037366D"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w:t>
            </w:r>
            <w:r w:rsidR="0042682F">
              <w:rPr>
                <w:rFonts w:ascii="Arial Narrow" w:eastAsia="Times New Roman" w:hAnsi="Arial Narrow" w:cs="Arial"/>
                <w:b/>
                <w:sz w:val="20"/>
                <w:szCs w:val="20"/>
              </w:rPr>
              <w:t xml:space="preserve"> n</w:t>
            </w:r>
            <w:r w:rsidR="00A469B7" w:rsidRPr="00A469B7">
              <w:rPr>
                <w:rFonts w:ascii="Arial Narrow" w:eastAsia="Times New Roman" w:hAnsi="Arial Narrow" w:cs="Arial"/>
                <w:b/>
                <w:sz w:val="20"/>
                <w:szCs w:val="20"/>
              </w:rPr>
              <w:t>egative</w:t>
            </w:r>
          </w:p>
        </w:tc>
        <w:tc>
          <w:tcPr>
            <w:tcW w:w="2759" w:type="dxa"/>
          </w:tcPr>
          <w:p w14:paraId="15B3DB83"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w:t>
            </w:r>
          </w:p>
        </w:tc>
        <w:tc>
          <w:tcPr>
            <w:tcW w:w="2753" w:type="dxa"/>
          </w:tcPr>
          <w:p w14:paraId="2FF8F66D"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r>
      <w:tr w:rsidR="00A469B7" w:rsidRPr="00A469B7" w14:paraId="093C709B" w14:textId="77777777" w:rsidTr="00A71AB3">
        <w:tc>
          <w:tcPr>
            <w:tcW w:w="2784" w:type="dxa"/>
          </w:tcPr>
          <w:p w14:paraId="47B2826F"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Sensitivity [95% CI]</w:t>
            </w:r>
          </w:p>
        </w:tc>
        <w:tc>
          <w:tcPr>
            <w:tcW w:w="2759" w:type="dxa"/>
          </w:tcPr>
          <w:p w14:paraId="2642B9C3"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84% [72%-92%]</w:t>
            </w:r>
          </w:p>
        </w:tc>
        <w:tc>
          <w:tcPr>
            <w:tcW w:w="2753" w:type="dxa"/>
          </w:tcPr>
          <w:p w14:paraId="68DD34B8"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A469B7" w:rsidRPr="00A469B7" w14:paraId="4C11D9A2" w14:textId="77777777" w:rsidTr="00A71AB3">
        <w:tc>
          <w:tcPr>
            <w:tcW w:w="2784" w:type="dxa"/>
          </w:tcPr>
          <w:p w14:paraId="6EB8A427"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Specificity [95% CI]</w:t>
            </w:r>
          </w:p>
        </w:tc>
        <w:tc>
          <w:tcPr>
            <w:tcW w:w="2759" w:type="dxa"/>
          </w:tcPr>
          <w:p w14:paraId="3C7E4EB3"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2753" w:type="dxa"/>
          </w:tcPr>
          <w:p w14:paraId="549DFD78"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57% [35%-77%]</w:t>
            </w:r>
          </w:p>
        </w:tc>
      </w:tr>
      <w:tr w:rsidR="0037366D" w:rsidRPr="00A469B7" w14:paraId="4FDFC1B0" w14:textId="77777777" w:rsidTr="0037366D">
        <w:tc>
          <w:tcPr>
            <w:tcW w:w="2784" w:type="dxa"/>
            <w:shd w:val="clear" w:color="auto" w:fill="D0CECE" w:themeFill="background2" w:themeFillShade="E6"/>
          </w:tcPr>
          <w:p w14:paraId="660AC1B9" w14:textId="67F4BA39" w:rsidR="0037366D" w:rsidRPr="00A469B7" w:rsidRDefault="0037366D"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SPECT</w:t>
            </w:r>
          </w:p>
        </w:tc>
        <w:tc>
          <w:tcPr>
            <w:tcW w:w="2759" w:type="dxa"/>
            <w:shd w:val="clear" w:color="auto" w:fill="D0CECE" w:themeFill="background2" w:themeFillShade="E6"/>
          </w:tcPr>
          <w:p w14:paraId="45B6B750" w14:textId="32991C3C" w:rsidR="0037366D" w:rsidRPr="00A469B7" w:rsidRDefault="0037366D"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753" w:type="dxa"/>
            <w:shd w:val="clear" w:color="auto" w:fill="D0CECE" w:themeFill="background2" w:themeFillShade="E6"/>
          </w:tcPr>
          <w:p w14:paraId="0DA3617D" w14:textId="36DD097B" w:rsidR="0037366D" w:rsidRPr="00A469B7" w:rsidRDefault="0037366D"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37366D" w:rsidRPr="00A469B7" w14:paraId="0CA5E4A7" w14:textId="77777777" w:rsidTr="00A71AB3">
        <w:tc>
          <w:tcPr>
            <w:tcW w:w="2784" w:type="dxa"/>
          </w:tcPr>
          <w:p w14:paraId="12CCC867" w14:textId="02F3D661" w:rsidR="0037366D" w:rsidRPr="00A469B7" w:rsidRDefault="00583545" w:rsidP="00583545">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p</w:t>
            </w:r>
            <w:r w:rsidR="0037366D" w:rsidRPr="00A469B7">
              <w:rPr>
                <w:rFonts w:ascii="Arial Narrow" w:eastAsia="Times New Roman" w:hAnsi="Arial Narrow" w:cs="Arial"/>
                <w:b/>
                <w:sz w:val="20"/>
                <w:szCs w:val="20"/>
              </w:rPr>
              <w:t>ositive</w:t>
            </w:r>
          </w:p>
        </w:tc>
        <w:tc>
          <w:tcPr>
            <w:tcW w:w="2759" w:type="dxa"/>
          </w:tcPr>
          <w:p w14:paraId="5530D7EE" w14:textId="299C8812"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39</w:t>
            </w:r>
          </w:p>
        </w:tc>
        <w:tc>
          <w:tcPr>
            <w:tcW w:w="2753" w:type="dxa"/>
          </w:tcPr>
          <w:p w14:paraId="4DD8AE5C" w14:textId="751CEDC8"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r>
      <w:tr w:rsidR="0037366D" w:rsidRPr="00A469B7" w14:paraId="7F655936" w14:textId="77777777" w:rsidTr="00A71AB3">
        <w:tc>
          <w:tcPr>
            <w:tcW w:w="2784" w:type="dxa"/>
          </w:tcPr>
          <w:p w14:paraId="2F84837C" w14:textId="004EE5AF" w:rsidR="0037366D" w:rsidRPr="00A469B7" w:rsidRDefault="00583545" w:rsidP="0037366D">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n</w:t>
            </w:r>
            <w:r w:rsidR="0037366D" w:rsidRPr="00A469B7">
              <w:rPr>
                <w:rFonts w:ascii="Arial Narrow" w:eastAsia="Times New Roman" w:hAnsi="Arial Narrow" w:cs="Arial"/>
                <w:b/>
                <w:sz w:val="20"/>
                <w:szCs w:val="20"/>
              </w:rPr>
              <w:t>egative</w:t>
            </w:r>
          </w:p>
        </w:tc>
        <w:tc>
          <w:tcPr>
            <w:tcW w:w="2759" w:type="dxa"/>
          </w:tcPr>
          <w:p w14:paraId="09B505D1" w14:textId="7B26A3CD"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17</w:t>
            </w:r>
          </w:p>
        </w:tc>
        <w:tc>
          <w:tcPr>
            <w:tcW w:w="2753" w:type="dxa"/>
          </w:tcPr>
          <w:p w14:paraId="00ACC745" w14:textId="1466F778"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w:t>
            </w:r>
          </w:p>
        </w:tc>
      </w:tr>
      <w:tr w:rsidR="0037366D" w:rsidRPr="00A469B7" w14:paraId="55B469DA" w14:textId="77777777" w:rsidTr="00A71AB3">
        <w:tc>
          <w:tcPr>
            <w:tcW w:w="2784" w:type="dxa"/>
          </w:tcPr>
          <w:p w14:paraId="6FC8482E" w14:textId="4D308425" w:rsidR="0037366D" w:rsidRPr="00A469B7" w:rsidRDefault="0037366D" w:rsidP="0037366D">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Sensitivity [95% CI]</w:t>
            </w:r>
          </w:p>
        </w:tc>
        <w:tc>
          <w:tcPr>
            <w:tcW w:w="2759" w:type="dxa"/>
          </w:tcPr>
          <w:p w14:paraId="7186026C" w14:textId="594A5934"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70% [56%-81%]</w:t>
            </w:r>
          </w:p>
        </w:tc>
        <w:tc>
          <w:tcPr>
            <w:tcW w:w="2753" w:type="dxa"/>
          </w:tcPr>
          <w:p w14:paraId="3D17D0DC" w14:textId="144D10F6"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37366D" w:rsidRPr="00A469B7" w14:paraId="53045319" w14:textId="77777777" w:rsidTr="00A71AB3">
        <w:tc>
          <w:tcPr>
            <w:tcW w:w="2784" w:type="dxa"/>
          </w:tcPr>
          <w:p w14:paraId="59A86FBF" w14:textId="6B906483" w:rsidR="0037366D" w:rsidRPr="00A469B7" w:rsidRDefault="0037366D" w:rsidP="0037366D">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Specificity [95% CI]</w:t>
            </w:r>
          </w:p>
        </w:tc>
        <w:tc>
          <w:tcPr>
            <w:tcW w:w="2759" w:type="dxa"/>
          </w:tcPr>
          <w:p w14:paraId="2DD3E46E" w14:textId="1D6CE9CE"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2753" w:type="dxa"/>
          </w:tcPr>
          <w:p w14:paraId="34EF14F9" w14:textId="7652532F" w:rsidR="0037366D" w:rsidRPr="00A469B7" w:rsidRDefault="0037366D" w:rsidP="0037366D">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43% [23%-65%]</w:t>
            </w:r>
          </w:p>
        </w:tc>
      </w:tr>
    </w:tbl>
    <w:p w14:paraId="3939B33E" w14:textId="21CFC70E" w:rsidR="001F674E" w:rsidRDefault="0037366D" w:rsidP="006A66D0">
      <w:pPr>
        <w:pStyle w:val="Tablefootnotes"/>
      </w:pPr>
      <w:r>
        <w:t xml:space="preserve">Source: </w:t>
      </w:r>
      <w:r>
        <w:fldChar w:fldCharType="begin"/>
      </w:r>
      <w:r>
        <w:instrText xml:space="preserve"> REF _Ref405969175 \h </w:instrText>
      </w:r>
      <w:r>
        <w:fldChar w:fldCharType="separate"/>
      </w:r>
      <w:r w:rsidR="00C67698">
        <w:t xml:space="preserve">Table </w:t>
      </w:r>
      <w:r w:rsidR="00C67698">
        <w:rPr>
          <w:noProof/>
        </w:rPr>
        <w:t>B.6</w:t>
      </w:r>
      <w:r w:rsidR="00C67698">
        <w:noBreakHyphen/>
      </w:r>
      <w:r w:rsidR="00C67698">
        <w:rPr>
          <w:noProof/>
        </w:rPr>
        <w:t>1</w:t>
      </w:r>
      <w:r>
        <w:fldChar w:fldCharType="end"/>
      </w:r>
      <w:r w:rsidR="00C53E8F">
        <w:t xml:space="preserve"> using data from Ito</w:t>
      </w:r>
      <w:r w:rsidR="00817B5F">
        <w:t xml:space="preserve"> (</w:t>
      </w:r>
      <w:r>
        <w:t>2014</w:t>
      </w:r>
      <w:r w:rsidR="00817B5F">
        <w:t>; Reader 1</w:t>
      </w:r>
      <w:r>
        <w:t>) and</w:t>
      </w:r>
      <w:r w:rsidR="00817B5F">
        <w:t xml:space="preserve"> Döbert (</w:t>
      </w:r>
      <w:r>
        <w:t>2005</w:t>
      </w:r>
      <w:r w:rsidR="00817B5F">
        <w:t>; AD/MIX combined</w:t>
      </w:r>
      <w:r>
        <w:t>).</w:t>
      </w:r>
      <w:r w:rsidR="001F674E">
        <w:t xml:space="preserve"> </w:t>
      </w:r>
    </w:p>
    <w:p w14:paraId="63D6EB0D" w14:textId="4F020AF8" w:rsidR="00A469B7" w:rsidRPr="00A469B7" w:rsidRDefault="00A469B7" w:rsidP="006A66D0">
      <w:pPr>
        <w:pStyle w:val="Tablefootnotes"/>
      </w:pPr>
      <w:r w:rsidRPr="00A469B7">
        <w:t>Abbreviations: AD, Alzheimer’s disease; CI, confidenc</w:t>
      </w:r>
      <w:r w:rsidR="00ED6384">
        <w:t xml:space="preserve">e interval; FDG, </w:t>
      </w:r>
      <w:r w:rsidRPr="00A469B7">
        <w:t>flu</w:t>
      </w:r>
      <w:r w:rsidR="008F0DD0">
        <w:t>o</w:t>
      </w:r>
      <w:r w:rsidRPr="00A469B7">
        <w:t>rodeoxyglucose; MIX, mixed-type dementia; PE</w:t>
      </w:r>
      <w:r w:rsidR="00583545">
        <w:t xml:space="preserve">T, positron emission tomography; </w:t>
      </w:r>
      <w:r w:rsidR="00583545" w:rsidRPr="00583545">
        <w:t>SPECT, single-photon e</w:t>
      </w:r>
      <w:r w:rsidR="00583545">
        <w:t xml:space="preserve">mission computed tomography. </w:t>
      </w:r>
    </w:p>
    <w:p w14:paraId="361386BF" w14:textId="26107D5F" w:rsidR="00A469B7" w:rsidRPr="00A469B7" w:rsidRDefault="00A469B7" w:rsidP="00A469B7">
      <w:pPr>
        <w:tabs>
          <w:tab w:val="left" w:pos="2051"/>
        </w:tabs>
      </w:pPr>
      <w:r w:rsidRPr="00A469B7">
        <w:t xml:space="preserve">The results shown in the 2 x 2 tables above represent the findings of only two of the eight included </w:t>
      </w:r>
      <w:r w:rsidRPr="00EF09C1">
        <w:t xml:space="preserve">studies that compared FDG-PET with SPECT. All additional results and conclusions are presented in </w:t>
      </w:r>
      <w:r w:rsidRPr="00EF09C1">
        <w:fldChar w:fldCharType="begin"/>
      </w:r>
      <w:r w:rsidRPr="00EF09C1">
        <w:instrText xml:space="preserve"> REF _Ref406364481 \h </w:instrText>
      </w:r>
      <w:r w:rsidR="00EF09C1">
        <w:instrText xml:space="preserve"> \* MERGEFORMAT </w:instrText>
      </w:r>
      <w:r w:rsidRPr="00EF09C1">
        <w:fldChar w:fldCharType="separate"/>
      </w:r>
      <w:r w:rsidR="00C67698" w:rsidRPr="00A469B7">
        <w:t xml:space="preserve">Table </w:t>
      </w:r>
      <w:r w:rsidR="00C67698">
        <w:t>B.6</w:t>
      </w:r>
      <w:r w:rsidR="00C67698">
        <w:noBreakHyphen/>
        <w:t>4</w:t>
      </w:r>
      <w:r w:rsidRPr="00EF09C1">
        <w:fldChar w:fldCharType="end"/>
      </w:r>
      <w:r w:rsidRPr="00EF09C1">
        <w:t>.</w:t>
      </w:r>
      <w:r w:rsidRPr="00A469B7">
        <w:t xml:space="preserve"> </w:t>
      </w:r>
    </w:p>
    <w:p w14:paraId="26252B6C" w14:textId="77777777" w:rsidR="00A469B7" w:rsidRPr="00A469B7" w:rsidRDefault="00A469B7" w:rsidP="00A469B7">
      <w:pPr>
        <w:tabs>
          <w:tab w:val="left" w:pos="2051"/>
        </w:tabs>
      </w:pPr>
      <w:r w:rsidRPr="00A469B7">
        <w:t>In general, the studies reported relatively good overall accuracy results for both diagnostic tests, but found a greater magnitude of hypometabolism with FDG-PET than hypoperfusion with SPECT. Furthermore, FDG-PET was thought to be a superior test in terms of identifying mild forms of AD.</w:t>
      </w:r>
    </w:p>
    <w:p w14:paraId="7AFFA67F" w14:textId="77777777" w:rsidR="00A469B7" w:rsidRPr="00A469B7" w:rsidRDefault="00A469B7" w:rsidP="00A469B7">
      <w:pPr>
        <w:tabs>
          <w:tab w:val="left" w:pos="2051"/>
        </w:tabs>
        <w:sectPr w:rsidR="00A469B7" w:rsidRPr="00A469B7" w:rsidSect="00A71AB3">
          <w:footerReference w:type="default" r:id="rId19"/>
          <w:pgSz w:w="11906" w:h="16838" w:code="9"/>
          <w:pgMar w:top="1440" w:right="1440" w:bottom="1440" w:left="1440" w:header="680" w:footer="1021" w:gutter="0"/>
          <w:cols w:space="708"/>
          <w:docGrid w:linePitch="360"/>
        </w:sectPr>
      </w:pPr>
      <w:r w:rsidRPr="00A469B7">
        <w:t>As a result of the many different approaches of reporting diagnostic accuracy and the various types of SPECT used, it is difficult to compare the results across multiple studies.</w:t>
      </w:r>
    </w:p>
    <w:p w14:paraId="3CA3554A" w14:textId="61A65ED5" w:rsidR="00A469B7" w:rsidRPr="00A469B7" w:rsidRDefault="00A469B7" w:rsidP="006815DC">
      <w:pPr>
        <w:pStyle w:val="Caption"/>
      </w:pPr>
      <w:bookmarkStart w:id="121" w:name="_Ref406364481"/>
      <w:bookmarkStart w:id="122" w:name="_Toc406401393"/>
      <w:bookmarkStart w:id="123" w:name="_Toc408845217"/>
      <w:r w:rsidRPr="00A469B7">
        <w:lastRenderedPageBreak/>
        <w:t xml:space="preserve">Table </w:t>
      </w:r>
      <w:fldSimple w:instr=" STYLEREF 2 \s ">
        <w:r w:rsidR="00C67698">
          <w:rPr>
            <w:noProof/>
          </w:rPr>
          <w:t>B.6</w:t>
        </w:r>
      </w:fldSimple>
      <w:r w:rsidR="00524916">
        <w:noBreakHyphen/>
      </w:r>
      <w:fldSimple w:instr=" SEQ Table \* ARABIC \s 2 ">
        <w:r w:rsidR="00C67698">
          <w:rPr>
            <w:noProof/>
          </w:rPr>
          <w:t>4</w:t>
        </w:r>
      </w:fldSimple>
      <w:bookmarkEnd w:id="121"/>
      <w:r w:rsidRPr="00A469B7">
        <w:rPr>
          <w:noProof/>
        </w:rPr>
        <w:tab/>
        <w:t xml:space="preserve">Results and conclusions presented in studies with </w:t>
      </w:r>
      <w:r w:rsidR="00986085">
        <w:rPr>
          <w:noProof/>
        </w:rPr>
        <w:t>direct</w:t>
      </w:r>
      <w:r w:rsidR="00986085" w:rsidRPr="00A469B7">
        <w:rPr>
          <w:noProof/>
        </w:rPr>
        <w:t xml:space="preserve"> </w:t>
      </w:r>
      <w:r w:rsidRPr="00A469B7">
        <w:rPr>
          <w:noProof/>
        </w:rPr>
        <w:t>evidence of the diagnostic accuracy of FDG-PET and SPECT</w:t>
      </w:r>
      <w:bookmarkEnd w:id="122"/>
      <w:bookmarkEnd w:id="123"/>
    </w:p>
    <w:tbl>
      <w:tblPr>
        <w:tblStyle w:val="TableGrid1"/>
        <w:tblW w:w="0" w:type="auto"/>
        <w:tblInd w:w="720" w:type="dxa"/>
        <w:shd w:val="clear" w:color="auto" w:fill="ACB9CA" w:themeFill="text2" w:themeFillTint="66"/>
        <w:tblLayout w:type="fixed"/>
        <w:tblLook w:val="04A0" w:firstRow="1" w:lastRow="0" w:firstColumn="1" w:lastColumn="0" w:noHBand="0" w:noVBand="1"/>
        <w:tblCaption w:val="Results and conclusions of comparative evidence"/>
        <w:tblDescription w:val="The results and conclusions presented in studies with comparative evidence of the diagnostic accuracy of FDG-PET and SPECT"/>
      </w:tblPr>
      <w:tblGrid>
        <w:gridCol w:w="1373"/>
        <w:gridCol w:w="6520"/>
        <w:gridCol w:w="5561"/>
      </w:tblGrid>
      <w:tr w:rsidR="00A469B7" w:rsidRPr="00A469B7" w14:paraId="1E4B55C4" w14:textId="77777777" w:rsidTr="003D1597">
        <w:trPr>
          <w:tblHeader/>
        </w:trPr>
        <w:tc>
          <w:tcPr>
            <w:tcW w:w="1373" w:type="dxa"/>
            <w:shd w:val="clear" w:color="auto" w:fill="FFFFFF" w:themeFill="background1"/>
          </w:tcPr>
          <w:p w14:paraId="610BDB29" w14:textId="77777777" w:rsidR="00A469B7" w:rsidRPr="00A469B7" w:rsidRDefault="00A469B7" w:rsidP="00A469B7">
            <w:pPr>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Study ID</w:t>
            </w:r>
          </w:p>
        </w:tc>
        <w:tc>
          <w:tcPr>
            <w:tcW w:w="6520" w:type="dxa"/>
            <w:shd w:val="clear" w:color="auto" w:fill="FFFFFF" w:themeFill="background1"/>
          </w:tcPr>
          <w:p w14:paraId="1EE3A796" w14:textId="77777777" w:rsidR="00A469B7" w:rsidRPr="00A469B7" w:rsidRDefault="00A469B7" w:rsidP="00A469B7">
            <w:pPr>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Results</w:t>
            </w:r>
          </w:p>
        </w:tc>
        <w:tc>
          <w:tcPr>
            <w:tcW w:w="5561" w:type="dxa"/>
            <w:shd w:val="clear" w:color="auto" w:fill="FFFFFF" w:themeFill="background1"/>
          </w:tcPr>
          <w:p w14:paraId="1EA0EA5B" w14:textId="77777777" w:rsidR="00A469B7" w:rsidRPr="00A469B7" w:rsidRDefault="00A469B7" w:rsidP="00A469B7">
            <w:pPr>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Conclusions</w:t>
            </w:r>
          </w:p>
        </w:tc>
      </w:tr>
      <w:tr w:rsidR="00A469B7" w:rsidRPr="00A469B7" w14:paraId="2486888B" w14:textId="77777777" w:rsidTr="003D1597">
        <w:tc>
          <w:tcPr>
            <w:tcW w:w="1373" w:type="dxa"/>
            <w:shd w:val="clear" w:color="auto" w:fill="FFFFFF" w:themeFill="background1"/>
          </w:tcPr>
          <w:p w14:paraId="4B25F63A"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Ito (2014)</w:t>
            </w:r>
          </w:p>
        </w:tc>
        <w:tc>
          <w:tcPr>
            <w:tcW w:w="6520" w:type="dxa"/>
            <w:shd w:val="clear" w:color="auto" w:fill="FFFFFF" w:themeFill="background1"/>
          </w:tcPr>
          <w:p w14:paraId="0A63E77D"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Results were presented separately for each of the three readers (an expert with &gt;20 years’ experience as a neurological nuclear medicine physician; a nuclear medicine physician trainee; and a neuroradiologist with 10 years’ experience, mainly in MRI).</w:t>
            </w:r>
          </w:p>
          <w:p w14:paraId="35B466C6"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b/>
                <w:sz w:val="20"/>
                <w:szCs w:val="24"/>
              </w:rPr>
            </w:pPr>
            <w:r w:rsidRPr="00A469B7">
              <w:rPr>
                <w:rFonts w:ascii="Arial Narrow" w:eastAsia="Times New Roman" w:hAnsi="Arial Narrow" w:cs="Times New Roman"/>
                <w:sz w:val="20"/>
                <w:szCs w:val="24"/>
              </w:rPr>
              <w:t>FDG-PET sensitivity ranged from 75%-82% between the three readers; ECD-SPECT sensitivity ranged from 82%-88%.</w:t>
            </w:r>
          </w:p>
          <w:p w14:paraId="64D794E4" w14:textId="77777777" w:rsidR="00A469B7" w:rsidRPr="00A33416" w:rsidRDefault="00A469B7" w:rsidP="003140D6">
            <w:pPr>
              <w:numPr>
                <w:ilvl w:val="0"/>
                <w:numId w:val="21"/>
              </w:numPr>
              <w:spacing w:after="0"/>
              <w:ind w:left="176" w:hanging="176"/>
              <w:contextualSpacing/>
              <w:rPr>
                <w:rFonts w:ascii="Arial Narrow" w:eastAsia="Times New Roman" w:hAnsi="Arial Narrow" w:cs="Times New Roman"/>
                <w:b/>
                <w:sz w:val="20"/>
                <w:szCs w:val="24"/>
              </w:rPr>
            </w:pPr>
            <w:r w:rsidRPr="00A469B7">
              <w:rPr>
                <w:rFonts w:ascii="Arial Narrow" w:eastAsia="Times New Roman" w:hAnsi="Arial Narrow" w:cs="Times New Roman"/>
                <w:sz w:val="20"/>
                <w:szCs w:val="24"/>
              </w:rPr>
              <w:t>FDG-PET specificity ranged from 20%-40%; ECD-SPECT specificity ranged from 13%-33%.</w:t>
            </w:r>
          </w:p>
          <w:p w14:paraId="3D77DC4D" w14:textId="70EDEF31" w:rsidR="00A469B7" w:rsidRPr="00A33416" w:rsidRDefault="00A33416" w:rsidP="00A33416">
            <w:pPr>
              <w:numPr>
                <w:ilvl w:val="0"/>
                <w:numId w:val="21"/>
              </w:numPr>
              <w:spacing w:after="0"/>
              <w:ind w:left="176" w:hanging="176"/>
              <w:contextualSpacing/>
              <w:rPr>
                <w:rFonts w:ascii="Arial Narrow" w:eastAsia="Times New Roman" w:hAnsi="Arial Narrow" w:cs="Times New Roman"/>
                <w:b/>
                <w:sz w:val="20"/>
                <w:szCs w:val="24"/>
              </w:rPr>
            </w:pPr>
            <w:r w:rsidRPr="00A469B7">
              <w:rPr>
                <w:rFonts w:ascii="Arial Narrow" w:eastAsia="Times New Roman" w:hAnsi="Arial Narrow" w:cs="Times New Roman"/>
                <w:sz w:val="20"/>
                <w:szCs w:val="24"/>
              </w:rPr>
              <w:t>Among the three readers (expert, trainee, neuroradiologist), no marked differences were observed with regard to diagnostic ability, although the experienced reader demonstrated slightly better specificity.</w:t>
            </w:r>
          </w:p>
        </w:tc>
        <w:tc>
          <w:tcPr>
            <w:tcW w:w="5561" w:type="dxa"/>
            <w:shd w:val="clear" w:color="auto" w:fill="FFFFFF" w:themeFill="background1"/>
          </w:tcPr>
          <w:p w14:paraId="3A4B37E9"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diagnostic abilities of FDG-PET and SPECT for “AD and MCI” when diagnosed according to the National Institute of Aging-Alzheimer’s Association Workshop criteria, were nearly identical.</w:t>
            </w:r>
          </w:p>
          <w:p w14:paraId="72ACB97D"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“Non-AD” patients tended to be difficult to diagnose with FDG-PET and ECD-SPECT.</w:t>
            </w:r>
          </w:p>
          <w:p w14:paraId="3C585A21" w14:textId="7B4CF03D" w:rsidR="00A469B7" w:rsidRPr="00A33416" w:rsidRDefault="00A469B7" w:rsidP="00A3341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Both tests had relatively good sensitivity and accuracy, although the specificity and negative predictive value did not yield sufficient diagnostic ability.</w:t>
            </w:r>
          </w:p>
        </w:tc>
      </w:tr>
      <w:tr w:rsidR="00A469B7" w:rsidRPr="00A469B7" w14:paraId="013351EE" w14:textId="77777777" w:rsidTr="003D1597">
        <w:tc>
          <w:tcPr>
            <w:tcW w:w="1373" w:type="dxa"/>
            <w:shd w:val="clear" w:color="auto" w:fill="FFFFFF" w:themeFill="background1"/>
          </w:tcPr>
          <w:p w14:paraId="58310D31"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Nihashi (2007)</w:t>
            </w:r>
          </w:p>
        </w:tc>
        <w:tc>
          <w:tcPr>
            <w:tcW w:w="6520" w:type="dxa"/>
            <w:shd w:val="clear" w:color="auto" w:fill="FFFFFF" w:themeFill="background1"/>
          </w:tcPr>
          <w:p w14:paraId="6CD402B0"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 results showed a sensitivity of detecting AD of 86% and specificity of 97%.</w:t>
            </w:r>
          </w:p>
          <w:p w14:paraId="1C781DBD"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IMP-SPECT showed a sensitivity of 70% and specificity of 100%.</w:t>
            </w:r>
          </w:p>
        </w:tc>
        <w:tc>
          <w:tcPr>
            <w:tcW w:w="5561" w:type="dxa"/>
            <w:shd w:val="clear" w:color="auto" w:fill="FFFFFF" w:themeFill="background1"/>
          </w:tcPr>
          <w:p w14:paraId="4719A29E"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 was superior in evaluating the posterior cingulate and precunei regions, but FDG-PET and IMP-SPECT show no significant difference in diagnosing AD with 3D-SSP.</w:t>
            </w:r>
          </w:p>
          <w:p w14:paraId="3D8061C3"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poorly matched control groups impair ability to accurately compare the diagnostic differences between the two groups.</w:t>
            </w:r>
          </w:p>
        </w:tc>
      </w:tr>
      <w:tr w:rsidR="00A469B7" w:rsidRPr="00A469B7" w14:paraId="65CD00F1" w14:textId="77777777" w:rsidTr="003D1597">
        <w:tc>
          <w:tcPr>
            <w:tcW w:w="1373" w:type="dxa"/>
            <w:shd w:val="clear" w:color="auto" w:fill="FFFFFF" w:themeFill="background1"/>
          </w:tcPr>
          <w:p w14:paraId="28DAD401"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Döbert (2005)</w:t>
            </w:r>
          </w:p>
        </w:tc>
        <w:tc>
          <w:tcPr>
            <w:tcW w:w="6520" w:type="dxa"/>
            <w:shd w:val="clear" w:color="auto" w:fill="FFFFFF" w:themeFill="background1"/>
          </w:tcPr>
          <w:p w14:paraId="6E03FB36"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 showed higher accuracy in identifying the type of dementia, detecting AD with sensitivity of 44.4% and specificity of 83.3% as compared with SPECT with sensitivity of 11.1% and specificity of 78.9%</w:t>
            </w:r>
            <w:r w:rsidRPr="00A469B7">
              <w:rPr>
                <w:rFonts w:ascii="Arial Narrow" w:eastAsia="Times New Roman" w:hAnsi="Arial Narrow" w:cs="Times New Roman"/>
                <w:sz w:val="20"/>
                <w:szCs w:val="24"/>
                <w:vertAlign w:val="superscript"/>
              </w:rPr>
              <w:t>a</w:t>
            </w:r>
            <w:r w:rsidRPr="00A469B7">
              <w:rPr>
                <w:rFonts w:ascii="Arial Narrow" w:eastAsia="Times New Roman" w:hAnsi="Arial Narrow" w:cs="Times New Roman"/>
                <w:sz w:val="20"/>
                <w:szCs w:val="24"/>
              </w:rPr>
              <w:t>.</w:t>
            </w:r>
          </w:p>
          <w:p w14:paraId="29C92B96"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clinical differential diagnosis of MIX from AD is difficult and of limited diagnostic reliability and validity. Thus, when AD and MIX groups were combined, these two types of dementia were diagnosed with a sensitivity and specificity of 92% and 89% by FDG-PET and of 64% and 84%</w:t>
            </w:r>
            <w:r w:rsidRPr="00A469B7">
              <w:rPr>
                <w:rFonts w:ascii="Arial Narrow" w:eastAsia="Times New Roman" w:hAnsi="Arial Narrow" w:cs="Times New Roman"/>
                <w:sz w:val="20"/>
                <w:szCs w:val="24"/>
                <w:vertAlign w:val="superscript"/>
              </w:rPr>
              <w:t>a</w:t>
            </w:r>
            <w:r w:rsidRPr="00A469B7">
              <w:rPr>
                <w:rFonts w:ascii="Arial Narrow" w:eastAsia="Times New Roman" w:hAnsi="Arial Narrow" w:cs="Times New Roman"/>
                <w:sz w:val="20"/>
                <w:szCs w:val="24"/>
              </w:rPr>
              <w:t xml:space="preserve"> by SPECT.</w:t>
            </w:r>
          </w:p>
        </w:tc>
        <w:tc>
          <w:tcPr>
            <w:tcW w:w="5561" w:type="dxa"/>
            <w:shd w:val="clear" w:color="auto" w:fill="FFFFFF" w:themeFill="background1"/>
          </w:tcPr>
          <w:p w14:paraId="2599D703" w14:textId="5604E7ED"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PET is significantly superior in identifying dementia sub</w:t>
            </w:r>
            <w:r w:rsidR="00EB2552">
              <w:rPr>
                <w:rFonts w:ascii="Arial Narrow" w:eastAsia="Times New Roman" w:hAnsi="Arial Narrow" w:cs="Times New Roman"/>
                <w:sz w:val="20"/>
                <w:szCs w:val="24"/>
              </w:rPr>
              <w:t>-types</w:t>
            </w:r>
            <w:r w:rsidRPr="00A469B7">
              <w:rPr>
                <w:rFonts w:ascii="Arial Narrow" w:eastAsia="Times New Roman" w:hAnsi="Arial Narrow" w:cs="Times New Roman"/>
                <w:sz w:val="20"/>
                <w:szCs w:val="24"/>
              </w:rPr>
              <w:t>, although the results are based on very small numbers.</w:t>
            </w:r>
          </w:p>
          <w:p w14:paraId="19DA4670"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In early stages of AD, the diagnostic value of SPECT is associated with low sensitivity</w:t>
            </w:r>
            <w:r w:rsidRPr="00A469B7">
              <w:rPr>
                <w:rFonts w:ascii="Arial Narrow" w:eastAsia="Times New Roman" w:hAnsi="Arial Narrow" w:cs="Times New Roman"/>
                <w:color w:val="FF0000"/>
                <w:sz w:val="20"/>
                <w:szCs w:val="24"/>
              </w:rPr>
              <w:t>.</w:t>
            </w:r>
          </w:p>
        </w:tc>
      </w:tr>
      <w:tr w:rsidR="00A469B7" w:rsidRPr="00A469B7" w14:paraId="7127B9DE" w14:textId="77777777" w:rsidTr="003D1597">
        <w:tc>
          <w:tcPr>
            <w:tcW w:w="1373" w:type="dxa"/>
            <w:shd w:val="clear" w:color="auto" w:fill="FFFFFF" w:themeFill="background1"/>
          </w:tcPr>
          <w:p w14:paraId="04A9F79E"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Herholz (2002)</w:t>
            </w:r>
          </w:p>
        </w:tc>
        <w:tc>
          <w:tcPr>
            <w:tcW w:w="6520" w:type="dxa"/>
            <w:shd w:val="clear" w:color="auto" w:fill="FFFFFF" w:themeFill="background1"/>
          </w:tcPr>
          <w:p w14:paraId="078D289E" w14:textId="0010819B"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Tracer uptake reduction was more pronounced with PET</w:t>
            </w:r>
            <w:r w:rsidR="00C618D4">
              <w:rPr>
                <w:rFonts w:ascii="Arial Narrow" w:eastAsia="Times New Roman" w:hAnsi="Arial Narrow" w:cs="Times New Roman"/>
                <w:sz w:val="20"/>
                <w:szCs w:val="24"/>
              </w:rPr>
              <w:t>.</w:t>
            </w:r>
          </w:p>
          <w:p w14:paraId="4D5BDC10" w14:textId="3DF72180"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Correspondence between PET and SPECT was closest in areas known to be affected in most AD patients: the temporolateral, parietal, and posterior cingulate cortices.</w:t>
            </w:r>
          </w:p>
          <w:p w14:paraId="58162129" w14:textId="1448D8CD"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Both PET and SPECT were able to separate all controls from AD cases when looking at abnormal voxels</w:t>
            </w:r>
            <w:r w:rsidR="00C618D4">
              <w:rPr>
                <w:rFonts w:ascii="Arial Narrow" w:eastAsia="Times New Roman" w:hAnsi="Arial Narrow" w:cs="Times New Roman"/>
                <w:sz w:val="20"/>
                <w:szCs w:val="24"/>
              </w:rPr>
              <w:t>.</w:t>
            </w:r>
          </w:p>
          <w:p w14:paraId="64030972"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 xml:space="preserve">PET voxels in the volume of best correspondence was greater in all patients than in healthy volunteers for </w:t>
            </w:r>
            <w:r w:rsidRPr="00A469B7">
              <w:rPr>
                <w:rFonts w:ascii="Arial Narrow" w:eastAsia="Times New Roman" w:hAnsi="Arial Narrow" w:cs="Times New Roman"/>
                <w:i/>
                <w:sz w:val="20"/>
                <w:szCs w:val="24"/>
              </w:rPr>
              <w:t>z</w:t>
            </w:r>
            <w:r w:rsidRPr="00A469B7">
              <w:rPr>
                <w:rFonts w:ascii="Arial Narrow" w:eastAsia="Times New Roman" w:hAnsi="Arial Narrow" w:cs="Times New Roman"/>
                <w:sz w:val="20"/>
                <w:szCs w:val="24"/>
              </w:rPr>
              <w:t xml:space="preserve"> thresholds ranging from -3.5 to -1.5. Thus, complete separation was achieved for this range of thresholds.</w:t>
            </w:r>
          </w:p>
          <w:p w14:paraId="638E354D"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 xml:space="preserve">Complete separation was achieved by counts of abnormal SPECT voxels in the whole brain, but only at a more narrow range of </w:t>
            </w:r>
            <w:r w:rsidRPr="00A469B7">
              <w:rPr>
                <w:rFonts w:ascii="Arial Narrow" w:eastAsia="Times New Roman" w:hAnsi="Arial Narrow" w:cs="Times New Roman"/>
                <w:i/>
                <w:sz w:val="20"/>
                <w:szCs w:val="24"/>
              </w:rPr>
              <w:t>z</w:t>
            </w:r>
            <w:r w:rsidRPr="00A469B7">
              <w:rPr>
                <w:rFonts w:ascii="Arial Narrow" w:eastAsia="Times New Roman" w:hAnsi="Arial Narrow" w:cs="Times New Roman"/>
                <w:sz w:val="20"/>
                <w:szCs w:val="24"/>
              </w:rPr>
              <w:t xml:space="preserve"> thresholds, from -3.0 to -2.75.</w:t>
            </w:r>
          </w:p>
          <w:p w14:paraId="619FB179"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By visual inspection, most scans showed a reasonable correspondence between PET and SPECT, but in some cases distinct discordance of findings was apparent.</w:t>
            </w:r>
          </w:p>
        </w:tc>
        <w:tc>
          <w:tcPr>
            <w:tcW w:w="5561" w:type="dxa"/>
            <w:shd w:val="clear" w:color="auto" w:fill="FFFFFF" w:themeFill="background1"/>
          </w:tcPr>
          <w:p w14:paraId="46685B61" w14:textId="4CCD0530"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 and HMPAO-SPECT provide comparable results for the main finding of tem</w:t>
            </w:r>
            <w:r w:rsidR="00411C2F">
              <w:rPr>
                <w:rFonts w:ascii="Arial Narrow" w:eastAsia="Times New Roman" w:hAnsi="Arial Narrow" w:cs="Times New Roman"/>
                <w:sz w:val="20"/>
                <w:szCs w:val="24"/>
              </w:rPr>
              <w:t>p</w:t>
            </w:r>
            <w:r w:rsidRPr="00A469B7">
              <w:rPr>
                <w:rFonts w:ascii="Arial Narrow" w:eastAsia="Times New Roman" w:hAnsi="Arial Narrow" w:cs="Times New Roman"/>
                <w:sz w:val="20"/>
                <w:szCs w:val="24"/>
              </w:rPr>
              <w:t>oroparietal and posterior cingulate functional impairment in mild and moderate AD.</w:t>
            </w:r>
          </w:p>
          <w:p w14:paraId="2C866BB6" w14:textId="521B2566"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 xml:space="preserve">The distinction between healthy volunteers and patients is less sensitive to </w:t>
            </w:r>
            <w:r w:rsidRPr="00A469B7">
              <w:rPr>
                <w:rFonts w:ascii="Arial Narrow" w:eastAsia="Times New Roman" w:hAnsi="Arial Narrow" w:cs="Times New Roman"/>
                <w:i/>
                <w:sz w:val="20"/>
                <w:szCs w:val="24"/>
              </w:rPr>
              <w:t>z</w:t>
            </w:r>
            <w:r w:rsidRPr="00A469B7">
              <w:rPr>
                <w:rFonts w:ascii="Arial Narrow" w:eastAsia="Times New Roman" w:hAnsi="Arial Narrow" w:cs="Times New Roman"/>
                <w:sz w:val="20"/>
                <w:szCs w:val="24"/>
              </w:rPr>
              <w:t xml:space="preserve"> threshold selection with PET than with SPECT, and findings in the frontal, temporobasal, and temporomesial corticies and in the cerebellum may differ between the two techniques. </w:t>
            </w:r>
          </w:p>
          <w:p w14:paraId="3BDEE5EE"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sample of healthy volunteers in this study was too small to provide an estimate of the diagnostic accuracy (sensitivity and specificity) of the two diagnostic tests.</w:t>
            </w:r>
          </w:p>
        </w:tc>
      </w:tr>
      <w:tr w:rsidR="00A469B7" w:rsidRPr="00A469B7" w14:paraId="09C746F1" w14:textId="77777777" w:rsidTr="003D1597">
        <w:tc>
          <w:tcPr>
            <w:tcW w:w="1373" w:type="dxa"/>
            <w:shd w:val="clear" w:color="auto" w:fill="FFFFFF" w:themeFill="background1"/>
          </w:tcPr>
          <w:p w14:paraId="1C1274C2" w14:textId="77777777" w:rsidR="00A469B7" w:rsidRPr="00A469B7" w:rsidRDefault="00A469B7" w:rsidP="003D159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lastRenderedPageBreak/>
              <w:t>Ishii (1999)</w:t>
            </w:r>
          </w:p>
        </w:tc>
        <w:tc>
          <w:tcPr>
            <w:tcW w:w="6520" w:type="dxa"/>
            <w:shd w:val="clear" w:color="auto" w:fill="FFFFFF" w:themeFill="background1"/>
          </w:tcPr>
          <w:p w14:paraId="0B15FABD" w14:textId="41FCDCDC" w:rsidR="00A469B7" w:rsidRPr="00A469B7" w:rsidRDefault="002C0CB7" w:rsidP="003D1597">
            <w:pPr>
              <w:keepNext/>
              <w:numPr>
                <w:ilvl w:val="0"/>
                <w:numId w:val="21"/>
              </w:numPr>
              <w:spacing w:after="0"/>
              <w:ind w:left="176" w:hanging="176"/>
              <w:contextualSpacing/>
              <w:rPr>
                <w:rFonts w:ascii="Arial Narrow" w:eastAsia="Times New Roman" w:hAnsi="Arial Narrow" w:cs="Times New Roman"/>
                <w:sz w:val="20"/>
                <w:szCs w:val="24"/>
              </w:rPr>
            </w:pPr>
            <w:r>
              <w:rPr>
                <w:rFonts w:ascii="Arial Narrow" w:eastAsia="Times New Roman" w:hAnsi="Arial Narrow" w:cs="Times New Roman"/>
                <w:sz w:val="20"/>
                <w:szCs w:val="24"/>
              </w:rPr>
              <w:t>Temporo</w:t>
            </w:r>
            <w:r w:rsidR="00A469B7" w:rsidRPr="00A469B7">
              <w:rPr>
                <w:rFonts w:ascii="Arial Narrow" w:eastAsia="Times New Roman" w:hAnsi="Arial Narrow" w:cs="Times New Roman"/>
                <w:sz w:val="20"/>
                <w:szCs w:val="24"/>
              </w:rPr>
              <w:t>parietal changes were seen in 8/10 SPECT scans and 9/10 PET scans.</w:t>
            </w:r>
          </w:p>
          <w:p w14:paraId="6540EA57" w14:textId="77777777" w:rsidR="00A469B7" w:rsidRPr="00A469B7" w:rsidRDefault="00A469B7" w:rsidP="003D1597">
            <w:pPr>
              <w:keepNext/>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contrast between radiotracer uptake in the sensorimotor area and that in the parietotemporal region was not as great in the ECD images as it was in the FDG images.</w:t>
            </w:r>
          </w:p>
        </w:tc>
        <w:tc>
          <w:tcPr>
            <w:tcW w:w="5561" w:type="dxa"/>
            <w:shd w:val="clear" w:color="auto" w:fill="FFFFFF" w:themeFill="background1"/>
          </w:tcPr>
          <w:p w14:paraId="066B08F7" w14:textId="77777777" w:rsidR="00A469B7" w:rsidRPr="00A469B7" w:rsidRDefault="00A469B7" w:rsidP="003D1597">
            <w:pPr>
              <w:keepNext/>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Good accuracy with both techniques.</w:t>
            </w:r>
          </w:p>
          <w:p w14:paraId="53439AC9" w14:textId="77777777" w:rsidR="00A469B7" w:rsidRPr="00A469B7" w:rsidRDefault="00A469B7" w:rsidP="003D1597">
            <w:pPr>
              <w:keepNext/>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Although ECD-SPECT is inferior to FDG-PET in spatial resolution and quantification, in routine clinical examinations, ECD-SPECT is good enough to detect parietotemporal reduction in patients with AD.</w:t>
            </w:r>
          </w:p>
          <w:p w14:paraId="6395ED8E" w14:textId="77777777" w:rsidR="00A469B7" w:rsidRPr="00A469B7" w:rsidRDefault="00A469B7" w:rsidP="003D1597">
            <w:pPr>
              <w:keepNext/>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study authors concluded that overall SPECT was superior because of convenience of clinical use.</w:t>
            </w:r>
          </w:p>
        </w:tc>
      </w:tr>
      <w:tr w:rsidR="00A469B7" w:rsidRPr="00A469B7" w14:paraId="15216337" w14:textId="77777777" w:rsidTr="003D1597">
        <w:tc>
          <w:tcPr>
            <w:tcW w:w="1373" w:type="dxa"/>
            <w:shd w:val="clear" w:color="auto" w:fill="FFFFFF" w:themeFill="background1"/>
          </w:tcPr>
          <w:p w14:paraId="3CF943AC"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Messa (1994)</w:t>
            </w:r>
          </w:p>
        </w:tc>
        <w:tc>
          <w:tcPr>
            <w:tcW w:w="6520" w:type="dxa"/>
            <w:shd w:val="clear" w:color="auto" w:fill="FFFFFF" w:themeFill="background1"/>
          </w:tcPr>
          <w:p w14:paraId="41A5F932" w14:textId="4C07ACC3" w:rsidR="00A469B7" w:rsidRPr="00A469B7" w:rsidRDefault="00411C2F" w:rsidP="003140D6">
            <w:pPr>
              <w:numPr>
                <w:ilvl w:val="0"/>
                <w:numId w:val="21"/>
              </w:numPr>
              <w:spacing w:after="0"/>
              <w:ind w:left="176" w:hanging="176"/>
              <w:contextualSpacing/>
              <w:rPr>
                <w:rFonts w:ascii="Arial Narrow" w:eastAsia="Times New Roman" w:hAnsi="Arial Narrow" w:cs="Times New Roman"/>
                <w:sz w:val="20"/>
                <w:szCs w:val="24"/>
              </w:rPr>
            </w:pPr>
            <w:r>
              <w:rPr>
                <w:rFonts w:ascii="Arial Narrow" w:eastAsia="Times New Roman" w:hAnsi="Arial Narrow" w:cs="Times New Roman"/>
                <w:sz w:val="20"/>
                <w:szCs w:val="24"/>
              </w:rPr>
              <w:t>Temporo</w:t>
            </w:r>
            <w:r w:rsidR="00A469B7" w:rsidRPr="00A469B7">
              <w:rPr>
                <w:rFonts w:ascii="Arial Narrow" w:eastAsia="Times New Roman" w:hAnsi="Arial Narrow" w:cs="Times New Roman"/>
                <w:sz w:val="20"/>
                <w:szCs w:val="24"/>
              </w:rPr>
              <w:t>parietal changes typical of AD (i.e. abnormal metabolism/perfusion)</w:t>
            </w:r>
            <w:r w:rsidR="00A469B7" w:rsidRPr="00A469B7">
              <w:rPr>
                <w:rFonts w:ascii="Arial Narrow" w:eastAsia="Times New Roman" w:hAnsi="Arial Narrow" w:cs="Times New Roman"/>
                <w:sz w:val="20"/>
                <w:szCs w:val="24"/>
                <w:vertAlign w:val="superscript"/>
              </w:rPr>
              <w:t>b</w:t>
            </w:r>
            <w:r w:rsidR="00A469B7" w:rsidRPr="00A469B7">
              <w:rPr>
                <w:rFonts w:ascii="Arial Narrow" w:eastAsia="Times New Roman" w:hAnsi="Arial Narrow" w:cs="Times New Roman"/>
                <w:sz w:val="20"/>
                <w:szCs w:val="24"/>
              </w:rPr>
              <w:t xml:space="preserve"> were seen in all 21 AD subjects using PET and 19 out of 21 (90%) subjects using SPECT.</w:t>
            </w:r>
          </w:p>
          <w:p w14:paraId="1755D998"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difference between probable AD patients and controls in the frontal cortex was only statistically significant on PET (p&lt;0.0001).</w:t>
            </w:r>
          </w:p>
          <w:p w14:paraId="53895B4F"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Both PET and SPECT showed significant differences between controls and dementia subjects.</w:t>
            </w:r>
          </w:p>
        </w:tc>
        <w:tc>
          <w:tcPr>
            <w:tcW w:w="5561" w:type="dxa"/>
            <w:shd w:val="clear" w:color="auto" w:fill="FFFFFF" w:themeFill="background1"/>
          </w:tcPr>
          <w:p w14:paraId="5780BD4A" w14:textId="6A1A43FD"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study authors concluded that although both imaging techniques could detect characteristic tempor</w:t>
            </w:r>
            <w:r w:rsidR="00411C2F">
              <w:rPr>
                <w:rFonts w:ascii="Arial Narrow" w:eastAsia="Times New Roman" w:hAnsi="Arial Narrow" w:cs="Times New Roman"/>
                <w:sz w:val="20"/>
                <w:szCs w:val="24"/>
              </w:rPr>
              <w:t>o</w:t>
            </w:r>
            <w:r w:rsidRPr="00A469B7">
              <w:rPr>
                <w:rFonts w:ascii="Arial Narrow" w:eastAsia="Times New Roman" w:hAnsi="Arial Narrow" w:cs="Times New Roman"/>
                <w:sz w:val="20"/>
                <w:szCs w:val="24"/>
              </w:rPr>
              <w:t>parietal changes with high accuracy in AD, PET was superior for detecting changes in other associated areas.</w:t>
            </w:r>
          </w:p>
          <w:p w14:paraId="45096981" w14:textId="52B8CBA1" w:rsidR="00A469B7" w:rsidRPr="00411C2F" w:rsidRDefault="00A469B7" w:rsidP="00411C2F">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Davison et al (2014) stated that it is unclear whether this is of clinical benefit in improving diagnostic accuracy.</w:t>
            </w:r>
          </w:p>
        </w:tc>
      </w:tr>
      <w:tr w:rsidR="00A469B7" w:rsidRPr="00A469B7" w14:paraId="39592AF0" w14:textId="77777777" w:rsidTr="003D1597">
        <w:tc>
          <w:tcPr>
            <w:tcW w:w="1373" w:type="dxa"/>
            <w:shd w:val="clear" w:color="auto" w:fill="FFFFFF" w:themeFill="background1"/>
          </w:tcPr>
          <w:p w14:paraId="3CE802C2"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Mielke (1994)</w:t>
            </w:r>
          </w:p>
        </w:tc>
        <w:tc>
          <w:tcPr>
            <w:tcW w:w="6520" w:type="dxa"/>
            <w:shd w:val="clear" w:color="auto" w:fill="FFFFFF" w:themeFill="background1"/>
          </w:tcPr>
          <w:p w14:paraId="2BBE94C9"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ROC curves demonstrated the differences in the diagnostic sensitivity and specificity between the metabolic and perfusion ratio.</w:t>
            </w:r>
          </w:p>
          <w:p w14:paraId="495EA15C"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For discrimination between AD patients and controls there was a marginally significant advantage for PET over SPECT (p=0.05). FDG-PET reached 80% sensitivity at 100% specificity; SPECT reached 80% sensitivity at only 65% specificity.</w:t>
            </w:r>
          </w:p>
          <w:p w14:paraId="4E61250E" w14:textId="30DB45E9"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false</w:t>
            </w:r>
            <w:r w:rsidR="000E05F2">
              <w:rPr>
                <w:rFonts w:ascii="Arial Narrow" w:eastAsia="Times New Roman" w:hAnsi="Arial Narrow" w:cs="Times New Roman"/>
                <w:sz w:val="20"/>
                <w:szCs w:val="24"/>
              </w:rPr>
              <w:t xml:space="preserve"> </w:t>
            </w:r>
            <w:r w:rsidRPr="00A469B7">
              <w:rPr>
                <w:rFonts w:ascii="Arial Narrow" w:eastAsia="Times New Roman" w:hAnsi="Arial Narrow" w:cs="Times New Roman"/>
                <w:sz w:val="20"/>
                <w:szCs w:val="24"/>
              </w:rPr>
              <w:t>negatives in PET were all mildly demented, whereas in SPECT they were scattered over the whole range of dementia severity.</w:t>
            </w:r>
          </w:p>
          <w:p w14:paraId="7FD773BB"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 xml:space="preserve">For discrimination between AD and VD, FDG-PET was superior to SPECT (p=0.0001). </w:t>
            </w:r>
          </w:p>
        </w:tc>
        <w:tc>
          <w:tcPr>
            <w:tcW w:w="5561" w:type="dxa"/>
            <w:shd w:val="clear" w:color="auto" w:fill="FFFFFF" w:themeFill="background1"/>
          </w:tcPr>
          <w:p w14:paraId="077FD17C" w14:textId="3A3C68E4"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 xml:space="preserve">SPECT and PET are both able </w:t>
            </w:r>
            <w:r w:rsidR="00411C2F">
              <w:rPr>
                <w:rFonts w:ascii="Arial Narrow" w:eastAsia="Times New Roman" w:hAnsi="Arial Narrow" w:cs="Times New Roman"/>
                <w:sz w:val="20"/>
                <w:szCs w:val="24"/>
              </w:rPr>
              <w:t>to identify the typical temporo</w:t>
            </w:r>
            <w:r w:rsidRPr="00A469B7">
              <w:rPr>
                <w:rFonts w:ascii="Arial Narrow" w:eastAsia="Times New Roman" w:hAnsi="Arial Narrow" w:cs="Times New Roman"/>
                <w:sz w:val="20"/>
                <w:szCs w:val="24"/>
              </w:rPr>
              <w:t>parietal changes found in AD but found PET to be significantly more accurate.</w:t>
            </w:r>
          </w:p>
          <w:p w14:paraId="4D9441F6" w14:textId="3A90B511"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HMPAO</w:t>
            </w:r>
            <w:r w:rsidR="00617B67">
              <w:rPr>
                <w:rFonts w:ascii="Arial Narrow" w:eastAsia="Times New Roman" w:hAnsi="Arial Narrow" w:cs="Times New Roman"/>
                <w:sz w:val="20"/>
                <w:szCs w:val="24"/>
              </w:rPr>
              <w:t>-</w:t>
            </w:r>
            <w:r w:rsidRPr="00A469B7">
              <w:rPr>
                <w:rFonts w:ascii="Arial Narrow" w:eastAsia="Times New Roman" w:hAnsi="Arial Narrow" w:cs="Times New Roman"/>
                <w:sz w:val="20"/>
                <w:szCs w:val="24"/>
              </w:rPr>
              <w:t>SPECT was only marginally inferior to FDG-PET for differentiation of AD patients from normal, since the typical temporo</w:t>
            </w:r>
            <w:r w:rsidR="00EB2552">
              <w:rPr>
                <w:rFonts w:ascii="Arial Narrow" w:eastAsia="Times New Roman" w:hAnsi="Arial Narrow" w:cs="Times New Roman"/>
                <w:sz w:val="20"/>
                <w:szCs w:val="24"/>
              </w:rPr>
              <w:t>parietal</w:t>
            </w:r>
            <w:r w:rsidRPr="00A469B7">
              <w:rPr>
                <w:rFonts w:ascii="Arial Narrow" w:eastAsia="Times New Roman" w:hAnsi="Arial Narrow" w:cs="Times New Roman"/>
                <w:sz w:val="20"/>
                <w:szCs w:val="24"/>
              </w:rPr>
              <w:t xml:space="preserve"> functional impairment was detected with both methods. However, for differentiation between AD and VD, FDG-PET was clearly superior. </w:t>
            </w:r>
          </w:p>
          <w:p w14:paraId="4BB351E2"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The study authors hypothesise that FDG-PET might be more sensitive for imaging small functional pathological changes.</w:t>
            </w:r>
          </w:p>
        </w:tc>
      </w:tr>
      <w:tr w:rsidR="00A469B7" w:rsidRPr="00A469B7" w14:paraId="170C9E07" w14:textId="77777777" w:rsidTr="003D1597">
        <w:tc>
          <w:tcPr>
            <w:tcW w:w="1373" w:type="dxa"/>
            <w:shd w:val="clear" w:color="auto" w:fill="FFFFFF" w:themeFill="background1"/>
          </w:tcPr>
          <w:p w14:paraId="2CD0F8E1"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Kuwabara (1990)</w:t>
            </w:r>
          </w:p>
        </w:tc>
        <w:tc>
          <w:tcPr>
            <w:tcW w:w="6520" w:type="dxa"/>
            <w:shd w:val="clear" w:color="auto" w:fill="FFFFFF" w:themeFill="background1"/>
          </w:tcPr>
          <w:p w14:paraId="67E89259"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Decreased bilateral hypoperfusion or metabolism was evident in parietal regions in 9/9 AD subjects using FDG-PET; 7/9 with IMP-SPECT; and 4/5 with HMPAO-SPECT.</w:t>
            </w:r>
          </w:p>
          <w:p w14:paraId="60434C87" w14:textId="77777777" w:rsidR="00A469B7" w:rsidRPr="00A469B7" w:rsidRDefault="00A469B7" w:rsidP="00A469B7">
            <w:pPr>
              <w:spacing w:after="0"/>
              <w:ind w:left="0"/>
              <w:contextualSpacing/>
              <w:rPr>
                <w:rFonts w:ascii="Arial Narrow" w:eastAsia="Times New Roman" w:hAnsi="Arial Narrow" w:cs="Times New Roman"/>
                <w:sz w:val="20"/>
                <w:szCs w:val="24"/>
              </w:rPr>
            </w:pPr>
          </w:p>
        </w:tc>
        <w:tc>
          <w:tcPr>
            <w:tcW w:w="5561" w:type="dxa"/>
            <w:shd w:val="clear" w:color="auto" w:fill="FFFFFF" w:themeFill="background1"/>
          </w:tcPr>
          <w:p w14:paraId="10DBBBF9" w14:textId="49B1DA82"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 was superior in identifying more mildly affected areas of change for both AD and Pick’s disease; however, both SPECT tracers were able to effectively identify the more significant parietal and frontal changes</w:t>
            </w:r>
            <w:r w:rsidR="00C618D4">
              <w:rPr>
                <w:rFonts w:ascii="Arial Narrow" w:eastAsia="Times New Roman" w:hAnsi="Arial Narrow" w:cs="Times New Roman"/>
                <w:sz w:val="20"/>
                <w:szCs w:val="24"/>
              </w:rPr>
              <w:t>.</w:t>
            </w:r>
          </w:p>
          <w:p w14:paraId="58C70CA2" w14:textId="77777777"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 showed the highest degree of detection of abnormal regions, and IMP and HMPAO-SPECT could not detect mildly affected areas efficiently (e.g. the frontal regions in AD).</w:t>
            </w:r>
          </w:p>
          <w:p w14:paraId="673C8023" w14:textId="471890E6" w:rsidR="00A469B7" w:rsidRPr="00A469B7" w:rsidRDefault="00A469B7" w:rsidP="003140D6">
            <w:pPr>
              <w:numPr>
                <w:ilvl w:val="0"/>
                <w:numId w:val="21"/>
              </w:numPr>
              <w:spacing w:after="0"/>
              <w:ind w:left="176" w:hanging="176"/>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Cannot draw conclusions on the differing ability of SPECT and PET to separate cases from controls due to different control selection criteria</w:t>
            </w:r>
            <w:r w:rsidRPr="00A469B7">
              <w:rPr>
                <w:rFonts w:ascii="Arial Narrow" w:eastAsia="Times New Roman" w:hAnsi="Arial Narrow" w:cs="Times New Roman"/>
                <w:sz w:val="20"/>
                <w:szCs w:val="24"/>
                <w:vertAlign w:val="superscript"/>
              </w:rPr>
              <w:t>c</w:t>
            </w:r>
            <w:r w:rsidR="00C618D4" w:rsidRPr="00C618D4">
              <w:rPr>
                <w:rFonts w:ascii="Arial Narrow" w:eastAsia="Times New Roman" w:hAnsi="Arial Narrow" w:cs="Times New Roman"/>
                <w:sz w:val="20"/>
                <w:szCs w:val="24"/>
              </w:rPr>
              <w:t>.</w:t>
            </w:r>
          </w:p>
        </w:tc>
      </w:tr>
    </w:tbl>
    <w:p w14:paraId="2DF0BC33" w14:textId="77B663E3" w:rsidR="00106E8B" w:rsidRPr="00106E8B" w:rsidRDefault="00106E8B" w:rsidP="00A33416">
      <w:pPr>
        <w:spacing w:after="0"/>
        <w:rPr>
          <w:rFonts w:ascii="Arial Narrow" w:hAnsi="Arial Narrow" w:cs="Times New Roman"/>
          <w:sz w:val="18"/>
          <w:szCs w:val="18"/>
        </w:rPr>
      </w:pPr>
      <w:r w:rsidRPr="0094443C">
        <w:rPr>
          <w:rFonts w:ascii="Arial Narrow" w:hAnsi="Arial Narrow" w:cs="Times New Roman"/>
          <w:sz w:val="18"/>
          <w:szCs w:val="18"/>
        </w:rPr>
        <w:t xml:space="preserve">Abbreviations: AD, Alzheimer’s disease; ECD, </w:t>
      </w:r>
      <w:r w:rsidR="004537DF" w:rsidRPr="004537DF">
        <w:rPr>
          <w:rFonts w:ascii="Arial Narrow" w:hAnsi="Arial Narrow" w:cs="Times New Roman"/>
          <w:sz w:val="18"/>
          <w:szCs w:val="18"/>
        </w:rPr>
        <w:t>ethyl cysteinate dimer</w:t>
      </w:r>
      <w:r w:rsidRPr="0094443C">
        <w:rPr>
          <w:rFonts w:ascii="Arial Narrow" w:hAnsi="Arial Narrow" w:cs="Times New Roman"/>
          <w:sz w:val="18"/>
          <w:szCs w:val="18"/>
        </w:rPr>
        <w:t>; FDG, flu</w:t>
      </w:r>
      <w:r w:rsidR="008F0DD0">
        <w:rPr>
          <w:rFonts w:ascii="Arial Narrow" w:hAnsi="Arial Narrow" w:cs="Times New Roman"/>
          <w:sz w:val="18"/>
          <w:szCs w:val="18"/>
        </w:rPr>
        <w:t>o</w:t>
      </w:r>
      <w:r w:rsidRPr="0094443C">
        <w:rPr>
          <w:rFonts w:ascii="Arial Narrow" w:hAnsi="Arial Narrow" w:cs="Times New Roman"/>
          <w:sz w:val="18"/>
          <w:szCs w:val="18"/>
        </w:rPr>
        <w:t>rodeoxyglucose; HMPAO, hexamethylpropylene amine oxime; IMP, iodoamphetamine; MCI, mild cognitive impairment; PET, positron emission tomography; SPECT, single-photon emission computed tomography; VD, vascular dementia; 3D-SSP, three-dimensional stereotactic surface projections.</w:t>
      </w:r>
    </w:p>
    <w:p w14:paraId="5A1727D1" w14:textId="4690E97F" w:rsidR="00A469B7" w:rsidRPr="00A469B7" w:rsidRDefault="00A469B7" w:rsidP="00A469B7">
      <w:pPr>
        <w:spacing w:after="0"/>
        <w:rPr>
          <w:rFonts w:ascii="Arial Narrow" w:hAnsi="Arial Narrow"/>
          <w:sz w:val="16"/>
          <w:szCs w:val="16"/>
        </w:rPr>
      </w:pPr>
      <w:r w:rsidRPr="00A469B7">
        <w:rPr>
          <w:rFonts w:ascii="Arial Narrow" w:hAnsi="Arial Narrow" w:cs="Times New Roman"/>
          <w:sz w:val="18"/>
          <w:szCs w:val="18"/>
          <w:vertAlign w:val="superscript"/>
        </w:rPr>
        <w:t>a</w:t>
      </w:r>
      <w:r w:rsidRPr="00A469B7">
        <w:rPr>
          <w:rFonts w:ascii="Arial Narrow" w:hAnsi="Arial Narrow" w:cs="Times New Roman"/>
          <w:sz w:val="18"/>
          <w:szCs w:val="18"/>
        </w:rPr>
        <w:t xml:space="preserve"> Sensitivity and specificity as reported in Döbert (2005), Table 1 (p.65). Slightly different specificity values were calculated using information in Table 4 (p.67), as</w:t>
      </w:r>
      <w:r w:rsidRPr="00A469B7">
        <w:rPr>
          <w:rFonts w:ascii="Arial Narrow" w:hAnsi="Arial Narrow"/>
          <w:sz w:val="16"/>
          <w:szCs w:val="16"/>
        </w:rPr>
        <w:t xml:space="preserve"> shown in </w:t>
      </w:r>
      <w:r w:rsidRPr="00A469B7">
        <w:rPr>
          <w:rFonts w:ascii="Arial Narrow" w:hAnsi="Arial Narrow"/>
          <w:sz w:val="16"/>
          <w:szCs w:val="16"/>
        </w:rPr>
        <w:fldChar w:fldCharType="begin"/>
      </w:r>
      <w:r w:rsidRPr="00A469B7">
        <w:rPr>
          <w:rFonts w:ascii="Arial Narrow" w:hAnsi="Arial Narrow"/>
          <w:sz w:val="16"/>
          <w:szCs w:val="16"/>
        </w:rPr>
        <w:instrText xml:space="preserve"> REF _Ref405969175 \h  \* MERGEFORMAT </w:instrText>
      </w:r>
      <w:r w:rsidRPr="00A469B7">
        <w:rPr>
          <w:rFonts w:ascii="Arial Narrow" w:hAnsi="Arial Narrow"/>
          <w:sz w:val="16"/>
          <w:szCs w:val="16"/>
        </w:rPr>
      </w:r>
      <w:r w:rsidRPr="00A469B7">
        <w:rPr>
          <w:rFonts w:ascii="Arial Narrow" w:hAnsi="Arial Narrow"/>
          <w:sz w:val="16"/>
          <w:szCs w:val="16"/>
        </w:rPr>
        <w:fldChar w:fldCharType="separate"/>
      </w:r>
      <w:r w:rsidR="00C67698" w:rsidRPr="00C67698">
        <w:rPr>
          <w:rFonts w:ascii="Arial Narrow" w:hAnsi="Arial Narrow"/>
          <w:sz w:val="16"/>
          <w:szCs w:val="16"/>
        </w:rPr>
        <w:t>Table B.6</w:t>
      </w:r>
      <w:r w:rsidR="00C67698" w:rsidRPr="00C67698">
        <w:rPr>
          <w:rFonts w:ascii="Arial Narrow" w:hAnsi="Arial Narrow"/>
          <w:sz w:val="16"/>
          <w:szCs w:val="16"/>
        </w:rPr>
        <w:noBreakHyphen/>
        <w:t>1</w:t>
      </w:r>
      <w:r w:rsidRPr="00A469B7">
        <w:rPr>
          <w:rFonts w:ascii="Arial Narrow" w:hAnsi="Arial Narrow"/>
          <w:sz w:val="16"/>
          <w:szCs w:val="16"/>
        </w:rPr>
        <w:fldChar w:fldCharType="end"/>
      </w:r>
      <w:r w:rsidRPr="00A469B7">
        <w:rPr>
          <w:rFonts w:ascii="Arial Narrow" w:hAnsi="Arial Narrow"/>
          <w:sz w:val="16"/>
          <w:szCs w:val="16"/>
        </w:rPr>
        <w:t>.</w:t>
      </w:r>
    </w:p>
    <w:p w14:paraId="455F5C62" w14:textId="77777777" w:rsidR="00A469B7" w:rsidRPr="00A469B7" w:rsidRDefault="00A469B7" w:rsidP="00A469B7">
      <w:pPr>
        <w:spacing w:after="0"/>
        <w:rPr>
          <w:rFonts w:ascii="Arial Narrow" w:hAnsi="Arial Narrow" w:cs="Times New Roman"/>
          <w:sz w:val="18"/>
          <w:szCs w:val="18"/>
        </w:rPr>
      </w:pPr>
      <w:r w:rsidRPr="00A469B7">
        <w:rPr>
          <w:rFonts w:ascii="Arial Narrow" w:hAnsi="Arial Narrow"/>
          <w:sz w:val="16"/>
          <w:szCs w:val="16"/>
          <w:vertAlign w:val="superscript"/>
        </w:rPr>
        <w:t>b</w:t>
      </w:r>
      <w:r w:rsidRPr="00A469B7">
        <w:rPr>
          <w:rFonts w:ascii="Arial Narrow" w:hAnsi="Arial Narrow"/>
          <w:sz w:val="16"/>
          <w:szCs w:val="16"/>
        </w:rPr>
        <w:t xml:space="preserve"> Metabolism or perfusion were considered abnormal when the regional values (either of the right or left hemisphere or both) were out of the mean ± 2 standard deviations of the control group.</w:t>
      </w:r>
    </w:p>
    <w:p w14:paraId="7668052C" w14:textId="77777777" w:rsidR="00A469B7" w:rsidRPr="00A469B7" w:rsidRDefault="00A469B7" w:rsidP="00A469B7">
      <w:pPr>
        <w:spacing w:after="0"/>
        <w:sectPr w:rsidR="00A469B7" w:rsidRPr="00A469B7" w:rsidSect="00AD52D3">
          <w:footerReference w:type="default" r:id="rId20"/>
          <w:pgSz w:w="16838" w:h="11906" w:orient="landscape" w:code="9"/>
          <w:pgMar w:top="1440" w:right="1440" w:bottom="1440" w:left="1440" w:header="680" w:footer="1021" w:gutter="0"/>
          <w:cols w:space="708"/>
          <w:docGrid w:linePitch="360"/>
        </w:sectPr>
      </w:pPr>
      <w:r w:rsidRPr="00A469B7">
        <w:rPr>
          <w:rFonts w:ascii="Arial Narrow" w:hAnsi="Arial Narrow"/>
          <w:sz w:val="18"/>
          <w:szCs w:val="18"/>
          <w:vertAlign w:val="superscript"/>
        </w:rPr>
        <w:t xml:space="preserve">c </w:t>
      </w:r>
      <w:r w:rsidRPr="00A469B7">
        <w:rPr>
          <w:rFonts w:ascii="Arial Narrow" w:hAnsi="Arial Narrow" w:cs="Times New Roman"/>
          <w:sz w:val="18"/>
          <w:szCs w:val="18"/>
        </w:rPr>
        <w:t>Normal volunteers were used as controls for PET, while those with mild neurological symptoms were used as controls for SPECT.</w:t>
      </w:r>
    </w:p>
    <w:p w14:paraId="2FA2DBF8" w14:textId="4D29DA70" w:rsidR="000166DA" w:rsidRDefault="00986085" w:rsidP="000166DA">
      <w:pPr>
        <w:pStyle w:val="Heading4"/>
      </w:pPr>
      <w:r>
        <w:lastRenderedPageBreak/>
        <w:t>I</w:t>
      </w:r>
      <w:r w:rsidR="000166DA">
        <w:t>ndirect evidence</w:t>
      </w:r>
    </w:p>
    <w:p w14:paraId="55F4C35A" w14:textId="77777777" w:rsidR="00A469B7" w:rsidRPr="00A469B7" w:rsidRDefault="00A469B7" w:rsidP="00A469B7">
      <w:r w:rsidRPr="00A469B7">
        <w:t xml:space="preserve">As discussed in Section </w:t>
      </w:r>
      <w:r w:rsidRPr="00A469B7">
        <w:fldChar w:fldCharType="begin"/>
      </w:r>
      <w:r w:rsidRPr="00A469B7">
        <w:instrText xml:space="preserve"> REF _Ref404938359 \w \h </w:instrText>
      </w:r>
      <w:r w:rsidRPr="00A469B7">
        <w:fldChar w:fldCharType="separate"/>
      </w:r>
      <w:r w:rsidR="00C67698">
        <w:t>B.2.2</w:t>
      </w:r>
      <w:r w:rsidRPr="00A469B7">
        <w:fldChar w:fldCharType="end"/>
      </w:r>
      <w:r w:rsidRPr="00A469B7">
        <w:t xml:space="preserve">, the Assessment Report includes evidence from a number of studies that only assess the diagnostic accuracy of either FDG-PET </w:t>
      </w:r>
      <w:r w:rsidRPr="00A469B7">
        <w:rPr>
          <w:i/>
        </w:rPr>
        <w:t>or</w:t>
      </w:r>
      <w:r w:rsidRPr="00A469B7">
        <w:t xml:space="preserve"> SPECT. While the studies did not explicitly meet the eligibility criteria, they were included in order to supplement the limited body of comparative evidence regarding diagnostic accuracy (see Section </w:t>
      </w:r>
      <w:r w:rsidRPr="00A469B7">
        <w:fldChar w:fldCharType="begin"/>
      </w:r>
      <w:r w:rsidRPr="00A469B7">
        <w:instrText xml:space="preserve"> REF _Ref404939403 \w \h </w:instrText>
      </w:r>
      <w:r w:rsidRPr="00A469B7">
        <w:fldChar w:fldCharType="separate"/>
      </w:r>
      <w:r w:rsidR="00C67698">
        <w:t>B.2.1</w:t>
      </w:r>
      <w:r w:rsidRPr="00A469B7">
        <w:fldChar w:fldCharType="end"/>
      </w:r>
      <w:r w:rsidRPr="00A469B7">
        <w:t xml:space="preserve">). </w:t>
      </w:r>
    </w:p>
    <w:p w14:paraId="29F73029" w14:textId="405A77FE" w:rsidR="00A469B7" w:rsidRPr="00A469B7" w:rsidRDefault="00A469B7" w:rsidP="00903AED">
      <w:pPr>
        <w:spacing w:after="120"/>
      </w:pPr>
      <w:r w:rsidRPr="00A469B7">
        <w:t>Th</w:t>
      </w:r>
      <w:r w:rsidR="00986085">
        <w:t>is</w:t>
      </w:r>
      <w:r w:rsidRPr="00A469B7">
        <w:t xml:space="preserve"> indirect evidence </w:t>
      </w:r>
      <w:r w:rsidR="00C66866">
        <w:t xml:space="preserve">is </w:t>
      </w:r>
      <w:r w:rsidRPr="00A469B7">
        <w:t>categorised into three different groups according to control population(s):</w:t>
      </w:r>
    </w:p>
    <w:p w14:paraId="0AFF4DEB" w14:textId="77777777" w:rsidR="00A469B7" w:rsidRPr="003950A1" w:rsidRDefault="00A469B7" w:rsidP="00903AED">
      <w:pPr>
        <w:pStyle w:val="Numberedtext"/>
        <w:numPr>
          <w:ilvl w:val="0"/>
          <w:numId w:val="28"/>
        </w:numPr>
        <w:spacing w:after="0"/>
        <w:ind w:left="1134" w:hanging="425"/>
      </w:pPr>
      <w:r w:rsidRPr="003950A1">
        <w:t>Cognitively normal (‘normal’ or non-demented) controls;</w:t>
      </w:r>
    </w:p>
    <w:p w14:paraId="7F5CEC9C" w14:textId="77777777" w:rsidR="00A469B7" w:rsidRPr="00A469B7" w:rsidRDefault="00A469B7" w:rsidP="00903AED">
      <w:pPr>
        <w:numPr>
          <w:ilvl w:val="0"/>
          <w:numId w:val="10"/>
        </w:numPr>
        <w:spacing w:after="0"/>
        <w:ind w:left="1134" w:hanging="425"/>
        <w:jc w:val="both"/>
        <w:rPr>
          <w:rFonts w:eastAsia="Times New Roman" w:cs="Times New Roman"/>
          <w:szCs w:val="24"/>
        </w:rPr>
      </w:pPr>
      <w:r w:rsidRPr="00A469B7">
        <w:rPr>
          <w:rFonts w:eastAsia="Times New Roman" w:cs="Times New Roman"/>
          <w:szCs w:val="24"/>
        </w:rPr>
        <w:t>Demented controls excluding MCI; or</w:t>
      </w:r>
    </w:p>
    <w:p w14:paraId="2AEE1E60" w14:textId="77777777" w:rsidR="00A469B7" w:rsidRPr="00A469B7" w:rsidRDefault="00A469B7" w:rsidP="003140D6">
      <w:pPr>
        <w:numPr>
          <w:ilvl w:val="0"/>
          <w:numId w:val="10"/>
        </w:numPr>
        <w:ind w:left="1134" w:hanging="425"/>
        <w:jc w:val="both"/>
        <w:rPr>
          <w:rFonts w:eastAsia="Times New Roman" w:cs="Times New Roman"/>
          <w:szCs w:val="24"/>
        </w:rPr>
      </w:pPr>
      <w:r w:rsidRPr="00A469B7">
        <w:rPr>
          <w:rFonts w:eastAsia="Times New Roman" w:cs="Times New Roman"/>
          <w:szCs w:val="24"/>
        </w:rPr>
        <w:t>Various controls (including both cognitively normal and demented subjects).</w:t>
      </w:r>
    </w:p>
    <w:p w14:paraId="0C100C8A" w14:textId="22125F08" w:rsidR="00A469B7" w:rsidRPr="00A469B7" w:rsidRDefault="00A469B7" w:rsidP="00A469B7">
      <w:r w:rsidRPr="00A469B7">
        <w:t>As discussed in Section</w:t>
      </w:r>
      <w:r w:rsidR="00B7262D">
        <w:t xml:space="preserve"> </w:t>
      </w:r>
      <w:r w:rsidR="00B7262D">
        <w:fldChar w:fldCharType="begin"/>
      </w:r>
      <w:r w:rsidR="00B7262D">
        <w:instrText xml:space="preserve"> REF _Ref406412454 \w \h </w:instrText>
      </w:r>
      <w:r w:rsidR="00B7262D">
        <w:fldChar w:fldCharType="separate"/>
      </w:r>
      <w:r w:rsidR="00C67698">
        <w:t>B.5.1</w:t>
      </w:r>
      <w:r w:rsidR="00B7262D">
        <w:fldChar w:fldCharType="end"/>
      </w:r>
      <w:r w:rsidRPr="00A469B7">
        <w:t>, several of the primary studies reported diagnostic accuracy results that included some participants without pathological confirmation of diagnosis. The results, as reported in the publications, are presented in</w:t>
      </w:r>
      <w:r w:rsidR="00B7262D">
        <w:t xml:space="preserve"> </w:t>
      </w:r>
      <w:r w:rsidR="007F4B3D">
        <w:fldChar w:fldCharType="begin"/>
      </w:r>
      <w:r w:rsidR="007F4B3D">
        <w:instrText xml:space="preserve"> REF _Ref406416234 \w \h </w:instrText>
      </w:r>
      <w:r w:rsidR="007F4B3D">
        <w:fldChar w:fldCharType="separate"/>
      </w:r>
      <w:r w:rsidR="00C67698">
        <w:t>Appendix 3</w:t>
      </w:r>
      <w:r w:rsidR="007F4B3D">
        <w:fldChar w:fldCharType="end"/>
      </w:r>
      <w:r w:rsidRPr="00A469B7">
        <w:t>. Similar results are presented in</w:t>
      </w:r>
      <w:r w:rsidRPr="002D5558">
        <w:t xml:space="preserve"> </w:t>
      </w:r>
      <w:r w:rsidRPr="002D5558">
        <w:fldChar w:fldCharType="begin"/>
      </w:r>
      <w:r w:rsidRPr="002D5558">
        <w:instrText xml:space="preserve"> REF _Ref405888397 \h </w:instrText>
      </w:r>
      <w:r w:rsidR="002D5558">
        <w:instrText xml:space="preserve"> \* MERGEFORMAT </w:instrText>
      </w:r>
      <w:r w:rsidRPr="002D5558">
        <w:fldChar w:fldCharType="separate"/>
      </w:r>
      <w:r w:rsidR="00C67698" w:rsidRPr="00A469B7">
        <w:t xml:space="preserve">Table </w:t>
      </w:r>
      <w:r w:rsidR="00C67698">
        <w:t>B.6</w:t>
      </w:r>
      <w:r w:rsidR="00C67698">
        <w:noBreakHyphen/>
        <w:t>5</w:t>
      </w:r>
      <w:r w:rsidRPr="002D5558">
        <w:fldChar w:fldCharType="end"/>
      </w:r>
      <w:r w:rsidRPr="00A469B7">
        <w:t xml:space="preserve">, however patients without confirmation of diagnosis using autopsy or brain biopsy have been removed from the analysis. </w:t>
      </w:r>
    </w:p>
    <w:p w14:paraId="5EBDBE6E" w14:textId="77777777" w:rsidR="00A469B7" w:rsidRPr="00A469B7" w:rsidRDefault="00A469B7" w:rsidP="00A469B7">
      <w:pPr>
        <w:sectPr w:rsidR="00A469B7" w:rsidRPr="00A469B7" w:rsidSect="00F710E2">
          <w:footerReference w:type="default" r:id="rId21"/>
          <w:pgSz w:w="11906" w:h="16838" w:code="9"/>
          <w:pgMar w:top="1440" w:right="1440" w:bottom="1440" w:left="1440" w:header="680" w:footer="1021" w:gutter="0"/>
          <w:cols w:space="708"/>
          <w:docGrid w:linePitch="360"/>
        </w:sectPr>
      </w:pPr>
    </w:p>
    <w:p w14:paraId="0E352529" w14:textId="2053CB20" w:rsidR="00A469B7" w:rsidRPr="00A469B7" w:rsidRDefault="00A469B7" w:rsidP="006815DC">
      <w:pPr>
        <w:pStyle w:val="Caption"/>
      </w:pPr>
      <w:bookmarkStart w:id="124" w:name="_Ref405888397"/>
      <w:bookmarkStart w:id="125" w:name="_Toc406401394"/>
      <w:bookmarkStart w:id="126" w:name="_Toc408845218"/>
      <w:r w:rsidRPr="00A469B7">
        <w:lastRenderedPageBreak/>
        <w:t xml:space="preserve">Table </w:t>
      </w:r>
      <w:fldSimple w:instr=" STYLEREF 2 \s ">
        <w:r w:rsidR="00C67698">
          <w:rPr>
            <w:noProof/>
          </w:rPr>
          <w:t>B.6</w:t>
        </w:r>
      </w:fldSimple>
      <w:r w:rsidR="00524916">
        <w:noBreakHyphen/>
      </w:r>
      <w:fldSimple w:instr=" SEQ Table \* ARABIC \s 2 ">
        <w:r w:rsidR="00C67698">
          <w:rPr>
            <w:noProof/>
          </w:rPr>
          <w:t>5</w:t>
        </w:r>
      </w:fldSimple>
      <w:bookmarkEnd w:id="124"/>
      <w:r w:rsidRPr="00A469B7">
        <w:tab/>
        <w:t>Test results and performance characteristics of FDG-PET and SPECT in patients with autopsy confirmation only</w:t>
      </w:r>
      <w:bookmarkEnd w:id="125"/>
      <w:bookmarkEnd w:id="126"/>
    </w:p>
    <w:tbl>
      <w:tblPr>
        <w:tblStyle w:val="TableGrid"/>
        <w:tblW w:w="13167" w:type="dxa"/>
        <w:tblInd w:w="720" w:type="dxa"/>
        <w:tblCellMar>
          <w:left w:w="57" w:type="dxa"/>
          <w:right w:w="57" w:type="dxa"/>
        </w:tblCellMar>
        <w:tblLook w:val="04A0" w:firstRow="1" w:lastRow="0" w:firstColumn="1" w:lastColumn="0" w:noHBand="0" w:noVBand="1"/>
        <w:tblCaption w:val="Test results and performance characteristics of FDG-PET and SPECT"/>
        <w:tblDescription w:val="The number of true positives, false positives, false negatives, and true negatives for studies with autopsy confirmation of diagnoses that were made using FDG-PET or SPECT."/>
      </w:tblPr>
      <w:tblGrid>
        <w:gridCol w:w="2110"/>
        <w:gridCol w:w="993"/>
        <w:gridCol w:w="673"/>
        <w:gridCol w:w="673"/>
        <w:gridCol w:w="673"/>
        <w:gridCol w:w="674"/>
        <w:gridCol w:w="1842"/>
        <w:gridCol w:w="1843"/>
        <w:gridCol w:w="3686"/>
      </w:tblGrid>
      <w:tr w:rsidR="00A469B7" w:rsidRPr="00A469B7" w14:paraId="120036C7" w14:textId="77777777" w:rsidTr="00556738">
        <w:trPr>
          <w:tblHeader/>
        </w:trPr>
        <w:tc>
          <w:tcPr>
            <w:tcW w:w="2110" w:type="dxa"/>
            <w:shd w:val="clear" w:color="auto" w:fill="FFFFFF" w:themeFill="background1"/>
          </w:tcPr>
          <w:p w14:paraId="27DF41E1"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 xml:space="preserve">Study ID </w:t>
            </w:r>
          </w:p>
        </w:tc>
        <w:tc>
          <w:tcPr>
            <w:tcW w:w="993" w:type="dxa"/>
            <w:shd w:val="clear" w:color="auto" w:fill="FFFFFF" w:themeFill="background1"/>
          </w:tcPr>
          <w:p w14:paraId="3AEF201E"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Index test</w:t>
            </w:r>
          </w:p>
        </w:tc>
        <w:tc>
          <w:tcPr>
            <w:tcW w:w="673" w:type="dxa"/>
            <w:shd w:val="clear" w:color="auto" w:fill="FFFFFF" w:themeFill="background1"/>
          </w:tcPr>
          <w:p w14:paraId="02AFEE67"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TP</w:t>
            </w:r>
          </w:p>
        </w:tc>
        <w:tc>
          <w:tcPr>
            <w:tcW w:w="673" w:type="dxa"/>
            <w:shd w:val="clear" w:color="auto" w:fill="FFFFFF" w:themeFill="background1"/>
          </w:tcPr>
          <w:p w14:paraId="32598E2E"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FP</w:t>
            </w:r>
          </w:p>
        </w:tc>
        <w:tc>
          <w:tcPr>
            <w:tcW w:w="673" w:type="dxa"/>
            <w:shd w:val="clear" w:color="auto" w:fill="FFFFFF" w:themeFill="background1"/>
          </w:tcPr>
          <w:p w14:paraId="30B04D5C"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FN</w:t>
            </w:r>
          </w:p>
        </w:tc>
        <w:tc>
          <w:tcPr>
            <w:tcW w:w="674" w:type="dxa"/>
            <w:shd w:val="clear" w:color="auto" w:fill="FFFFFF" w:themeFill="background1"/>
          </w:tcPr>
          <w:p w14:paraId="76949A4F"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TN</w:t>
            </w:r>
          </w:p>
        </w:tc>
        <w:tc>
          <w:tcPr>
            <w:tcW w:w="1842" w:type="dxa"/>
            <w:shd w:val="clear" w:color="auto" w:fill="FFFFFF" w:themeFill="background1"/>
          </w:tcPr>
          <w:p w14:paraId="3DF0CB60"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Sensitivity</w:t>
            </w:r>
          </w:p>
          <w:p w14:paraId="59B6F352"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c>
          <w:tcPr>
            <w:tcW w:w="1843" w:type="dxa"/>
            <w:shd w:val="clear" w:color="auto" w:fill="FFFFFF" w:themeFill="background1"/>
          </w:tcPr>
          <w:p w14:paraId="5AA17BA3"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Specificity</w:t>
            </w:r>
          </w:p>
          <w:p w14:paraId="0010F6CF"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c>
          <w:tcPr>
            <w:tcW w:w="3686" w:type="dxa"/>
            <w:shd w:val="clear" w:color="auto" w:fill="FFFFFF" w:themeFill="background1"/>
          </w:tcPr>
          <w:p w14:paraId="25D90777"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Source</w:t>
            </w:r>
          </w:p>
        </w:tc>
      </w:tr>
      <w:tr w:rsidR="00A469B7" w:rsidRPr="00A469B7" w14:paraId="6658D794" w14:textId="77777777" w:rsidTr="00A71AB3">
        <w:tc>
          <w:tcPr>
            <w:tcW w:w="2110" w:type="dxa"/>
            <w:shd w:val="clear" w:color="auto" w:fill="D0CECE" w:themeFill="background2" w:themeFillShade="E6"/>
          </w:tcPr>
          <w:p w14:paraId="2D42298A"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Non-demented controls</w:t>
            </w:r>
          </w:p>
        </w:tc>
        <w:tc>
          <w:tcPr>
            <w:tcW w:w="993" w:type="dxa"/>
            <w:shd w:val="clear" w:color="auto" w:fill="D0CECE" w:themeFill="background2" w:themeFillShade="E6"/>
          </w:tcPr>
          <w:p w14:paraId="5E406447"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6753ED2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19BCF61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01388CF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4" w:type="dxa"/>
            <w:shd w:val="clear" w:color="auto" w:fill="D0CECE" w:themeFill="background2" w:themeFillShade="E6"/>
          </w:tcPr>
          <w:p w14:paraId="7183DE2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842" w:type="dxa"/>
            <w:shd w:val="clear" w:color="auto" w:fill="D0CECE" w:themeFill="background2" w:themeFillShade="E6"/>
          </w:tcPr>
          <w:p w14:paraId="6AEF626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843" w:type="dxa"/>
            <w:shd w:val="clear" w:color="auto" w:fill="D0CECE" w:themeFill="background2" w:themeFillShade="E6"/>
          </w:tcPr>
          <w:p w14:paraId="7C9DF62E"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3686" w:type="dxa"/>
            <w:shd w:val="clear" w:color="auto" w:fill="D0CECE" w:themeFill="background2" w:themeFillShade="E6"/>
          </w:tcPr>
          <w:p w14:paraId="52FA45E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A469B7" w:rsidRPr="00A469B7" w14:paraId="2404F7DE" w14:textId="77777777" w:rsidTr="00A71AB3">
        <w:tc>
          <w:tcPr>
            <w:tcW w:w="2110" w:type="dxa"/>
            <w:shd w:val="clear" w:color="auto" w:fill="FFFFFF" w:themeFill="background1"/>
          </w:tcPr>
          <w:p w14:paraId="79534418"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Rusina (2010)</w:t>
            </w:r>
            <w:r w:rsidRPr="00A469B7">
              <w:rPr>
                <w:rFonts w:ascii="Arial Narrow" w:eastAsia="Times New Roman" w:hAnsi="Arial Narrow" w:cs="Times New Roman"/>
                <w:sz w:val="20"/>
                <w:szCs w:val="24"/>
                <w:vertAlign w:val="superscript"/>
              </w:rPr>
              <w:t>a</w:t>
            </w:r>
          </w:p>
        </w:tc>
        <w:tc>
          <w:tcPr>
            <w:tcW w:w="993" w:type="dxa"/>
            <w:shd w:val="clear" w:color="auto" w:fill="FFFFFF" w:themeFill="background1"/>
          </w:tcPr>
          <w:p w14:paraId="0A684C2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5E3F0CC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16</w:t>
            </w:r>
          </w:p>
        </w:tc>
        <w:tc>
          <w:tcPr>
            <w:tcW w:w="673" w:type="dxa"/>
            <w:shd w:val="clear" w:color="auto" w:fill="FFFFFF" w:themeFill="background1"/>
          </w:tcPr>
          <w:p w14:paraId="33D9EB2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0</w:t>
            </w:r>
          </w:p>
        </w:tc>
        <w:tc>
          <w:tcPr>
            <w:tcW w:w="673" w:type="dxa"/>
            <w:shd w:val="clear" w:color="auto" w:fill="FFFFFF" w:themeFill="background1"/>
          </w:tcPr>
          <w:p w14:paraId="4A1E641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w:t>
            </w:r>
          </w:p>
        </w:tc>
        <w:tc>
          <w:tcPr>
            <w:tcW w:w="674" w:type="dxa"/>
            <w:shd w:val="clear" w:color="auto" w:fill="FFFFFF" w:themeFill="background1"/>
          </w:tcPr>
          <w:p w14:paraId="0AF1F5E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72B5CA"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94% [71%-99%]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EB50CA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100% [48%-100%]</w:t>
            </w:r>
          </w:p>
        </w:tc>
        <w:tc>
          <w:tcPr>
            <w:tcW w:w="3686" w:type="dxa"/>
            <w:shd w:val="clear" w:color="auto" w:fill="FFFFFF" w:themeFill="background1"/>
          </w:tcPr>
          <w:p w14:paraId="32B34FB1"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Rusina (2010), p.5 (in text)</w:t>
            </w:r>
          </w:p>
        </w:tc>
      </w:tr>
      <w:tr w:rsidR="00A469B7" w:rsidRPr="00A469B7" w14:paraId="7E7E25FA" w14:textId="77777777" w:rsidTr="00A71AB3">
        <w:tc>
          <w:tcPr>
            <w:tcW w:w="2110" w:type="dxa"/>
            <w:shd w:val="clear" w:color="auto" w:fill="FFFFFF" w:themeFill="background1"/>
          </w:tcPr>
          <w:p w14:paraId="6DA5CCD2"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Jobst (1998)</w:t>
            </w:r>
            <w:r w:rsidRPr="00A469B7">
              <w:rPr>
                <w:rFonts w:ascii="Arial Narrow" w:eastAsia="Times New Roman" w:hAnsi="Arial Narrow" w:cs="Times New Roman"/>
                <w:sz w:val="20"/>
                <w:szCs w:val="24"/>
                <w:vertAlign w:val="superscript"/>
              </w:rPr>
              <w:t>b</w:t>
            </w:r>
          </w:p>
        </w:tc>
        <w:tc>
          <w:tcPr>
            <w:tcW w:w="993" w:type="dxa"/>
            <w:shd w:val="clear" w:color="auto" w:fill="FFFFFF" w:themeFill="background1"/>
          </w:tcPr>
          <w:p w14:paraId="0CAF97F1"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4764B19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65</w:t>
            </w:r>
          </w:p>
        </w:tc>
        <w:tc>
          <w:tcPr>
            <w:tcW w:w="673" w:type="dxa"/>
            <w:shd w:val="clear" w:color="auto" w:fill="FFFFFF" w:themeFill="background1"/>
          </w:tcPr>
          <w:p w14:paraId="7CFD10A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673" w:type="dxa"/>
            <w:shd w:val="clear" w:color="auto" w:fill="FFFFFF" w:themeFill="background1"/>
          </w:tcPr>
          <w:p w14:paraId="1374654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w:t>
            </w:r>
          </w:p>
        </w:tc>
        <w:tc>
          <w:tcPr>
            <w:tcW w:w="674" w:type="dxa"/>
            <w:shd w:val="clear" w:color="auto" w:fill="FFFFFF" w:themeFill="background1"/>
          </w:tcPr>
          <w:p w14:paraId="735E3ED0" w14:textId="77777777" w:rsidR="00A469B7" w:rsidRPr="00A469B7" w:rsidRDefault="00A469B7" w:rsidP="00A469B7">
            <w:pPr>
              <w:keepNext/>
              <w:spacing w:after="0"/>
              <w:ind w:left="0"/>
              <w:jc w:val="center"/>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10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19CB29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89% [80%-95%]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37C1C9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71% [42%-91%]</w:t>
            </w:r>
          </w:p>
        </w:tc>
        <w:tc>
          <w:tcPr>
            <w:tcW w:w="3686" w:type="dxa"/>
            <w:shd w:val="clear" w:color="auto" w:fill="FFFFFF" w:themeFill="background1"/>
          </w:tcPr>
          <w:p w14:paraId="7B62204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Jobst (1998), p.296, Table 5</w:t>
            </w:r>
          </w:p>
        </w:tc>
      </w:tr>
      <w:tr w:rsidR="00A469B7" w:rsidRPr="00A469B7" w14:paraId="2786CB22" w14:textId="77777777" w:rsidTr="00A71AB3">
        <w:tc>
          <w:tcPr>
            <w:tcW w:w="2110" w:type="dxa"/>
            <w:shd w:val="clear" w:color="auto" w:fill="D0CECE" w:themeFill="background2" w:themeFillShade="E6"/>
          </w:tcPr>
          <w:p w14:paraId="4883D956"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Demented controls</w:t>
            </w:r>
          </w:p>
        </w:tc>
        <w:tc>
          <w:tcPr>
            <w:tcW w:w="993" w:type="dxa"/>
            <w:shd w:val="clear" w:color="auto" w:fill="D0CECE" w:themeFill="background2" w:themeFillShade="E6"/>
          </w:tcPr>
          <w:p w14:paraId="05359947"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7445F4E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3AD075DE"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6A46918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4" w:type="dxa"/>
            <w:shd w:val="clear" w:color="auto" w:fill="D0CECE" w:themeFill="background2" w:themeFillShade="E6"/>
          </w:tcPr>
          <w:p w14:paraId="304AA82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842" w:type="dxa"/>
            <w:shd w:val="clear" w:color="auto" w:fill="D0CECE" w:themeFill="background2" w:themeFillShade="E6"/>
          </w:tcPr>
          <w:p w14:paraId="3B211F5B" w14:textId="77777777" w:rsidR="00A469B7" w:rsidRPr="00A469B7" w:rsidRDefault="00A469B7" w:rsidP="00A469B7">
            <w:pPr>
              <w:keepNext/>
              <w:tabs>
                <w:tab w:val="left" w:pos="1236"/>
              </w:tabs>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843" w:type="dxa"/>
            <w:shd w:val="clear" w:color="auto" w:fill="D0CECE" w:themeFill="background2" w:themeFillShade="E6"/>
          </w:tcPr>
          <w:p w14:paraId="00BCBB5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3686" w:type="dxa"/>
            <w:shd w:val="clear" w:color="auto" w:fill="D0CECE" w:themeFill="background2" w:themeFillShade="E6"/>
          </w:tcPr>
          <w:p w14:paraId="636B541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A469B7" w:rsidRPr="00A469B7" w14:paraId="68273181" w14:textId="77777777" w:rsidTr="00A71AB3">
        <w:tc>
          <w:tcPr>
            <w:tcW w:w="2110" w:type="dxa"/>
            <w:shd w:val="clear" w:color="auto" w:fill="FFFFFF" w:themeFill="background1"/>
          </w:tcPr>
          <w:p w14:paraId="792B9A2F"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Foster (2007)</w:t>
            </w:r>
          </w:p>
        </w:tc>
        <w:tc>
          <w:tcPr>
            <w:tcW w:w="993" w:type="dxa"/>
            <w:shd w:val="clear" w:color="auto" w:fill="FFFFFF" w:themeFill="background1"/>
          </w:tcPr>
          <w:p w14:paraId="18C6FE2E"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c</w:t>
            </w:r>
          </w:p>
          <w:p w14:paraId="2511DCF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d</w:t>
            </w:r>
          </w:p>
        </w:tc>
        <w:tc>
          <w:tcPr>
            <w:tcW w:w="673" w:type="dxa"/>
            <w:shd w:val="clear" w:color="auto" w:fill="FFFFFF" w:themeFill="background1"/>
          </w:tcPr>
          <w:p w14:paraId="3957AB2E"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734ED24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73" w:type="dxa"/>
            <w:shd w:val="clear" w:color="auto" w:fill="FFFFFF" w:themeFill="background1"/>
          </w:tcPr>
          <w:p w14:paraId="31E70F4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08428DF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73" w:type="dxa"/>
            <w:shd w:val="clear" w:color="auto" w:fill="FFFFFF" w:themeFill="background1"/>
          </w:tcPr>
          <w:p w14:paraId="7C4DB8F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4CBCB87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74" w:type="dxa"/>
            <w:shd w:val="clear" w:color="auto" w:fill="FFFFFF" w:themeFill="background1"/>
          </w:tcPr>
          <w:p w14:paraId="7EFD68A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5AA483B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842" w:type="dxa"/>
            <w:shd w:val="clear" w:color="auto" w:fill="FFFFFF" w:themeFill="background1"/>
          </w:tcPr>
          <w:p w14:paraId="745DF46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96% [NR]</w:t>
            </w:r>
          </w:p>
          <w:p w14:paraId="5375BCA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98% [NR]</w:t>
            </w:r>
          </w:p>
        </w:tc>
        <w:tc>
          <w:tcPr>
            <w:tcW w:w="1843" w:type="dxa"/>
            <w:shd w:val="clear" w:color="auto" w:fill="FFFFFF" w:themeFill="background1"/>
          </w:tcPr>
          <w:p w14:paraId="66D242B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59% [NR]</w:t>
            </w:r>
          </w:p>
          <w:p w14:paraId="2B56DC6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73% [NR]</w:t>
            </w:r>
          </w:p>
        </w:tc>
        <w:tc>
          <w:tcPr>
            <w:tcW w:w="3686" w:type="dxa"/>
            <w:shd w:val="clear" w:color="auto" w:fill="FFFFFF" w:themeFill="background1"/>
          </w:tcPr>
          <w:p w14:paraId="3E51EE13"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Foster (2007), p.2623, Table 5</w:t>
            </w:r>
          </w:p>
        </w:tc>
      </w:tr>
      <w:tr w:rsidR="00A469B7" w:rsidRPr="00A469B7" w14:paraId="1BED7261" w14:textId="77777777" w:rsidTr="00A71AB3">
        <w:tc>
          <w:tcPr>
            <w:tcW w:w="2110" w:type="dxa"/>
            <w:shd w:val="clear" w:color="auto" w:fill="FFFFFF" w:themeFill="background1"/>
          </w:tcPr>
          <w:p w14:paraId="42A32390"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Jagust (2001)</w:t>
            </w:r>
            <w:r w:rsidRPr="00A469B7">
              <w:rPr>
                <w:rFonts w:ascii="Arial Narrow" w:eastAsia="Times New Roman" w:hAnsi="Arial Narrow" w:cs="Times New Roman"/>
                <w:sz w:val="20"/>
                <w:szCs w:val="24"/>
                <w:vertAlign w:val="superscript"/>
              </w:rPr>
              <w:t>e</w:t>
            </w:r>
          </w:p>
        </w:tc>
        <w:tc>
          <w:tcPr>
            <w:tcW w:w="993" w:type="dxa"/>
            <w:shd w:val="clear" w:color="auto" w:fill="FFFFFF" w:themeFill="background1"/>
          </w:tcPr>
          <w:p w14:paraId="07983544"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673" w:type="dxa"/>
            <w:shd w:val="clear" w:color="auto" w:fill="FFFFFF" w:themeFill="background1"/>
          </w:tcPr>
          <w:p w14:paraId="75401F0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29</w:t>
            </w:r>
          </w:p>
        </w:tc>
        <w:tc>
          <w:tcPr>
            <w:tcW w:w="673" w:type="dxa"/>
            <w:shd w:val="clear" w:color="auto" w:fill="FFFFFF" w:themeFill="background1"/>
          </w:tcPr>
          <w:p w14:paraId="37F371F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w:t>
            </w:r>
          </w:p>
        </w:tc>
        <w:tc>
          <w:tcPr>
            <w:tcW w:w="673" w:type="dxa"/>
            <w:shd w:val="clear" w:color="auto" w:fill="FFFFFF" w:themeFill="background1"/>
          </w:tcPr>
          <w:p w14:paraId="1168C8F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17</w:t>
            </w:r>
          </w:p>
        </w:tc>
        <w:tc>
          <w:tcPr>
            <w:tcW w:w="674" w:type="dxa"/>
            <w:shd w:val="clear" w:color="auto" w:fill="FFFFFF" w:themeFill="background1"/>
          </w:tcPr>
          <w:p w14:paraId="7BF234DE"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31</w:t>
            </w:r>
          </w:p>
        </w:tc>
        <w:tc>
          <w:tcPr>
            <w:tcW w:w="1842" w:type="dxa"/>
            <w:shd w:val="clear" w:color="auto" w:fill="FFFFFF" w:themeFill="background1"/>
          </w:tcPr>
          <w:p w14:paraId="15E32EFF" w14:textId="77777777" w:rsidR="00A469B7" w:rsidRPr="00A469B7" w:rsidRDefault="00A469B7" w:rsidP="00A469B7">
            <w:pPr>
              <w:keepNext/>
              <w:spacing w:after="0"/>
              <w:ind w:left="0"/>
              <w:jc w:val="center"/>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63% [48%-77%]</w:t>
            </w:r>
          </w:p>
        </w:tc>
        <w:tc>
          <w:tcPr>
            <w:tcW w:w="1843" w:type="dxa"/>
            <w:shd w:val="clear" w:color="auto" w:fill="FFFFFF" w:themeFill="background1"/>
          </w:tcPr>
          <w:p w14:paraId="478EBA56" w14:textId="77777777" w:rsidR="00A469B7" w:rsidRPr="00A469B7" w:rsidRDefault="00A469B7" w:rsidP="00A469B7">
            <w:pPr>
              <w:keepNext/>
              <w:spacing w:after="0"/>
              <w:ind w:left="0"/>
              <w:jc w:val="center"/>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82% [66%-92%]</w:t>
            </w:r>
          </w:p>
        </w:tc>
        <w:tc>
          <w:tcPr>
            <w:tcW w:w="3686" w:type="dxa"/>
            <w:shd w:val="clear" w:color="auto" w:fill="FFFFFF" w:themeFill="background1"/>
          </w:tcPr>
          <w:p w14:paraId="498F5CF1"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Jagust (2001), pp.953-4, Table 2-3</w:t>
            </w:r>
          </w:p>
        </w:tc>
      </w:tr>
      <w:tr w:rsidR="00A469B7" w:rsidRPr="00A469B7" w14:paraId="177ED169" w14:textId="77777777" w:rsidTr="00A71AB3">
        <w:tc>
          <w:tcPr>
            <w:tcW w:w="2110" w:type="dxa"/>
            <w:shd w:val="clear" w:color="auto" w:fill="FFFFFF" w:themeFill="background1"/>
          </w:tcPr>
          <w:p w14:paraId="7F49AB22"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Silverman (2001)</w:t>
            </w:r>
          </w:p>
        </w:tc>
        <w:tc>
          <w:tcPr>
            <w:tcW w:w="993" w:type="dxa"/>
            <w:shd w:val="clear" w:color="auto" w:fill="FFFFFF" w:themeFill="background1"/>
          </w:tcPr>
          <w:p w14:paraId="48372486"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673" w:type="dxa"/>
            <w:shd w:val="clear" w:color="auto" w:fill="FFFFFF" w:themeFill="background1"/>
          </w:tcPr>
          <w:p w14:paraId="0680F52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91</w:t>
            </w:r>
          </w:p>
        </w:tc>
        <w:tc>
          <w:tcPr>
            <w:tcW w:w="673" w:type="dxa"/>
            <w:shd w:val="clear" w:color="auto" w:fill="FFFFFF" w:themeFill="background1"/>
          </w:tcPr>
          <w:p w14:paraId="1C4AD10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11</w:t>
            </w:r>
          </w:p>
        </w:tc>
        <w:tc>
          <w:tcPr>
            <w:tcW w:w="673" w:type="dxa"/>
            <w:shd w:val="clear" w:color="auto" w:fill="FFFFFF" w:themeFill="background1"/>
          </w:tcPr>
          <w:p w14:paraId="7D4117C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674" w:type="dxa"/>
            <w:shd w:val="clear" w:color="auto" w:fill="FFFFFF" w:themeFill="background1"/>
          </w:tcPr>
          <w:p w14:paraId="45396C1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30</w:t>
            </w:r>
          </w:p>
        </w:tc>
        <w:tc>
          <w:tcPr>
            <w:tcW w:w="1842" w:type="dxa"/>
            <w:shd w:val="clear" w:color="auto" w:fill="FFFFFF" w:themeFill="background1"/>
          </w:tcPr>
          <w:p w14:paraId="46F520C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94% [87%-98%]</w:t>
            </w:r>
          </w:p>
        </w:tc>
        <w:tc>
          <w:tcPr>
            <w:tcW w:w="1843" w:type="dxa"/>
            <w:shd w:val="clear" w:color="auto" w:fill="FFFFFF" w:themeFill="background1"/>
          </w:tcPr>
          <w:p w14:paraId="44F6308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73% [57%-86%]</w:t>
            </w:r>
          </w:p>
        </w:tc>
        <w:tc>
          <w:tcPr>
            <w:tcW w:w="3686" w:type="dxa"/>
            <w:shd w:val="clear" w:color="auto" w:fill="FFFFFF" w:themeFill="background1"/>
          </w:tcPr>
          <w:p w14:paraId="33B08F86"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Silverman (2001), p.2123, Table 2</w:t>
            </w:r>
          </w:p>
        </w:tc>
      </w:tr>
      <w:tr w:rsidR="00A469B7" w:rsidRPr="00A469B7" w14:paraId="10B2D649" w14:textId="77777777" w:rsidTr="00A71AB3">
        <w:tc>
          <w:tcPr>
            <w:tcW w:w="2110" w:type="dxa"/>
            <w:shd w:val="clear" w:color="auto" w:fill="FFFFFF" w:themeFill="background1"/>
          </w:tcPr>
          <w:p w14:paraId="773478CA"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Hoffman (2000)</w:t>
            </w:r>
          </w:p>
        </w:tc>
        <w:tc>
          <w:tcPr>
            <w:tcW w:w="993" w:type="dxa"/>
            <w:shd w:val="clear" w:color="auto" w:fill="FFFFFF" w:themeFill="background1"/>
          </w:tcPr>
          <w:p w14:paraId="330AE0CF"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f</w:t>
            </w:r>
          </w:p>
          <w:p w14:paraId="435F2FC1"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g</w:t>
            </w:r>
          </w:p>
        </w:tc>
        <w:tc>
          <w:tcPr>
            <w:tcW w:w="673" w:type="dxa"/>
            <w:shd w:val="clear" w:color="auto" w:fill="FFFFFF" w:themeFill="background1"/>
          </w:tcPr>
          <w:p w14:paraId="35B7CEB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p w14:paraId="67810C0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14</w:t>
            </w:r>
          </w:p>
        </w:tc>
        <w:tc>
          <w:tcPr>
            <w:tcW w:w="673" w:type="dxa"/>
            <w:shd w:val="clear" w:color="auto" w:fill="FFFFFF" w:themeFill="background1"/>
          </w:tcPr>
          <w:p w14:paraId="5CB75D6E"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p w14:paraId="01882C9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tc>
        <w:tc>
          <w:tcPr>
            <w:tcW w:w="673" w:type="dxa"/>
            <w:shd w:val="clear" w:color="auto" w:fill="FFFFFF" w:themeFill="background1"/>
          </w:tcPr>
          <w:p w14:paraId="6023585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w:t>
            </w:r>
          </w:p>
          <w:p w14:paraId="470130B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tc>
        <w:tc>
          <w:tcPr>
            <w:tcW w:w="674" w:type="dxa"/>
            <w:shd w:val="clear" w:color="auto" w:fill="FFFFFF" w:themeFill="background1"/>
          </w:tcPr>
          <w:p w14:paraId="13B6AE6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w:t>
            </w:r>
          </w:p>
          <w:p w14:paraId="624C872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1842" w:type="dxa"/>
            <w:shd w:val="clear" w:color="auto" w:fill="FFFFFF" w:themeFill="background1"/>
          </w:tcPr>
          <w:p w14:paraId="2CEA64D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93% [66%-99%]</w:t>
            </w:r>
          </w:p>
          <w:p w14:paraId="372BA5B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88% [62%-98%]</w:t>
            </w:r>
          </w:p>
        </w:tc>
        <w:tc>
          <w:tcPr>
            <w:tcW w:w="1843" w:type="dxa"/>
            <w:shd w:val="clear" w:color="auto" w:fill="FFFFFF" w:themeFill="background1"/>
          </w:tcPr>
          <w:p w14:paraId="2080F88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63% [25%-91%]</w:t>
            </w:r>
          </w:p>
          <w:p w14:paraId="0ECB42D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67% [23%-95%]</w:t>
            </w:r>
          </w:p>
        </w:tc>
        <w:tc>
          <w:tcPr>
            <w:tcW w:w="3686" w:type="dxa"/>
            <w:shd w:val="clear" w:color="auto" w:fill="FFFFFF" w:themeFill="background1"/>
          </w:tcPr>
          <w:p w14:paraId="26CFE5E2"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Hoffman (2000), p.1922-3, Tables 1,3</w:t>
            </w:r>
          </w:p>
        </w:tc>
      </w:tr>
      <w:tr w:rsidR="00A469B7" w:rsidRPr="00A469B7" w14:paraId="04EBBD66" w14:textId="77777777" w:rsidTr="00A71AB3">
        <w:tc>
          <w:tcPr>
            <w:tcW w:w="2110" w:type="dxa"/>
            <w:shd w:val="clear" w:color="auto" w:fill="FFFFFF" w:themeFill="background1"/>
          </w:tcPr>
          <w:p w14:paraId="37D3776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McNeill (2007)</w:t>
            </w:r>
          </w:p>
        </w:tc>
        <w:tc>
          <w:tcPr>
            <w:tcW w:w="993" w:type="dxa"/>
            <w:shd w:val="clear" w:color="auto" w:fill="FFFFFF" w:themeFill="background1"/>
          </w:tcPr>
          <w:p w14:paraId="46996052"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05110DD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73" w:type="dxa"/>
            <w:shd w:val="clear" w:color="auto" w:fill="FFFFFF" w:themeFill="background1"/>
          </w:tcPr>
          <w:p w14:paraId="7A4BF79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73" w:type="dxa"/>
            <w:shd w:val="clear" w:color="auto" w:fill="FFFFFF" w:themeFill="background1"/>
          </w:tcPr>
          <w:p w14:paraId="4F65846A"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74" w:type="dxa"/>
            <w:shd w:val="clear" w:color="auto" w:fill="FFFFFF" w:themeFill="background1"/>
          </w:tcPr>
          <w:p w14:paraId="0495B16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842" w:type="dxa"/>
            <w:shd w:val="clear" w:color="auto" w:fill="FFFFFF" w:themeFill="background1"/>
          </w:tcPr>
          <w:p w14:paraId="7DC3563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65% [45%-81%]</w:t>
            </w:r>
          </w:p>
        </w:tc>
        <w:tc>
          <w:tcPr>
            <w:tcW w:w="1843" w:type="dxa"/>
            <w:shd w:val="clear" w:color="auto" w:fill="FFFFFF" w:themeFill="background1"/>
          </w:tcPr>
          <w:p w14:paraId="49CE823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72% [51%-88%]</w:t>
            </w:r>
          </w:p>
        </w:tc>
        <w:tc>
          <w:tcPr>
            <w:tcW w:w="3686" w:type="dxa"/>
            <w:shd w:val="clear" w:color="auto" w:fill="FFFFFF" w:themeFill="background1"/>
          </w:tcPr>
          <w:p w14:paraId="12669841"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 p.634, Figure 6</w:t>
            </w:r>
          </w:p>
        </w:tc>
      </w:tr>
      <w:tr w:rsidR="00A469B7" w:rsidRPr="00A469B7" w14:paraId="799C38BF" w14:textId="77777777" w:rsidTr="00A71AB3">
        <w:tc>
          <w:tcPr>
            <w:tcW w:w="2110" w:type="dxa"/>
            <w:shd w:val="clear" w:color="auto" w:fill="FFFFFF" w:themeFill="background1"/>
          </w:tcPr>
          <w:p w14:paraId="62CDA5FA"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(2006)</w:t>
            </w:r>
          </w:p>
        </w:tc>
        <w:tc>
          <w:tcPr>
            <w:tcW w:w="993" w:type="dxa"/>
            <w:shd w:val="clear" w:color="auto" w:fill="FFFFFF" w:themeFill="background1"/>
          </w:tcPr>
          <w:p w14:paraId="0665634E"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7A9F67F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26</w:t>
            </w:r>
          </w:p>
        </w:tc>
        <w:tc>
          <w:tcPr>
            <w:tcW w:w="673" w:type="dxa"/>
            <w:shd w:val="clear" w:color="auto" w:fill="FFFFFF" w:themeFill="background1"/>
          </w:tcPr>
          <w:p w14:paraId="5065987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tc>
        <w:tc>
          <w:tcPr>
            <w:tcW w:w="673" w:type="dxa"/>
            <w:shd w:val="clear" w:color="auto" w:fill="FFFFFF" w:themeFill="background1"/>
          </w:tcPr>
          <w:p w14:paraId="6497371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674" w:type="dxa"/>
            <w:shd w:val="clear" w:color="auto" w:fill="FFFFFF" w:themeFill="background1"/>
          </w:tcPr>
          <w:p w14:paraId="1829651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17</w:t>
            </w:r>
          </w:p>
        </w:tc>
        <w:tc>
          <w:tcPr>
            <w:tcW w:w="1842" w:type="dxa"/>
            <w:shd w:val="clear" w:color="auto" w:fill="FFFFFF" w:themeFill="background1"/>
          </w:tcPr>
          <w:p w14:paraId="0718073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87% [69%-96%]</w:t>
            </w:r>
          </w:p>
        </w:tc>
        <w:tc>
          <w:tcPr>
            <w:tcW w:w="1843" w:type="dxa"/>
            <w:shd w:val="clear" w:color="auto" w:fill="FFFFFF" w:themeFill="background1"/>
          </w:tcPr>
          <w:p w14:paraId="3FDA678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89% [67%-98%]</w:t>
            </w:r>
          </w:p>
        </w:tc>
        <w:tc>
          <w:tcPr>
            <w:tcW w:w="3686" w:type="dxa"/>
            <w:shd w:val="clear" w:color="auto" w:fill="FFFFFF" w:themeFill="background1"/>
          </w:tcPr>
          <w:p w14:paraId="38C1B07B"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(2006), p.377, Tables 1-2</w:t>
            </w:r>
          </w:p>
        </w:tc>
      </w:tr>
      <w:tr w:rsidR="00A469B7" w:rsidRPr="00A469B7" w14:paraId="39F4498A" w14:textId="77777777" w:rsidTr="00A71AB3">
        <w:tc>
          <w:tcPr>
            <w:tcW w:w="2110" w:type="dxa"/>
            <w:shd w:val="clear" w:color="auto" w:fill="FFFFFF" w:themeFill="background1"/>
          </w:tcPr>
          <w:p w14:paraId="7939DDF6"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(2004)</w:t>
            </w:r>
          </w:p>
        </w:tc>
        <w:tc>
          <w:tcPr>
            <w:tcW w:w="993" w:type="dxa"/>
            <w:shd w:val="clear" w:color="auto" w:fill="FFFFFF" w:themeFill="background1"/>
          </w:tcPr>
          <w:p w14:paraId="3C0519D5"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2ABCD6C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673" w:type="dxa"/>
            <w:shd w:val="clear" w:color="auto" w:fill="FFFFFF" w:themeFill="background1"/>
          </w:tcPr>
          <w:p w14:paraId="29882DF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0</w:t>
            </w:r>
          </w:p>
        </w:tc>
        <w:tc>
          <w:tcPr>
            <w:tcW w:w="673" w:type="dxa"/>
            <w:shd w:val="clear" w:color="auto" w:fill="FFFFFF" w:themeFill="background1"/>
          </w:tcPr>
          <w:p w14:paraId="685833D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674" w:type="dxa"/>
            <w:shd w:val="clear" w:color="auto" w:fill="FFFFFF" w:themeFill="background1"/>
          </w:tcPr>
          <w:p w14:paraId="1ACAD55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w:t>
            </w:r>
          </w:p>
        </w:tc>
        <w:tc>
          <w:tcPr>
            <w:tcW w:w="1842" w:type="dxa"/>
            <w:shd w:val="clear" w:color="auto" w:fill="FFFFFF" w:themeFill="background1"/>
          </w:tcPr>
          <w:p w14:paraId="72684B7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60% [26%-88%]</w:t>
            </w:r>
          </w:p>
        </w:tc>
        <w:tc>
          <w:tcPr>
            <w:tcW w:w="1843" w:type="dxa"/>
            <w:shd w:val="clear" w:color="auto" w:fill="FFFFFF" w:themeFill="background1"/>
          </w:tcPr>
          <w:p w14:paraId="2623152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100% [59%-100%]</w:t>
            </w:r>
          </w:p>
        </w:tc>
        <w:tc>
          <w:tcPr>
            <w:tcW w:w="3686" w:type="dxa"/>
            <w:shd w:val="clear" w:color="auto" w:fill="FFFFFF" w:themeFill="background1"/>
          </w:tcPr>
          <w:p w14:paraId="2AEF509C"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Bonte (2004), p.772, Table 1</w:t>
            </w:r>
          </w:p>
        </w:tc>
      </w:tr>
      <w:tr w:rsidR="00A469B7" w:rsidRPr="00A469B7" w14:paraId="69BCAE7C" w14:textId="77777777" w:rsidTr="00A71AB3">
        <w:tc>
          <w:tcPr>
            <w:tcW w:w="2110" w:type="dxa"/>
            <w:shd w:val="clear" w:color="auto" w:fill="FFFFFF" w:themeFill="background1"/>
          </w:tcPr>
          <w:p w14:paraId="6BB5F6F1"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Jobst (1998)</w:t>
            </w:r>
            <w:r w:rsidRPr="00A469B7">
              <w:rPr>
                <w:rFonts w:ascii="Arial Narrow" w:eastAsia="Times New Roman" w:hAnsi="Arial Narrow" w:cs="Times New Roman"/>
                <w:sz w:val="20"/>
                <w:szCs w:val="24"/>
                <w:vertAlign w:val="superscript"/>
              </w:rPr>
              <w:t>b</w:t>
            </w:r>
          </w:p>
        </w:tc>
        <w:tc>
          <w:tcPr>
            <w:tcW w:w="993" w:type="dxa"/>
            <w:shd w:val="clear" w:color="auto" w:fill="FFFFFF" w:themeFill="background1"/>
          </w:tcPr>
          <w:p w14:paraId="3ECF6427"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3541F58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65</w:t>
            </w:r>
          </w:p>
        </w:tc>
        <w:tc>
          <w:tcPr>
            <w:tcW w:w="673" w:type="dxa"/>
            <w:shd w:val="clear" w:color="auto" w:fill="FFFFFF" w:themeFill="background1"/>
          </w:tcPr>
          <w:p w14:paraId="3E74E8DA"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11</w:t>
            </w:r>
          </w:p>
        </w:tc>
        <w:tc>
          <w:tcPr>
            <w:tcW w:w="673" w:type="dxa"/>
            <w:shd w:val="clear" w:color="auto" w:fill="FFFFFF" w:themeFill="background1"/>
          </w:tcPr>
          <w:p w14:paraId="2615BE8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w:t>
            </w:r>
          </w:p>
        </w:tc>
        <w:tc>
          <w:tcPr>
            <w:tcW w:w="674" w:type="dxa"/>
            <w:shd w:val="clear" w:color="auto" w:fill="FFFFFF" w:themeFill="background1"/>
          </w:tcPr>
          <w:p w14:paraId="2B39FD0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c>
          <w:tcPr>
            <w:tcW w:w="1842" w:type="dxa"/>
            <w:shd w:val="clear" w:color="auto" w:fill="FFFFFF" w:themeFill="background1"/>
          </w:tcPr>
          <w:p w14:paraId="6AACEF2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89% [80%-95%]</w:t>
            </w:r>
          </w:p>
        </w:tc>
        <w:tc>
          <w:tcPr>
            <w:tcW w:w="1843" w:type="dxa"/>
            <w:shd w:val="clear" w:color="auto" w:fill="FFFFFF" w:themeFill="background1"/>
          </w:tcPr>
          <w:p w14:paraId="075F7D7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54% [33%-74%]</w:t>
            </w:r>
          </w:p>
        </w:tc>
        <w:tc>
          <w:tcPr>
            <w:tcW w:w="3686" w:type="dxa"/>
            <w:shd w:val="clear" w:color="auto" w:fill="FFFFFF" w:themeFill="background1"/>
          </w:tcPr>
          <w:p w14:paraId="755C1C75"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Jobst (1998), p.296, Table 5</w:t>
            </w:r>
          </w:p>
        </w:tc>
      </w:tr>
      <w:tr w:rsidR="00A469B7" w:rsidRPr="00A469B7" w14:paraId="53635CA4" w14:textId="77777777" w:rsidTr="00A71AB3">
        <w:tc>
          <w:tcPr>
            <w:tcW w:w="2110" w:type="dxa"/>
            <w:shd w:val="clear" w:color="auto" w:fill="FFFFFF" w:themeFill="background1"/>
          </w:tcPr>
          <w:p w14:paraId="067EC02A"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(1997)</w:t>
            </w:r>
          </w:p>
        </w:tc>
        <w:tc>
          <w:tcPr>
            <w:tcW w:w="993" w:type="dxa"/>
            <w:shd w:val="clear" w:color="auto" w:fill="FFFFFF" w:themeFill="background1"/>
          </w:tcPr>
          <w:p w14:paraId="479EBB10"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2F7B2A4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37</w:t>
            </w:r>
          </w:p>
        </w:tc>
        <w:tc>
          <w:tcPr>
            <w:tcW w:w="673" w:type="dxa"/>
            <w:shd w:val="clear" w:color="auto" w:fill="FFFFFF" w:themeFill="background1"/>
          </w:tcPr>
          <w:p w14:paraId="2312D5D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tc>
        <w:tc>
          <w:tcPr>
            <w:tcW w:w="673" w:type="dxa"/>
            <w:shd w:val="clear" w:color="auto" w:fill="FFFFFF" w:themeFill="background1"/>
          </w:tcPr>
          <w:p w14:paraId="24A27B5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674" w:type="dxa"/>
            <w:shd w:val="clear" w:color="auto" w:fill="FFFFFF" w:themeFill="background1"/>
          </w:tcPr>
          <w:p w14:paraId="0862711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w:t>
            </w:r>
          </w:p>
        </w:tc>
        <w:tc>
          <w:tcPr>
            <w:tcW w:w="1842" w:type="dxa"/>
            <w:shd w:val="clear" w:color="auto" w:fill="FFFFFF" w:themeFill="background1"/>
          </w:tcPr>
          <w:p w14:paraId="4399CAA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86% [72%-95%]</w:t>
            </w:r>
          </w:p>
        </w:tc>
        <w:tc>
          <w:tcPr>
            <w:tcW w:w="1843" w:type="dxa"/>
            <w:shd w:val="clear" w:color="auto" w:fill="FFFFFF" w:themeFill="background1"/>
          </w:tcPr>
          <w:p w14:paraId="7DFFA10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73% [39%-94%]</w:t>
            </w:r>
          </w:p>
        </w:tc>
        <w:tc>
          <w:tcPr>
            <w:tcW w:w="3686" w:type="dxa"/>
            <w:shd w:val="clear" w:color="auto" w:fill="FFFFFF" w:themeFill="background1"/>
          </w:tcPr>
          <w:p w14:paraId="52D1BD98"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(1997), p.795-6, Table 1-2</w:t>
            </w:r>
          </w:p>
        </w:tc>
      </w:tr>
      <w:tr w:rsidR="00A469B7" w:rsidRPr="00A469B7" w14:paraId="747719CC" w14:textId="77777777" w:rsidTr="00A71AB3">
        <w:tc>
          <w:tcPr>
            <w:tcW w:w="2110" w:type="dxa"/>
            <w:shd w:val="clear" w:color="auto" w:fill="FFFFFF" w:themeFill="background1"/>
          </w:tcPr>
          <w:p w14:paraId="25E5D30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(1993)</w:t>
            </w:r>
          </w:p>
        </w:tc>
        <w:tc>
          <w:tcPr>
            <w:tcW w:w="993" w:type="dxa"/>
            <w:shd w:val="clear" w:color="auto" w:fill="FFFFFF" w:themeFill="background1"/>
          </w:tcPr>
          <w:p w14:paraId="7CDE5A88"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r w:rsidRPr="00A469B7">
              <w:rPr>
                <w:rFonts w:ascii="Arial Narrow" w:eastAsia="Times New Roman" w:hAnsi="Arial Narrow" w:cs="Times New Roman"/>
                <w:sz w:val="20"/>
                <w:szCs w:val="24"/>
                <w:vertAlign w:val="superscript"/>
              </w:rPr>
              <w:t>d</w:t>
            </w:r>
            <w:r w:rsidRPr="00A469B7">
              <w:rPr>
                <w:rFonts w:ascii="Arial Narrow" w:eastAsia="Times New Roman" w:hAnsi="Arial Narrow" w:cs="Times New Roman"/>
                <w:sz w:val="20"/>
                <w:szCs w:val="24"/>
              </w:rPr>
              <w:t xml:space="preserve"> </w:t>
            </w:r>
          </w:p>
          <w:p w14:paraId="7944182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r w:rsidRPr="00A469B7">
              <w:rPr>
                <w:rFonts w:ascii="Arial Narrow" w:eastAsia="Times New Roman" w:hAnsi="Arial Narrow" w:cs="Times New Roman"/>
                <w:sz w:val="20"/>
                <w:szCs w:val="24"/>
                <w:vertAlign w:val="superscript"/>
              </w:rPr>
              <w:t>e</w:t>
            </w:r>
          </w:p>
        </w:tc>
        <w:tc>
          <w:tcPr>
            <w:tcW w:w="673" w:type="dxa"/>
            <w:shd w:val="clear" w:color="auto" w:fill="FFFFFF" w:themeFill="background1"/>
          </w:tcPr>
          <w:p w14:paraId="4460717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11</w:t>
            </w:r>
          </w:p>
          <w:p w14:paraId="42ED59C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c>
          <w:tcPr>
            <w:tcW w:w="673" w:type="dxa"/>
            <w:shd w:val="clear" w:color="auto" w:fill="FFFFFF" w:themeFill="background1"/>
          </w:tcPr>
          <w:p w14:paraId="269979E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p w14:paraId="68E5D07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0</w:t>
            </w:r>
          </w:p>
        </w:tc>
        <w:tc>
          <w:tcPr>
            <w:tcW w:w="673" w:type="dxa"/>
            <w:shd w:val="clear" w:color="auto" w:fill="FFFFFF" w:themeFill="background1"/>
          </w:tcPr>
          <w:p w14:paraId="537AEDE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p w14:paraId="2E06534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0</w:t>
            </w:r>
          </w:p>
        </w:tc>
        <w:tc>
          <w:tcPr>
            <w:tcW w:w="674" w:type="dxa"/>
            <w:shd w:val="clear" w:color="auto" w:fill="FFFFFF" w:themeFill="background1"/>
          </w:tcPr>
          <w:p w14:paraId="43B5646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p w14:paraId="20DA3B5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tc>
        <w:tc>
          <w:tcPr>
            <w:tcW w:w="1842" w:type="dxa"/>
            <w:shd w:val="clear" w:color="auto" w:fill="FFFFFF" w:themeFill="background1"/>
          </w:tcPr>
          <w:p w14:paraId="6F23EDC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79% [49%-95%]</w:t>
            </w:r>
          </w:p>
          <w:p w14:paraId="506584FE"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100% [75%-100%]</w:t>
            </w:r>
          </w:p>
        </w:tc>
        <w:tc>
          <w:tcPr>
            <w:tcW w:w="1843" w:type="dxa"/>
            <w:shd w:val="clear" w:color="auto" w:fill="FFFFFF" w:themeFill="background1"/>
          </w:tcPr>
          <w:p w14:paraId="61ABE9C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50% [8%-92%]</w:t>
            </w:r>
          </w:p>
          <w:p w14:paraId="1B353C0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100% [30%-100%]</w:t>
            </w:r>
          </w:p>
        </w:tc>
        <w:tc>
          <w:tcPr>
            <w:tcW w:w="3686" w:type="dxa"/>
            <w:shd w:val="clear" w:color="auto" w:fill="FFFFFF" w:themeFill="background1"/>
          </w:tcPr>
          <w:p w14:paraId="644CE196"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Bonte (1993), p.364, Table 4</w:t>
            </w:r>
          </w:p>
        </w:tc>
      </w:tr>
      <w:tr w:rsidR="00A469B7" w:rsidRPr="00A469B7" w14:paraId="13E215B5" w14:textId="77777777" w:rsidTr="00A71AB3">
        <w:tc>
          <w:tcPr>
            <w:tcW w:w="2110" w:type="dxa"/>
            <w:shd w:val="clear" w:color="auto" w:fill="D0CECE" w:themeFill="background2" w:themeFillShade="E6"/>
          </w:tcPr>
          <w:p w14:paraId="18258CF1"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Various controls</w:t>
            </w:r>
            <w:r w:rsidRPr="00A469B7">
              <w:rPr>
                <w:rFonts w:ascii="Arial Narrow" w:eastAsia="Times New Roman" w:hAnsi="Arial Narrow" w:cs="Times New Roman"/>
                <w:sz w:val="20"/>
                <w:szCs w:val="24"/>
                <w:vertAlign w:val="superscript"/>
              </w:rPr>
              <w:t>h</w:t>
            </w:r>
          </w:p>
        </w:tc>
        <w:tc>
          <w:tcPr>
            <w:tcW w:w="993" w:type="dxa"/>
            <w:shd w:val="clear" w:color="auto" w:fill="D0CECE" w:themeFill="background2" w:themeFillShade="E6"/>
          </w:tcPr>
          <w:p w14:paraId="739CA754"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5BCC410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45E822D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3" w:type="dxa"/>
            <w:shd w:val="clear" w:color="auto" w:fill="D0CECE" w:themeFill="background2" w:themeFillShade="E6"/>
          </w:tcPr>
          <w:p w14:paraId="758D051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674" w:type="dxa"/>
            <w:shd w:val="clear" w:color="auto" w:fill="D0CECE" w:themeFill="background2" w:themeFillShade="E6"/>
          </w:tcPr>
          <w:p w14:paraId="3E08462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842" w:type="dxa"/>
            <w:shd w:val="clear" w:color="auto" w:fill="D0CECE" w:themeFill="background2" w:themeFillShade="E6"/>
          </w:tcPr>
          <w:p w14:paraId="5E780C1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843" w:type="dxa"/>
            <w:shd w:val="clear" w:color="auto" w:fill="D0CECE" w:themeFill="background2" w:themeFillShade="E6"/>
          </w:tcPr>
          <w:p w14:paraId="3E7420C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3686" w:type="dxa"/>
            <w:shd w:val="clear" w:color="auto" w:fill="D0CECE" w:themeFill="background2" w:themeFillShade="E6"/>
          </w:tcPr>
          <w:p w14:paraId="081B218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A469B7" w:rsidRPr="00A469B7" w14:paraId="0FFD08C8" w14:textId="77777777" w:rsidTr="00A71AB3">
        <w:tc>
          <w:tcPr>
            <w:tcW w:w="2110" w:type="dxa"/>
            <w:shd w:val="clear" w:color="auto" w:fill="FFFFFF" w:themeFill="background1"/>
          </w:tcPr>
          <w:p w14:paraId="6367762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Jagust (2007)</w:t>
            </w:r>
          </w:p>
        </w:tc>
        <w:tc>
          <w:tcPr>
            <w:tcW w:w="993" w:type="dxa"/>
            <w:shd w:val="clear" w:color="auto" w:fill="FFFFFF" w:themeFill="background1"/>
          </w:tcPr>
          <w:p w14:paraId="132D89BF"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673" w:type="dxa"/>
            <w:shd w:val="clear" w:color="auto" w:fill="FFFFFF" w:themeFill="background1"/>
          </w:tcPr>
          <w:p w14:paraId="550A1F5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21</w:t>
            </w:r>
          </w:p>
        </w:tc>
        <w:tc>
          <w:tcPr>
            <w:tcW w:w="673" w:type="dxa"/>
            <w:shd w:val="clear" w:color="auto" w:fill="FFFFFF" w:themeFill="background1"/>
          </w:tcPr>
          <w:p w14:paraId="0061BE0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w:t>
            </w:r>
          </w:p>
        </w:tc>
        <w:tc>
          <w:tcPr>
            <w:tcW w:w="673" w:type="dxa"/>
            <w:shd w:val="clear" w:color="auto" w:fill="FFFFFF" w:themeFill="background1"/>
          </w:tcPr>
          <w:p w14:paraId="40C3CF7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674" w:type="dxa"/>
            <w:shd w:val="clear" w:color="auto" w:fill="FFFFFF" w:themeFill="background1"/>
          </w:tcPr>
          <w:p w14:paraId="32FAAF3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14</w:t>
            </w:r>
          </w:p>
        </w:tc>
        <w:tc>
          <w:tcPr>
            <w:tcW w:w="1842" w:type="dxa"/>
            <w:shd w:val="clear" w:color="auto" w:fill="FFFFFF" w:themeFill="background1"/>
          </w:tcPr>
          <w:p w14:paraId="561FE46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84% [64%-95%]</w:t>
            </w:r>
          </w:p>
        </w:tc>
        <w:tc>
          <w:tcPr>
            <w:tcW w:w="1843" w:type="dxa"/>
            <w:shd w:val="clear" w:color="auto" w:fill="FFFFFF" w:themeFill="background1"/>
          </w:tcPr>
          <w:p w14:paraId="208A626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74% [49%-91%]</w:t>
            </w:r>
          </w:p>
        </w:tc>
        <w:tc>
          <w:tcPr>
            <w:tcW w:w="3686" w:type="dxa"/>
            <w:shd w:val="clear" w:color="auto" w:fill="FFFFFF" w:themeFill="background1"/>
          </w:tcPr>
          <w:p w14:paraId="77EE6747"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Cure (2014), p.175, Figure 2</w:t>
            </w:r>
          </w:p>
        </w:tc>
      </w:tr>
      <w:tr w:rsidR="00A469B7" w:rsidRPr="00A469B7" w14:paraId="1FD266A8" w14:textId="77777777" w:rsidTr="00A71AB3">
        <w:tc>
          <w:tcPr>
            <w:tcW w:w="2110" w:type="dxa"/>
            <w:shd w:val="clear" w:color="auto" w:fill="FFFFFF" w:themeFill="background1"/>
          </w:tcPr>
          <w:p w14:paraId="7946890A"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Jobst (1998)</w:t>
            </w:r>
            <w:r w:rsidRPr="00A469B7">
              <w:rPr>
                <w:rFonts w:ascii="Arial Narrow" w:eastAsia="Times New Roman" w:hAnsi="Arial Narrow" w:cs="Times New Roman"/>
                <w:sz w:val="20"/>
                <w:szCs w:val="24"/>
                <w:vertAlign w:val="superscript"/>
              </w:rPr>
              <w:t>b</w:t>
            </w:r>
          </w:p>
        </w:tc>
        <w:tc>
          <w:tcPr>
            <w:tcW w:w="993" w:type="dxa"/>
            <w:shd w:val="clear" w:color="auto" w:fill="FFFFFF" w:themeFill="background1"/>
          </w:tcPr>
          <w:p w14:paraId="2204412A"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3" w:type="dxa"/>
            <w:shd w:val="clear" w:color="auto" w:fill="FFFFFF" w:themeFill="background1"/>
          </w:tcPr>
          <w:p w14:paraId="1844BDE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65</w:t>
            </w:r>
          </w:p>
        </w:tc>
        <w:tc>
          <w:tcPr>
            <w:tcW w:w="673" w:type="dxa"/>
            <w:shd w:val="clear" w:color="auto" w:fill="FFFFFF" w:themeFill="background1"/>
          </w:tcPr>
          <w:p w14:paraId="2036120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15</w:t>
            </w:r>
          </w:p>
        </w:tc>
        <w:tc>
          <w:tcPr>
            <w:tcW w:w="673" w:type="dxa"/>
            <w:shd w:val="clear" w:color="auto" w:fill="FFFFFF" w:themeFill="background1"/>
          </w:tcPr>
          <w:p w14:paraId="555D3DA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w:t>
            </w:r>
          </w:p>
        </w:tc>
        <w:tc>
          <w:tcPr>
            <w:tcW w:w="674" w:type="dxa"/>
            <w:shd w:val="clear" w:color="auto" w:fill="FFFFFF" w:themeFill="background1"/>
          </w:tcPr>
          <w:p w14:paraId="751202B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23</w:t>
            </w:r>
          </w:p>
        </w:tc>
        <w:tc>
          <w:tcPr>
            <w:tcW w:w="1842" w:type="dxa"/>
            <w:shd w:val="clear" w:color="auto" w:fill="FFFFFF" w:themeFill="background1"/>
          </w:tcPr>
          <w:p w14:paraId="4EFFB77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89% [80%-95%]</w:t>
            </w:r>
          </w:p>
        </w:tc>
        <w:tc>
          <w:tcPr>
            <w:tcW w:w="1843" w:type="dxa"/>
            <w:shd w:val="clear" w:color="auto" w:fill="FFFFFF" w:themeFill="background1"/>
          </w:tcPr>
          <w:p w14:paraId="432D5F7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61% [43%-76%]</w:t>
            </w:r>
          </w:p>
        </w:tc>
        <w:tc>
          <w:tcPr>
            <w:tcW w:w="3686" w:type="dxa"/>
            <w:shd w:val="clear" w:color="auto" w:fill="FFFFFF" w:themeFill="background1"/>
          </w:tcPr>
          <w:p w14:paraId="3EB423E9"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Jobst (1998), p.296, Table 5</w:t>
            </w:r>
          </w:p>
        </w:tc>
      </w:tr>
    </w:tbl>
    <w:p w14:paraId="65B8F9AB" w14:textId="35D485EE"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rPr>
        <w:t>Abbreviations: AD, Alzheimer’s disease; CI, confidence interval; F</w:t>
      </w:r>
      <w:r w:rsidR="00986085">
        <w:rPr>
          <w:rFonts w:ascii="Arial Narrow" w:hAnsi="Arial Narrow"/>
          <w:sz w:val="16"/>
          <w:szCs w:val="16"/>
        </w:rPr>
        <w:t>DG</w:t>
      </w:r>
      <w:r w:rsidRPr="00A469B7">
        <w:rPr>
          <w:rFonts w:ascii="Arial Narrow" w:hAnsi="Arial Narrow"/>
          <w:sz w:val="16"/>
          <w:szCs w:val="16"/>
        </w:rPr>
        <w:t>, flu</w:t>
      </w:r>
      <w:r w:rsidR="008F0DD0">
        <w:rPr>
          <w:rFonts w:ascii="Arial Narrow" w:hAnsi="Arial Narrow"/>
          <w:sz w:val="16"/>
          <w:szCs w:val="16"/>
        </w:rPr>
        <w:t>o</w:t>
      </w:r>
      <w:r w:rsidRPr="00A469B7">
        <w:rPr>
          <w:rFonts w:ascii="Arial Narrow" w:hAnsi="Arial Narrow"/>
          <w:sz w:val="16"/>
          <w:szCs w:val="16"/>
        </w:rPr>
        <w:t>rodeoxyglucose; FN, false</w:t>
      </w:r>
      <w:r w:rsidR="000E05F2">
        <w:rPr>
          <w:rFonts w:ascii="Arial Narrow" w:hAnsi="Arial Narrow"/>
          <w:sz w:val="16"/>
          <w:szCs w:val="16"/>
        </w:rPr>
        <w:t xml:space="preserve"> </w:t>
      </w:r>
      <w:r w:rsidRPr="00A469B7">
        <w:rPr>
          <w:rFonts w:ascii="Arial Narrow" w:hAnsi="Arial Narrow"/>
          <w:sz w:val="16"/>
          <w:szCs w:val="16"/>
        </w:rPr>
        <w:t>negative; FP, false</w:t>
      </w:r>
      <w:r w:rsidR="000E05F2">
        <w:rPr>
          <w:rFonts w:ascii="Arial Narrow" w:hAnsi="Arial Narrow"/>
          <w:sz w:val="16"/>
          <w:szCs w:val="16"/>
        </w:rPr>
        <w:t xml:space="preserve"> </w:t>
      </w:r>
      <w:r w:rsidRPr="00A469B7">
        <w:rPr>
          <w:rFonts w:ascii="Arial Narrow" w:hAnsi="Arial Narrow"/>
          <w:sz w:val="16"/>
          <w:szCs w:val="16"/>
        </w:rPr>
        <w:t>positive; MIX, mixed-type dementia; NPV, negative predictive value; NR, not reported; PPV, positive predictive value; SPECT, single-photon emission computed tomography; TN, true</w:t>
      </w:r>
      <w:r w:rsidR="0064732B">
        <w:rPr>
          <w:rFonts w:ascii="Arial Narrow" w:hAnsi="Arial Narrow"/>
          <w:sz w:val="16"/>
          <w:szCs w:val="16"/>
        </w:rPr>
        <w:t xml:space="preserve"> </w:t>
      </w:r>
      <w:r w:rsidRPr="00A469B7">
        <w:rPr>
          <w:rFonts w:ascii="Arial Narrow" w:hAnsi="Arial Narrow"/>
          <w:sz w:val="16"/>
          <w:szCs w:val="16"/>
        </w:rPr>
        <w:t>negative; TP, true</w:t>
      </w:r>
      <w:r w:rsidR="0064732B">
        <w:rPr>
          <w:rFonts w:ascii="Arial Narrow" w:hAnsi="Arial Narrow"/>
          <w:sz w:val="16"/>
          <w:szCs w:val="16"/>
        </w:rPr>
        <w:t xml:space="preserve"> </w:t>
      </w:r>
      <w:r w:rsidRPr="00A469B7">
        <w:rPr>
          <w:rFonts w:ascii="Arial Narrow" w:hAnsi="Arial Narrow"/>
          <w:sz w:val="16"/>
          <w:szCs w:val="16"/>
        </w:rPr>
        <w:t>positive.</w:t>
      </w:r>
    </w:p>
    <w:p w14:paraId="044F0FA2" w14:textId="77777777"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 xml:space="preserve">a </w:t>
      </w:r>
      <w:r w:rsidRPr="00A469B7">
        <w:rPr>
          <w:rFonts w:ascii="Arial Narrow" w:hAnsi="Arial Narrow"/>
          <w:sz w:val="16"/>
          <w:szCs w:val="16"/>
        </w:rPr>
        <w:t>Excludes five normal controls without autopsy confirmation – all AD cases and 5/10 non-demented controls underwent autopsy.</w:t>
      </w:r>
    </w:p>
    <w:p w14:paraId="68176CA7" w14:textId="77777777"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 xml:space="preserve">b </w:t>
      </w:r>
      <w:r w:rsidRPr="00A469B7">
        <w:rPr>
          <w:rFonts w:ascii="Arial Narrow" w:hAnsi="Arial Narrow"/>
          <w:sz w:val="16"/>
          <w:szCs w:val="16"/>
        </w:rPr>
        <w:t>Excludes 105 living controls.</w:t>
      </w:r>
    </w:p>
    <w:p w14:paraId="65B02259" w14:textId="01D53762"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 xml:space="preserve">c </w:t>
      </w:r>
      <w:r w:rsidRPr="00A469B7">
        <w:rPr>
          <w:rFonts w:ascii="Arial Narrow" w:hAnsi="Arial Narrow"/>
          <w:sz w:val="16"/>
          <w:szCs w:val="16"/>
        </w:rPr>
        <w:t>Transaxial assessment</w:t>
      </w:r>
      <w:r w:rsidR="00550781">
        <w:rPr>
          <w:rFonts w:ascii="Arial Narrow" w:hAnsi="Arial Narrow"/>
          <w:sz w:val="16"/>
          <w:szCs w:val="16"/>
        </w:rPr>
        <w:t>.</w:t>
      </w:r>
    </w:p>
    <w:p w14:paraId="3122AED0" w14:textId="68E5C95C"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d</w:t>
      </w:r>
      <w:r w:rsidRPr="00A469B7">
        <w:rPr>
          <w:rFonts w:ascii="Arial Narrow" w:hAnsi="Arial Narrow"/>
          <w:sz w:val="16"/>
          <w:szCs w:val="16"/>
        </w:rPr>
        <w:t xml:space="preserve"> Voxel-wise method (</w:t>
      </w:r>
      <w:r w:rsidR="00550781">
        <w:rPr>
          <w:rFonts w:ascii="Arial Narrow" w:hAnsi="Arial Narrow"/>
          <w:sz w:val="16"/>
          <w:szCs w:val="16"/>
        </w:rPr>
        <w:t>SSP).</w:t>
      </w:r>
    </w:p>
    <w:p w14:paraId="1A992C6B" w14:textId="628C0F94"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 xml:space="preserve">e </w:t>
      </w:r>
      <w:r w:rsidRPr="00A469B7">
        <w:rPr>
          <w:rFonts w:ascii="Arial Narrow" w:hAnsi="Arial Narrow"/>
          <w:sz w:val="16"/>
          <w:szCs w:val="16"/>
        </w:rPr>
        <w:t>Excludes 71 non-autopsied controls</w:t>
      </w:r>
      <w:r w:rsidR="00550781">
        <w:rPr>
          <w:rFonts w:ascii="Arial Narrow" w:hAnsi="Arial Narrow"/>
          <w:sz w:val="16"/>
          <w:szCs w:val="16"/>
        </w:rPr>
        <w:t>.</w:t>
      </w:r>
    </w:p>
    <w:p w14:paraId="0149C9F6" w14:textId="7E8840A9"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f</w:t>
      </w:r>
      <w:r w:rsidRPr="00A469B7">
        <w:rPr>
          <w:rFonts w:ascii="Arial Narrow" w:hAnsi="Arial Narrow"/>
          <w:sz w:val="16"/>
          <w:szCs w:val="16"/>
        </w:rPr>
        <w:t xml:space="preserve"> Visual assessment (n=18)</w:t>
      </w:r>
      <w:r w:rsidR="0003027D">
        <w:rPr>
          <w:rFonts w:ascii="Arial Narrow" w:hAnsi="Arial Narrow"/>
          <w:sz w:val="16"/>
          <w:szCs w:val="16"/>
        </w:rPr>
        <w:t>.</w:t>
      </w:r>
    </w:p>
    <w:p w14:paraId="06D5819E" w14:textId="4C25879C"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g</w:t>
      </w:r>
      <w:r w:rsidRPr="00A469B7">
        <w:rPr>
          <w:rFonts w:ascii="Arial Narrow" w:hAnsi="Arial Narrow"/>
          <w:sz w:val="16"/>
          <w:szCs w:val="16"/>
        </w:rPr>
        <w:t xml:space="preserve"> Ratio ROI/WBF</w:t>
      </w:r>
      <w:r w:rsidR="0003027D">
        <w:rPr>
          <w:rFonts w:ascii="Arial Narrow" w:hAnsi="Arial Narrow"/>
          <w:sz w:val="16"/>
          <w:szCs w:val="16"/>
        </w:rPr>
        <w:t xml:space="preserve"> </w:t>
      </w:r>
      <w:r w:rsidR="0003027D" w:rsidRPr="0003027D">
        <w:rPr>
          <w:rFonts w:ascii="Arial Narrow" w:hAnsi="Arial Narrow"/>
          <w:sz w:val="16"/>
          <w:szCs w:val="16"/>
        </w:rPr>
        <w:t xml:space="preserve"> (whole-brain cross-sectional flow)</w:t>
      </w:r>
      <w:r w:rsidRPr="00A469B7">
        <w:rPr>
          <w:rFonts w:ascii="Arial Narrow" w:hAnsi="Arial Narrow"/>
          <w:sz w:val="16"/>
          <w:szCs w:val="16"/>
        </w:rPr>
        <w:t xml:space="preserve"> (n=16)</w:t>
      </w:r>
      <w:r w:rsidR="0003027D">
        <w:rPr>
          <w:rFonts w:ascii="Arial Narrow" w:hAnsi="Arial Narrow"/>
          <w:sz w:val="16"/>
          <w:szCs w:val="16"/>
        </w:rPr>
        <w:t>.</w:t>
      </w:r>
    </w:p>
    <w:p w14:paraId="47DA340F" w14:textId="77777777" w:rsidR="00A469B7" w:rsidRPr="00A469B7" w:rsidRDefault="00A469B7" w:rsidP="000166DA">
      <w:pPr>
        <w:spacing w:after="360"/>
        <w:contextualSpacing/>
        <w:rPr>
          <w:rFonts w:ascii="Arial Narrow" w:hAnsi="Arial Narrow"/>
          <w:sz w:val="16"/>
          <w:szCs w:val="16"/>
        </w:rPr>
        <w:sectPr w:rsidR="00A469B7" w:rsidRPr="00A469B7" w:rsidSect="00A71AB3">
          <w:footerReference w:type="default" r:id="rId22"/>
          <w:pgSz w:w="16838" w:h="11906" w:orient="landscape" w:code="9"/>
          <w:pgMar w:top="1440" w:right="1440" w:bottom="1440" w:left="1440" w:header="680" w:footer="1021" w:gutter="0"/>
          <w:cols w:space="708"/>
          <w:docGrid w:linePitch="360"/>
        </w:sectPr>
      </w:pPr>
      <w:r w:rsidRPr="00A469B7">
        <w:rPr>
          <w:rFonts w:ascii="Arial Narrow" w:hAnsi="Arial Narrow"/>
          <w:sz w:val="16"/>
          <w:szCs w:val="16"/>
          <w:vertAlign w:val="superscript"/>
        </w:rPr>
        <w:t xml:space="preserve">h </w:t>
      </w:r>
      <w:r w:rsidRPr="00A469B7">
        <w:rPr>
          <w:rFonts w:ascii="Arial Narrow" w:hAnsi="Arial Narrow"/>
          <w:sz w:val="16"/>
          <w:szCs w:val="16"/>
        </w:rPr>
        <w:t>Includes both demented and cognitively normal controls.</w:t>
      </w:r>
    </w:p>
    <w:p w14:paraId="190C087E" w14:textId="77777777" w:rsidR="00A469B7" w:rsidRPr="00A469B7" w:rsidRDefault="00A469B7" w:rsidP="00A469B7">
      <w:r w:rsidRPr="00A469B7">
        <w:lastRenderedPageBreak/>
        <w:t xml:space="preserve">As highlighted in the literature, the highest diagnostic values tend to come from studies investigating the ability of diagnostic tests to differentiate between dementia and cognitively normal controls (Panegyres et al, 2009). In contrast, studies that focus on differentiating between various types of dementia generally lead to lower sensitivity and specificity results. Therefore, studies that compare the ability of FDG-PET and SPECT to differentiate between dementia and cognitively normal controls have low generalisability to clinical practice, as cognitively normal patients would rarely be referred for such tests. </w:t>
      </w:r>
    </w:p>
    <w:p w14:paraId="7DAE8E41" w14:textId="08FCEDBE" w:rsidR="00A469B7" w:rsidRPr="00A469B7" w:rsidRDefault="007F4B3D" w:rsidP="007F4B3D">
      <w:r w:rsidRPr="007F4B3D">
        <w:fldChar w:fldCharType="begin"/>
      </w:r>
      <w:r w:rsidRPr="007F4B3D">
        <w:instrText xml:space="preserve"> REF _Ref406400189 \h  \* MERGEFORMAT </w:instrText>
      </w:r>
      <w:r w:rsidRPr="007F4B3D">
        <w:fldChar w:fldCharType="separate"/>
      </w:r>
      <w:r w:rsidR="00C67698" w:rsidRPr="00A469B7">
        <w:t xml:space="preserve">Table </w:t>
      </w:r>
      <w:r w:rsidR="00C67698">
        <w:t>B.6</w:t>
      </w:r>
      <w:r w:rsidR="00C67698">
        <w:noBreakHyphen/>
        <w:t>6</w:t>
      </w:r>
      <w:r w:rsidRPr="007F4B3D">
        <w:fldChar w:fldCharType="end"/>
      </w:r>
      <w:r w:rsidRPr="007F4B3D">
        <w:t xml:space="preserve"> </w:t>
      </w:r>
      <w:r w:rsidR="00A469B7" w:rsidRPr="007F4B3D">
        <w:t>presents</w:t>
      </w:r>
      <w:r w:rsidR="00A469B7" w:rsidRPr="00A469B7">
        <w:t xml:space="preserve"> similar test results and performance characteristics t</w:t>
      </w:r>
      <w:r w:rsidR="00A469B7" w:rsidRPr="007F4B3D">
        <w:t xml:space="preserve">o </w:t>
      </w:r>
      <w:r w:rsidR="00A469B7" w:rsidRPr="007F4B3D">
        <w:fldChar w:fldCharType="begin"/>
      </w:r>
      <w:r w:rsidR="00A469B7" w:rsidRPr="007F4B3D">
        <w:instrText xml:space="preserve"> REF _Ref405888397 \h </w:instrText>
      </w:r>
      <w:r w:rsidRPr="007F4B3D">
        <w:instrText xml:space="preserve"> \* MERGEFORMAT </w:instrText>
      </w:r>
      <w:r w:rsidR="00A469B7" w:rsidRPr="007F4B3D">
        <w:fldChar w:fldCharType="separate"/>
      </w:r>
      <w:r w:rsidR="00C67698" w:rsidRPr="00A469B7">
        <w:t xml:space="preserve">Table </w:t>
      </w:r>
      <w:r w:rsidR="00C67698">
        <w:t>B.6</w:t>
      </w:r>
      <w:r w:rsidR="00C67698">
        <w:noBreakHyphen/>
        <w:t>5</w:t>
      </w:r>
      <w:r w:rsidR="00A469B7" w:rsidRPr="007F4B3D">
        <w:fldChar w:fldCharType="end"/>
      </w:r>
      <w:r w:rsidR="00A469B7" w:rsidRPr="00A469B7">
        <w:t xml:space="preserve">; however, only studies (or subsets of studies) that examined FDG-PET and SPECT in dementia or suspected dementia patients were included. Therefore, the study by Rusina et al (2010), which included cognitively normal ALS patients as controls, is not shown in the results from </w:t>
      </w:r>
      <w:r w:rsidR="00A469B7" w:rsidRPr="007F4B3D">
        <w:fldChar w:fldCharType="begin"/>
      </w:r>
      <w:r w:rsidR="00A469B7" w:rsidRPr="007F4B3D">
        <w:instrText xml:space="preserve"> REF _Ref406400189 \h </w:instrText>
      </w:r>
      <w:r w:rsidRPr="007F4B3D">
        <w:instrText xml:space="preserve"> \* MERGEFORMAT </w:instrText>
      </w:r>
      <w:r w:rsidR="00A469B7" w:rsidRPr="007F4B3D">
        <w:fldChar w:fldCharType="separate"/>
      </w:r>
      <w:r w:rsidR="00C67698" w:rsidRPr="00A469B7">
        <w:t xml:space="preserve">Table </w:t>
      </w:r>
      <w:r w:rsidR="00C67698">
        <w:t>B.6</w:t>
      </w:r>
      <w:r w:rsidR="00C67698">
        <w:noBreakHyphen/>
        <w:t>6</w:t>
      </w:r>
      <w:r w:rsidR="00A469B7" w:rsidRPr="007F4B3D">
        <w:fldChar w:fldCharType="end"/>
      </w:r>
      <w:r w:rsidR="00A469B7" w:rsidRPr="00A469B7">
        <w:t xml:space="preserve"> onwards.</w:t>
      </w:r>
    </w:p>
    <w:p w14:paraId="2C945491" w14:textId="08BFE4E1" w:rsidR="00A469B7" w:rsidRPr="00A469B7" w:rsidRDefault="00A469B7" w:rsidP="007F4B3D">
      <w:pPr>
        <w:sectPr w:rsidR="00A469B7" w:rsidRPr="00A469B7" w:rsidSect="00A71AB3">
          <w:footerReference w:type="default" r:id="rId23"/>
          <w:pgSz w:w="11906" w:h="16838" w:code="9"/>
          <w:pgMar w:top="1440" w:right="1440" w:bottom="1440" w:left="1440" w:header="680" w:footer="1021" w:gutter="0"/>
          <w:cols w:space="708"/>
          <w:docGrid w:linePitch="360"/>
        </w:sectPr>
      </w:pPr>
      <w:r w:rsidRPr="00A469B7">
        <w:t>The combined results, including overall sensitivity and specificity</w:t>
      </w:r>
      <w:r w:rsidR="00BF162E">
        <w:t>,</w:t>
      </w:r>
      <w:r w:rsidRPr="00A469B7">
        <w:t xml:space="preserve"> are shown for FDG-PET and SPECT in </w:t>
      </w:r>
      <w:r w:rsidR="007F4B3D" w:rsidRPr="007F4B3D">
        <w:fldChar w:fldCharType="begin"/>
      </w:r>
      <w:r w:rsidR="007F4B3D" w:rsidRPr="007F4B3D">
        <w:instrText xml:space="preserve"> REF _Ref406416362 \h </w:instrText>
      </w:r>
      <w:r w:rsidR="007F4B3D">
        <w:instrText xml:space="preserve"> \* MERGEFORMAT </w:instrText>
      </w:r>
      <w:r w:rsidR="007F4B3D" w:rsidRPr="007F4B3D">
        <w:fldChar w:fldCharType="separate"/>
      </w:r>
      <w:r w:rsidR="00C67698" w:rsidRPr="00A469B7">
        <w:t xml:space="preserve">Table </w:t>
      </w:r>
      <w:r w:rsidR="00C67698">
        <w:t>B.6</w:t>
      </w:r>
      <w:r w:rsidR="00C67698">
        <w:noBreakHyphen/>
        <w:t>7</w:t>
      </w:r>
      <w:r w:rsidR="007F4B3D" w:rsidRPr="007F4B3D">
        <w:fldChar w:fldCharType="end"/>
      </w:r>
      <w:r w:rsidR="00DE23B7">
        <w:t xml:space="preserve">. </w:t>
      </w:r>
      <w:r w:rsidR="00DE23B7" w:rsidRPr="00DE23B7">
        <w:t xml:space="preserve">It should be noted that Foster et al (2007) and McNeill et al (2007) are not included in the </w:t>
      </w:r>
      <w:r w:rsidR="00DE23B7">
        <w:t xml:space="preserve">overall results </w:t>
      </w:r>
      <w:r w:rsidR="00DE23B7" w:rsidRPr="00DE23B7">
        <w:t>because the relevant information</w:t>
      </w:r>
      <w:r w:rsidR="00DE23B7">
        <w:t xml:space="preserve"> (i.e. number of TP, FP, FN, TN)</w:t>
      </w:r>
      <w:r w:rsidR="00DE23B7" w:rsidRPr="00DE23B7">
        <w:t xml:space="preserve"> was not presented in the publications, nor could it be calculated using available information.</w:t>
      </w:r>
    </w:p>
    <w:p w14:paraId="517D0961" w14:textId="0ED2A44C" w:rsidR="00A469B7" w:rsidRPr="00A469B7" w:rsidRDefault="00A469B7" w:rsidP="006815DC">
      <w:pPr>
        <w:pStyle w:val="Caption"/>
      </w:pPr>
      <w:bookmarkStart w:id="127" w:name="_Ref406400189"/>
      <w:bookmarkStart w:id="128" w:name="_Toc406401395"/>
      <w:bookmarkStart w:id="129" w:name="_Toc408845219"/>
      <w:r w:rsidRPr="00A469B7">
        <w:lastRenderedPageBreak/>
        <w:t xml:space="preserve">Table </w:t>
      </w:r>
      <w:fldSimple w:instr=" STYLEREF 2 \s ">
        <w:r w:rsidR="00C67698">
          <w:rPr>
            <w:noProof/>
          </w:rPr>
          <w:t>B.6</w:t>
        </w:r>
      </w:fldSimple>
      <w:r w:rsidR="00524916">
        <w:noBreakHyphen/>
      </w:r>
      <w:fldSimple w:instr=" SEQ Table \* ARABIC \s 2 ">
        <w:r w:rsidR="00C67698">
          <w:rPr>
            <w:noProof/>
          </w:rPr>
          <w:t>6</w:t>
        </w:r>
      </w:fldSimple>
      <w:bookmarkEnd w:id="127"/>
      <w:r w:rsidRPr="00A469B7">
        <w:tab/>
        <w:t>Test results and performance characteristics of FDG-PET and SPECT in patients with autopsy confirmation (demented controls only)</w:t>
      </w:r>
      <w:bookmarkEnd w:id="128"/>
      <w:bookmarkEnd w:id="129"/>
    </w:p>
    <w:tbl>
      <w:tblPr>
        <w:tblStyle w:val="TableGrid"/>
        <w:tblW w:w="0" w:type="auto"/>
        <w:tblInd w:w="720" w:type="dxa"/>
        <w:tblCellMar>
          <w:left w:w="57" w:type="dxa"/>
          <w:right w:w="57" w:type="dxa"/>
        </w:tblCellMar>
        <w:tblLook w:val="04A0" w:firstRow="1" w:lastRow="0" w:firstColumn="1" w:lastColumn="0" w:noHBand="0" w:noVBand="1"/>
        <w:tblCaption w:val="The test results and performance characteristics of FDG-PET and SPECT"/>
        <w:tblDescription w:val="The number of true positives, false positives, false negatives, and true negatives for studies with autopsy confirmation of diagnoses that were made using FDG-PET or SPECT. This table only includes studies that used demented or cognitively impaired controls."/>
      </w:tblPr>
      <w:tblGrid>
        <w:gridCol w:w="1877"/>
        <w:gridCol w:w="970"/>
        <w:gridCol w:w="679"/>
        <w:gridCol w:w="661"/>
        <w:gridCol w:w="680"/>
        <w:gridCol w:w="680"/>
        <w:gridCol w:w="1834"/>
        <w:gridCol w:w="1835"/>
        <w:gridCol w:w="3332"/>
      </w:tblGrid>
      <w:tr w:rsidR="00A469B7" w:rsidRPr="00A469B7" w14:paraId="4B7E6BA5" w14:textId="77777777" w:rsidTr="00556738">
        <w:trPr>
          <w:tblHeader/>
        </w:trPr>
        <w:tc>
          <w:tcPr>
            <w:tcW w:w="1877" w:type="dxa"/>
            <w:shd w:val="clear" w:color="auto" w:fill="FFFFFF" w:themeFill="background1"/>
          </w:tcPr>
          <w:p w14:paraId="44DDABC0"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 xml:space="preserve">Study ID </w:t>
            </w:r>
          </w:p>
        </w:tc>
        <w:tc>
          <w:tcPr>
            <w:tcW w:w="970" w:type="dxa"/>
            <w:shd w:val="clear" w:color="auto" w:fill="FFFFFF" w:themeFill="background1"/>
          </w:tcPr>
          <w:p w14:paraId="0712B29B"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Index test</w:t>
            </w:r>
          </w:p>
        </w:tc>
        <w:tc>
          <w:tcPr>
            <w:tcW w:w="679" w:type="dxa"/>
            <w:shd w:val="clear" w:color="auto" w:fill="FFFFFF" w:themeFill="background1"/>
          </w:tcPr>
          <w:p w14:paraId="735A8D37"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TP</w:t>
            </w:r>
          </w:p>
        </w:tc>
        <w:tc>
          <w:tcPr>
            <w:tcW w:w="661" w:type="dxa"/>
            <w:shd w:val="clear" w:color="auto" w:fill="FFFFFF" w:themeFill="background1"/>
          </w:tcPr>
          <w:p w14:paraId="73E87DEC"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FP</w:t>
            </w:r>
          </w:p>
        </w:tc>
        <w:tc>
          <w:tcPr>
            <w:tcW w:w="680" w:type="dxa"/>
            <w:shd w:val="clear" w:color="auto" w:fill="FFFFFF" w:themeFill="background1"/>
          </w:tcPr>
          <w:p w14:paraId="3933CC2F"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FN</w:t>
            </w:r>
          </w:p>
        </w:tc>
        <w:tc>
          <w:tcPr>
            <w:tcW w:w="680" w:type="dxa"/>
            <w:shd w:val="clear" w:color="auto" w:fill="FFFFFF" w:themeFill="background1"/>
          </w:tcPr>
          <w:p w14:paraId="132CEDE2"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TN</w:t>
            </w:r>
          </w:p>
        </w:tc>
        <w:tc>
          <w:tcPr>
            <w:tcW w:w="1834" w:type="dxa"/>
            <w:shd w:val="clear" w:color="auto" w:fill="FFFFFF" w:themeFill="background1"/>
          </w:tcPr>
          <w:p w14:paraId="3DAEC387"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Sensitivity</w:t>
            </w:r>
          </w:p>
          <w:p w14:paraId="748FF65E"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c>
          <w:tcPr>
            <w:tcW w:w="1835" w:type="dxa"/>
            <w:shd w:val="clear" w:color="auto" w:fill="FFFFFF" w:themeFill="background1"/>
          </w:tcPr>
          <w:p w14:paraId="51EB7CAB"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Specificity</w:t>
            </w:r>
          </w:p>
          <w:p w14:paraId="521A8429"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c>
          <w:tcPr>
            <w:tcW w:w="3332" w:type="dxa"/>
            <w:shd w:val="clear" w:color="auto" w:fill="FFFFFF" w:themeFill="background1"/>
          </w:tcPr>
          <w:p w14:paraId="5E4D0324"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Source</w:t>
            </w:r>
          </w:p>
        </w:tc>
      </w:tr>
      <w:tr w:rsidR="00A469B7" w:rsidRPr="00A469B7" w14:paraId="31474EA2" w14:textId="77777777" w:rsidTr="00A71AB3">
        <w:tc>
          <w:tcPr>
            <w:tcW w:w="1877" w:type="dxa"/>
            <w:shd w:val="clear" w:color="auto" w:fill="FFFFFF" w:themeFill="background1"/>
          </w:tcPr>
          <w:p w14:paraId="4BF4848A"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Foster (2007)</w:t>
            </w:r>
          </w:p>
        </w:tc>
        <w:tc>
          <w:tcPr>
            <w:tcW w:w="970" w:type="dxa"/>
            <w:shd w:val="clear" w:color="auto" w:fill="FFFFFF" w:themeFill="background1"/>
          </w:tcPr>
          <w:p w14:paraId="7E8D75AD"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a</w:t>
            </w:r>
          </w:p>
          <w:p w14:paraId="13E85BFF"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b</w:t>
            </w:r>
          </w:p>
        </w:tc>
        <w:tc>
          <w:tcPr>
            <w:tcW w:w="679" w:type="dxa"/>
            <w:shd w:val="clear" w:color="auto" w:fill="FFFFFF" w:themeFill="background1"/>
          </w:tcPr>
          <w:p w14:paraId="541DF9B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1D019E2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61" w:type="dxa"/>
            <w:shd w:val="clear" w:color="auto" w:fill="FFFFFF" w:themeFill="background1"/>
          </w:tcPr>
          <w:p w14:paraId="621DDCC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2EAB42CA"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80" w:type="dxa"/>
            <w:shd w:val="clear" w:color="auto" w:fill="FFFFFF" w:themeFill="background1"/>
          </w:tcPr>
          <w:p w14:paraId="7B2E155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31F4F81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80" w:type="dxa"/>
            <w:shd w:val="clear" w:color="auto" w:fill="FFFFFF" w:themeFill="background1"/>
          </w:tcPr>
          <w:p w14:paraId="1DDEED7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p w14:paraId="0C48B6EA"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834" w:type="dxa"/>
            <w:shd w:val="clear" w:color="auto" w:fill="FFFFFF" w:themeFill="background1"/>
          </w:tcPr>
          <w:p w14:paraId="5C9DE9D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96% [NR]</w:t>
            </w:r>
          </w:p>
          <w:p w14:paraId="3120340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98% [NR]</w:t>
            </w:r>
          </w:p>
        </w:tc>
        <w:tc>
          <w:tcPr>
            <w:tcW w:w="1835" w:type="dxa"/>
            <w:shd w:val="clear" w:color="auto" w:fill="FFFFFF" w:themeFill="background1"/>
          </w:tcPr>
          <w:p w14:paraId="3B79758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59% [NR]</w:t>
            </w:r>
          </w:p>
          <w:p w14:paraId="3D9E3BE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73% [NR]</w:t>
            </w:r>
          </w:p>
        </w:tc>
        <w:tc>
          <w:tcPr>
            <w:tcW w:w="3332" w:type="dxa"/>
            <w:shd w:val="clear" w:color="auto" w:fill="FFFFFF" w:themeFill="background1"/>
          </w:tcPr>
          <w:p w14:paraId="7A6C8C17"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Foster (2007), p.2623, Table 5</w:t>
            </w:r>
          </w:p>
        </w:tc>
      </w:tr>
      <w:tr w:rsidR="00A469B7" w:rsidRPr="00A469B7" w14:paraId="629818AD" w14:textId="77777777" w:rsidTr="00A71AB3">
        <w:tc>
          <w:tcPr>
            <w:tcW w:w="1877" w:type="dxa"/>
            <w:shd w:val="clear" w:color="auto" w:fill="FFFFFF" w:themeFill="background1"/>
          </w:tcPr>
          <w:p w14:paraId="17A0757F"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Jagust (2007)</w:t>
            </w:r>
          </w:p>
        </w:tc>
        <w:tc>
          <w:tcPr>
            <w:tcW w:w="970" w:type="dxa"/>
            <w:shd w:val="clear" w:color="auto" w:fill="FFFFFF" w:themeFill="background1"/>
          </w:tcPr>
          <w:p w14:paraId="01C8380C"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679" w:type="dxa"/>
            <w:shd w:val="clear" w:color="auto" w:fill="FFFFFF" w:themeFill="background1"/>
          </w:tcPr>
          <w:p w14:paraId="791ACC9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19</w:t>
            </w:r>
          </w:p>
        </w:tc>
        <w:tc>
          <w:tcPr>
            <w:tcW w:w="661" w:type="dxa"/>
            <w:shd w:val="clear" w:color="auto" w:fill="FFFFFF" w:themeFill="background1"/>
          </w:tcPr>
          <w:p w14:paraId="1427D1D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680" w:type="dxa"/>
            <w:shd w:val="clear" w:color="auto" w:fill="FFFFFF" w:themeFill="background1"/>
          </w:tcPr>
          <w:p w14:paraId="56A90D6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tc>
        <w:tc>
          <w:tcPr>
            <w:tcW w:w="680" w:type="dxa"/>
            <w:shd w:val="clear" w:color="auto" w:fill="FFFFFF" w:themeFill="background1"/>
          </w:tcPr>
          <w:p w14:paraId="2E72FC8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w:t>
            </w: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4ED36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86% [65%-97%]</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710389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69% [39%-91%]</w:t>
            </w:r>
          </w:p>
        </w:tc>
        <w:tc>
          <w:tcPr>
            <w:tcW w:w="3332" w:type="dxa"/>
            <w:shd w:val="clear" w:color="auto" w:fill="FFFFFF" w:themeFill="background1"/>
          </w:tcPr>
          <w:p w14:paraId="545882A0"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Jagust (2007), p.874 (in text)</w:t>
            </w:r>
          </w:p>
        </w:tc>
      </w:tr>
      <w:tr w:rsidR="00A469B7" w:rsidRPr="00A469B7" w14:paraId="7AFE583D" w14:textId="77777777" w:rsidTr="00A71AB3">
        <w:tc>
          <w:tcPr>
            <w:tcW w:w="1877" w:type="dxa"/>
            <w:shd w:val="clear" w:color="auto" w:fill="FFFFFF" w:themeFill="background1"/>
          </w:tcPr>
          <w:p w14:paraId="7FF79BE8"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Jagust (2001)</w:t>
            </w:r>
          </w:p>
        </w:tc>
        <w:tc>
          <w:tcPr>
            <w:tcW w:w="970" w:type="dxa"/>
            <w:shd w:val="clear" w:color="auto" w:fill="FFFFFF" w:themeFill="background1"/>
          </w:tcPr>
          <w:p w14:paraId="5925052C"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679" w:type="dxa"/>
            <w:shd w:val="clear" w:color="auto" w:fill="FFFFFF" w:themeFill="background1"/>
          </w:tcPr>
          <w:p w14:paraId="7C44466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29</w:t>
            </w:r>
          </w:p>
        </w:tc>
        <w:tc>
          <w:tcPr>
            <w:tcW w:w="661" w:type="dxa"/>
            <w:shd w:val="clear" w:color="auto" w:fill="FFFFFF" w:themeFill="background1"/>
          </w:tcPr>
          <w:p w14:paraId="624E641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680" w:type="dxa"/>
            <w:shd w:val="clear" w:color="auto" w:fill="FFFFFF" w:themeFill="background1"/>
          </w:tcPr>
          <w:p w14:paraId="7463A67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17</w:t>
            </w:r>
          </w:p>
        </w:tc>
        <w:tc>
          <w:tcPr>
            <w:tcW w:w="680" w:type="dxa"/>
            <w:shd w:val="clear" w:color="auto" w:fill="FFFFFF" w:themeFill="background1"/>
          </w:tcPr>
          <w:p w14:paraId="2DF52B3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18</w:t>
            </w: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86F79B" w14:textId="1EB7F9CD"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63% [48%-77%]</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D5B201"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75% [53%- 90%]</w:t>
            </w:r>
          </w:p>
        </w:tc>
        <w:tc>
          <w:tcPr>
            <w:tcW w:w="3332" w:type="dxa"/>
            <w:shd w:val="clear" w:color="auto" w:fill="FFFFFF" w:themeFill="background1"/>
          </w:tcPr>
          <w:p w14:paraId="1E1A88C9" w14:textId="27E390A0"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Jagust (2001), p.953</w:t>
            </w:r>
          </w:p>
        </w:tc>
      </w:tr>
      <w:tr w:rsidR="00A469B7" w:rsidRPr="00A469B7" w14:paraId="0071B231" w14:textId="77777777" w:rsidTr="00A71AB3">
        <w:tc>
          <w:tcPr>
            <w:tcW w:w="1877" w:type="dxa"/>
            <w:shd w:val="clear" w:color="auto" w:fill="FFFFFF" w:themeFill="background1"/>
          </w:tcPr>
          <w:p w14:paraId="0A8C1878"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Silverman (2001)</w:t>
            </w:r>
          </w:p>
        </w:tc>
        <w:tc>
          <w:tcPr>
            <w:tcW w:w="970" w:type="dxa"/>
            <w:shd w:val="clear" w:color="auto" w:fill="FFFFFF" w:themeFill="background1"/>
          </w:tcPr>
          <w:p w14:paraId="3B937442"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679" w:type="dxa"/>
            <w:shd w:val="clear" w:color="auto" w:fill="FFFFFF" w:themeFill="background1"/>
          </w:tcPr>
          <w:p w14:paraId="22DFD87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91</w:t>
            </w:r>
          </w:p>
        </w:tc>
        <w:tc>
          <w:tcPr>
            <w:tcW w:w="661" w:type="dxa"/>
            <w:shd w:val="clear" w:color="auto" w:fill="FFFFFF" w:themeFill="background1"/>
          </w:tcPr>
          <w:p w14:paraId="007F90C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11</w:t>
            </w:r>
          </w:p>
        </w:tc>
        <w:tc>
          <w:tcPr>
            <w:tcW w:w="680" w:type="dxa"/>
            <w:shd w:val="clear" w:color="auto" w:fill="FFFFFF" w:themeFill="background1"/>
          </w:tcPr>
          <w:p w14:paraId="38E172A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680" w:type="dxa"/>
            <w:shd w:val="clear" w:color="auto" w:fill="FFFFFF" w:themeFill="background1"/>
          </w:tcPr>
          <w:p w14:paraId="3BF7C35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30</w:t>
            </w:r>
          </w:p>
        </w:tc>
        <w:tc>
          <w:tcPr>
            <w:tcW w:w="1834" w:type="dxa"/>
            <w:shd w:val="clear" w:color="auto" w:fill="FFFFFF" w:themeFill="background1"/>
          </w:tcPr>
          <w:p w14:paraId="2B0DA3A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94% [87%-98%]</w:t>
            </w:r>
          </w:p>
        </w:tc>
        <w:tc>
          <w:tcPr>
            <w:tcW w:w="1835" w:type="dxa"/>
            <w:shd w:val="clear" w:color="auto" w:fill="FFFFFF" w:themeFill="background1"/>
          </w:tcPr>
          <w:p w14:paraId="454CA06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73% [57%-86%]</w:t>
            </w:r>
          </w:p>
        </w:tc>
        <w:tc>
          <w:tcPr>
            <w:tcW w:w="3332" w:type="dxa"/>
            <w:shd w:val="clear" w:color="auto" w:fill="FFFFFF" w:themeFill="background1"/>
          </w:tcPr>
          <w:p w14:paraId="27B25B9F"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Silverman (2001), p.2123, Table 2</w:t>
            </w:r>
          </w:p>
        </w:tc>
      </w:tr>
      <w:tr w:rsidR="00A469B7" w:rsidRPr="00A469B7" w14:paraId="25379FE9" w14:textId="77777777" w:rsidTr="00A71AB3">
        <w:tc>
          <w:tcPr>
            <w:tcW w:w="1877" w:type="dxa"/>
            <w:shd w:val="clear" w:color="auto" w:fill="FFFFFF" w:themeFill="background1"/>
          </w:tcPr>
          <w:p w14:paraId="24CDA398"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Hoffman (2000)</w:t>
            </w:r>
          </w:p>
        </w:tc>
        <w:tc>
          <w:tcPr>
            <w:tcW w:w="970" w:type="dxa"/>
            <w:shd w:val="clear" w:color="auto" w:fill="FFFFFF" w:themeFill="background1"/>
          </w:tcPr>
          <w:p w14:paraId="0009D4FE"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c</w:t>
            </w:r>
          </w:p>
          <w:p w14:paraId="143CB9EE"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r w:rsidRPr="00A469B7">
              <w:rPr>
                <w:rFonts w:ascii="Arial Narrow" w:eastAsia="Times New Roman" w:hAnsi="Arial Narrow" w:cs="Times New Roman"/>
                <w:sz w:val="20"/>
                <w:szCs w:val="24"/>
                <w:vertAlign w:val="superscript"/>
              </w:rPr>
              <w:t>d</w:t>
            </w:r>
          </w:p>
        </w:tc>
        <w:tc>
          <w:tcPr>
            <w:tcW w:w="679" w:type="dxa"/>
            <w:shd w:val="clear" w:color="auto" w:fill="FFFFFF" w:themeFill="background1"/>
          </w:tcPr>
          <w:p w14:paraId="78B58A4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p w14:paraId="6786DF7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14</w:t>
            </w:r>
          </w:p>
        </w:tc>
        <w:tc>
          <w:tcPr>
            <w:tcW w:w="661" w:type="dxa"/>
            <w:shd w:val="clear" w:color="auto" w:fill="FFFFFF" w:themeFill="background1"/>
          </w:tcPr>
          <w:p w14:paraId="3C37356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p w14:paraId="2D08056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tc>
        <w:tc>
          <w:tcPr>
            <w:tcW w:w="680" w:type="dxa"/>
            <w:shd w:val="clear" w:color="auto" w:fill="FFFFFF" w:themeFill="background1"/>
          </w:tcPr>
          <w:p w14:paraId="27C45CF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w:t>
            </w:r>
          </w:p>
          <w:p w14:paraId="332E748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tc>
        <w:tc>
          <w:tcPr>
            <w:tcW w:w="680" w:type="dxa"/>
            <w:shd w:val="clear" w:color="auto" w:fill="FFFFFF" w:themeFill="background1"/>
          </w:tcPr>
          <w:p w14:paraId="183A076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w:t>
            </w:r>
          </w:p>
          <w:p w14:paraId="053A235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6B0AF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93% [66%-99%]</w:t>
            </w:r>
          </w:p>
          <w:p w14:paraId="7F9156D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88% [62%-98%]</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BD422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63% [25%-91%]</w:t>
            </w:r>
          </w:p>
          <w:p w14:paraId="489FE07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67% [23%-95%]</w:t>
            </w:r>
          </w:p>
        </w:tc>
        <w:tc>
          <w:tcPr>
            <w:tcW w:w="3332" w:type="dxa"/>
            <w:shd w:val="clear" w:color="auto" w:fill="FFFFFF" w:themeFill="background1"/>
          </w:tcPr>
          <w:p w14:paraId="3872BFDF"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Hoffman (2000), p.1922-3, Tables 1,3</w:t>
            </w:r>
          </w:p>
        </w:tc>
      </w:tr>
      <w:tr w:rsidR="00A469B7" w:rsidRPr="00A469B7" w14:paraId="32409917" w14:textId="77777777" w:rsidTr="00A71AB3">
        <w:tc>
          <w:tcPr>
            <w:tcW w:w="1877" w:type="dxa"/>
            <w:shd w:val="clear" w:color="auto" w:fill="FFFFFF" w:themeFill="background1"/>
          </w:tcPr>
          <w:p w14:paraId="61FE7593"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McNeill (2007)</w:t>
            </w:r>
          </w:p>
        </w:tc>
        <w:tc>
          <w:tcPr>
            <w:tcW w:w="970" w:type="dxa"/>
            <w:shd w:val="clear" w:color="auto" w:fill="FFFFFF" w:themeFill="background1"/>
          </w:tcPr>
          <w:p w14:paraId="79F170A0"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9" w:type="dxa"/>
            <w:shd w:val="clear" w:color="auto" w:fill="FFFFFF" w:themeFill="background1"/>
          </w:tcPr>
          <w:p w14:paraId="3E7A9D5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61" w:type="dxa"/>
            <w:shd w:val="clear" w:color="auto" w:fill="FFFFFF" w:themeFill="background1"/>
          </w:tcPr>
          <w:p w14:paraId="00F3E0B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80" w:type="dxa"/>
            <w:shd w:val="clear" w:color="auto" w:fill="FFFFFF" w:themeFill="background1"/>
          </w:tcPr>
          <w:p w14:paraId="27007D7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680" w:type="dxa"/>
            <w:shd w:val="clear" w:color="auto" w:fill="FFFFFF" w:themeFill="background1"/>
          </w:tcPr>
          <w:p w14:paraId="58DACFF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834" w:type="dxa"/>
            <w:shd w:val="clear" w:color="auto" w:fill="FFFFFF" w:themeFill="background1"/>
          </w:tcPr>
          <w:p w14:paraId="5D684A5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65% [45%-81%]</w:t>
            </w:r>
          </w:p>
        </w:tc>
        <w:tc>
          <w:tcPr>
            <w:tcW w:w="1835" w:type="dxa"/>
            <w:shd w:val="clear" w:color="auto" w:fill="FFFFFF" w:themeFill="background1"/>
          </w:tcPr>
          <w:p w14:paraId="04F908C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72% [51%-88%]</w:t>
            </w:r>
          </w:p>
        </w:tc>
        <w:tc>
          <w:tcPr>
            <w:tcW w:w="3332" w:type="dxa"/>
            <w:shd w:val="clear" w:color="auto" w:fill="FFFFFF" w:themeFill="background1"/>
          </w:tcPr>
          <w:p w14:paraId="60D3A3D2"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 p.634, Figure 6</w:t>
            </w:r>
          </w:p>
        </w:tc>
      </w:tr>
      <w:tr w:rsidR="00A469B7" w:rsidRPr="00A469B7" w14:paraId="69E9D5FC" w14:textId="77777777" w:rsidTr="00A71AB3">
        <w:tc>
          <w:tcPr>
            <w:tcW w:w="1877" w:type="dxa"/>
            <w:shd w:val="clear" w:color="auto" w:fill="FFFFFF" w:themeFill="background1"/>
          </w:tcPr>
          <w:p w14:paraId="733DCD1C"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(2006)</w:t>
            </w:r>
          </w:p>
        </w:tc>
        <w:tc>
          <w:tcPr>
            <w:tcW w:w="970" w:type="dxa"/>
            <w:shd w:val="clear" w:color="auto" w:fill="FFFFFF" w:themeFill="background1"/>
          </w:tcPr>
          <w:p w14:paraId="24F2AF7F"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9" w:type="dxa"/>
            <w:shd w:val="clear" w:color="auto" w:fill="FFFFFF" w:themeFill="background1"/>
          </w:tcPr>
          <w:p w14:paraId="0D436C9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26</w:t>
            </w:r>
          </w:p>
        </w:tc>
        <w:tc>
          <w:tcPr>
            <w:tcW w:w="661" w:type="dxa"/>
            <w:shd w:val="clear" w:color="auto" w:fill="FFFFFF" w:themeFill="background1"/>
          </w:tcPr>
          <w:p w14:paraId="6EA97AF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tc>
        <w:tc>
          <w:tcPr>
            <w:tcW w:w="680" w:type="dxa"/>
            <w:shd w:val="clear" w:color="auto" w:fill="FFFFFF" w:themeFill="background1"/>
          </w:tcPr>
          <w:p w14:paraId="76DFA36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680" w:type="dxa"/>
            <w:shd w:val="clear" w:color="auto" w:fill="FFFFFF" w:themeFill="background1"/>
          </w:tcPr>
          <w:p w14:paraId="7C8CBDD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17</w:t>
            </w: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5C0B6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87% [69%-96%]</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2EDCC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89% [67%-98%]</w:t>
            </w:r>
          </w:p>
        </w:tc>
        <w:tc>
          <w:tcPr>
            <w:tcW w:w="3332" w:type="dxa"/>
            <w:shd w:val="clear" w:color="auto" w:fill="FFFFFF" w:themeFill="background1"/>
          </w:tcPr>
          <w:p w14:paraId="5CD81D53"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(2006), p.377, Tables 1-2</w:t>
            </w:r>
          </w:p>
        </w:tc>
      </w:tr>
      <w:tr w:rsidR="00A469B7" w:rsidRPr="00A469B7" w14:paraId="39A7D743" w14:textId="77777777" w:rsidTr="00A71AB3">
        <w:tc>
          <w:tcPr>
            <w:tcW w:w="1877" w:type="dxa"/>
            <w:shd w:val="clear" w:color="auto" w:fill="FFFFFF" w:themeFill="background1"/>
          </w:tcPr>
          <w:p w14:paraId="4AC326C6"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(2004)</w:t>
            </w:r>
          </w:p>
        </w:tc>
        <w:tc>
          <w:tcPr>
            <w:tcW w:w="970" w:type="dxa"/>
            <w:shd w:val="clear" w:color="auto" w:fill="FFFFFF" w:themeFill="background1"/>
          </w:tcPr>
          <w:p w14:paraId="3BB347EE"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9" w:type="dxa"/>
            <w:shd w:val="clear" w:color="auto" w:fill="FFFFFF" w:themeFill="background1"/>
          </w:tcPr>
          <w:p w14:paraId="67DB52A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661" w:type="dxa"/>
            <w:shd w:val="clear" w:color="auto" w:fill="FFFFFF" w:themeFill="background1"/>
          </w:tcPr>
          <w:p w14:paraId="63FF68D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0</w:t>
            </w:r>
          </w:p>
        </w:tc>
        <w:tc>
          <w:tcPr>
            <w:tcW w:w="680" w:type="dxa"/>
            <w:shd w:val="clear" w:color="auto" w:fill="FFFFFF" w:themeFill="background1"/>
          </w:tcPr>
          <w:p w14:paraId="5865466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4</w:t>
            </w:r>
          </w:p>
        </w:tc>
        <w:tc>
          <w:tcPr>
            <w:tcW w:w="680" w:type="dxa"/>
            <w:shd w:val="clear" w:color="auto" w:fill="FFFFFF" w:themeFill="background1"/>
          </w:tcPr>
          <w:p w14:paraId="404B093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w:t>
            </w:r>
          </w:p>
        </w:tc>
        <w:tc>
          <w:tcPr>
            <w:tcW w:w="1834" w:type="dxa"/>
            <w:shd w:val="clear" w:color="auto" w:fill="FFFFFF" w:themeFill="background1"/>
          </w:tcPr>
          <w:p w14:paraId="19ADE32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60% [26%-88%]</w:t>
            </w:r>
          </w:p>
        </w:tc>
        <w:tc>
          <w:tcPr>
            <w:tcW w:w="1835" w:type="dxa"/>
            <w:shd w:val="clear" w:color="auto" w:fill="FFFFFF" w:themeFill="background1"/>
          </w:tcPr>
          <w:p w14:paraId="3EF0AE1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100% [59%-100%]</w:t>
            </w:r>
          </w:p>
        </w:tc>
        <w:tc>
          <w:tcPr>
            <w:tcW w:w="3332" w:type="dxa"/>
            <w:shd w:val="clear" w:color="auto" w:fill="FFFFFF" w:themeFill="background1"/>
          </w:tcPr>
          <w:p w14:paraId="32531DB8"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Bonte (2004), p.772, Table 1</w:t>
            </w:r>
          </w:p>
        </w:tc>
      </w:tr>
      <w:tr w:rsidR="00A469B7" w:rsidRPr="00A469B7" w14:paraId="04597134" w14:textId="77777777" w:rsidTr="00A71AB3">
        <w:tc>
          <w:tcPr>
            <w:tcW w:w="1877" w:type="dxa"/>
            <w:shd w:val="clear" w:color="auto" w:fill="FFFFFF" w:themeFill="background1"/>
          </w:tcPr>
          <w:p w14:paraId="76FA00C0" w14:textId="77777777" w:rsidR="00A469B7" w:rsidRPr="00A469B7" w:rsidRDefault="00A469B7" w:rsidP="00A469B7">
            <w:pPr>
              <w:keepNext/>
              <w:spacing w:after="0"/>
              <w:ind w:left="0"/>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Jobst (1998)</w:t>
            </w:r>
          </w:p>
        </w:tc>
        <w:tc>
          <w:tcPr>
            <w:tcW w:w="970" w:type="dxa"/>
            <w:shd w:val="clear" w:color="auto" w:fill="FFFFFF" w:themeFill="background1"/>
          </w:tcPr>
          <w:p w14:paraId="6FFBB6AA"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9" w:type="dxa"/>
            <w:shd w:val="clear" w:color="auto" w:fill="FFFFFF" w:themeFill="background1"/>
          </w:tcPr>
          <w:p w14:paraId="269B8DC6"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65</w:t>
            </w:r>
          </w:p>
        </w:tc>
        <w:tc>
          <w:tcPr>
            <w:tcW w:w="661" w:type="dxa"/>
            <w:shd w:val="clear" w:color="auto" w:fill="FFFFFF" w:themeFill="background1"/>
          </w:tcPr>
          <w:p w14:paraId="389A9BB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11</w:t>
            </w:r>
          </w:p>
        </w:tc>
        <w:tc>
          <w:tcPr>
            <w:tcW w:w="680" w:type="dxa"/>
            <w:shd w:val="clear" w:color="auto" w:fill="FFFFFF" w:themeFill="background1"/>
          </w:tcPr>
          <w:p w14:paraId="1E5419C4"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w:t>
            </w:r>
          </w:p>
        </w:tc>
        <w:tc>
          <w:tcPr>
            <w:tcW w:w="680" w:type="dxa"/>
            <w:shd w:val="clear" w:color="auto" w:fill="FFFFFF" w:themeFill="background1"/>
          </w:tcPr>
          <w:p w14:paraId="1B6D31B9"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3E8E"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89% [80%-95%]</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E8197D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54% [33%-74%]</w:t>
            </w:r>
          </w:p>
        </w:tc>
        <w:tc>
          <w:tcPr>
            <w:tcW w:w="3332" w:type="dxa"/>
            <w:shd w:val="clear" w:color="auto" w:fill="FFFFFF" w:themeFill="background1"/>
          </w:tcPr>
          <w:p w14:paraId="3CAAED2B"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Jobst (1998), p.296, Table 5</w:t>
            </w:r>
          </w:p>
        </w:tc>
      </w:tr>
      <w:tr w:rsidR="00A469B7" w:rsidRPr="00A469B7" w14:paraId="52E24934" w14:textId="77777777" w:rsidTr="00A71AB3">
        <w:tc>
          <w:tcPr>
            <w:tcW w:w="1877" w:type="dxa"/>
            <w:shd w:val="clear" w:color="auto" w:fill="FFFFFF" w:themeFill="background1"/>
          </w:tcPr>
          <w:p w14:paraId="76587E8D"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(1997)</w:t>
            </w:r>
          </w:p>
        </w:tc>
        <w:tc>
          <w:tcPr>
            <w:tcW w:w="970" w:type="dxa"/>
            <w:shd w:val="clear" w:color="auto" w:fill="FFFFFF" w:themeFill="background1"/>
          </w:tcPr>
          <w:p w14:paraId="3BFBDCF0"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679" w:type="dxa"/>
            <w:shd w:val="clear" w:color="auto" w:fill="FFFFFF" w:themeFill="background1"/>
          </w:tcPr>
          <w:p w14:paraId="4857A47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37</w:t>
            </w:r>
          </w:p>
        </w:tc>
        <w:tc>
          <w:tcPr>
            <w:tcW w:w="661" w:type="dxa"/>
            <w:shd w:val="clear" w:color="auto" w:fill="FFFFFF" w:themeFill="background1"/>
          </w:tcPr>
          <w:p w14:paraId="654CB1A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tc>
        <w:tc>
          <w:tcPr>
            <w:tcW w:w="680" w:type="dxa"/>
            <w:shd w:val="clear" w:color="auto" w:fill="FFFFFF" w:themeFill="background1"/>
          </w:tcPr>
          <w:p w14:paraId="4A47763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680" w:type="dxa"/>
            <w:shd w:val="clear" w:color="auto" w:fill="FFFFFF" w:themeFill="background1"/>
          </w:tcPr>
          <w:p w14:paraId="328FA23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w:t>
            </w:r>
          </w:p>
        </w:tc>
        <w:tc>
          <w:tcPr>
            <w:tcW w:w="1834" w:type="dxa"/>
            <w:shd w:val="clear" w:color="auto" w:fill="FFFFFF" w:themeFill="background1"/>
          </w:tcPr>
          <w:p w14:paraId="4B4F816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86% [72%-95%]</w:t>
            </w:r>
          </w:p>
        </w:tc>
        <w:tc>
          <w:tcPr>
            <w:tcW w:w="1835" w:type="dxa"/>
            <w:shd w:val="clear" w:color="auto" w:fill="FFFFFF" w:themeFill="background1"/>
          </w:tcPr>
          <w:p w14:paraId="44235F2C"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73% [39%-94%]</w:t>
            </w:r>
          </w:p>
        </w:tc>
        <w:tc>
          <w:tcPr>
            <w:tcW w:w="3332" w:type="dxa"/>
            <w:shd w:val="clear" w:color="auto" w:fill="FFFFFF" w:themeFill="background1"/>
          </w:tcPr>
          <w:p w14:paraId="1C06FB45"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(1997), p.795-6, Table 1-2</w:t>
            </w:r>
          </w:p>
        </w:tc>
      </w:tr>
      <w:tr w:rsidR="00A469B7" w:rsidRPr="00A469B7" w14:paraId="101C565B" w14:textId="77777777" w:rsidTr="00A71AB3">
        <w:tc>
          <w:tcPr>
            <w:tcW w:w="1877" w:type="dxa"/>
            <w:shd w:val="clear" w:color="auto" w:fill="FFFFFF" w:themeFill="background1"/>
          </w:tcPr>
          <w:p w14:paraId="4E1F2023"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Bonte (1993)</w:t>
            </w:r>
          </w:p>
        </w:tc>
        <w:tc>
          <w:tcPr>
            <w:tcW w:w="970" w:type="dxa"/>
            <w:shd w:val="clear" w:color="auto" w:fill="FFFFFF" w:themeFill="background1"/>
          </w:tcPr>
          <w:p w14:paraId="1B20CD29"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r w:rsidRPr="00A469B7">
              <w:rPr>
                <w:rFonts w:ascii="Arial Narrow" w:eastAsia="Times New Roman" w:hAnsi="Arial Narrow" w:cs="Times New Roman"/>
                <w:sz w:val="20"/>
                <w:szCs w:val="24"/>
                <w:vertAlign w:val="superscript"/>
              </w:rPr>
              <w:t>e</w:t>
            </w:r>
            <w:r w:rsidRPr="00A469B7">
              <w:rPr>
                <w:rFonts w:ascii="Arial Narrow" w:eastAsia="Times New Roman" w:hAnsi="Arial Narrow" w:cs="Times New Roman"/>
                <w:sz w:val="20"/>
                <w:szCs w:val="24"/>
              </w:rPr>
              <w:t xml:space="preserve"> </w:t>
            </w:r>
          </w:p>
          <w:p w14:paraId="546B6DB1"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r w:rsidRPr="00A469B7">
              <w:rPr>
                <w:rFonts w:ascii="Arial Narrow" w:eastAsia="Times New Roman" w:hAnsi="Arial Narrow" w:cs="Times New Roman"/>
                <w:sz w:val="20"/>
                <w:szCs w:val="24"/>
                <w:vertAlign w:val="superscript"/>
              </w:rPr>
              <w:t>f</w:t>
            </w:r>
          </w:p>
        </w:tc>
        <w:tc>
          <w:tcPr>
            <w:tcW w:w="679" w:type="dxa"/>
            <w:shd w:val="clear" w:color="auto" w:fill="FFFFFF" w:themeFill="background1"/>
          </w:tcPr>
          <w:p w14:paraId="385C0A4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11</w:t>
            </w:r>
          </w:p>
          <w:p w14:paraId="3E03EE2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c>
          <w:tcPr>
            <w:tcW w:w="661" w:type="dxa"/>
            <w:shd w:val="clear" w:color="auto" w:fill="FFFFFF" w:themeFill="background1"/>
          </w:tcPr>
          <w:p w14:paraId="37D3771A"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p w14:paraId="468CF7BD"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0</w:t>
            </w:r>
          </w:p>
        </w:tc>
        <w:tc>
          <w:tcPr>
            <w:tcW w:w="680" w:type="dxa"/>
            <w:shd w:val="clear" w:color="auto" w:fill="FFFFFF" w:themeFill="background1"/>
          </w:tcPr>
          <w:p w14:paraId="2908D897"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p w14:paraId="5369E4E8"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0</w:t>
            </w:r>
          </w:p>
        </w:tc>
        <w:tc>
          <w:tcPr>
            <w:tcW w:w="680" w:type="dxa"/>
            <w:shd w:val="clear" w:color="auto" w:fill="FFFFFF" w:themeFill="background1"/>
          </w:tcPr>
          <w:p w14:paraId="207F8022"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w:t>
            </w:r>
          </w:p>
          <w:p w14:paraId="566368C0"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w:t>
            </w:r>
          </w:p>
        </w:tc>
        <w:tc>
          <w:tcPr>
            <w:tcW w:w="1834" w:type="dxa"/>
            <w:shd w:val="clear" w:color="auto" w:fill="FFFFFF" w:themeFill="background1"/>
          </w:tcPr>
          <w:p w14:paraId="3EB663C5"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79% [49%-95%]</w:t>
            </w:r>
          </w:p>
          <w:p w14:paraId="761E441F"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100% [75%-100%]</w:t>
            </w:r>
          </w:p>
        </w:tc>
        <w:tc>
          <w:tcPr>
            <w:tcW w:w="1835" w:type="dxa"/>
            <w:shd w:val="clear" w:color="auto" w:fill="FFFFFF" w:themeFill="background1"/>
          </w:tcPr>
          <w:p w14:paraId="02284503"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50% [8%-92%]</w:t>
            </w:r>
          </w:p>
          <w:p w14:paraId="5DEC3F5B" w14:textId="77777777" w:rsidR="00A469B7" w:rsidRPr="00A469B7" w:rsidRDefault="00A469B7" w:rsidP="00A469B7">
            <w:pPr>
              <w:keepNext/>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100% [30%-100%]</w:t>
            </w:r>
          </w:p>
        </w:tc>
        <w:tc>
          <w:tcPr>
            <w:tcW w:w="3332" w:type="dxa"/>
            <w:shd w:val="clear" w:color="auto" w:fill="FFFFFF" w:themeFill="background1"/>
          </w:tcPr>
          <w:p w14:paraId="4B4779E6" w14:textId="77777777" w:rsidR="00A469B7" w:rsidRPr="00A469B7" w:rsidRDefault="00A469B7" w:rsidP="00A469B7">
            <w:pPr>
              <w:keepNext/>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Calculated: Bonte (1993), p.364, Table 4</w:t>
            </w:r>
          </w:p>
        </w:tc>
      </w:tr>
    </w:tbl>
    <w:p w14:paraId="2A29A6D2" w14:textId="44BC52D8" w:rsidR="00A469B7" w:rsidRPr="00A469B7" w:rsidRDefault="00A469B7" w:rsidP="00986085">
      <w:pPr>
        <w:spacing w:after="360"/>
        <w:ind w:right="775"/>
        <w:contextualSpacing/>
        <w:rPr>
          <w:rFonts w:ascii="Arial Narrow" w:hAnsi="Arial Narrow"/>
          <w:sz w:val="16"/>
          <w:szCs w:val="16"/>
        </w:rPr>
      </w:pPr>
      <w:r w:rsidRPr="00A469B7">
        <w:rPr>
          <w:rFonts w:ascii="Arial Narrow" w:hAnsi="Arial Narrow"/>
          <w:sz w:val="16"/>
          <w:szCs w:val="16"/>
        </w:rPr>
        <w:t>Abbreviations: CI, confidence interval; F</w:t>
      </w:r>
      <w:r w:rsidR="00986085">
        <w:rPr>
          <w:rFonts w:ascii="Arial Narrow" w:hAnsi="Arial Narrow"/>
          <w:sz w:val="16"/>
          <w:szCs w:val="16"/>
        </w:rPr>
        <w:t>DG</w:t>
      </w:r>
      <w:r w:rsidRPr="00A469B7">
        <w:rPr>
          <w:rFonts w:ascii="Arial Narrow" w:hAnsi="Arial Narrow"/>
          <w:sz w:val="16"/>
          <w:szCs w:val="16"/>
        </w:rPr>
        <w:t>, flu</w:t>
      </w:r>
      <w:r w:rsidR="008F0DD0">
        <w:rPr>
          <w:rFonts w:ascii="Arial Narrow" w:hAnsi="Arial Narrow"/>
          <w:sz w:val="16"/>
          <w:szCs w:val="16"/>
        </w:rPr>
        <w:t>o</w:t>
      </w:r>
      <w:r w:rsidRPr="00A469B7">
        <w:rPr>
          <w:rFonts w:ascii="Arial Narrow" w:hAnsi="Arial Narrow"/>
          <w:sz w:val="16"/>
          <w:szCs w:val="16"/>
        </w:rPr>
        <w:t>rodeoxyglucose; FN, false</w:t>
      </w:r>
      <w:r w:rsidR="000E05F2">
        <w:rPr>
          <w:rFonts w:ascii="Arial Narrow" w:hAnsi="Arial Narrow"/>
          <w:sz w:val="16"/>
          <w:szCs w:val="16"/>
        </w:rPr>
        <w:t xml:space="preserve"> </w:t>
      </w:r>
      <w:r w:rsidRPr="00A469B7">
        <w:rPr>
          <w:rFonts w:ascii="Arial Narrow" w:hAnsi="Arial Narrow"/>
          <w:sz w:val="16"/>
          <w:szCs w:val="16"/>
        </w:rPr>
        <w:t>negative; FP, false</w:t>
      </w:r>
      <w:r w:rsidR="000E05F2">
        <w:rPr>
          <w:rFonts w:ascii="Arial Narrow" w:hAnsi="Arial Narrow"/>
          <w:sz w:val="16"/>
          <w:szCs w:val="16"/>
        </w:rPr>
        <w:t xml:space="preserve"> </w:t>
      </w:r>
      <w:r w:rsidRPr="00A469B7">
        <w:rPr>
          <w:rFonts w:ascii="Arial Narrow" w:hAnsi="Arial Narrow"/>
          <w:sz w:val="16"/>
          <w:szCs w:val="16"/>
        </w:rPr>
        <w:t xml:space="preserve">positive; NR, not reported; </w:t>
      </w:r>
      <w:r w:rsidR="00986085">
        <w:rPr>
          <w:rFonts w:ascii="Arial Narrow" w:hAnsi="Arial Narrow"/>
          <w:sz w:val="16"/>
          <w:szCs w:val="16"/>
        </w:rPr>
        <w:t xml:space="preserve">PET, positron emission tomography; </w:t>
      </w:r>
      <w:r w:rsidRPr="00A469B7">
        <w:rPr>
          <w:rFonts w:ascii="Arial Narrow" w:hAnsi="Arial Narrow"/>
          <w:sz w:val="16"/>
          <w:szCs w:val="16"/>
        </w:rPr>
        <w:t>SPECT, single-photon emission computed tomography; TN, true</w:t>
      </w:r>
      <w:r w:rsidR="0064732B">
        <w:rPr>
          <w:rFonts w:ascii="Arial Narrow" w:hAnsi="Arial Narrow"/>
          <w:sz w:val="16"/>
          <w:szCs w:val="16"/>
        </w:rPr>
        <w:t xml:space="preserve"> </w:t>
      </w:r>
      <w:r w:rsidRPr="00A469B7">
        <w:rPr>
          <w:rFonts w:ascii="Arial Narrow" w:hAnsi="Arial Narrow"/>
          <w:sz w:val="16"/>
          <w:szCs w:val="16"/>
        </w:rPr>
        <w:t>negative; TP, true</w:t>
      </w:r>
      <w:r w:rsidR="0064732B">
        <w:rPr>
          <w:rFonts w:ascii="Arial Narrow" w:hAnsi="Arial Narrow"/>
          <w:sz w:val="16"/>
          <w:szCs w:val="16"/>
        </w:rPr>
        <w:t xml:space="preserve"> </w:t>
      </w:r>
      <w:r w:rsidRPr="00A469B7">
        <w:rPr>
          <w:rFonts w:ascii="Arial Narrow" w:hAnsi="Arial Narrow"/>
          <w:sz w:val="16"/>
          <w:szCs w:val="16"/>
        </w:rPr>
        <w:t>positive.</w:t>
      </w:r>
    </w:p>
    <w:p w14:paraId="1AF17DE3" w14:textId="77777777" w:rsidR="00A469B7" w:rsidRPr="00A469B7" w:rsidRDefault="00A469B7" w:rsidP="000166DA">
      <w:pPr>
        <w:spacing w:after="360"/>
        <w:ind w:left="0" w:firstLine="720"/>
        <w:contextualSpacing/>
        <w:rPr>
          <w:rFonts w:ascii="Arial Narrow" w:hAnsi="Arial Narrow"/>
          <w:sz w:val="16"/>
          <w:szCs w:val="16"/>
          <w:vertAlign w:val="superscript"/>
        </w:rPr>
      </w:pPr>
      <w:r w:rsidRPr="00A469B7">
        <w:rPr>
          <w:rFonts w:ascii="Arial Narrow" w:hAnsi="Arial Narrow"/>
          <w:sz w:val="16"/>
          <w:szCs w:val="16"/>
          <w:vertAlign w:val="superscript"/>
        </w:rPr>
        <w:t xml:space="preserve">a </w:t>
      </w:r>
      <w:r w:rsidRPr="00A469B7">
        <w:rPr>
          <w:rFonts w:ascii="Arial Narrow" w:hAnsi="Arial Narrow"/>
          <w:sz w:val="16"/>
          <w:szCs w:val="16"/>
        </w:rPr>
        <w:t>Transaxial assessment</w:t>
      </w:r>
    </w:p>
    <w:p w14:paraId="3D773EC3" w14:textId="22095CF3" w:rsidR="00A469B7" w:rsidRPr="00A469B7" w:rsidRDefault="00A469B7" w:rsidP="000166DA">
      <w:pPr>
        <w:spacing w:after="360"/>
        <w:contextualSpacing/>
        <w:rPr>
          <w:rFonts w:ascii="Arial Narrow" w:hAnsi="Arial Narrow"/>
          <w:sz w:val="16"/>
          <w:szCs w:val="16"/>
          <w:vertAlign w:val="superscript"/>
        </w:rPr>
      </w:pPr>
      <w:r w:rsidRPr="00A469B7">
        <w:rPr>
          <w:rFonts w:ascii="Arial Narrow" w:hAnsi="Arial Narrow"/>
          <w:sz w:val="16"/>
          <w:szCs w:val="16"/>
          <w:vertAlign w:val="superscript"/>
        </w:rPr>
        <w:t xml:space="preserve">b </w:t>
      </w:r>
      <w:r w:rsidRPr="00A469B7">
        <w:rPr>
          <w:rFonts w:ascii="Arial Narrow" w:hAnsi="Arial Narrow"/>
          <w:sz w:val="16"/>
          <w:szCs w:val="16"/>
        </w:rPr>
        <w:t>Voxel-wise method (</w:t>
      </w:r>
      <w:r w:rsidR="00550781">
        <w:rPr>
          <w:rFonts w:ascii="Arial Narrow" w:hAnsi="Arial Narrow"/>
          <w:sz w:val="16"/>
          <w:szCs w:val="16"/>
        </w:rPr>
        <w:t>SSP).</w:t>
      </w:r>
    </w:p>
    <w:p w14:paraId="22AF9BC1" w14:textId="77777777"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c</w:t>
      </w:r>
      <w:r w:rsidRPr="00A469B7">
        <w:rPr>
          <w:rFonts w:ascii="Arial Narrow" w:hAnsi="Arial Narrow"/>
          <w:sz w:val="16"/>
          <w:szCs w:val="16"/>
        </w:rPr>
        <w:t xml:space="preserve"> Diagnostic accuracy results when only a single pathology was present.</w:t>
      </w:r>
    </w:p>
    <w:p w14:paraId="45F6F795" w14:textId="77777777"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d</w:t>
      </w:r>
      <w:r w:rsidRPr="00A469B7">
        <w:rPr>
          <w:rFonts w:ascii="Arial Narrow" w:hAnsi="Arial Narrow"/>
          <w:sz w:val="16"/>
          <w:szCs w:val="16"/>
        </w:rPr>
        <w:t xml:space="preserve"> Diagnostic accuracy results when two pathologic diagnoses were present (AD + other).</w:t>
      </w:r>
    </w:p>
    <w:p w14:paraId="2E84D902" w14:textId="0D523A41"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e</w:t>
      </w:r>
      <w:r w:rsidRPr="00A469B7">
        <w:rPr>
          <w:rFonts w:ascii="Arial Narrow" w:hAnsi="Arial Narrow"/>
          <w:sz w:val="16"/>
          <w:szCs w:val="16"/>
        </w:rPr>
        <w:t xml:space="preserve"> Visual assessment</w:t>
      </w:r>
      <w:r w:rsidR="00550781">
        <w:rPr>
          <w:rFonts w:ascii="Arial Narrow" w:hAnsi="Arial Narrow"/>
          <w:sz w:val="16"/>
          <w:szCs w:val="16"/>
        </w:rPr>
        <w:t>.</w:t>
      </w:r>
    </w:p>
    <w:p w14:paraId="3985FF50" w14:textId="2D579727" w:rsidR="00A469B7" w:rsidRPr="00A469B7" w:rsidRDefault="00A469B7" w:rsidP="000166DA">
      <w:pPr>
        <w:spacing w:after="360"/>
        <w:contextualSpacing/>
        <w:rPr>
          <w:rFonts w:ascii="Arial Narrow" w:hAnsi="Arial Narrow"/>
          <w:sz w:val="16"/>
          <w:szCs w:val="16"/>
        </w:rPr>
      </w:pPr>
      <w:r w:rsidRPr="00A469B7">
        <w:rPr>
          <w:rFonts w:ascii="Arial Narrow" w:hAnsi="Arial Narrow"/>
          <w:sz w:val="16"/>
          <w:szCs w:val="16"/>
          <w:vertAlign w:val="superscript"/>
        </w:rPr>
        <w:t>f</w:t>
      </w:r>
      <w:r w:rsidRPr="00A469B7">
        <w:rPr>
          <w:rFonts w:ascii="Arial Narrow" w:hAnsi="Arial Narrow"/>
          <w:sz w:val="16"/>
          <w:szCs w:val="16"/>
        </w:rPr>
        <w:t xml:space="preserve"> Ratio ROI/WBF</w:t>
      </w:r>
      <w:r w:rsidR="0003027D">
        <w:rPr>
          <w:rFonts w:ascii="Arial Narrow" w:hAnsi="Arial Narrow"/>
          <w:sz w:val="16"/>
          <w:szCs w:val="16"/>
        </w:rPr>
        <w:t>.</w:t>
      </w:r>
    </w:p>
    <w:p w14:paraId="64A074E1" w14:textId="77777777" w:rsidR="00A469B7" w:rsidRPr="00A469B7" w:rsidRDefault="00A469B7" w:rsidP="002179F6">
      <w:pPr>
        <w:ind w:left="0"/>
        <w:sectPr w:rsidR="00A469B7" w:rsidRPr="00A469B7" w:rsidSect="00A71AB3">
          <w:footerReference w:type="default" r:id="rId24"/>
          <w:pgSz w:w="16838" w:h="11906" w:orient="landscape" w:code="9"/>
          <w:pgMar w:top="1440" w:right="1440" w:bottom="1440" w:left="1440" w:header="680" w:footer="1021" w:gutter="0"/>
          <w:cols w:space="708"/>
          <w:docGrid w:linePitch="360"/>
        </w:sectPr>
      </w:pPr>
    </w:p>
    <w:p w14:paraId="13914508" w14:textId="07C310C6" w:rsidR="00A469B7" w:rsidRPr="00A469B7" w:rsidRDefault="00A469B7" w:rsidP="006815DC">
      <w:pPr>
        <w:pStyle w:val="Caption"/>
      </w:pPr>
      <w:bookmarkStart w:id="130" w:name="_Ref406404883"/>
      <w:bookmarkStart w:id="131" w:name="_Ref406416362"/>
      <w:bookmarkStart w:id="132" w:name="_Toc406401397"/>
      <w:bookmarkStart w:id="133" w:name="_Toc408845220"/>
      <w:r w:rsidRPr="00A469B7">
        <w:lastRenderedPageBreak/>
        <w:t xml:space="preserve">Table </w:t>
      </w:r>
      <w:fldSimple w:instr=" STYLEREF 2 \s ">
        <w:r w:rsidR="00C67698">
          <w:rPr>
            <w:noProof/>
          </w:rPr>
          <w:t>B.6</w:t>
        </w:r>
      </w:fldSimple>
      <w:r w:rsidR="00524916">
        <w:noBreakHyphen/>
      </w:r>
      <w:fldSimple w:instr=" SEQ Table \* ARABIC \s 2 ">
        <w:r w:rsidR="00C67698">
          <w:rPr>
            <w:noProof/>
          </w:rPr>
          <w:t>7</w:t>
        </w:r>
      </w:fldSimple>
      <w:bookmarkEnd w:id="130"/>
      <w:bookmarkEnd w:id="131"/>
      <w:r w:rsidR="00330F7C">
        <w:rPr>
          <w:noProof/>
        </w:rPr>
        <w:tab/>
        <w:t>Test</w:t>
      </w:r>
      <w:r w:rsidRPr="00A469B7">
        <w:rPr>
          <w:noProof/>
        </w:rPr>
        <w:t xml:space="preserve"> results and true disease state in patients with AD v</w:t>
      </w:r>
      <w:r w:rsidR="00576EE5">
        <w:rPr>
          <w:noProof/>
        </w:rPr>
        <w:t>ersus</w:t>
      </w:r>
      <w:r w:rsidRPr="00A469B7">
        <w:rPr>
          <w:noProof/>
        </w:rPr>
        <w:t xml:space="preserve"> other dementias</w:t>
      </w:r>
      <w:bookmarkEnd w:id="132"/>
      <w:bookmarkEnd w:id="133"/>
      <w:r w:rsidRPr="00A469B7">
        <w:rPr>
          <w:noProof/>
        </w:rPr>
        <w:t xml:space="preserve">  </w:t>
      </w:r>
    </w:p>
    <w:tbl>
      <w:tblPr>
        <w:tblStyle w:val="TableGrid"/>
        <w:tblW w:w="0" w:type="auto"/>
        <w:tblInd w:w="720" w:type="dxa"/>
        <w:tblLook w:val="04A0" w:firstRow="1" w:lastRow="0" w:firstColumn="1" w:lastColumn="0" w:noHBand="0" w:noVBand="1"/>
        <w:tblCaption w:val="The test results and true disease state in patients with AD versus other dementias  "/>
        <w:tblDescription w:val="The test results in a 2 x 2 table format for FDG-PET and SPECT"/>
      </w:tblPr>
      <w:tblGrid>
        <w:gridCol w:w="2784"/>
        <w:gridCol w:w="2759"/>
        <w:gridCol w:w="2753"/>
      </w:tblGrid>
      <w:tr w:rsidR="00A469B7" w:rsidRPr="00A469B7" w14:paraId="09EBF58D" w14:textId="77777777" w:rsidTr="00556738">
        <w:trPr>
          <w:tblHeader/>
        </w:trPr>
        <w:tc>
          <w:tcPr>
            <w:tcW w:w="2784" w:type="dxa"/>
          </w:tcPr>
          <w:p w14:paraId="4711ED6B" w14:textId="77777777" w:rsidR="00A469B7" w:rsidRPr="00A469B7" w:rsidRDefault="00A469B7" w:rsidP="00A469B7">
            <w:pPr>
              <w:keepNext/>
              <w:spacing w:after="0"/>
              <w:ind w:left="0"/>
              <w:rPr>
                <w:rFonts w:ascii="Arial Narrow" w:eastAsia="Times New Roman" w:hAnsi="Arial Narrow" w:cs="Arial"/>
                <w:b/>
                <w:sz w:val="20"/>
                <w:szCs w:val="20"/>
              </w:rPr>
            </w:pPr>
          </w:p>
        </w:tc>
        <w:tc>
          <w:tcPr>
            <w:tcW w:w="2759" w:type="dxa"/>
          </w:tcPr>
          <w:p w14:paraId="15CDED7A"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AD present</w:t>
            </w:r>
          </w:p>
        </w:tc>
        <w:tc>
          <w:tcPr>
            <w:tcW w:w="2753" w:type="dxa"/>
          </w:tcPr>
          <w:p w14:paraId="181C1F5D"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AD absent</w:t>
            </w:r>
          </w:p>
        </w:tc>
      </w:tr>
      <w:tr w:rsidR="00330F7C" w:rsidRPr="00A469B7" w14:paraId="0EE05E2A" w14:textId="77777777" w:rsidTr="00330F7C">
        <w:tc>
          <w:tcPr>
            <w:tcW w:w="2784" w:type="dxa"/>
            <w:shd w:val="clear" w:color="auto" w:fill="D0CECE" w:themeFill="background2" w:themeFillShade="E6"/>
          </w:tcPr>
          <w:p w14:paraId="5E3A9308" w14:textId="508927E1" w:rsidR="00330F7C" w:rsidRPr="00A469B7" w:rsidRDefault="00330F7C"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FDG-PET</w:t>
            </w:r>
          </w:p>
        </w:tc>
        <w:tc>
          <w:tcPr>
            <w:tcW w:w="2759" w:type="dxa"/>
            <w:shd w:val="clear" w:color="auto" w:fill="D0CECE" w:themeFill="background2" w:themeFillShade="E6"/>
          </w:tcPr>
          <w:p w14:paraId="08278608" w14:textId="37E1C0DD" w:rsidR="00330F7C" w:rsidRPr="00A469B7" w:rsidRDefault="00330F7C"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753" w:type="dxa"/>
            <w:shd w:val="clear" w:color="auto" w:fill="D0CECE" w:themeFill="background2" w:themeFillShade="E6"/>
          </w:tcPr>
          <w:p w14:paraId="6F4D9880" w14:textId="6AB0B8DF" w:rsidR="00330F7C" w:rsidRPr="00A469B7" w:rsidRDefault="00330F7C"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A469B7" w:rsidRPr="00A469B7" w14:paraId="1D9BDFAD" w14:textId="77777777" w:rsidTr="00A71AB3">
        <w:tc>
          <w:tcPr>
            <w:tcW w:w="2784" w:type="dxa"/>
          </w:tcPr>
          <w:p w14:paraId="3C37CFA1" w14:textId="7D728FE3" w:rsidR="00A469B7" w:rsidRPr="00A469B7" w:rsidRDefault="00330F7C"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p</w:t>
            </w:r>
            <w:r w:rsidR="00A469B7" w:rsidRPr="00A469B7">
              <w:rPr>
                <w:rFonts w:ascii="Arial Narrow" w:eastAsia="Times New Roman" w:hAnsi="Arial Narrow" w:cs="Arial"/>
                <w:b/>
                <w:sz w:val="20"/>
                <w:szCs w:val="20"/>
              </w:rPr>
              <w:t>ositive</w:t>
            </w:r>
          </w:p>
        </w:tc>
        <w:tc>
          <w:tcPr>
            <w:tcW w:w="2759" w:type="dxa"/>
          </w:tcPr>
          <w:p w14:paraId="4425302D"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155</w:t>
            </w:r>
          </w:p>
        </w:tc>
        <w:tc>
          <w:tcPr>
            <w:tcW w:w="2753" w:type="dxa"/>
          </w:tcPr>
          <w:p w14:paraId="61B5FC45"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25</w:t>
            </w:r>
          </w:p>
        </w:tc>
      </w:tr>
      <w:tr w:rsidR="00A469B7" w:rsidRPr="00A469B7" w14:paraId="4A041B30" w14:textId="77777777" w:rsidTr="00A71AB3">
        <w:tc>
          <w:tcPr>
            <w:tcW w:w="2784" w:type="dxa"/>
          </w:tcPr>
          <w:p w14:paraId="7FE0A5F1" w14:textId="39F645D5" w:rsidR="00A469B7" w:rsidRPr="00A469B7" w:rsidRDefault="00330F7C"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n</w:t>
            </w:r>
            <w:r w:rsidR="00A469B7" w:rsidRPr="00A469B7">
              <w:rPr>
                <w:rFonts w:ascii="Arial Narrow" w:eastAsia="Times New Roman" w:hAnsi="Arial Narrow" w:cs="Arial"/>
                <w:b/>
                <w:sz w:val="20"/>
                <w:szCs w:val="20"/>
              </w:rPr>
              <w:t>egative</w:t>
            </w:r>
          </w:p>
        </w:tc>
        <w:tc>
          <w:tcPr>
            <w:tcW w:w="2759" w:type="dxa"/>
          </w:tcPr>
          <w:p w14:paraId="684B144C"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29</w:t>
            </w:r>
          </w:p>
        </w:tc>
        <w:tc>
          <w:tcPr>
            <w:tcW w:w="2753" w:type="dxa"/>
          </w:tcPr>
          <w:p w14:paraId="23568A4B"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79</w:t>
            </w:r>
          </w:p>
        </w:tc>
      </w:tr>
      <w:tr w:rsidR="00A469B7" w:rsidRPr="00A469B7" w14:paraId="29CF176E" w14:textId="77777777" w:rsidTr="00A71AB3">
        <w:tc>
          <w:tcPr>
            <w:tcW w:w="2784" w:type="dxa"/>
          </w:tcPr>
          <w:p w14:paraId="1A93E645"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Sensitivity [95% CI]</w:t>
            </w:r>
          </w:p>
        </w:tc>
        <w:tc>
          <w:tcPr>
            <w:tcW w:w="2759" w:type="dxa"/>
          </w:tcPr>
          <w:p w14:paraId="36F592C6"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84% [78%-89%]</w:t>
            </w:r>
          </w:p>
        </w:tc>
        <w:tc>
          <w:tcPr>
            <w:tcW w:w="2753" w:type="dxa"/>
          </w:tcPr>
          <w:p w14:paraId="060C8821"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A469B7" w:rsidRPr="00A469B7" w14:paraId="14B911EE" w14:textId="77777777" w:rsidTr="00A71AB3">
        <w:tc>
          <w:tcPr>
            <w:tcW w:w="2784" w:type="dxa"/>
          </w:tcPr>
          <w:p w14:paraId="08C2AEB5" w14:textId="77777777" w:rsidR="00A469B7" w:rsidRPr="00A469B7" w:rsidRDefault="00A469B7" w:rsidP="00A469B7">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Specificity [95% CI]</w:t>
            </w:r>
          </w:p>
        </w:tc>
        <w:tc>
          <w:tcPr>
            <w:tcW w:w="2759" w:type="dxa"/>
          </w:tcPr>
          <w:p w14:paraId="2FB4FDC4"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2753" w:type="dxa"/>
          </w:tcPr>
          <w:p w14:paraId="4D7821E4" w14:textId="77777777" w:rsidR="00A469B7" w:rsidRPr="00A469B7" w:rsidRDefault="00A469B7" w:rsidP="00A469B7">
            <w:pPr>
              <w:spacing w:after="0"/>
              <w:ind w:left="0"/>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76% [67%-83%]</w:t>
            </w:r>
          </w:p>
        </w:tc>
      </w:tr>
      <w:tr w:rsidR="00330F7C" w:rsidRPr="00A469B7" w14:paraId="41DDE943" w14:textId="77777777" w:rsidTr="00330F7C">
        <w:tc>
          <w:tcPr>
            <w:tcW w:w="2784" w:type="dxa"/>
            <w:shd w:val="clear" w:color="auto" w:fill="D0CECE" w:themeFill="background2" w:themeFillShade="E6"/>
          </w:tcPr>
          <w:p w14:paraId="2AF7EA84" w14:textId="5A0E32C0" w:rsidR="00330F7C" w:rsidRPr="00A469B7" w:rsidRDefault="00330F7C" w:rsidP="00A469B7">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SPECT</w:t>
            </w:r>
          </w:p>
        </w:tc>
        <w:tc>
          <w:tcPr>
            <w:tcW w:w="2759" w:type="dxa"/>
            <w:shd w:val="clear" w:color="auto" w:fill="D0CECE" w:themeFill="background2" w:themeFillShade="E6"/>
          </w:tcPr>
          <w:p w14:paraId="03EC87B3" w14:textId="6DBDC5C4" w:rsidR="00330F7C" w:rsidRPr="00A469B7" w:rsidRDefault="00330F7C"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c>
          <w:tcPr>
            <w:tcW w:w="2753" w:type="dxa"/>
            <w:shd w:val="clear" w:color="auto" w:fill="D0CECE" w:themeFill="background2" w:themeFillShade="E6"/>
          </w:tcPr>
          <w:p w14:paraId="241E84EB" w14:textId="2458DE20" w:rsidR="00330F7C" w:rsidRPr="00A469B7" w:rsidRDefault="00330F7C" w:rsidP="00A469B7">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w:t>
            </w:r>
          </w:p>
        </w:tc>
      </w:tr>
      <w:tr w:rsidR="00330F7C" w:rsidRPr="00A469B7" w14:paraId="27EB5085" w14:textId="77777777" w:rsidTr="00A71AB3">
        <w:tc>
          <w:tcPr>
            <w:tcW w:w="2784" w:type="dxa"/>
          </w:tcPr>
          <w:p w14:paraId="64157D26" w14:textId="1BBF234F" w:rsidR="00330F7C" w:rsidRPr="00A469B7" w:rsidRDefault="00972716" w:rsidP="00330F7C">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p</w:t>
            </w:r>
            <w:r w:rsidR="00330F7C" w:rsidRPr="00A469B7">
              <w:rPr>
                <w:rFonts w:ascii="Arial Narrow" w:eastAsia="Times New Roman" w:hAnsi="Arial Narrow" w:cs="Arial"/>
                <w:b/>
                <w:sz w:val="20"/>
                <w:szCs w:val="20"/>
              </w:rPr>
              <w:t>ositive</w:t>
            </w:r>
          </w:p>
        </w:tc>
        <w:tc>
          <w:tcPr>
            <w:tcW w:w="2759" w:type="dxa"/>
          </w:tcPr>
          <w:p w14:paraId="276EF3E5" w14:textId="330710BE" w:rsidR="00330F7C" w:rsidRPr="00505E5D" w:rsidRDefault="00FD1BA1" w:rsidP="00330F7C">
            <w:pPr>
              <w:spacing w:after="0"/>
              <w:ind w:left="0"/>
              <w:jc w:val="center"/>
              <w:rPr>
                <w:rFonts w:ascii="Arial Narrow" w:eastAsia="Times New Roman" w:hAnsi="Arial Narrow" w:cs="Times New Roman"/>
                <w:sz w:val="20"/>
                <w:szCs w:val="24"/>
              </w:rPr>
            </w:pPr>
            <w:r w:rsidRPr="00505E5D">
              <w:rPr>
                <w:rFonts w:ascii="Arial Narrow" w:eastAsia="Times New Roman" w:hAnsi="Arial Narrow" w:cs="Times New Roman"/>
                <w:sz w:val="20"/>
                <w:szCs w:val="24"/>
              </w:rPr>
              <w:t>145</w:t>
            </w:r>
          </w:p>
        </w:tc>
        <w:tc>
          <w:tcPr>
            <w:tcW w:w="2753" w:type="dxa"/>
          </w:tcPr>
          <w:p w14:paraId="668F70E8" w14:textId="262055EE" w:rsidR="00330F7C" w:rsidRPr="00505E5D" w:rsidRDefault="00505E5D" w:rsidP="00330F7C">
            <w:pPr>
              <w:spacing w:after="0"/>
              <w:ind w:left="0"/>
              <w:jc w:val="center"/>
              <w:rPr>
                <w:rFonts w:ascii="Arial Narrow" w:eastAsia="Times New Roman" w:hAnsi="Arial Narrow" w:cs="Times New Roman"/>
                <w:sz w:val="20"/>
                <w:szCs w:val="24"/>
              </w:rPr>
            </w:pPr>
            <w:r w:rsidRPr="00505E5D">
              <w:rPr>
                <w:rFonts w:ascii="Arial Narrow" w:eastAsia="Times New Roman" w:hAnsi="Arial Narrow" w:cs="Times New Roman"/>
                <w:sz w:val="20"/>
                <w:szCs w:val="24"/>
              </w:rPr>
              <w:t>18</w:t>
            </w:r>
          </w:p>
        </w:tc>
      </w:tr>
      <w:tr w:rsidR="00330F7C" w:rsidRPr="00A469B7" w14:paraId="25D4843B" w14:textId="77777777" w:rsidTr="00A71AB3">
        <w:tc>
          <w:tcPr>
            <w:tcW w:w="2784" w:type="dxa"/>
          </w:tcPr>
          <w:p w14:paraId="73587AD0" w14:textId="19C24B44" w:rsidR="00330F7C" w:rsidRPr="00A469B7" w:rsidRDefault="00972716" w:rsidP="00330F7C">
            <w:pPr>
              <w:keepNext/>
              <w:spacing w:after="0"/>
              <w:ind w:left="0"/>
              <w:rPr>
                <w:rFonts w:ascii="Arial Narrow" w:eastAsia="Times New Roman" w:hAnsi="Arial Narrow" w:cs="Arial"/>
                <w:b/>
                <w:sz w:val="20"/>
                <w:szCs w:val="20"/>
              </w:rPr>
            </w:pPr>
            <w:r>
              <w:rPr>
                <w:rFonts w:ascii="Arial Narrow" w:eastAsia="Times New Roman" w:hAnsi="Arial Narrow" w:cs="Arial"/>
                <w:b/>
                <w:sz w:val="20"/>
                <w:szCs w:val="20"/>
              </w:rPr>
              <w:t>Test n</w:t>
            </w:r>
            <w:r w:rsidR="00330F7C" w:rsidRPr="00A469B7">
              <w:rPr>
                <w:rFonts w:ascii="Arial Narrow" w:eastAsia="Times New Roman" w:hAnsi="Arial Narrow" w:cs="Arial"/>
                <w:b/>
                <w:sz w:val="20"/>
                <w:szCs w:val="20"/>
              </w:rPr>
              <w:t>egative</w:t>
            </w:r>
          </w:p>
        </w:tc>
        <w:tc>
          <w:tcPr>
            <w:tcW w:w="2759" w:type="dxa"/>
          </w:tcPr>
          <w:p w14:paraId="246C68B6" w14:textId="602AE1D1" w:rsidR="00330F7C" w:rsidRPr="00505E5D" w:rsidRDefault="00505E5D" w:rsidP="00330F7C">
            <w:pPr>
              <w:spacing w:after="0"/>
              <w:ind w:left="0"/>
              <w:jc w:val="center"/>
              <w:rPr>
                <w:rFonts w:ascii="Arial Narrow" w:eastAsia="Times New Roman" w:hAnsi="Arial Narrow" w:cs="Times New Roman"/>
                <w:sz w:val="20"/>
                <w:szCs w:val="24"/>
              </w:rPr>
            </w:pPr>
            <w:r w:rsidRPr="00505E5D">
              <w:rPr>
                <w:rFonts w:ascii="Arial Narrow" w:eastAsia="Times New Roman" w:hAnsi="Arial Narrow" w:cs="Times New Roman"/>
                <w:sz w:val="20"/>
                <w:szCs w:val="24"/>
              </w:rPr>
              <w:t>25</w:t>
            </w:r>
          </w:p>
        </w:tc>
        <w:tc>
          <w:tcPr>
            <w:tcW w:w="2753" w:type="dxa"/>
          </w:tcPr>
          <w:p w14:paraId="6DF9DE5D" w14:textId="67F88935" w:rsidR="00330F7C" w:rsidRPr="00505E5D" w:rsidRDefault="00505E5D" w:rsidP="00330F7C">
            <w:pPr>
              <w:spacing w:after="0"/>
              <w:ind w:left="0"/>
              <w:jc w:val="center"/>
              <w:rPr>
                <w:rFonts w:ascii="Arial Narrow" w:eastAsia="Times New Roman" w:hAnsi="Arial Narrow" w:cs="Times New Roman"/>
                <w:sz w:val="20"/>
                <w:szCs w:val="24"/>
              </w:rPr>
            </w:pPr>
            <w:r w:rsidRPr="00505E5D">
              <w:rPr>
                <w:rFonts w:ascii="Arial Narrow" w:eastAsia="Times New Roman" w:hAnsi="Arial Narrow" w:cs="Times New Roman"/>
                <w:sz w:val="20"/>
                <w:szCs w:val="24"/>
              </w:rPr>
              <w:t>47</w:t>
            </w:r>
          </w:p>
        </w:tc>
      </w:tr>
      <w:tr w:rsidR="00330F7C" w:rsidRPr="00A469B7" w14:paraId="0ACFF7B2" w14:textId="77777777" w:rsidTr="00A71AB3">
        <w:tc>
          <w:tcPr>
            <w:tcW w:w="2784" w:type="dxa"/>
          </w:tcPr>
          <w:p w14:paraId="650CCB33" w14:textId="496A2B8A" w:rsidR="00330F7C" w:rsidRPr="00A469B7" w:rsidRDefault="00330F7C" w:rsidP="00330F7C">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Sensitivity [95% CI]</w:t>
            </w:r>
          </w:p>
        </w:tc>
        <w:tc>
          <w:tcPr>
            <w:tcW w:w="2759" w:type="dxa"/>
          </w:tcPr>
          <w:p w14:paraId="36DC5A24" w14:textId="3EFE6982" w:rsidR="00330F7C" w:rsidRPr="00505E5D" w:rsidRDefault="00505E5D" w:rsidP="00330F7C">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85% [79% to 90</w:t>
            </w:r>
            <w:r w:rsidR="00330F7C" w:rsidRPr="00505E5D">
              <w:rPr>
                <w:rFonts w:ascii="Arial Narrow" w:eastAsia="Times New Roman" w:hAnsi="Arial Narrow" w:cs="Times New Roman"/>
                <w:sz w:val="20"/>
                <w:szCs w:val="24"/>
              </w:rPr>
              <w:t>%]</w:t>
            </w:r>
          </w:p>
        </w:tc>
        <w:tc>
          <w:tcPr>
            <w:tcW w:w="2753" w:type="dxa"/>
          </w:tcPr>
          <w:p w14:paraId="3E7ADF29" w14:textId="0A9C1A9C" w:rsidR="00330F7C" w:rsidRPr="00505E5D" w:rsidRDefault="00330F7C" w:rsidP="00330F7C">
            <w:pPr>
              <w:spacing w:after="0"/>
              <w:ind w:left="0"/>
              <w:jc w:val="center"/>
              <w:rPr>
                <w:rFonts w:ascii="Arial Narrow" w:eastAsia="Times New Roman" w:hAnsi="Arial Narrow" w:cs="Times New Roman"/>
                <w:sz w:val="20"/>
                <w:szCs w:val="24"/>
              </w:rPr>
            </w:pPr>
            <w:r w:rsidRPr="00505E5D">
              <w:rPr>
                <w:rFonts w:ascii="Arial Narrow" w:eastAsia="Times New Roman" w:hAnsi="Arial Narrow" w:cs="Times New Roman"/>
                <w:sz w:val="20"/>
                <w:szCs w:val="24"/>
              </w:rPr>
              <w:t>-</w:t>
            </w:r>
          </w:p>
        </w:tc>
      </w:tr>
      <w:tr w:rsidR="00330F7C" w:rsidRPr="00A469B7" w14:paraId="1D54D222" w14:textId="77777777" w:rsidTr="00A71AB3">
        <w:tc>
          <w:tcPr>
            <w:tcW w:w="2784" w:type="dxa"/>
          </w:tcPr>
          <w:p w14:paraId="6227A1BC" w14:textId="21B57A3C" w:rsidR="00330F7C" w:rsidRPr="00A469B7" w:rsidRDefault="00330F7C" w:rsidP="00330F7C">
            <w:pPr>
              <w:keepNext/>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Specificity [95% CI]</w:t>
            </w:r>
          </w:p>
        </w:tc>
        <w:tc>
          <w:tcPr>
            <w:tcW w:w="2759" w:type="dxa"/>
          </w:tcPr>
          <w:p w14:paraId="25749A97" w14:textId="4A1F260A" w:rsidR="00330F7C" w:rsidRPr="00505E5D" w:rsidRDefault="00330F7C" w:rsidP="00330F7C">
            <w:pPr>
              <w:spacing w:after="0"/>
              <w:ind w:left="0"/>
              <w:jc w:val="center"/>
              <w:rPr>
                <w:rFonts w:ascii="Arial Narrow" w:eastAsia="Times New Roman" w:hAnsi="Arial Narrow" w:cs="Times New Roman"/>
                <w:sz w:val="20"/>
                <w:szCs w:val="24"/>
              </w:rPr>
            </w:pPr>
            <w:r w:rsidRPr="00505E5D">
              <w:rPr>
                <w:rFonts w:ascii="Arial Narrow" w:eastAsia="Times New Roman" w:hAnsi="Arial Narrow" w:cs="Times New Roman"/>
                <w:sz w:val="20"/>
                <w:szCs w:val="24"/>
              </w:rPr>
              <w:t>-</w:t>
            </w:r>
          </w:p>
        </w:tc>
        <w:tc>
          <w:tcPr>
            <w:tcW w:w="2753" w:type="dxa"/>
          </w:tcPr>
          <w:p w14:paraId="055B5EE9" w14:textId="4E7D7475" w:rsidR="00330F7C" w:rsidRPr="00505E5D" w:rsidRDefault="00505E5D" w:rsidP="00330F7C">
            <w:pPr>
              <w:spacing w:after="0"/>
              <w:ind w:left="0"/>
              <w:jc w:val="center"/>
              <w:rPr>
                <w:rFonts w:ascii="Arial Narrow" w:eastAsia="Times New Roman" w:hAnsi="Arial Narrow" w:cs="Times New Roman"/>
                <w:sz w:val="20"/>
                <w:szCs w:val="24"/>
              </w:rPr>
            </w:pPr>
            <w:r>
              <w:rPr>
                <w:rFonts w:ascii="Arial Narrow" w:eastAsia="Times New Roman" w:hAnsi="Arial Narrow" w:cs="Times New Roman"/>
                <w:sz w:val="20"/>
                <w:szCs w:val="24"/>
              </w:rPr>
              <w:t>72% [60</w:t>
            </w:r>
            <w:r w:rsidR="00330F7C" w:rsidRPr="00505E5D">
              <w:rPr>
                <w:rFonts w:ascii="Arial Narrow" w:eastAsia="Times New Roman" w:hAnsi="Arial Narrow" w:cs="Times New Roman"/>
                <w:sz w:val="20"/>
                <w:szCs w:val="24"/>
              </w:rPr>
              <w:t xml:space="preserve">% to 83%]  </w:t>
            </w:r>
          </w:p>
        </w:tc>
      </w:tr>
    </w:tbl>
    <w:p w14:paraId="59090580" w14:textId="45195869" w:rsidR="00505E5D" w:rsidRDefault="00505E5D" w:rsidP="0036639E">
      <w:pPr>
        <w:pStyle w:val="Tablefootnotes"/>
      </w:pPr>
      <w:r>
        <w:t xml:space="preserve">Source: </w:t>
      </w:r>
      <w:r w:rsidR="006C0BFE">
        <w:fldChar w:fldCharType="begin"/>
      </w:r>
      <w:r w:rsidR="006C0BFE">
        <w:instrText xml:space="preserve"> REF _Ref406400189 \h </w:instrText>
      </w:r>
      <w:r w:rsidR="006C0BFE">
        <w:fldChar w:fldCharType="separate"/>
      </w:r>
      <w:r w:rsidR="00C67698" w:rsidRPr="00A469B7">
        <w:t xml:space="preserve">Table </w:t>
      </w:r>
      <w:r w:rsidR="00C67698">
        <w:rPr>
          <w:noProof/>
        </w:rPr>
        <w:t>B.6</w:t>
      </w:r>
      <w:r w:rsidR="00C67698">
        <w:noBreakHyphen/>
      </w:r>
      <w:r w:rsidR="00C67698">
        <w:rPr>
          <w:noProof/>
        </w:rPr>
        <w:t>6</w:t>
      </w:r>
      <w:r w:rsidR="006C0BFE">
        <w:fldChar w:fldCharType="end"/>
      </w:r>
      <w:r w:rsidR="00C53E8F">
        <w:t>.</w:t>
      </w:r>
    </w:p>
    <w:p w14:paraId="153D2B6B" w14:textId="3AD201D0" w:rsidR="00C53E8F" w:rsidRDefault="00ED66C4" w:rsidP="0036639E">
      <w:pPr>
        <w:pStyle w:val="Tablefootnotes"/>
      </w:pPr>
      <w:r w:rsidRPr="00ED66C4">
        <w:t xml:space="preserve">Note: </w:t>
      </w:r>
      <w:r w:rsidR="00C53E8F">
        <w:fldChar w:fldCharType="begin"/>
      </w:r>
      <w:r w:rsidR="00C53E8F">
        <w:instrText xml:space="preserve"> REF _Ref406400189 \h </w:instrText>
      </w:r>
      <w:r w:rsidR="00C53E8F">
        <w:fldChar w:fldCharType="separate"/>
      </w:r>
      <w:r w:rsidR="00C67698" w:rsidRPr="00A469B7">
        <w:t xml:space="preserve">Table </w:t>
      </w:r>
      <w:r w:rsidR="00C67698">
        <w:rPr>
          <w:noProof/>
        </w:rPr>
        <w:t>B.6</w:t>
      </w:r>
      <w:r w:rsidR="00C67698">
        <w:noBreakHyphen/>
      </w:r>
      <w:r w:rsidR="00C67698">
        <w:rPr>
          <w:noProof/>
        </w:rPr>
        <w:t>6</w:t>
      </w:r>
      <w:r w:rsidR="00C53E8F">
        <w:fldChar w:fldCharType="end"/>
      </w:r>
      <w:r w:rsidR="00AD7BDE">
        <w:t xml:space="preserve"> presents two sets of results for</w:t>
      </w:r>
      <w:r w:rsidR="00C53E8F">
        <w:t xml:space="preserve"> the studies by Hoffman (2000) and Bonte (1993). For the purpose of</w:t>
      </w:r>
      <w:r w:rsidR="00AD7BDE">
        <w:t xml:space="preserve"> the combined</w:t>
      </w:r>
      <w:r w:rsidR="00C53E8F">
        <w:t xml:space="preserve"> results</w:t>
      </w:r>
      <w:r w:rsidR="00AD7BDE">
        <w:t xml:space="preserve"> shown in </w:t>
      </w:r>
      <w:r w:rsidR="00AD7BDE">
        <w:fldChar w:fldCharType="begin"/>
      </w:r>
      <w:r w:rsidR="00AD7BDE">
        <w:instrText xml:space="preserve"> REF _Ref406404883 \h </w:instrText>
      </w:r>
      <w:r w:rsidR="00AD7BDE">
        <w:fldChar w:fldCharType="separate"/>
      </w:r>
      <w:r w:rsidR="00C67698" w:rsidRPr="00A469B7">
        <w:t xml:space="preserve">Table </w:t>
      </w:r>
      <w:r w:rsidR="00C67698">
        <w:rPr>
          <w:noProof/>
        </w:rPr>
        <w:t>B.6</w:t>
      </w:r>
      <w:r w:rsidR="00C67698">
        <w:noBreakHyphen/>
      </w:r>
      <w:r w:rsidR="00C67698">
        <w:rPr>
          <w:noProof/>
        </w:rPr>
        <w:t>7</w:t>
      </w:r>
      <w:r w:rsidR="00AD7BDE">
        <w:fldChar w:fldCharType="end"/>
      </w:r>
      <w:r w:rsidR="00AD7BDE">
        <w:t xml:space="preserve">, </w:t>
      </w:r>
      <w:r w:rsidR="00C53E8F">
        <w:t xml:space="preserve">one set of results was </w:t>
      </w:r>
      <w:r w:rsidR="00AD7BDE">
        <w:t>chosen for each study. The results from Hoffman (2000) were those which included cases where two pathologic diagnoses were present. The results from Bonte (1993) were those that were assessed visually.</w:t>
      </w:r>
    </w:p>
    <w:p w14:paraId="0345FA6A" w14:textId="259C6AA5" w:rsidR="0036639E" w:rsidRPr="00A469B7" w:rsidRDefault="00A469B7" w:rsidP="0036639E">
      <w:pPr>
        <w:pStyle w:val="Tablefootnotes"/>
      </w:pPr>
      <w:r w:rsidRPr="00A469B7">
        <w:t>Abbreviations: AD, Alzheimer’s disease; CI, confidence interval; F</w:t>
      </w:r>
      <w:r w:rsidR="0003027D">
        <w:t>DG</w:t>
      </w:r>
      <w:r w:rsidRPr="00A469B7">
        <w:t>, flu</w:t>
      </w:r>
      <w:r w:rsidR="008F0DD0">
        <w:t>o</w:t>
      </w:r>
      <w:r w:rsidRPr="00A469B7">
        <w:t>rodeoxyglucose; PE</w:t>
      </w:r>
      <w:r w:rsidR="00330F7C">
        <w:t xml:space="preserve">T, positron emission tomography; </w:t>
      </w:r>
      <w:r w:rsidR="00330F7C" w:rsidRPr="00330F7C">
        <w:t>SPECT, single-photon emission computed tomography.</w:t>
      </w:r>
    </w:p>
    <w:p w14:paraId="790FF507" w14:textId="613655F8" w:rsidR="00A469B7" w:rsidRPr="00A469B7" w:rsidRDefault="00A469B7" w:rsidP="00D843F0">
      <w:r w:rsidRPr="00182F1A">
        <w:t xml:space="preserve">Finally, </w:t>
      </w:r>
      <w:r w:rsidRPr="00182F1A">
        <w:fldChar w:fldCharType="begin"/>
      </w:r>
      <w:r w:rsidRPr="00182F1A">
        <w:instrText xml:space="preserve"> REF _Ref406399087 \h </w:instrText>
      </w:r>
      <w:r w:rsidR="00182F1A">
        <w:instrText xml:space="preserve"> \* MERGEFORMAT </w:instrText>
      </w:r>
      <w:r w:rsidRPr="00182F1A">
        <w:fldChar w:fldCharType="separate"/>
      </w:r>
      <w:r w:rsidR="00C67698" w:rsidRPr="00A469B7">
        <w:t xml:space="preserve">Table </w:t>
      </w:r>
      <w:r w:rsidR="00C67698">
        <w:t>B.6</w:t>
      </w:r>
      <w:r w:rsidR="00C67698">
        <w:noBreakHyphen/>
        <w:t>8</w:t>
      </w:r>
      <w:r w:rsidRPr="00182F1A">
        <w:fldChar w:fldCharType="end"/>
      </w:r>
      <w:r w:rsidRPr="00182F1A">
        <w:t xml:space="preserve"> shows</w:t>
      </w:r>
      <w:r w:rsidRPr="00A469B7">
        <w:t xml:space="preserve"> the results from two recent meta-analyses (Bloudek et al, 2011; Cure et al, 2014). Bloudek et al (2011) included studies with a variety of reference standards, while Cure et al (2014) only included studies with autopsy</w:t>
      </w:r>
      <w:r w:rsidR="000E05F2">
        <w:t xml:space="preserve"> </w:t>
      </w:r>
      <w:r w:rsidRPr="00A469B7">
        <w:t xml:space="preserve">confirmation of diagnosis. Importantly, one study (Fazekas et al, 1989) without pathologically confirmed diagnoses was inadvertently included in the meta-analysis of five FDG-PET studies in Cure et al (2014). Nonetheless, it has not been removed from the meta-analysis shown in </w:t>
      </w:r>
      <w:r w:rsidRPr="00182F1A">
        <w:fldChar w:fldCharType="begin"/>
      </w:r>
      <w:r w:rsidRPr="00182F1A">
        <w:instrText xml:space="preserve"> REF _Ref406399087 \h </w:instrText>
      </w:r>
      <w:r w:rsidR="00182F1A">
        <w:instrText xml:space="preserve"> \* MERGEFORMAT </w:instrText>
      </w:r>
      <w:r w:rsidRPr="00182F1A">
        <w:fldChar w:fldCharType="separate"/>
      </w:r>
      <w:r w:rsidR="00C67698" w:rsidRPr="00A469B7">
        <w:t xml:space="preserve">Table </w:t>
      </w:r>
      <w:r w:rsidR="00C67698">
        <w:t>B.6</w:t>
      </w:r>
      <w:r w:rsidR="00C67698">
        <w:noBreakHyphen/>
        <w:t>8</w:t>
      </w:r>
      <w:r w:rsidRPr="00182F1A">
        <w:fldChar w:fldCharType="end"/>
      </w:r>
      <w:r w:rsidRPr="00182F1A">
        <w:t>, which</w:t>
      </w:r>
      <w:r w:rsidRPr="00A469B7">
        <w:t xml:space="preserve"> shows all results as presented in the published literature. </w:t>
      </w:r>
    </w:p>
    <w:p w14:paraId="7437FB63" w14:textId="77777777" w:rsidR="00A469B7" w:rsidRPr="00A469B7" w:rsidRDefault="00A469B7" w:rsidP="00A469B7">
      <w:pPr>
        <w:sectPr w:rsidR="00A469B7" w:rsidRPr="00A469B7" w:rsidSect="00A71AB3">
          <w:footerReference w:type="default" r:id="rId25"/>
          <w:pgSz w:w="11906" w:h="16838" w:code="9"/>
          <w:pgMar w:top="1440" w:right="1440" w:bottom="1440" w:left="1440" w:header="680" w:footer="1021" w:gutter="0"/>
          <w:cols w:space="708"/>
          <w:docGrid w:linePitch="360"/>
        </w:sectPr>
      </w:pPr>
    </w:p>
    <w:p w14:paraId="22B3E9E5" w14:textId="3697AB22" w:rsidR="00A469B7" w:rsidRPr="00A469B7" w:rsidRDefault="00A469B7" w:rsidP="006815DC">
      <w:pPr>
        <w:pStyle w:val="Caption"/>
      </w:pPr>
      <w:bookmarkStart w:id="134" w:name="_Ref406399087"/>
      <w:bookmarkStart w:id="135" w:name="_Toc406401399"/>
      <w:bookmarkStart w:id="136" w:name="_Toc408845221"/>
      <w:r w:rsidRPr="00A469B7">
        <w:lastRenderedPageBreak/>
        <w:t xml:space="preserve">Table </w:t>
      </w:r>
      <w:fldSimple w:instr=" STYLEREF 2 \s ">
        <w:r w:rsidR="00C67698">
          <w:rPr>
            <w:noProof/>
          </w:rPr>
          <w:t>B.6</w:t>
        </w:r>
      </w:fldSimple>
      <w:r w:rsidR="00524916">
        <w:noBreakHyphen/>
      </w:r>
      <w:fldSimple w:instr=" SEQ Table \* ARABIC \s 2 ">
        <w:r w:rsidR="00C67698">
          <w:rPr>
            <w:noProof/>
          </w:rPr>
          <w:t>8</w:t>
        </w:r>
      </w:fldSimple>
      <w:bookmarkEnd w:id="134"/>
      <w:r w:rsidRPr="00A469B7">
        <w:tab/>
        <w:t>Published meta-analyses of FDG-PET and SPECT for the diagnosis of AD versus all controls (normal and demented), normal controls only, and demented controls only</w:t>
      </w:r>
      <w:bookmarkEnd w:id="135"/>
      <w:bookmarkEnd w:id="136"/>
    </w:p>
    <w:tbl>
      <w:tblPr>
        <w:tblStyle w:val="TableGrid1"/>
        <w:tblW w:w="0" w:type="auto"/>
        <w:tblInd w:w="720" w:type="dxa"/>
        <w:tblLayout w:type="fixed"/>
        <w:tblLook w:val="04A0" w:firstRow="1" w:lastRow="0" w:firstColumn="1" w:lastColumn="0" w:noHBand="0" w:noVBand="1"/>
        <w:tblCaption w:val="The results of two published meta-analyses of FDG-PET and SPECT for the diagnosis of AD"/>
        <w:tblDescription w:val="Two published meta-analyses of FDG-PET and SPECT for the diagnosis of AD. The table shows the number of true positives, false positives, false negatives and true negatives as well as sensitivity and specificity rates as reported in or calculated from the publications."/>
      </w:tblPr>
      <w:tblGrid>
        <w:gridCol w:w="1685"/>
        <w:gridCol w:w="1134"/>
        <w:gridCol w:w="851"/>
        <w:gridCol w:w="708"/>
        <w:gridCol w:w="709"/>
        <w:gridCol w:w="709"/>
        <w:gridCol w:w="709"/>
        <w:gridCol w:w="1680"/>
        <w:gridCol w:w="1681"/>
        <w:gridCol w:w="1681"/>
        <w:gridCol w:w="1681"/>
      </w:tblGrid>
      <w:tr w:rsidR="00A469B7" w:rsidRPr="00A469B7" w14:paraId="118A5068" w14:textId="77777777" w:rsidTr="00556738">
        <w:trPr>
          <w:tblHeader/>
        </w:trPr>
        <w:tc>
          <w:tcPr>
            <w:tcW w:w="1685" w:type="dxa"/>
          </w:tcPr>
          <w:p w14:paraId="6B20C371" w14:textId="77777777" w:rsidR="00A469B7" w:rsidRPr="00A469B7" w:rsidRDefault="00A469B7" w:rsidP="00A469B7">
            <w:pPr>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Study ID</w:t>
            </w:r>
          </w:p>
        </w:tc>
        <w:tc>
          <w:tcPr>
            <w:tcW w:w="1134" w:type="dxa"/>
          </w:tcPr>
          <w:p w14:paraId="62F6AA4E" w14:textId="77777777" w:rsidR="00A469B7" w:rsidRPr="00A469B7" w:rsidRDefault="00A469B7" w:rsidP="00A469B7">
            <w:pPr>
              <w:spacing w:after="0"/>
              <w:ind w:left="0"/>
              <w:rPr>
                <w:rFonts w:ascii="Arial Narrow" w:eastAsia="Times New Roman" w:hAnsi="Arial Narrow" w:cs="Arial"/>
                <w:b/>
                <w:sz w:val="20"/>
                <w:szCs w:val="20"/>
              </w:rPr>
            </w:pPr>
            <w:r w:rsidRPr="00A469B7">
              <w:rPr>
                <w:rFonts w:ascii="Arial Narrow" w:eastAsia="Times New Roman" w:hAnsi="Arial Narrow" w:cs="Arial"/>
                <w:b/>
                <w:sz w:val="20"/>
                <w:szCs w:val="20"/>
              </w:rPr>
              <w:t>Index test</w:t>
            </w:r>
          </w:p>
        </w:tc>
        <w:tc>
          <w:tcPr>
            <w:tcW w:w="851" w:type="dxa"/>
          </w:tcPr>
          <w:p w14:paraId="2BF04DAD"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No. of studies</w:t>
            </w:r>
          </w:p>
        </w:tc>
        <w:tc>
          <w:tcPr>
            <w:tcW w:w="708" w:type="dxa"/>
          </w:tcPr>
          <w:p w14:paraId="3CE0A96F"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TP</w:t>
            </w:r>
          </w:p>
        </w:tc>
        <w:tc>
          <w:tcPr>
            <w:tcW w:w="709" w:type="dxa"/>
          </w:tcPr>
          <w:p w14:paraId="11D0DB06"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FP</w:t>
            </w:r>
          </w:p>
        </w:tc>
        <w:tc>
          <w:tcPr>
            <w:tcW w:w="709" w:type="dxa"/>
          </w:tcPr>
          <w:p w14:paraId="146F248A"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FN</w:t>
            </w:r>
          </w:p>
        </w:tc>
        <w:tc>
          <w:tcPr>
            <w:tcW w:w="709" w:type="dxa"/>
          </w:tcPr>
          <w:p w14:paraId="06D96DD2"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TN</w:t>
            </w:r>
          </w:p>
        </w:tc>
        <w:tc>
          <w:tcPr>
            <w:tcW w:w="1680" w:type="dxa"/>
            <w:shd w:val="clear" w:color="auto" w:fill="FFFFFF" w:themeFill="background1"/>
          </w:tcPr>
          <w:p w14:paraId="5E56C0CB"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Sensitivity</w:t>
            </w:r>
          </w:p>
          <w:p w14:paraId="412F0BBB"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c>
          <w:tcPr>
            <w:tcW w:w="1681" w:type="dxa"/>
            <w:shd w:val="clear" w:color="auto" w:fill="FFFFFF" w:themeFill="background1"/>
          </w:tcPr>
          <w:p w14:paraId="44E1D28F" w14:textId="77777777" w:rsidR="00A469B7" w:rsidRPr="00A469B7" w:rsidRDefault="00A469B7" w:rsidP="00A469B7">
            <w:pPr>
              <w:keepNext/>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Specificity</w:t>
            </w:r>
          </w:p>
          <w:p w14:paraId="265798AF"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c>
          <w:tcPr>
            <w:tcW w:w="1681" w:type="dxa"/>
            <w:shd w:val="clear" w:color="auto" w:fill="FFFFFF" w:themeFill="background1"/>
          </w:tcPr>
          <w:p w14:paraId="09893829" w14:textId="77777777" w:rsidR="00A469B7" w:rsidRPr="00A469B7" w:rsidRDefault="00A469B7" w:rsidP="00A469B7">
            <w:pPr>
              <w:keepNext/>
              <w:spacing w:after="0"/>
              <w:ind w:left="0"/>
              <w:jc w:val="center"/>
              <w:rPr>
                <w:rFonts w:ascii="Arial Narrow" w:eastAsia="Times New Roman" w:hAnsi="Arial Narrow" w:cs="Arial"/>
                <w:b/>
                <w:sz w:val="20"/>
                <w:szCs w:val="20"/>
                <w:vertAlign w:val="superscript"/>
              </w:rPr>
            </w:pPr>
            <w:r w:rsidRPr="00A469B7">
              <w:rPr>
                <w:rFonts w:ascii="Arial Narrow" w:eastAsia="Times New Roman" w:hAnsi="Arial Narrow" w:cs="Arial"/>
                <w:b/>
                <w:sz w:val="20"/>
                <w:szCs w:val="20"/>
              </w:rPr>
              <w:t>PPV</w:t>
            </w:r>
          </w:p>
          <w:p w14:paraId="703C346A"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c>
          <w:tcPr>
            <w:tcW w:w="1681" w:type="dxa"/>
            <w:shd w:val="clear" w:color="auto" w:fill="FFFFFF" w:themeFill="background1"/>
          </w:tcPr>
          <w:p w14:paraId="50B3B733" w14:textId="77777777" w:rsidR="00A469B7" w:rsidRPr="00A469B7" w:rsidRDefault="00A469B7" w:rsidP="00A469B7">
            <w:pPr>
              <w:keepNext/>
              <w:spacing w:after="0"/>
              <w:ind w:left="0"/>
              <w:jc w:val="center"/>
              <w:rPr>
                <w:rFonts w:ascii="Arial Narrow" w:eastAsia="Times New Roman" w:hAnsi="Arial Narrow" w:cs="Arial"/>
                <w:b/>
                <w:sz w:val="20"/>
                <w:szCs w:val="20"/>
                <w:vertAlign w:val="superscript"/>
              </w:rPr>
            </w:pPr>
            <w:r w:rsidRPr="00A469B7">
              <w:rPr>
                <w:rFonts w:ascii="Arial Narrow" w:eastAsia="Times New Roman" w:hAnsi="Arial Narrow" w:cs="Arial"/>
                <w:b/>
                <w:sz w:val="20"/>
                <w:szCs w:val="20"/>
              </w:rPr>
              <w:t>NPV</w:t>
            </w:r>
          </w:p>
          <w:p w14:paraId="19880090" w14:textId="77777777" w:rsidR="00A469B7" w:rsidRPr="00A469B7" w:rsidRDefault="00A469B7" w:rsidP="00A469B7">
            <w:pPr>
              <w:spacing w:after="0"/>
              <w:ind w:left="0"/>
              <w:jc w:val="center"/>
              <w:rPr>
                <w:rFonts w:ascii="Arial Narrow" w:eastAsia="Times New Roman" w:hAnsi="Arial Narrow" w:cs="Arial"/>
                <w:b/>
                <w:sz w:val="20"/>
                <w:szCs w:val="20"/>
              </w:rPr>
            </w:pPr>
            <w:r w:rsidRPr="00A469B7">
              <w:rPr>
                <w:rFonts w:ascii="Arial Narrow" w:eastAsia="Times New Roman" w:hAnsi="Arial Narrow" w:cs="Arial"/>
                <w:b/>
                <w:sz w:val="20"/>
                <w:szCs w:val="20"/>
              </w:rPr>
              <w:t>[95% CI]</w:t>
            </w:r>
          </w:p>
        </w:tc>
      </w:tr>
      <w:tr w:rsidR="00A469B7" w:rsidRPr="00A469B7" w14:paraId="1ADC7B9A" w14:textId="77777777" w:rsidTr="00A71AB3">
        <w:tc>
          <w:tcPr>
            <w:tcW w:w="1685" w:type="dxa"/>
            <w:shd w:val="clear" w:color="auto" w:fill="D0CECE" w:themeFill="background2" w:themeFillShade="E6"/>
          </w:tcPr>
          <w:p w14:paraId="023B7330"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All controls</w:t>
            </w:r>
          </w:p>
        </w:tc>
        <w:tc>
          <w:tcPr>
            <w:tcW w:w="1134" w:type="dxa"/>
            <w:shd w:val="clear" w:color="auto" w:fill="D0CECE" w:themeFill="background2" w:themeFillShade="E6"/>
          </w:tcPr>
          <w:p w14:paraId="3DBE9DE7"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851" w:type="dxa"/>
            <w:shd w:val="clear" w:color="auto" w:fill="D0CECE" w:themeFill="background2" w:themeFillShade="E6"/>
          </w:tcPr>
          <w:p w14:paraId="54BC79DD"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8" w:type="dxa"/>
            <w:shd w:val="clear" w:color="auto" w:fill="D0CECE" w:themeFill="background2" w:themeFillShade="E6"/>
          </w:tcPr>
          <w:p w14:paraId="5D9C070C"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45C7498D"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095D792C"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61FE4361"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680" w:type="dxa"/>
            <w:shd w:val="clear" w:color="auto" w:fill="D0CECE" w:themeFill="background2" w:themeFillShade="E6"/>
          </w:tcPr>
          <w:p w14:paraId="726BDB7E"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681" w:type="dxa"/>
            <w:shd w:val="clear" w:color="auto" w:fill="D0CECE" w:themeFill="background2" w:themeFillShade="E6"/>
          </w:tcPr>
          <w:p w14:paraId="2ED06942"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681" w:type="dxa"/>
            <w:shd w:val="clear" w:color="auto" w:fill="D0CECE" w:themeFill="background2" w:themeFillShade="E6"/>
          </w:tcPr>
          <w:p w14:paraId="0C62E5D1"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681" w:type="dxa"/>
            <w:shd w:val="clear" w:color="auto" w:fill="D0CECE" w:themeFill="background2" w:themeFillShade="E6"/>
          </w:tcPr>
          <w:p w14:paraId="4917386D"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r>
      <w:tr w:rsidR="00A469B7" w:rsidRPr="00A469B7" w14:paraId="5D3F6D29" w14:textId="77777777" w:rsidTr="00A71AB3">
        <w:tc>
          <w:tcPr>
            <w:tcW w:w="1685" w:type="dxa"/>
          </w:tcPr>
          <w:p w14:paraId="177E79CC"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Cure (2014)</w:t>
            </w:r>
          </w:p>
        </w:tc>
        <w:tc>
          <w:tcPr>
            <w:tcW w:w="1134" w:type="dxa"/>
          </w:tcPr>
          <w:p w14:paraId="6A133916"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851" w:type="dxa"/>
          </w:tcPr>
          <w:p w14:paraId="7E81E0BF"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5</w:t>
            </w:r>
          </w:p>
        </w:tc>
        <w:tc>
          <w:tcPr>
            <w:tcW w:w="708" w:type="dxa"/>
          </w:tcPr>
          <w:p w14:paraId="579804D5"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182</w:t>
            </w:r>
          </w:p>
        </w:tc>
        <w:tc>
          <w:tcPr>
            <w:tcW w:w="709" w:type="dxa"/>
          </w:tcPr>
          <w:p w14:paraId="7DFE4C8C"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29</w:t>
            </w:r>
          </w:p>
        </w:tc>
        <w:tc>
          <w:tcPr>
            <w:tcW w:w="709" w:type="dxa"/>
          </w:tcPr>
          <w:p w14:paraId="1FCB89A7"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13</w:t>
            </w:r>
          </w:p>
        </w:tc>
        <w:tc>
          <w:tcPr>
            <w:tcW w:w="709" w:type="dxa"/>
          </w:tcPr>
          <w:p w14:paraId="5E6C89A2"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78</w:t>
            </w:r>
          </w:p>
        </w:tc>
        <w:tc>
          <w:tcPr>
            <w:tcW w:w="1680" w:type="dxa"/>
            <w:shd w:val="clear" w:color="auto" w:fill="FFFFFF" w:themeFill="background1"/>
          </w:tcPr>
          <w:p w14:paraId="04E8EE03"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hAnsi="Arial Narrow"/>
                <w:sz w:val="20"/>
                <w:szCs w:val="20"/>
              </w:rPr>
              <w:t>93% [89%-97%]</w:t>
            </w:r>
          </w:p>
        </w:tc>
        <w:tc>
          <w:tcPr>
            <w:tcW w:w="1681" w:type="dxa"/>
            <w:shd w:val="clear" w:color="auto" w:fill="FFFFFF" w:themeFill="background1"/>
          </w:tcPr>
          <w:p w14:paraId="76FF9A9D"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hAnsi="Arial Narrow"/>
                <w:sz w:val="20"/>
                <w:szCs w:val="20"/>
              </w:rPr>
              <w:t>73% [63%-83%]</w:t>
            </w:r>
          </w:p>
        </w:tc>
        <w:tc>
          <w:tcPr>
            <w:tcW w:w="1681" w:type="dxa"/>
          </w:tcPr>
          <w:p w14:paraId="46DB7BB6"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86% [81%-91%]</w:t>
            </w:r>
          </w:p>
        </w:tc>
        <w:tc>
          <w:tcPr>
            <w:tcW w:w="1681" w:type="dxa"/>
          </w:tcPr>
          <w:p w14:paraId="6D25C690"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86% [77%-92%]</w:t>
            </w:r>
          </w:p>
        </w:tc>
      </w:tr>
      <w:tr w:rsidR="00A469B7" w:rsidRPr="00A469B7" w14:paraId="18B8DF65" w14:textId="77777777" w:rsidTr="00A71AB3">
        <w:tc>
          <w:tcPr>
            <w:tcW w:w="1685" w:type="dxa"/>
          </w:tcPr>
          <w:p w14:paraId="654B98A1"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Cure (2014)</w:t>
            </w:r>
          </w:p>
        </w:tc>
        <w:tc>
          <w:tcPr>
            <w:tcW w:w="1134" w:type="dxa"/>
          </w:tcPr>
          <w:p w14:paraId="202B576B"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851" w:type="dxa"/>
          </w:tcPr>
          <w:p w14:paraId="39C5722C"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6</w:t>
            </w:r>
          </w:p>
        </w:tc>
        <w:tc>
          <w:tcPr>
            <w:tcW w:w="708" w:type="dxa"/>
          </w:tcPr>
          <w:p w14:paraId="66B9D4B4"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207</w:t>
            </w:r>
          </w:p>
        </w:tc>
        <w:tc>
          <w:tcPr>
            <w:tcW w:w="709" w:type="dxa"/>
          </w:tcPr>
          <w:p w14:paraId="0221EB9D"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30</w:t>
            </w:r>
          </w:p>
        </w:tc>
        <w:tc>
          <w:tcPr>
            <w:tcW w:w="709" w:type="dxa"/>
          </w:tcPr>
          <w:p w14:paraId="6A58A0ED"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35</w:t>
            </w:r>
          </w:p>
        </w:tc>
        <w:tc>
          <w:tcPr>
            <w:tcW w:w="709" w:type="dxa"/>
          </w:tcPr>
          <w:p w14:paraId="65229B75"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163</w:t>
            </w:r>
          </w:p>
        </w:tc>
        <w:tc>
          <w:tcPr>
            <w:tcW w:w="1680" w:type="dxa"/>
            <w:shd w:val="clear" w:color="auto" w:fill="FFFFFF" w:themeFill="background1"/>
          </w:tcPr>
          <w:p w14:paraId="7BB2D5E8"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hAnsi="Arial Narrow"/>
                <w:sz w:val="20"/>
                <w:szCs w:val="20"/>
              </w:rPr>
              <w:t>86% [81%-91%]</w:t>
            </w:r>
          </w:p>
        </w:tc>
        <w:tc>
          <w:tcPr>
            <w:tcW w:w="1681" w:type="dxa"/>
            <w:shd w:val="clear" w:color="auto" w:fill="FFFFFF" w:themeFill="background1"/>
          </w:tcPr>
          <w:p w14:paraId="16C50F88"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hAnsi="Arial Narrow"/>
                <w:sz w:val="20"/>
                <w:szCs w:val="20"/>
              </w:rPr>
              <w:t>85% [79%-90%]</w:t>
            </w:r>
          </w:p>
        </w:tc>
        <w:tc>
          <w:tcPr>
            <w:tcW w:w="1681" w:type="dxa"/>
            <w:shd w:val="clear" w:color="auto" w:fill="FFFFFF" w:themeFill="background1"/>
          </w:tcPr>
          <w:p w14:paraId="20F19DC3"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hAnsi="Arial Narrow"/>
                <w:sz w:val="20"/>
                <w:szCs w:val="20"/>
              </w:rPr>
              <w:t>87% [82%-91%]</w:t>
            </w:r>
          </w:p>
        </w:tc>
        <w:tc>
          <w:tcPr>
            <w:tcW w:w="1681" w:type="dxa"/>
            <w:shd w:val="clear" w:color="auto" w:fill="FFFFFF" w:themeFill="background1"/>
          </w:tcPr>
          <w:p w14:paraId="703E1502"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hAnsi="Arial Narrow"/>
                <w:sz w:val="20"/>
                <w:szCs w:val="20"/>
              </w:rPr>
              <w:t>82% [76%-87%]</w:t>
            </w:r>
          </w:p>
        </w:tc>
      </w:tr>
      <w:tr w:rsidR="00A469B7" w:rsidRPr="00A469B7" w14:paraId="30D324F5" w14:textId="77777777" w:rsidTr="00A71AB3">
        <w:tc>
          <w:tcPr>
            <w:tcW w:w="1685" w:type="dxa"/>
          </w:tcPr>
          <w:p w14:paraId="075EEE4D"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w:t>
            </w:r>
          </w:p>
        </w:tc>
        <w:tc>
          <w:tcPr>
            <w:tcW w:w="1134" w:type="dxa"/>
          </w:tcPr>
          <w:p w14:paraId="5FE8B3D2"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851" w:type="dxa"/>
          </w:tcPr>
          <w:p w14:paraId="7D4773CD" w14:textId="77777777" w:rsidR="00A469B7" w:rsidRPr="00A469B7" w:rsidRDefault="00A469B7" w:rsidP="00A469B7">
            <w:pPr>
              <w:spacing w:after="0"/>
              <w:ind w:left="0"/>
              <w:contextualSpacing/>
              <w:jc w:val="center"/>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33</w:t>
            </w:r>
            <w:r w:rsidRPr="00A469B7">
              <w:rPr>
                <w:rFonts w:ascii="Arial Narrow" w:eastAsia="Times New Roman" w:hAnsi="Arial Narrow" w:cs="Times New Roman"/>
                <w:sz w:val="20"/>
                <w:szCs w:val="24"/>
                <w:vertAlign w:val="superscript"/>
              </w:rPr>
              <w:t>a</w:t>
            </w:r>
          </w:p>
        </w:tc>
        <w:tc>
          <w:tcPr>
            <w:tcW w:w="708" w:type="dxa"/>
            <w:shd w:val="clear" w:color="auto" w:fill="FFFFFF" w:themeFill="background1"/>
          </w:tcPr>
          <w:p w14:paraId="39326A9F"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5E312602"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1E8C092C"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7D48ACC8"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680" w:type="dxa"/>
          </w:tcPr>
          <w:p w14:paraId="68195FA7"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91% [86%-94%]]</w:t>
            </w:r>
          </w:p>
        </w:tc>
        <w:tc>
          <w:tcPr>
            <w:tcW w:w="1681" w:type="dxa"/>
          </w:tcPr>
          <w:p w14:paraId="30777232"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86% [79%-91%]</w:t>
            </w:r>
          </w:p>
        </w:tc>
        <w:tc>
          <w:tcPr>
            <w:tcW w:w="1681" w:type="dxa"/>
          </w:tcPr>
          <w:p w14:paraId="7164AA8C"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c>
          <w:tcPr>
            <w:tcW w:w="1681" w:type="dxa"/>
          </w:tcPr>
          <w:p w14:paraId="3DEFBA84"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r>
      <w:tr w:rsidR="00A469B7" w:rsidRPr="00A469B7" w14:paraId="02CF33A0" w14:textId="77777777" w:rsidTr="00A71AB3">
        <w:tc>
          <w:tcPr>
            <w:tcW w:w="1685" w:type="dxa"/>
          </w:tcPr>
          <w:p w14:paraId="2F3D9E07"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w:t>
            </w:r>
          </w:p>
        </w:tc>
        <w:tc>
          <w:tcPr>
            <w:tcW w:w="1134" w:type="dxa"/>
          </w:tcPr>
          <w:p w14:paraId="69E42FE8"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851" w:type="dxa"/>
          </w:tcPr>
          <w:p w14:paraId="720ECE6A"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19</w:t>
            </w:r>
          </w:p>
        </w:tc>
        <w:tc>
          <w:tcPr>
            <w:tcW w:w="708" w:type="dxa"/>
            <w:shd w:val="clear" w:color="auto" w:fill="FFFFFF" w:themeFill="background1"/>
          </w:tcPr>
          <w:p w14:paraId="3D11B15E"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6ACE3C89"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04F5485D"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50E5BD2C"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680" w:type="dxa"/>
          </w:tcPr>
          <w:p w14:paraId="18973354"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79% [72%-85%]</w:t>
            </w:r>
          </w:p>
        </w:tc>
        <w:tc>
          <w:tcPr>
            <w:tcW w:w="1681" w:type="dxa"/>
          </w:tcPr>
          <w:p w14:paraId="7B98D808"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84% [78%-88%]</w:t>
            </w:r>
          </w:p>
        </w:tc>
        <w:tc>
          <w:tcPr>
            <w:tcW w:w="1681" w:type="dxa"/>
          </w:tcPr>
          <w:p w14:paraId="31A4A5CA"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c>
          <w:tcPr>
            <w:tcW w:w="1681" w:type="dxa"/>
          </w:tcPr>
          <w:p w14:paraId="14790C07"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r>
      <w:tr w:rsidR="00A469B7" w:rsidRPr="00A469B7" w14:paraId="46F19432" w14:textId="77777777" w:rsidTr="00A71AB3">
        <w:tc>
          <w:tcPr>
            <w:tcW w:w="1685" w:type="dxa"/>
            <w:shd w:val="clear" w:color="auto" w:fill="D0CECE" w:themeFill="background2" w:themeFillShade="E6"/>
          </w:tcPr>
          <w:p w14:paraId="61FC34C0"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Normal controls</w:t>
            </w:r>
          </w:p>
        </w:tc>
        <w:tc>
          <w:tcPr>
            <w:tcW w:w="1134" w:type="dxa"/>
            <w:shd w:val="clear" w:color="auto" w:fill="D0CECE" w:themeFill="background2" w:themeFillShade="E6"/>
          </w:tcPr>
          <w:p w14:paraId="2380895D"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851" w:type="dxa"/>
            <w:shd w:val="clear" w:color="auto" w:fill="D0CECE" w:themeFill="background2" w:themeFillShade="E6"/>
          </w:tcPr>
          <w:p w14:paraId="15227693"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8" w:type="dxa"/>
            <w:shd w:val="clear" w:color="auto" w:fill="D0CECE" w:themeFill="background2" w:themeFillShade="E6"/>
          </w:tcPr>
          <w:p w14:paraId="662BAB4F"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3457E199"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2A7673A4"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1D3F11E1"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680" w:type="dxa"/>
            <w:shd w:val="clear" w:color="auto" w:fill="D0CECE" w:themeFill="background2" w:themeFillShade="E6"/>
          </w:tcPr>
          <w:p w14:paraId="179D9A2A"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c>
          <w:tcPr>
            <w:tcW w:w="1681" w:type="dxa"/>
            <w:shd w:val="clear" w:color="auto" w:fill="D0CECE" w:themeFill="background2" w:themeFillShade="E6"/>
          </w:tcPr>
          <w:p w14:paraId="1430044B"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c>
          <w:tcPr>
            <w:tcW w:w="1681" w:type="dxa"/>
            <w:shd w:val="clear" w:color="auto" w:fill="D0CECE" w:themeFill="background2" w:themeFillShade="E6"/>
          </w:tcPr>
          <w:p w14:paraId="11216C38"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c>
          <w:tcPr>
            <w:tcW w:w="1681" w:type="dxa"/>
            <w:shd w:val="clear" w:color="auto" w:fill="D0CECE" w:themeFill="background2" w:themeFillShade="E6"/>
          </w:tcPr>
          <w:p w14:paraId="4A4151F2"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r>
      <w:tr w:rsidR="00A469B7" w:rsidRPr="00A469B7" w14:paraId="7CB54EC5" w14:textId="77777777" w:rsidTr="00A71AB3">
        <w:tc>
          <w:tcPr>
            <w:tcW w:w="1685" w:type="dxa"/>
            <w:shd w:val="clear" w:color="auto" w:fill="FFFFFF" w:themeFill="background1"/>
          </w:tcPr>
          <w:p w14:paraId="3CCF0F7E"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w:t>
            </w:r>
          </w:p>
        </w:tc>
        <w:tc>
          <w:tcPr>
            <w:tcW w:w="1134" w:type="dxa"/>
            <w:shd w:val="clear" w:color="auto" w:fill="FFFFFF" w:themeFill="background1"/>
          </w:tcPr>
          <w:p w14:paraId="6E9219A1"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851" w:type="dxa"/>
            <w:shd w:val="clear" w:color="auto" w:fill="FFFFFF" w:themeFill="background1"/>
          </w:tcPr>
          <w:p w14:paraId="75EE32EA"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20</w:t>
            </w:r>
          </w:p>
        </w:tc>
        <w:tc>
          <w:tcPr>
            <w:tcW w:w="708" w:type="dxa"/>
            <w:shd w:val="clear" w:color="auto" w:fill="FFFFFF" w:themeFill="background1"/>
          </w:tcPr>
          <w:p w14:paraId="4E243DE8"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5F67D3B5"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2D31AC35"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65A844D8"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680" w:type="dxa"/>
            <w:shd w:val="clear" w:color="auto" w:fill="FFFFFF" w:themeFill="background1"/>
          </w:tcPr>
          <w:p w14:paraId="0365F946"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90% [84%-94%]</w:t>
            </w:r>
          </w:p>
        </w:tc>
        <w:tc>
          <w:tcPr>
            <w:tcW w:w="1681" w:type="dxa"/>
            <w:shd w:val="clear" w:color="auto" w:fill="FFFFFF" w:themeFill="background1"/>
          </w:tcPr>
          <w:p w14:paraId="7A18ADFF"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89% [81%-94%]</w:t>
            </w:r>
          </w:p>
        </w:tc>
        <w:tc>
          <w:tcPr>
            <w:tcW w:w="1681" w:type="dxa"/>
            <w:shd w:val="clear" w:color="auto" w:fill="FFFFFF" w:themeFill="background1"/>
          </w:tcPr>
          <w:p w14:paraId="1FD7F8FD"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c>
          <w:tcPr>
            <w:tcW w:w="1681" w:type="dxa"/>
            <w:shd w:val="clear" w:color="auto" w:fill="FFFFFF" w:themeFill="background1"/>
          </w:tcPr>
          <w:p w14:paraId="3B77C45F"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r>
      <w:tr w:rsidR="00A469B7" w:rsidRPr="00A469B7" w14:paraId="13EC103F" w14:textId="77777777" w:rsidTr="00A71AB3">
        <w:tc>
          <w:tcPr>
            <w:tcW w:w="1685" w:type="dxa"/>
            <w:shd w:val="clear" w:color="auto" w:fill="FFFFFF" w:themeFill="background1"/>
          </w:tcPr>
          <w:p w14:paraId="529BC8BC"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w:t>
            </w:r>
          </w:p>
        </w:tc>
        <w:tc>
          <w:tcPr>
            <w:tcW w:w="1134" w:type="dxa"/>
            <w:shd w:val="clear" w:color="auto" w:fill="FFFFFF" w:themeFill="background1"/>
          </w:tcPr>
          <w:p w14:paraId="3D70C72A"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851" w:type="dxa"/>
            <w:shd w:val="clear" w:color="auto" w:fill="FFFFFF" w:themeFill="background1"/>
          </w:tcPr>
          <w:p w14:paraId="2A955B32"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11</w:t>
            </w:r>
          </w:p>
        </w:tc>
        <w:tc>
          <w:tcPr>
            <w:tcW w:w="708" w:type="dxa"/>
            <w:shd w:val="clear" w:color="auto" w:fill="FFFFFF" w:themeFill="background1"/>
          </w:tcPr>
          <w:p w14:paraId="3ED844D6"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09D59E03"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631B8B84"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32C42A29"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680" w:type="dxa"/>
            <w:shd w:val="clear" w:color="auto" w:fill="FFFFFF" w:themeFill="background1"/>
          </w:tcPr>
          <w:p w14:paraId="2A922D41"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80% [71%-87%]</w:t>
            </w:r>
          </w:p>
        </w:tc>
        <w:tc>
          <w:tcPr>
            <w:tcW w:w="1681" w:type="dxa"/>
            <w:shd w:val="clear" w:color="auto" w:fill="FFFFFF" w:themeFill="background1"/>
          </w:tcPr>
          <w:p w14:paraId="44DEDF98"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85% [79%-90%]</w:t>
            </w:r>
          </w:p>
        </w:tc>
        <w:tc>
          <w:tcPr>
            <w:tcW w:w="1681" w:type="dxa"/>
            <w:shd w:val="clear" w:color="auto" w:fill="FFFFFF" w:themeFill="background1"/>
          </w:tcPr>
          <w:p w14:paraId="3534A0E9"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c>
          <w:tcPr>
            <w:tcW w:w="1681" w:type="dxa"/>
            <w:shd w:val="clear" w:color="auto" w:fill="FFFFFF" w:themeFill="background1"/>
          </w:tcPr>
          <w:p w14:paraId="3F0DEA8E"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r>
      <w:tr w:rsidR="00A469B7" w:rsidRPr="00A469B7" w14:paraId="269EFDB6" w14:textId="77777777" w:rsidTr="00A71AB3">
        <w:tc>
          <w:tcPr>
            <w:tcW w:w="1685" w:type="dxa"/>
            <w:shd w:val="clear" w:color="auto" w:fill="D0CECE" w:themeFill="background2" w:themeFillShade="E6"/>
          </w:tcPr>
          <w:p w14:paraId="6237FF60"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Demented controls</w:t>
            </w:r>
          </w:p>
        </w:tc>
        <w:tc>
          <w:tcPr>
            <w:tcW w:w="1134" w:type="dxa"/>
            <w:shd w:val="clear" w:color="auto" w:fill="D0CECE" w:themeFill="background2" w:themeFillShade="E6"/>
          </w:tcPr>
          <w:p w14:paraId="194CF273"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851" w:type="dxa"/>
            <w:shd w:val="clear" w:color="auto" w:fill="D0CECE" w:themeFill="background2" w:themeFillShade="E6"/>
          </w:tcPr>
          <w:p w14:paraId="37FDE0D2"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8" w:type="dxa"/>
            <w:shd w:val="clear" w:color="auto" w:fill="D0CECE" w:themeFill="background2" w:themeFillShade="E6"/>
          </w:tcPr>
          <w:p w14:paraId="21A6B73A"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13CFE4DE"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298BE65A"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709" w:type="dxa"/>
            <w:shd w:val="clear" w:color="auto" w:fill="D0CECE" w:themeFill="background2" w:themeFillShade="E6"/>
          </w:tcPr>
          <w:p w14:paraId="7710CC08"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w:t>
            </w:r>
          </w:p>
        </w:tc>
        <w:tc>
          <w:tcPr>
            <w:tcW w:w="1680" w:type="dxa"/>
            <w:shd w:val="clear" w:color="auto" w:fill="D0CECE" w:themeFill="background2" w:themeFillShade="E6"/>
          </w:tcPr>
          <w:p w14:paraId="5A7037BB"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c>
          <w:tcPr>
            <w:tcW w:w="1681" w:type="dxa"/>
            <w:shd w:val="clear" w:color="auto" w:fill="D0CECE" w:themeFill="background2" w:themeFillShade="E6"/>
          </w:tcPr>
          <w:p w14:paraId="1E16DF45"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c>
          <w:tcPr>
            <w:tcW w:w="1681" w:type="dxa"/>
            <w:shd w:val="clear" w:color="auto" w:fill="D0CECE" w:themeFill="background2" w:themeFillShade="E6"/>
          </w:tcPr>
          <w:p w14:paraId="6E8027D7"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c>
          <w:tcPr>
            <w:tcW w:w="1681" w:type="dxa"/>
            <w:shd w:val="clear" w:color="auto" w:fill="D0CECE" w:themeFill="background2" w:themeFillShade="E6"/>
          </w:tcPr>
          <w:p w14:paraId="458551C6"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w:t>
            </w:r>
          </w:p>
        </w:tc>
      </w:tr>
      <w:tr w:rsidR="00A469B7" w:rsidRPr="00A469B7" w14:paraId="6F5E90F1" w14:textId="77777777" w:rsidTr="00A71AB3">
        <w:tc>
          <w:tcPr>
            <w:tcW w:w="1685" w:type="dxa"/>
            <w:shd w:val="clear" w:color="auto" w:fill="FFFFFF" w:themeFill="background1"/>
          </w:tcPr>
          <w:p w14:paraId="3C77EE5B"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w:t>
            </w:r>
          </w:p>
        </w:tc>
        <w:tc>
          <w:tcPr>
            <w:tcW w:w="1134" w:type="dxa"/>
            <w:shd w:val="clear" w:color="auto" w:fill="FFFFFF" w:themeFill="background1"/>
          </w:tcPr>
          <w:p w14:paraId="5FFFFE96"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851" w:type="dxa"/>
            <w:shd w:val="clear" w:color="auto" w:fill="FFFFFF" w:themeFill="background1"/>
          </w:tcPr>
          <w:p w14:paraId="7AD69F0C" w14:textId="77777777" w:rsidR="00A469B7" w:rsidRPr="00A469B7" w:rsidRDefault="00A469B7" w:rsidP="00A469B7">
            <w:pPr>
              <w:spacing w:after="0"/>
              <w:ind w:left="0"/>
              <w:contextualSpacing/>
              <w:jc w:val="center"/>
              <w:rPr>
                <w:rFonts w:ascii="Arial Narrow" w:eastAsia="Times New Roman" w:hAnsi="Arial Narrow" w:cs="Times New Roman"/>
                <w:sz w:val="20"/>
                <w:szCs w:val="24"/>
                <w:vertAlign w:val="superscript"/>
              </w:rPr>
            </w:pPr>
            <w:r w:rsidRPr="00A469B7">
              <w:rPr>
                <w:rFonts w:ascii="Arial Narrow" w:eastAsia="Times New Roman" w:hAnsi="Arial Narrow" w:cs="Times New Roman"/>
                <w:sz w:val="20"/>
                <w:szCs w:val="24"/>
              </w:rPr>
              <w:t>13</w:t>
            </w:r>
            <w:r w:rsidRPr="00A469B7">
              <w:rPr>
                <w:rFonts w:ascii="Arial Narrow" w:eastAsia="Times New Roman" w:hAnsi="Arial Narrow" w:cs="Times New Roman"/>
                <w:sz w:val="20"/>
                <w:szCs w:val="24"/>
                <w:vertAlign w:val="superscript"/>
              </w:rPr>
              <w:t>b</w:t>
            </w:r>
          </w:p>
        </w:tc>
        <w:tc>
          <w:tcPr>
            <w:tcW w:w="708" w:type="dxa"/>
            <w:shd w:val="clear" w:color="auto" w:fill="FFFFFF" w:themeFill="background1"/>
          </w:tcPr>
          <w:p w14:paraId="16A09868"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2A0389CD"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64CA43E7"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3E9BEB3B"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680" w:type="dxa"/>
            <w:shd w:val="clear" w:color="auto" w:fill="FFFFFF" w:themeFill="background1"/>
          </w:tcPr>
          <w:p w14:paraId="7E9C0900"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92% [84%-96%]</w:t>
            </w:r>
          </w:p>
        </w:tc>
        <w:tc>
          <w:tcPr>
            <w:tcW w:w="1681" w:type="dxa"/>
            <w:shd w:val="clear" w:color="auto" w:fill="FFFFFF" w:themeFill="background1"/>
          </w:tcPr>
          <w:p w14:paraId="43124BA5"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78% [69%-85%]</w:t>
            </w:r>
          </w:p>
        </w:tc>
        <w:tc>
          <w:tcPr>
            <w:tcW w:w="1681" w:type="dxa"/>
            <w:shd w:val="clear" w:color="auto" w:fill="FFFFFF" w:themeFill="background1"/>
          </w:tcPr>
          <w:p w14:paraId="2FECE284"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c>
          <w:tcPr>
            <w:tcW w:w="1681" w:type="dxa"/>
            <w:shd w:val="clear" w:color="auto" w:fill="FFFFFF" w:themeFill="background1"/>
          </w:tcPr>
          <w:p w14:paraId="2DBAB92C"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r>
      <w:tr w:rsidR="00A469B7" w:rsidRPr="00A469B7" w14:paraId="60A0B73C" w14:textId="77777777" w:rsidTr="00A71AB3">
        <w:tc>
          <w:tcPr>
            <w:tcW w:w="1685" w:type="dxa"/>
            <w:shd w:val="clear" w:color="auto" w:fill="FFFFFF" w:themeFill="background1"/>
          </w:tcPr>
          <w:p w14:paraId="19EB6417"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w:t>
            </w:r>
          </w:p>
        </w:tc>
        <w:tc>
          <w:tcPr>
            <w:tcW w:w="1134" w:type="dxa"/>
            <w:shd w:val="clear" w:color="auto" w:fill="FFFFFF" w:themeFill="background1"/>
          </w:tcPr>
          <w:p w14:paraId="766B879D"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FDG-PET</w:t>
            </w:r>
          </w:p>
        </w:tc>
        <w:tc>
          <w:tcPr>
            <w:tcW w:w="851" w:type="dxa"/>
            <w:shd w:val="clear" w:color="auto" w:fill="FFFFFF" w:themeFill="background1"/>
          </w:tcPr>
          <w:p w14:paraId="163E9A42"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10</w:t>
            </w:r>
          </w:p>
        </w:tc>
        <w:tc>
          <w:tcPr>
            <w:tcW w:w="708" w:type="dxa"/>
            <w:shd w:val="clear" w:color="auto" w:fill="FFFFFF" w:themeFill="background1"/>
          </w:tcPr>
          <w:p w14:paraId="7AB09224"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62E369CF"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495F186B"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6038A220"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680" w:type="dxa"/>
            <w:shd w:val="clear" w:color="auto" w:fill="FFFFFF" w:themeFill="background1"/>
          </w:tcPr>
          <w:p w14:paraId="77B09CFC"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93% [85%-97%]</w:t>
            </w:r>
          </w:p>
        </w:tc>
        <w:tc>
          <w:tcPr>
            <w:tcW w:w="1681" w:type="dxa"/>
            <w:shd w:val="clear" w:color="auto" w:fill="FFFFFF" w:themeFill="background1"/>
          </w:tcPr>
          <w:p w14:paraId="4D8356F3"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70% [64%-76%]</w:t>
            </w:r>
          </w:p>
        </w:tc>
        <w:tc>
          <w:tcPr>
            <w:tcW w:w="1681" w:type="dxa"/>
            <w:shd w:val="clear" w:color="auto" w:fill="FFFFFF" w:themeFill="background1"/>
          </w:tcPr>
          <w:p w14:paraId="42AB753B"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c>
          <w:tcPr>
            <w:tcW w:w="1681" w:type="dxa"/>
            <w:shd w:val="clear" w:color="auto" w:fill="FFFFFF" w:themeFill="background1"/>
          </w:tcPr>
          <w:p w14:paraId="46BD20D0"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r>
      <w:tr w:rsidR="00A469B7" w:rsidRPr="00A469B7" w14:paraId="441876B0" w14:textId="77777777" w:rsidTr="00A71AB3">
        <w:tc>
          <w:tcPr>
            <w:tcW w:w="1685" w:type="dxa"/>
            <w:shd w:val="clear" w:color="auto" w:fill="FFFFFF" w:themeFill="background1"/>
          </w:tcPr>
          <w:p w14:paraId="10A25350" w14:textId="77777777" w:rsidR="00A469B7" w:rsidRPr="00A469B7" w:rsidRDefault="00A469B7" w:rsidP="00A469B7">
            <w:pPr>
              <w:spacing w:after="0"/>
              <w:ind w:left="0"/>
              <w:rPr>
                <w:rFonts w:ascii="Arial Narrow" w:eastAsia="Times New Roman" w:hAnsi="Arial Narrow" w:cs="Times New Roman"/>
                <w:sz w:val="20"/>
                <w:szCs w:val="24"/>
              </w:rPr>
            </w:pPr>
            <w:r w:rsidRPr="00A469B7">
              <w:rPr>
                <w:rFonts w:ascii="Arial Narrow" w:eastAsia="Times New Roman" w:hAnsi="Arial Narrow" w:cs="Times New Roman"/>
                <w:sz w:val="20"/>
                <w:szCs w:val="24"/>
              </w:rPr>
              <w:t>Bloudek (2011)</w:t>
            </w:r>
          </w:p>
        </w:tc>
        <w:tc>
          <w:tcPr>
            <w:tcW w:w="1134" w:type="dxa"/>
            <w:shd w:val="clear" w:color="auto" w:fill="FFFFFF" w:themeFill="background1"/>
          </w:tcPr>
          <w:p w14:paraId="3E62E7B9" w14:textId="77777777" w:rsidR="00A469B7" w:rsidRPr="00A469B7" w:rsidRDefault="00A469B7" w:rsidP="00A469B7">
            <w:pPr>
              <w:spacing w:after="0"/>
              <w:ind w:left="0"/>
              <w:contextualSpacing/>
              <w:rPr>
                <w:rFonts w:ascii="Arial Narrow" w:eastAsia="Times New Roman" w:hAnsi="Arial Narrow" w:cs="Times New Roman"/>
                <w:sz w:val="20"/>
                <w:szCs w:val="24"/>
              </w:rPr>
            </w:pPr>
            <w:r w:rsidRPr="00A469B7">
              <w:rPr>
                <w:rFonts w:ascii="Arial Narrow" w:eastAsia="Times New Roman" w:hAnsi="Arial Narrow" w:cs="Times New Roman"/>
                <w:sz w:val="20"/>
                <w:szCs w:val="24"/>
              </w:rPr>
              <w:t>SPECT</w:t>
            </w:r>
          </w:p>
        </w:tc>
        <w:tc>
          <w:tcPr>
            <w:tcW w:w="851" w:type="dxa"/>
            <w:shd w:val="clear" w:color="auto" w:fill="FFFFFF" w:themeFill="background1"/>
          </w:tcPr>
          <w:p w14:paraId="73607EDE"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8</w:t>
            </w:r>
          </w:p>
        </w:tc>
        <w:tc>
          <w:tcPr>
            <w:tcW w:w="708" w:type="dxa"/>
            <w:shd w:val="clear" w:color="auto" w:fill="FFFFFF" w:themeFill="background1"/>
          </w:tcPr>
          <w:p w14:paraId="57F0029C"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2DA0ED2B"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11B763F0"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709" w:type="dxa"/>
            <w:shd w:val="clear" w:color="auto" w:fill="FFFFFF" w:themeFill="background1"/>
          </w:tcPr>
          <w:p w14:paraId="4381B572" w14:textId="77777777" w:rsidR="00A469B7" w:rsidRPr="00A469B7" w:rsidRDefault="00A469B7" w:rsidP="00A469B7">
            <w:pPr>
              <w:spacing w:after="0"/>
              <w:ind w:left="0"/>
              <w:contextualSpacing/>
              <w:jc w:val="center"/>
              <w:rPr>
                <w:rFonts w:ascii="Arial Narrow" w:eastAsia="Times New Roman" w:hAnsi="Arial Narrow" w:cs="Times New Roman"/>
                <w:sz w:val="20"/>
                <w:szCs w:val="24"/>
              </w:rPr>
            </w:pPr>
            <w:r w:rsidRPr="00A469B7">
              <w:rPr>
                <w:rFonts w:ascii="Arial Narrow" w:eastAsia="Times New Roman" w:hAnsi="Arial Narrow" w:cs="Times New Roman"/>
                <w:sz w:val="20"/>
                <w:szCs w:val="24"/>
              </w:rPr>
              <w:t>NR</w:t>
            </w:r>
          </w:p>
        </w:tc>
        <w:tc>
          <w:tcPr>
            <w:tcW w:w="1680" w:type="dxa"/>
            <w:shd w:val="clear" w:color="auto" w:fill="FFFFFF" w:themeFill="background1"/>
          </w:tcPr>
          <w:p w14:paraId="621AA649"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79% [65%-88%]</w:t>
            </w:r>
          </w:p>
        </w:tc>
        <w:tc>
          <w:tcPr>
            <w:tcW w:w="1681" w:type="dxa"/>
            <w:shd w:val="clear" w:color="auto" w:fill="FFFFFF" w:themeFill="background1"/>
          </w:tcPr>
          <w:p w14:paraId="336A307D"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81% [72%-87%]</w:t>
            </w:r>
          </w:p>
        </w:tc>
        <w:tc>
          <w:tcPr>
            <w:tcW w:w="1681" w:type="dxa"/>
            <w:shd w:val="clear" w:color="auto" w:fill="FFFFFF" w:themeFill="background1"/>
          </w:tcPr>
          <w:p w14:paraId="0BD2E974"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c>
          <w:tcPr>
            <w:tcW w:w="1681" w:type="dxa"/>
            <w:shd w:val="clear" w:color="auto" w:fill="FFFFFF" w:themeFill="background1"/>
          </w:tcPr>
          <w:p w14:paraId="3552C9E7" w14:textId="77777777" w:rsidR="00A469B7" w:rsidRPr="00A469B7" w:rsidRDefault="00A469B7" w:rsidP="00A469B7">
            <w:pPr>
              <w:spacing w:after="0"/>
              <w:ind w:left="0"/>
              <w:contextualSpacing/>
              <w:jc w:val="center"/>
              <w:rPr>
                <w:rFonts w:ascii="Arial Narrow" w:eastAsia="Times New Roman" w:hAnsi="Arial Narrow" w:cs="Times New Roman"/>
                <w:sz w:val="20"/>
                <w:szCs w:val="20"/>
              </w:rPr>
            </w:pPr>
            <w:r w:rsidRPr="00A469B7">
              <w:rPr>
                <w:rFonts w:ascii="Arial Narrow" w:eastAsia="Times New Roman" w:hAnsi="Arial Narrow" w:cs="Times New Roman"/>
                <w:sz w:val="20"/>
                <w:szCs w:val="20"/>
              </w:rPr>
              <w:t>NR</w:t>
            </w:r>
          </w:p>
        </w:tc>
      </w:tr>
    </w:tbl>
    <w:p w14:paraId="798E1A9F" w14:textId="77777777" w:rsidR="00A469B7" w:rsidRPr="00A469B7" w:rsidRDefault="00A469B7" w:rsidP="00A469B7">
      <w:pPr>
        <w:spacing w:after="360"/>
        <w:contextualSpacing/>
        <w:rPr>
          <w:rFonts w:ascii="Arial Narrow" w:hAnsi="Arial Narrow"/>
          <w:sz w:val="16"/>
          <w:szCs w:val="16"/>
        </w:rPr>
      </w:pPr>
      <w:r w:rsidRPr="00A469B7">
        <w:rPr>
          <w:rFonts w:ascii="Arial Narrow" w:hAnsi="Arial Narrow"/>
          <w:sz w:val="16"/>
          <w:szCs w:val="16"/>
        </w:rPr>
        <w:t>Note: PPV and NPV results were calculated using information available in the systematic reviews.</w:t>
      </w:r>
    </w:p>
    <w:p w14:paraId="5BA03A0D" w14:textId="1A9FDBF6" w:rsidR="00A469B7" w:rsidRPr="00A469B7" w:rsidRDefault="00A469B7" w:rsidP="00A469B7">
      <w:pPr>
        <w:spacing w:after="360"/>
        <w:contextualSpacing/>
        <w:rPr>
          <w:rFonts w:ascii="Arial Narrow" w:hAnsi="Arial Narrow"/>
          <w:sz w:val="16"/>
          <w:szCs w:val="16"/>
        </w:rPr>
      </w:pPr>
      <w:r w:rsidRPr="00A469B7">
        <w:rPr>
          <w:rFonts w:ascii="Arial Narrow" w:hAnsi="Arial Narrow"/>
          <w:sz w:val="16"/>
          <w:szCs w:val="16"/>
        </w:rPr>
        <w:t xml:space="preserve">Abbreviations: AD, Alzheimer’s disease; CI, confidence interval; </w:t>
      </w:r>
      <w:r w:rsidR="0003027D">
        <w:rPr>
          <w:rFonts w:ascii="Arial Narrow" w:hAnsi="Arial Narrow"/>
          <w:sz w:val="16"/>
          <w:szCs w:val="16"/>
        </w:rPr>
        <w:t>FDG</w:t>
      </w:r>
      <w:r w:rsidRPr="00A469B7">
        <w:rPr>
          <w:rFonts w:ascii="Arial Narrow" w:hAnsi="Arial Narrow"/>
          <w:sz w:val="16"/>
          <w:szCs w:val="16"/>
        </w:rPr>
        <w:t>, flu</w:t>
      </w:r>
      <w:r w:rsidR="008F0DD0">
        <w:rPr>
          <w:rFonts w:ascii="Arial Narrow" w:hAnsi="Arial Narrow"/>
          <w:sz w:val="16"/>
          <w:szCs w:val="16"/>
        </w:rPr>
        <w:t>o</w:t>
      </w:r>
      <w:r w:rsidRPr="00A469B7">
        <w:rPr>
          <w:rFonts w:ascii="Arial Narrow" w:hAnsi="Arial Narrow"/>
          <w:sz w:val="16"/>
          <w:szCs w:val="16"/>
        </w:rPr>
        <w:t>rodeoxyglucose; FN, false</w:t>
      </w:r>
      <w:r w:rsidR="000E05F2">
        <w:rPr>
          <w:rFonts w:ascii="Arial Narrow" w:hAnsi="Arial Narrow"/>
          <w:sz w:val="16"/>
          <w:szCs w:val="16"/>
        </w:rPr>
        <w:t xml:space="preserve"> </w:t>
      </w:r>
      <w:r w:rsidRPr="00A469B7">
        <w:rPr>
          <w:rFonts w:ascii="Arial Narrow" w:hAnsi="Arial Narrow"/>
          <w:sz w:val="16"/>
          <w:szCs w:val="16"/>
        </w:rPr>
        <w:t>negative; FP, false</w:t>
      </w:r>
      <w:r w:rsidR="000E05F2">
        <w:rPr>
          <w:rFonts w:ascii="Arial Narrow" w:hAnsi="Arial Narrow"/>
          <w:sz w:val="16"/>
          <w:szCs w:val="16"/>
        </w:rPr>
        <w:t xml:space="preserve"> </w:t>
      </w:r>
      <w:r w:rsidRPr="00A469B7">
        <w:rPr>
          <w:rFonts w:ascii="Arial Narrow" w:hAnsi="Arial Narrow"/>
          <w:sz w:val="16"/>
          <w:szCs w:val="16"/>
        </w:rPr>
        <w:t xml:space="preserve">positive; MIX, mixed-type dementia; NPV, negative predictive value; NR, not reported; </w:t>
      </w:r>
      <w:r w:rsidR="00097779">
        <w:rPr>
          <w:rFonts w:ascii="Arial Narrow" w:hAnsi="Arial Narrow"/>
          <w:sz w:val="16"/>
          <w:szCs w:val="16"/>
        </w:rPr>
        <w:t xml:space="preserve">PET, positron emission tomography; </w:t>
      </w:r>
      <w:r w:rsidRPr="00A469B7">
        <w:rPr>
          <w:rFonts w:ascii="Arial Narrow" w:hAnsi="Arial Narrow"/>
          <w:sz w:val="16"/>
          <w:szCs w:val="16"/>
        </w:rPr>
        <w:t>PPV, positive predictive value; SPECT, single-photon emission computed tomography; TN, true</w:t>
      </w:r>
      <w:r w:rsidR="0064732B">
        <w:rPr>
          <w:rFonts w:ascii="Arial Narrow" w:hAnsi="Arial Narrow"/>
          <w:sz w:val="16"/>
          <w:szCs w:val="16"/>
        </w:rPr>
        <w:t xml:space="preserve"> </w:t>
      </w:r>
      <w:r w:rsidRPr="00A469B7">
        <w:rPr>
          <w:rFonts w:ascii="Arial Narrow" w:hAnsi="Arial Narrow"/>
          <w:sz w:val="16"/>
          <w:szCs w:val="16"/>
        </w:rPr>
        <w:t>negative; TP, true</w:t>
      </w:r>
      <w:r w:rsidR="0064732B">
        <w:rPr>
          <w:rFonts w:ascii="Arial Narrow" w:hAnsi="Arial Narrow"/>
          <w:sz w:val="16"/>
          <w:szCs w:val="16"/>
        </w:rPr>
        <w:t xml:space="preserve"> </w:t>
      </w:r>
      <w:r w:rsidRPr="00A469B7">
        <w:rPr>
          <w:rFonts w:ascii="Arial Narrow" w:hAnsi="Arial Narrow"/>
          <w:sz w:val="16"/>
          <w:szCs w:val="16"/>
        </w:rPr>
        <w:t>positive.</w:t>
      </w:r>
    </w:p>
    <w:p w14:paraId="2CDFDAF7" w14:textId="77777777" w:rsidR="00A469B7" w:rsidRPr="00A469B7" w:rsidRDefault="00A469B7" w:rsidP="00A469B7">
      <w:pPr>
        <w:spacing w:after="360"/>
        <w:contextualSpacing/>
        <w:rPr>
          <w:rFonts w:ascii="Arial Narrow" w:hAnsi="Arial Narrow"/>
          <w:sz w:val="16"/>
          <w:szCs w:val="16"/>
        </w:rPr>
      </w:pPr>
      <w:r w:rsidRPr="00A469B7">
        <w:rPr>
          <w:rFonts w:ascii="Arial Narrow" w:hAnsi="Arial Narrow"/>
          <w:sz w:val="16"/>
          <w:szCs w:val="16"/>
          <w:vertAlign w:val="superscript"/>
        </w:rPr>
        <w:t xml:space="preserve">a </w:t>
      </w:r>
      <w:r w:rsidRPr="00A469B7">
        <w:rPr>
          <w:rFonts w:ascii="Arial Narrow" w:hAnsi="Arial Narrow"/>
          <w:sz w:val="16"/>
          <w:szCs w:val="16"/>
        </w:rPr>
        <w:t xml:space="preserve">27 reported in text (p.634); 33 shown in meta-analysis (fig.5). </w:t>
      </w:r>
    </w:p>
    <w:p w14:paraId="0926C130" w14:textId="55FC832C" w:rsidR="00D843F0" w:rsidRPr="00A775BB" w:rsidRDefault="00A469B7" w:rsidP="00D843F0">
      <w:pPr>
        <w:spacing w:after="360"/>
        <w:contextualSpacing/>
        <w:rPr>
          <w:rFonts w:ascii="Arial Narrow" w:hAnsi="Arial Narrow"/>
          <w:sz w:val="16"/>
          <w:szCs w:val="16"/>
        </w:rPr>
      </w:pPr>
      <w:r w:rsidRPr="00A469B7">
        <w:rPr>
          <w:rFonts w:ascii="Arial Narrow" w:hAnsi="Arial Narrow"/>
          <w:sz w:val="16"/>
          <w:szCs w:val="16"/>
          <w:vertAlign w:val="superscript"/>
        </w:rPr>
        <w:t xml:space="preserve">b </w:t>
      </w:r>
      <w:r w:rsidRPr="00A469B7">
        <w:rPr>
          <w:rFonts w:ascii="Arial Narrow" w:hAnsi="Arial Narrow"/>
          <w:sz w:val="16"/>
          <w:szCs w:val="16"/>
        </w:rPr>
        <w:t>Three studies had a control group of patients with MCI.</w:t>
      </w:r>
    </w:p>
    <w:p w14:paraId="65B757C8" w14:textId="7C8CE288" w:rsidR="00A469B7" w:rsidRPr="00A775BB" w:rsidRDefault="00A469B7" w:rsidP="00A775BB">
      <w:pPr>
        <w:tabs>
          <w:tab w:val="left" w:pos="2145"/>
        </w:tabs>
        <w:rPr>
          <w:rFonts w:ascii="Arial Narrow" w:hAnsi="Arial Narrow"/>
          <w:sz w:val="16"/>
          <w:szCs w:val="16"/>
        </w:rPr>
        <w:sectPr w:rsidR="00A469B7" w:rsidRPr="00A775BB" w:rsidSect="00A71AB3">
          <w:footerReference w:type="default" r:id="rId26"/>
          <w:pgSz w:w="16838" w:h="11906" w:orient="landscape" w:code="9"/>
          <w:pgMar w:top="1440" w:right="1440" w:bottom="1440" w:left="1440" w:header="680" w:footer="1021" w:gutter="0"/>
          <w:cols w:space="708"/>
          <w:docGrid w:linePitch="360"/>
        </w:sectPr>
      </w:pPr>
    </w:p>
    <w:p w14:paraId="41077A4C" w14:textId="067DDF98" w:rsidR="006B173F" w:rsidRDefault="006B173F" w:rsidP="006B173F">
      <w:pPr>
        <w:pStyle w:val="Heading3"/>
      </w:pPr>
      <w:r>
        <w:lastRenderedPageBreak/>
        <w:t>Safety</w:t>
      </w:r>
    </w:p>
    <w:p w14:paraId="46A5DED6" w14:textId="756A00FB" w:rsidR="00CE7481" w:rsidRDefault="003249AD" w:rsidP="00601DFD">
      <w:r>
        <w:t xml:space="preserve">The literature search identified no primary studies that reported </w:t>
      </w:r>
      <w:r w:rsidR="00267519">
        <w:t xml:space="preserve">on </w:t>
      </w:r>
      <w:r>
        <w:t xml:space="preserve">the safety of FDG-PET versus SPECT for the diagnosis of AD. </w:t>
      </w:r>
      <w:r w:rsidR="00267519">
        <w:t>None of the studies included in the assessment of diagnostic accuracy reported any adverse events associated with FDG-PET or SPECT. A</w:t>
      </w:r>
      <w:r w:rsidR="00CE7481" w:rsidRPr="003249AD">
        <w:t xml:space="preserve"> systematic review by Bohnen et al (2012) </w:t>
      </w:r>
      <w:r>
        <w:t>examined</w:t>
      </w:r>
      <w:r w:rsidR="00CE7481" w:rsidRPr="003249AD">
        <w:t xml:space="preserve"> the effectiveness and safety of FDG-PET</w:t>
      </w:r>
      <w:r w:rsidR="00267519">
        <w:t xml:space="preserve"> in the evaluation of dementia and </w:t>
      </w:r>
      <w:r>
        <w:t>noted that no safety issues were raised in the multitude of papers that have studied the application of FDG-PET in AD, AD-related dementia or other neurodegenerative disorders. One reference specifically mentioned the absence of any adverse effects related to the administration of the radiopharmaceutical (Lowe et al, 2009).</w:t>
      </w:r>
    </w:p>
    <w:p w14:paraId="10C66328" w14:textId="6BD7825D" w:rsidR="003249AD" w:rsidRDefault="00267519" w:rsidP="00601DFD">
      <w:r>
        <w:t xml:space="preserve">Patients undergoing a FDG-PET scan will be exposed to a certain amount of ionising radiation. </w:t>
      </w:r>
      <w:r w:rsidR="00325C04">
        <w:t>The American College of Radiology ACR Appropriateness Criteria for Dementia and Movement Disorders (2014)</w:t>
      </w:r>
      <w:r w:rsidR="00DC7964">
        <w:rPr>
          <w:rStyle w:val="FootnoteReference"/>
        </w:rPr>
        <w:footnoteReference w:id="6"/>
      </w:r>
      <w:r w:rsidR="00325C04">
        <w:t xml:space="preserve"> acknowledges that potential health effects associated with radiation exposure are an important factor to consider when selecting the appropriate imaging procedure. Due to the wide range of radiation exposures associated with different diagnostic procedures, a relative radiation level (RRL) indication is reported for each imaging examination</w:t>
      </w:r>
      <w:r w:rsidR="006907F6">
        <w:t>, including those for probable and possible AD</w:t>
      </w:r>
      <w:r w:rsidR="00325C04">
        <w:t>. The RRLs are based on effective dose, which is a radiation dose quantity that is used to estimate population total radiation risk associated with an imaging procedure.</w:t>
      </w:r>
      <w:r w:rsidR="00485DBC">
        <w:t xml:space="preserve"> Both FDG-PET/CT and Tc-99m HMPAO</w:t>
      </w:r>
      <w:r w:rsidR="00617B67">
        <w:t>-</w:t>
      </w:r>
      <w:r w:rsidR="00485DBC">
        <w:t xml:space="preserve">SPECT of the head are listed for use as problem-solving techniques in differentiating dementias, and have been assigned the same RRL rating: adult effective dose estimate range 10-30 mSv. In comparison, </w:t>
      </w:r>
      <w:r w:rsidR="006907F6">
        <w:t xml:space="preserve">CT and amyloid PET/CT </w:t>
      </w:r>
      <w:r w:rsidR="00485DBC">
        <w:t>of the head has an RRL of 1-10 mSv.</w:t>
      </w:r>
    </w:p>
    <w:p w14:paraId="08199D23" w14:textId="1D227698" w:rsidR="00335791" w:rsidRPr="003249AD" w:rsidRDefault="00335791" w:rsidP="00335791">
      <w:r>
        <w:t xml:space="preserve">Although there is limited published information available on the safety of PET, it is generally accepted that PET is a non-invasive and safe diagnostic procedure. Safety issues would primarily relate to the positron emitting radiopharmaceutical rather than the safety of the procedure as a whole (Silberstein, 1998). </w:t>
      </w:r>
      <w:r w:rsidR="00267519">
        <w:t>As radiotracers are generally used in very small quantities, the incidence of adverse reactions to non-pharmacologic amounts of labelled molecules are likely to be low.</w:t>
      </w:r>
    </w:p>
    <w:p w14:paraId="608B5737" w14:textId="77777777" w:rsidR="006B173F" w:rsidRDefault="006B173F" w:rsidP="006B173F">
      <w:pPr>
        <w:pStyle w:val="Heading3"/>
      </w:pPr>
      <w:r>
        <w:t>Change in patient management</w:t>
      </w:r>
    </w:p>
    <w:p w14:paraId="153D1A60" w14:textId="778B8FDE" w:rsidR="002C0816" w:rsidRDefault="00F45338" w:rsidP="002C0816">
      <w:r>
        <w:t>The Laforce et al (2010) publication presents the percentage of cases that were diagnosed as either atypical/unclear, MCI, AD or FTD according to</w:t>
      </w:r>
      <w:r w:rsidR="00901B6E">
        <w:t xml:space="preserve"> initial clinical diagnosis, Nuclear Medicine Physician’s diagnosis (using FDG-PET) and the most recent diagnosis for each clinical subgroup </w:t>
      </w:r>
      <w:r>
        <w:t xml:space="preserve">(at an average follow-up of 1.5 years). These results are </w:t>
      </w:r>
      <w:r w:rsidR="00901B6E">
        <w:t xml:space="preserve">shown in </w:t>
      </w:r>
      <w:r w:rsidR="009F7484">
        <w:fldChar w:fldCharType="begin"/>
      </w:r>
      <w:r w:rsidR="009F7484">
        <w:instrText xml:space="preserve"> REF _Ref406371360 \h </w:instrText>
      </w:r>
      <w:r w:rsidR="009F7484">
        <w:fldChar w:fldCharType="separate"/>
      </w:r>
      <w:r w:rsidR="00C67698">
        <w:t xml:space="preserve">Table </w:t>
      </w:r>
      <w:r w:rsidR="00C67698">
        <w:rPr>
          <w:noProof/>
        </w:rPr>
        <w:t>B.6</w:t>
      </w:r>
      <w:r w:rsidR="00C67698">
        <w:noBreakHyphen/>
      </w:r>
      <w:r w:rsidR="00C67698">
        <w:rPr>
          <w:noProof/>
        </w:rPr>
        <w:t>9</w:t>
      </w:r>
      <w:r w:rsidR="009F7484">
        <w:fldChar w:fldCharType="end"/>
      </w:r>
      <w:r w:rsidR="00901B6E">
        <w:t>.</w:t>
      </w:r>
      <w:r w:rsidR="00840E57">
        <w:t xml:space="preserve"> </w:t>
      </w:r>
    </w:p>
    <w:p w14:paraId="414237C1" w14:textId="569EAF00" w:rsidR="00901B6E" w:rsidRDefault="00901B6E" w:rsidP="00901B6E">
      <w:pPr>
        <w:pStyle w:val="Caption"/>
      </w:pPr>
      <w:bookmarkStart w:id="137" w:name="_Ref406371360"/>
      <w:bookmarkStart w:id="138" w:name="_Toc408845222"/>
      <w:r>
        <w:t xml:space="preserve">Table </w:t>
      </w:r>
      <w:fldSimple w:instr=" STYLEREF 2 \s ">
        <w:r w:rsidR="00C67698">
          <w:rPr>
            <w:noProof/>
          </w:rPr>
          <w:t>B.6</w:t>
        </w:r>
      </w:fldSimple>
      <w:r w:rsidR="00524916">
        <w:noBreakHyphen/>
      </w:r>
      <w:fldSimple w:instr=" SEQ Table \* ARABIC \s 2 ">
        <w:r w:rsidR="00C67698">
          <w:rPr>
            <w:noProof/>
          </w:rPr>
          <w:t>9</w:t>
        </w:r>
      </w:fldSimple>
      <w:bookmarkEnd w:id="137"/>
      <w:r>
        <w:tab/>
      </w:r>
      <w:r w:rsidR="00633C6D">
        <w:t xml:space="preserve">Difference between initial, </w:t>
      </w:r>
      <w:r w:rsidR="003F7708">
        <w:t xml:space="preserve">FDG-PET and </w:t>
      </w:r>
      <w:r w:rsidR="00633C6D">
        <w:t>most recent diagnos</w:t>
      </w:r>
      <w:r w:rsidR="003F7708">
        <w:t>e</w:t>
      </w:r>
      <w:r w:rsidR="00633C6D">
        <w:t>s</w:t>
      </w:r>
      <w:bookmarkEnd w:id="138"/>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A0" w:firstRow="1" w:lastRow="0" w:firstColumn="1" w:lastColumn="0" w:noHBand="0" w:noVBand="0"/>
        <w:tblCaption w:val="The change in diagnosis as reported by Laforce 2010"/>
        <w:tblDescription w:val="the difference between initial diagnosis, diagnosis using FDG-PET and the most recent diagnosis."/>
      </w:tblPr>
      <w:tblGrid>
        <w:gridCol w:w="2150"/>
        <w:gridCol w:w="2177"/>
        <w:gridCol w:w="2039"/>
        <w:gridCol w:w="2039"/>
      </w:tblGrid>
      <w:tr w:rsidR="009F7484" w:rsidRPr="00B43BF0" w14:paraId="3BE7DEB0" w14:textId="77777777" w:rsidTr="009F7484">
        <w:trPr>
          <w:tblHeader/>
        </w:trPr>
        <w:tc>
          <w:tcPr>
            <w:tcW w:w="1279" w:type="pct"/>
            <w:tcBorders>
              <w:right w:val="single" w:sz="4" w:space="0" w:color="auto"/>
            </w:tcBorders>
          </w:tcPr>
          <w:p w14:paraId="2461AE99" w14:textId="5BE57756" w:rsidR="009F7484" w:rsidRPr="00B43BF0" w:rsidRDefault="009F7484"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Clinical subgroup</w:t>
            </w:r>
          </w:p>
        </w:tc>
        <w:tc>
          <w:tcPr>
            <w:tcW w:w="1295" w:type="pct"/>
            <w:tcBorders>
              <w:top w:val="single" w:sz="4" w:space="0" w:color="auto"/>
              <w:left w:val="single" w:sz="4" w:space="0" w:color="auto"/>
              <w:bottom w:val="single" w:sz="4" w:space="0" w:color="auto"/>
              <w:right w:val="single" w:sz="4" w:space="0" w:color="auto"/>
            </w:tcBorders>
          </w:tcPr>
          <w:p w14:paraId="5273E1FF" w14:textId="26736BF5" w:rsidR="009F7484" w:rsidRPr="00B43BF0" w:rsidRDefault="009F7484"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Initial clinical diagnosis</w:t>
            </w:r>
          </w:p>
        </w:tc>
        <w:tc>
          <w:tcPr>
            <w:tcW w:w="1213" w:type="pct"/>
            <w:tcBorders>
              <w:left w:val="single" w:sz="4" w:space="0" w:color="auto"/>
              <w:right w:val="single" w:sz="4" w:space="0" w:color="auto"/>
            </w:tcBorders>
          </w:tcPr>
          <w:p w14:paraId="17ED7042" w14:textId="6CFE318D" w:rsidR="009F7484" w:rsidRPr="00B43BF0" w:rsidRDefault="009F7484"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Diagnosis using FDG-PET</w:t>
            </w:r>
          </w:p>
        </w:tc>
        <w:tc>
          <w:tcPr>
            <w:tcW w:w="1213" w:type="pct"/>
            <w:tcBorders>
              <w:left w:val="single" w:sz="4" w:space="0" w:color="auto"/>
            </w:tcBorders>
          </w:tcPr>
          <w:p w14:paraId="42B1D93D" w14:textId="1C1D9B39" w:rsidR="009F7484" w:rsidRPr="00B43BF0" w:rsidRDefault="009F7484"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Most recent diagnosis</w:t>
            </w:r>
          </w:p>
        </w:tc>
      </w:tr>
      <w:tr w:rsidR="009F7484" w:rsidRPr="00B43BF0" w14:paraId="387FCF43" w14:textId="77777777" w:rsidTr="009F7484">
        <w:tc>
          <w:tcPr>
            <w:tcW w:w="1279" w:type="pct"/>
            <w:tcBorders>
              <w:right w:val="single" w:sz="4" w:space="0" w:color="auto"/>
            </w:tcBorders>
          </w:tcPr>
          <w:p w14:paraId="4956E47F" w14:textId="6F3A2340"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Atypical/unclear</w:t>
            </w:r>
          </w:p>
        </w:tc>
        <w:tc>
          <w:tcPr>
            <w:tcW w:w="1295" w:type="pct"/>
            <w:tcBorders>
              <w:top w:val="single" w:sz="4" w:space="0" w:color="auto"/>
              <w:left w:val="single" w:sz="4" w:space="0" w:color="auto"/>
              <w:bottom w:val="single" w:sz="4" w:space="0" w:color="auto"/>
              <w:right w:val="single" w:sz="4" w:space="0" w:color="auto"/>
            </w:tcBorders>
          </w:tcPr>
          <w:p w14:paraId="2588BED2" w14:textId="76776405"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39.4%</w:t>
            </w:r>
          </w:p>
        </w:tc>
        <w:tc>
          <w:tcPr>
            <w:tcW w:w="1213" w:type="pct"/>
            <w:tcBorders>
              <w:left w:val="single" w:sz="4" w:space="0" w:color="auto"/>
              <w:right w:val="single" w:sz="4" w:space="0" w:color="auto"/>
            </w:tcBorders>
          </w:tcPr>
          <w:p w14:paraId="73A30A3F" w14:textId="47E8A5B7" w:rsidR="00162C86" w:rsidRPr="00B43BF0" w:rsidRDefault="009F7484"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6.4%</w:t>
            </w:r>
          </w:p>
        </w:tc>
        <w:tc>
          <w:tcPr>
            <w:tcW w:w="1213" w:type="pct"/>
            <w:tcBorders>
              <w:left w:val="single" w:sz="4" w:space="0" w:color="auto"/>
            </w:tcBorders>
          </w:tcPr>
          <w:p w14:paraId="0A0D3A3C" w14:textId="534B73F9" w:rsidR="009F7484" w:rsidRPr="00B43BF0" w:rsidRDefault="009F7484"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16.0%</w:t>
            </w:r>
          </w:p>
        </w:tc>
      </w:tr>
      <w:tr w:rsidR="009F7484" w:rsidRPr="00B43BF0" w14:paraId="687A7FE2" w14:textId="77777777" w:rsidTr="009F7484">
        <w:tc>
          <w:tcPr>
            <w:tcW w:w="1279" w:type="pct"/>
            <w:tcBorders>
              <w:right w:val="single" w:sz="4" w:space="0" w:color="auto"/>
            </w:tcBorders>
          </w:tcPr>
          <w:p w14:paraId="1A3F1169" w14:textId="33C3C7A1"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MCI</w:t>
            </w:r>
          </w:p>
        </w:tc>
        <w:tc>
          <w:tcPr>
            <w:tcW w:w="1295" w:type="pct"/>
            <w:tcBorders>
              <w:top w:val="single" w:sz="4" w:space="0" w:color="auto"/>
              <w:left w:val="single" w:sz="4" w:space="0" w:color="auto"/>
              <w:bottom w:val="single" w:sz="4" w:space="0" w:color="auto"/>
              <w:right w:val="single" w:sz="4" w:space="0" w:color="auto"/>
            </w:tcBorders>
          </w:tcPr>
          <w:p w14:paraId="008BBB58" w14:textId="6630B161"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18.1%</w:t>
            </w:r>
          </w:p>
        </w:tc>
        <w:tc>
          <w:tcPr>
            <w:tcW w:w="1213" w:type="pct"/>
            <w:tcBorders>
              <w:left w:val="single" w:sz="4" w:space="0" w:color="auto"/>
              <w:right w:val="single" w:sz="4" w:space="0" w:color="auto"/>
            </w:tcBorders>
          </w:tcPr>
          <w:p w14:paraId="65DB111B" w14:textId="7BE2C643" w:rsidR="00162C86" w:rsidRPr="00B43BF0" w:rsidRDefault="009F7484"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3.2%</w:t>
            </w:r>
          </w:p>
        </w:tc>
        <w:tc>
          <w:tcPr>
            <w:tcW w:w="1213" w:type="pct"/>
            <w:tcBorders>
              <w:left w:val="single" w:sz="4" w:space="0" w:color="auto"/>
            </w:tcBorders>
          </w:tcPr>
          <w:p w14:paraId="0B9EDC6A" w14:textId="6D6CE71E" w:rsidR="009F7484" w:rsidRPr="00B43BF0" w:rsidRDefault="009F7484"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19.1%</w:t>
            </w:r>
          </w:p>
        </w:tc>
      </w:tr>
      <w:tr w:rsidR="009F7484" w:rsidRPr="00B43BF0" w14:paraId="5DAC2547" w14:textId="77777777" w:rsidTr="009F7484">
        <w:tc>
          <w:tcPr>
            <w:tcW w:w="1279" w:type="pct"/>
            <w:tcBorders>
              <w:right w:val="single" w:sz="4" w:space="0" w:color="auto"/>
            </w:tcBorders>
          </w:tcPr>
          <w:p w14:paraId="3E890157" w14:textId="555DED64"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AD</w:t>
            </w:r>
          </w:p>
        </w:tc>
        <w:tc>
          <w:tcPr>
            <w:tcW w:w="1295" w:type="pct"/>
            <w:tcBorders>
              <w:top w:val="single" w:sz="4" w:space="0" w:color="auto"/>
              <w:left w:val="single" w:sz="4" w:space="0" w:color="auto"/>
              <w:bottom w:val="single" w:sz="4" w:space="0" w:color="auto"/>
              <w:right w:val="single" w:sz="4" w:space="0" w:color="auto"/>
            </w:tcBorders>
          </w:tcPr>
          <w:p w14:paraId="29054EE8" w14:textId="6531CCA5"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17.0%</w:t>
            </w:r>
          </w:p>
        </w:tc>
        <w:tc>
          <w:tcPr>
            <w:tcW w:w="1213" w:type="pct"/>
            <w:tcBorders>
              <w:left w:val="single" w:sz="4" w:space="0" w:color="auto"/>
              <w:right w:val="single" w:sz="4" w:space="0" w:color="auto"/>
            </w:tcBorders>
          </w:tcPr>
          <w:p w14:paraId="560AD985" w14:textId="0579D965" w:rsidR="009F7484" w:rsidRPr="00B43BF0" w:rsidRDefault="009F7484"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33.0%</w:t>
            </w:r>
          </w:p>
        </w:tc>
        <w:tc>
          <w:tcPr>
            <w:tcW w:w="1213" w:type="pct"/>
            <w:tcBorders>
              <w:left w:val="single" w:sz="4" w:space="0" w:color="auto"/>
            </w:tcBorders>
          </w:tcPr>
          <w:p w14:paraId="4BB0EE20" w14:textId="227BFFD1" w:rsidR="009F7484" w:rsidRPr="00B43BF0" w:rsidRDefault="009F7484"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31.9%</w:t>
            </w:r>
          </w:p>
        </w:tc>
      </w:tr>
      <w:tr w:rsidR="009F7484" w:rsidRPr="00B43BF0" w14:paraId="0F91D131" w14:textId="77777777" w:rsidTr="009F7484">
        <w:tc>
          <w:tcPr>
            <w:tcW w:w="1279" w:type="pct"/>
            <w:tcBorders>
              <w:right w:val="single" w:sz="4" w:space="0" w:color="auto"/>
            </w:tcBorders>
          </w:tcPr>
          <w:p w14:paraId="301F04F6" w14:textId="0D944389"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FTD</w:t>
            </w:r>
          </w:p>
        </w:tc>
        <w:tc>
          <w:tcPr>
            <w:tcW w:w="1295" w:type="pct"/>
            <w:tcBorders>
              <w:top w:val="single" w:sz="4" w:space="0" w:color="auto"/>
              <w:left w:val="single" w:sz="4" w:space="0" w:color="auto"/>
              <w:bottom w:val="single" w:sz="4" w:space="0" w:color="auto"/>
              <w:right w:val="single" w:sz="4" w:space="0" w:color="auto"/>
            </w:tcBorders>
          </w:tcPr>
          <w:p w14:paraId="310E27FC" w14:textId="0A11C075" w:rsidR="009F7484" w:rsidRPr="00B43BF0" w:rsidRDefault="009F7484"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12.8%</w:t>
            </w:r>
          </w:p>
        </w:tc>
        <w:tc>
          <w:tcPr>
            <w:tcW w:w="1213" w:type="pct"/>
            <w:tcBorders>
              <w:left w:val="single" w:sz="4" w:space="0" w:color="auto"/>
              <w:right w:val="single" w:sz="4" w:space="0" w:color="auto"/>
            </w:tcBorders>
          </w:tcPr>
          <w:p w14:paraId="4B173CB2" w14:textId="6610FF93" w:rsidR="009F7484" w:rsidRPr="00B43BF0" w:rsidRDefault="009F7484"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18.1%</w:t>
            </w:r>
          </w:p>
        </w:tc>
        <w:tc>
          <w:tcPr>
            <w:tcW w:w="1213" w:type="pct"/>
            <w:tcBorders>
              <w:left w:val="single" w:sz="4" w:space="0" w:color="auto"/>
            </w:tcBorders>
          </w:tcPr>
          <w:p w14:paraId="0720C77E" w14:textId="352997A6" w:rsidR="009F7484" w:rsidRPr="00B43BF0" w:rsidRDefault="009F7484"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16.0%</w:t>
            </w:r>
          </w:p>
        </w:tc>
      </w:tr>
    </w:tbl>
    <w:p w14:paraId="681302EA" w14:textId="701F1B8C" w:rsidR="00901B6E" w:rsidRDefault="00901B6E" w:rsidP="009F7484">
      <w:pPr>
        <w:pStyle w:val="Tablefootnotes"/>
      </w:pPr>
      <w:r w:rsidRPr="009F7484">
        <w:t xml:space="preserve">Source: </w:t>
      </w:r>
      <w:r w:rsidR="000F6961" w:rsidRPr="009F7484">
        <w:t>Laforce et al (2010)</w:t>
      </w:r>
    </w:p>
    <w:p w14:paraId="0BEF9D7D" w14:textId="1F7F884D" w:rsidR="009F7484" w:rsidRPr="009F7484" w:rsidRDefault="009F7484" w:rsidP="009F7484">
      <w:pPr>
        <w:pStyle w:val="Tablefootnotes"/>
      </w:pPr>
      <w:r>
        <w:t>Abbreviations: AD, Alzheimer’s disease; FDG-PET, flu</w:t>
      </w:r>
      <w:r w:rsidR="008F0DD0">
        <w:t>o</w:t>
      </w:r>
      <w:r>
        <w:t>rodeoxyglucose positron emission tomography; FTD, frontotemporal dementia; MCI, mild cognitive impairment</w:t>
      </w:r>
    </w:p>
    <w:p w14:paraId="220EBE2F" w14:textId="00CBAD0E" w:rsidR="00901B6E" w:rsidRDefault="00E14920" w:rsidP="002C0816">
      <w:r>
        <w:lastRenderedPageBreak/>
        <w:t xml:space="preserve">Among the atypical/unclear cases at the initial clinical evaluation, 29.7% showed typical AD patterns of hypometabolism on FDG-PET, 21.6% were normal, 16.2% showed patterns of </w:t>
      </w:r>
      <w:r w:rsidR="00162C86">
        <w:t>VD</w:t>
      </w:r>
      <w:r>
        <w:t xml:space="preserve"> and 13.5% were compatible with </w:t>
      </w:r>
      <w:r w:rsidR="00162C86">
        <w:t>FTD</w:t>
      </w:r>
      <w:r>
        <w:t>. At the end of the study, a total of 16% of the 94 cases remained atypical/unclear despite clinical evolution of the disease and extensive investigation, which in some cases included serial functional imaging studies.</w:t>
      </w:r>
    </w:p>
    <w:p w14:paraId="1D415B3A" w14:textId="70768BE0" w:rsidR="00E14920" w:rsidRDefault="00E14920" w:rsidP="002C0816">
      <w:r>
        <w:t>Among the 18.1% of MCI cases at risk of conversion according to clinicians, only 11.8% were identified as MCIs at risk of conversion on FDG-PET</w:t>
      </w:r>
      <w:r w:rsidR="00162C86">
        <w:t>. The remainder of the sample was composed of 52.9% with a normal PET, 29.4% with a typical pattern of AD, and 5.9% with a pattern of FTD.</w:t>
      </w:r>
    </w:p>
    <w:p w14:paraId="20BA930E" w14:textId="1F8E3025" w:rsidR="00162C86" w:rsidRDefault="00162C86" w:rsidP="002C0816">
      <w:r>
        <w:t>Among patients with AD at the initial clinical evaluation, 68.8% showed an AD pattern on FDG-PET; the remainder included 12.5% with a typical FTD pattern, 6.3% with a typical DLB pattern, 6.3% with MCI, and 6.3% with normal brain metabolism. At the end of the study, 31.9% of all cases remained with a diagnosis of AD, which was consistent with the diagnosis based on FDG-PET.</w:t>
      </w:r>
    </w:p>
    <w:p w14:paraId="746D48C9" w14:textId="6CA2F35F" w:rsidR="00162C86" w:rsidRDefault="00633C6D" w:rsidP="002C0816">
      <w:r>
        <w:t xml:space="preserve">Clinicians’ impression of the contribution of FDG-PET to the diagnosis </w:t>
      </w:r>
      <w:r w:rsidR="00F45338">
        <w:t>is shown in</w:t>
      </w:r>
      <w:r>
        <w:t xml:space="preserve"> </w:t>
      </w:r>
      <w:r w:rsidR="006D44C8">
        <w:fldChar w:fldCharType="begin"/>
      </w:r>
      <w:r w:rsidR="006D44C8">
        <w:instrText xml:space="preserve"> REF _Ref406373122 \h </w:instrText>
      </w:r>
      <w:r w:rsidR="006D44C8">
        <w:fldChar w:fldCharType="separate"/>
      </w:r>
      <w:r w:rsidR="00C67698">
        <w:t xml:space="preserve">Table </w:t>
      </w:r>
      <w:r w:rsidR="00C67698">
        <w:rPr>
          <w:noProof/>
        </w:rPr>
        <w:t>B.6</w:t>
      </w:r>
      <w:r w:rsidR="00C67698">
        <w:noBreakHyphen/>
      </w:r>
      <w:r w:rsidR="00C67698">
        <w:rPr>
          <w:noProof/>
        </w:rPr>
        <w:t>10</w:t>
      </w:r>
      <w:r w:rsidR="006D44C8">
        <w:fldChar w:fldCharType="end"/>
      </w:r>
      <w:r>
        <w:t>.</w:t>
      </w:r>
      <w:r w:rsidR="006D44C8">
        <w:t xml:space="preserve"> </w:t>
      </w:r>
      <w:r w:rsidR="003238FF">
        <w:t xml:space="preserve">In patients with typical AD, PET’s contribution was in confirming clinical impressions rather than generating a diagnostic change. However, in atypical/unclear cases, FDG-PET imaging was very helpful in 81.1% of cases, resulting in a diagnostic change in 59.5% of cases. In MCI, FDG-PET was very helpful in 88.2% of cases, presumably due to clarification of the risk of conversion to AD </w:t>
      </w:r>
      <w:r w:rsidR="00F87F00">
        <w:t>or in indicating that a</w:t>
      </w:r>
      <w:r w:rsidR="003238FF">
        <w:t xml:space="preserve"> primary neurodegenerative disease was less likely</w:t>
      </w:r>
      <w:r w:rsidR="00F87F00">
        <w:t xml:space="preserve">, both without requiring diagnostic change (which only occurred in </w:t>
      </w:r>
      <w:r w:rsidR="003238FF">
        <w:t xml:space="preserve">17.6% of </w:t>
      </w:r>
      <w:r w:rsidR="00F87F00">
        <w:t xml:space="preserve">MCI </w:t>
      </w:r>
      <w:r w:rsidR="003238FF">
        <w:t>cases</w:t>
      </w:r>
      <w:r w:rsidR="00F87F00">
        <w:t>)</w:t>
      </w:r>
      <w:r w:rsidR="003238FF">
        <w:t>.</w:t>
      </w:r>
    </w:p>
    <w:p w14:paraId="31800BFD" w14:textId="425F8656" w:rsidR="00633C6D" w:rsidRDefault="00633C6D" w:rsidP="00633C6D">
      <w:pPr>
        <w:pStyle w:val="Caption"/>
      </w:pPr>
      <w:bookmarkStart w:id="139" w:name="_Ref406373122"/>
      <w:bookmarkStart w:id="140" w:name="_Toc408845223"/>
      <w:r>
        <w:t xml:space="preserve">Table </w:t>
      </w:r>
      <w:fldSimple w:instr=" STYLEREF 2 \s ">
        <w:r w:rsidR="00C67698">
          <w:rPr>
            <w:noProof/>
          </w:rPr>
          <w:t>B.6</w:t>
        </w:r>
      </w:fldSimple>
      <w:r w:rsidR="00524916">
        <w:noBreakHyphen/>
      </w:r>
      <w:fldSimple w:instr=" SEQ Table \* ARABIC \s 2 ">
        <w:r w:rsidR="00C67698">
          <w:rPr>
            <w:noProof/>
          </w:rPr>
          <w:t>10</w:t>
        </w:r>
      </w:fldSimple>
      <w:bookmarkEnd w:id="139"/>
      <w:r w:rsidR="00BC64FA">
        <w:tab/>
      </w:r>
      <w:r w:rsidR="003F7708">
        <w:t>Clinician i</w:t>
      </w:r>
      <w:r>
        <w:t>mpression of the contribution of FDG-PET to diagnosis</w:t>
      </w:r>
      <w:bookmarkEnd w:id="140"/>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A0" w:firstRow="1" w:lastRow="0" w:firstColumn="1" w:lastColumn="0" w:noHBand="0" w:noVBand="0"/>
        <w:tblCaption w:val="The clinicians' impression of the contribution of FDG-PET to diagnosis"/>
        <w:tblDescription w:val="The results from Laforce 2010 that show the clinician's impression of the contribution of FDG-PET to diagnosis. The table shows the proportion of clinicians that thought FDG-PET made no contribution versus the proportion of cases in which FDG-PET was thought to be helpful, as well as the proportion of cases in which FDG-PET resulted in a diagnostic change."/>
      </w:tblPr>
      <w:tblGrid>
        <w:gridCol w:w="1721"/>
        <w:gridCol w:w="1671"/>
        <w:gridCol w:w="1671"/>
        <w:gridCol w:w="1671"/>
        <w:gridCol w:w="1671"/>
      </w:tblGrid>
      <w:tr w:rsidR="00633C6D" w:rsidRPr="00B43BF0" w14:paraId="73B760D3" w14:textId="77777777" w:rsidTr="00633C6D">
        <w:trPr>
          <w:tblHeader/>
        </w:trPr>
        <w:tc>
          <w:tcPr>
            <w:tcW w:w="1024" w:type="pct"/>
            <w:tcBorders>
              <w:right w:val="single" w:sz="4" w:space="0" w:color="auto"/>
            </w:tcBorders>
          </w:tcPr>
          <w:p w14:paraId="1858C440" w14:textId="77777777" w:rsidR="00633C6D" w:rsidRPr="00B43BF0" w:rsidRDefault="00633C6D"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Clinical subgroup</w:t>
            </w:r>
          </w:p>
        </w:tc>
        <w:tc>
          <w:tcPr>
            <w:tcW w:w="994" w:type="pct"/>
            <w:tcBorders>
              <w:top w:val="single" w:sz="4" w:space="0" w:color="auto"/>
              <w:left w:val="single" w:sz="4" w:space="0" w:color="auto"/>
              <w:bottom w:val="single" w:sz="4" w:space="0" w:color="auto"/>
              <w:right w:val="single" w:sz="4" w:space="0" w:color="auto"/>
            </w:tcBorders>
          </w:tcPr>
          <w:p w14:paraId="206D8ED6" w14:textId="6AB9DC5A" w:rsidR="00633C6D" w:rsidRPr="00B43BF0" w:rsidRDefault="00633C6D"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None</w:t>
            </w:r>
          </w:p>
        </w:tc>
        <w:tc>
          <w:tcPr>
            <w:tcW w:w="994" w:type="pct"/>
            <w:tcBorders>
              <w:left w:val="single" w:sz="4" w:space="0" w:color="auto"/>
              <w:right w:val="single" w:sz="4" w:space="0" w:color="auto"/>
            </w:tcBorders>
          </w:tcPr>
          <w:p w14:paraId="260D7B70" w14:textId="117AC701" w:rsidR="00633C6D" w:rsidRPr="00B43BF0" w:rsidRDefault="00633C6D"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Helps</w:t>
            </w:r>
          </w:p>
        </w:tc>
        <w:tc>
          <w:tcPr>
            <w:tcW w:w="994" w:type="pct"/>
            <w:tcBorders>
              <w:left w:val="single" w:sz="4" w:space="0" w:color="auto"/>
              <w:right w:val="single" w:sz="4" w:space="0" w:color="auto"/>
            </w:tcBorders>
          </w:tcPr>
          <w:p w14:paraId="73C2C6FC" w14:textId="6881D9CD" w:rsidR="00633C6D" w:rsidRDefault="00633C6D"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Confirms initial clinical diagnosis</w:t>
            </w:r>
          </w:p>
        </w:tc>
        <w:tc>
          <w:tcPr>
            <w:tcW w:w="994" w:type="pct"/>
            <w:tcBorders>
              <w:left w:val="single" w:sz="4" w:space="0" w:color="auto"/>
            </w:tcBorders>
          </w:tcPr>
          <w:p w14:paraId="6E454D67" w14:textId="3220C859" w:rsidR="00633C6D" w:rsidRPr="00B43BF0" w:rsidRDefault="00633C6D" w:rsidP="00B02A1E">
            <w:pPr>
              <w:keepNext/>
              <w:spacing w:before="40" w:after="0"/>
              <w:ind w:left="0"/>
              <w:jc w:val="cente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Diagnostic change</w:t>
            </w:r>
          </w:p>
        </w:tc>
      </w:tr>
      <w:tr w:rsidR="00633C6D" w:rsidRPr="00B43BF0" w14:paraId="4A764D3F" w14:textId="77777777" w:rsidTr="00633C6D">
        <w:tc>
          <w:tcPr>
            <w:tcW w:w="1024" w:type="pct"/>
            <w:tcBorders>
              <w:right w:val="single" w:sz="4" w:space="0" w:color="auto"/>
            </w:tcBorders>
          </w:tcPr>
          <w:p w14:paraId="5D0A7AF5" w14:textId="77777777" w:rsidR="00633C6D" w:rsidRPr="00B43BF0" w:rsidRDefault="00633C6D"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Atypical/unclear</w:t>
            </w:r>
          </w:p>
        </w:tc>
        <w:tc>
          <w:tcPr>
            <w:tcW w:w="994" w:type="pct"/>
            <w:tcBorders>
              <w:top w:val="single" w:sz="4" w:space="0" w:color="auto"/>
              <w:left w:val="single" w:sz="4" w:space="0" w:color="auto"/>
              <w:bottom w:val="single" w:sz="4" w:space="0" w:color="auto"/>
              <w:right w:val="single" w:sz="4" w:space="0" w:color="auto"/>
            </w:tcBorders>
          </w:tcPr>
          <w:p w14:paraId="761BF007" w14:textId="416A5BC0" w:rsidR="00633C6D" w:rsidRPr="00B43BF0" w:rsidRDefault="00633C6D"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18.9%</w:t>
            </w:r>
          </w:p>
        </w:tc>
        <w:tc>
          <w:tcPr>
            <w:tcW w:w="994" w:type="pct"/>
            <w:tcBorders>
              <w:left w:val="single" w:sz="4" w:space="0" w:color="auto"/>
              <w:right w:val="single" w:sz="4" w:space="0" w:color="auto"/>
            </w:tcBorders>
          </w:tcPr>
          <w:p w14:paraId="28D43362" w14:textId="1676898A" w:rsidR="00633C6D" w:rsidRPr="00B43BF0" w:rsidRDefault="00633C6D"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81.1%</w:t>
            </w:r>
          </w:p>
        </w:tc>
        <w:tc>
          <w:tcPr>
            <w:tcW w:w="994" w:type="pct"/>
            <w:tcBorders>
              <w:left w:val="single" w:sz="4" w:space="0" w:color="auto"/>
              <w:right w:val="single" w:sz="4" w:space="0" w:color="auto"/>
            </w:tcBorders>
          </w:tcPr>
          <w:p w14:paraId="6C550AC6" w14:textId="2AEBD678" w:rsidR="00633C6D" w:rsidRDefault="00633C6D"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&lt;10%</w:t>
            </w:r>
          </w:p>
        </w:tc>
        <w:tc>
          <w:tcPr>
            <w:tcW w:w="994" w:type="pct"/>
            <w:tcBorders>
              <w:left w:val="single" w:sz="4" w:space="0" w:color="auto"/>
            </w:tcBorders>
          </w:tcPr>
          <w:p w14:paraId="6FC3ED5F" w14:textId="6E1A5307" w:rsidR="00633C6D" w:rsidRPr="00B43BF0" w:rsidRDefault="00633C6D"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59.5%</w:t>
            </w:r>
          </w:p>
        </w:tc>
      </w:tr>
      <w:tr w:rsidR="00633C6D" w:rsidRPr="00B43BF0" w14:paraId="055BD9BD" w14:textId="77777777" w:rsidTr="00633C6D">
        <w:tc>
          <w:tcPr>
            <w:tcW w:w="1024" w:type="pct"/>
            <w:tcBorders>
              <w:right w:val="single" w:sz="4" w:space="0" w:color="auto"/>
            </w:tcBorders>
          </w:tcPr>
          <w:p w14:paraId="377E4DEB" w14:textId="77777777" w:rsidR="00633C6D" w:rsidRPr="00B43BF0" w:rsidRDefault="00633C6D"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MCI</w:t>
            </w:r>
          </w:p>
        </w:tc>
        <w:tc>
          <w:tcPr>
            <w:tcW w:w="994" w:type="pct"/>
            <w:tcBorders>
              <w:top w:val="single" w:sz="4" w:space="0" w:color="auto"/>
              <w:left w:val="single" w:sz="4" w:space="0" w:color="auto"/>
              <w:bottom w:val="single" w:sz="4" w:space="0" w:color="auto"/>
              <w:right w:val="single" w:sz="4" w:space="0" w:color="auto"/>
            </w:tcBorders>
          </w:tcPr>
          <w:p w14:paraId="037FF6A8" w14:textId="74E96FAC" w:rsidR="00633C6D" w:rsidRPr="00B43BF0" w:rsidRDefault="00633C6D" w:rsidP="00B02A1E">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&lt;10%</w:t>
            </w:r>
          </w:p>
        </w:tc>
        <w:tc>
          <w:tcPr>
            <w:tcW w:w="994" w:type="pct"/>
            <w:tcBorders>
              <w:left w:val="single" w:sz="4" w:space="0" w:color="auto"/>
              <w:right w:val="single" w:sz="4" w:space="0" w:color="auto"/>
            </w:tcBorders>
          </w:tcPr>
          <w:p w14:paraId="5F264D0B" w14:textId="647023F3" w:rsidR="00633C6D" w:rsidRPr="00B43BF0" w:rsidRDefault="00633C6D"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88.2%</w:t>
            </w:r>
          </w:p>
        </w:tc>
        <w:tc>
          <w:tcPr>
            <w:tcW w:w="994" w:type="pct"/>
            <w:tcBorders>
              <w:left w:val="single" w:sz="4" w:space="0" w:color="auto"/>
              <w:right w:val="single" w:sz="4" w:space="0" w:color="auto"/>
            </w:tcBorders>
          </w:tcPr>
          <w:p w14:paraId="1C106260" w14:textId="44453F66" w:rsidR="00633C6D" w:rsidRDefault="00633C6D"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&lt;10%</w:t>
            </w:r>
          </w:p>
        </w:tc>
        <w:tc>
          <w:tcPr>
            <w:tcW w:w="994" w:type="pct"/>
            <w:tcBorders>
              <w:left w:val="single" w:sz="4" w:space="0" w:color="auto"/>
            </w:tcBorders>
          </w:tcPr>
          <w:p w14:paraId="5B6679CF" w14:textId="0BE28C9C" w:rsidR="00633C6D" w:rsidRPr="00B43BF0" w:rsidRDefault="00633C6D" w:rsidP="00B02A1E">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17.6%</w:t>
            </w:r>
          </w:p>
        </w:tc>
      </w:tr>
      <w:tr w:rsidR="00633C6D" w:rsidRPr="00B43BF0" w14:paraId="6A3E7726" w14:textId="77777777" w:rsidTr="00633C6D">
        <w:tc>
          <w:tcPr>
            <w:tcW w:w="1024" w:type="pct"/>
            <w:tcBorders>
              <w:right w:val="single" w:sz="4" w:space="0" w:color="auto"/>
            </w:tcBorders>
          </w:tcPr>
          <w:p w14:paraId="2FBCCB7A" w14:textId="77777777" w:rsidR="00633C6D" w:rsidRPr="00B43BF0" w:rsidRDefault="00633C6D" w:rsidP="00633C6D">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AD</w:t>
            </w:r>
          </w:p>
        </w:tc>
        <w:tc>
          <w:tcPr>
            <w:tcW w:w="994" w:type="pct"/>
            <w:tcBorders>
              <w:top w:val="single" w:sz="4" w:space="0" w:color="auto"/>
              <w:left w:val="single" w:sz="4" w:space="0" w:color="auto"/>
              <w:bottom w:val="single" w:sz="4" w:space="0" w:color="auto"/>
              <w:right w:val="single" w:sz="4" w:space="0" w:color="auto"/>
            </w:tcBorders>
          </w:tcPr>
          <w:p w14:paraId="78D6DA6A" w14:textId="5906624A" w:rsidR="00633C6D" w:rsidRPr="00B43BF0" w:rsidRDefault="00633C6D" w:rsidP="00633C6D">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18.8%</w:t>
            </w:r>
          </w:p>
        </w:tc>
        <w:tc>
          <w:tcPr>
            <w:tcW w:w="994" w:type="pct"/>
            <w:tcBorders>
              <w:left w:val="single" w:sz="4" w:space="0" w:color="auto"/>
              <w:right w:val="single" w:sz="4" w:space="0" w:color="auto"/>
            </w:tcBorders>
          </w:tcPr>
          <w:p w14:paraId="6585FF34" w14:textId="74BCC610" w:rsidR="00633C6D" w:rsidRPr="00B43BF0" w:rsidRDefault="00633C6D"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12.5%</w:t>
            </w:r>
          </w:p>
        </w:tc>
        <w:tc>
          <w:tcPr>
            <w:tcW w:w="994" w:type="pct"/>
            <w:tcBorders>
              <w:left w:val="single" w:sz="4" w:space="0" w:color="auto"/>
              <w:right w:val="single" w:sz="4" w:space="0" w:color="auto"/>
            </w:tcBorders>
          </w:tcPr>
          <w:p w14:paraId="3971D299" w14:textId="1208C607" w:rsidR="00633C6D" w:rsidRDefault="00633C6D"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68.8%</w:t>
            </w:r>
          </w:p>
        </w:tc>
        <w:tc>
          <w:tcPr>
            <w:tcW w:w="994" w:type="pct"/>
            <w:tcBorders>
              <w:left w:val="single" w:sz="4" w:space="0" w:color="auto"/>
            </w:tcBorders>
          </w:tcPr>
          <w:p w14:paraId="609C60E7" w14:textId="48521734" w:rsidR="00633C6D" w:rsidRPr="00B43BF0" w:rsidRDefault="00633C6D"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&lt;10%</w:t>
            </w:r>
          </w:p>
        </w:tc>
      </w:tr>
      <w:tr w:rsidR="00633C6D" w:rsidRPr="00B43BF0" w14:paraId="68C12D8D" w14:textId="77777777" w:rsidTr="00633C6D">
        <w:tc>
          <w:tcPr>
            <w:tcW w:w="1024" w:type="pct"/>
            <w:tcBorders>
              <w:right w:val="single" w:sz="4" w:space="0" w:color="auto"/>
            </w:tcBorders>
          </w:tcPr>
          <w:p w14:paraId="796DE8F5" w14:textId="77777777" w:rsidR="00633C6D" w:rsidRPr="00B43BF0" w:rsidRDefault="00633C6D" w:rsidP="00633C6D">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FTD</w:t>
            </w:r>
          </w:p>
        </w:tc>
        <w:tc>
          <w:tcPr>
            <w:tcW w:w="994" w:type="pct"/>
            <w:tcBorders>
              <w:top w:val="single" w:sz="4" w:space="0" w:color="auto"/>
              <w:left w:val="single" w:sz="4" w:space="0" w:color="auto"/>
              <w:bottom w:val="single" w:sz="4" w:space="0" w:color="auto"/>
              <w:right w:val="single" w:sz="4" w:space="0" w:color="auto"/>
            </w:tcBorders>
          </w:tcPr>
          <w:p w14:paraId="088EFE63" w14:textId="3A6DFD70" w:rsidR="00633C6D" w:rsidRPr="00B43BF0" w:rsidRDefault="00633C6D" w:rsidP="00633C6D">
            <w:pPr>
              <w:keepNext/>
              <w:spacing w:before="40" w:after="40"/>
              <w:ind w:left="0"/>
              <w:jc w:val="cente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&lt;10%</w:t>
            </w:r>
          </w:p>
        </w:tc>
        <w:tc>
          <w:tcPr>
            <w:tcW w:w="994" w:type="pct"/>
            <w:tcBorders>
              <w:left w:val="single" w:sz="4" w:space="0" w:color="auto"/>
              <w:right w:val="single" w:sz="4" w:space="0" w:color="auto"/>
            </w:tcBorders>
          </w:tcPr>
          <w:p w14:paraId="70C1C758" w14:textId="09075C30" w:rsidR="00633C6D" w:rsidRPr="00B43BF0" w:rsidRDefault="00633C6D"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16.7%</w:t>
            </w:r>
          </w:p>
        </w:tc>
        <w:tc>
          <w:tcPr>
            <w:tcW w:w="994" w:type="pct"/>
            <w:tcBorders>
              <w:left w:val="single" w:sz="4" w:space="0" w:color="auto"/>
              <w:right w:val="single" w:sz="4" w:space="0" w:color="auto"/>
            </w:tcBorders>
          </w:tcPr>
          <w:p w14:paraId="18477FD0" w14:textId="75A1BA01" w:rsidR="00633C6D" w:rsidRDefault="00633C6D"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75.0%</w:t>
            </w:r>
          </w:p>
        </w:tc>
        <w:tc>
          <w:tcPr>
            <w:tcW w:w="994" w:type="pct"/>
            <w:tcBorders>
              <w:left w:val="single" w:sz="4" w:space="0" w:color="auto"/>
            </w:tcBorders>
          </w:tcPr>
          <w:p w14:paraId="550981B0" w14:textId="1050F7F1" w:rsidR="00633C6D" w:rsidRPr="00B43BF0" w:rsidRDefault="00633C6D" w:rsidP="00633C6D">
            <w:pPr>
              <w:keepNext/>
              <w:spacing w:before="40" w:after="0"/>
              <w:ind w:left="0"/>
              <w:jc w:val="center"/>
              <w:rPr>
                <w:rFonts w:ascii="Arial Narrow" w:eastAsia="Times New Roman" w:hAnsi="Arial Narrow" w:cs="Times New Roman"/>
                <w:sz w:val="20"/>
                <w:szCs w:val="20"/>
                <w:lang w:val="en-GB"/>
              </w:rPr>
            </w:pPr>
            <w:r>
              <w:rPr>
                <w:rFonts w:ascii="Arial Narrow" w:eastAsia="Times New Roman" w:hAnsi="Arial Narrow" w:cs="Times New Roman"/>
                <w:sz w:val="20"/>
                <w:szCs w:val="20"/>
                <w:lang w:val="en-GB"/>
              </w:rPr>
              <w:t>&lt;10%</w:t>
            </w:r>
          </w:p>
        </w:tc>
      </w:tr>
    </w:tbl>
    <w:p w14:paraId="55FD7AA6" w14:textId="77777777" w:rsidR="00633C6D" w:rsidRDefault="00633C6D" w:rsidP="00633C6D">
      <w:pPr>
        <w:pStyle w:val="Tablefootnotes"/>
      </w:pPr>
      <w:r w:rsidRPr="009F7484">
        <w:t>Source: Laforce et al (2010)</w:t>
      </w:r>
    </w:p>
    <w:p w14:paraId="785718E1" w14:textId="7A9CC571" w:rsidR="00633C6D" w:rsidRPr="009F7484" w:rsidRDefault="00633C6D" w:rsidP="00633C6D">
      <w:pPr>
        <w:pStyle w:val="Tablefootnotes"/>
      </w:pPr>
      <w:r>
        <w:t>Abbreviations: AD, Alzheimer’s disease; FDG-PET, flu</w:t>
      </w:r>
      <w:r w:rsidR="008F0DD0">
        <w:t>o</w:t>
      </w:r>
      <w:r>
        <w:t>rodeoxyglucose positron emission tomography; FTD, frontotemporal dementia; MCI, mild cognitive impairment</w:t>
      </w:r>
    </w:p>
    <w:p w14:paraId="71D45FFA" w14:textId="1A157E3F" w:rsidR="00633C6D" w:rsidRDefault="003238FF" w:rsidP="003238FF">
      <w:r>
        <w:t>FDG-PET findings were associ</w:t>
      </w:r>
      <w:r w:rsidR="00052B06">
        <w:t>ated with a change in diagnosis</w:t>
      </w:r>
      <w:r>
        <w:t xml:space="preserve"> in 29% of </w:t>
      </w:r>
      <w:r w:rsidR="00052B06">
        <w:t>patient</w:t>
      </w:r>
      <w:r>
        <w:t>s. Use of AChEIs increased from 13.8% before FDG-PET to 38.3% after FDG-PET, partly reflecting the impact on atypical/unclear cases that turned out to be potentially treatable patients with AD.</w:t>
      </w:r>
    </w:p>
    <w:p w14:paraId="3BC8230F" w14:textId="53EB8BE4" w:rsidR="00F45338" w:rsidRPr="002C0816" w:rsidRDefault="001B6692">
      <w:r>
        <w:t>The findings from the</w:t>
      </w:r>
      <w:r w:rsidR="00F45338">
        <w:t xml:space="preserve"> Laforce et al (2010) study are supported by a prospective management impact study from a multidisciplinary memory disorders clinic in Melbourne, Australia. Elias et al (2014) examined the impact of FDG-PET in patients referred at the discretion of the treating specialist upon completion of an initial clinical evaluation. Of 194 patients referred from November 2003 to November 2007, a neurodegenerative disease was diagnosed in 75.2% of patients using FDG-PET compared with 82.9% after initial clinical diagnosis. The study did not follow patients over time and therefore the accuracy of the PET diagnosis could not be confirmed. Nonetheless, FDG-PET had a clinically relevant impact in 44% of patients by changing </w:t>
      </w:r>
      <w:r w:rsidR="00F45338">
        <w:lastRenderedPageBreak/>
        <w:t>the diagnosis and/or treatment.</w:t>
      </w:r>
      <w:r w:rsidR="00052B06">
        <w:t xml:space="preserve"> I</w:t>
      </w:r>
      <w:r w:rsidR="00F45338">
        <w:t>n 14% of the cohort a pre-scan diagnosis of dementia changed to a non-neurodegenerative condition post-PET, whereas in 6.1% of the cohort a pre-scan diagnosis of non-dementia (e.g. depression or anxiety disorder) changed to a diagnosis of a neurodegenerative disorder (such as AD) post-scan. Although the total proportion of patients prescribed AChEIs did not differ pre and post scan (38% vs 41%, respectively), treatment changed in 17% of patients (14 patients had AChEIs removed from their management plan while 19 patients had AChEIs added).</w:t>
      </w:r>
    </w:p>
    <w:p w14:paraId="47105CAD" w14:textId="77777777" w:rsidR="006B173F" w:rsidRDefault="006B173F" w:rsidP="006B173F">
      <w:pPr>
        <w:pStyle w:val="Heading3"/>
      </w:pPr>
      <w:r>
        <w:t>Change in patient outcomes</w:t>
      </w:r>
    </w:p>
    <w:p w14:paraId="5CF2B9D2" w14:textId="1A8621DE" w:rsidR="00296B5A" w:rsidRDefault="00296B5A" w:rsidP="00296B5A">
      <w:r>
        <w:t xml:space="preserve">The sections below summarise the findings of the </w:t>
      </w:r>
      <w:r w:rsidR="00865D20">
        <w:t>two</w:t>
      </w:r>
      <w:r>
        <w:t xml:space="preserve"> systemati</w:t>
      </w:r>
      <w:r w:rsidR="00865D20">
        <w:t xml:space="preserve">c reviews listed in Section B.2 that were undertaken to inform decision-making </w:t>
      </w:r>
      <w:r w:rsidR="00F932DB">
        <w:t>in Australia and the UK relating to the safety, effectiveness and cost-effectiveness of AChEIs and memantine</w:t>
      </w:r>
      <w:r w:rsidR="00865D20">
        <w:t>.</w:t>
      </w:r>
    </w:p>
    <w:p w14:paraId="08E4D8F2" w14:textId="77777777" w:rsidR="00DE5C17" w:rsidRDefault="00DE5C17" w:rsidP="00DE5C17">
      <w:pPr>
        <w:pStyle w:val="Heading4"/>
      </w:pPr>
      <w:r>
        <w:t>Bond et al (2012) HTA for NICE</w:t>
      </w:r>
    </w:p>
    <w:p w14:paraId="03814B7B" w14:textId="4BF18D55" w:rsidR="00DC0EA0" w:rsidRDefault="00DC0EA0" w:rsidP="00DE5C17">
      <w:r>
        <w:t xml:space="preserve">This update of a 2004 NICE Review included RCTs </w:t>
      </w:r>
      <w:r w:rsidR="00F932DB">
        <w:t xml:space="preserve">of donepezil, galantamine, rivastigmine or memantine that were </w:t>
      </w:r>
      <w:r w:rsidR="00601DFD">
        <w:t>published after 2004</w:t>
      </w:r>
      <w:r>
        <w:t>. The following is a summary of the key findings.</w:t>
      </w:r>
    </w:p>
    <w:p w14:paraId="4E637B74" w14:textId="123958EC" w:rsidR="00DE5C17" w:rsidRDefault="00DE5C17" w:rsidP="00DE5C17">
      <w:r>
        <w:t xml:space="preserve">Five small, poor-quality donepezil studies were added to the evidence base. All studies measured cognitive outcomes and a dose-related beneficial effect was found at 10 mg/day. </w:t>
      </w:r>
    </w:p>
    <w:p w14:paraId="5983EC2D" w14:textId="78E8009B" w:rsidR="00DE5C17" w:rsidRDefault="00DE5C17" w:rsidP="00DE5C17">
      <w:r>
        <w:t xml:space="preserve">An additional three variable-quality RCTs of galantamine versus placebo were added to the six studies included in </w:t>
      </w:r>
      <w:r w:rsidR="00F932DB">
        <w:t xml:space="preserve">the </w:t>
      </w:r>
      <w:r>
        <w:t>2004</w:t>
      </w:r>
      <w:r w:rsidR="00F932DB">
        <w:t xml:space="preserve"> review for NICE</w:t>
      </w:r>
      <w:r>
        <w:t>. The new studies all found significant benefit on cognitive outcomes; the results for functional and global outcomes were inconclusive, and no significantly positive gain was found for behavioural outcomes. However, when the results from these studies were pooled with evidence identified in the 2004 review for NICE, significant gains for people taking galantamine were found for cognitive, functional and global outcomes.</w:t>
      </w:r>
    </w:p>
    <w:p w14:paraId="35086ECA" w14:textId="77777777" w:rsidR="00DE5C17" w:rsidRDefault="00DE5C17" w:rsidP="00DE5C17">
      <w:r>
        <w:t>Three new studies of rivastigmine were identified, one of which was of reasonable size and quality. Positive benefits from rivastigmine were found on cognitive, functional and global outcomes, but, as in 2004, not on behavioural ones. The lower dose transdermal patch (9.5 mg/day) was shown to be as effective as the capsule (12 mg/day), but with fewer side effects.</w:t>
      </w:r>
    </w:p>
    <w:p w14:paraId="1F8EF933" w14:textId="77777777" w:rsidR="00DE5C17" w:rsidRDefault="00DE5C17" w:rsidP="00DE5C17">
      <w:r>
        <w:t>One new, poorer-quality study of memantine failed to show any benefit from memantine on any outcome measure. When the data were pooled with evidence from the 2004 NICE review, a significant benefit from memantine was found from global outcomes. However, these results are based on two moderate-to-poor-quality trials and the authors warned that the results may be untrustworthy.</w:t>
      </w:r>
    </w:p>
    <w:p w14:paraId="4AFAEDBF" w14:textId="77777777" w:rsidR="00DE5C17" w:rsidRDefault="00DE5C17" w:rsidP="00DE5C17">
      <w:r>
        <w:t xml:space="preserve">Three new head-to-head comparisons were found. Only one of the new studies – comparing donepezil to rivastigmine – was large and of reasonable quality. It measured cognitive, functional, behavioural and global outcomes, but found statistically significant differences only on functional and global outcomes, both favouring rivastigmine. One new study and one previous study (neither of good quality) compared donepezil with galantamine. The new study only looked at global outcomes and found no difference between the treatments. Finally, one very poor-quality study looking at behavioural outcomes compared all three AChEIs and found that rivastigmine was significantly </w:t>
      </w:r>
      <w:r>
        <w:lastRenderedPageBreak/>
        <w:t>better than donepezil or galantamine. Overall, there was insufficient evidence to suggest that one treatment is better than another.</w:t>
      </w:r>
    </w:p>
    <w:p w14:paraId="177F9886" w14:textId="77777777" w:rsidR="00DE5C17" w:rsidRDefault="00DE5C17" w:rsidP="00DE5C17">
      <w:r>
        <w:t>The review identified one new, reasonably good-quality study comparing combined memantine with an AChEI against AChEI and placebo. This showed no significant advantage to combining these treatments (in contrast to results from the previous review).</w:t>
      </w:r>
    </w:p>
    <w:p w14:paraId="150B01E2" w14:textId="77777777" w:rsidR="00DE5C17" w:rsidRDefault="00DE5C17" w:rsidP="00DE5C17">
      <w:r>
        <w:t>In terms of safety, the review found that the main AEs for the AChEIs were gastrointestinal, and agitation and hypertension for memantine. However, the source of this evidence was limited to the included RCTs; the trial populations and their experience of AEs may not reflect those of people with AD in clinical practice.</w:t>
      </w:r>
    </w:p>
    <w:p w14:paraId="6253ED3A" w14:textId="77777777" w:rsidR="00DE5C17" w:rsidRDefault="00DE5C17" w:rsidP="00DE5C17">
      <w:r>
        <w:t xml:space="preserve">Overall, the authors noted that although more evidence had accumulated between 2004 and 2010, its impact on conclusions about effectiveness appears small. The evidence on effectiveness of galantamine and rivastigmine relative to placebo was consolidated but evidence on the effectiveness of memantine was not greatly strengthened. None of the gaps in evidence noted in the previous assessment were closed by the new RCTs and no new evidence emerged on differential effectiveness by subgroup, particularly disease severity. Furthermore, there is no evidence that the treatments increase longevity. </w:t>
      </w:r>
    </w:p>
    <w:p w14:paraId="48C0B7C4" w14:textId="77777777" w:rsidR="00DE5C17" w:rsidRDefault="00DE5C17" w:rsidP="00DE5C17">
      <w:pPr>
        <w:spacing w:after="120"/>
      </w:pPr>
      <w:r>
        <w:t>The review team noted a number of limitations that affect the interpretation of the clinical evidence:</w:t>
      </w:r>
    </w:p>
    <w:p w14:paraId="2456B10C" w14:textId="77777777" w:rsidR="00DE5C17" w:rsidRDefault="00DE5C17" w:rsidP="003140D6">
      <w:pPr>
        <w:pStyle w:val="ListParagraph"/>
        <w:numPr>
          <w:ilvl w:val="0"/>
          <w:numId w:val="26"/>
        </w:numPr>
      </w:pPr>
      <w:r>
        <w:t>The length of follow-up of the trials was a maximum of 6 months, which makes it very difficult to reliably extrapolate findings years ahead.</w:t>
      </w:r>
    </w:p>
    <w:p w14:paraId="2CD2E0D8" w14:textId="77777777" w:rsidR="00DE5C17" w:rsidRDefault="00DE5C17" w:rsidP="003140D6">
      <w:pPr>
        <w:pStyle w:val="ListParagraph"/>
        <w:numPr>
          <w:ilvl w:val="0"/>
          <w:numId w:val="26"/>
        </w:numPr>
      </w:pPr>
      <w:r>
        <w:t>There is a lack of evidence from the trials on key outcomes, such as mortality, institutionalisation, the impact on carer’s time and the prescription of antipsychotics.</w:t>
      </w:r>
    </w:p>
    <w:p w14:paraId="31087CE3" w14:textId="77777777" w:rsidR="00DE5C17" w:rsidRDefault="00DE5C17" w:rsidP="003140D6">
      <w:pPr>
        <w:pStyle w:val="ListParagraph"/>
        <w:numPr>
          <w:ilvl w:val="0"/>
          <w:numId w:val="26"/>
        </w:numPr>
      </w:pPr>
      <w:r>
        <w:t>None of the trials conducted subgroup analyses based on disease severity, therefore no comment could be made on the effectiveness of treatments for mild, moderate or severe AD separately.</w:t>
      </w:r>
    </w:p>
    <w:p w14:paraId="2DABCFB5" w14:textId="34C2910E" w:rsidR="00DE5C17" w:rsidRDefault="00DE5C17" w:rsidP="003140D6">
      <w:pPr>
        <w:pStyle w:val="ListParagraph"/>
        <w:numPr>
          <w:ilvl w:val="0"/>
          <w:numId w:val="26"/>
        </w:numPr>
      </w:pPr>
      <w:r>
        <w:t>Overall, the quality of the trials was m</w:t>
      </w:r>
      <w:r w:rsidR="00F509DB">
        <w:t>edium</w:t>
      </w:r>
      <w:r>
        <w:t xml:space="preserve"> to poor, with a lack of reporting of key measures of trial quality, thus adding to the uncertainty of the results.</w:t>
      </w:r>
    </w:p>
    <w:p w14:paraId="334C11EB" w14:textId="77777777" w:rsidR="00DE5C17" w:rsidRDefault="00DE5C17" w:rsidP="003140D6">
      <w:pPr>
        <w:pStyle w:val="ListParagraph"/>
        <w:numPr>
          <w:ilvl w:val="0"/>
          <w:numId w:val="26"/>
        </w:numPr>
      </w:pPr>
      <w:r>
        <w:t>The use of last observation carried forward (LOCF) and observed case (OC) methods for accounting for missing data are inappropriate in a condition that naturally declines to death and may lead to an overestimation of the treatment benefit from the drugs.</w:t>
      </w:r>
    </w:p>
    <w:p w14:paraId="085842EF" w14:textId="77777777" w:rsidR="00DE5C17" w:rsidRDefault="00DE5C17" w:rsidP="003140D6">
      <w:pPr>
        <w:pStyle w:val="ListParagraph"/>
        <w:numPr>
          <w:ilvl w:val="0"/>
          <w:numId w:val="26"/>
        </w:numPr>
      </w:pPr>
      <w:r>
        <w:t>Some of the measures used in the trials are insensitive to change in AD (AD Assessment Scale – Cognitive Subscale, MMSE). Therefore, the effects of treatment may have been underestimated in some cases.</w:t>
      </w:r>
    </w:p>
    <w:p w14:paraId="3D0C8724" w14:textId="77777777" w:rsidR="00DE5C17" w:rsidRDefault="00DE5C17" w:rsidP="00DE5C17">
      <w:pPr>
        <w:spacing w:after="120"/>
      </w:pPr>
      <w:r>
        <w:t>The authors noted that there continue to be many uncertainties and it is likely that the nature and extent of these uncertainties is similar to those operating when the last review was compiled. The most influential of these are:</w:t>
      </w:r>
    </w:p>
    <w:p w14:paraId="24A95263" w14:textId="77777777" w:rsidR="00DE5C17" w:rsidRDefault="00DE5C17" w:rsidP="003140D6">
      <w:pPr>
        <w:pStyle w:val="ListParagraph"/>
        <w:numPr>
          <w:ilvl w:val="0"/>
          <w:numId w:val="26"/>
        </w:numPr>
      </w:pPr>
      <w:r>
        <w:t>effect of anti-AD drugs in the longer term on any outcome, especially beyond one year;</w:t>
      </w:r>
    </w:p>
    <w:p w14:paraId="0ECA5F6F" w14:textId="77777777" w:rsidR="00DE5C17" w:rsidRDefault="00DE5C17" w:rsidP="003140D6">
      <w:pPr>
        <w:pStyle w:val="ListParagraph"/>
        <w:numPr>
          <w:ilvl w:val="0"/>
          <w:numId w:val="26"/>
        </w:numPr>
      </w:pPr>
      <w:r>
        <w:t>effect of anti-AD drugs on outcomes beyond cognition, function, behaviour and global impact, particularly QoL, impact on carers, effect on admission to full-time care and impact on resource use; and</w:t>
      </w:r>
    </w:p>
    <w:p w14:paraId="16396F51" w14:textId="3B9AB81D" w:rsidR="00DE5C17" w:rsidRPr="00296B5A" w:rsidRDefault="00DE5C17" w:rsidP="003140D6">
      <w:pPr>
        <w:pStyle w:val="ListParagraph"/>
        <w:numPr>
          <w:ilvl w:val="0"/>
          <w:numId w:val="26"/>
        </w:numPr>
      </w:pPr>
      <w:r>
        <w:lastRenderedPageBreak/>
        <w:t>whether or not the effects vary substantially by subgroup, particularly severity of AD.</w:t>
      </w:r>
    </w:p>
    <w:p w14:paraId="37147BBC" w14:textId="0D3FA03B" w:rsidR="009B222A" w:rsidRDefault="009B222A" w:rsidP="009B222A">
      <w:pPr>
        <w:pStyle w:val="Heading4"/>
      </w:pPr>
      <w:r>
        <w:t>PBS Review of anti-dementia medicines to treat AD</w:t>
      </w:r>
      <w:r w:rsidR="00296B5A">
        <w:t xml:space="preserve"> (2012)</w:t>
      </w:r>
    </w:p>
    <w:p w14:paraId="5EAAEA4C" w14:textId="65221DE2" w:rsidR="00F9464C" w:rsidRDefault="00F509DB" w:rsidP="00F9464C">
      <w:r>
        <w:t>T</w:t>
      </w:r>
      <w:r w:rsidR="00A66763" w:rsidRPr="00A66763">
        <w:t xml:space="preserve">he </w:t>
      </w:r>
      <w:r w:rsidR="009B222A">
        <w:t>PBAC</w:t>
      </w:r>
      <w:r w:rsidR="00A66763" w:rsidRPr="00A66763">
        <w:t xml:space="preserve"> recommended the subsidy of </w:t>
      </w:r>
      <w:r w:rsidR="00045F1B">
        <w:t>AChEIs</w:t>
      </w:r>
      <w:r w:rsidR="00A66763" w:rsidRPr="00A66763">
        <w:t xml:space="preserve"> an</w:t>
      </w:r>
      <w:r w:rsidR="00DC0EA0">
        <w:t>d memantine for AD in late 2000</w:t>
      </w:r>
      <w:r w:rsidR="00A66763" w:rsidRPr="00A66763">
        <w:t xml:space="preserve">. At the time, </w:t>
      </w:r>
      <w:r w:rsidR="00DC0EA0">
        <w:t xml:space="preserve">the </w:t>
      </w:r>
      <w:r w:rsidR="00A66763" w:rsidRPr="00A66763">
        <w:t>PBAC recognised the clinical need for an effective treatment for people with AD</w:t>
      </w:r>
      <w:r w:rsidR="009B222A">
        <w:t>,</w:t>
      </w:r>
      <w:r w:rsidR="00A66763" w:rsidRPr="00A66763">
        <w:t xml:space="preserve"> but </w:t>
      </w:r>
      <w:r>
        <w:t xml:space="preserve">that </w:t>
      </w:r>
      <w:r w:rsidR="00A66763" w:rsidRPr="00A66763">
        <w:t xml:space="preserve">the evidence </w:t>
      </w:r>
      <w:r w:rsidR="00DC0EA0">
        <w:t>supporting</w:t>
      </w:r>
      <w:r w:rsidR="00A66763" w:rsidRPr="00A66763">
        <w:t xml:space="preserve"> the effect of these medicines on patients’ </w:t>
      </w:r>
      <w:r w:rsidR="0032218A">
        <w:t>QoL</w:t>
      </w:r>
      <w:r w:rsidR="00A66763" w:rsidRPr="00A66763">
        <w:t xml:space="preserve"> and on the benefits of treatment, </w:t>
      </w:r>
      <w:r w:rsidR="0032218A">
        <w:t xml:space="preserve">particularly </w:t>
      </w:r>
      <w:r w:rsidR="00A66763" w:rsidRPr="00A66763">
        <w:t>beyond six months</w:t>
      </w:r>
      <w:r w:rsidR="0032218A">
        <w:t>,</w:t>
      </w:r>
      <w:r w:rsidR="00A66763" w:rsidRPr="00A66763">
        <w:t xml:space="preserve"> was very limited. For these reasons, PBAC </w:t>
      </w:r>
      <w:r w:rsidR="009B222A">
        <w:t xml:space="preserve">initially </w:t>
      </w:r>
      <w:r w:rsidR="00A66763" w:rsidRPr="00A66763">
        <w:t xml:space="preserve">recommended restricting the subsidy of these medicines beyond six months to only those patients who demonstrated an improvement in </w:t>
      </w:r>
      <w:r w:rsidR="009B222A">
        <w:t>their symptoms (</w:t>
      </w:r>
      <w:r w:rsidR="0032218A">
        <w:t xml:space="preserve">assessed </w:t>
      </w:r>
      <w:r w:rsidR="009B222A">
        <w:t>using MMSE score)</w:t>
      </w:r>
      <w:r w:rsidR="00A66763" w:rsidRPr="00A66763">
        <w:t xml:space="preserve"> following treatment.</w:t>
      </w:r>
      <w:r w:rsidR="009B222A">
        <w:t xml:space="preserve"> </w:t>
      </w:r>
    </w:p>
    <w:p w14:paraId="06FEF14A" w14:textId="0792CFE8" w:rsidR="00A66763" w:rsidRDefault="00A66763" w:rsidP="00F9464C">
      <w:r w:rsidRPr="00F7532F">
        <w:t xml:space="preserve">However, </w:t>
      </w:r>
      <w:r w:rsidR="00DC0EA0">
        <w:t>it is argued that</w:t>
      </w:r>
      <w:r w:rsidRPr="00F7532F">
        <w:t xml:space="preserve"> there is benefit in continuing treatment with these medicines when there is stabilisation or a perceived slowing of symptom progression</w:t>
      </w:r>
      <w:r>
        <w:t xml:space="preserve"> without </w:t>
      </w:r>
      <w:r w:rsidR="009B222A">
        <w:t>necessarily an improvement</w:t>
      </w:r>
      <w:r>
        <w:t xml:space="preserve"> in </w:t>
      </w:r>
      <w:r w:rsidR="009B222A">
        <w:t>symptoms</w:t>
      </w:r>
      <w:r w:rsidRPr="00F7532F">
        <w:t>.</w:t>
      </w:r>
      <w:r w:rsidR="00F9464C">
        <w:t xml:space="preserve"> The PBS Review therefore sought to identify new and differential evidence on </w:t>
      </w:r>
      <w:r w:rsidR="0032218A">
        <w:t xml:space="preserve">the </w:t>
      </w:r>
      <w:r w:rsidR="00F9464C">
        <w:t>benefits of treatment</w:t>
      </w:r>
      <w:r w:rsidR="0032218A">
        <w:t>,</w:t>
      </w:r>
      <w:r w:rsidR="00F9464C">
        <w:t xml:space="preserve"> </w:t>
      </w:r>
      <w:r w:rsidR="00E83B78">
        <w:t xml:space="preserve">with </w:t>
      </w:r>
      <w:r w:rsidR="00DC0EA0">
        <w:t xml:space="preserve">the </w:t>
      </w:r>
      <w:r w:rsidR="00E83B78">
        <w:t xml:space="preserve">impact on </w:t>
      </w:r>
      <w:r w:rsidR="0032218A">
        <w:t>QoL</w:t>
      </w:r>
      <w:r w:rsidR="00F9464C">
        <w:t xml:space="preserve"> </w:t>
      </w:r>
      <w:r w:rsidR="00E83B78">
        <w:t>and</w:t>
      </w:r>
      <w:r w:rsidR="00F9464C">
        <w:t xml:space="preserve"> rates of institutionalisation</w:t>
      </w:r>
      <w:r w:rsidR="00DC0EA0">
        <w:t xml:space="preserve"> as the outcomes of most interest</w:t>
      </w:r>
      <w:r w:rsidR="00F509DB">
        <w:t>,</w:t>
      </w:r>
      <w:r w:rsidR="00DC0EA0">
        <w:t xml:space="preserve"> </w:t>
      </w:r>
      <w:r w:rsidR="00E83B78">
        <w:t>as these generally form the basis of cost-effectiveness claims</w:t>
      </w:r>
      <w:r w:rsidR="00F9464C">
        <w:t>.</w:t>
      </w:r>
    </w:p>
    <w:p w14:paraId="265A1256" w14:textId="6BC8F591" w:rsidR="005B3861" w:rsidRDefault="005B3861" w:rsidP="00DF7B2A">
      <w:r>
        <w:t>The details of the findings of the PBS Review of the effectiveness and safety of AChEIs and memantine for the treatment of AD are available in the main report prepared for the PBAC</w:t>
      </w:r>
      <w:r>
        <w:rPr>
          <w:rStyle w:val="FootnoteReference"/>
        </w:rPr>
        <w:footnoteReference w:id="7"/>
      </w:r>
      <w:r>
        <w:t>. Below is a brief summary of the main findings, taken from the publically available summary.</w:t>
      </w:r>
    </w:p>
    <w:p w14:paraId="1A74C96D" w14:textId="431B2EFD" w:rsidR="00B041AA" w:rsidRDefault="00DF7B2A" w:rsidP="00DF7B2A">
      <w:r>
        <w:t>B</w:t>
      </w:r>
      <w:r w:rsidR="00A66763">
        <w:t>ased on the available clinical tri</w:t>
      </w:r>
      <w:r>
        <w:t>als, between 8.6% and 40% (mean</w:t>
      </w:r>
      <w:r w:rsidR="00A66763">
        <w:t xml:space="preserve"> 28%)</w:t>
      </w:r>
      <w:r w:rsidR="00A66763" w:rsidRPr="00FD155B">
        <w:t xml:space="preserve"> </w:t>
      </w:r>
      <w:r w:rsidR="00A66763">
        <w:t xml:space="preserve">of patients demonstrate a response or improvement in symptoms equivalent </w:t>
      </w:r>
      <w:r w:rsidR="005B3861">
        <w:t>to a two-</w:t>
      </w:r>
      <w:r>
        <w:t>point increase in MMSE. The review concluded</w:t>
      </w:r>
      <w:r w:rsidR="00B041AA">
        <w:t xml:space="preserve"> that patients given </w:t>
      </w:r>
      <w:r>
        <w:t>A</w:t>
      </w:r>
      <w:r w:rsidR="00B041AA">
        <w:t>C</w:t>
      </w:r>
      <w:r>
        <w:t>h</w:t>
      </w:r>
      <w:r w:rsidR="00B041AA">
        <w:t xml:space="preserve">EIs and memantine showed, on average, small improvements in cognitive ability compared with patients given placebo or no drug treatment. The clinical relevance of these improvements measured using </w:t>
      </w:r>
      <w:r>
        <w:t xml:space="preserve">the </w:t>
      </w:r>
      <w:r w:rsidR="00B041AA">
        <w:t xml:space="preserve">MMSE and </w:t>
      </w:r>
      <w:r w:rsidR="0076404F" w:rsidRPr="0076404F">
        <w:t xml:space="preserve">Alzheimer’s Disease Assessment Scale Cognitive Subscale </w:t>
      </w:r>
      <w:r w:rsidR="0076404F">
        <w:t>(</w:t>
      </w:r>
      <w:r w:rsidR="00B041AA">
        <w:t>ADAS-Cog</w:t>
      </w:r>
      <w:r w:rsidR="0076404F">
        <w:t>)</w:t>
      </w:r>
      <w:r w:rsidR="00B041AA">
        <w:t xml:space="preserve"> remains unknown because linking these changes to patient-relevant outcomes such as changes in </w:t>
      </w:r>
      <w:r>
        <w:t>QoL</w:t>
      </w:r>
      <w:r w:rsidR="00B041AA">
        <w:t xml:space="preserve"> has not been demonstrated in clinical trials. </w:t>
      </w:r>
      <w:r w:rsidR="00716416">
        <w:t>N</w:t>
      </w:r>
      <w:r w:rsidR="00B041AA">
        <w:t xml:space="preserve">o convincing evidence </w:t>
      </w:r>
      <w:r w:rsidR="00716416">
        <w:t>was identified that reported an</w:t>
      </w:r>
      <w:r w:rsidR="00B041AA">
        <w:t xml:space="preserve"> improvement </w:t>
      </w:r>
      <w:r w:rsidR="00716416">
        <w:t xml:space="preserve">over placebo </w:t>
      </w:r>
      <w:r w:rsidR="00B041AA">
        <w:t xml:space="preserve">in </w:t>
      </w:r>
      <w:r>
        <w:t>QoL</w:t>
      </w:r>
      <w:r w:rsidR="00B041AA">
        <w:t xml:space="preserve"> outcomes or time to institutionalisation.</w:t>
      </w:r>
    </w:p>
    <w:p w14:paraId="0D600B28" w14:textId="64314C05" w:rsidR="00B041AA" w:rsidRDefault="00B041AA" w:rsidP="00B041AA">
      <w:r>
        <w:t xml:space="preserve">The results of trials measuring cognitive response in people given </w:t>
      </w:r>
      <w:r w:rsidR="00DF7B2A">
        <w:t>A</w:t>
      </w:r>
      <w:r>
        <w:t>C</w:t>
      </w:r>
      <w:r w:rsidR="00DF7B2A">
        <w:t>h</w:t>
      </w:r>
      <w:r>
        <w:t xml:space="preserve">EIs beyond six months were inconsistent. Some studies demonstrated statistically significant differences in people given </w:t>
      </w:r>
      <w:r w:rsidR="00DF7B2A">
        <w:t>A</w:t>
      </w:r>
      <w:r>
        <w:t>C</w:t>
      </w:r>
      <w:r w:rsidR="00DF7B2A">
        <w:t>h</w:t>
      </w:r>
      <w:r>
        <w:t>EIs for one or two years compared with those given placebo, whereas other studies showed that MMSE scores declined at a similar rate to those in the placebo group.</w:t>
      </w:r>
    </w:p>
    <w:p w14:paraId="3898A59E" w14:textId="77777777" w:rsidR="00B041AA" w:rsidRDefault="00B041AA" w:rsidP="00B041AA">
      <w:r>
        <w:t>Trials that studied the effect on cognition when these medicines were ceased found that symptoms deteriorated more rapidly than those who stayed on donepezil, galantamime and memantine. No similar trials of the effect of stopping treatment for rivastigmine were found in this literature search.</w:t>
      </w:r>
    </w:p>
    <w:p w14:paraId="53167F0E" w14:textId="77777777" w:rsidR="00B041AA" w:rsidRDefault="00B041AA" w:rsidP="00B041AA">
      <w:r>
        <w:t xml:space="preserve">Observational studies of galantamine have reported delaying death, higher MMSE scores and delayed time to institutionalisation for those treated beyond six months, however the quality of this data is considered to be low when compared to other trials. There is also </w:t>
      </w:r>
      <w:r>
        <w:lastRenderedPageBreak/>
        <w:t>one small trial that has reported delayed admission to an aged care facility for some patients taking memantine relative to placebo.</w:t>
      </w:r>
    </w:p>
    <w:p w14:paraId="3F0D7DB0" w14:textId="72C70DC3" w:rsidR="00B041AA" w:rsidRDefault="00B041AA" w:rsidP="00B041AA">
      <w:r>
        <w:t xml:space="preserve">Review of longer term safety data </w:t>
      </w:r>
      <w:r w:rsidR="00716416">
        <w:t xml:space="preserve">did not provide </w:t>
      </w:r>
      <w:r>
        <w:t>any new information on fur</w:t>
      </w:r>
      <w:r w:rsidR="00716416">
        <w:t>ther harms associated with AChEIs or memantine</w:t>
      </w:r>
      <w:r>
        <w:t xml:space="preserve"> than </w:t>
      </w:r>
      <w:r w:rsidR="00716416">
        <w:t xml:space="preserve">had been </w:t>
      </w:r>
      <w:r>
        <w:t xml:space="preserve">previously assessed by PBAC. There are significant reports of side effects such as nausea and diarrhoea, however </w:t>
      </w:r>
      <w:r w:rsidR="00716416">
        <w:t>titration at commencement</w:t>
      </w:r>
      <w:r>
        <w:t xml:space="preserve"> has been shown to help reduce these symptoms.</w:t>
      </w:r>
    </w:p>
    <w:p w14:paraId="039B9F55" w14:textId="000E8C2A" w:rsidR="00B041AA" w:rsidRDefault="00B041AA" w:rsidP="00B041AA">
      <w:r>
        <w:t xml:space="preserve">Taking more than one of the </w:t>
      </w:r>
      <w:r w:rsidR="00716416">
        <w:t>A</w:t>
      </w:r>
      <w:r>
        <w:t>C</w:t>
      </w:r>
      <w:r w:rsidR="00716416">
        <w:t>h</w:t>
      </w:r>
      <w:r>
        <w:t>EIs or memantine at the same time appears unlikely to provide any further benefit to patients.</w:t>
      </w:r>
    </w:p>
    <w:p w14:paraId="582A29E0" w14:textId="44ABC37D" w:rsidR="00B041AA" w:rsidRDefault="00B041AA" w:rsidP="00B041AA">
      <w:r>
        <w:t xml:space="preserve">Overall the results of this review of more recent comparative evidence on the effectiveness of </w:t>
      </w:r>
      <w:r w:rsidR="00716416">
        <w:t>A</w:t>
      </w:r>
      <w:r>
        <w:t>C</w:t>
      </w:r>
      <w:r w:rsidR="00716416">
        <w:t>h</w:t>
      </w:r>
      <w:r>
        <w:t xml:space="preserve">EIs and memantine are consistent with previous evidence on safety and efficacy considered by </w:t>
      </w:r>
      <w:r w:rsidR="00716416">
        <w:t xml:space="preserve">the </w:t>
      </w:r>
      <w:r>
        <w:t>PBAC when the medicines were originally recommended for PBS subsidy.</w:t>
      </w:r>
    </w:p>
    <w:p w14:paraId="5354A481" w14:textId="430B2802" w:rsidR="00816F47" w:rsidRDefault="00716416" w:rsidP="00B041AA">
      <w:r>
        <w:t>Furthermore, t</w:t>
      </w:r>
      <w:r w:rsidR="00816F47" w:rsidRPr="00816F47">
        <w:t>he review did not identify any ne</w:t>
      </w:r>
      <w:r>
        <w:t>w or stronger evidence for cost-</w:t>
      </w:r>
      <w:r w:rsidR="00816F47" w:rsidRPr="00816F47">
        <w:t>effectiveness than that considered originally by PBAC. That is, the trial evidence identified in this review does not provide any further evidence that can be valued from a payer or government perspective t</w:t>
      </w:r>
      <w:r>
        <w:t>o support or inform on the cost-</w:t>
      </w:r>
      <w:r w:rsidR="00816F47" w:rsidRPr="00816F47">
        <w:t>effectiveness of these medicines. However, there is significant evidence that these medicines are being used in a broader population than originally ag</w:t>
      </w:r>
      <w:r>
        <w:t>reed as cost-effective by PBAC.</w:t>
      </w:r>
    </w:p>
    <w:p w14:paraId="614001F3" w14:textId="4BD09358" w:rsidR="00A66763" w:rsidRPr="00716416" w:rsidRDefault="00716416" w:rsidP="00716416">
      <w:r>
        <w:t>According to the r</w:t>
      </w:r>
      <w:r w:rsidR="00093E89">
        <w:t xml:space="preserve">atified Minutes of the </w:t>
      </w:r>
      <w:r w:rsidR="00093E89" w:rsidRPr="00093E89">
        <w:t>December 2012 Special PBAC meeting</w:t>
      </w:r>
      <w:r w:rsidR="00891B5D">
        <w:rPr>
          <w:rStyle w:val="FootnoteReference"/>
        </w:rPr>
        <w:footnoteReference w:id="8"/>
      </w:r>
      <w:r>
        <w:t xml:space="preserve">, the </w:t>
      </w:r>
      <w:r w:rsidR="00A66763" w:rsidRPr="00E86AF0">
        <w:t>PBAC reaffirmed the view that the</w:t>
      </w:r>
      <w:r w:rsidR="00A66763">
        <w:t xml:space="preserve"> population-based, average</w:t>
      </w:r>
      <w:r>
        <w:t xml:space="preserve"> benefits associated with the anti-dementia</w:t>
      </w:r>
      <w:r w:rsidR="00A66763" w:rsidRPr="00E86AF0">
        <w:t xml:space="preserve"> medicines </w:t>
      </w:r>
      <w:r>
        <w:t xml:space="preserve">on the PBS </w:t>
      </w:r>
      <w:r w:rsidR="00A66763" w:rsidRPr="00E86AF0">
        <w:t xml:space="preserve">were small and poorly supported by comparative trial evidence. The </w:t>
      </w:r>
      <w:r w:rsidR="00A66763">
        <w:t xml:space="preserve">PBAC </w:t>
      </w:r>
      <w:r w:rsidR="00A66763" w:rsidRPr="00E86AF0">
        <w:t>also consider</w:t>
      </w:r>
      <w:r w:rsidR="00A66763">
        <w:t xml:space="preserve">ed that there was little to be gained by updated </w:t>
      </w:r>
      <w:r>
        <w:t>cost-</w:t>
      </w:r>
      <w:r w:rsidR="00A66763" w:rsidRPr="00E86AF0">
        <w:t xml:space="preserve">effectiveness </w:t>
      </w:r>
      <w:r w:rsidR="00A66763">
        <w:t>models of these medicines</w:t>
      </w:r>
      <w:r w:rsidR="00A66763" w:rsidRPr="00E86AF0">
        <w:t xml:space="preserve"> </w:t>
      </w:r>
      <w:r w:rsidR="00A66763" w:rsidRPr="00675198">
        <w:rPr>
          <w:iCs/>
        </w:rPr>
        <w:t>in the absence of more conclusive clinical data on health outcomes. The</w:t>
      </w:r>
      <w:r w:rsidR="009473AF">
        <w:rPr>
          <w:iCs/>
        </w:rPr>
        <w:t>y</w:t>
      </w:r>
      <w:r w:rsidR="00A66763" w:rsidRPr="00675198">
        <w:rPr>
          <w:iCs/>
        </w:rPr>
        <w:t xml:space="preserve"> </w:t>
      </w:r>
      <w:r>
        <w:rPr>
          <w:iCs/>
        </w:rPr>
        <w:t xml:space="preserve">noted that </w:t>
      </w:r>
      <w:r w:rsidR="00A66763" w:rsidRPr="00675198">
        <w:rPr>
          <w:iCs/>
        </w:rPr>
        <w:t>previous economic models rel</w:t>
      </w:r>
      <w:r w:rsidR="00A66763">
        <w:rPr>
          <w:iCs/>
        </w:rPr>
        <w:t>y</w:t>
      </w:r>
      <w:r w:rsidR="00A66763" w:rsidRPr="00675198">
        <w:rPr>
          <w:iCs/>
        </w:rPr>
        <w:t xml:space="preserve"> on the assumption </w:t>
      </w:r>
      <w:r w:rsidR="00A66763">
        <w:rPr>
          <w:iCs/>
        </w:rPr>
        <w:t xml:space="preserve">that </w:t>
      </w:r>
      <w:r w:rsidR="00A66763" w:rsidRPr="00675198">
        <w:rPr>
          <w:iCs/>
        </w:rPr>
        <w:t>chang</w:t>
      </w:r>
      <w:r w:rsidR="00A66763">
        <w:rPr>
          <w:iCs/>
        </w:rPr>
        <w:t>e in MMSE predicts</w:t>
      </w:r>
      <w:r w:rsidR="00A66763" w:rsidRPr="00675198">
        <w:rPr>
          <w:iCs/>
        </w:rPr>
        <w:t xml:space="preserve"> change in </w:t>
      </w:r>
      <w:r>
        <w:rPr>
          <w:iCs/>
        </w:rPr>
        <w:t>QoL</w:t>
      </w:r>
      <w:r w:rsidR="00A66763" w:rsidRPr="00675198">
        <w:rPr>
          <w:iCs/>
        </w:rPr>
        <w:t xml:space="preserve"> or time to institutionalisation</w:t>
      </w:r>
      <w:r w:rsidR="00A66763">
        <w:rPr>
          <w:iCs/>
        </w:rPr>
        <w:t>, but there is still insufficient evidence to link small changes in MMSE to patient</w:t>
      </w:r>
      <w:r w:rsidR="00F2342C">
        <w:rPr>
          <w:iCs/>
        </w:rPr>
        <w:t>-</w:t>
      </w:r>
      <w:r w:rsidR="00A66763">
        <w:rPr>
          <w:iCs/>
        </w:rPr>
        <w:t>relevant clinical outcomes</w:t>
      </w:r>
      <w:r w:rsidR="00A66763" w:rsidRPr="00BE3EF3">
        <w:t>.</w:t>
      </w:r>
      <w:r w:rsidR="00A66763" w:rsidRPr="00675198">
        <w:rPr>
          <w:iCs/>
        </w:rPr>
        <w:t xml:space="preserve"> In addition</w:t>
      </w:r>
      <w:r w:rsidR="00A66763">
        <w:rPr>
          <w:iCs/>
        </w:rPr>
        <w:t>,</w:t>
      </w:r>
      <w:r w:rsidR="00A66763" w:rsidRPr="00675198">
        <w:rPr>
          <w:iCs/>
        </w:rPr>
        <w:t xml:space="preserve"> the </w:t>
      </w:r>
      <w:r w:rsidR="009473AF">
        <w:rPr>
          <w:iCs/>
        </w:rPr>
        <w:t xml:space="preserve">PBAC noted that the </w:t>
      </w:r>
      <w:r w:rsidR="00A66763" w:rsidRPr="00675198">
        <w:rPr>
          <w:iCs/>
        </w:rPr>
        <w:t xml:space="preserve">economic models previously presented to </w:t>
      </w:r>
      <w:r w:rsidR="009473AF">
        <w:rPr>
          <w:iCs/>
        </w:rPr>
        <w:t xml:space="preserve">the </w:t>
      </w:r>
      <w:r w:rsidR="00A66763" w:rsidRPr="00675198">
        <w:rPr>
          <w:iCs/>
        </w:rPr>
        <w:t xml:space="preserve">PBAC were </w:t>
      </w:r>
      <w:r w:rsidR="00A66763">
        <w:rPr>
          <w:iCs/>
        </w:rPr>
        <w:t>difficult to assess as many assumptions were implicit in the model, and i</w:t>
      </w:r>
      <w:r w:rsidR="00A66763" w:rsidRPr="00675198">
        <w:rPr>
          <w:iCs/>
        </w:rPr>
        <w:t xml:space="preserve">mplausible results </w:t>
      </w:r>
      <w:r w:rsidR="00A66763">
        <w:rPr>
          <w:iCs/>
        </w:rPr>
        <w:t xml:space="preserve">occurred </w:t>
      </w:r>
      <w:r w:rsidR="00A66763" w:rsidRPr="00675198">
        <w:rPr>
          <w:iCs/>
        </w:rPr>
        <w:t>when</w:t>
      </w:r>
      <w:r w:rsidR="00A66763">
        <w:rPr>
          <w:iCs/>
        </w:rPr>
        <w:t xml:space="preserve"> the models were</w:t>
      </w:r>
      <w:r w:rsidR="00A66763" w:rsidRPr="00675198">
        <w:rPr>
          <w:iCs/>
        </w:rPr>
        <w:t xml:space="preserve"> tested with revised assumptions</w:t>
      </w:r>
      <w:r w:rsidR="00A66763">
        <w:rPr>
          <w:iCs/>
        </w:rPr>
        <w:t>.</w:t>
      </w:r>
    </w:p>
    <w:p w14:paraId="5453C0A2" w14:textId="65EB42DD" w:rsidR="00093E89" w:rsidRDefault="00B475B2" w:rsidP="000E3AEC">
      <w:r>
        <w:t>The PBAC considered that t</w:t>
      </w:r>
      <w:r w:rsidRPr="007B73F3">
        <w:t>he evidence on the clinical effectiveness and safety of the</w:t>
      </w:r>
      <w:r>
        <w:t xml:space="preserve"> anti-dementia</w:t>
      </w:r>
      <w:r w:rsidRPr="007B73F3">
        <w:t xml:space="preserve"> medicines </w:t>
      </w:r>
      <w:r>
        <w:t xml:space="preserve">for AD supports previous </w:t>
      </w:r>
      <w:r w:rsidRPr="007B73F3">
        <w:t>PBAC decision</w:t>
      </w:r>
      <w:r>
        <w:t xml:space="preserve">s to list each </w:t>
      </w:r>
      <w:r w:rsidRPr="007B73F3">
        <w:t>on a cost</w:t>
      </w:r>
      <w:r w:rsidR="000E05F2">
        <w:t>-</w:t>
      </w:r>
      <w:r w:rsidRPr="007B73F3">
        <w:t>minimisation basis with each other.</w:t>
      </w:r>
      <w:r>
        <w:t xml:space="preserve"> The </w:t>
      </w:r>
      <w:r w:rsidRPr="009369EE">
        <w:t>PBAC d</w:t>
      </w:r>
      <w:r>
        <w:t>id</w:t>
      </w:r>
      <w:r w:rsidRPr="009369EE">
        <w:t xml:space="preserve"> not recommend delisting any of the </w:t>
      </w:r>
      <w:r w:rsidR="00237BD4">
        <w:t>A</w:t>
      </w:r>
      <w:r w:rsidRPr="009369EE">
        <w:t>C</w:t>
      </w:r>
      <w:r w:rsidR="00237BD4">
        <w:t>h</w:t>
      </w:r>
      <w:r w:rsidRPr="009369EE">
        <w:t>EIs or memantine.</w:t>
      </w:r>
    </w:p>
    <w:p w14:paraId="68A06970" w14:textId="3F58BC6B" w:rsidR="00874204" w:rsidRDefault="00D82516" w:rsidP="00DD06FA">
      <w:pPr>
        <w:pStyle w:val="Heading2"/>
      </w:pPr>
      <w:bookmarkStart w:id="141" w:name="_Toc408845167"/>
      <w:r>
        <w:t>Interpretation of the clinical evidence</w:t>
      </w:r>
      <w:bookmarkEnd w:id="141"/>
    </w:p>
    <w:p w14:paraId="6478495C" w14:textId="77777777" w:rsidR="005B779D" w:rsidRPr="00B9399F" w:rsidRDefault="005B779D" w:rsidP="005B779D">
      <w:pPr>
        <w:pStyle w:val="Heading4"/>
      </w:pPr>
      <w:r w:rsidRPr="00B9399F">
        <w:t>Diagnostic accuracy</w:t>
      </w:r>
    </w:p>
    <w:p w14:paraId="75A32A48" w14:textId="529D7316" w:rsidR="005B779D" w:rsidRDefault="005B779D" w:rsidP="005B779D">
      <w:r w:rsidRPr="002C126C">
        <w:t xml:space="preserve">There are a </w:t>
      </w:r>
      <w:r>
        <w:t>limited number of comparative</w:t>
      </w:r>
      <w:r w:rsidRPr="002C126C">
        <w:t xml:space="preserve"> studies evaluating </w:t>
      </w:r>
      <w:r>
        <w:t>FDG-</w:t>
      </w:r>
      <w:r w:rsidRPr="002C126C">
        <w:t xml:space="preserve">PET </w:t>
      </w:r>
      <w:r>
        <w:t>and SPECT for the diagnosis of AD. Both diagnostic t</w:t>
      </w:r>
      <w:r w:rsidR="00411C2F">
        <w:t>ests are able to detect temporo</w:t>
      </w:r>
      <w:r>
        <w:t xml:space="preserve">parietal changes, typical of AD, with a relatively high degree of accuracy. However, the comparative studies generally found that FDG-PET was marginally superior at identifying very mildly affected brains or </w:t>
      </w:r>
      <w:r w:rsidRPr="00E731E0">
        <w:t xml:space="preserve">brain regions (e.g. the frontal cortex) when compared with SPECT. </w:t>
      </w:r>
      <w:r>
        <w:t xml:space="preserve">A major limitation of the </w:t>
      </w:r>
      <w:r w:rsidR="00AF5C66">
        <w:t xml:space="preserve">direct </w:t>
      </w:r>
      <w:r>
        <w:t xml:space="preserve">evidence is that, in most cases, validation was against </w:t>
      </w:r>
      <w:r>
        <w:lastRenderedPageBreak/>
        <w:t xml:space="preserve">clinical diagnostic criteria rather than histopathologic diagnosis. In the two studies that compared FDG-PET with SPECT in differentiating AD from non-AD dementia, the sensitivity and specificity of FDG-PET (71% and 60%) </w:t>
      </w:r>
      <w:r w:rsidR="0076404F">
        <w:t xml:space="preserve">and </w:t>
      </w:r>
      <w:r>
        <w:t>SPECT (69% and 57%)</w:t>
      </w:r>
      <w:r w:rsidR="0076404F">
        <w:t xml:space="preserve"> were similar</w:t>
      </w:r>
      <w:r>
        <w:t>.</w:t>
      </w:r>
      <w:r w:rsidR="000C064C">
        <w:t xml:space="preserve"> </w:t>
      </w:r>
    </w:p>
    <w:p w14:paraId="2212CB9B" w14:textId="225F2E90" w:rsidR="005B779D" w:rsidRDefault="005B779D" w:rsidP="005913A2">
      <w:r w:rsidRPr="004D42FE">
        <w:t xml:space="preserve">A larger </w:t>
      </w:r>
      <w:r>
        <w:t>number of low quality studies have assessed the diagnostic accuracy of either FDG-PET or SPECT. The Assessment Report included such studies, but only those that sought pathological confirmation of diagnosis. Ultimately, the combined results showed very similar diagnostic accuracy</w:t>
      </w:r>
      <w:r w:rsidR="005913A2">
        <w:t xml:space="preserve"> between the two imaging techniques</w:t>
      </w:r>
      <w:r>
        <w:t xml:space="preserve">, with FDG-PET demonstrating a sensitivity </w:t>
      </w:r>
      <w:r w:rsidR="005913A2">
        <w:t xml:space="preserve">and specificity </w:t>
      </w:r>
      <w:r>
        <w:t>of 84%</w:t>
      </w:r>
      <w:r w:rsidR="005913A2">
        <w:t xml:space="preserve"> and 76%,</w:t>
      </w:r>
      <w:r>
        <w:t xml:space="preserve"> </w:t>
      </w:r>
      <w:r w:rsidR="005913A2">
        <w:t>while SPECT had a sensitivity and specificity of</w:t>
      </w:r>
      <w:r>
        <w:t xml:space="preserve"> 8</w:t>
      </w:r>
      <w:r w:rsidR="00AF5C66">
        <w:t>5</w:t>
      </w:r>
      <w:r>
        <w:t xml:space="preserve">% </w:t>
      </w:r>
      <w:r w:rsidR="005913A2">
        <w:t xml:space="preserve">and </w:t>
      </w:r>
      <w:r>
        <w:t>7</w:t>
      </w:r>
      <w:r w:rsidR="00AF5C66">
        <w:t>2</w:t>
      </w:r>
      <w:r>
        <w:t>%.</w:t>
      </w:r>
      <w:r w:rsidR="005913A2">
        <w:t xml:space="preserve"> </w:t>
      </w:r>
      <w:r>
        <w:t xml:space="preserve">However, </w:t>
      </w:r>
      <w:r w:rsidR="005913A2">
        <w:t xml:space="preserve">the pooling </w:t>
      </w:r>
      <w:r w:rsidR="007F7FA8">
        <w:t xml:space="preserve">and comparison </w:t>
      </w:r>
      <w:r w:rsidR="005913A2">
        <w:t>of i</w:t>
      </w:r>
      <w:r>
        <w:t xml:space="preserve">ndirect evidence is prone to bias due to inevitable differences between the patient populations </w:t>
      </w:r>
      <w:r w:rsidR="005913A2">
        <w:t>across the different</w:t>
      </w:r>
      <w:r>
        <w:t xml:space="preserve"> studies</w:t>
      </w:r>
      <w:r w:rsidR="005913A2">
        <w:t>, which</w:t>
      </w:r>
      <w:r w:rsidR="00C75922">
        <w:t xml:space="preserve"> compromises</w:t>
      </w:r>
      <w:r>
        <w:t xml:space="preserve"> the reliability of the </w:t>
      </w:r>
      <w:r w:rsidR="005913A2">
        <w:t>estimates.</w:t>
      </w:r>
    </w:p>
    <w:p w14:paraId="00310760" w14:textId="77777777" w:rsidR="00AF5C66" w:rsidRDefault="005B779D" w:rsidP="0056221A">
      <w:r>
        <w:t xml:space="preserve">Several published systematic reviews have presented meta-analyses indicating that FDG-PET may have marginally superior diagnostic abilities to SPECT (Bloudek et al, 2011; Davison et al, 2014). Rather than teasing out the best available evidence, the meta-analysis by Bloudek et al (2011) combined results from </w:t>
      </w:r>
      <w:r w:rsidR="004071A1">
        <w:t xml:space="preserve">all available </w:t>
      </w:r>
      <w:r>
        <w:t>studies</w:t>
      </w:r>
      <w:r w:rsidR="004071A1">
        <w:t>, irrespective</w:t>
      </w:r>
      <w:r>
        <w:t xml:space="preserve"> </w:t>
      </w:r>
      <w:r w:rsidR="004071A1">
        <w:t>of the differences in</w:t>
      </w:r>
      <w:r>
        <w:t xml:space="preserve"> assessment techniques (e.g. visual examination versus quantitative computer-based methods), populations (e.g. early versus late onset AD) and reference standards. </w:t>
      </w:r>
    </w:p>
    <w:p w14:paraId="4619B241" w14:textId="55617E54" w:rsidR="005B779D" w:rsidRDefault="0056221A" w:rsidP="0056221A">
      <w:r w:rsidRPr="0056221A">
        <w:t>In addition, diagnostic accuracy can be influenced by factors such as the spatial resolution and count sensitivity of detector configurations and by other instrumentation parameters, acquisition and processing techniques, methods and quality of image display, the interpretive criteria used, and the experience of the interpreters with each modality</w:t>
      </w:r>
      <w:r w:rsidR="00701E53">
        <w:t xml:space="preserve"> (Silverman et al, 2004)</w:t>
      </w:r>
      <w:r w:rsidR="0053585B">
        <w:t>. Furthermore, t</w:t>
      </w:r>
      <w:r w:rsidR="005B779D">
        <w:t>he systematic review by Davison et al (2014) concluded that “t</w:t>
      </w:r>
      <w:r w:rsidR="005B779D" w:rsidRPr="00A77F77">
        <w:t xml:space="preserve">he evidence base on direct PET </w:t>
      </w:r>
      <w:r w:rsidR="005B779D">
        <w:t>and SPECT comparison studies is…</w:t>
      </w:r>
      <w:r w:rsidR="005B779D" w:rsidRPr="00A77F77">
        <w:t>limited and inadequate to make very broad generali</w:t>
      </w:r>
      <w:r w:rsidR="005B779D">
        <w:t>s</w:t>
      </w:r>
      <w:r w:rsidR="005B779D" w:rsidRPr="00A77F77">
        <w:t>ations about the superiority of one technique over another</w:t>
      </w:r>
      <w:r w:rsidR="005B779D">
        <w:t xml:space="preserve"> for the diagnosis of dementia”.</w:t>
      </w:r>
    </w:p>
    <w:p w14:paraId="62D84340" w14:textId="4456188C" w:rsidR="005B779D" w:rsidRDefault="005B779D" w:rsidP="005B779D">
      <w:r>
        <w:t xml:space="preserve">Importantly, </w:t>
      </w:r>
      <w:r w:rsidR="00DA1075">
        <w:t>some studies assessed</w:t>
      </w:r>
      <w:r>
        <w:t xml:space="preserve"> the ability of FDG-PET and SPECT to distinguish between AD patients and normal controls</w:t>
      </w:r>
      <w:r w:rsidR="00DA1075">
        <w:t>, while other studies assessed the extent to which the test</w:t>
      </w:r>
      <w:r>
        <w:t xml:space="preserve"> could differentiate between </w:t>
      </w:r>
      <w:r w:rsidR="00DA1075">
        <w:t xml:space="preserve">various types of </w:t>
      </w:r>
      <w:r>
        <w:t xml:space="preserve">dementia (e.g. AD and FTD). </w:t>
      </w:r>
      <w:r w:rsidR="00A351C9">
        <w:t xml:space="preserve">The most applicable studies are those that </w:t>
      </w:r>
      <w:r>
        <w:t xml:space="preserve">include </w:t>
      </w:r>
      <w:r w:rsidR="00A351C9">
        <w:t xml:space="preserve">the full range of patients likely to be seen in clinical practice, which could include </w:t>
      </w:r>
      <w:r>
        <w:t>patients with very ea</w:t>
      </w:r>
      <w:r w:rsidR="00A351C9">
        <w:t>rly signs of disease (e.g. MCI) through to patients</w:t>
      </w:r>
      <w:r>
        <w:t xml:space="preserve"> with manifest disease (Panegyres et al, 2009). Assessing highly selected subsets of patients limits the clinical applicability of the results.</w:t>
      </w:r>
    </w:p>
    <w:p w14:paraId="1D98CDB6" w14:textId="77777777" w:rsidR="005B779D" w:rsidRDefault="005B779D" w:rsidP="005B779D">
      <w:pPr>
        <w:pStyle w:val="Heading4"/>
      </w:pPr>
      <w:r>
        <w:t>Safety</w:t>
      </w:r>
    </w:p>
    <w:p w14:paraId="0A188255" w14:textId="77777777" w:rsidR="005B779D" w:rsidRDefault="005B779D" w:rsidP="005B779D">
      <w:r w:rsidRPr="00AE30A2">
        <w:t>No primary studies were identified that reported on the comparative safety of FDG-PET and SPECT for the diagnosis of AD. However, it is widely accepted that PET is a safe diagnostic procedure.</w:t>
      </w:r>
    </w:p>
    <w:p w14:paraId="694CA7BB" w14:textId="77777777" w:rsidR="005B779D" w:rsidRDefault="005B779D" w:rsidP="005B779D">
      <w:pPr>
        <w:pStyle w:val="Heading4"/>
      </w:pPr>
      <w:r>
        <w:t>Change in patient management</w:t>
      </w:r>
    </w:p>
    <w:p w14:paraId="3CCB9B42" w14:textId="6998BCF7" w:rsidR="005B779D" w:rsidRDefault="005B779D" w:rsidP="005B779D">
      <w:r>
        <w:t>There was limited evidence available regarding change in management br</w:t>
      </w:r>
      <w:r w:rsidR="009F22A2">
        <w:t>ought about by FDG-PET. One study</w:t>
      </w:r>
      <w:r>
        <w:t xml:space="preserve"> found that FDG-PET r</w:t>
      </w:r>
      <w:r w:rsidR="009A1F6B">
        <w:t>esulted in a change in diagnosis</w:t>
      </w:r>
      <w:r>
        <w:t xml:space="preserve"> in 29%</w:t>
      </w:r>
      <w:r w:rsidR="009F22A2">
        <w:t xml:space="preserve"> o</w:t>
      </w:r>
      <w:r w:rsidR="00111A00">
        <w:t>f patient</w:t>
      </w:r>
      <w:r w:rsidR="009F22A2">
        <w:t>s, and increased</w:t>
      </w:r>
      <w:r>
        <w:t xml:space="preserve"> the use of AChEIs after </w:t>
      </w:r>
      <w:r w:rsidR="004071A1">
        <w:t xml:space="preserve">diagnosis </w:t>
      </w:r>
      <w:r w:rsidR="009F22A2">
        <w:t>(Laforce et al, 2010)</w:t>
      </w:r>
      <w:r>
        <w:t>.</w:t>
      </w:r>
      <w:r w:rsidR="00EC48B9">
        <w:t xml:space="preserve"> These findings a</w:t>
      </w:r>
      <w:r w:rsidR="009F22A2">
        <w:t>re supported by the only available Australian evidence</w:t>
      </w:r>
      <w:r w:rsidR="00EC48B9">
        <w:t xml:space="preserve">, which reported a change in diagnosis in </w:t>
      </w:r>
      <w:r w:rsidR="00722710">
        <w:t>35</w:t>
      </w:r>
      <w:r w:rsidR="00EC48B9" w:rsidRPr="00EC48B9">
        <w:t xml:space="preserve">% of </w:t>
      </w:r>
      <w:r w:rsidR="00722710">
        <w:t xml:space="preserve">dementia </w:t>
      </w:r>
      <w:r w:rsidR="00EC48B9" w:rsidRPr="00EC48B9">
        <w:t xml:space="preserve">patients </w:t>
      </w:r>
      <w:r w:rsidR="00EC48B9">
        <w:t>who underwent FDG-PET</w:t>
      </w:r>
      <w:r w:rsidR="009F22A2">
        <w:t xml:space="preserve"> (Elias et al, 2014).</w:t>
      </w:r>
    </w:p>
    <w:p w14:paraId="6A100326" w14:textId="77777777" w:rsidR="005B779D" w:rsidRDefault="005B779D" w:rsidP="005B779D">
      <w:pPr>
        <w:pStyle w:val="Heading4"/>
      </w:pPr>
      <w:r>
        <w:lastRenderedPageBreak/>
        <w:t>Change in patient outcomes</w:t>
      </w:r>
    </w:p>
    <w:p w14:paraId="0355B049" w14:textId="271254DD" w:rsidR="005B779D" w:rsidRDefault="005B779D" w:rsidP="005B779D">
      <w:r>
        <w:t xml:space="preserve">Evidence regarding the efficacy of anti-AD drugs is relatively limited. In particular, the </w:t>
      </w:r>
      <w:r w:rsidRPr="00AE30A2">
        <w:t xml:space="preserve">effect of anti-AD drugs on outcomes beyond cognition, function, behaviour and global impact </w:t>
      </w:r>
      <w:r w:rsidR="004071A1">
        <w:t xml:space="preserve">remains fairly uncertain. Of relevance to this assessment, there is limited evidence for the impact of treatment on </w:t>
      </w:r>
      <w:r w:rsidRPr="00AE30A2">
        <w:t>QoL, admission to full-time care</w:t>
      </w:r>
      <w:r>
        <w:t xml:space="preserve"> and resource use</w:t>
      </w:r>
      <w:r w:rsidR="004071A1">
        <w:t>, which underpin claims of cost-effectiveness</w:t>
      </w:r>
      <w:r>
        <w:t>. Furthermore, long-term follow-up (especially beyond one year) on the effect of anti-AD drugs on any outcome remains a major evidence gap.</w:t>
      </w:r>
    </w:p>
    <w:p w14:paraId="528A1E5A" w14:textId="14187E3F" w:rsidR="00906BC0" w:rsidRDefault="00906BC0" w:rsidP="00F710E2">
      <w:pPr>
        <w:pStyle w:val="Heading1"/>
      </w:pPr>
      <w:bookmarkStart w:id="142" w:name="_Toc408845168"/>
      <w:r w:rsidRPr="00F710E2">
        <w:lastRenderedPageBreak/>
        <w:t>Translating</w:t>
      </w:r>
      <w:r>
        <w:t xml:space="preserve"> the clinical evaluation to the economic evaluation</w:t>
      </w:r>
      <w:bookmarkEnd w:id="142"/>
    </w:p>
    <w:p w14:paraId="17BB4AC6" w14:textId="08BF43CD" w:rsidR="00906BC0" w:rsidRDefault="00906BC0" w:rsidP="00C47E47">
      <w:pPr>
        <w:pStyle w:val="Heading2"/>
      </w:pPr>
      <w:bookmarkStart w:id="143" w:name="_Toc408845169"/>
      <w:r>
        <w:t>Identification of issues to be addressed</w:t>
      </w:r>
      <w:bookmarkEnd w:id="143"/>
    </w:p>
    <w:p w14:paraId="1C2B72C7" w14:textId="77777777" w:rsidR="007F6723" w:rsidRDefault="007F6723" w:rsidP="007F6723">
      <w:r>
        <w:t xml:space="preserve">This section presents each of the translation issues identified to move from the clinical evidence discussed above to the economic evaluation presented in Section D. Applicability, extrapolation and transformation issues were considered to identify each of the issues presented in </w:t>
      </w:r>
      <w:r>
        <w:fldChar w:fldCharType="begin"/>
      </w:r>
      <w:r>
        <w:instrText xml:space="preserve"> REF _Ref278640064 \h </w:instrText>
      </w:r>
      <w:r>
        <w:fldChar w:fldCharType="separate"/>
      </w:r>
      <w:r w:rsidR="00C67698">
        <w:t xml:space="preserve">Table </w:t>
      </w:r>
      <w:r w:rsidR="00C67698">
        <w:rPr>
          <w:noProof/>
        </w:rPr>
        <w:t>C.1</w:t>
      </w:r>
      <w:r w:rsidR="00C67698">
        <w:noBreakHyphen/>
      </w:r>
      <w:r w:rsidR="00C67698">
        <w:rPr>
          <w:noProof/>
        </w:rPr>
        <w:t>1</w:t>
      </w:r>
      <w:r>
        <w:fldChar w:fldCharType="end"/>
      </w:r>
      <w:r>
        <w:t>. In each instance, a focused analytical plan is presented prior to presenting the results of the pre-modelling study and the relationship between these and the economic evaluation presented in Section D.</w:t>
      </w:r>
    </w:p>
    <w:p w14:paraId="49DEF829" w14:textId="47A5D858" w:rsidR="007F6723" w:rsidRDefault="007F6723" w:rsidP="007F6723">
      <w:pPr>
        <w:pStyle w:val="Caption"/>
      </w:pPr>
      <w:bookmarkStart w:id="144" w:name="_Ref278640064"/>
      <w:bookmarkStart w:id="145" w:name="_Toc406172468"/>
      <w:bookmarkStart w:id="146" w:name="_Toc408845224"/>
      <w:r>
        <w:t xml:space="preserve">Table </w:t>
      </w:r>
      <w:fldSimple w:instr=" STYLEREF 2 \s ">
        <w:r w:rsidR="00C67698">
          <w:rPr>
            <w:noProof/>
          </w:rPr>
          <w:t>C.1</w:t>
        </w:r>
      </w:fldSimple>
      <w:r w:rsidR="00524916">
        <w:noBreakHyphen/>
      </w:r>
      <w:fldSimple w:instr=" SEQ Table \* ARABIC \s 2 ">
        <w:r w:rsidR="00C67698">
          <w:rPr>
            <w:noProof/>
          </w:rPr>
          <w:t>1</w:t>
        </w:r>
      </w:fldSimple>
      <w:bookmarkEnd w:id="144"/>
      <w:r>
        <w:tab/>
        <w:t>Translation issues identified in preparing the economic evaluation</w:t>
      </w:r>
      <w:bookmarkEnd w:id="145"/>
      <w:bookmarkEnd w:id="146"/>
    </w:p>
    <w:tbl>
      <w:tblPr>
        <w:tblStyle w:val="TableGrid"/>
        <w:tblW w:w="4619" w:type="pct"/>
        <w:tblInd w:w="704" w:type="dxa"/>
        <w:tblLayout w:type="fixed"/>
        <w:tblLook w:val="04A0" w:firstRow="1" w:lastRow="0" w:firstColumn="1" w:lastColumn="0" w:noHBand="0" w:noVBand="1"/>
        <w:tblCaption w:val="Translation issues identified in preparing the economic evaluation"/>
        <w:tblDescription w:val="A summary of the applicability, extrapolation and transformation issues considered in Section C"/>
      </w:tblPr>
      <w:tblGrid>
        <w:gridCol w:w="2238"/>
        <w:gridCol w:w="4254"/>
        <w:gridCol w:w="2046"/>
      </w:tblGrid>
      <w:tr w:rsidR="007F6723" w14:paraId="5B4C8ADB" w14:textId="77777777" w:rsidTr="003D1597">
        <w:trPr>
          <w:tblHeader/>
        </w:trPr>
        <w:tc>
          <w:tcPr>
            <w:tcW w:w="1311" w:type="pct"/>
          </w:tcPr>
          <w:p w14:paraId="09E31BC2" w14:textId="77777777" w:rsidR="007F6723" w:rsidRDefault="007F6723" w:rsidP="00181CF8">
            <w:pPr>
              <w:pStyle w:val="Tabletextboldleft"/>
            </w:pPr>
            <w:r>
              <w:t>Translation issue</w:t>
            </w:r>
          </w:p>
        </w:tc>
        <w:tc>
          <w:tcPr>
            <w:tcW w:w="2491" w:type="pct"/>
          </w:tcPr>
          <w:p w14:paraId="68AC934D" w14:textId="77777777" w:rsidR="007F6723" w:rsidRDefault="007F6723" w:rsidP="00181CF8">
            <w:pPr>
              <w:pStyle w:val="Tabletextboldleft"/>
            </w:pPr>
            <w:r>
              <w:t>Comments</w:t>
            </w:r>
          </w:p>
        </w:tc>
        <w:tc>
          <w:tcPr>
            <w:tcW w:w="1198" w:type="pct"/>
          </w:tcPr>
          <w:p w14:paraId="3F9BE928" w14:textId="77777777" w:rsidR="007F6723" w:rsidRDefault="007F6723" w:rsidP="00181CF8">
            <w:pPr>
              <w:pStyle w:val="Tabletextboldleft"/>
            </w:pPr>
            <w:r>
              <w:t>Section C subsection</w:t>
            </w:r>
          </w:p>
        </w:tc>
      </w:tr>
      <w:tr w:rsidR="007F6723" w14:paraId="5CAF50AD" w14:textId="77777777" w:rsidTr="003D1597">
        <w:tc>
          <w:tcPr>
            <w:tcW w:w="1311" w:type="pct"/>
            <w:shd w:val="clear" w:color="auto" w:fill="BFBFBF" w:themeFill="background1" w:themeFillShade="BF"/>
          </w:tcPr>
          <w:p w14:paraId="2277DFE8" w14:textId="77777777" w:rsidR="007F6723" w:rsidRPr="004E05DF" w:rsidRDefault="007F6723" w:rsidP="00181CF8">
            <w:pPr>
              <w:pStyle w:val="Tabletextcentred"/>
              <w:jc w:val="left"/>
            </w:pPr>
            <w:r w:rsidRPr="004E05DF">
              <w:t>Applicability issues</w:t>
            </w:r>
          </w:p>
        </w:tc>
        <w:tc>
          <w:tcPr>
            <w:tcW w:w="2491" w:type="pct"/>
            <w:shd w:val="clear" w:color="auto" w:fill="BFBFBF" w:themeFill="background1" w:themeFillShade="BF"/>
          </w:tcPr>
          <w:p w14:paraId="6BD593C8" w14:textId="77777777" w:rsidR="007F6723" w:rsidRPr="00B20A1B" w:rsidRDefault="007F6723" w:rsidP="00181CF8">
            <w:pPr>
              <w:pStyle w:val="Tabletextcentred"/>
              <w:jc w:val="left"/>
              <w:rPr>
                <w:i/>
              </w:rPr>
            </w:pPr>
          </w:p>
        </w:tc>
        <w:tc>
          <w:tcPr>
            <w:tcW w:w="1198" w:type="pct"/>
            <w:shd w:val="clear" w:color="auto" w:fill="BFBFBF" w:themeFill="background1" w:themeFillShade="BF"/>
          </w:tcPr>
          <w:p w14:paraId="7B934AF3" w14:textId="77777777" w:rsidR="007F6723" w:rsidRPr="00B20A1B" w:rsidRDefault="007F6723" w:rsidP="00181CF8">
            <w:pPr>
              <w:pStyle w:val="Tabletextcentred"/>
              <w:jc w:val="left"/>
              <w:rPr>
                <w:i/>
              </w:rPr>
            </w:pPr>
          </w:p>
        </w:tc>
      </w:tr>
      <w:tr w:rsidR="007F6723" w14:paraId="1E92A8FC" w14:textId="77777777" w:rsidTr="003D1597">
        <w:tc>
          <w:tcPr>
            <w:tcW w:w="1311" w:type="pct"/>
          </w:tcPr>
          <w:p w14:paraId="4CB6D530" w14:textId="77777777" w:rsidR="007F6723" w:rsidRDefault="007F6723" w:rsidP="00181CF8">
            <w:pPr>
              <w:pStyle w:val="Tabletextcentred"/>
              <w:jc w:val="left"/>
            </w:pPr>
            <w:r>
              <w:t>Population and circumstances of use</w:t>
            </w:r>
          </w:p>
        </w:tc>
        <w:tc>
          <w:tcPr>
            <w:tcW w:w="2491" w:type="pct"/>
          </w:tcPr>
          <w:p w14:paraId="1D1D7233" w14:textId="1C609D89" w:rsidR="007F6723" w:rsidRDefault="007F6723" w:rsidP="00903AED">
            <w:pPr>
              <w:pStyle w:val="Tabletextcentred"/>
              <w:jc w:val="left"/>
            </w:pPr>
            <w:r>
              <w:t xml:space="preserve">As </w:t>
            </w:r>
            <w:r w:rsidRPr="00903AED">
              <w:t xml:space="preserve">discussed in Section </w:t>
            </w:r>
            <w:r w:rsidR="00903AED" w:rsidRPr="00903AED">
              <w:t>B</w:t>
            </w:r>
            <w:r w:rsidRPr="00903AED">
              <w:t xml:space="preserve">, existing </w:t>
            </w:r>
            <w:r w:rsidR="00F862E9" w:rsidRPr="00903AED">
              <w:t>clinical and economic evidence</w:t>
            </w:r>
            <w:r w:rsidRPr="00903AED">
              <w:t xml:space="preserve"> </w:t>
            </w:r>
            <w:r w:rsidR="00F862E9" w:rsidRPr="00903AED">
              <w:t>relating to FDG-PET for the diagnosis of AD is</w:t>
            </w:r>
            <w:r w:rsidRPr="00903AED">
              <w:t xml:space="preserve"> not well-matched in terms of the population of the requested listing. Nonetheless</w:t>
            </w:r>
            <w:r>
              <w:t>, the link between the population of the requested listing and the economic model presented in Section D is discussed</w:t>
            </w:r>
            <w:r w:rsidR="00814FA6">
              <w:t>.</w:t>
            </w:r>
          </w:p>
        </w:tc>
        <w:tc>
          <w:tcPr>
            <w:tcW w:w="1198" w:type="pct"/>
          </w:tcPr>
          <w:p w14:paraId="0DB2C740" w14:textId="77777777" w:rsidR="007F6723" w:rsidRPr="00884A82" w:rsidRDefault="007F6723" w:rsidP="00181CF8">
            <w:pPr>
              <w:pStyle w:val="Tabletextcentred"/>
              <w:jc w:val="left"/>
            </w:pPr>
            <w:r>
              <w:t xml:space="preserve">Section </w:t>
            </w:r>
            <w:r>
              <w:fldChar w:fldCharType="begin"/>
            </w:r>
            <w:r>
              <w:instrText xml:space="preserve"> REF _Ref278640477 \r \h </w:instrText>
            </w:r>
            <w:r>
              <w:fldChar w:fldCharType="separate"/>
            </w:r>
            <w:r w:rsidR="00C67698">
              <w:t>C.2</w:t>
            </w:r>
            <w:r>
              <w:fldChar w:fldCharType="end"/>
            </w:r>
          </w:p>
        </w:tc>
      </w:tr>
      <w:tr w:rsidR="007F6723" w14:paraId="3BFC5720" w14:textId="77777777" w:rsidTr="003D1597">
        <w:tc>
          <w:tcPr>
            <w:tcW w:w="1311" w:type="pct"/>
            <w:shd w:val="clear" w:color="auto" w:fill="BFBFBF" w:themeFill="background1" w:themeFillShade="BF"/>
          </w:tcPr>
          <w:p w14:paraId="7B699101" w14:textId="77777777" w:rsidR="007F6723" w:rsidRPr="004E05DF" w:rsidRDefault="007F6723" w:rsidP="00181CF8">
            <w:pPr>
              <w:pStyle w:val="Tabletextcentred"/>
              <w:jc w:val="left"/>
            </w:pPr>
            <w:r w:rsidRPr="004E05DF">
              <w:t>Extrapolation issues</w:t>
            </w:r>
          </w:p>
        </w:tc>
        <w:tc>
          <w:tcPr>
            <w:tcW w:w="2491" w:type="pct"/>
            <w:shd w:val="clear" w:color="auto" w:fill="BFBFBF" w:themeFill="background1" w:themeFillShade="BF"/>
          </w:tcPr>
          <w:p w14:paraId="1BECBBD1" w14:textId="77777777" w:rsidR="007F6723" w:rsidRPr="004E05DF" w:rsidRDefault="007F6723" w:rsidP="00181CF8">
            <w:pPr>
              <w:pStyle w:val="Tabletextcentred"/>
              <w:jc w:val="left"/>
            </w:pPr>
          </w:p>
        </w:tc>
        <w:tc>
          <w:tcPr>
            <w:tcW w:w="1198" w:type="pct"/>
            <w:shd w:val="clear" w:color="auto" w:fill="BFBFBF" w:themeFill="background1" w:themeFillShade="BF"/>
          </w:tcPr>
          <w:p w14:paraId="63EDFC7E" w14:textId="77777777" w:rsidR="007F6723" w:rsidRPr="004E05DF" w:rsidRDefault="007F6723" w:rsidP="00181CF8">
            <w:pPr>
              <w:pStyle w:val="Tabletextcentred"/>
              <w:jc w:val="left"/>
            </w:pPr>
          </w:p>
        </w:tc>
      </w:tr>
      <w:tr w:rsidR="007F6723" w14:paraId="70491641" w14:textId="77777777" w:rsidTr="003D1597">
        <w:tc>
          <w:tcPr>
            <w:tcW w:w="1311" w:type="pct"/>
          </w:tcPr>
          <w:p w14:paraId="5AA728EF" w14:textId="77777777" w:rsidR="007F6723" w:rsidRDefault="007F6723" w:rsidP="00181CF8">
            <w:pPr>
              <w:pStyle w:val="Tabletextcentred"/>
              <w:jc w:val="left"/>
            </w:pPr>
            <w:r>
              <w:t>Duration of AD treatment</w:t>
            </w:r>
          </w:p>
        </w:tc>
        <w:tc>
          <w:tcPr>
            <w:tcW w:w="2491" w:type="pct"/>
          </w:tcPr>
          <w:p w14:paraId="59DA4F82" w14:textId="461A8D4C" w:rsidR="007F6723" w:rsidRDefault="007F6723" w:rsidP="00181CF8">
            <w:pPr>
              <w:pStyle w:val="Tabletextcentred"/>
              <w:jc w:val="left"/>
            </w:pPr>
            <w:r>
              <w:t>Since AD treatment is claimed to result in a reduction in time to disease progression, it was necessary to include the duration of treatment in the economic model so as to ensure that the treatment effect is adequately modelled/estimated</w:t>
            </w:r>
            <w:r w:rsidR="00814FA6">
              <w:t>.</w:t>
            </w:r>
          </w:p>
        </w:tc>
        <w:tc>
          <w:tcPr>
            <w:tcW w:w="1198" w:type="pct"/>
          </w:tcPr>
          <w:p w14:paraId="272923A4" w14:textId="77777777" w:rsidR="007F6723" w:rsidRPr="00884A82" w:rsidRDefault="007F6723" w:rsidP="00181CF8">
            <w:pPr>
              <w:pStyle w:val="Tabletextcentred"/>
              <w:jc w:val="left"/>
            </w:pPr>
            <w:r>
              <w:t xml:space="preserve">Section </w:t>
            </w:r>
            <w:r>
              <w:fldChar w:fldCharType="begin"/>
            </w:r>
            <w:r>
              <w:instrText xml:space="preserve"> REF _Ref278640733 \r \h </w:instrText>
            </w:r>
            <w:r>
              <w:fldChar w:fldCharType="separate"/>
            </w:r>
            <w:r w:rsidR="00C67698">
              <w:t>C.3</w:t>
            </w:r>
            <w:r>
              <w:fldChar w:fldCharType="end"/>
            </w:r>
          </w:p>
        </w:tc>
      </w:tr>
      <w:tr w:rsidR="007F6723" w14:paraId="0E198035" w14:textId="77777777" w:rsidTr="003D1597">
        <w:tc>
          <w:tcPr>
            <w:tcW w:w="1311" w:type="pct"/>
            <w:shd w:val="clear" w:color="auto" w:fill="BFBFBF" w:themeFill="background1" w:themeFillShade="BF"/>
          </w:tcPr>
          <w:p w14:paraId="3EE7A6FC" w14:textId="77777777" w:rsidR="007F6723" w:rsidRPr="004E05DF" w:rsidRDefault="007F6723" w:rsidP="00181CF8">
            <w:pPr>
              <w:pStyle w:val="Tabletextcentred"/>
              <w:jc w:val="left"/>
            </w:pPr>
            <w:r w:rsidRPr="004E05DF">
              <w:t>Transformation issues</w:t>
            </w:r>
          </w:p>
        </w:tc>
        <w:tc>
          <w:tcPr>
            <w:tcW w:w="2491" w:type="pct"/>
            <w:shd w:val="clear" w:color="auto" w:fill="BFBFBF" w:themeFill="background1" w:themeFillShade="BF"/>
          </w:tcPr>
          <w:p w14:paraId="57FDF6A0" w14:textId="77777777" w:rsidR="007F6723" w:rsidRPr="004E05DF" w:rsidRDefault="007F6723" w:rsidP="00181CF8">
            <w:pPr>
              <w:pStyle w:val="Tabletextcentred"/>
              <w:jc w:val="left"/>
            </w:pPr>
          </w:p>
        </w:tc>
        <w:tc>
          <w:tcPr>
            <w:tcW w:w="1198" w:type="pct"/>
            <w:shd w:val="clear" w:color="auto" w:fill="BFBFBF" w:themeFill="background1" w:themeFillShade="BF"/>
          </w:tcPr>
          <w:p w14:paraId="44EB333D" w14:textId="77777777" w:rsidR="007F6723" w:rsidRPr="004E05DF" w:rsidRDefault="007F6723" w:rsidP="00181CF8">
            <w:pPr>
              <w:pStyle w:val="Tabletextcentred"/>
              <w:jc w:val="left"/>
            </w:pPr>
          </w:p>
        </w:tc>
      </w:tr>
      <w:tr w:rsidR="007F6723" w14:paraId="5F770C15" w14:textId="77777777" w:rsidTr="003D1597">
        <w:tc>
          <w:tcPr>
            <w:tcW w:w="1311" w:type="pct"/>
          </w:tcPr>
          <w:p w14:paraId="03582AF4" w14:textId="77777777" w:rsidR="007F6723" w:rsidRDefault="007F6723" w:rsidP="00181CF8">
            <w:pPr>
              <w:pStyle w:val="Tabletextcentred"/>
              <w:jc w:val="left"/>
            </w:pPr>
            <w:r>
              <w:t xml:space="preserve">Modelling the natural history of AD </w:t>
            </w:r>
          </w:p>
        </w:tc>
        <w:tc>
          <w:tcPr>
            <w:tcW w:w="2491" w:type="pct"/>
          </w:tcPr>
          <w:p w14:paraId="687480DF" w14:textId="68C7593B" w:rsidR="007F6723" w:rsidRDefault="007F6723" w:rsidP="00181CF8">
            <w:pPr>
              <w:pStyle w:val="Tabletextcentred"/>
              <w:jc w:val="left"/>
            </w:pPr>
            <w:r>
              <w:t>Although the focus of the analysis is on the cost-effectiveness of diagnostic testing, it is also necessary to understand the natural history of AD as it unfolds in individuals over time and model this accordingly</w:t>
            </w:r>
            <w:r w:rsidR="00814FA6">
              <w:t>.</w:t>
            </w:r>
          </w:p>
        </w:tc>
        <w:tc>
          <w:tcPr>
            <w:tcW w:w="1198" w:type="pct"/>
          </w:tcPr>
          <w:p w14:paraId="5880C79F" w14:textId="77777777" w:rsidR="007F6723" w:rsidRPr="00884A82" w:rsidRDefault="007F6723" w:rsidP="00181CF8">
            <w:pPr>
              <w:pStyle w:val="Tabletextcentred"/>
              <w:jc w:val="left"/>
            </w:pPr>
            <w:r>
              <w:t xml:space="preserve">Section </w:t>
            </w:r>
            <w:r>
              <w:fldChar w:fldCharType="begin"/>
            </w:r>
            <w:r>
              <w:instrText xml:space="preserve"> REF _Ref278649011 \r \h </w:instrText>
            </w:r>
            <w:r>
              <w:fldChar w:fldCharType="separate"/>
            </w:r>
            <w:r w:rsidR="00C67698">
              <w:t>C.4</w:t>
            </w:r>
            <w:r>
              <w:fldChar w:fldCharType="end"/>
            </w:r>
          </w:p>
        </w:tc>
      </w:tr>
      <w:tr w:rsidR="007F6723" w14:paraId="7A18D63B" w14:textId="77777777" w:rsidTr="003D1597">
        <w:tc>
          <w:tcPr>
            <w:tcW w:w="1311" w:type="pct"/>
          </w:tcPr>
          <w:p w14:paraId="75175BFD" w14:textId="77777777" w:rsidR="007F6723" w:rsidRDefault="007F6723" w:rsidP="00181CF8">
            <w:pPr>
              <w:pStyle w:val="Tabletextcentred"/>
              <w:jc w:val="left"/>
            </w:pPr>
            <w:r>
              <w:t>Treatment effect of AD drugs</w:t>
            </w:r>
          </w:p>
        </w:tc>
        <w:tc>
          <w:tcPr>
            <w:tcW w:w="2491" w:type="pct"/>
          </w:tcPr>
          <w:p w14:paraId="1C30FB5D" w14:textId="32BE4D89" w:rsidR="007F6723" w:rsidRDefault="007F6723" w:rsidP="00181CF8">
            <w:pPr>
              <w:pStyle w:val="Tabletextcentred"/>
              <w:jc w:val="left"/>
            </w:pPr>
            <w:r>
              <w:t>In conjunction with the natural history of AD, the effect of treatment was necessary to include in the model to ensure th</w:t>
            </w:r>
            <w:r w:rsidR="007C77F5">
              <w:t>at</w:t>
            </w:r>
            <w:r>
              <w:t xml:space="preserve"> any impact treatment may have on survival and QoL is adequately captured in the assessment of the cost-effectiveness of diagnostic testing</w:t>
            </w:r>
            <w:r w:rsidR="00814FA6">
              <w:t>.</w:t>
            </w:r>
          </w:p>
        </w:tc>
        <w:tc>
          <w:tcPr>
            <w:tcW w:w="1198" w:type="pct"/>
          </w:tcPr>
          <w:p w14:paraId="1E27DB68" w14:textId="77777777" w:rsidR="007F6723" w:rsidRPr="00884A82" w:rsidRDefault="007F6723" w:rsidP="00181CF8">
            <w:pPr>
              <w:pStyle w:val="Tabletextcentred"/>
              <w:jc w:val="left"/>
            </w:pPr>
            <w:r>
              <w:t xml:space="preserve">Section </w:t>
            </w:r>
            <w:r>
              <w:fldChar w:fldCharType="begin"/>
            </w:r>
            <w:r>
              <w:instrText xml:space="preserve"> REF _Ref278649120 \r \h </w:instrText>
            </w:r>
            <w:r>
              <w:fldChar w:fldCharType="separate"/>
            </w:r>
            <w:r w:rsidR="00C67698">
              <w:t>C.5</w:t>
            </w:r>
            <w:r>
              <w:fldChar w:fldCharType="end"/>
            </w:r>
          </w:p>
        </w:tc>
      </w:tr>
      <w:tr w:rsidR="007F6723" w14:paraId="622F1D82" w14:textId="77777777" w:rsidTr="003D1597">
        <w:tc>
          <w:tcPr>
            <w:tcW w:w="1311" w:type="pct"/>
          </w:tcPr>
          <w:p w14:paraId="25DF9124" w14:textId="77777777" w:rsidR="007F6723" w:rsidRDefault="007F6723" w:rsidP="00181CF8">
            <w:pPr>
              <w:pStyle w:val="Tabletextcentred"/>
              <w:jc w:val="left"/>
            </w:pPr>
            <w:r>
              <w:t>Utility weights applied to the economic model</w:t>
            </w:r>
          </w:p>
        </w:tc>
        <w:tc>
          <w:tcPr>
            <w:tcW w:w="2491" w:type="pct"/>
          </w:tcPr>
          <w:p w14:paraId="0CCFE7BA" w14:textId="48CA0CAA" w:rsidR="007F6723" w:rsidRDefault="007F6723" w:rsidP="00181CF8">
            <w:pPr>
              <w:pStyle w:val="Tabletextcentred"/>
              <w:jc w:val="left"/>
            </w:pPr>
            <w:r>
              <w:t>To undertake the cost-utility modelling presented in Section D, it was necessary to source utility weights to be applied to the health states included in the economic model. As discussed, these needed to account for disease severity and residential status (i.e. community or nursing home) of individuals with AD</w:t>
            </w:r>
            <w:r w:rsidR="00814FA6">
              <w:t>.</w:t>
            </w:r>
          </w:p>
        </w:tc>
        <w:tc>
          <w:tcPr>
            <w:tcW w:w="1198" w:type="pct"/>
          </w:tcPr>
          <w:p w14:paraId="1EF96F4A" w14:textId="77777777" w:rsidR="007F6723" w:rsidRDefault="007F6723" w:rsidP="00181CF8">
            <w:pPr>
              <w:pStyle w:val="Tabletextcentred"/>
              <w:jc w:val="left"/>
            </w:pPr>
            <w:r>
              <w:t xml:space="preserve">Section </w:t>
            </w:r>
            <w:r>
              <w:fldChar w:fldCharType="begin"/>
            </w:r>
            <w:r>
              <w:instrText xml:space="preserve"> REF _Ref278640902 \r \h </w:instrText>
            </w:r>
            <w:r>
              <w:fldChar w:fldCharType="separate"/>
            </w:r>
            <w:r w:rsidR="00C67698">
              <w:t>C.6</w:t>
            </w:r>
            <w:r>
              <w:fldChar w:fldCharType="end"/>
            </w:r>
          </w:p>
        </w:tc>
      </w:tr>
      <w:tr w:rsidR="007F6723" w14:paraId="7827A6E0" w14:textId="77777777" w:rsidTr="003D1597">
        <w:tc>
          <w:tcPr>
            <w:tcW w:w="1311" w:type="pct"/>
          </w:tcPr>
          <w:p w14:paraId="448BE3D6" w14:textId="77777777" w:rsidR="007F6723" w:rsidRDefault="007F6723" w:rsidP="00181CF8">
            <w:pPr>
              <w:pStyle w:val="Tabletextcentred"/>
              <w:jc w:val="left"/>
            </w:pPr>
            <w:r>
              <w:t>Healthcare resource use and associated costs</w:t>
            </w:r>
          </w:p>
        </w:tc>
        <w:tc>
          <w:tcPr>
            <w:tcW w:w="2491" w:type="pct"/>
          </w:tcPr>
          <w:p w14:paraId="45B059E4" w14:textId="77FE43E5" w:rsidR="007F6723" w:rsidRDefault="007F6723" w:rsidP="00181CF8">
            <w:pPr>
              <w:pStyle w:val="Tabletextcentred"/>
              <w:jc w:val="left"/>
            </w:pPr>
            <w:r>
              <w:t>The economic model required AD drug treatment and other costs associated with AD-related care to be applied to a range of included health states. It was necessary to source and, in some cases, calculate these from published sources</w:t>
            </w:r>
            <w:r w:rsidR="00814FA6">
              <w:t>.</w:t>
            </w:r>
          </w:p>
        </w:tc>
        <w:tc>
          <w:tcPr>
            <w:tcW w:w="1198" w:type="pct"/>
          </w:tcPr>
          <w:p w14:paraId="445CF98C" w14:textId="341625BC" w:rsidR="007F6723" w:rsidRDefault="007F6723" w:rsidP="00181CF8">
            <w:pPr>
              <w:pStyle w:val="Tabletextcentred"/>
              <w:jc w:val="left"/>
            </w:pPr>
            <w:r>
              <w:t xml:space="preserve">Section </w:t>
            </w:r>
            <w:r>
              <w:fldChar w:fldCharType="begin"/>
            </w:r>
            <w:r>
              <w:instrText xml:space="preserve"> REF _Ref278641068 \r \h </w:instrText>
            </w:r>
            <w:r>
              <w:fldChar w:fldCharType="separate"/>
            </w:r>
            <w:r w:rsidR="00C67698">
              <w:t>C.7</w:t>
            </w:r>
            <w:r>
              <w:fldChar w:fldCharType="end"/>
            </w:r>
            <w:r w:rsidR="00903AED">
              <w:t xml:space="preserve"> (drug costs);</w:t>
            </w:r>
          </w:p>
          <w:p w14:paraId="113D268B" w14:textId="2DA43A06" w:rsidR="007F6723" w:rsidRDefault="00903AED" w:rsidP="00181CF8">
            <w:pPr>
              <w:pStyle w:val="Tabletextcentred"/>
              <w:jc w:val="left"/>
            </w:pPr>
            <w:r>
              <w:t>and</w:t>
            </w:r>
          </w:p>
          <w:p w14:paraId="71FC53CC" w14:textId="77777777" w:rsidR="007F6723" w:rsidRDefault="007F6723" w:rsidP="00181CF8">
            <w:pPr>
              <w:pStyle w:val="Tabletextcentred"/>
              <w:jc w:val="left"/>
            </w:pPr>
            <w:r>
              <w:t xml:space="preserve">Section </w:t>
            </w:r>
            <w:r>
              <w:fldChar w:fldCharType="begin"/>
            </w:r>
            <w:r>
              <w:instrText xml:space="preserve"> REF _Ref278641170 \r \h </w:instrText>
            </w:r>
            <w:r>
              <w:fldChar w:fldCharType="separate"/>
            </w:r>
            <w:r w:rsidR="00C67698">
              <w:t>C.8</w:t>
            </w:r>
            <w:r>
              <w:fldChar w:fldCharType="end"/>
            </w:r>
            <w:r>
              <w:t xml:space="preserve"> (costs related to the residential status of individuals with AD and ongoing management for those in community care/on treatment)</w:t>
            </w:r>
          </w:p>
        </w:tc>
      </w:tr>
      <w:tr w:rsidR="007F6723" w14:paraId="19558E55" w14:textId="77777777" w:rsidTr="003D1597">
        <w:tc>
          <w:tcPr>
            <w:tcW w:w="1311" w:type="pct"/>
          </w:tcPr>
          <w:p w14:paraId="2439E3A0" w14:textId="77777777" w:rsidR="007F6723" w:rsidRDefault="007F6723" w:rsidP="003D1597">
            <w:pPr>
              <w:pStyle w:val="Tabletextcentred"/>
              <w:keepNext/>
              <w:jc w:val="left"/>
            </w:pPr>
            <w:r>
              <w:lastRenderedPageBreak/>
              <w:t>Diagnostic accuracy</w:t>
            </w:r>
          </w:p>
        </w:tc>
        <w:tc>
          <w:tcPr>
            <w:tcW w:w="2491" w:type="pct"/>
          </w:tcPr>
          <w:p w14:paraId="5BDE3B87" w14:textId="707F8EEA" w:rsidR="007F6723" w:rsidRDefault="007F6723" w:rsidP="003D1597">
            <w:pPr>
              <w:pStyle w:val="Tabletextcentred"/>
              <w:keepNext/>
              <w:jc w:val="left"/>
            </w:pPr>
            <w:r>
              <w:t>The diagnostic accuracy of FDG-PET and SPECT play a key role in the incremental cost-effectiveness of FDG-PET. Although discussed comprehensively in Section B, key data are repeated here for transparency</w:t>
            </w:r>
            <w:r w:rsidR="00814FA6">
              <w:t>.</w:t>
            </w:r>
          </w:p>
        </w:tc>
        <w:tc>
          <w:tcPr>
            <w:tcW w:w="1198" w:type="pct"/>
          </w:tcPr>
          <w:p w14:paraId="779E920A" w14:textId="77777777" w:rsidR="007F6723" w:rsidRDefault="007F6723" w:rsidP="003D1597">
            <w:pPr>
              <w:pStyle w:val="Tabletextcentred"/>
              <w:keepNext/>
              <w:jc w:val="left"/>
            </w:pPr>
            <w:r>
              <w:t xml:space="preserve">Section </w:t>
            </w:r>
            <w:r>
              <w:fldChar w:fldCharType="begin"/>
            </w:r>
            <w:r>
              <w:instrText xml:space="preserve"> REF _Ref278789397 \r \h </w:instrText>
            </w:r>
            <w:r>
              <w:fldChar w:fldCharType="separate"/>
            </w:r>
            <w:r w:rsidR="00C67698">
              <w:t>C.9</w:t>
            </w:r>
            <w:r>
              <w:fldChar w:fldCharType="end"/>
            </w:r>
          </w:p>
        </w:tc>
      </w:tr>
    </w:tbl>
    <w:p w14:paraId="024220BC" w14:textId="6B4F673A" w:rsidR="007F6723" w:rsidRDefault="007F6723" w:rsidP="007F6723">
      <w:pPr>
        <w:pStyle w:val="Tablefootnotes"/>
      </w:pPr>
      <w:r w:rsidRPr="00F94D4D">
        <w:t>Abbreviations</w:t>
      </w:r>
      <w:r>
        <w:t>: AD, Alzheimer’s disease; FDG-PET, flu</w:t>
      </w:r>
      <w:r w:rsidR="008F0DD0">
        <w:t>o</w:t>
      </w:r>
      <w:r>
        <w:t>rodeoxyglucose positron emission tomography; SPECT, single-photon emission tomography</w:t>
      </w:r>
    </w:p>
    <w:p w14:paraId="3DEE7535" w14:textId="77777777" w:rsidR="007F6723" w:rsidRDefault="007F6723" w:rsidP="007F6723">
      <w:pPr>
        <w:pStyle w:val="Heading2"/>
      </w:pPr>
      <w:bookmarkStart w:id="147" w:name="_Ref278790800"/>
      <w:bookmarkStart w:id="148" w:name="_Toc406172426"/>
      <w:bookmarkStart w:id="149" w:name="_Toc408845170"/>
      <w:bookmarkStart w:id="150" w:name="_Ref278640477"/>
      <w:bookmarkStart w:id="151" w:name="_Ref278627078"/>
      <w:r>
        <w:t>Issue 1: Population and circumstances of use</w:t>
      </w:r>
      <w:bookmarkEnd w:id="147"/>
      <w:bookmarkEnd w:id="148"/>
      <w:bookmarkEnd w:id="149"/>
    </w:p>
    <w:p w14:paraId="001352D8" w14:textId="6BEEA3D6" w:rsidR="007F6723" w:rsidRPr="0062773E" w:rsidRDefault="007F6723" w:rsidP="007F6723">
      <w:r>
        <w:t xml:space="preserve">As discussed </w:t>
      </w:r>
      <w:r w:rsidRPr="00903AED">
        <w:t xml:space="preserve">in </w:t>
      </w:r>
      <w:r w:rsidR="00903AED" w:rsidRPr="00903AED">
        <w:t>Section B</w:t>
      </w:r>
      <w:r w:rsidRPr="00903AED">
        <w:t xml:space="preserve">, existing publications </w:t>
      </w:r>
      <w:r w:rsidR="00F862E9" w:rsidRPr="00903AED">
        <w:t xml:space="preserve">relating to the use of FDG-PET and SPECT for the diagnosis of AD </w:t>
      </w:r>
      <w:r w:rsidRPr="00903AED">
        <w:t>are not well-matched in</w:t>
      </w:r>
      <w:r>
        <w:t xml:space="preserve"> terms of the population of the requested MBS listing. Nonetheless, the link between the population of the requested listing and the economic model presented in Section D is discussed in the section below.</w:t>
      </w:r>
    </w:p>
    <w:p w14:paraId="005DD1C2" w14:textId="77777777" w:rsidR="007F6723" w:rsidRDefault="007F6723" w:rsidP="007F6723">
      <w:pPr>
        <w:pStyle w:val="Heading3"/>
      </w:pPr>
      <w:r>
        <w:t>Focused analytical plan</w:t>
      </w:r>
    </w:p>
    <w:p w14:paraId="2A44B62D" w14:textId="77777777" w:rsidR="007F6723" w:rsidRDefault="007F6723" w:rsidP="007F6723">
      <w:pPr>
        <w:spacing w:after="120"/>
      </w:pPr>
      <w:r>
        <w:t>To compare the population and the circumstances of use in the economic model presented in Section D with the requested listing described in Section A, the following factors were considered:</w:t>
      </w:r>
    </w:p>
    <w:p w14:paraId="290DB469" w14:textId="77777777" w:rsidR="007F6723" w:rsidRDefault="007F6723" w:rsidP="007F6723">
      <w:pPr>
        <w:pStyle w:val="Bulletpoints"/>
        <w:spacing w:before="120" w:line="240" w:lineRule="auto"/>
        <w:ind w:left="1434" w:hanging="357"/>
      </w:pPr>
      <w:r>
        <w:t>age</w:t>
      </w:r>
    </w:p>
    <w:p w14:paraId="0DCED951" w14:textId="77777777" w:rsidR="007F6723" w:rsidRDefault="007F6723" w:rsidP="007F6723">
      <w:pPr>
        <w:pStyle w:val="Bulletpoints"/>
        <w:spacing w:before="120" w:line="240" w:lineRule="auto"/>
        <w:ind w:left="1434" w:hanging="357"/>
      </w:pPr>
      <w:r>
        <w:t>gender</w:t>
      </w:r>
    </w:p>
    <w:p w14:paraId="1AFD8768" w14:textId="77777777" w:rsidR="007F6723" w:rsidRPr="0062773E" w:rsidRDefault="007F6723" w:rsidP="007F6723">
      <w:pPr>
        <w:pStyle w:val="Bulletpoints"/>
        <w:spacing w:before="120" w:line="240" w:lineRule="auto"/>
        <w:ind w:left="1434" w:hanging="357"/>
      </w:pPr>
      <w:r>
        <w:t>disease severity</w:t>
      </w:r>
    </w:p>
    <w:p w14:paraId="0B40651F" w14:textId="77777777" w:rsidR="007F6723" w:rsidRDefault="007F6723" w:rsidP="007F6723">
      <w:pPr>
        <w:pStyle w:val="Bulletpoints"/>
        <w:spacing w:before="120" w:line="240" w:lineRule="auto"/>
        <w:ind w:left="1434" w:hanging="357"/>
      </w:pPr>
      <w:r>
        <w:t>residential status of individuals receiving diagnostic testing</w:t>
      </w:r>
    </w:p>
    <w:p w14:paraId="4073FC8D" w14:textId="77777777" w:rsidR="007F6723" w:rsidRDefault="007F6723" w:rsidP="007F6723">
      <w:pPr>
        <w:pStyle w:val="Bulletpoints"/>
        <w:spacing w:before="120" w:line="240" w:lineRule="auto"/>
        <w:ind w:left="1434" w:hanging="357"/>
      </w:pPr>
      <w:r>
        <w:t>exclusion criteria</w:t>
      </w:r>
    </w:p>
    <w:p w14:paraId="3CAC8018" w14:textId="77777777" w:rsidR="007F6723" w:rsidRDefault="007F6723" w:rsidP="007F6723">
      <w:pPr>
        <w:pStyle w:val="Heading3"/>
      </w:pPr>
      <w:r>
        <w:t>Results of the pre-modelling study</w:t>
      </w:r>
    </w:p>
    <w:p w14:paraId="40BAEE83" w14:textId="44E44199" w:rsidR="007F6723" w:rsidRDefault="007F6723" w:rsidP="007F6723">
      <w:r>
        <w:fldChar w:fldCharType="begin"/>
      </w:r>
      <w:r>
        <w:instrText xml:space="preserve"> REF _Ref278787826 \h </w:instrText>
      </w:r>
      <w:r>
        <w:fldChar w:fldCharType="separate"/>
      </w:r>
      <w:r w:rsidR="00C67698">
        <w:t xml:space="preserve">Table </w:t>
      </w:r>
      <w:r w:rsidR="00C67698">
        <w:rPr>
          <w:noProof/>
        </w:rPr>
        <w:t>C.2</w:t>
      </w:r>
      <w:r w:rsidR="00C67698">
        <w:noBreakHyphen/>
      </w:r>
      <w:r w:rsidR="00C67698">
        <w:rPr>
          <w:noProof/>
        </w:rPr>
        <w:t>1</w:t>
      </w:r>
      <w:r>
        <w:fldChar w:fldCharType="end"/>
      </w:r>
      <w:r w:rsidR="00FF3E70">
        <w:t xml:space="preserve"> </w:t>
      </w:r>
      <w:r>
        <w:t>compares the key features of the requested listing and the population/ circumstances of use applied to the economic model presented in Section D.</w:t>
      </w:r>
    </w:p>
    <w:p w14:paraId="5E5CF09A" w14:textId="07C81BFA" w:rsidR="007F6723" w:rsidRDefault="007F6723" w:rsidP="007F6723">
      <w:pPr>
        <w:pStyle w:val="Caption"/>
      </w:pPr>
      <w:bookmarkStart w:id="152" w:name="_Ref278787826"/>
      <w:bookmarkStart w:id="153" w:name="_Toc406172469"/>
      <w:bookmarkStart w:id="154" w:name="_Toc408845225"/>
      <w:r>
        <w:t xml:space="preserve">Table </w:t>
      </w:r>
      <w:fldSimple w:instr=" STYLEREF 2 \s ">
        <w:r w:rsidR="00C67698">
          <w:rPr>
            <w:noProof/>
          </w:rPr>
          <w:t>C.2</w:t>
        </w:r>
      </w:fldSimple>
      <w:r w:rsidR="00524916">
        <w:noBreakHyphen/>
      </w:r>
      <w:fldSimple w:instr=" SEQ Table \* ARABIC \s 2 ">
        <w:r w:rsidR="00C67698">
          <w:rPr>
            <w:noProof/>
          </w:rPr>
          <w:t>1</w:t>
        </w:r>
      </w:fldSimple>
      <w:bookmarkEnd w:id="152"/>
      <w:r>
        <w:tab/>
        <w:t>Population and circumstances of use</w:t>
      </w:r>
      <w:bookmarkEnd w:id="153"/>
      <w:bookmarkEnd w:id="154"/>
    </w:p>
    <w:tbl>
      <w:tblPr>
        <w:tblStyle w:val="TableGrid"/>
        <w:tblW w:w="4619" w:type="pct"/>
        <w:tblInd w:w="704" w:type="dxa"/>
        <w:tblLayout w:type="fixed"/>
        <w:tblLook w:val="04A0" w:firstRow="1" w:lastRow="0" w:firstColumn="1" w:lastColumn="0" w:noHBand="0" w:noVBand="1"/>
        <w:tblCaption w:val="Population and circumstances of use"/>
        <w:tblDescription w:val="a comparison of the key features of the requested listing and the population/circumstances of use applied to the economic model."/>
      </w:tblPr>
      <w:tblGrid>
        <w:gridCol w:w="1248"/>
        <w:gridCol w:w="1843"/>
        <w:gridCol w:w="2693"/>
        <w:gridCol w:w="2754"/>
      </w:tblGrid>
      <w:tr w:rsidR="007F6723" w14:paraId="65135FDE" w14:textId="77777777" w:rsidTr="003D1597">
        <w:trPr>
          <w:tblHeader/>
        </w:trPr>
        <w:tc>
          <w:tcPr>
            <w:tcW w:w="730" w:type="pct"/>
          </w:tcPr>
          <w:p w14:paraId="2E873C0F" w14:textId="77777777" w:rsidR="007F6723" w:rsidRDefault="007F6723" w:rsidP="00181CF8">
            <w:pPr>
              <w:pStyle w:val="Tabletextboldleft"/>
            </w:pPr>
            <w:r>
              <w:t>Translation issue</w:t>
            </w:r>
          </w:p>
        </w:tc>
        <w:tc>
          <w:tcPr>
            <w:tcW w:w="1079" w:type="pct"/>
          </w:tcPr>
          <w:p w14:paraId="1517C572" w14:textId="77777777" w:rsidR="007F6723" w:rsidRDefault="007F6723" w:rsidP="00181CF8">
            <w:pPr>
              <w:pStyle w:val="Tabletextboldleft"/>
            </w:pPr>
            <w:r>
              <w:t>Population targeted on the MBS</w:t>
            </w:r>
          </w:p>
        </w:tc>
        <w:tc>
          <w:tcPr>
            <w:tcW w:w="1577" w:type="pct"/>
          </w:tcPr>
          <w:p w14:paraId="4BFE7085" w14:textId="77777777" w:rsidR="007F6723" w:rsidRDefault="007F6723" w:rsidP="00181CF8">
            <w:pPr>
              <w:pStyle w:val="Tabletextboldleft"/>
            </w:pPr>
            <w:r>
              <w:t>Section C population applied to the economic model</w:t>
            </w:r>
          </w:p>
        </w:tc>
        <w:tc>
          <w:tcPr>
            <w:tcW w:w="1613" w:type="pct"/>
          </w:tcPr>
          <w:p w14:paraId="7B2F6A71" w14:textId="77777777" w:rsidR="007F6723" w:rsidRDefault="007F6723" w:rsidP="00181CF8">
            <w:pPr>
              <w:pStyle w:val="Tabletextboldleft"/>
            </w:pPr>
            <w:r>
              <w:t>Comment</w:t>
            </w:r>
          </w:p>
        </w:tc>
      </w:tr>
      <w:tr w:rsidR="007F6723" w14:paraId="1CA9BF42" w14:textId="77777777" w:rsidTr="003D1597">
        <w:tc>
          <w:tcPr>
            <w:tcW w:w="730" w:type="pct"/>
          </w:tcPr>
          <w:p w14:paraId="3351BA5D" w14:textId="77777777" w:rsidR="007F6723" w:rsidRDefault="007F6723" w:rsidP="00181CF8">
            <w:pPr>
              <w:pStyle w:val="Tabletextcentred"/>
              <w:jc w:val="left"/>
            </w:pPr>
            <w:r>
              <w:t>Age</w:t>
            </w:r>
          </w:p>
        </w:tc>
        <w:tc>
          <w:tcPr>
            <w:tcW w:w="1079" w:type="pct"/>
          </w:tcPr>
          <w:p w14:paraId="61675F25" w14:textId="77777777" w:rsidR="007F6723" w:rsidRDefault="007F6723" w:rsidP="00181CF8">
            <w:pPr>
              <w:pStyle w:val="Tabletextcentred"/>
              <w:jc w:val="left"/>
            </w:pPr>
            <w:r>
              <w:t>No restriction applied</w:t>
            </w:r>
          </w:p>
        </w:tc>
        <w:tc>
          <w:tcPr>
            <w:tcW w:w="1577" w:type="pct"/>
          </w:tcPr>
          <w:p w14:paraId="55B9F4B8" w14:textId="77777777" w:rsidR="007F6723" w:rsidRDefault="007F6723" w:rsidP="00181CF8">
            <w:pPr>
              <w:pStyle w:val="Tabletextcentred"/>
              <w:jc w:val="left"/>
            </w:pPr>
            <w:r>
              <w:t xml:space="preserve">Baseline age of 72.4 years of age at the beginning of the model (Wood et al, 2010) </w:t>
            </w:r>
          </w:p>
        </w:tc>
        <w:tc>
          <w:tcPr>
            <w:tcW w:w="1613" w:type="pct"/>
          </w:tcPr>
          <w:p w14:paraId="59EE0E5C" w14:textId="77777777" w:rsidR="007F6723" w:rsidRPr="00884A82" w:rsidRDefault="007F6723" w:rsidP="00181CF8">
            <w:pPr>
              <w:pStyle w:val="Tabletextcentred"/>
              <w:jc w:val="left"/>
            </w:pPr>
            <w:r>
              <w:t xml:space="preserve">According to the AIHW (2012), in 2011 74% of Australians with dementia were aged 75 years or over. Information regarding age at diagnosis was not available, and so no data to inform the </w:t>
            </w:r>
            <w:r w:rsidRPr="00021656">
              <w:t xml:space="preserve">appropriate age for </w:t>
            </w:r>
            <w:r>
              <w:t>FDG-PET</w:t>
            </w:r>
            <w:r w:rsidRPr="00021656">
              <w:t>/SPECT testing was available. The impact of baseline age is tested in sensitivity analyses presented in Section D.6</w:t>
            </w:r>
            <w:r>
              <w:t>.</w:t>
            </w:r>
          </w:p>
        </w:tc>
      </w:tr>
      <w:tr w:rsidR="007F6723" w14:paraId="1908948D" w14:textId="77777777" w:rsidTr="003D1597">
        <w:tc>
          <w:tcPr>
            <w:tcW w:w="730" w:type="pct"/>
          </w:tcPr>
          <w:p w14:paraId="371B06AB" w14:textId="77777777" w:rsidR="007F6723" w:rsidRDefault="007F6723" w:rsidP="00181CF8">
            <w:pPr>
              <w:pStyle w:val="Tabletextcentred"/>
              <w:jc w:val="left"/>
            </w:pPr>
            <w:r>
              <w:t>Gender</w:t>
            </w:r>
          </w:p>
        </w:tc>
        <w:tc>
          <w:tcPr>
            <w:tcW w:w="1079" w:type="pct"/>
          </w:tcPr>
          <w:p w14:paraId="22DB90BC" w14:textId="77777777" w:rsidR="007F6723" w:rsidRDefault="007F6723" w:rsidP="00181CF8">
            <w:pPr>
              <w:pStyle w:val="Tabletextcentred"/>
              <w:jc w:val="left"/>
            </w:pPr>
            <w:r>
              <w:t>No restriction applied</w:t>
            </w:r>
          </w:p>
        </w:tc>
        <w:tc>
          <w:tcPr>
            <w:tcW w:w="1577" w:type="pct"/>
          </w:tcPr>
          <w:p w14:paraId="5C4C4221" w14:textId="77777777" w:rsidR="007F6723" w:rsidRDefault="007F6723" w:rsidP="00181CF8">
            <w:pPr>
              <w:pStyle w:val="Tabletextcentred"/>
              <w:jc w:val="left"/>
            </w:pPr>
            <w:r>
              <w:t>Gender was distributed in the model such that 61.98% of the cohort were female (calculated from Table 2.2 of AHIW, 2012)</w:t>
            </w:r>
          </w:p>
        </w:tc>
        <w:tc>
          <w:tcPr>
            <w:tcW w:w="1613" w:type="pct"/>
          </w:tcPr>
          <w:p w14:paraId="7491D0EA" w14:textId="77777777" w:rsidR="007F6723" w:rsidRPr="00021656" w:rsidRDefault="007F6723" w:rsidP="00181CF8">
            <w:pPr>
              <w:pStyle w:val="Tabletextcentred"/>
              <w:jc w:val="left"/>
            </w:pPr>
            <w:r w:rsidRPr="00021656">
              <w:t>The AIHW data reflect the prevalent population, rather than the population seeking screening. Since females have higher life expectancy, there is the possibility that the data used overestimate the proportion of females undergoing diagnostic testing. As such, the impact of this is tested is sensitivity analyses</w:t>
            </w:r>
            <w:r>
              <w:t>.</w:t>
            </w:r>
          </w:p>
        </w:tc>
      </w:tr>
      <w:tr w:rsidR="007F6723" w14:paraId="19D0CBC5" w14:textId="77777777" w:rsidTr="003D1597">
        <w:tc>
          <w:tcPr>
            <w:tcW w:w="730" w:type="pct"/>
          </w:tcPr>
          <w:p w14:paraId="4066F2A3" w14:textId="77777777" w:rsidR="007F6723" w:rsidRDefault="007F6723" w:rsidP="003D1597">
            <w:pPr>
              <w:pStyle w:val="Tabletextcentred"/>
              <w:keepNext/>
              <w:jc w:val="left"/>
            </w:pPr>
            <w:r>
              <w:lastRenderedPageBreak/>
              <w:t>Disease severity</w:t>
            </w:r>
          </w:p>
        </w:tc>
        <w:tc>
          <w:tcPr>
            <w:tcW w:w="1079" w:type="pct"/>
          </w:tcPr>
          <w:p w14:paraId="48772358" w14:textId="77777777" w:rsidR="007F6723" w:rsidRDefault="007F6723" w:rsidP="003D1597">
            <w:pPr>
              <w:pStyle w:val="Tabletextcentred"/>
              <w:keepNext/>
              <w:jc w:val="left"/>
            </w:pPr>
            <w:r>
              <w:t>No restriction applied</w:t>
            </w:r>
          </w:p>
        </w:tc>
        <w:tc>
          <w:tcPr>
            <w:tcW w:w="1577" w:type="pct"/>
          </w:tcPr>
          <w:p w14:paraId="1D93AF6D" w14:textId="77777777" w:rsidR="007F6723" w:rsidRDefault="007F6723" w:rsidP="003D1597">
            <w:pPr>
              <w:pStyle w:val="Tabletextcentred"/>
              <w:keepNext/>
              <w:jc w:val="left"/>
            </w:pPr>
            <w:r>
              <w:t>The economic model assumed that individuals undergoing diagnostic testing have either no AD, mild AD or moderate AD; patients with severe AD were not considered in the model</w:t>
            </w:r>
          </w:p>
        </w:tc>
        <w:tc>
          <w:tcPr>
            <w:tcW w:w="1613" w:type="pct"/>
          </w:tcPr>
          <w:p w14:paraId="45BDB4E0" w14:textId="77777777" w:rsidR="007F6723" w:rsidRPr="00884A82" w:rsidRDefault="007F6723" w:rsidP="003D1597">
            <w:pPr>
              <w:pStyle w:val="Tabletextcentred"/>
              <w:keepNext/>
              <w:jc w:val="left"/>
            </w:pPr>
            <w:r>
              <w:t>Individuals with severe AD would be past the diagnosis stage or could be diagnosed using standard diagnostic tests rather than functional imaging. Severe AD was included in the model only after disease progression.</w:t>
            </w:r>
          </w:p>
        </w:tc>
      </w:tr>
      <w:tr w:rsidR="007F6723" w14:paraId="5620931E" w14:textId="77777777" w:rsidTr="003D1597">
        <w:tc>
          <w:tcPr>
            <w:tcW w:w="730" w:type="pct"/>
          </w:tcPr>
          <w:p w14:paraId="7A260899" w14:textId="77777777" w:rsidR="007F6723" w:rsidRDefault="007F6723" w:rsidP="00181CF8">
            <w:pPr>
              <w:pStyle w:val="Tabletextcentred"/>
              <w:jc w:val="left"/>
            </w:pPr>
            <w:r>
              <w:t>Residential status</w:t>
            </w:r>
          </w:p>
        </w:tc>
        <w:tc>
          <w:tcPr>
            <w:tcW w:w="1079" w:type="pct"/>
          </w:tcPr>
          <w:p w14:paraId="2024D317" w14:textId="77777777" w:rsidR="007F6723" w:rsidRDefault="007F6723" w:rsidP="00181CF8">
            <w:pPr>
              <w:pStyle w:val="Tabletextcentred"/>
              <w:jc w:val="left"/>
            </w:pPr>
            <w:r>
              <w:t>No restriction applied</w:t>
            </w:r>
          </w:p>
        </w:tc>
        <w:tc>
          <w:tcPr>
            <w:tcW w:w="1577" w:type="pct"/>
          </w:tcPr>
          <w:p w14:paraId="3FC2D66C" w14:textId="3A08862D" w:rsidR="007F6723" w:rsidRDefault="007F6723" w:rsidP="00550781">
            <w:pPr>
              <w:pStyle w:val="Tabletextcentred"/>
              <w:jc w:val="left"/>
            </w:pPr>
            <w:r>
              <w:t>The model assumed that individuals undergoing diagnostic testing would be in the community setting</w:t>
            </w:r>
          </w:p>
        </w:tc>
        <w:tc>
          <w:tcPr>
            <w:tcW w:w="1613" w:type="pct"/>
          </w:tcPr>
          <w:p w14:paraId="30A8C880" w14:textId="77777777" w:rsidR="007F6723" w:rsidRDefault="007F6723" w:rsidP="00181CF8">
            <w:pPr>
              <w:pStyle w:val="Tabletextcentred"/>
              <w:jc w:val="left"/>
            </w:pPr>
          </w:p>
        </w:tc>
      </w:tr>
      <w:tr w:rsidR="007F6723" w14:paraId="41772C1C" w14:textId="77777777" w:rsidTr="003D1597">
        <w:tc>
          <w:tcPr>
            <w:tcW w:w="730" w:type="pct"/>
          </w:tcPr>
          <w:p w14:paraId="3AB8BDB7" w14:textId="77777777" w:rsidR="007F6723" w:rsidRDefault="007F6723" w:rsidP="00181CF8">
            <w:pPr>
              <w:pStyle w:val="Tabletextcentred"/>
              <w:jc w:val="left"/>
            </w:pPr>
            <w:r>
              <w:t>Exclusion criteria</w:t>
            </w:r>
          </w:p>
        </w:tc>
        <w:tc>
          <w:tcPr>
            <w:tcW w:w="1079" w:type="pct"/>
          </w:tcPr>
          <w:p w14:paraId="5C52EAD3" w14:textId="055B39D2" w:rsidR="007F6723" w:rsidRDefault="007F6723" w:rsidP="00EF0FA6">
            <w:pPr>
              <w:pStyle w:val="Tabletextcentred"/>
              <w:jc w:val="left"/>
            </w:pPr>
            <w:r>
              <w:t>None of note</w:t>
            </w:r>
            <w:r w:rsidR="00EF0FA6">
              <w:t>. Diagnostic testing is available to eligible individuals on the basis of suspected AD and previous inconclusive tests.</w:t>
            </w:r>
          </w:p>
        </w:tc>
        <w:tc>
          <w:tcPr>
            <w:tcW w:w="1577" w:type="pct"/>
          </w:tcPr>
          <w:p w14:paraId="74077638" w14:textId="77777777" w:rsidR="007F6723" w:rsidRDefault="007F6723" w:rsidP="00181CF8">
            <w:pPr>
              <w:pStyle w:val="Tabletextcentred"/>
              <w:jc w:val="left"/>
            </w:pPr>
            <w:r>
              <w:t>None</w:t>
            </w:r>
          </w:p>
        </w:tc>
        <w:tc>
          <w:tcPr>
            <w:tcW w:w="1613" w:type="pct"/>
          </w:tcPr>
          <w:p w14:paraId="5D4F2CD1" w14:textId="77777777" w:rsidR="007F6723" w:rsidRDefault="007F6723" w:rsidP="00181CF8">
            <w:pPr>
              <w:pStyle w:val="Tabletextcentred"/>
              <w:jc w:val="left"/>
            </w:pPr>
            <w:r>
              <w:t>Exclusion criteria were not explicitly considered in the economic evaluation.</w:t>
            </w:r>
          </w:p>
        </w:tc>
      </w:tr>
    </w:tbl>
    <w:p w14:paraId="13E41461" w14:textId="59D54A13" w:rsidR="007F6723" w:rsidRPr="0062773E" w:rsidRDefault="007F6723" w:rsidP="007F6723">
      <w:pPr>
        <w:pStyle w:val="Tablefootnotes"/>
      </w:pPr>
      <w:r w:rsidRPr="00F94D4D">
        <w:t>Abbreviations</w:t>
      </w:r>
      <w:r>
        <w:t>: AD, Alzheimer’s disease; AIHW, Australian Institute of Health and Welfare; FDG-PET, flu</w:t>
      </w:r>
      <w:r w:rsidR="0038452F">
        <w:t>o</w:t>
      </w:r>
      <w:r>
        <w:t>rodeoxyglucose positron emission tomography; SPECT, single-photon emission tomography</w:t>
      </w:r>
    </w:p>
    <w:p w14:paraId="2FEE776D" w14:textId="77777777" w:rsidR="007F6723" w:rsidRDefault="007F6723" w:rsidP="007F6723">
      <w:pPr>
        <w:pStyle w:val="Heading3"/>
      </w:pPr>
      <w:r>
        <w:t>Relationship of the pre-modelling study to the economic evaluation</w:t>
      </w:r>
    </w:p>
    <w:p w14:paraId="6A684E30" w14:textId="7A09C9D8" w:rsidR="007F6723" w:rsidRDefault="007F6723" w:rsidP="007F6723">
      <w:r>
        <w:t xml:space="preserve">The economic evaluation presented in Section D was designed with the factors presented above in mind. This is further discussed in </w:t>
      </w:r>
      <w:r w:rsidR="007C77F5">
        <w:t xml:space="preserve">Section C </w:t>
      </w:r>
      <w:r>
        <w:t>and Section D below.</w:t>
      </w:r>
    </w:p>
    <w:p w14:paraId="3E8C6D1E" w14:textId="77777777" w:rsidR="007F6723" w:rsidRPr="002B53AC" w:rsidRDefault="007F6723" w:rsidP="007F6723">
      <w:r>
        <w:t>Where there was uncertainty around any of these issues (e.g. baseline age), sensitivity analyses presented in Section D.6 examined the impact that varying assumptions had on the estimated incremental cost-effectiveness.</w:t>
      </w:r>
    </w:p>
    <w:p w14:paraId="2C42DE08" w14:textId="77777777" w:rsidR="007F6723" w:rsidRDefault="007F6723" w:rsidP="007F6723">
      <w:pPr>
        <w:pStyle w:val="Heading2"/>
      </w:pPr>
      <w:bookmarkStart w:id="155" w:name="_Ref278640733"/>
      <w:bookmarkStart w:id="156" w:name="_Toc406172427"/>
      <w:bookmarkStart w:id="157" w:name="_Toc408845171"/>
      <w:r>
        <w:t>Issue 2: Treatment duration of Alzheimer’s disease drugs</w:t>
      </w:r>
      <w:bookmarkEnd w:id="155"/>
      <w:bookmarkEnd w:id="156"/>
      <w:bookmarkEnd w:id="157"/>
    </w:p>
    <w:p w14:paraId="1C4CB359" w14:textId="00FAF413" w:rsidR="007F6723" w:rsidRDefault="007F6723" w:rsidP="007F6723">
      <w:r>
        <w:t xml:space="preserve">PBS-listed treatment of AD is restricted to ensure drugs are used in a cost-effective manner. This applies to both acetylcholinesterase inhibitors (AChEIs) and memantine. In the first instance, AChEIs are restricted to those with ‘mild to moderate’ AD, </w:t>
      </w:r>
      <w:r w:rsidR="007C77F5">
        <w:t xml:space="preserve">which is </w:t>
      </w:r>
      <w:r>
        <w:t>established by meeting set criteria. Additionally, treatment can only be continued in patients who have demonstrated a clinically meaningful response to the initial treatment. This refers to QoL, independence, cognitive function and behavioural symptoms</w:t>
      </w:r>
      <w:r w:rsidR="007C77F5">
        <w:t>; a c</w:t>
      </w:r>
      <w:r>
        <w:t>linically meaningful response must be demonstrated and documented every six months.</w:t>
      </w:r>
    </w:p>
    <w:p w14:paraId="45891A06" w14:textId="4473EF92" w:rsidR="007F6723" w:rsidRDefault="007F6723" w:rsidP="007F6723">
      <w:r>
        <w:t xml:space="preserve">Similar conditions apply to the use of memantine, which is restricted to individuals with more advanced disease. </w:t>
      </w:r>
    </w:p>
    <w:p w14:paraId="37B836F7" w14:textId="77777777" w:rsidR="007F6723" w:rsidRPr="0012635E" w:rsidRDefault="007F6723" w:rsidP="007F6723">
      <w:r>
        <w:t>Since AD treatment is associated with a reduction in time to disease progression, and there are measures in place to limit use of AD drugs to individuals who continue to respond, it was necessary for the economic model to consider duration of treatment so as to effectively model disease progression in those who are receiving AChEIs and memantine.</w:t>
      </w:r>
    </w:p>
    <w:p w14:paraId="312172F4" w14:textId="77777777" w:rsidR="007F6723" w:rsidRDefault="007F6723" w:rsidP="007F6723">
      <w:pPr>
        <w:pStyle w:val="Heading3"/>
      </w:pPr>
      <w:r>
        <w:t>Focused analytical plan</w:t>
      </w:r>
    </w:p>
    <w:p w14:paraId="6B43D095" w14:textId="3D9735E7" w:rsidR="007F6723" w:rsidRDefault="007F6723" w:rsidP="007F6723">
      <w:r w:rsidRPr="00595D45">
        <w:t xml:space="preserve">A </w:t>
      </w:r>
      <w:r>
        <w:t xml:space="preserve">broad </w:t>
      </w:r>
      <w:r w:rsidRPr="00595D45">
        <w:t xml:space="preserve">literature search was </w:t>
      </w:r>
      <w:r>
        <w:t>undertaken</w:t>
      </w:r>
      <w:r w:rsidRPr="00595D45">
        <w:t xml:space="preserve"> to identify </w:t>
      </w:r>
      <w:r>
        <w:t xml:space="preserve">Australian data. This search was used to source any potentially relevant data </w:t>
      </w:r>
      <w:r w:rsidRPr="00595D45">
        <w:t xml:space="preserve">that </w:t>
      </w:r>
      <w:r>
        <w:t>could be used in the economic model</w:t>
      </w:r>
      <w:r w:rsidRPr="00595D45">
        <w:t xml:space="preserve"> </w:t>
      </w:r>
      <w:r>
        <w:t xml:space="preserve">(including treatment duration/discontinuation rates, utility weights, transition </w:t>
      </w:r>
      <w:r>
        <w:lastRenderedPageBreak/>
        <w:t>probabilities, costs and treatment effect). The broad search was conducted in PubMed and supplemented with a search of the Cochrane Library. The search terms and eligibility criteria are outlined in</w:t>
      </w:r>
      <w:r w:rsidR="00A71AB3">
        <w:t xml:space="preserve"> </w:t>
      </w:r>
      <w:r w:rsidR="00A71AB3">
        <w:rPr>
          <w:highlight w:val="yellow"/>
        </w:rPr>
        <w:fldChar w:fldCharType="begin"/>
      </w:r>
      <w:r w:rsidR="00A71AB3">
        <w:instrText xml:space="preserve"> REF _Ref404854563 \w \h </w:instrText>
      </w:r>
      <w:r w:rsidR="00A71AB3">
        <w:rPr>
          <w:highlight w:val="yellow"/>
        </w:rPr>
      </w:r>
      <w:r w:rsidR="00A71AB3">
        <w:rPr>
          <w:highlight w:val="yellow"/>
        </w:rPr>
        <w:fldChar w:fldCharType="separate"/>
      </w:r>
      <w:r w:rsidR="00C67698">
        <w:t>Appendix 2</w:t>
      </w:r>
      <w:r w:rsidR="00A71AB3">
        <w:rPr>
          <w:highlight w:val="yellow"/>
        </w:rPr>
        <w:fldChar w:fldCharType="end"/>
      </w:r>
      <w:r>
        <w:t>.</w:t>
      </w:r>
    </w:p>
    <w:p w14:paraId="23A5CB15" w14:textId="77777777" w:rsidR="007F6723" w:rsidRDefault="007F6723" w:rsidP="007F6723">
      <w:r>
        <w:t>In the search for data relevant to inform treatment duration assumptions, the publications identified in the literature search were examined for any data that could provide an understanding of the proportion of patients continuing therapy past the first six months and, in those continuing, if and when patients cease therapy from that point onwards. This was conducted with a view to identifying data relevant for either AChEIs or memantine, as it was necessary to establish an understanding of treatment patterns for each. This was motivated by the fact that they have different restrictions applied to them on the PBS, but also because the model assumes they are used at different stages of the natural history of AD, meaning it was possible to apply different data to the economic model if required.</w:t>
      </w:r>
    </w:p>
    <w:p w14:paraId="2A6CAE49" w14:textId="77777777" w:rsidR="007F6723" w:rsidRDefault="007F6723" w:rsidP="007F6723">
      <w:pPr>
        <w:pStyle w:val="Heading3"/>
      </w:pPr>
      <w:r>
        <w:t>Results of the pre-modelling study</w:t>
      </w:r>
    </w:p>
    <w:p w14:paraId="2666EF34" w14:textId="77777777" w:rsidR="007F6723" w:rsidRDefault="007F6723" w:rsidP="007F6723">
      <w:r>
        <w:t>A study by Le Couteur et al (2012) examined adherence, persistence and continuation beyond six months with AChEIs in 18,000 Australians with AD in 2004. Their analysis reported that 62.8% of individuals commencing AChEIs in 2004 continued with a seventh prescription (i.e. continued therapy after the first six months). At the end of the first year, 54.7% of initiating patients were still on therapy; at the end of two years, 43% remained on therapy; and by three years, 32.9% were still on therapy.</w:t>
      </w:r>
    </w:p>
    <w:p w14:paraId="55F358B5" w14:textId="77777777" w:rsidR="007F6723" w:rsidRPr="0012635E" w:rsidRDefault="007F6723" w:rsidP="007F6723">
      <w:r>
        <w:t xml:space="preserve">In addition to these data, the </w:t>
      </w:r>
      <w:r>
        <w:rPr>
          <w:i/>
        </w:rPr>
        <w:t>Post-m</w:t>
      </w:r>
      <w:r w:rsidRPr="00B95D93">
        <w:rPr>
          <w:i/>
        </w:rPr>
        <w:t xml:space="preserve">arket </w:t>
      </w:r>
      <w:r>
        <w:rPr>
          <w:i/>
        </w:rPr>
        <w:t>Review of PBS Anti-Dementia M</w:t>
      </w:r>
      <w:r w:rsidRPr="00B95D93">
        <w:rPr>
          <w:i/>
        </w:rPr>
        <w:t xml:space="preserve">edicines </w:t>
      </w:r>
      <w:r>
        <w:rPr>
          <w:i/>
        </w:rPr>
        <w:t>for</w:t>
      </w:r>
      <w:r w:rsidRPr="00B95D93">
        <w:rPr>
          <w:i/>
        </w:rPr>
        <w:t xml:space="preserve"> AD</w:t>
      </w:r>
      <w:r>
        <w:rPr>
          <w:i/>
        </w:rPr>
        <w:t xml:space="preserve"> </w:t>
      </w:r>
      <w:r>
        <w:t>(PBS Review, October 2012)</w:t>
      </w:r>
      <w:r>
        <w:rPr>
          <w:i/>
        </w:rPr>
        <w:t xml:space="preserve">, </w:t>
      </w:r>
      <w:r w:rsidRPr="00B95D93">
        <w:t>which was prepared for consideration by the PBAC in December 2012,</w:t>
      </w:r>
      <w:r>
        <w:t xml:space="preserve"> provides similar data from PBS/RPBS cohorts in 2009 and 2010. The results for the proportion of patients filling a seventh prescription of either an AChEI or memantine were 56-70% and 55-69% in 2009 and 2010, respectively. Persistence at 12 months was estimated to be 60% and 59% for 2009 and 2010, respectively.</w:t>
      </w:r>
    </w:p>
    <w:p w14:paraId="739F0825" w14:textId="39FC74AD" w:rsidR="007F6723" w:rsidRDefault="007F6723" w:rsidP="007F6723">
      <w:r>
        <w:t xml:space="preserve">In the case of memantine, a study by Jones et al (2010) reviewed the safety and tolerability of memantine with AChEIs. The study, however, did not focus on Australia; no Australia-specific studies were available. The study found that memantine displays a safety and tolerability profile that is distinct from AChEIs and found, through a meta-analysis of study data, that withdrawal rates for memantine are comparable to placebo. The authors refer to data from </w:t>
      </w:r>
      <w:r w:rsidR="008A4242">
        <w:t>t</w:t>
      </w:r>
      <w:r w:rsidR="008A4242" w:rsidRPr="008A4242">
        <w:t xml:space="preserve">he European Medicines Agency </w:t>
      </w:r>
      <w:r w:rsidR="008A4242">
        <w:t>(</w:t>
      </w:r>
      <w:r w:rsidR="009B068C">
        <w:t>EM</w:t>
      </w:r>
      <w:r>
        <w:t>A</w:t>
      </w:r>
      <w:r w:rsidR="008A4242">
        <w:t>)</w:t>
      </w:r>
      <w:r>
        <w:t xml:space="preserve"> and other pooled analysis of study data to support this finding, although it is clear that this conclusion was not affected by the presence of continuation rules aimed at promoting cost-effective use of memantine.</w:t>
      </w:r>
    </w:p>
    <w:p w14:paraId="37085EF7" w14:textId="77777777" w:rsidR="007F6723" w:rsidRPr="00A83CF6" w:rsidRDefault="007F6723" w:rsidP="007F6723">
      <w:r>
        <w:t xml:space="preserve">While Jones et al (2010) was not useful in providing an estimate of treatment duration relevant to the Australian </w:t>
      </w:r>
      <w:r w:rsidRPr="00A83CF6">
        <w:t>situation, it did show that all of the drugs are reasonably well tolerated. On that basis</w:t>
      </w:r>
      <w:r>
        <w:t>,</w:t>
      </w:r>
      <w:r w:rsidRPr="00A83CF6">
        <w:t xml:space="preserve"> </w:t>
      </w:r>
      <w:r>
        <w:t xml:space="preserve">exclusion of explicit consideration of </w:t>
      </w:r>
      <w:r w:rsidRPr="00A83CF6">
        <w:t>AEs</w:t>
      </w:r>
      <w:r>
        <w:t xml:space="preserve"> could be justified. This is </w:t>
      </w:r>
      <w:r w:rsidRPr="00A83CF6">
        <w:t>especially</w:t>
      </w:r>
      <w:r>
        <w:t xml:space="preserve"> so since</w:t>
      </w:r>
      <w:r w:rsidRPr="00A83CF6">
        <w:t xml:space="preserve"> the PBS Review </w:t>
      </w:r>
      <w:r>
        <w:t xml:space="preserve">of anti-dementia medications (October 2012) </w:t>
      </w:r>
      <w:r w:rsidRPr="00A83CF6">
        <w:t xml:space="preserve">suggests that starting on a low dose and increasing slowly has been shown to help reduce </w:t>
      </w:r>
      <w:r>
        <w:t xml:space="preserve">problematic side effects, </w:t>
      </w:r>
      <w:r w:rsidRPr="00B95D93">
        <w:t xml:space="preserve">such as nausea and </w:t>
      </w:r>
      <w:r>
        <w:t>diarrhoea</w:t>
      </w:r>
      <w:r w:rsidRPr="00B95D93">
        <w:t>.</w:t>
      </w:r>
    </w:p>
    <w:p w14:paraId="572FF662" w14:textId="77777777" w:rsidR="007F6723" w:rsidRDefault="007F6723" w:rsidP="007F6723">
      <w:pPr>
        <w:pStyle w:val="Heading3"/>
      </w:pPr>
      <w:r>
        <w:t>Relationship of the pre-modelling study to the economic evaluation</w:t>
      </w:r>
    </w:p>
    <w:p w14:paraId="660BE078" w14:textId="77777777" w:rsidR="007F6723" w:rsidRDefault="007F6723" w:rsidP="007F6723">
      <w:r>
        <w:t xml:space="preserve">From Le Couteur et al (2012), discontinuation rates at six months, one year, two years and three years can be estimated and applied to the economic model. Although older than the data available from the PBS Review of anti-dementia medications (October </w:t>
      </w:r>
      <w:r>
        <w:lastRenderedPageBreak/>
        <w:t xml:space="preserve">2012), the data from the Le Couteur publication provides more comprehensive data at different points in time as well as providing point estimates rather than ranges. The discontinuation rates are provided in </w:t>
      </w:r>
      <w:r>
        <w:fldChar w:fldCharType="begin"/>
      </w:r>
      <w:r>
        <w:instrText xml:space="preserve"> REF _Ref278652614 \h </w:instrText>
      </w:r>
      <w:r>
        <w:fldChar w:fldCharType="separate"/>
      </w:r>
      <w:r w:rsidR="00C67698">
        <w:t xml:space="preserve">Table </w:t>
      </w:r>
      <w:r w:rsidR="00C67698">
        <w:rPr>
          <w:noProof/>
        </w:rPr>
        <w:t>C.3</w:t>
      </w:r>
      <w:r w:rsidR="00C67698">
        <w:noBreakHyphen/>
      </w:r>
      <w:r w:rsidR="00C67698">
        <w:rPr>
          <w:noProof/>
        </w:rPr>
        <w:t>1</w:t>
      </w:r>
      <w:r>
        <w:fldChar w:fldCharType="end"/>
      </w:r>
      <w:r>
        <w:t>.</w:t>
      </w:r>
    </w:p>
    <w:p w14:paraId="70AF57BF" w14:textId="4F05C56F" w:rsidR="007F6723" w:rsidRDefault="007F6723" w:rsidP="007F6723">
      <w:pPr>
        <w:pStyle w:val="Caption"/>
      </w:pPr>
      <w:bookmarkStart w:id="158" w:name="_Ref278652614"/>
      <w:bookmarkStart w:id="159" w:name="_Toc406172471"/>
      <w:bookmarkStart w:id="160" w:name="_Toc408845226"/>
      <w:r>
        <w:t xml:space="preserve">Table </w:t>
      </w:r>
      <w:fldSimple w:instr=" STYLEREF 2 \s ">
        <w:r w:rsidR="00C67698">
          <w:rPr>
            <w:noProof/>
          </w:rPr>
          <w:t>C.3</w:t>
        </w:r>
      </w:fldSimple>
      <w:r w:rsidR="00524916">
        <w:noBreakHyphen/>
      </w:r>
      <w:fldSimple w:instr=" SEQ Table \* ARABIC \s 2 ">
        <w:r w:rsidR="00C67698">
          <w:rPr>
            <w:noProof/>
          </w:rPr>
          <w:t>1</w:t>
        </w:r>
      </w:fldSimple>
      <w:bookmarkEnd w:id="158"/>
      <w:r>
        <w:tab/>
        <w:t>Discontinuation rates applied to the economic model</w:t>
      </w:r>
      <w:bookmarkEnd w:id="159"/>
      <w:bookmarkEnd w:id="160"/>
    </w:p>
    <w:tbl>
      <w:tblPr>
        <w:tblStyle w:val="TableGrid"/>
        <w:tblW w:w="4610" w:type="pct"/>
        <w:tblInd w:w="704" w:type="dxa"/>
        <w:tblLook w:val="04A0" w:firstRow="1" w:lastRow="0" w:firstColumn="1" w:lastColumn="0" w:noHBand="0" w:noVBand="1"/>
        <w:tblCaption w:val="Discontinuation rates applied to the economic model"/>
        <w:tblDescription w:val="the discontinuation rates applied to the economic model, as calculated from Le Couteur 2012"/>
      </w:tblPr>
      <w:tblGrid>
        <w:gridCol w:w="2359"/>
        <w:gridCol w:w="3081"/>
        <w:gridCol w:w="3081"/>
      </w:tblGrid>
      <w:tr w:rsidR="007F6723" w14:paraId="46FFE678" w14:textId="77777777" w:rsidTr="00181CF8">
        <w:trPr>
          <w:tblHeader/>
        </w:trPr>
        <w:tc>
          <w:tcPr>
            <w:tcW w:w="1384" w:type="pct"/>
          </w:tcPr>
          <w:p w14:paraId="11C639C5" w14:textId="77777777" w:rsidR="007F6723" w:rsidRDefault="007F6723" w:rsidP="00181CF8">
            <w:pPr>
              <w:pStyle w:val="Tabletextboldleft"/>
            </w:pPr>
            <w:r>
              <w:t>Point in time</w:t>
            </w:r>
          </w:p>
        </w:tc>
        <w:tc>
          <w:tcPr>
            <w:tcW w:w="1808" w:type="pct"/>
          </w:tcPr>
          <w:p w14:paraId="7CA2E5F2" w14:textId="77777777" w:rsidR="007F6723" w:rsidRDefault="007F6723" w:rsidP="00181CF8">
            <w:pPr>
              <w:pStyle w:val="Tabletextboldleft"/>
              <w:jc w:val="right"/>
            </w:pPr>
            <w:r>
              <w:t>Proportion of patients remaining on treatment</w:t>
            </w:r>
          </w:p>
        </w:tc>
        <w:tc>
          <w:tcPr>
            <w:tcW w:w="1808" w:type="pct"/>
          </w:tcPr>
          <w:p w14:paraId="105C7BA3" w14:textId="77777777" w:rsidR="007F6723" w:rsidRDefault="007F6723" w:rsidP="00181CF8">
            <w:pPr>
              <w:pStyle w:val="Tabletextboldleft"/>
              <w:jc w:val="right"/>
            </w:pPr>
            <w:r>
              <w:t>Discontinuation rate applied to those remaining on treatment</w:t>
            </w:r>
          </w:p>
        </w:tc>
      </w:tr>
      <w:tr w:rsidR="007F6723" w14:paraId="495CD560" w14:textId="77777777" w:rsidTr="00181CF8">
        <w:tc>
          <w:tcPr>
            <w:tcW w:w="1384" w:type="pct"/>
          </w:tcPr>
          <w:p w14:paraId="623963A8" w14:textId="77777777" w:rsidR="007F6723" w:rsidRDefault="007F6723" w:rsidP="00181CF8">
            <w:pPr>
              <w:pStyle w:val="Tabletextcentred"/>
              <w:tabs>
                <w:tab w:val="center" w:pos="1009"/>
              </w:tabs>
              <w:jc w:val="left"/>
            </w:pPr>
            <w:r>
              <w:t>Six months</w:t>
            </w:r>
          </w:p>
        </w:tc>
        <w:tc>
          <w:tcPr>
            <w:tcW w:w="1808" w:type="pct"/>
          </w:tcPr>
          <w:p w14:paraId="4EB10A9C" w14:textId="77777777" w:rsidR="007F6723" w:rsidRDefault="007F6723" w:rsidP="00181CF8">
            <w:pPr>
              <w:pStyle w:val="Tabletextcentred"/>
              <w:jc w:val="right"/>
            </w:pPr>
            <w:r>
              <w:t>62.8%</w:t>
            </w:r>
          </w:p>
        </w:tc>
        <w:tc>
          <w:tcPr>
            <w:tcW w:w="1808" w:type="pct"/>
          </w:tcPr>
          <w:p w14:paraId="78F0CFB2" w14:textId="77777777" w:rsidR="007F6723" w:rsidRPr="00884A82" w:rsidRDefault="007F6723" w:rsidP="00181CF8">
            <w:pPr>
              <w:pStyle w:val="Tabletextcentred"/>
              <w:tabs>
                <w:tab w:val="center" w:pos="1432"/>
                <w:tab w:val="right" w:pos="2865"/>
              </w:tabs>
              <w:jc w:val="right"/>
            </w:pPr>
            <w:r>
              <w:t>37.2%</w:t>
            </w:r>
          </w:p>
        </w:tc>
      </w:tr>
      <w:tr w:rsidR="007F6723" w14:paraId="014FED7D" w14:textId="77777777" w:rsidTr="00181CF8">
        <w:tc>
          <w:tcPr>
            <w:tcW w:w="1384" w:type="pct"/>
          </w:tcPr>
          <w:p w14:paraId="0972AB81" w14:textId="77777777" w:rsidR="007F6723" w:rsidRDefault="007F6723" w:rsidP="00181CF8">
            <w:pPr>
              <w:pStyle w:val="Tabletextcentred"/>
              <w:jc w:val="left"/>
            </w:pPr>
            <w:r>
              <w:t>One year</w:t>
            </w:r>
          </w:p>
        </w:tc>
        <w:tc>
          <w:tcPr>
            <w:tcW w:w="1808" w:type="pct"/>
          </w:tcPr>
          <w:p w14:paraId="0F2A2F5C" w14:textId="77777777" w:rsidR="007F6723" w:rsidRDefault="007F6723" w:rsidP="00181CF8">
            <w:pPr>
              <w:pStyle w:val="Tabletextcentred"/>
              <w:jc w:val="right"/>
            </w:pPr>
            <w:r>
              <w:t>54.7%</w:t>
            </w:r>
          </w:p>
        </w:tc>
        <w:tc>
          <w:tcPr>
            <w:tcW w:w="1808" w:type="pct"/>
          </w:tcPr>
          <w:p w14:paraId="60679870" w14:textId="77777777" w:rsidR="007F6723" w:rsidRPr="00884A82" w:rsidRDefault="007F6723" w:rsidP="00181CF8">
            <w:pPr>
              <w:pStyle w:val="Tabletextcentred"/>
              <w:jc w:val="right"/>
            </w:pPr>
            <w:r>
              <w:t>12.9%</w:t>
            </w:r>
          </w:p>
        </w:tc>
      </w:tr>
      <w:tr w:rsidR="007F6723" w14:paraId="1E818C6E" w14:textId="77777777" w:rsidTr="00181CF8">
        <w:tc>
          <w:tcPr>
            <w:tcW w:w="1384" w:type="pct"/>
          </w:tcPr>
          <w:p w14:paraId="72567DFE" w14:textId="77777777" w:rsidR="007F6723" w:rsidRDefault="007F6723" w:rsidP="00181CF8">
            <w:pPr>
              <w:pStyle w:val="Tabletextcentred"/>
              <w:jc w:val="left"/>
            </w:pPr>
            <w:r>
              <w:t>Two years</w:t>
            </w:r>
          </w:p>
        </w:tc>
        <w:tc>
          <w:tcPr>
            <w:tcW w:w="1808" w:type="pct"/>
          </w:tcPr>
          <w:p w14:paraId="7B2C7235" w14:textId="77777777" w:rsidR="007F6723" w:rsidRDefault="007F6723" w:rsidP="00181CF8">
            <w:pPr>
              <w:pStyle w:val="Tabletextcentred"/>
              <w:jc w:val="right"/>
            </w:pPr>
            <w:r>
              <w:t>43.0%</w:t>
            </w:r>
          </w:p>
        </w:tc>
        <w:tc>
          <w:tcPr>
            <w:tcW w:w="1808" w:type="pct"/>
          </w:tcPr>
          <w:p w14:paraId="73264713" w14:textId="77777777" w:rsidR="007F6723" w:rsidRPr="00884A82" w:rsidRDefault="007F6723" w:rsidP="00181CF8">
            <w:pPr>
              <w:pStyle w:val="Tabletextcentred"/>
              <w:jc w:val="right"/>
            </w:pPr>
            <w:r>
              <w:t>21.4%</w:t>
            </w:r>
          </w:p>
        </w:tc>
      </w:tr>
      <w:tr w:rsidR="007F6723" w14:paraId="1EDA5D16" w14:textId="77777777" w:rsidTr="00181CF8">
        <w:tc>
          <w:tcPr>
            <w:tcW w:w="1384" w:type="pct"/>
          </w:tcPr>
          <w:p w14:paraId="6AF51A6C" w14:textId="77777777" w:rsidR="007F6723" w:rsidRDefault="007F6723" w:rsidP="00181CF8">
            <w:pPr>
              <w:pStyle w:val="Tabletextcentred"/>
              <w:jc w:val="left"/>
            </w:pPr>
            <w:r>
              <w:t>Three years</w:t>
            </w:r>
          </w:p>
        </w:tc>
        <w:tc>
          <w:tcPr>
            <w:tcW w:w="1808" w:type="pct"/>
          </w:tcPr>
          <w:p w14:paraId="58037F7E" w14:textId="77777777" w:rsidR="007F6723" w:rsidRDefault="007F6723" w:rsidP="00181CF8">
            <w:pPr>
              <w:pStyle w:val="Tabletextcentred"/>
              <w:jc w:val="right"/>
            </w:pPr>
            <w:r>
              <w:t>32.9%</w:t>
            </w:r>
          </w:p>
        </w:tc>
        <w:tc>
          <w:tcPr>
            <w:tcW w:w="1808" w:type="pct"/>
          </w:tcPr>
          <w:p w14:paraId="193EF219" w14:textId="77777777" w:rsidR="007F6723" w:rsidRDefault="007F6723" w:rsidP="00181CF8">
            <w:pPr>
              <w:pStyle w:val="Tabletextcentred"/>
              <w:jc w:val="right"/>
            </w:pPr>
            <w:r>
              <w:t>23.5%</w:t>
            </w:r>
          </w:p>
        </w:tc>
      </w:tr>
    </w:tbl>
    <w:p w14:paraId="3A31CAB7" w14:textId="77777777" w:rsidR="007F6723" w:rsidRDefault="007F6723" w:rsidP="007F6723">
      <w:pPr>
        <w:pStyle w:val="Tablefootnotes"/>
      </w:pPr>
      <w:r>
        <w:t>Source: Calculated from Le Couteur et al (2012)</w:t>
      </w:r>
    </w:p>
    <w:p w14:paraId="233AB163" w14:textId="77777777" w:rsidR="007F6723" w:rsidRDefault="007F6723" w:rsidP="007F6723">
      <w:r>
        <w:t xml:space="preserve">The discontinuation rates from </w:t>
      </w:r>
      <w:r>
        <w:fldChar w:fldCharType="begin"/>
      </w:r>
      <w:r>
        <w:instrText xml:space="preserve"> REF _Ref278652614 \h </w:instrText>
      </w:r>
      <w:r>
        <w:fldChar w:fldCharType="separate"/>
      </w:r>
      <w:r w:rsidR="00C67698">
        <w:t xml:space="preserve">Table </w:t>
      </w:r>
      <w:r w:rsidR="00C67698">
        <w:rPr>
          <w:noProof/>
        </w:rPr>
        <w:t>C.3</w:t>
      </w:r>
      <w:r w:rsidR="00C67698">
        <w:noBreakHyphen/>
      </w:r>
      <w:r w:rsidR="00C67698">
        <w:rPr>
          <w:noProof/>
        </w:rPr>
        <w:t>1</w:t>
      </w:r>
      <w:r>
        <w:fldChar w:fldCharType="end"/>
      </w:r>
      <w:r>
        <w:t xml:space="preserve"> were applied to AChEIs and to memantine in the economic model presented in Section D. Although the data specifically related to AChEIs, no specific data were available for memantine, particularly in the Australian context. This is supported by the rates generated for 2009 and 2010 data in the PBS Review of anti-dementia medications; these rates included memantine data and were similar to the Le Couteur et al (2012) data for the seventh prescription and for persistence at 12 months.</w:t>
      </w:r>
    </w:p>
    <w:p w14:paraId="1DB3F3D1" w14:textId="77777777" w:rsidR="007F6723" w:rsidRPr="00A9031A" w:rsidRDefault="007F6723" w:rsidP="007F6723">
      <w:r>
        <w:t>Assumptions regarding the application of Le Couteur et al (2012) data to AChEIs and to memantine in the economic model are tested in sensitivity analyses presented in Section D.6.</w:t>
      </w:r>
    </w:p>
    <w:p w14:paraId="1B9D4C08" w14:textId="77777777" w:rsidR="007F6723" w:rsidRDefault="007F6723" w:rsidP="007F6723">
      <w:pPr>
        <w:pStyle w:val="Heading2"/>
      </w:pPr>
      <w:bookmarkStart w:id="161" w:name="_Ref278649011"/>
      <w:bookmarkStart w:id="162" w:name="_Toc406172428"/>
      <w:bookmarkStart w:id="163" w:name="_Toc408845172"/>
      <w:r>
        <w:t>Issue 3: Natural history of Alzheimer’s disease</w:t>
      </w:r>
      <w:bookmarkEnd w:id="161"/>
      <w:bookmarkEnd w:id="162"/>
      <w:bookmarkEnd w:id="163"/>
    </w:p>
    <w:p w14:paraId="7C7A7DBC" w14:textId="367228D0" w:rsidR="007F6723" w:rsidRPr="00BE29E5" w:rsidRDefault="007F6723" w:rsidP="007F6723">
      <w:r>
        <w:t xml:space="preserve">Although the focus of the analysis is on the cost-effectiveness of diagnostic testing, the model also included a natural history (and associated treatment) component. It is also necessary to understand the natural history of AD as it unfolds in individuals over time, and model this accordingly, since disease progression and the impact of treatment on this progression is an important component of the cost-effectiveness of diagnostic testing. It was necessary, therefore, to include natural history in the model presented in Section D. </w:t>
      </w:r>
    </w:p>
    <w:p w14:paraId="0236834C" w14:textId="77777777" w:rsidR="007F6723" w:rsidRDefault="007F6723" w:rsidP="007F6723">
      <w:pPr>
        <w:pStyle w:val="Heading3"/>
      </w:pPr>
      <w:r>
        <w:t>Focused analytical plan</w:t>
      </w:r>
    </w:p>
    <w:p w14:paraId="0057A09A" w14:textId="7ADF0AF5" w:rsidR="007F6723" w:rsidRDefault="007F6723" w:rsidP="007F6723">
      <w:r>
        <w:t xml:space="preserve">The PubMed and Cochrane library literature searches for utility weights (see Section </w:t>
      </w:r>
      <w:r>
        <w:fldChar w:fldCharType="begin"/>
      </w:r>
      <w:r>
        <w:instrText xml:space="preserve"> REF _Ref278640902 \r \h </w:instrText>
      </w:r>
      <w:r>
        <w:fldChar w:fldCharType="separate"/>
      </w:r>
      <w:r w:rsidR="00C67698">
        <w:t>C.6</w:t>
      </w:r>
      <w:r>
        <w:fldChar w:fldCharType="end"/>
      </w:r>
      <w:r>
        <w:t xml:space="preserve">) identified a systematic review by Green et al (2011) that aimed to identify methods to model AD progression over time. A total of 42 studies were included, the vast majority of which were cost-effectiveness analyses of pharmacotherapies for AD (see </w:t>
      </w:r>
      <w:r w:rsidR="00762B4E">
        <w:rPr>
          <w:highlight w:val="yellow"/>
        </w:rPr>
        <w:fldChar w:fldCharType="begin"/>
      </w:r>
      <w:r w:rsidR="00762B4E">
        <w:instrText xml:space="preserve"> REF _Ref406415066 \w \h </w:instrText>
      </w:r>
      <w:r w:rsidR="00762B4E">
        <w:rPr>
          <w:highlight w:val="yellow"/>
        </w:rPr>
      </w:r>
      <w:r w:rsidR="00762B4E">
        <w:rPr>
          <w:highlight w:val="yellow"/>
        </w:rPr>
        <w:fldChar w:fldCharType="separate"/>
      </w:r>
      <w:r w:rsidR="00C67698">
        <w:t>Appendix 4</w:t>
      </w:r>
      <w:r w:rsidR="00762B4E">
        <w:rPr>
          <w:highlight w:val="yellow"/>
        </w:rPr>
        <w:fldChar w:fldCharType="end"/>
      </w:r>
      <w:r>
        <w:t xml:space="preserve">). The literature search described in Section </w:t>
      </w:r>
      <w:r>
        <w:fldChar w:fldCharType="begin"/>
      </w:r>
      <w:r>
        <w:instrText xml:space="preserve"> REF _Ref278640902 \r \h </w:instrText>
      </w:r>
      <w:r>
        <w:fldChar w:fldCharType="separate"/>
      </w:r>
      <w:r w:rsidR="00C67698">
        <w:t>C.6</w:t>
      </w:r>
      <w:r>
        <w:fldChar w:fldCharType="end"/>
      </w:r>
      <w:r>
        <w:t xml:space="preserve"> for utility weights identified an additional 19 cost-utility studies of pharmacothera</w:t>
      </w:r>
      <w:r w:rsidR="00762B4E">
        <w:t xml:space="preserve">pies for AD (also summarised in </w:t>
      </w:r>
      <w:r w:rsidR="00762B4E">
        <w:fldChar w:fldCharType="begin"/>
      </w:r>
      <w:r w:rsidR="00762B4E">
        <w:instrText xml:space="preserve"> REF _Ref406415102 \w \h </w:instrText>
      </w:r>
      <w:r w:rsidR="00762B4E">
        <w:fldChar w:fldCharType="separate"/>
      </w:r>
      <w:r w:rsidR="00C67698">
        <w:t>Appendix 4</w:t>
      </w:r>
      <w:r w:rsidR="00762B4E">
        <w:fldChar w:fldCharType="end"/>
      </w:r>
      <w:r>
        <w:t>).</w:t>
      </w:r>
    </w:p>
    <w:p w14:paraId="3CB8EAF2" w14:textId="77777777" w:rsidR="007F6723" w:rsidRDefault="007F6723" w:rsidP="007F6723">
      <w:r>
        <w:t>Each of the studies was reviewed with a view to sourcing transition probabilities applicable to the model structure presented in Section D. In particular, transition probabilities were sought which would enable modelling of AD by severity and institutional setting, thereby allowing sufficient differentiation of individuals with AD.</w:t>
      </w:r>
    </w:p>
    <w:p w14:paraId="1D1A1CD4" w14:textId="22C1EAF4" w:rsidR="007F6723" w:rsidRDefault="007F6723" w:rsidP="007F6723">
      <w:r>
        <w:t xml:space="preserve">The broad literature search referred to in Section </w:t>
      </w:r>
      <w:r>
        <w:fldChar w:fldCharType="begin"/>
      </w:r>
      <w:r>
        <w:instrText xml:space="preserve"> REF _Ref278640733 \r \h </w:instrText>
      </w:r>
      <w:r>
        <w:fldChar w:fldCharType="separate"/>
      </w:r>
      <w:r w:rsidR="00C67698">
        <w:t>C.3</w:t>
      </w:r>
      <w:r>
        <w:fldChar w:fldCharType="end"/>
      </w:r>
      <w:r>
        <w:t xml:space="preserve"> was also used to identify any potentially relevant Australian sources that may have been missed in the search described above. The search strategy is described in </w:t>
      </w:r>
      <w:r w:rsidR="00A71AB3">
        <w:rPr>
          <w:highlight w:val="yellow"/>
        </w:rPr>
        <w:fldChar w:fldCharType="begin"/>
      </w:r>
      <w:r w:rsidR="00A71AB3">
        <w:instrText xml:space="preserve"> REF _Ref404854563 \w \h </w:instrText>
      </w:r>
      <w:r w:rsidR="00A71AB3">
        <w:rPr>
          <w:highlight w:val="yellow"/>
        </w:rPr>
      </w:r>
      <w:r w:rsidR="00A71AB3">
        <w:rPr>
          <w:highlight w:val="yellow"/>
        </w:rPr>
        <w:fldChar w:fldCharType="separate"/>
      </w:r>
      <w:r w:rsidR="00C67698">
        <w:t>Appendix 2</w:t>
      </w:r>
      <w:r w:rsidR="00A71AB3">
        <w:rPr>
          <w:highlight w:val="yellow"/>
        </w:rPr>
        <w:fldChar w:fldCharType="end"/>
      </w:r>
      <w:r w:rsidR="00A71AB3">
        <w:t xml:space="preserve">. </w:t>
      </w:r>
    </w:p>
    <w:p w14:paraId="0DD0AF36" w14:textId="77777777" w:rsidR="007F6723" w:rsidRDefault="007F6723" w:rsidP="007F6723">
      <w:pPr>
        <w:pStyle w:val="Heading3"/>
      </w:pPr>
      <w:r>
        <w:lastRenderedPageBreak/>
        <w:t>Results of the pre-modelling study</w:t>
      </w:r>
    </w:p>
    <w:p w14:paraId="19DE54F4" w14:textId="77777777" w:rsidR="007F6723" w:rsidRDefault="007F6723" w:rsidP="007F6723">
      <w:r>
        <w:t>As discussed in Green et al (2011), the CERAD-CDR (</w:t>
      </w:r>
      <w:r w:rsidRPr="002F5687">
        <w:t xml:space="preserve">Consortium to Establish a Registry in Alzheimer’s Disease </w:t>
      </w:r>
      <w:r>
        <w:t xml:space="preserve">– Clinical Dementia Rating) model (Neumann et al, 1999) is one of the most widely used of all models to date, and is the most suitable for sourcing transition probabilities for the economic model presented in Section D. </w:t>
      </w:r>
    </w:p>
    <w:p w14:paraId="016DE02C" w14:textId="3D2D1339" w:rsidR="007F6723" w:rsidRDefault="007F6723" w:rsidP="007F6723">
      <w:r>
        <w:t>Neumann et al (1999) presents a state</w:t>
      </w:r>
      <w:r w:rsidR="0064732B">
        <w:t>-</w:t>
      </w:r>
      <w:r>
        <w:t xml:space="preserve">transition Markov model used to characterise AD progression through states of disease and residential settings. The model has been used to examine the effects of medications, behavioural interventions and screening technologies on disease progression in AD. It was based on annual transition probabilities derived from the CERAD database of 1,145 people with AD, followed up to eight years, with AD severity categorised as mild, moderate or severe based on the CDR scale. A survival analysis approach was used to derive transition probabilities between different stages of AD severity, for transition to a nursing home setting and for the probability of death. The transition probabilities derived from the CERAD data covered staging of AD severity independent of residential setting, but the probabilities for residential setting and death were conditional on disease severity, with higher probabilities as disease progressed. These transition probabilities were framed in a way that was appropriate for use in the economic model presented in Section D. </w:t>
      </w:r>
    </w:p>
    <w:p w14:paraId="6F3DAF0E" w14:textId="77777777" w:rsidR="007F6723" w:rsidRDefault="007F6723" w:rsidP="007F6723">
      <w:r>
        <w:t>Note that the transition probability estimates published in Neumann et al (1999) were the focus of a later paper (Neumann et al, 2001), which provided additional details.</w:t>
      </w:r>
    </w:p>
    <w:p w14:paraId="2C719956" w14:textId="77777777" w:rsidR="007F6723" w:rsidRDefault="007F6723" w:rsidP="007F6723">
      <w:r>
        <w:t>An Australian study by Brodaty et al (1993) examined the deterioration of 91 dementia patients and provided estimates of institutionalisation and death over a five-year period (76% and 42%, respectively). It was, however, not possible to calculate transition probabilities appropriate for application to the economic model from the data presented in the study.</w:t>
      </w:r>
    </w:p>
    <w:p w14:paraId="1D1430D1" w14:textId="77777777" w:rsidR="007F6723" w:rsidRDefault="007F6723" w:rsidP="007F6723">
      <w:r>
        <w:t>A later study by Brodaty et al (2014) examined the predictors of institutionalisation of individuals with dementia over a three-year period. Over the three years of the study, 25.3% of patients with dementia were institutionalised. A number of predictors including cognitive ability, functional ability and neuropsychiatric symptoms were identified. Nonetheless, it was not possible to calculate transition probabilities appropriate for application to the economic model from the data presented in the study.</w:t>
      </w:r>
    </w:p>
    <w:p w14:paraId="2AA17AB9" w14:textId="77777777" w:rsidR="007F6723" w:rsidRPr="00044CB8" w:rsidRDefault="007F6723" w:rsidP="007F6723">
      <w:r>
        <w:t>An additional Australia study reported by You et al (2014) sought to identify risk factors for time to death or hospital admission in a sample of community-dwelling elderly people living with dementia in Australia. The study, however, was not adequate to calculate relevant transition probabilities which could be applied to the economic model for either of these possibilities.</w:t>
      </w:r>
    </w:p>
    <w:p w14:paraId="0FEDD8E9" w14:textId="77777777" w:rsidR="007F6723" w:rsidRDefault="007F6723" w:rsidP="007F6723">
      <w:pPr>
        <w:pStyle w:val="Heading3"/>
      </w:pPr>
      <w:r>
        <w:t>Relationship of the pre-modelling study to the economic evaluation</w:t>
      </w:r>
    </w:p>
    <w:p w14:paraId="32A723FC" w14:textId="549477F9" w:rsidR="007F6723" w:rsidRDefault="007F6723" w:rsidP="007F6723">
      <w:r>
        <w:t>Transition probabilities from Neumann et al (1999) were applied to the economic model presented in Section D. In the interest of pragmatism, however, assumptions were superimposed on the available data to simplify the model structure. Neumann et al (1999), for example, included the possibility of ‘backward’ transition (i.e. transition to less severe disease) in the case of individuals with mild AD. Since AD is a progressive disease, however, these transitions were not applied to the economic evaluation. A</w:t>
      </w:r>
      <w:r w:rsidRPr="00941BE7">
        <w:t>lthough</w:t>
      </w:r>
      <w:r>
        <w:t xml:space="preserve"> not discussed comprehensively in Neumann et al (1999)</w:t>
      </w:r>
      <w:r w:rsidRPr="00941BE7">
        <w:t xml:space="preserve">, </w:t>
      </w:r>
      <w:r>
        <w:t xml:space="preserve">it is likely that their inclusion was due to </w:t>
      </w:r>
      <w:r w:rsidRPr="00941BE7">
        <w:t xml:space="preserve">variation in clinical assessment </w:t>
      </w:r>
      <w:r>
        <w:t>methods in the</w:t>
      </w:r>
      <w:r w:rsidRPr="00941BE7">
        <w:t xml:space="preserve"> CERAD</w:t>
      </w:r>
      <w:r>
        <w:t xml:space="preserve"> population.</w:t>
      </w:r>
    </w:p>
    <w:p w14:paraId="511C3D02" w14:textId="39F42BD1" w:rsidR="007F6723" w:rsidRDefault="007F6723" w:rsidP="007F6723">
      <w:pPr>
        <w:pStyle w:val="Caption"/>
      </w:pPr>
      <w:bookmarkStart w:id="164" w:name="_Ref278713143"/>
      <w:bookmarkStart w:id="165" w:name="_Toc406172472"/>
      <w:bookmarkStart w:id="166" w:name="_Toc408845227"/>
      <w:r>
        <w:lastRenderedPageBreak/>
        <w:t xml:space="preserve">Table </w:t>
      </w:r>
      <w:fldSimple w:instr=" STYLEREF 2 \s ">
        <w:r w:rsidR="00C67698">
          <w:rPr>
            <w:noProof/>
          </w:rPr>
          <w:t>C.4</w:t>
        </w:r>
      </w:fldSimple>
      <w:r w:rsidR="00524916">
        <w:noBreakHyphen/>
      </w:r>
      <w:fldSimple w:instr=" SEQ Table \* ARABIC \s 2 ">
        <w:r w:rsidR="00C67698">
          <w:rPr>
            <w:noProof/>
          </w:rPr>
          <w:t>1</w:t>
        </w:r>
      </w:fldSimple>
      <w:bookmarkEnd w:id="164"/>
      <w:r>
        <w:tab/>
        <w:t>Transition probabilities applied to the economic model</w:t>
      </w:r>
      <w:bookmarkEnd w:id="165"/>
      <w:bookmarkEnd w:id="166"/>
    </w:p>
    <w:tbl>
      <w:tblPr>
        <w:tblStyle w:val="TableGrid"/>
        <w:tblW w:w="4610" w:type="pct"/>
        <w:tblInd w:w="704" w:type="dxa"/>
        <w:tblLook w:val="04A0" w:firstRow="1" w:lastRow="0" w:firstColumn="1" w:lastColumn="0" w:noHBand="0" w:noVBand="1"/>
        <w:tblCaption w:val="The transition probabilities applied to the economic model"/>
        <w:tblDescription w:val="The annual transition probabilities applied to the economic model. Most of the transition probabilities were sourced from Neumann 1999."/>
      </w:tblPr>
      <w:tblGrid>
        <w:gridCol w:w="2905"/>
        <w:gridCol w:w="2538"/>
        <w:gridCol w:w="3078"/>
      </w:tblGrid>
      <w:tr w:rsidR="007F6723" w14:paraId="30428D66" w14:textId="77777777" w:rsidTr="00556738">
        <w:trPr>
          <w:tblHeader/>
        </w:trPr>
        <w:tc>
          <w:tcPr>
            <w:tcW w:w="1705" w:type="pct"/>
          </w:tcPr>
          <w:p w14:paraId="435D53FD" w14:textId="77777777" w:rsidR="007F6723" w:rsidRDefault="007F6723" w:rsidP="00181CF8">
            <w:pPr>
              <w:pStyle w:val="Tabletextboldleft"/>
            </w:pPr>
            <w:r>
              <w:t>Transition</w:t>
            </w:r>
          </w:p>
        </w:tc>
        <w:tc>
          <w:tcPr>
            <w:tcW w:w="1489" w:type="pct"/>
          </w:tcPr>
          <w:p w14:paraId="6E6BD7B7" w14:textId="77777777" w:rsidR="007F6723" w:rsidRDefault="007F6723" w:rsidP="00181CF8">
            <w:pPr>
              <w:pStyle w:val="Tabletextboldleft"/>
              <w:jc w:val="right"/>
            </w:pPr>
            <w:r>
              <w:t>Annual transition probability</w:t>
            </w:r>
          </w:p>
        </w:tc>
        <w:tc>
          <w:tcPr>
            <w:tcW w:w="1806" w:type="pct"/>
          </w:tcPr>
          <w:p w14:paraId="3A3F7A45" w14:textId="77777777" w:rsidR="007F6723" w:rsidRDefault="007F6723" w:rsidP="00181CF8">
            <w:pPr>
              <w:pStyle w:val="Tabletextboldleft"/>
              <w:jc w:val="right"/>
            </w:pPr>
            <w:r>
              <w:t>Reference</w:t>
            </w:r>
          </w:p>
        </w:tc>
      </w:tr>
      <w:tr w:rsidR="007F6723" w14:paraId="7A424DC3" w14:textId="77777777" w:rsidTr="00181CF8">
        <w:tc>
          <w:tcPr>
            <w:tcW w:w="1705" w:type="pct"/>
          </w:tcPr>
          <w:p w14:paraId="04373DDA" w14:textId="77777777" w:rsidR="007F6723" w:rsidRDefault="007F6723" w:rsidP="00181CF8">
            <w:pPr>
              <w:pStyle w:val="Tabletextcentred"/>
              <w:keepNext/>
              <w:jc w:val="left"/>
            </w:pPr>
            <w:r>
              <w:t>Mild AD to mild AD</w:t>
            </w:r>
          </w:p>
        </w:tc>
        <w:tc>
          <w:tcPr>
            <w:tcW w:w="1489" w:type="pct"/>
          </w:tcPr>
          <w:p w14:paraId="564C85B9" w14:textId="77777777" w:rsidR="007F6723" w:rsidRDefault="007F6723" w:rsidP="00181CF8">
            <w:pPr>
              <w:pStyle w:val="Tabletextcentred"/>
              <w:keepNext/>
              <w:jc w:val="right"/>
            </w:pPr>
            <w:r>
              <w:t>0.615</w:t>
            </w:r>
          </w:p>
        </w:tc>
        <w:tc>
          <w:tcPr>
            <w:tcW w:w="1806" w:type="pct"/>
          </w:tcPr>
          <w:p w14:paraId="50B2E685" w14:textId="77777777" w:rsidR="007F6723" w:rsidRDefault="007F6723" w:rsidP="00181CF8">
            <w:pPr>
              <w:pStyle w:val="Tabletextcentred"/>
              <w:keepNext/>
              <w:jc w:val="right"/>
            </w:pPr>
            <w:r>
              <w:t>Calculated</w:t>
            </w:r>
          </w:p>
        </w:tc>
      </w:tr>
      <w:tr w:rsidR="007F6723" w14:paraId="305557CF" w14:textId="77777777" w:rsidTr="00181CF8">
        <w:tc>
          <w:tcPr>
            <w:tcW w:w="1705" w:type="pct"/>
          </w:tcPr>
          <w:p w14:paraId="5CAE1CB0" w14:textId="77777777" w:rsidR="007F6723" w:rsidRDefault="007F6723" w:rsidP="00181CF8">
            <w:pPr>
              <w:pStyle w:val="Tabletextcentred"/>
              <w:keepNext/>
              <w:jc w:val="left"/>
            </w:pPr>
            <w:r>
              <w:t>Mild AD to moderate AD</w:t>
            </w:r>
          </w:p>
        </w:tc>
        <w:tc>
          <w:tcPr>
            <w:tcW w:w="1489" w:type="pct"/>
          </w:tcPr>
          <w:p w14:paraId="1E8F66AE" w14:textId="77777777" w:rsidR="007F6723" w:rsidRDefault="007F6723" w:rsidP="00181CF8">
            <w:pPr>
              <w:pStyle w:val="Tabletextcentred"/>
              <w:keepNext/>
              <w:jc w:val="right"/>
            </w:pPr>
            <w:r>
              <w:t>0.364</w:t>
            </w:r>
          </w:p>
        </w:tc>
        <w:tc>
          <w:tcPr>
            <w:tcW w:w="1806" w:type="pct"/>
          </w:tcPr>
          <w:p w14:paraId="7E62D369" w14:textId="77777777" w:rsidR="007F6723" w:rsidRPr="006C2766" w:rsidRDefault="007F6723" w:rsidP="00181CF8">
            <w:pPr>
              <w:pStyle w:val="Tabletextcentred"/>
              <w:keepNext/>
              <w:jc w:val="right"/>
              <w:rPr>
                <w:vertAlign w:val="superscript"/>
              </w:rPr>
            </w:pPr>
            <w:r>
              <w:t>Neumann et al (1999)</w:t>
            </w:r>
            <w:r>
              <w:rPr>
                <w:vertAlign w:val="superscript"/>
              </w:rPr>
              <w:t>a</w:t>
            </w:r>
          </w:p>
        </w:tc>
      </w:tr>
      <w:tr w:rsidR="007F6723" w14:paraId="672DFABC" w14:textId="77777777" w:rsidTr="00181CF8">
        <w:tc>
          <w:tcPr>
            <w:tcW w:w="1705" w:type="pct"/>
          </w:tcPr>
          <w:p w14:paraId="551672FE" w14:textId="77777777" w:rsidR="007F6723" w:rsidRDefault="007F6723" w:rsidP="00181CF8">
            <w:pPr>
              <w:pStyle w:val="Tabletextcentred"/>
              <w:keepNext/>
              <w:jc w:val="left"/>
            </w:pPr>
            <w:r>
              <w:t>Mild AD to severe AD</w:t>
            </w:r>
          </w:p>
        </w:tc>
        <w:tc>
          <w:tcPr>
            <w:tcW w:w="1489" w:type="pct"/>
          </w:tcPr>
          <w:p w14:paraId="59466F76" w14:textId="77777777" w:rsidR="007F6723" w:rsidRDefault="007F6723" w:rsidP="00181CF8">
            <w:pPr>
              <w:pStyle w:val="Tabletextcentred"/>
              <w:keepNext/>
              <w:jc w:val="right"/>
            </w:pPr>
            <w:r>
              <w:t>0.000</w:t>
            </w:r>
          </w:p>
        </w:tc>
        <w:tc>
          <w:tcPr>
            <w:tcW w:w="1806" w:type="pct"/>
          </w:tcPr>
          <w:p w14:paraId="7E2EDF00" w14:textId="77777777" w:rsidR="007F6723" w:rsidRDefault="007F6723" w:rsidP="00181CF8">
            <w:pPr>
              <w:pStyle w:val="Tabletextcentred"/>
              <w:keepNext/>
              <w:jc w:val="right"/>
            </w:pPr>
            <w:r>
              <w:t>Assumption</w:t>
            </w:r>
          </w:p>
        </w:tc>
      </w:tr>
      <w:tr w:rsidR="007F6723" w14:paraId="5A4867DC" w14:textId="77777777" w:rsidTr="00181CF8">
        <w:tc>
          <w:tcPr>
            <w:tcW w:w="1705" w:type="pct"/>
          </w:tcPr>
          <w:p w14:paraId="69F8E253" w14:textId="77777777" w:rsidR="007F6723" w:rsidRDefault="007F6723" w:rsidP="00181CF8">
            <w:pPr>
              <w:pStyle w:val="Tabletextcentred"/>
              <w:keepNext/>
              <w:jc w:val="left"/>
            </w:pPr>
            <w:r>
              <w:t>Mild AD to dead</w:t>
            </w:r>
          </w:p>
        </w:tc>
        <w:tc>
          <w:tcPr>
            <w:tcW w:w="1489" w:type="pct"/>
          </w:tcPr>
          <w:p w14:paraId="0C0F76CD" w14:textId="77777777" w:rsidR="007F6723" w:rsidRDefault="007F6723" w:rsidP="00181CF8">
            <w:pPr>
              <w:pStyle w:val="Tabletextcentred"/>
              <w:keepNext/>
              <w:jc w:val="right"/>
            </w:pPr>
            <w:r>
              <w:t>0.021</w:t>
            </w:r>
          </w:p>
        </w:tc>
        <w:tc>
          <w:tcPr>
            <w:tcW w:w="1806" w:type="pct"/>
          </w:tcPr>
          <w:p w14:paraId="484D587C" w14:textId="77777777" w:rsidR="007F6723" w:rsidRDefault="007F6723" w:rsidP="00181CF8">
            <w:pPr>
              <w:pStyle w:val="Tabletextcentred"/>
              <w:keepNext/>
              <w:jc w:val="right"/>
            </w:pPr>
            <w:r>
              <w:t>Neumann et al (1999)</w:t>
            </w:r>
          </w:p>
        </w:tc>
      </w:tr>
      <w:tr w:rsidR="007F6723" w14:paraId="62E092E4" w14:textId="77777777" w:rsidTr="00181CF8">
        <w:tc>
          <w:tcPr>
            <w:tcW w:w="1705" w:type="pct"/>
          </w:tcPr>
          <w:p w14:paraId="26C54275" w14:textId="77777777" w:rsidR="007F6723" w:rsidRDefault="007F6723" w:rsidP="00181CF8">
            <w:pPr>
              <w:pStyle w:val="Tabletextcentred"/>
              <w:keepNext/>
              <w:jc w:val="left"/>
            </w:pPr>
            <w:r>
              <w:t>Community to nursing home (individuals with mild AD)</w:t>
            </w:r>
          </w:p>
        </w:tc>
        <w:tc>
          <w:tcPr>
            <w:tcW w:w="1489" w:type="pct"/>
          </w:tcPr>
          <w:p w14:paraId="78934CAE" w14:textId="77777777" w:rsidR="007F6723" w:rsidRDefault="007F6723" w:rsidP="00181CF8">
            <w:pPr>
              <w:pStyle w:val="Tabletextcentred"/>
              <w:keepNext/>
              <w:jc w:val="right"/>
            </w:pPr>
            <w:r>
              <w:t>0.038</w:t>
            </w:r>
          </w:p>
        </w:tc>
        <w:tc>
          <w:tcPr>
            <w:tcW w:w="1806" w:type="pct"/>
          </w:tcPr>
          <w:p w14:paraId="45F1A8AB" w14:textId="77777777" w:rsidR="007F6723" w:rsidRDefault="007F6723" w:rsidP="00181CF8">
            <w:pPr>
              <w:pStyle w:val="Tabletextcentred"/>
              <w:keepNext/>
              <w:jc w:val="right"/>
            </w:pPr>
            <w:r>
              <w:t>Neumann et al (1999)</w:t>
            </w:r>
          </w:p>
        </w:tc>
      </w:tr>
      <w:tr w:rsidR="007F6723" w14:paraId="51A683ED" w14:textId="77777777" w:rsidTr="00181CF8">
        <w:tc>
          <w:tcPr>
            <w:tcW w:w="1705" w:type="pct"/>
          </w:tcPr>
          <w:p w14:paraId="5C702ECF" w14:textId="77777777" w:rsidR="007F6723" w:rsidRDefault="007F6723" w:rsidP="00181CF8">
            <w:pPr>
              <w:pStyle w:val="Tabletextcentred"/>
              <w:keepNext/>
              <w:jc w:val="left"/>
            </w:pPr>
            <w:r>
              <w:t>Moderate AD to mild AD</w:t>
            </w:r>
          </w:p>
        </w:tc>
        <w:tc>
          <w:tcPr>
            <w:tcW w:w="1489" w:type="pct"/>
          </w:tcPr>
          <w:p w14:paraId="56C0B050" w14:textId="77777777" w:rsidR="007F6723" w:rsidRDefault="007F6723" w:rsidP="00181CF8">
            <w:pPr>
              <w:pStyle w:val="Tabletextcentred"/>
              <w:keepNext/>
              <w:jc w:val="right"/>
            </w:pPr>
            <w:r>
              <w:t>0.000</w:t>
            </w:r>
          </w:p>
        </w:tc>
        <w:tc>
          <w:tcPr>
            <w:tcW w:w="1806" w:type="pct"/>
          </w:tcPr>
          <w:p w14:paraId="3938C33B" w14:textId="77777777" w:rsidR="007F6723" w:rsidRDefault="007F6723" w:rsidP="00181CF8">
            <w:pPr>
              <w:pStyle w:val="Tabletextcentred"/>
              <w:keepNext/>
              <w:jc w:val="right"/>
            </w:pPr>
            <w:r>
              <w:t>Assumption</w:t>
            </w:r>
          </w:p>
        </w:tc>
      </w:tr>
      <w:tr w:rsidR="007F6723" w14:paraId="056FCE65" w14:textId="77777777" w:rsidTr="00181CF8">
        <w:tc>
          <w:tcPr>
            <w:tcW w:w="1705" w:type="pct"/>
          </w:tcPr>
          <w:p w14:paraId="7C1FFE99" w14:textId="77777777" w:rsidR="007F6723" w:rsidRDefault="007F6723" w:rsidP="00181CF8">
            <w:pPr>
              <w:pStyle w:val="Tabletextcentred"/>
              <w:keepNext/>
              <w:jc w:val="left"/>
            </w:pPr>
            <w:r>
              <w:t>Moderate AD to moderate AD</w:t>
            </w:r>
          </w:p>
        </w:tc>
        <w:tc>
          <w:tcPr>
            <w:tcW w:w="1489" w:type="pct"/>
          </w:tcPr>
          <w:p w14:paraId="72773C2C" w14:textId="77777777" w:rsidR="007F6723" w:rsidRDefault="007F6723" w:rsidP="00181CF8">
            <w:pPr>
              <w:pStyle w:val="Tabletextcentred"/>
              <w:keepNext/>
              <w:jc w:val="right"/>
            </w:pPr>
            <w:r>
              <w:t>0.608</w:t>
            </w:r>
          </w:p>
        </w:tc>
        <w:tc>
          <w:tcPr>
            <w:tcW w:w="1806" w:type="pct"/>
          </w:tcPr>
          <w:p w14:paraId="634C6948" w14:textId="77777777" w:rsidR="007F6723" w:rsidRPr="006C2766" w:rsidRDefault="007F6723" w:rsidP="00181CF8">
            <w:pPr>
              <w:pStyle w:val="Tabletextcentred"/>
              <w:keepNext/>
              <w:jc w:val="right"/>
              <w:rPr>
                <w:vertAlign w:val="superscript"/>
              </w:rPr>
            </w:pPr>
            <w:r>
              <w:t>Calculated</w:t>
            </w:r>
            <w:r>
              <w:rPr>
                <w:vertAlign w:val="superscript"/>
              </w:rPr>
              <w:t>b</w:t>
            </w:r>
          </w:p>
        </w:tc>
      </w:tr>
      <w:tr w:rsidR="007F6723" w14:paraId="6F129272" w14:textId="77777777" w:rsidTr="00181CF8">
        <w:tc>
          <w:tcPr>
            <w:tcW w:w="1705" w:type="pct"/>
          </w:tcPr>
          <w:p w14:paraId="2D4DA700" w14:textId="77777777" w:rsidR="007F6723" w:rsidRDefault="007F6723" w:rsidP="00181CF8">
            <w:pPr>
              <w:pStyle w:val="Tabletextcentred"/>
              <w:keepNext/>
              <w:jc w:val="left"/>
            </w:pPr>
            <w:r>
              <w:t>Moderate AD to severe AD</w:t>
            </w:r>
          </w:p>
        </w:tc>
        <w:tc>
          <w:tcPr>
            <w:tcW w:w="1489" w:type="pct"/>
          </w:tcPr>
          <w:p w14:paraId="170C6838" w14:textId="77777777" w:rsidR="007F6723" w:rsidRDefault="007F6723" w:rsidP="00181CF8">
            <w:pPr>
              <w:pStyle w:val="Tabletextcentred"/>
              <w:keepNext/>
              <w:jc w:val="right"/>
            </w:pPr>
            <w:r>
              <w:t>0.339</w:t>
            </w:r>
          </w:p>
        </w:tc>
        <w:tc>
          <w:tcPr>
            <w:tcW w:w="1806" w:type="pct"/>
          </w:tcPr>
          <w:p w14:paraId="5206EF2E" w14:textId="77777777" w:rsidR="007F6723" w:rsidRDefault="007F6723" w:rsidP="00181CF8">
            <w:pPr>
              <w:pStyle w:val="Tabletextcentred"/>
              <w:keepNext/>
              <w:jc w:val="right"/>
            </w:pPr>
            <w:r>
              <w:t>Neumann et al (1999)</w:t>
            </w:r>
          </w:p>
        </w:tc>
      </w:tr>
      <w:tr w:rsidR="007F6723" w14:paraId="2343CA06" w14:textId="77777777" w:rsidTr="00181CF8">
        <w:tc>
          <w:tcPr>
            <w:tcW w:w="1705" w:type="pct"/>
          </w:tcPr>
          <w:p w14:paraId="36891E58" w14:textId="77777777" w:rsidR="007F6723" w:rsidRDefault="007F6723" w:rsidP="00181CF8">
            <w:pPr>
              <w:pStyle w:val="Tabletextcentred"/>
              <w:keepNext/>
              <w:jc w:val="left"/>
            </w:pPr>
            <w:r>
              <w:t>Moderate AD to dead</w:t>
            </w:r>
          </w:p>
        </w:tc>
        <w:tc>
          <w:tcPr>
            <w:tcW w:w="1489" w:type="pct"/>
          </w:tcPr>
          <w:p w14:paraId="455DE46B" w14:textId="77777777" w:rsidR="007F6723" w:rsidRDefault="007F6723" w:rsidP="00181CF8">
            <w:pPr>
              <w:pStyle w:val="Tabletextcentred"/>
              <w:keepNext/>
              <w:jc w:val="right"/>
            </w:pPr>
            <w:r>
              <w:t>0.053</w:t>
            </w:r>
          </w:p>
        </w:tc>
        <w:tc>
          <w:tcPr>
            <w:tcW w:w="1806" w:type="pct"/>
          </w:tcPr>
          <w:p w14:paraId="3E10BD87" w14:textId="77777777" w:rsidR="007F6723" w:rsidRDefault="007F6723" w:rsidP="00181CF8">
            <w:pPr>
              <w:pStyle w:val="Tabletextcentred"/>
              <w:keepNext/>
              <w:jc w:val="right"/>
            </w:pPr>
            <w:r>
              <w:t>Neumann et al (1999)</w:t>
            </w:r>
          </w:p>
        </w:tc>
      </w:tr>
      <w:tr w:rsidR="007F6723" w14:paraId="3B136BDB" w14:textId="77777777" w:rsidTr="00181CF8">
        <w:tc>
          <w:tcPr>
            <w:tcW w:w="1705" w:type="pct"/>
          </w:tcPr>
          <w:p w14:paraId="7AAA03D2" w14:textId="77777777" w:rsidR="007F6723" w:rsidRDefault="007F6723" w:rsidP="00181CF8">
            <w:pPr>
              <w:pStyle w:val="Tabletextcentred"/>
              <w:keepNext/>
              <w:jc w:val="left"/>
            </w:pPr>
            <w:r>
              <w:t>Community to nursing home (individuals with moderate AD)</w:t>
            </w:r>
          </w:p>
        </w:tc>
        <w:tc>
          <w:tcPr>
            <w:tcW w:w="1489" w:type="pct"/>
          </w:tcPr>
          <w:p w14:paraId="67617F9B" w14:textId="77777777" w:rsidR="007F6723" w:rsidRDefault="007F6723" w:rsidP="00181CF8">
            <w:pPr>
              <w:pStyle w:val="Tabletextcentred"/>
              <w:keepNext/>
              <w:jc w:val="right"/>
            </w:pPr>
            <w:r>
              <w:t>0.110</w:t>
            </w:r>
          </w:p>
        </w:tc>
        <w:tc>
          <w:tcPr>
            <w:tcW w:w="1806" w:type="pct"/>
          </w:tcPr>
          <w:p w14:paraId="226941F0" w14:textId="77777777" w:rsidR="007F6723" w:rsidRDefault="007F6723" w:rsidP="00181CF8">
            <w:pPr>
              <w:pStyle w:val="Tabletextcentred"/>
              <w:keepNext/>
              <w:jc w:val="right"/>
            </w:pPr>
            <w:r>
              <w:t>Neumann et al (1999)</w:t>
            </w:r>
          </w:p>
        </w:tc>
      </w:tr>
      <w:tr w:rsidR="007F6723" w14:paraId="589D8DB6" w14:textId="77777777" w:rsidTr="00181CF8">
        <w:tc>
          <w:tcPr>
            <w:tcW w:w="1705" w:type="pct"/>
          </w:tcPr>
          <w:p w14:paraId="731D77F6" w14:textId="77777777" w:rsidR="007F6723" w:rsidRDefault="007F6723" w:rsidP="00181CF8">
            <w:pPr>
              <w:pStyle w:val="Tabletextcentred"/>
              <w:keepNext/>
              <w:jc w:val="left"/>
            </w:pPr>
            <w:r>
              <w:t>Severe AD to mild AD</w:t>
            </w:r>
          </w:p>
        </w:tc>
        <w:tc>
          <w:tcPr>
            <w:tcW w:w="1489" w:type="pct"/>
          </w:tcPr>
          <w:p w14:paraId="4C901C8A" w14:textId="77777777" w:rsidR="007F6723" w:rsidRDefault="007F6723" w:rsidP="00181CF8">
            <w:pPr>
              <w:pStyle w:val="Tabletextcentred"/>
              <w:keepNext/>
              <w:jc w:val="right"/>
            </w:pPr>
            <w:r>
              <w:t>0.000</w:t>
            </w:r>
          </w:p>
        </w:tc>
        <w:tc>
          <w:tcPr>
            <w:tcW w:w="1806" w:type="pct"/>
          </w:tcPr>
          <w:p w14:paraId="4FA3C3DB" w14:textId="77777777" w:rsidR="007F6723" w:rsidRDefault="007F6723" w:rsidP="00181CF8">
            <w:pPr>
              <w:pStyle w:val="Tabletextcentred"/>
              <w:keepNext/>
              <w:jc w:val="right"/>
            </w:pPr>
            <w:r>
              <w:t>Neumann et al (1999)</w:t>
            </w:r>
          </w:p>
        </w:tc>
      </w:tr>
      <w:tr w:rsidR="007F6723" w14:paraId="5101D6B0" w14:textId="77777777" w:rsidTr="00181CF8">
        <w:tc>
          <w:tcPr>
            <w:tcW w:w="1705" w:type="pct"/>
          </w:tcPr>
          <w:p w14:paraId="2F526133" w14:textId="77777777" w:rsidR="007F6723" w:rsidRDefault="007F6723" w:rsidP="00181CF8">
            <w:pPr>
              <w:pStyle w:val="Tabletextcentred"/>
              <w:keepNext/>
              <w:jc w:val="left"/>
            </w:pPr>
            <w:r>
              <w:t>Severe AD to moderate AD</w:t>
            </w:r>
          </w:p>
        </w:tc>
        <w:tc>
          <w:tcPr>
            <w:tcW w:w="1489" w:type="pct"/>
          </w:tcPr>
          <w:p w14:paraId="0667B274" w14:textId="77777777" w:rsidR="007F6723" w:rsidRDefault="007F6723" w:rsidP="00181CF8">
            <w:pPr>
              <w:pStyle w:val="Tabletextcentred"/>
              <w:keepNext/>
              <w:jc w:val="right"/>
            </w:pPr>
            <w:r>
              <w:t>0.000</w:t>
            </w:r>
          </w:p>
        </w:tc>
        <w:tc>
          <w:tcPr>
            <w:tcW w:w="1806" w:type="pct"/>
          </w:tcPr>
          <w:p w14:paraId="5335C636" w14:textId="77777777" w:rsidR="007F6723" w:rsidRDefault="007F6723" w:rsidP="00181CF8">
            <w:pPr>
              <w:pStyle w:val="Tabletextcentred"/>
              <w:keepNext/>
              <w:jc w:val="right"/>
            </w:pPr>
            <w:r>
              <w:t>Neumann et al (1999)</w:t>
            </w:r>
          </w:p>
        </w:tc>
      </w:tr>
      <w:tr w:rsidR="007F6723" w14:paraId="1D61621F" w14:textId="77777777" w:rsidTr="00181CF8">
        <w:tc>
          <w:tcPr>
            <w:tcW w:w="1705" w:type="pct"/>
          </w:tcPr>
          <w:p w14:paraId="4E960C4E" w14:textId="77777777" w:rsidR="007F6723" w:rsidRDefault="007F6723" w:rsidP="00181CF8">
            <w:pPr>
              <w:pStyle w:val="Tabletextcentred"/>
              <w:keepNext/>
              <w:jc w:val="left"/>
            </w:pPr>
            <w:r>
              <w:t>Severe AD to severe AD</w:t>
            </w:r>
          </w:p>
        </w:tc>
        <w:tc>
          <w:tcPr>
            <w:tcW w:w="1489" w:type="pct"/>
          </w:tcPr>
          <w:p w14:paraId="6D62FB87" w14:textId="77777777" w:rsidR="007F6723" w:rsidRDefault="007F6723" w:rsidP="00181CF8">
            <w:pPr>
              <w:pStyle w:val="Tabletextcentred"/>
              <w:keepNext/>
              <w:jc w:val="right"/>
            </w:pPr>
            <w:r>
              <w:t>0.847</w:t>
            </w:r>
          </w:p>
        </w:tc>
        <w:tc>
          <w:tcPr>
            <w:tcW w:w="1806" w:type="pct"/>
          </w:tcPr>
          <w:p w14:paraId="0958592A" w14:textId="77777777" w:rsidR="007F6723" w:rsidRDefault="007F6723" w:rsidP="00181CF8">
            <w:pPr>
              <w:pStyle w:val="Tabletextcentred"/>
              <w:keepNext/>
              <w:jc w:val="right"/>
            </w:pPr>
            <w:r>
              <w:t>Neumann et al (1999)</w:t>
            </w:r>
          </w:p>
        </w:tc>
      </w:tr>
      <w:tr w:rsidR="007F6723" w14:paraId="339BD608" w14:textId="77777777" w:rsidTr="00181CF8">
        <w:tc>
          <w:tcPr>
            <w:tcW w:w="1705" w:type="pct"/>
          </w:tcPr>
          <w:p w14:paraId="3BFE0C24" w14:textId="77777777" w:rsidR="007F6723" w:rsidRDefault="007F6723" w:rsidP="00181CF8">
            <w:pPr>
              <w:pStyle w:val="Tabletextcentred"/>
              <w:keepNext/>
              <w:jc w:val="left"/>
            </w:pPr>
            <w:r>
              <w:t xml:space="preserve">Severe AD to death </w:t>
            </w:r>
          </w:p>
        </w:tc>
        <w:tc>
          <w:tcPr>
            <w:tcW w:w="1489" w:type="pct"/>
          </w:tcPr>
          <w:p w14:paraId="1C24827E" w14:textId="77777777" w:rsidR="007F6723" w:rsidRDefault="007F6723" w:rsidP="00181CF8">
            <w:pPr>
              <w:pStyle w:val="Tabletextcentred"/>
              <w:keepNext/>
              <w:jc w:val="right"/>
            </w:pPr>
            <w:r>
              <w:t>0.153</w:t>
            </w:r>
          </w:p>
        </w:tc>
        <w:tc>
          <w:tcPr>
            <w:tcW w:w="1806" w:type="pct"/>
          </w:tcPr>
          <w:p w14:paraId="3FAEE534" w14:textId="77777777" w:rsidR="007F6723" w:rsidRDefault="007F6723" w:rsidP="00181CF8">
            <w:pPr>
              <w:pStyle w:val="Tabletextcentred"/>
              <w:keepNext/>
              <w:jc w:val="right"/>
            </w:pPr>
            <w:r>
              <w:t>Neumann et al (1999)</w:t>
            </w:r>
          </w:p>
        </w:tc>
      </w:tr>
    </w:tbl>
    <w:p w14:paraId="7C6EB816" w14:textId="77777777" w:rsidR="007F6723" w:rsidRDefault="007F6723" w:rsidP="007F6723">
      <w:pPr>
        <w:pStyle w:val="Tablefootnotes"/>
      </w:pPr>
      <w:r>
        <w:t>Abbreviations: AD, Alzheimer’s disease</w:t>
      </w:r>
    </w:p>
    <w:p w14:paraId="3E991343" w14:textId="77777777" w:rsidR="007F6723" w:rsidRDefault="007F6723" w:rsidP="007F6723">
      <w:pPr>
        <w:pStyle w:val="Tablefootnotes"/>
      </w:pPr>
      <w:r>
        <w:t>Note: No transition probability for severe community-based treatment to severe nursing home treatment is presented due to the assumption that all severe AD patients are residents of nursing homes due to disease severity</w:t>
      </w:r>
    </w:p>
    <w:p w14:paraId="1184C124" w14:textId="77777777" w:rsidR="007F6723" w:rsidRDefault="007F6723" w:rsidP="007F6723">
      <w:pPr>
        <w:pStyle w:val="Tablefootnotes"/>
      </w:pPr>
      <w:r w:rsidRPr="00877277">
        <w:rPr>
          <w:vertAlign w:val="superscript"/>
        </w:rPr>
        <w:t>a</w:t>
      </w:r>
      <w:r>
        <w:t xml:space="preserve"> Neumann et al (1999) included scope for individuals to ‘skip’ from mild to moderate disease. In light of the six-week cycle length of the model, this was deemed inappropriate. Instead, the sum of these probabilities was applied to the model (i.e. 0.322 + 0.042 = 0.364).</w:t>
      </w:r>
    </w:p>
    <w:p w14:paraId="2CF246B7" w14:textId="77777777" w:rsidR="007F6723" w:rsidRDefault="007F6723" w:rsidP="007F6723">
      <w:pPr>
        <w:pStyle w:val="Tablefootnotes"/>
      </w:pPr>
      <w:r w:rsidRPr="00877277">
        <w:rPr>
          <w:vertAlign w:val="superscript"/>
        </w:rPr>
        <w:t>b</w:t>
      </w:r>
      <w:r>
        <w:t xml:space="preserve"> Calculated by assuming no backward disease severity transitions.</w:t>
      </w:r>
    </w:p>
    <w:p w14:paraId="658F9CA4" w14:textId="77777777" w:rsidR="007F6723" w:rsidRPr="00021656" w:rsidRDefault="007F6723" w:rsidP="007F6723">
      <w:r>
        <w:t xml:space="preserve">The transition probabilities presented in </w:t>
      </w:r>
      <w:r>
        <w:fldChar w:fldCharType="begin"/>
      </w:r>
      <w:r>
        <w:instrText xml:space="preserve"> REF _Ref278713143 \h </w:instrText>
      </w:r>
      <w:r>
        <w:fldChar w:fldCharType="separate"/>
      </w:r>
      <w:r w:rsidR="00C67698">
        <w:t xml:space="preserve">Table </w:t>
      </w:r>
      <w:r w:rsidR="00C67698">
        <w:rPr>
          <w:noProof/>
        </w:rPr>
        <w:t>C.4</w:t>
      </w:r>
      <w:r w:rsidR="00C67698">
        <w:noBreakHyphen/>
      </w:r>
      <w:r w:rsidR="00C67698">
        <w:rPr>
          <w:noProof/>
        </w:rPr>
        <w:t>1</w:t>
      </w:r>
      <w:r>
        <w:fldChar w:fldCharType="end"/>
      </w:r>
      <w:r>
        <w:t xml:space="preserve"> were applied to the economic model presented in Section D. Specifically, these data were applied to those individuals not on treatment for AD</w:t>
      </w:r>
      <w:r w:rsidRPr="00021656">
        <w:t xml:space="preserve">. They were, however, also used as a basis for the estimates of transition probabilities applied to those on AD drugs. This is discussed in Section </w:t>
      </w:r>
      <w:r w:rsidRPr="00021656">
        <w:fldChar w:fldCharType="begin"/>
      </w:r>
      <w:r w:rsidRPr="00021656">
        <w:instrText xml:space="preserve"> REF _Ref278649120 \r \h </w:instrText>
      </w:r>
      <w:r w:rsidRPr="00021656">
        <w:fldChar w:fldCharType="separate"/>
      </w:r>
      <w:r w:rsidR="00C67698">
        <w:t>C.5</w:t>
      </w:r>
      <w:r w:rsidRPr="00021656">
        <w:fldChar w:fldCharType="end"/>
      </w:r>
      <w:r w:rsidRPr="00021656">
        <w:t xml:space="preserve"> below. </w:t>
      </w:r>
    </w:p>
    <w:p w14:paraId="51792854" w14:textId="77777777" w:rsidR="007F6723" w:rsidRDefault="007F6723" w:rsidP="007F6723">
      <w:r w:rsidRPr="00021656">
        <w:t>The impact of any uncertainty around the transition probabilities was examined in sensitivity analyses presented in Section D.6.</w:t>
      </w:r>
    </w:p>
    <w:p w14:paraId="300CF5CF" w14:textId="77777777" w:rsidR="007F6723" w:rsidRDefault="007F6723" w:rsidP="007F6723">
      <w:pPr>
        <w:pStyle w:val="Heading2"/>
      </w:pPr>
      <w:bookmarkStart w:id="167" w:name="_Ref278649120"/>
      <w:bookmarkStart w:id="168" w:name="_Toc406172429"/>
      <w:bookmarkStart w:id="169" w:name="_Toc408845173"/>
      <w:r>
        <w:t>Issue 4: Treatment effect associated with drugs to treat Alzheimer’s disease</w:t>
      </w:r>
      <w:bookmarkEnd w:id="167"/>
      <w:bookmarkEnd w:id="168"/>
      <w:bookmarkEnd w:id="169"/>
    </w:p>
    <w:p w14:paraId="7C3ED120" w14:textId="77777777" w:rsidR="007F6723" w:rsidRPr="000128A2" w:rsidRDefault="007F6723" w:rsidP="007F6723">
      <w:r>
        <w:t xml:space="preserve">While Section </w:t>
      </w:r>
      <w:r>
        <w:fldChar w:fldCharType="begin"/>
      </w:r>
      <w:r>
        <w:instrText xml:space="preserve"> REF _Ref278649011 \r \h </w:instrText>
      </w:r>
      <w:r>
        <w:fldChar w:fldCharType="separate"/>
      </w:r>
      <w:r w:rsidR="00C67698">
        <w:t>C.4</w:t>
      </w:r>
      <w:r>
        <w:fldChar w:fldCharType="end"/>
      </w:r>
      <w:r>
        <w:t xml:space="preserve"> presented transition probabilities to be used in the economic model to transition untreated patients through the natural history of AD, the model also required estimates of treatment effect to ensure that the impact of treatment was accounted for in the calculation of cost-effectiveness. Although it is true that the assessment is focused on diagnostic testing, the cost-effectiveness of this is intrinsically linked with the effectiveness of downstream treatment options; if, for example, treatment were not effective, there would be no benefit associated with diagnosis. The impact of treatment with AChEIs and memantine was required for the modelling.</w:t>
      </w:r>
    </w:p>
    <w:p w14:paraId="10E9AB0B" w14:textId="77777777" w:rsidR="007F6723" w:rsidRDefault="007F6723" w:rsidP="007F6723">
      <w:pPr>
        <w:pStyle w:val="Heading3"/>
      </w:pPr>
      <w:r>
        <w:t>Focused analytical plan</w:t>
      </w:r>
    </w:p>
    <w:p w14:paraId="6F53868E" w14:textId="77777777" w:rsidR="007F6723" w:rsidRDefault="007F6723" w:rsidP="007F6723">
      <w:r>
        <w:t xml:space="preserve">The cost-effectiveness studies presented in Section </w:t>
      </w:r>
      <w:r>
        <w:fldChar w:fldCharType="begin"/>
      </w:r>
      <w:r>
        <w:instrText xml:space="preserve"> REF _Ref278649011 \r \h </w:instrText>
      </w:r>
      <w:r>
        <w:fldChar w:fldCharType="separate"/>
      </w:r>
      <w:r w:rsidR="00C67698">
        <w:t>C.4</w:t>
      </w:r>
      <w:r>
        <w:fldChar w:fldCharType="end"/>
      </w:r>
      <w:r>
        <w:t xml:space="preserve"> were examined to source appropriate estimates of treatment effect in AD patients, or relevant transition probabilities that could be applied to such patients in the economic model presented in Section D. Any potential estimates were assessed in light of the model structure to ensure compatibility with a structure which differentiates individuals by disease severity and (if appropriate) residential status in accordance with the model structure. The process was approached by acknowledging that, where appropriate, more recent </w:t>
      </w:r>
      <w:r>
        <w:lastRenderedPageBreak/>
        <w:t>estimates/transition probabilities should (other things being equal) be given priority over older estimates.</w:t>
      </w:r>
    </w:p>
    <w:p w14:paraId="725DF350" w14:textId="1314D55D" w:rsidR="007F6723" w:rsidRDefault="007F6723" w:rsidP="007F6723">
      <w:r>
        <w:t xml:space="preserve">The broad literature search referred to in Section </w:t>
      </w:r>
      <w:r>
        <w:fldChar w:fldCharType="begin"/>
      </w:r>
      <w:r>
        <w:instrText xml:space="preserve"> REF _Ref278640733 \r \h </w:instrText>
      </w:r>
      <w:r>
        <w:fldChar w:fldCharType="separate"/>
      </w:r>
      <w:r w:rsidR="00C67698">
        <w:t>C.3</w:t>
      </w:r>
      <w:r>
        <w:fldChar w:fldCharType="end"/>
      </w:r>
      <w:r>
        <w:t xml:space="preserve"> was also used to identify any potentially relevant Australian sources that may have been missed in the search described above. The </w:t>
      </w:r>
      <w:r w:rsidR="00A71AB3">
        <w:t xml:space="preserve">search strategy is described in </w:t>
      </w:r>
      <w:r w:rsidR="003715BC">
        <w:fldChar w:fldCharType="begin"/>
      </w:r>
      <w:r w:rsidR="003715BC">
        <w:instrText xml:space="preserve"> REF _Ref404854563 \w \h </w:instrText>
      </w:r>
      <w:r w:rsidR="003715BC">
        <w:fldChar w:fldCharType="separate"/>
      </w:r>
      <w:r w:rsidR="00C67698">
        <w:t>Appendix 2</w:t>
      </w:r>
      <w:r w:rsidR="003715BC">
        <w:fldChar w:fldCharType="end"/>
      </w:r>
      <w:r w:rsidR="003715BC">
        <w:t xml:space="preserve">. </w:t>
      </w:r>
    </w:p>
    <w:p w14:paraId="194C3C7A" w14:textId="77777777" w:rsidR="007F6723" w:rsidRDefault="007F6723" w:rsidP="007F6723">
      <w:pPr>
        <w:pStyle w:val="Heading3"/>
      </w:pPr>
      <w:r>
        <w:t>Results of the pre-modelling study</w:t>
      </w:r>
    </w:p>
    <w:p w14:paraId="1CB8C3E7" w14:textId="77777777" w:rsidR="007F6723" w:rsidRDefault="007F6723" w:rsidP="007F6723">
      <w:r>
        <w:t>Neumann et al (1999), which was discussed previously, applied a 50% reduction in the probability of transition from mild to moderate AD (a risk ratio of 0.5) and a 2.36-fold increase in the probability of progression from moderate to mild AD in the presence of treatment with donepezil. The estimate was based on the author’s own calculations of data from a 24-week double-blind, placebo controlled trial of donepezil in AD patients (Rogers et al, 1998). The effects were assumed to be constant throughout the duration of treatment, with no residual effect at discontinuation.</w:t>
      </w:r>
    </w:p>
    <w:p w14:paraId="77403581" w14:textId="77777777" w:rsidR="007F6723" w:rsidRDefault="007F6723" w:rsidP="007F6723">
      <w:r>
        <w:t>This approach has subsequently been applied in a number of cost-effectiveness models building upon the Neumann et al (1999) study (McMahon et al, 2000; Lopez-Bastida et al, 2009; Fuh and Wang, 2007; Kirbach et al, 2008; Marikainen et al, 2004; Ikeda et al, 2002; Kulasingam et al, 2003).</w:t>
      </w:r>
    </w:p>
    <w:p w14:paraId="755185BA" w14:textId="77777777" w:rsidR="007F6723" w:rsidRDefault="007F6723" w:rsidP="007F6723">
      <w:r>
        <w:t>No other studies were identified that presented treatment effect estimates which could be applied to the model’s natural history transition probabilities discussed above.</w:t>
      </w:r>
    </w:p>
    <w:p w14:paraId="5384381D" w14:textId="4E9C0958" w:rsidR="007F6723" w:rsidRDefault="007F6723" w:rsidP="007F6723">
      <w:r>
        <w:t>A</w:t>
      </w:r>
      <w:r w:rsidRPr="001D5E74">
        <w:t xml:space="preserve"> </w:t>
      </w:r>
      <w:r>
        <w:t>NICE HTA</w:t>
      </w:r>
      <w:r w:rsidRPr="001D5E74">
        <w:t xml:space="preserve"> </w:t>
      </w:r>
      <w:r>
        <w:t>(</w:t>
      </w:r>
      <w:r w:rsidRPr="001D5E74">
        <w:t xml:space="preserve">Hyde </w:t>
      </w:r>
      <w:r>
        <w:t xml:space="preserve">et al, 2013) </w:t>
      </w:r>
      <w:r w:rsidRPr="001D5E74">
        <w:t xml:space="preserve">was conducted to re-consider and update the evidence base used to </w:t>
      </w:r>
      <w:r>
        <w:t xml:space="preserve">inform the 2007 NICE decision. </w:t>
      </w:r>
      <w:r w:rsidRPr="001D5E74">
        <w:t xml:space="preserve">They noted that from 2004 to 2010 “there was no new clinical effectiveness evidence on the impact on rates of, or time to institutionalisation and the clinical importance of the small statistically significant observed changes in cognition, function and behaviour remained unconfirmed. Current estimates of time to institutionalisation and the benefits which flow from this in terms of improved </w:t>
      </w:r>
      <w:r>
        <w:t>QoL</w:t>
      </w:r>
      <w:r w:rsidRPr="001D5E74">
        <w:t xml:space="preserve"> and reduced cost are based almost wholly on predictions made by models. Although this is an important source of uncertainty, it is highly likely that this will be resolved empirically, as it would almost certainly be deemed unethical to perform an RCT to establish the effect on time to institutionalisation when individual effects on cognition, function and behaviour and global impact are relatively well established</w:t>
      </w:r>
      <w:r>
        <w:t xml:space="preserve"> […]. </w:t>
      </w:r>
      <w:r w:rsidRPr="001D5E74">
        <w:t>Fortunately it is likely that the cost of the AChEIs will fall as generic preparations emerge, increasing the likelihood that drug costs are indeed off</w:t>
      </w:r>
      <w:r w:rsidR="00EB2552">
        <w:t>set</w:t>
      </w:r>
      <w:r w:rsidRPr="001D5E74">
        <w:t xml:space="preserve"> by savings in the large costs as</w:t>
      </w:r>
      <w:r>
        <w:t>sociated with full time care”. This may go some way to explain the absence of an appropriate estimate of treatment effect relevant to AChEIs since the publication of the estimate by Neumann et al (1999).</w:t>
      </w:r>
    </w:p>
    <w:p w14:paraId="1269A101" w14:textId="77777777" w:rsidR="007F6723" w:rsidRPr="007D4868" w:rsidRDefault="007F6723" w:rsidP="007F6723">
      <w:r w:rsidRPr="00D0329D">
        <w:t>Jones et al (2004) reports memantine transition probabilities</w:t>
      </w:r>
      <w:r>
        <w:t xml:space="preserve"> sourced from Reisberg et al (2003), from</w:t>
      </w:r>
      <w:r w:rsidRPr="00D0329D">
        <w:t xml:space="preserve"> which </w:t>
      </w:r>
      <w:r>
        <w:t>a</w:t>
      </w:r>
      <w:r w:rsidRPr="00D0329D">
        <w:t xml:space="preserve"> treatment effect could be estimated. In moderately severe patients (MMSE 10-14), 19 of 52 placebo patients progressed to s</w:t>
      </w:r>
      <w:r>
        <w:t>evere AD in a six-month period</w:t>
      </w:r>
      <w:r w:rsidRPr="00D0329D">
        <w:t>. In the memantine arm, 9 of 57 individuals progressed. This gave a relative risk estimate of 0.</w:t>
      </w:r>
      <w:r>
        <w:t xml:space="preserve">8026 </w:t>
      </w:r>
      <w:r w:rsidRPr="00D0329D">
        <w:t>for moderately severe patients.</w:t>
      </w:r>
    </w:p>
    <w:p w14:paraId="79526F7D" w14:textId="77777777" w:rsidR="007F6723" w:rsidRDefault="007F6723" w:rsidP="007F6723">
      <w:pPr>
        <w:pStyle w:val="Heading3"/>
      </w:pPr>
      <w:r>
        <w:t>Relationship of the pre-modelling study to the economic evaluation</w:t>
      </w:r>
    </w:p>
    <w:p w14:paraId="6A8BFD3A" w14:textId="77777777" w:rsidR="007F6723" w:rsidRPr="00021656" w:rsidRDefault="007F6723" w:rsidP="007F6723">
      <w:r>
        <w:t xml:space="preserve">The estimate from Neumann et al (1999), though several years old, remains the best estimate of the AChEI treatment effect that could be applied to mild AD patients in the model presented in Section D. </w:t>
      </w:r>
      <w:r w:rsidRPr="00021656">
        <w:t xml:space="preserve">That is, the model applied a 50% reduction in the natural </w:t>
      </w:r>
      <w:r w:rsidRPr="00021656">
        <w:lastRenderedPageBreak/>
        <w:t>history transition probabilities to mild patients on drug treatment (assumed to take the form of AChEI, as discussed in more detail in Section D). The uncertainty around this estimate is acknowledged, however, and the impact is accordingly tested in sensitivity analyses presented in Section D.6.</w:t>
      </w:r>
    </w:p>
    <w:p w14:paraId="177E8CCA" w14:textId="45C7658A" w:rsidR="007F6723" w:rsidRPr="00B20A1B" w:rsidRDefault="007F6723" w:rsidP="007F6723">
      <w:r w:rsidRPr="00021656">
        <w:t>With regards to the estimate to be applied to individuals treated with memantine (assumed to be the treatment given to moderate patients in the model), the natural history estimate was adjusted by the treatment effect estimated from Jones et al (2004)</w:t>
      </w:r>
      <w:r>
        <w:t xml:space="preserve"> – </w:t>
      </w:r>
      <w:r w:rsidRPr="00021656">
        <w:t>a 19.74% reduction in transi</w:t>
      </w:r>
      <w:r>
        <w:t>tion from moderate to severe AD</w:t>
      </w:r>
      <w:r w:rsidRPr="00021656">
        <w:t xml:space="preserve">. It is acknowledged that the estimate is specific to a subgroup of moderate patients only (i.e. moderately severe patients), </w:t>
      </w:r>
      <w:r>
        <w:t>al</w:t>
      </w:r>
      <w:r w:rsidRPr="00021656">
        <w:t>though it remains the only appropriate estimate</w:t>
      </w:r>
      <w:r>
        <w:t xml:space="preserve"> available</w:t>
      </w:r>
      <w:r w:rsidRPr="00021656">
        <w:t>. For this reason, and due to the uncertainty inherent in any estimate of this type</w:t>
      </w:r>
      <w:r w:rsidR="007C77F5">
        <w:t>,</w:t>
      </w:r>
      <w:r w:rsidRPr="00021656">
        <w:t xml:space="preserve"> the sensitivity analyses presented in Section D.6 consider the impact this has on the base case result.</w:t>
      </w:r>
    </w:p>
    <w:p w14:paraId="6CEBD861" w14:textId="77777777" w:rsidR="007F6723" w:rsidRDefault="007F6723" w:rsidP="007F6723">
      <w:pPr>
        <w:pStyle w:val="Heading2"/>
      </w:pPr>
      <w:bookmarkStart w:id="170" w:name="_Ref278640902"/>
      <w:bookmarkStart w:id="171" w:name="_Toc406172430"/>
      <w:bookmarkStart w:id="172" w:name="_Toc408845174"/>
      <w:bookmarkEnd w:id="150"/>
      <w:r>
        <w:t>Issue 5: Utility weights to inform the QALY transformations of the economic model</w:t>
      </w:r>
      <w:bookmarkEnd w:id="151"/>
      <w:bookmarkEnd w:id="170"/>
      <w:bookmarkEnd w:id="171"/>
      <w:bookmarkEnd w:id="172"/>
    </w:p>
    <w:p w14:paraId="2ED8E784" w14:textId="5005280B" w:rsidR="007F6723" w:rsidRDefault="007F6723" w:rsidP="007F6723">
      <w:r>
        <w:t>The economic model presented in Section D relies on the transformation of the health-related quality of life (HRQoL) associated with AD into quality</w:t>
      </w:r>
      <w:r w:rsidR="0064732B">
        <w:t>-</w:t>
      </w:r>
      <w:r>
        <w:t>adjusted life years (QALYs). In order to do so, the model requires utility weights differentiated by disease severity and institutional setting (i.e. whether patients are in the community or have been placed in nursing care).</w:t>
      </w:r>
    </w:p>
    <w:p w14:paraId="52368A8B" w14:textId="77777777" w:rsidR="007F6723" w:rsidRPr="00B12571" w:rsidRDefault="007F6723" w:rsidP="007F6723">
      <w:r>
        <w:t>The following section presents the pre-modelling study aimed at sourcing appropriate utility weights to apply to the economic model.</w:t>
      </w:r>
    </w:p>
    <w:p w14:paraId="116DDD4D" w14:textId="77777777" w:rsidR="007F6723" w:rsidRDefault="007F6723" w:rsidP="007F6723">
      <w:pPr>
        <w:pStyle w:val="Heading3"/>
      </w:pPr>
      <w:r>
        <w:t>Focused analytical plan</w:t>
      </w:r>
    </w:p>
    <w:p w14:paraId="3ECF8E8B" w14:textId="77777777" w:rsidR="007F6723" w:rsidRDefault="007F6723" w:rsidP="007F6723">
      <w:r>
        <w:t>The economic model presented in Section D considers not only the diagnostic testing of individuals with suspected AD, but also the downstream impact of identification of AD. Consequently, it is necessary for the model to include the natural history of AD and its progression over time as well as the impact of treatment. Since it is expected that HRQoL will worsen with AD severity, and as patients move to more intensive care (i.e. from the community to nursing care), utility values were required to represent the associated health states.</w:t>
      </w:r>
    </w:p>
    <w:p w14:paraId="3B9C2D7C" w14:textId="434371E0" w:rsidR="007F6723" w:rsidRDefault="007F6723" w:rsidP="007F6723">
      <w:r>
        <w:t xml:space="preserve">A literature review was conducted to source utility weights to appropriately represent the health states of the economic model. Specifically, the search was aimed at identifying </w:t>
      </w:r>
      <w:r w:rsidRPr="00595D45">
        <w:t>published studies that derive utility weights</w:t>
      </w:r>
      <w:r>
        <w:t xml:space="preserve"> from</w:t>
      </w:r>
      <w:r w:rsidRPr="00595D45">
        <w:t xml:space="preserve"> a multi-attribute utility instrument (MAUI). </w:t>
      </w:r>
      <w:r>
        <w:t xml:space="preserve">Electronic searches of PubMed and the Cochrane Library were conducted using the search terms and eligibility criteria outlined in </w:t>
      </w:r>
      <w:r w:rsidR="003715BC">
        <w:rPr>
          <w:highlight w:val="yellow"/>
        </w:rPr>
        <w:fldChar w:fldCharType="begin"/>
      </w:r>
      <w:r w:rsidR="003715BC">
        <w:instrText xml:space="preserve"> REF _Ref404854563 \w \h </w:instrText>
      </w:r>
      <w:r w:rsidR="003715BC">
        <w:rPr>
          <w:highlight w:val="yellow"/>
        </w:rPr>
      </w:r>
      <w:r w:rsidR="003715BC">
        <w:rPr>
          <w:highlight w:val="yellow"/>
        </w:rPr>
        <w:fldChar w:fldCharType="separate"/>
      </w:r>
      <w:r w:rsidR="00C67698">
        <w:t>Appendix 2</w:t>
      </w:r>
      <w:r w:rsidR="003715BC">
        <w:rPr>
          <w:highlight w:val="yellow"/>
        </w:rPr>
        <w:fldChar w:fldCharType="end"/>
      </w:r>
      <w:r>
        <w:t xml:space="preserve">. </w:t>
      </w:r>
    </w:p>
    <w:p w14:paraId="7189B05B" w14:textId="7A567D07" w:rsidR="007F6723" w:rsidRPr="00B678BC" w:rsidRDefault="007F6723" w:rsidP="007F6723">
      <w:r>
        <w:t xml:space="preserve">The broad literature search referred to in Section </w:t>
      </w:r>
      <w:r>
        <w:fldChar w:fldCharType="begin"/>
      </w:r>
      <w:r>
        <w:instrText xml:space="preserve"> REF _Ref278640733 \r \h </w:instrText>
      </w:r>
      <w:r>
        <w:fldChar w:fldCharType="separate"/>
      </w:r>
      <w:r w:rsidR="00C67698">
        <w:t>C.3</w:t>
      </w:r>
      <w:r>
        <w:fldChar w:fldCharType="end"/>
      </w:r>
      <w:r>
        <w:t xml:space="preserve"> was also used to identify any potentially relevant Australian sources that may have been missed in the search described above, although this did not yield any additional studies in this case. The search strategy is described in </w:t>
      </w:r>
      <w:r w:rsidR="003715BC">
        <w:rPr>
          <w:highlight w:val="yellow"/>
        </w:rPr>
        <w:fldChar w:fldCharType="begin"/>
      </w:r>
      <w:r w:rsidR="003715BC">
        <w:instrText xml:space="preserve"> REF _Ref404854563 \w \h </w:instrText>
      </w:r>
      <w:r w:rsidR="003715BC">
        <w:rPr>
          <w:highlight w:val="yellow"/>
        </w:rPr>
      </w:r>
      <w:r w:rsidR="003715BC">
        <w:rPr>
          <w:highlight w:val="yellow"/>
        </w:rPr>
        <w:fldChar w:fldCharType="separate"/>
      </w:r>
      <w:r w:rsidR="00C67698">
        <w:t>Appendix 2</w:t>
      </w:r>
      <w:r w:rsidR="003715BC">
        <w:rPr>
          <w:highlight w:val="yellow"/>
        </w:rPr>
        <w:fldChar w:fldCharType="end"/>
      </w:r>
      <w:r w:rsidR="003715BC">
        <w:t>.</w:t>
      </w:r>
    </w:p>
    <w:p w14:paraId="4A3F89BF" w14:textId="77777777" w:rsidR="007F6723" w:rsidRDefault="007F6723" w:rsidP="007F6723">
      <w:pPr>
        <w:pStyle w:val="Heading3"/>
      </w:pPr>
      <w:r>
        <w:t>Results of the pre-modelling study</w:t>
      </w:r>
    </w:p>
    <w:p w14:paraId="02943371" w14:textId="1B77D56E" w:rsidR="007F6723" w:rsidRDefault="007F6723" w:rsidP="007F6723">
      <w:r>
        <w:t>The process used to identify relevant studies from the search re</w:t>
      </w:r>
      <w:r w:rsidR="006A6C31">
        <w:t xml:space="preserve">sults is presented in </w:t>
      </w:r>
      <w:r w:rsidR="006A6C31">
        <w:fldChar w:fldCharType="begin"/>
      </w:r>
      <w:r w:rsidR="006A6C31">
        <w:instrText xml:space="preserve"> REF _Ref404854563 \w \h </w:instrText>
      </w:r>
      <w:r w:rsidR="006A6C31">
        <w:fldChar w:fldCharType="separate"/>
      </w:r>
      <w:r w:rsidR="00C67698">
        <w:t>Appendix 2</w:t>
      </w:r>
      <w:r w:rsidR="006A6C31">
        <w:fldChar w:fldCharType="end"/>
      </w:r>
      <w:r>
        <w:t xml:space="preserve">. The literature search identified four published systematic reviews of utility weights in individuals with AD and/or dementia, although one study had a broader focus on mental disorders (Sonntag et al, 2013) and another had a focus on Japanese literature </w:t>
      </w:r>
      <w:r>
        <w:lastRenderedPageBreak/>
        <w:t xml:space="preserve">(Kasai et al, 2013). In addition, the literature search identified two HTAs of pharmacotherapy for the treatment of AD that included a systematic review of utility weights for use in an economic model for NICE decision-making (Loveman et al, 2006; Bond et al, 2012). Nine original studies that derived utility weights for patients with AD were reviewed in full. </w:t>
      </w:r>
    </w:p>
    <w:p w14:paraId="0A861B5E" w14:textId="77777777" w:rsidR="007F6723" w:rsidRDefault="007F6723" w:rsidP="007F6723">
      <w:r>
        <w:t xml:space="preserve">Citation details for the systematic reviews are shown in </w:t>
      </w:r>
      <w:r>
        <w:rPr>
          <w:highlight w:val="yellow"/>
        </w:rPr>
        <w:fldChar w:fldCharType="begin"/>
      </w:r>
      <w:r>
        <w:instrText xml:space="preserve"> REF _Ref278703552 \h </w:instrText>
      </w:r>
      <w:r>
        <w:rPr>
          <w:highlight w:val="yellow"/>
        </w:rPr>
      </w:r>
      <w:r>
        <w:rPr>
          <w:highlight w:val="yellow"/>
        </w:rPr>
        <w:fldChar w:fldCharType="separate"/>
      </w:r>
      <w:r w:rsidR="00C67698">
        <w:t xml:space="preserve">Table </w:t>
      </w:r>
      <w:r w:rsidR="00C67698">
        <w:rPr>
          <w:noProof/>
        </w:rPr>
        <w:t>C.6</w:t>
      </w:r>
      <w:r w:rsidR="00C67698">
        <w:noBreakHyphen/>
      </w:r>
      <w:r w:rsidR="00C67698">
        <w:rPr>
          <w:noProof/>
        </w:rPr>
        <w:t>1</w:t>
      </w:r>
      <w:r>
        <w:rPr>
          <w:highlight w:val="yellow"/>
        </w:rPr>
        <w:fldChar w:fldCharType="end"/>
      </w:r>
      <w:r>
        <w:t xml:space="preserve">, while the original studies are presented in </w:t>
      </w:r>
      <w:r>
        <w:fldChar w:fldCharType="begin"/>
      </w:r>
      <w:r>
        <w:instrText xml:space="preserve"> REF _Ref278106157 \h </w:instrText>
      </w:r>
      <w:r>
        <w:fldChar w:fldCharType="separate"/>
      </w:r>
      <w:r w:rsidR="00C67698">
        <w:t xml:space="preserve">Table </w:t>
      </w:r>
      <w:r w:rsidR="00C67698">
        <w:rPr>
          <w:noProof/>
        </w:rPr>
        <w:t>C.6</w:t>
      </w:r>
      <w:r w:rsidR="00C67698">
        <w:noBreakHyphen/>
      </w:r>
      <w:r w:rsidR="00C67698">
        <w:rPr>
          <w:noProof/>
        </w:rPr>
        <w:t>2</w:t>
      </w:r>
      <w:r>
        <w:fldChar w:fldCharType="end"/>
      </w:r>
      <w:r>
        <w:t>.</w:t>
      </w:r>
    </w:p>
    <w:p w14:paraId="55D4AA29" w14:textId="25A1298C" w:rsidR="007F6723" w:rsidRDefault="007F6723" w:rsidP="007F6723">
      <w:pPr>
        <w:pStyle w:val="Caption"/>
      </w:pPr>
      <w:bookmarkStart w:id="173" w:name="_Ref278703552"/>
      <w:bookmarkStart w:id="174" w:name="_Toc406172474"/>
      <w:bookmarkStart w:id="175" w:name="_Toc408845228"/>
      <w:r>
        <w:t xml:space="preserve">Table </w:t>
      </w:r>
      <w:fldSimple w:instr=" STYLEREF 2 \s ">
        <w:r w:rsidR="00C67698">
          <w:rPr>
            <w:noProof/>
          </w:rPr>
          <w:t>C.6</w:t>
        </w:r>
      </w:fldSimple>
      <w:r w:rsidR="00524916">
        <w:noBreakHyphen/>
      </w:r>
      <w:fldSimple w:instr=" SEQ Table \* ARABIC \s 2 ">
        <w:r w:rsidR="00C67698">
          <w:rPr>
            <w:noProof/>
          </w:rPr>
          <w:t>1</w:t>
        </w:r>
      </w:fldSimple>
      <w:bookmarkEnd w:id="173"/>
      <w:r>
        <w:tab/>
        <w:t>Citation details for systematic reviews of utility weights relevant to AD and dementia</w:t>
      </w:r>
      <w:bookmarkEnd w:id="174"/>
      <w:bookmarkEnd w:id="175"/>
    </w:p>
    <w:tbl>
      <w:tblPr>
        <w:tblStyle w:val="TableGrid"/>
        <w:tblW w:w="0" w:type="auto"/>
        <w:tblInd w:w="720" w:type="dxa"/>
        <w:tblLook w:val="04A0" w:firstRow="1" w:lastRow="0" w:firstColumn="1" w:lastColumn="0" w:noHBand="0" w:noVBand="1"/>
        <w:tblCaption w:val="Citation details"/>
        <w:tblDescription w:val="Citation details for systematic reviews and HTAs of utility weights relevant to AD and dementia"/>
      </w:tblPr>
      <w:tblGrid>
        <w:gridCol w:w="1685"/>
        <w:gridCol w:w="6611"/>
      </w:tblGrid>
      <w:tr w:rsidR="007F6723" w14:paraId="1AD9A16C" w14:textId="77777777" w:rsidTr="00556738">
        <w:trPr>
          <w:tblHeader/>
        </w:trPr>
        <w:tc>
          <w:tcPr>
            <w:tcW w:w="1685" w:type="dxa"/>
            <w:tcBorders>
              <w:bottom w:val="single" w:sz="4" w:space="0" w:color="auto"/>
            </w:tcBorders>
          </w:tcPr>
          <w:p w14:paraId="5A90BC87" w14:textId="77777777" w:rsidR="007F6723" w:rsidRDefault="007F6723" w:rsidP="00181CF8">
            <w:pPr>
              <w:pStyle w:val="Tabletextboldleft"/>
            </w:pPr>
            <w:r>
              <w:t>Study ID</w:t>
            </w:r>
          </w:p>
        </w:tc>
        <w:tc>
          <w:tcPr>
            <w:tcW w:w="6611" w:type="dxa"/>
          </w:tcPr>
          <w:p w14:paraId="7D9D6932" w14:textId="77777777" w:rsidR="007F6723" w:rsidRDefault="007F6723" w:rsidP="00181CF8">
            <w:pPr>
              <w:pStyle w:val="Tabletextboldleft"/>
            </w:pPr>
            <w:r>
              <w:t>Citation</w:t>
            </w:r>
          </w:p>
        </w:tc>
      </w:tr>
      <w:tr w:rsidR="007F6723" w14:paraId="0B0F210F" w14:textId="77777777" w:rsidTr="00181CF8">
        <w:tc>
          <w:tcPr>
            <w:tcW w:w="1685" w:type="dxa"/>
            <w:tcBorders>
              <w:right w:val="nil"/>
            </w:tcBorders>
          </w:tcPr>
          <w:p w14:paraId="2A126242" w14:textId="77777777" w:rsidR="007F6723" w:rsidRPr="00DC7342" w:rsidRDefault="007F6723" w:rsidP="00181CF8">
            <w:pPr>
              <w:pStyle w:val="Tabletextcentred"/>
              <w:keepNext/>
              <w:jc w:val="left"/>
              <w:rPr>
                <w:b/>
              </w:rPr>
            </w:pPr>
            <w:r w:rsidRPr="00DC7342">
              <w:rPr>
                <w:b/>
              </w:rPr>
              <w:t>Published articles</w:t>
            </w:r>
          </w:p>
        </w:tc>
        <w:tc>
          <w:tcPr>
            <w:tcW w:w="6611" w:type="dxa"/>
            <w:tcBorders>
              <w:left w:val="nil"/>
            </w:tcBorders>
          </w:tcPr>
          <w:p w14:paraId="1E505665" w14:textId="77777777" w:rsidR="007F6723" w:rsidRPr="00D03086" w:rsidRDefault="007F6723" w:rsidP="00181CF8">
            <w:pPr>
              <w:pStyle w:val="Tabletextcentred"/>
              <w:keepNext/>
              <w:jc w:val="left"/>
            </w:pPr>
          </w:p>
        </w:tc>
      </w:tr>
      <w:tr w:rsidR="007F6723" w14:paraId="2FF11B51" w14:textId="77777777" w:rsidTr="00181CF8">
        <w:tc>
          <w:tcPr>
            <w:tcW w:w="1685" w:type="dxa"/>
          </w:tcPr>
          <w:p w14:paraId="5E73F10C" w14:textId="77777777" w:rsidR="007F6723" w:rsidRDefault="007F6723" w:rsidP="00181CF8">
            <w:pPr>
              <w:pStyle w:val="Tabletextcentred"/>
              <w:keepNext/>
              <w:jc w:val="left"/>
            </w:pPr>
            <w:r>
              <w:t>Hounsome 2011</w:t>
            </w:r>
          </w:p>
        </w:tc>
        <w:tc>
          <w:tcPr>
            <w:tcW w:w="6611" w:type="dxa"/>
          </w:tcPr>
          <w:p w14:paraId="20F346D5" w14:textId="77777777" w:rsidR="007F6723" w:rsidRDefault="007F6723" w:rsidP="00181CF8">
            <w:pPr>
              <w:pStyle w:val="Tabletextcentred"/>
              <w:keepNext/>
              <w:jc w:val="left"/>
            </w:pPr>
            <w:r w:rsidRPr="00D03086">
              <w:t>Hounsome</w:t>
            </w:r>
            <w:r>
              <w:t xml:space="preserve"> N, </w:t>
            </w:r>
            <w:r w:rsidRPr="00D03086">
              <w:t>Orrell</w:t>
            </w:r>
            <w:r>
              <w:t xml:space="preserve"> M, </w:t>
            </w:r>
            <w:r w:rsidRPr="00D03086">
              <w:t xml:space="preserve">Edwards </w:t>
            </w:r>
            <w:r>
              <w:t xml:space="preserve">RT </w:t>
            </w:r>
            <w:r w:rsidRPr="00D03086">
              <w:t>(2011) EQ-5D as a quality of life measure in people with dementia and their carers: evidence and key issues. Value Health 14(2):390-9.</w:t>
            </w:r>
          </w:p>
        </w:tc>
      </w:tr>
      <w:tr w:rsidR="007F6723" w14:paraId="70F70B02" w14:textId="77777777" w:rsidTr="00181CF8">
        <w:tc>
          <w:tcPr>
            <w:tcW w:w="1685" w:type="dxa"/>
          </w:tcPr>
          <w:p w14:paraId="4FB1C645" w14:textId="77777777" w:rsidR="007F6723" w:rsidRPr="00655847" w:rsidRDefault="007F6723" w:rsidP="00181CF8">
            <w:pPr>
              <w:pStyle w:val="Tabletextcentred"/>
              <w:keepNext/>
              <w:jc w:val="left"/>
            </w:pPr>
            <w:r>
              <w:t>Shearer 2012</w:t>
            </w:r>
          </w:p>
        </w:tc>
        <w:tc>
          <w:tcPr>
            <w:tcW w:w="6611" w:type="dxa"/>
          </w:tcPr>
          <w:p w14:paraId="721028B8" w14:textId="77777777" w:rsidR="007F6723" w:rsidRDefault="007F6723" w:rsidP="00181CF8">
            <w:pPr>
              <w:pStyle w:val="Tabletextcentred"/>
              <w:keepNext/>
              <w:jc w:val="left"/>
            </w:pPr>
            <w:r w:rsidRPr="00D03086">
              <w:t>Shearer</w:t>
            </w:r>
            <w:r>
              <w:t xml:space="preserve"> J, </w:t>
            </w:r>
            <w:r w:rsidRPr="00D03086">
              <w:t>Green</w:t>
            </w:r>
            <w:r>
              <w:t xml:space="preserve"> C</w:t>
            </w:r>
            <w:r w:rsidRPr="00D03086">
              <w:t xml:space="preserve">, Ritchie </w:t>
            </w:r>
            <w:r>
              <w:t xml:space="preserve">CW, </w:t>
            </w:r>
            <w:r w:rsidRPr="00D03086">
              <w:t>Zajicek</w:t>
            </w:r>
            <w:r>
              <w:t xml:space="preserve"> JP</w:t>
            </w:r>
            <w:r w:rsidRPr="00D03086">
              <w:t xml:space="preserve"> (2012) Health state values for use in the economic evaluation of treatments for Alzheimer's disease. Drugs Aging 29(1):31-43.</w:t>
            </w:r>
          </w:p>
        </w:tc>
      </w:tr>
      <w:tr w:rsidR="007F6723" w14:paraId="1F846135" w14:textId="77777777" w:rsidTr="00181CF8">
        <w:tc>
          <w:tcPr>
            <w:tcW w:w="1685" w:type="dxa"/>
          </w:tcPr>
          <w:p w14:paraId="506E48C8" w14:textId="77777777" w:rsidR="007F6723" w:rsidRPr="00655847" w:rsidRDefault="007F6723" w:rsidP="00181CF8">
            <w:pPr>
              <w:pStyle w:val="Tabletextcentred"/>
              <w:keepNext/>
              <w:jc w:val="left"/>
            </w:pPr>
            <w:r>
              <w:t>Kasai 2013</w:t>
            </w:r>
          </w:p>
        </w:tc>
        <w:tc>
          <w:tcPr>
            <w:tcW w:w="6611" w:type="dxa"/>
          </w:tcPr>
          <w:p w14:paraId="31EB00A4" w14:textId="77777777" w:rsidR="007F6723" w:rsidRDefault="007F6723" w:rsidP="00181CF8">
            <w:pPr>
              <w:pStyle w:val="Tabletextcentred"/>
              <w:keepNext/>
              <w:jc w:val="left"/>
            </w:pPr>
            <w:r w:rsidRPr="00D03086">
              <w:t xml:space="preserve">Kasai </w:t>
            </w:r>
            <w:r>
              <w:t>M,</w:t>
            </w:r>
            <w:r w:rsidRPr="00D03086">
              <w:t xml:space="preserve"> Meguro </w:t>
            </w:r>
            <w:r>
              <w:t xml:space="preserve">K </w:t>
            </w:r>
            <w:r w:rsidRPr="00D03086">
              <w:t>(2013) Estimated quality-adjusted life-year associated with the degree of activities of daily living in patients with Alzheimer's disease. Dement Geriatr Cogn Dis Extra 3(1):482-8.</w:t>
            </w:r>
          </w:p>
        </w:tc>
      </w:tr>
      <w:tr w:rsidR="007F6723" w14:paraId="02D8E5A5" w14:textId="77777777" w:rsidTr="00181CF8">
        <w:tc>
          <w:tcPr>
            <w:tcW w:w="1685" w:type="dxa"/>
            <w:tcBorders>
              <w:bottom w:val="single" w:sz="4" w:space="0" w:color="auto"/>
            </w:tcBorders>
          </w:tcPr>
          <w:p w14:paraId="3491E8A0" w14:textId="77777777" w:rsidR="007F6723" w:rsidRPr="00655847" w:rsidRDefault="007F6723" w:rsidP="00181CF8">
            <w:pPr>
              <w:pStyle w:val="Tabletextcentred"/>
              <w:keepNext/>
              <w:jc w:val="left"/>
            </w:pPr>
            <w:r>
              <w:t>Sonntag 2013</w:t>
            </w:r>
          </w:p>
        </w:tc>
        <w:tc>
          <w:tcPr>
            <w:tcW w:w="6611" w:type="dxa"/>
          </w:tcPr>
          <w:p w14:paraId="5C9608B5" w14:textId="77777777" w:rsidR="007F6723" w:rsidRDefault="007F6723" w:rsidP="00181CF8">
            <w:pPr>
              <w:pStyle w:val="Tabletextcentred"/>
              <w:keepNext/>
              <w:jc w:val="left"/>
            </w:pPr>
            <w:r w:rsidRPr="00D03086">
              <w:t>Sonntag</w:t>
            </w:r>
            <w:r>
              <w:t xml:space="preserve"> M</w:t>
            </w:r>
            <w:r w:rsidRPr="00D03086">
              <w:t xml:space="preserve">, Konig </w:t>
            </w:r>
            <w:r>
              <w:t xml:space="preserve">HH, </w:t>
            </w:r>
            <w:r w:rsidRPr="00D03086">
              <w:t>Konnopka</w:t>
            </w:r>
            <w:r>
              <w:t xml:space="preserve"> A</w:t>
            </w:r>
            <w:r w:rsidRPr="00D03086">
              <w:t xml:space="preserve"> (2013) The estimation of utility weights in cost-utility analysis for mental disorders: a systematic review. Pharmacoeconomics 31(12):1131-54.</w:t>
            </w:r>
          </w:p>
        </w:tc>
      </w:tr>
      <w:tr w:rsidR="007F6723" w14:paraId="17096586" w14:textId="77777777" w:rsidTr="00181CF8">
        <w:tc>
          <w:tcPr>
            <w:tcW w:w="1685" w:type="dxa"/>
            <w:tcBorders>
              <w:right w:val="nil"/>
            </w:tcBorders>
          </w:tcPr>
          <w:p w14:paraId="55EE8EE8" w14:textId="77777777" w:rsidR="007F6723" w:rsidRPr="00DC7342" w:rsidRDefault="007F6723" w:rsidP="00181CF8">
            <w:pPr>
              <w:pStyle w:val="Tabletextcentred"/>
              <w:keepNext/>
              <w:jc w:val="left"/>
              <w:rPr>
                <w:b/>
              </w:rPr>
            </w:pPr>
            <w:r w:rsidRPr="00DC7342">
              <w:rPr>
                <w:b/>
              </w:rPr>
              <w:t>HTAs</w:t>
            </w:r>
          </w:p>
        </w:tc>
        <w:tc>
          <w:tcPr>
            <w:tcW w:w="6611" w:type="dxa"/>
            <w:tcBorders>
              <w:left w:val="nil"/>
            </w:tcBorders>
          </w:tcPr>
          <w:p w14:paraId="3BED3B51" w14:textId="77777777" w:rsidR="007F6723" w:rsidRDefault="007F6723" w:rsidP="00181CF8">
            <w:pPr>
              <w:pStyle w:val="Tabletextcentred"/>
              <w:keepNext/>
              <w:jc w:val="left"/>
            </w:pPr>
          </w:p>
        </w:tc>
      </w:tr>
      <w:tr w:rsidR="007F6723" w14:paraId="692946AD" w14:textId="77777777" w:rsidTr="00181CF8">
        <w:tc>
          <w:tcPr>
            <w:tcW w:w="1685" w:type="dxa"/>
          </w:tcPr>
          <w:p w14:paraId="5E888A03" w14:textId="77777777" w:rsidR="007F6723" w:rsidRPr="00655847" w:rsidRDefault="007F6723" w:rsidP="00181CF8">
            <w:pPr>
              <w:pStyle w:val="Tabletextcentred"/>
              <w:keepNext/>
              <w:jc w:val="left"/>
            </w:pPr>
            <w:r>
              <w:t>Loveman 2006</w:t>
            </w:r>
          </w:p>
        </w:tc>
        <w:tc>
          <w:tcPr>
            <w:tcW w:w="6611" w:type="dxa"/>
          </w:tcPr>
          <w:p w14:paraId="3723881B" w14:textId="77777777" w:rsidR="007F6723" w:rsidRDefault="007F6723" w:rsidP="00181CF8">
            <w:pPr>
              <w:pStyle w:val="Tabletextcentred"/>
              <w:keepNext/>
              <w:jc w:val="left"/>
            </w:pPr>
            <w:r>
              <w:t>Loveman E, Green C, Kirby J, Takeda A, Picot J, Payne E, et al. The clinical and cost-effectiveness of donepezil, rivastigmine, galantamine and memantine for Alzheimer’s disease. Health Technol Assess 2006;10(1).</w:t>
            </w:r>
          </w:p>
        </w:tc>
      </w:tr>
      <w:tr w:rsidR="007F6723" w14:paraId="3DBE4CFC" w14:textId="77777777" w:rsidTr="00181CF8">
        <w:tc>
          <w:tcPr>
            <w:tcW w:w="1685" w:type="dxa"/>
          </w:tcPr>
          <w:p w14:paraId="6F895700" w14:textId="77777777" w:rsidR="007F6723" w:rsidRPr="00655847" w:rsidRDefault="007F6723" w:rsidP="00181CF8">
            <w:pPr>
              <w:pStyle w:val="Tabletextcentred"/>
              <w:keepNext/>
              <w:jc w:val="left"/>
            </w:pPr>
            <w:r>
              <w:t>Bond 2012</w:t>
            </w:r>
          </w:p>
        </w:tc>
        <w:tc>
          <w:tcPr>
            <w:tcW w:w="6611" w:type="dxa"/>
          </w:tcPr>
          <w:p w14:paraId="02DB9A62" w14:textId="77777777" w:rsidR="007F6723" w:rsidRDefault="007F6723" w:rsidP="00181CF8">
            <w:pPr>
              <w:pStyle w:val="Tabletextcentred"/>
              <w:keepNext/>
              <w:jc w:val="left"/>
            </w:pPr>
            <w:r>
              <w:t>Bond M, Rogers G, Peters J, Anderson R, Hoyle M, Miners A, et al. The effectiveness and cost-effectiveness of donepezil, galantamine, rivastigmine and memantine for the treatment of Alzheimer’s disease (review of Technology Appraisal No. 111): a systematic review and economic model. Health Technol Assess 2012;16(21).</w:t>
            </w:r>
          </w:p>
        </w:tc>
      </w:tr>
    </w:tbl>
    <w:p w14:paraId="489C3FE8" w14:textId="77777777" w:rsidR="007F6723" w:rsidRDefault="007F6723" w:rsidP="007F6723">
      <w:pPr>
        <w:ind w:left="0"/>
      </w:pPr>
    </w:p>
    <w:p w14:paraId="2D4C8864" w14:textId="77777777" w:rsidR="007F6723" w:rsidRDefault="007F6723" w:rsidP="007F6723">
      <w:pPr>
        <w:sectPr w:rsidR="007F6723" w:rsidSect="00F710E2">
          <w:footerReference w:type="default" r:id="rId27"/>
          <w:pgSz w:w="11906" w:h="16838" w:code="9"/>
          <w:pgMar w:top="1440" w:right="1440" w:bottom="1440" w:left="1440" w:header="680" w:footer="1021" w:gutter="0"/>
          <w:cols w:space="708"/>
          <w:docGrid w:linePitch="360"/>
        </w:sectPr>
      </w:pPr>
    </w:p>
    <w:p w14:paraId="6C192763" w14:textId="77777777" w:rsidR="007F6723" w:rsidRDefault="007F6723" w:rsidP="007F6723">
      <w:pPr>
        <w:ind w:left="0"/>
      </w:pPr>
    </w:p>
    <w:p w14:paraId="1C08F09C" w14:textId="4DC66C56" w:rsidR="007F6723" w:rsidRDefault="007F6723" w:rsidP="007F6723">
      <w:pPr>
        <w:pStyle w:val="Caption"/>
      </w:pPr>
      <w:bookmarkStart w:id="176" w:name="_Ref278106157"/>
      <w:bookmarkStart w:id="177" w:name="_Toc406172475"/>
      <w:bookmarkStart w:id="178" w:name="_Toc408845229"/>
      <w:r>
        <w:t xml:space="preserve">Table </w:t>
      </w:r>
      <w:fldSimple w:instr=" STYLEREF 2 \s ">
        <w:r w:rsidR="00C67698">
          <w:rPr>
            <w:noProof/>
          </w:rPr>
          <w:t>C.6</w:t>
        </w:r>
      </w:fldSimple>
      <w:r w:rsidR="00524916">
        <w:noBreakHyphen/>
      </w:r>
      <w:fldSimple w:instr=" SEQ Table \* ARABIC \s 2 ">
        <w:r w:rsidR="00C67698">
          <w:rPr>
            <w:noProof/>
          </w:rPr>
          <w:t>2</w:t>
        </w:r>
      </w:fldSimple>
      <w:bookmarkEnd w:id="176"/>
      <w:r>
        <w:tab/>
        <w:t>Studies evaluated in full to source utility weights for the economic model</w:t>
      </w:r>
      <w:bookmarkEnd w:id="177"/>
      <w:bookmarkEnd w:id="178"/>
    </w:p>
    <w:tbl>
      <w:tblPr>
        <w:tblStyle w:val="TableGrid"/>
        <w:tblW w:w="4748" w:type="pct"/>
        <w:tblInd w:w="704" w:type="dxa"/>
        <w:tblLayout w:type="fixed"/>
        <w:tblLook w:val="04A0" w:firstRow="1" w:lastRow="0" w:firstColumn="1" w:lastColumn="0" w:noHBand="0" w:noVBand="1"/>
        <w:tblCaption w:val="Studies evaluated in full to source utility weights for the economic model"/>
        <w:tblDescription w:val="The study characteristics and relevant results from nine studies evaluated in full for the economic model."/>
      </w:tblPr>
      <w:tblGrid>
        <w:gridCol w:w="1297"/>
        <w:gridCol w:w="3745"/>
        <w:gridCol w:w="4875"/>
        <w:gridCol w:w="3543"/>
      </w:tblGrid>
      <w:tr w:rsidR="007F6723" w14:paraId="31C1A13B" w14:textId="77777777" w:rsidTr="00181CF8">
        <w:trPr>
          <w:tblHeader/>
        </w:trPr>
        <w:tc>
          <w:tcPr>
            <w:tcW w:w="482" w:type="pct"/>
          </w:tcPr>
          <w:p w14:paraId="1E035D07" w14:textId="77777777" w:rsidR="007F6723" w:rsidRDefault="007F6723" w:rsidP="00181CF8">
            <w:pPr>
              <w:pStyle w:val="Tabletextboldleft"/>
            </w:pPr>
            <w:r>
              <w:t>Study</w:t>
            </w:r>
          </w:p>
        </w:tc>
        <w:tc>
          <w:tcPr>
            <w:tcW w:w="1391" w:type="pct"/>
          </w:tcPr>
          <w:p w14:paraId="02148C8B" w14:textId="77777777" w:rsidR="007F6723" w:rsidRDefault="007F6723" w:rsidP="00181CF8">
            <w:pPr>
              <w:pStyle w:val="Tabletextboldleft"/>
              <w:jc w:val="center"/>
            </w:pPr>
            <w:r>
              <w:t>Study description</w:t>
            </w:r>
          </w:p>
        </w:tc>
        <w:tc>
          <w:tcPr>
            <w:tcW w:w="1811" w:type="pct"/>
          </w:tcPr>
          <w:p w14:paraId="69607068" w14:textId="77777777" w:rsidR="007F6723" w:rsidRDefault="007F6723" w:rsidP="00181CF8">
            <w:pPr>
              <w:pStyle w:val="Tabletextboldleft"/>
              <w:jc w:val="center"/>
            </w:pPr>
            <w:r>
              <w:t>Relevant results</w:t>
            </w:r>
          </w:p>
        </w:tc>
        <w:tc>
          <w:tcPr>
            <w:tcW w:w="1316" w:type="pct"/>
          </w:tcPr>
          <w:p w14:paraId="33C543AA" w14:textId="77777777" w:rsidR="007F6723" w:rsidRDefault="007F6723" w:rsidP="00181CF8">
            <w:pPr>
              <w:pStyle w:val="Tabletextboldleft"/>
              <w:jc w:val="center"/>
            </w:pPr>
            <w:r>
              <w:t>Comments</w:t>
            </w:r>
          </w:p>
        </w:tc>
      </w:tr>
      <w:tr w:rsidR="007F6723" w14:paraId="55C505F8" w14:textId="77777777" w:rsidTr="00181CF8">
        <w:tc>
          <w:tcPr>
            <w:tcW w:w="482" w:type="pct"/>
          </w:tcPr>
          <w:p w14:paraId="6C53316B" w14:textId="77777777" w:rsidR="007F6723" w:rsidRDefault="007F6723" w:rsidP="00181CF8">
            <w:pPr>
              <w:pStyle w:val="Tabletextcentred"/>
              <w:jc w:val="left"/>
            </w:pPr>
            <w:r>
              <w:t>Bell et al (</w:t>
            </w:r>
            <w:r w:rsidRPr="001762AE">
              <w:t>2001</w:t>
            </w:r>
            <w:r>
              <w:t>)</w:t>
            </w:r>
          </w:p>
        </w:tc>
        <w:tc>
          <w:tcPr>
            <w:tcW w:w="1391" w:type="pct"/>
          </w:tcPr>
          <w:p w14:paraId="4E9BBFAB" w14:textId="77777777" w:rsidR="007F6723" w:rsidRPr="002D465E" w:rsidRDefault="007F6723" w:rsidP="00181CF8">
            <w:pPr>
              <w:pStyle w:val="Tabletextcentred"/>
              <w:jc w:val="left"/>
            </w:pPr>
            <w:r>
              <w:t>The HUI2, the SF-36, a caregiver time questionnaire and a caregiver burden instrument were administered to 679 caregivers to people with AD in the United States.  The aim was to examine the association between caregiver burden and caregiver HRQoL.</w:t>
            </w:r>
          </w:p>
        </w:tc>
        <w:tc>
          <w:tcPr>
            <w:tcW w:w="1811" w:type="pct"/>
          </w:tcPr>
          <w:p w14:paraId="4814EF3E" w14:textId="77777777" w:rsidR="007F6723" w:rsidRDefault="007F6723" w:rsidP="00181CF8">
            <w:pPr>
              <w:pStyle w:val="Tabletextcentred"/>
              <w:jc w:val="left"/>
            </w:pPr>
            <w:r>
              <w:t>HUI2, community patients:</w:t>
            </w:r>
          </w:p>
          <w:p w14:paraId="662AFB7B" w14:textId="77777777" w:rsidR="007F6723" w:rsidRDefault="007F6723" w:rsidP="00181CF8">
            <w:pPr>
              <w:pStyle w:val="Tabletextcentred"/>
              <w:jc w:val="left"/>
            </w:pPr>
            <w:r>
              <w:t>Mild AD = 0.87</w:t>
            </w:r>
          </w:p>
          <w:p w14:paraId="19FE9559" w14:textId="77777777" w:rsidR="007F6723" w:rsidRDefault="007F6723" w:rsidP="00181CF8">
            <w:pPr>
              <w:pStyle w:val="Tabletextcentred"/>
              <w:jc w:val="left"/>
            </w:pPr>
            <w:r>
              <w:t>Moderate AD = 0.86</w:t>
            </w:r>
          </w:p>
          <w:p w14:paraId="56B42DE1" w14:textId="77777777" w:rsidR="007F6723" w:rsidRDefault="007F6723" w:rsidP="00181CF8">
            <w:pPr>
              <w:pStyle w:val="Tabletextcentred"/>
              <w:jc w:val="left"/>
            </w:pPr>
            <w:r>
              <w:t>Severe AD = 0.86</w:t>
            </w:r>
          </w:p>
          <w:p w14:paraId="5950F391" w14:textId="77777777" w:rsidR="007F6723" w:rsidRDefault="007F6723" w:rsidP="00181CF8">
            <w:pPr>
              <w:pStyle w:val="Tabletextcentred"/>
              <w:jc w:val="left"/>
            </w:pPr>
          </w:p>
          <w:p w14:paraId="119CF1EC" w14:textId="77777777" w:rsidR="007F6723" w:rsidRDefault="007F6723" w:rsidP="00181CF8">
            <w:pPr>
              <w:pStyle w:val="Tabletextcentred"/>
              <w:jc w:val="left"/>
            </w:pPr>
            <w:r>
              <w:t>HUI2, institutionalised patients:</w:t>
            </w:r>
          </w:p>
          <w:p w14:paraId="4CF9A1F5" w14:textId="77777777" w:rsidR="007F6723" w:rsidRDefault="007F6723" w:rsidP="00181CF8">
            <w:pPr>
              <w:pStyle w:val="Tabletextcentred"/>
              <w:jc w:val="left"/>
            </w:pPr>
            <w:r>
              <w:t>Mild AD = 0.89</w:t>
            </w:r>
          </w:p>
          <w:p w14:paraId="1FC708D3" w14:textId="77777777" w:rsidR="007F6723" w:rsidRDefault="007F6723" w:rsidP="00181CF8">
            <w:pPr>
              <w:pStyle w:val="Tabletextcentred"/>
              <w:jc w:val="left"/>
            </w:pPr>
            <w:r>
              <w:t>Moderate AD = 0.89</w:t>
            </w:r>
          </w:p>
          <w:p w14:paraId="31AA51CE" w14:textId="77777777" w:rsidR="007F6723" w:rsidRDefault="007F6723" w:rsidP="00181CF8">
            <w:pPr>
              <w:pStyle w:val="Tabletextcentred"/>
              <w:jc w:val="left"/>
            </w:pPr>
            <w:r>
              <w:t>Severe = 0.88</w:t>
            </w:r>
          </w:p>
          <w:p w14:paraId="6E112CCA" w14:textId="77777777" w:rsidR="007F6723" w:rsidRDefault="007F6723" w:rsidP="00181CF8">
            <w:pPr>
              <w:pStyle w:val="Tabletextcentred"/>
              <w:jc w:val="left"/>
            </w:pPr>
          </w:p>
          <w:p w14:paraId="23F0433C" w14:textId="77777777" w:rsidR="007F6723" w:rsidRDefault="007F6723" w:rsidP="00181CF8">
            <w:pPr>
              <w:pStyle w:val="Tabletextcentred"/>
              <w:jc w:val="left"/>
            </w:pPr>
            <w:r>
              <w:t>SF-36 mental component, community patients:</w:t>
            </w:r>
          </w:p>
          <w:p w14:paraId="53502665" w14:textId="77777777" w:rsidR="007F6723" w:rsidRDefault="007F6723" w:rsidP="00181CF8">
            <w:pPr>
              <w:pStyle w:val="Tabletextcentred"/>
              <w:jc w:val="left"/>
            </w:pPr>
            <w:r>
              <w:t>Mild AD = 49.9</w:t>
            </w:r>
          </w:p>
          <w:p w14:paraId="44DDC31D" w14:textId="77777777" w:rsidR="007F6723" w:rsidRDefault="007F6723" w:rsidP="00181CF8">
            <w:pPr>
              <w:pStyle w:val="Tabletextcentred"/>
              <w:jc w:val="left"/>
            </w:pPr>
            <w:r>
              <w:t>Moderate AD = 46.8</w:t>
            </w:r>
          </w:p>
          <w:p w14:paraId="0A9301E3" w14:textId="5ECB6A8A" w:rsidR="007F6723" w:rsidRDefault="007C77F5" w:rsidP="00181CF8">
            <w:pPr>
              <w:pStyle w:val="Tabletextcentred"/>
              <w:jc w:val="left"/>
            </w:pPr>
            <w:r>
              <w:t xml:space="preserve">Severe </w:t>
            </w:r>
            <w:r w:rsidR="007F6723">
              <w:t>AD = 49.4</w:t>
            </w:r>
          </w:p>
          <w:p w14:paraId="44BC067B" w14:textId="77777777" w:rsidR="007F6723" w:rsidRDefault="007F6723" w:rsidP="00181CF8">
            <w:pPr>
              <w:pStyle w:val="Tabletextcentred"/>
              <w:jc w:val="left"/>
            </w:pPr>
          </w:p>
          <w:p w14:paraId="7C516C2E" w14:textId="77777777" w:rsidR="007F6723" w:rsidRDefault="007F6723" w:rsidP="00181CF8">
            <w:pPr>
              <w:pStyle w:val="Tabletextcentred"/>
              <w:jc w:val="left"/>
            </w:pPr>
            <w:r>
              <w:t>SF-36 mental component, institutionalised patients:</w:t>
            </w:r>
          </w:p>
          <w:p w14:paraId="5AB01632" w14:textId="77777777" w:rsidR="007F6723" w:rsidRDefault="007F6723" w:rsidP="00181CF8">
            <w:pPr>
              <w:pStyle w:val="Tabletextcentred"/>
              <w:jc w:val="left"/>
            </w:pPr>
            <w:r>
              <w:t>Mild AD = 49.4</w:t>
            </w:r>
          </w:p>
          <w:p w14:paraId="3050752D" w14:textId="77777777" w:rsidR="007F6723" w:rsidRDefault="007F6723" w:rsidP="00181CF8">
            <w:pPr>
              <w:pStyle w:val="Tabletextcentred"/>
              <w:jc w:val="left"/>
            </w:pPr>
            <w:r>
              <w:t>Moderate AD = 51.7</w:t>
            </w:r>
          </w:p>
          <w:p w14:paraId="19AC003D" w14:textId="77777777" w:rsidR="007F6723" w:rsidRPr="002D465E" w:rsidRDefault="007F6723" w:rsidP="00181CF8">
            <w:pPr>
              <w:pStyle w:val="Tabletextcentred"/>
              <w:jc w:val="left"/>
            </w:pPr>
            <w:r>
              <w:t>Severe AD = 52.2</w:t>
            </w:r>
          </w:p>
        </w:tc>
        <w:tc>
          <w:tcPr>
            <w:tcW w:w="1316" w:type="pct"/>
          </w:tcPr>
          <w:p w14:paraId="7691E32C" w14:textId="77777777" w:rsidR="007F6723" w:rsidRPr="00387119" w:rsidRDefault="007F6723" w:rsidP="00181CF8">
            <w:pPr>
              <w:pStyle w:val="Tabletextcentred"/>
              <w:jc w:val="left"/>
            </w:pPr>
            <w:r>
              <w:t>The study was aimed at determining the HRQoL of caregivers themselves, rather than having caregivers provide proxy utility weights for the patients. As such, the results of the study are not relevant for use in the economic model</w:t>
            </w:r>
          </w:p>
        </w:tc>
      </w:tr>
      <w:tr w:rsidR="007F6723" w14:paraId="3C822EE0" w14:textId="77777777" w:rsidTr="00181CF8">
        <w:tc>
          <w:tcPr>
            <w:tcW w:w="482" w:type="pct"/>
          </w:tcPr>
          <w:p w14:paraId="0282E605" w14:textId="77777777" w:rsidR="007F6723" w:rsidRDefault="007F6723" w:rsidP="00181CF8">
            <w:pPr>
              <w:pStyle w:val="Tabletextcentred"/>
              <w:jc w:val="left"/>
            </w:pPr>
            <w:r>
              <w:t>Gomez-Gallego et al (</w:t>
            </w:r>
            <w:r w:rsidRPr="001762AE">
              <w:t>2012</w:t>
            </w:r>
            <w:r>
              <w:t>)</w:t>
            </w:r>
          </w:p>
        </w:tc>
        <w:tc>
          <w:tcPr>
            <w:tcW w:w="1391" w:type="pct"/>
          </w:tcPr>
          <w:p w14:paraId="72BF0902" w14:textId="233BB04B" w:rsidR="007F6723" w:rsidRPr="002D465E" w:rsidRDefault="007C77F5" w:rsidP="00181CF8">
            <w:pPr>
              <w:pStyle w:val="Tabletextcentred"/>
              <w:jc w:val="left"/>
            </w:pPr>
            <w:r>
              <w:t>102</w:t>
            </w:r>
            <w:r w:rsidR="007F6723" w:rsidRPr="002D465E">
              <w:t xml:space="preserve"> patients, their carers and 25 health professionals were recruited from day centres. Patients’ Q</w:t>
            </w:r>
            <w:r w:rsidR="00554627">
              <w:t>o</w:t>
            </w:r>
            <w:r w:rsidR="007F6723" w:rsidRPr="002D465E">
              <w:t>L was rated by patients, carers and health professionals. The Health Utilities Index, Clinical Insight Rating Scale and M</w:t>
            </w:r>
            <w:r w:rsidR="00D74656">
              <w:t>MSE</w:t>
            </w:r>
            <w:r w:rsidR="007F6723" w:rsidRPr="002D465E">
              <w:t xml:space="preserve"> were also administered</w:t>
            </w:r>
            <w:r w:rsidR="00550781">
              <w:t>.</w:t>
            </w:r>
          </w:p>
        </w:tc>
        <w:tc>
          <w:tcPr>
            <w:tcW w:w="1811" w:type="pct"/>
          </w:tcPr>
          <w:p w14:paraId="25C97E9A" w14:textId="77777777" w:rsidR="007F6723" w:rsidRDefault="007F6723" w:rsidP="00181CF8">
            <w:pPr>
              <w:pStyle w:val="Tabletextcentred"/>
              <w:jc w:val="left"/>
            </w:pPr>
            <w:r>
              <w:t>QoL-AD in patients:</w:t>
            </w:r>
          </w:p>
          <w:p w14:paraId="3E0AA181" w14:textId="77777777" w:rsidR="007F6723" w:rsidRPr="002D465E" w:rsidRDefault="007F6723" w:rsidP="00181CF8">
            <w:pPr>
              <w:pStyle w:val="Tabletextcentred"/>
              <w:jc w:val="left"/>
            </w:pPr>
            <w:r w:rsidRPr="00E76BC0">
              <w:t>MMSE</w:t>
            </w:r>
            <w:r w:rsidRPr="002D465E">
              <w:t>≥18 = 35.12</w:t>
            </w:r>
          </w:p>
          <w:p w14:paraId="38E2973F" w14:textId="77777777" w:rsidR="007F6723" w:rsidRPr="002D465E" w:rsidRDefault="007F6723" w:rsidP="00181CF8">
            <w:pPr>
              <w:pStyle w:val="Tabletextcentred"/>
              <w:jc w:val="left"/>
            </w:pPr>
            <w:r w:rsidRPr="002D465E">
              <w:t>MMSE&lt;18 = 34.73</w:t>
            </w:r>
          </w:p>
          <w:p w14:paraId="67D12D5E" w14:textId="77777777" w:rsidR="007F6723" w:rsidRPr="002D465E" w:rsidRDefault="007F6723" w:rsidP="00181CF8">
            <w:pPr>
              <w:pStyle w:val="Tabletextcentred"/>
              <w:jc w:val="left"/>
            </w:pPr>
          </w:p>
          <w:p w14:paraId="5EC6550D" w14:textId="77777777" w:rsidR="007F6723" w:rsidRDefault="007F6723" w:rsidP="00181CF8">
            <w:pPr>
              <w:pStyle w:val="Tabletextcentred"/>
              <w:jc w:val="left"/>
            </w:pPr>
            <w:r>
              <w:t>QoL-AD in carers:</w:t>
            </w:r>
          </w:p>
          <w:p w14:paraId="79B9AEC2" w14:textId="77777777" w:rsidR="007F6723" w:rsidRPr="002D465E" w:rsidRDefault="007F6723" w:rsidP="00181CF8">
            <w:pPr>
              <w:pStyle w:val="Tabletextcentred"/>
              <w:jc w:val="left"/>
            </w:pPr>
            <w:r w:rsidRPr="00E76BC0">
              <w:t>MMSE</w:t>
            </w:r>
            <w:r w:rsidRPr="002D465E">
              <w:t>≥18 = 29.80</w:t>
            </w:r>
          </w:p>
          <w:p w14:paraId="63723CEA" w14:textId="77777777" w:rsidR="007F6723" w:rsidRPr="002D465E" w:rsidRDefault="007F6723" w:rsidP="00181CF8">
            <w:pPr>
              <w:pStyle w:val="Tabletextcentred"/>
              <w:jc w:val="left"/>
            </w:pPr>
            <w:r w:rsidRPr="002D465E">
              <w:t>MMSE&lt;18 = 29.73</w:t>
            </w:r>
          </w:p>
          <w:p w14:paraId="3097C157" w14:textId="77777777" w:rsidR="007F6723" w:rsidRPr="002D465E" w:rsidRDefault="007F6723" w:rsidP="00181CF8">
            <w:pPr>
              <w:pStyle w:val="Tabletextcentred"/>
              <w:jc w:val="left"/>
            </w:pPr>
          </w:p>
          <w:p w14:paraId="48E0E266" w14:textId="77777777" w:rsidR="007F6723" w:rsidRDefault="007F6723" w:rsidP="00181CF8">
            <w:pPr>
              <w:pStyle w:val="Tabletextcentred"/>
              <w:jc w:val="left"/>
            </w:pPr>
            <w:r>
              <w:t>QoL-AD in professionals:</w:t>
            </w:r>
          </w:p>
          <w:p w14:paraId="765A3AF1" w14:textId="77777777" w:rsidR="007F6723" w:rsidRPr="002D465E" w:rsidRDefault="007F6723" w:rsidP="00181CF8">
            <w:pPr>
              <w:pStyle w:val="Tabletextcentred"/>
              <w:jc w:val="left"/>
            </w:pPr>
            <w:r w:rsidRPr="00E76BC0">
              <w:t>MMSE</w:t>
            </w:r>
            <w:r w:rsidRPr="002D465E">
              <w:t>≥18 = 31.44</w:t>
            </w:r>
          </w:p>
          <w:p w14:paraId="7E943239" w14:textId="77777777" w:rsidR="007F6723" w:rsidRPr="002D465E" w:rsidRDefault="007F6723" w:rsidP="00181CF8">
            <w:pPr>
              <w:pStyle w:val="Tabletextcentred"/>
              <w:jc w:val="left"/>
            </w:pPr>
            <w:r w:rsidRPr="002D465E">
              <w:t>MMSE&lt;18 = 28.50</w:t>
            </w:r>
          </w:p>
        </w:tc>
        <w:tc>
          <w:tcPr>
            <w:tcW w:w="1316" w:type="pct"/>
          </w:tcPr>
          <w:p w14:paraId="1657AC85" w14:textId="77777777" w:rsidR="007F6723" w:rsidRPr="00387119" w:rsidRDefault="007F6723" w:rsidP="00181CF8">
            <w:pPr>
              <w:pStyle w:val="Tabletextcentred"/>
              <w:jc w:val="left"/>
            </w:pPr>
            <w:r>
              <w:t>While the paper reported mean QoL-AD scores for a variety of participant subgroups, disease severity was captured only via MMSE</w:t>
            </w:r>
            <w:r w:rsidRPr="002D465E">
              <w:t>≥18 versus MMSE&lt;18</w:t>
            </w:r>
          </w:p>
        </w:tc>
      </w:tr>
      <w:tr w:rsidR="007F6723" w14:paraId="7A69E7E0" w14:textId="77777777" w:rsidTr="00181CF8">
        <w:tc>
          <w:tcPr>
            <w:tcW w:w="482" w:type="pct"/>
          </w:tcPr>
          <w:p w14:paraId="694D28EE" w14:textId="77777777" w:rsidR="007F6723" w:rsidRDefault="007F6723" w:rsidP="00181CF8">
            <w:pPr>
              <w:pStyle w:val="Tabletextcentred"/>
              <w:keepNext/>
              <w:jc w:val="left"/>
            </w:pPr>
            <w:r>
              <w:lastRenderedPageBreak/>
              <w:t>Jonsson et al (</w:t>
            </w:r>
            <w:r w:rsidRPr="001762AE">
              <w:t>2006</w:t>
            </w:r>
            <w:r>
              <w:t>)</w:t>
            </w:r>
          </w:p>
        </w:tc>
        <w:tc>
          <w:tcPr>
            <w:tcW w:w="1391" w:type="pct"/>
          </w:tcPr>
          <w:p w14:paraId="50281F55" w14:textId="05BC667D" w:rsidR="007F6723" w:rsidRPr="002D465E" w:rsidRDefault="00D25339" w:rsidP="00181CF8">
            <w:pPr>
              <w:pStyle w:val="Tabletextcentred"/>
              <w:keepNext/>
              <w:jc w:val="left"/>
            </w:pPr>
            <w:r>
              <w:t>272</w:t>
            </w:r>
            <w:r w:rsidR="007F6723" w:rsidRPr="002D465E">
              <w:t xml:space="preserve"> patients and their primary caregivers in Sweden were enrolled in a prospective observational study and underwent three consecutive interviews, six months apart to determine </w:t>
            </w:r>
            <w:r w:rsidR="007F6723">
              <w:t>HRQoL</w:t>
            </w:r>
            <w:r w:rsidR="007F6723" w:rsidRPr="002D465E">
              <w:t>. The EQ-5D instrument was used for this assessment, as well as the QoL-AD. All patients were community-dwelling patients with a diagnosis of possible or probable AD. Cognitive function was assessed via the MMSE.</w:t>
            </w:r>
          </w:p>
        </w:tc>
        <w:tc>
          <w:tcPr>
            <w:tcW w:w="1811" w:type="pct"/>
          </w:tcPr>
          <w:p w14:paraId="2E46D6CC" w14:textId="77777777" w:rsidR="007F6723" w:rsidRDefault="007F6723" w:rsidP="00181CF8">
            <w:pPr>
              <w:pStyle w:val="Tabletextcentred"/>
              <w:keepNext/>
              <w:jc w:val="left"/>
            </w:pPr>
            <w:r>
              <w:t>Average carer-proxy EQ-5D, EQ-5D VAS and QoL-AD utilities:</w:t>
            </w:r>
          </w:p>
          <w:p w14:paraId="6EAB1E8F" w14:textId="77777777" w:rsidR="007F6723" w:rsidRDefault="007F6723" w:rsidP="00181CF8">
            <w:pPr>
              <w:pStyle w:val="Tabletextcentred"/>
              <w:keepNext/>
              <w:jc w:val="left"/>
            </w:pPr>
            <w:r>
              <w:t>MMSE 26-30 = 0.69</w:t>
            </w:r>
          </w:p>
          <w:p w14:paraId="35C0349C" w14:textId="77777777" w:rsidR="007F6723" w:rsidRDefault="007F6723" w:rsidP="00181CF8">
            <w:pPr>
              <w:pStyle w:val="Tabletextcentred"/>
              <w:keepNext/>
              <w:jc w:val="left"/>
            </w:pPr>
            <w:r>
              <w:t>MMSE 21-25 = 0.64</w:t>
            </w:r>
          </w:p>
          <w:p w14:paraId="29AF0470" w14:textId="77777777" w:rsidR="007F6723" w:rsidRDefault="007F6723" w:rsidP="00181CF8">
            <w:pPr>
              <w:pStyle w:val="Tabletextcentred"/>
              <w:keepNext/>
              <w:jc w:val="left"/>
            </w:pPr>
            <w:r>
              <w:t>MMSE 15-20 = 0.50</w:t>
            </w:r>
          </w:p>
          <w:p w14:paraId="3A4A0645" w14:textId="77777777" w:rsidR="007F6723" w:rsidRDefault="007F6723" w:rsidP="00181CF8">
            <w:pPr>
              <w:pStyle w:val="Tabletextcentred"/>
              <w:keepNext/>
              <w:jc w:val="left"/>
            </w:pPr>
            <w:r>
              <w:t>MMSE 10-14 = 0.49</w:t>
            </w:r>
          </w:p>
          <w:p w14:paraId="44DF46C7" w14:textId="77777777" w:rsidR="007F6723" w:rsidRDefault="007F6723" w:rsidP="00181CF8">
            <w:pPr>
              <w:pStyle w:val="Tabletextcentred"/>
              <w:keepNext/>
              <w:jc w:val="left"/>
            </w:pPr>
            <w:r>
              <w:t>MMSE 0-9 = 0.33</w:t>
            </w:r>
          </w:p>
          <w:p w14:paraId="44AB2599" w14:textId="77777777" w:rsidR="007F6723" w:rsidRDefault="007F6723" w:rsidP="00181CF8">
            <w:pPr>
              <w:pStyle w:val="Tabletextcentred"/>
              <w:keepNext/>
              <w:jc w:val="left"/>
            </w:pPr>
          </w:p>
          <w:p w14:paraId="74CE283C" w14:textId="77777777" w:rsidR="007F6723" w:rsidRDefault="007F6723" w:rsidP="00181CF8">
            <w:pPr>
              <w:pStyle w:val="Tabletextcentred"/>
              <w:keepNext/>
              <w:jc w:val="left"/>
            </w:pPr>
            <w:r>
              <w:t>EQ-5D where both carer and patient ratings were available:</w:t>
            </w:r>
          </w:p>
          <w:p w14:paraId="23EA74D8" w14:textId="77777777" w:rsidR="007F6723" w:rsidRDefault="007F6723" w:rsidP="00181CF8">
            <w:pPr>
              <w:pStyle w:val="Tabletextcentred"/>
              <w:keepNext/>
              <w:jc w:val="left"/>
            </w:pPr>
            <w:r>
              <w:t>MMSE 26-30 = 0.70</w:t>
            </w:r>
          </w:p>
          <w:p w14:paraId="74913D6F" w14:textId="77777777" w:rsidR="007F6723" w:rsidRDefault="007F6723" w:rsidP="00181CF8">
            <w:pPr>
              <w:pStyle w:val="Tabletextcentred"/>
              <w:keepNext/>
              <w:jc w:val="left"/>
            </w:pPr>
            <w:r>
              <w:t>MMSE 21-25 = 0.65</w:t>
            </w:r>
          </w:p>
          <w:p w14:paraId="02EEC9A8" w14:textId="77777777" w:rsidR="007F6723" w:rsidRDefault="007F6723" w:rsidP="00181CF8">
            <w:pPr>
              <w:pStyle w:val="Tabletextcentred"/>
              <w:keepNext/>
              <w:jc w:val="left"/>
            </w:pPr>
            <w:r>
              <w:t>MMSE 15-20 = 0.52</w:t>
            </w:r>
          </w:p>
          <w:p w14:paraId="1DBAEF1A" w14:textId="77777777" w:rsidR="007F6723" w:rsidRDefault="007F6723" w:rsidP="00181CF8">
            <w:pPr>
              <w:pStyle w:val="Tabletextcentred"/>
              <w:keepNext/>
              <w:jc w:val="left"/>
            </w:pPr>
            <w:r>
              <w:t>MMSE 10-14 = 0.51</w:t>
            </w:r>
          </w:p>
          <w:p w14:paraId="27736D59" w14:textId="77777777" w:rsidR="007F6723" w:rsidRDefault="007F6723" w:rsidP="00181CF8">
            <w:pPr>
              <w:pStyle w:val="Tabletextcentred"/>
              <w:keepNext/>
              <w:jc w:val="left"/>
            </w:pPr>
            <w:r>
              <w:t>MMSE 0-9 = 0.40</w:t>
            </w:r>
          </w:p>
          <w:p w14:paraId="1236C2F5" w14:textId="77777777" w:rsidR="007F6723" w:rsidRDefault="007F6723" w:rsidP="00181CF8">
            <w:pPr>
              <w:pStyle w:val="Tabletextcentred"/>
              <w:keepNext/>
              <w:jc w:val="left"/>
            </w:pPr>
          </w:p>
          <w:p w14:paraId="59E1D964" w14:textId="77777777" w:rsidR="007F6723" w:rsidRDefault="007F6723" w:rsidP="00181CF8">
            <w:pPr>
              <w:pStyle w:val="Tabletextcentred"/>
              <w:keepNext/>
              <w:jc w:val="left"/>
            </w:pPr>
            <w:r>
              <w:t>EQ-5D where just carer ratings were available</w:t>
            </w:r>
          </w:p>
          <w:p w14:paraId="485DA77F" w14:textId="77777777" w:rsidR="007F6723" w:rsidRDefault="007F6723" w:rsidP="00181CF8">
            <w:pPr>
              <w:pStyle w:val="Tabletextcentred"/>
              <w:keepNext/>
              <w:jc w:val="left"/>
            </w:pPr>
            <w:r>
              <w:t>MMSE 26-30 = 0.50</w:t>
            </w:r>
          </w:p>
          <w:p w14:paraId="4BEF88A1" w14:textId="77777777" w:rsidR="007F6723" w:rsidRDefault="007F6723" w:rsidP="00181CF8">
            <w:pPr>
              <w:pStyle w:val="Tabletextcentred"/>
              <w:keepNext/>
              <w:jc w:val="left"/>
            </w:pPr>
            <w:r>
              <w:t>MMSE 21-25 = 0.19</w:t>
            </w:r>
          </w:p>
          <w:p w14:paraId="3F596BFE" w14:textId="77777777" w:rsidR="007F6723" w:rsidRDefault="007F6723" w:rsidP="00181CF8">
            <w:pPr>
              <w:pStyle w:val="Tabletextcentred"/>
              <w:keepNext/>
              <w:jc w:val="left"/>
            </w:pPr>
            <w:r>
              <w:t>MMSE 15-20 = 0.21</w:t>
            </w:r>
          </w:p>
          <w:p w14:paraId="6490D181" w14:textId="77777777" w:rsidR="007F6723" w:rsidRDefault="007F6723" w:rsidP="00181CF8">
            <w:pPr>
              <w:pStyle w:val="Tabletextcentred"/>
              <w:keepNext/>
              <w:jc w:val="left"/>
            </w:pPr>
            <w:r>
              <w:t>MMSE 10-14 = 0.39</w:t>
            </w:r>
          </w:p>
          <w:p w14:paraId="22C220B9" w14:textId="77777777" w:rsidR="007F6723" w:rsidRPr="002D465E" w:rsidRDefault="007F6723" w:rsidP="00181CF8">
            <w:pPr>
              <w:pStyle w:val="Tabletextcentred"/>
              <w:keepNext/>
              <w:jc w:val="left"/>
            </w:pPr>
            <w:r>
              <w:t>MMSE 0-9 = 0.22</w:t>
            </w:r>
          </w:p>
        </w:tc>
        <w:tc>
          <w:tcPr>
            <w:tcW w:w="1316" w:type="pct"/>
          </w:tcPr>
          <w:p w14:paraId="0C6E3167" w14:textId="77777777" w:rsidR="007F6723" w:rsidRPr="00387119" w:rsidRDefault="007F6723" w:rsidP="00181CF8">
            <w:pPr>
              <w:pStyle w:val="Tabletextcentred"/>
              <w:keepNext/>
              <w:jc w:val="left"/>
            </w:pPr>
            <w:r>
              <w:t>Note that the focus here is on the proxy-ratings of carers. The sample size was far greater for carers than for patients themselves (as few as 33.2% of patients completed instruments in some MMSE categories, compared to &gt;70% in the cases of carers)</w:t>
            </w:r>
          </w:p>
        </w:tc>
      </w:tr>
      <w:tr w:rsidR="007F6723" w14:paraId="1E018267" w14:textId="77777777" w:rsidTr="00181CF8">
        <w:tc>
          <w:tcPr>
            <w:tcW w:w="482" w:type="pct"/>
          </w:tcPr>
          <w:p w14:paraId="4BF163B3" w14:textId="77777777" w:rsidR="007F6723" w:rsidRDefault="007F6723" w:rsidP="00181CF8">
            <w:pPr>
              <w:pStyle w:val="Tabletextcentred"/>
              <w:jc w:val="left"/>
            </w:pPr>
            <w:r>
              <w:t>Lopez-Bastida et al (</w:t>
            </w:r>
            <w:r w:rsidRPr="006D4DB9">
              <w:t>2006</w:t>
            </w:r>
            <w:r>
              <w:t>)</w:t>
            </w:r>
          </w:p>
        </w:tc>
        <w:tc>
          <w:tcPr>
            <w:tcW w:w="1391" w:type="pct"/>
          </w:tcPr>
          <w:p w14:paraId="068AB674" w14:textId="3B507095" w:rsidR="007F6723" w:rsidRPr="002D465E" w:rsidRDefault="007F6723" w:rsidP="00181CF8">
            <w:pPr>
              <w:pStyle w:val="Tabletextcentred"/>
              <w:jc w:val="left"/>
            </w:pPr>
            <w:r w:rsidRPr="006D4DB9">
              <w:t xml:space="preserve">Economic impact and </w:t>
            </w:r>
            <w:r>
              <w:t>HRQoL</w:t>
            </w:r>
            <w:r w:rsidRPr="006D4DB9">
              <w:t xml:space="preserve"> were assessed in 237 AD patients and caregivers in the Canary Islands. The </w:t>
            </w:r>
            <w:r>
              <w:t>HRQoL</w:t>
            </w:r>
            <w:r w:rsidRPr="006D4DB9">
              <w:t xml:space="preserve"> was assessed, via the EQ-5D instrument, using primary caregivers as proxy respondents</w:t>
            </w:r>
            <w:r w:rsidR="00550781">
              <w:t>.</w:t>
            </w:r>
          </w:p>
        </w:tc>
        <w:tc>
          <w:tcPr>
            <w:tcW w:w="1811" w:type="pct"/>
          </w:tcPr>
          <w:p w14:paraId="12862D40" w14:textId="77777777" w:rsidR="007F6723" w:rsidRPr="006D4DB9" w:rsidRDefault="007F6723" w:rsidP="00181CF8">
            <w:pPr>
              <w:pStyle w:val="Tabletextcentred"/>
              <w:jc w:val="left"/>
            </w:pPr>
            <w:r w:rsidRPr="006D4DB9">
              <w:t>Mild AD = 0.52</w:t>
            </w:r>
          </w:p>
          <w:p w14:paraId="4082B110" w14:textId="77777777" w:rsidR="007F6723" w:rsidRPr="006D4DB9" w:rsidRDefault="007F6723" w:rsidP="00181CF8">
            <w:pPr>
              <w:pStyle w:val="Tabletextcentred"/>
              <w:jc w:val="left"/>
            </w:pPr>
            <w:r w:rsidRPr="006D4DB9">
              <w:t>Moderate AD = 0.30</w:t>
            </w:r>
          </w:p>
          <w:p w14:paraId="70CF9138" w14:textId="77777777" w:rsidR="007F6723" w:rsidRPr="002D465E" w:rsidRDefault="007F6723" w:rsidP="00181CF8">
            <w:pPr>
              <w:pStyle w:val="Tabletextcentred"/>
              <w:jc w:val="left"/>
            </w:pPr>
            <w:r w:rsidRPr="006D4DB9">
              <w:t>Severe AD = 0.12</w:t>
            </w:r>
          </w:p>
        </w:tc>
        <w:tc>
          <w:tcPr>
            <w:tcW w:w="1316" w:type="pct"/>
          </w:tcPr>
          <w:p w14:paraId="66030C73" w14:textId="77777777" w:rsidR="007F6723" w:rsidRPr="00387119" w:rsidRDefault="007F6723" w:rsidP="00181CF8">
            <w:pPr>
              <w:pStyle w:val="Tabletextcentred"/>
              <w:jc w:val="left"/>
            </w:pPr>
          </w:p>
        </w:tc>
      </w:tr>
      <w:tr w:rsidR="007F6723" w14:paraId="7B53EBB4" w14:textId="77777777" w:rsidTr="00181CF8">
        <w:tc>
          <w:tcPr>
            <w:tcW w:w="482" w:type="pct"/>
          </w:tcPr>
          <w:p w14:paraId="3AF46F1A" w14:textId="77777777" w:rsidR="007F6723" w:rsidRDefault="007F6723" w:rsidP="00181CF8">
            <w:pPr>
              <w:pStyle w:val="Tabletextcentred"/>
              <w:jc w:val="left"/>
            </w:pPr>
            <w:r>
              <w:t>Mesterton et al (2010)</w:t>
            </w:r>
          </w:p>
        </w:tc>
        <w:tc>
          <w:tcPr>
            <w:tcW w:w="1391" w:type="pct"/>
          </w:tcPr>
          <w:p w14:paraId="4E570F70" w14:textId="255342B8" w:rsidR="007F6723" w:rsidRPr="002D465E" w:rsidRDefault="007F6723" w:rsidP="00181CF8">
            <w:pPr>
              <w:pStyle w:val="Tabletextcentred"/>
              <w:jc w:val="left"/>
            </w:pPr>
            <w:r w:rsidRPr="002D465E">
              <w:t>233 patients in Sweden and their caregivers cross-sectional data on cognitive function (MMSE), ADL ability, behavio</w:t>
            </w:r>
            <w:r w:rsidR="00EB2552">
              <w:t>ural</w:t>
            </w:r>
            <w:r w:rsidRPr="002D465E">
              <w:t xml:space="preserve"> disturbances, formal and informal resource use and </w:t>
            </w:r>
            <w:r>
              <w:t>HRQoL</w:t>
            </w:r>
            <w:r w:rsidRPr="002D465E">
              <w:t xml:space="preserve"> were collected by questionnaires to caregivers and to the treating physician. Patients were stratified into the disease stages mild, moder</w:t>
            </w:r>
            <w:r>
              <w:t xml:space="preserve">ate and severe AD based on MMSE </w:t>
            </w:r>
            <w:r w:rsidRPr="002D465E">
              <w:t xml:space="preserve">scores. These data were used to estimate the relationship between costs, </w:t>
            </w:r>
            <w:r>
              <w:t>QoL</w:t>
            </w:r>
            <w:r w:rsidRPr="002D465E">
              <w:t xml:space="preserve"> and disease severity</w:t>
            </w:r>
            <w:r w:rsidR="00550781">
              <w:t>.</w:t>
            </w:r>
          </w:p>
        </w:tc>
        <w:tc>
          <w:tcPr>
            <w:tcW w:w="1811" w:type="pct"/>
          </w:tcPr>
          <w:p w14:paraId="7CF8111A" w14:textId="77777777" w:rsidR="007F6723" w:rsidRDefault="007F6723" w:rsidP="00181CF8">
            <w:pPr>
              <w:pStyle w:val="Tabletextcentred"/>
              <w:jc w:val="left"/>
            </w:pPr>
            <w:r>
              <w:t>Patient QoL:</w:t>
            </w:r>
          </w:p>
          <w:p w14:paraId="53B51558" w14:textId="77777777" w:rsidR="007F6723" w:rsidRDefault="007F6723" w:rsidP="00181CF8">
            <w:pPr>
              <w:pStyle w:val="Tabletextcentred"/>
              <w:jc w:val="left"/>
            </w:pPr>
            <w:r>
              <w:t>Mild AD = 0.64</w:t>
            </w:r>
          </w:p>
          <w:p w14:paraId="6500B765" w14:textId="77777777" w:rsidR="007F6723" w:rsidRDefault="007F6723" w:rsidP="00181CF8">
            <w:pPr>
              <w:pStyle w:val="Tabletextcentred"/>
              <w:jc w:val="left"/>
            </w:pPr>
            <w:r>
              <w:t>Moderate AD = 0.39</w:t>
            </w:r>
          </w:p>
          <w:p w14:paraId="67888324" w14:textId="77777777" w:rsidR="007F6723" w:rsidRPr="002D465E" w:rsidRDefault="007F6723" w:rsidP="00181CF8">
            <w:pPr>
              <w:pStyle w:val="Tabletextcentred"/>
              <w:jc w:val="left"/>
            </w:pPr>
            <w:r>
              <w:t>Severe AD = 0.24</w:t>
            </w:r>
          </w:p>
        </w:tc>
        <w:tc>
          <w:tcPr>
            <w:tcW w:w="1316" w:type="pct"/>
          </w:tcPr>
          <w:p w14:paraId="7B1BFA08" w14:textId="77777777" w:rsidR="007F6723" w:rsidRPr="00387119" w:rsidRDefault="007F6723" w:rsidP="00181CF8">
            <w:pPr>
              <w:pStyle w:val="Tabletextcentred"/>
              <w:jc w:val="left"/>
            </w:pPr>
            <w:r>
              <w:t>One inclusion criterion in the study was that patients living at home had to have an informal caregiver. There is a risk that this could have influenced the utility weights, particularly at the less severe end of the spectrum</w:t>
            </w:r>
          </w:p>
        </w:tc>
      </w:tr>
      <w:tr w:rsidR="007F6723" w14:paraId="388869E4" w14:textId="77777777" w:rsidTr="00181CF8">
        <w:tc>
          <w:tcPr>
            <w:tcW w:w="482" w:type="pct"/>
          </w:tcPr>
          <w:p w14:paraId="5D8660AF" w14:textId="77777777" w:rsidR="007F6723" w:rsidRPr="001762AE" w:rsidRDefault="007F6723" w:rsidP="003D1597">
            <w:pPr>
              <w:pStyle w:val="Tabletextcentred"/>
              <w:keepNext/>
              <w:jc w:val="left"/>
            </w:pPr>
            <w:r w:rsidRPr="001762AE">
              <w:lastRenderedPageBreak/>
              <w:t>Neuma</w:t>
            </w:r>
            <w:r>
              <w:t>nn et al (</w:t>
            </w:r>
            <w:r w:rsidRPr="001762AE">
              <w:t>1999</w:t>
            </w:r>
            <w:r>
              <w:t>)</w:t>
            </w:r>
          </w:p>
        </w:tc>
        <w:tc>
          <w:tcPr>
            <w:tcW w:w="1391" w:type="pct"/>
          </w:tcPr>
          <w:p w14:paraId="07380301" w14:textId="130240F4" w:rsidR="007F6723" w:rsidRDefault="007F6723" w:rsidP="003D1597">
            <w:pPr>
              <w:pStyle w:val="Tabletextcentred"/>
              <w:keepNext/>
              <w:jc w:val="left"/>
            </w:pPr>
            <w:r>
              <w:t>Development of a cost-utility model to estimate the cost-effectiveness of donepezil compared with non</w:t>
            </w:r>
            <w:r w:rsidR="00554627">
              <w:t>-</w:t>
            </w:r>
            <w:r>
              <w:t>treatment in the treatment of mild</w:t>
            </w:r>
            <w:r w:rsidR="00617B67">
              <w:t xml:space="preserve"> </w:t>
            </w:r>
            <w:r>
              <w:t>to</w:t>
            </w:r>
            <w:r w:rsidR="00617B67">
              <w:t xml:space="preserve"> </w:t>
            </w:r>
            <w:r>
              <w:t>moderate AD</w:t>
            </w:r>
            <w:r w:rsidR="00550781">
              <w:t>.</w:t>
            </w:r>
          </w:p>
        </w:tc>
        <w:tc>
          <w:tcPr>
            <w:tcW w:w="1811" w:type="pct"/>
          </w:tcPr>
          <w:p w14:paraId="0AD7E049" w14:textId="77777777" w:rsidR="007F6723" w:rsidRDefault="007F6723" w:rsidP="003D1597">
            <w:pPr>
              <w:pStyle w:val="Tabletextcentred"/>
              <w:keepNext/>
              <w:jc w:val="left"/>
            </w:pPr>
            <w:r>
              <w:t>Patient-rated QoL:</w:t>
            </w:r>
          </w:p>
          <w:p w14:paraId="16C3F65C" w14:textId="77777777" w:rsidR="007F6723" w:rsidRDefault="007F6723" w:rsidP="003D1597">
            <w:pPr>
              <w:pStyle w:val="Tabletextcentred"/>
              <w:keepNext/>
              <w:jc w:val="left"/>
            </w:pPr>
            <w:r>
              <w:t>Mild AD, community = 0.68</w:t>
            </w:r>
          </w:p>
          <w:p w14:paraId="76CEF6D8" w14:textId="77777777" w:rsidR="007F6723" w:rsidRDefault="007F6723" w:rsidP="003D1597">
            <w:pPr>
              <w:pStyle w:val="Tabletextcentred"/>
              <w:keepNext/>
              <w:jc w:val="left"/>
            </w:pPr>
            <w:r>
              <w:t>Mild AD, nursing home = 0.71</w:t>
            </w:r>
          </w:p>
          <w:p w14:paraId="7CE0AAFC" w14:textId="77777777" w:rsidR="007F6723" w:rsidRDefault="007F6723" w:rsidP="003D1597">
            <w:pPr>
              <w:pStyle w:val="Tabletextcentred"/>
              <w:keepNext/>
              <w:jc w:val="left"/>
            </w:pPr>
            <w:r>
              <w:t>Moderate AD, community = 0.54</w:t>
            </w:r>
          </w:p>
          <w:p w14:paraId="520C82C0" w14:textId="77777777" w:rsidR="007F6723" w:rsidRDefault="007F6723" w:rsidP="003D1597">
            <w:pPr>
              <w:pStyle w:val="Tabletextcentred"/>
              <w:keepNext/>
              <w:jc w:val="left"/>
            </w:pPr>
            <w:r>
              <w:t>Moderate AD, nursing home = 0.48</w:t>
            </w:r>
          </w:p>
          <w:p w14:paraId="4500EDAB" w14:textId="77777777" w:rsidR="007F6723" w:rsidRDefault="007F6723" w:rsidP="003D1597">
            <w:pPr>
              <w:pStyle w:val="Tabletextcentred"/>
              <w:keepNext/>
              <w:jc w:val="left"/>
            </w:pPr>
            <w:r>
              <w:t>Severe AD, community = 0.37</w:t>
            </w:r>
          </w:p>
          <w:p w14:paraId="4FAAA4DE" w14:textId="77777777" w:rsidR="007F6723" w:rsidRDefault="007F6723" w:rsidP="003D1597">
            <w:pPr>
              <w:pStyle w:val="Tabletextcentred"/>
              <w:keepNext/>
              <w:jc w:val="left"/>
            </w:pPr>
            <w:r>
              <w:t>Severe AD, nursing home = 0.31</w:t>
            </w:r>
          </w:p>
        </w:tc>
        <w:tc>
          <w:tcPr>
            <w:tcW w:w="1316" w:type="pct"/>
          </w:tcPr>
          <w:p w14:paraId="6083BA21" w14:textId="77777777" w:rsidR="007F6723" w:rsidRDefault="007F6723" w:rsidP="003D1597">
            <w:pPr>
              <w:pStyle w:val="Tabletextcentred"/>
              <w:keepNext/>
              <w:jc w:val="left"/>
            </w:pPr>
            <w:r>
              <w:t>The utility weights reported here are from a previous study by the author. They were derived via the HUI2 instrument in a cross-sectional study of 528 caregivers of AD patients, stratified by CDR disease stage (201 mild, 175 moderate and 142 severe) and setting of care (354 community and 164 nursing home). Caregivers completed the HUI2 as proxy respondents and also completed the questionnaire to assess their own health (though this is not a consideration in the current case)</w:t>
            </w:r>
          </w:p>
        </w:tc>
      </w:tr>
      <w:tr w:rsidR="007F6723" w14:paraId="0867172F" w14:textId="77777777" w:rsidTr="00181CF8">
        <w:tc>
          <w:tcPr>
            <w:tcW w:w="482" w:type="pct"/>
          </w:tcPr>
          <w:p w14:paraId="64532ADD" w14:textId="77777777" w:rsidR="007F6723" w:rsidRDefault="007F6723" w:rsidP="00181CF8">
            <w:pPr>
              <w:pStyle w:val="Tabletextcentred"/>
              <w:jc w:val="left"/>
            </w:pPr>
            <w:r>
              <w:t>Neumann et al (</w:t>
            </w:r>
            <w:r w:rsidRPr="001762AE">
              <w:t>2000</w:t>
            </w:r>
            <w:r>
              <w:t>)</w:t>
            </w:r>
          </w:p>
        </w:tc>
        <w:tc>
          <w:tcPr>
            <w:tcW w:w="1391" w:type="pct"/>
          </w:tcPr>
          <w:p w14:paraId="65A054B9" w14:textId="77777777" w:rsidR="007F6723" w:rsidRDefault="007F6723" w:rsidP="00181CF8">
            <w:pPr>
              <w:pStyle w:val="Tabletextcentred"/>
              <w:jc w:val="left"/>
            </w:pPr>
            <w:r>
              <w:t>Cross-sectional study of 679 patient/caregiver pairs, stratified by disease severity (questionable, mild, moderate/severe/profound/terminal) and setting (community/assisted living/nursing home). Caregivers completed the HUI2 and HUI3 assessments as proxy respondents for patients and themselves.</w:t>
            </w:r>
          </w:p>
        </w:tc>
        <w:tc>
          <w:tcPr>
            <w:tcW w:w="1811" w:type="pct"/>
          </w:tcPr>
          <w:p w14:paraId="52DF2163" w14:textId="77777777" w:rsidR="007F6723" w:rsidRDefault="007F6723" w:rsidP="00181CF8">
            <w:pPr>
              <w:pStyle w:val="Tabletextcentred"/>
              <w:jc w:val="left"/>
            </w:pPr>
            <w:r>
              <w:t>Proxy assessment for patients:</w:t>
            </w:r>
          </w:p>
          <w:p w14:paraId="5510A72F" w14:textId="77777777" w:rsidR="007F6723" w:rsidRDefault="007F6723" w:rsidP="00181CF8">
            <w:pPr>
              <w:pStyle w:val="Tabletextcentred"/>
              <w:jc w:val="left"/>
            </w:pPr>
            <w:r>
              <w:t>Questionable (CDR=0.5) = 0.73 for HUI2 and 0.47 for HUI3</w:t>
            </w:r>
          </w:p>
          <w:p w14:paraId="7AEA9634" w14:textId="77777777" w:rsidR="007F6723" w:rsidRDefault="007F6723" w:rsidP="00181CF8">
            <w:pPr>
              <w:pStyle w:val="Tabletextcentred"/>
              <w:jc w:val="left"/>
            </w:pPr>
            <w:r>
              <w:t>Mild (CDR=1) = 0.69 for HUI2 and 0.39 for HUI3</w:t>
            </w:r>
          </w:p>
          <w:p w14:paraId="14914AD2" w14:textId="77777777" w:rsidR="007F6723" w:rsidRDefault="007F6723" w:rsidP="00181CF8">
            <w:pPr>
              <w:pStyle w:val="Tabletextcentred"/>
              <w:jc w:val="left"/>
            </w:pPr>
            <w:r>
              <w:t>Moderate (CDR=2) = 0.53 for HUI2 and 0.19 for HUI3</w:t>
            </w:r>
          </w:p>
          <w:p w14:paraId="24F00C91" w14:textId="77777777" w:rsidR="007F6723" w:rsidRDefault="007F6723" w:rsidP="00181CF8">
            <w:pPr>
              <w:pStyle w:val="Tabletextcentred"/>
              <w:jc w:val="left"/>
            </w:pPr>
            <w:r>
              <w:t>Severe (CDR=3) = 0.38 for HUI2 and 0.06 for HUI3</w:t>
            </w:r>
          </w:p>
          <w:p w14:paraId="281EEBF2" w14:textId="77777777" w:rsidR="007F6723" w:rsidRDefault="007F6723" w:rsidP="00181CF8">
            <w:pPr>
              <w:pStyle w:val="Tabletextcentred"/>
              <w:jc w:val="left"/>
            </w:pPr>
            <w:r>
              <w:t>Profound (CDR=4) = 0.27 for HUI3 and -0.08 for HUI3</w:t>
            </w:r>
          </w:p>
          <w:p w14:paraId="454E7184" w14:textId="77777777" w:rsidR="007F6723" w:rsidRDefault="007F6723" w:rsidP="00181CF8">
            <w:pPr>
              <w:pStyle w:val="Tabletextcentred"/>
              <w:jc w:val="left"/>
            </w:pPr>
            <w:r>
              <w:t>Terminal (CDR=5) = 0.14 for HUI2 and -0.23 for HUI3</w:t>
            </w:r>
          </w:p>
          <w:p w14:paraId="6D659D2E" w14:textId="77777777" w:rsidR="007F6723" w:rsidRDefault="007F6723" w:rsidP="00181CF8">
            <w:pPr>
              <w:pStyle w:val="Tabletextcentred"/>
              <w:jc w:val="left"/>
            </w:pPr>
          </w:p>
          <w:p w14:paraId="6E4BF1CF" w14:textId="77777777" w:rsidR="007F6723" w:rsidRDefault="007F6723" w:rsidP="00181CF8">
            <w:pPr>
              <w:pStyle w:val="Tabletextcentred"/>
              <w:jc w:val="left"/>
            </w:pPr>
            <w:r>
              <w:t>“Pits”-to-perfect health scale scores:</w:t>
            </w:r>
          </w:p>
          <w:p w14:paraId="72887507" w14:textId="77777777" w:rsidR="007F6723" w:rsidRDefault="007F6723" w:rsidP="00181CF8">
            <w:pPr>
              <w:pStyle w:val="Tabletextcentred"/>
              <w:jc w:val="left"/>
            </w:pPr>
            <w:r>
              <w:t>Questionable/mild (CDR=0.5, 1) = 0.70 for HUI2 and 0.42 for HUI3</w:t>
            </w:r>
          </w:p>
          <w:p w14:paraId="77FE7DDB" w14:textId="77777777" w:rsidR="007F6723" w:rsidRDefault="007F6723" w:rsidP="00181CF8">
            <w:pPr>
              <w:pStyle w:val="Tabletextcentred"/>
              <w:jc w:val="left"/>
            </w:pPr>
            <w:r>
              <w:t>Moderate (CDR=2) = 0.54 for HUI2 and 0.41 for HUI3</w:t>
            </w:r>
          </w:p>
          <w:p w14:paraId="792F458C" w14:textId="77777777" w:rsidR="007F6723" w:rsidRPr="002D465E" w:rsidRDefault="007F6723" w:rsidP="00181CF8">
            <w:pPr>
              <w:pStyle w:val="Tabletextcentred"/>
              <w:jc w:val="left"/>
            </w:pPr>
            <w:r>
              <w:t>Profound/severe/terminal (CDR=3, 4, 5) = 0.35 for HUI2 and 0.25 for HUI3</w:t>
            </w:r>
          </w:p>
        </w:tc>
        <w:tc>
          <w:tcPr>
            <w:tcW w:w="1316" w:type="pct"/>
          </w:tcPr>
          <w:p w14:paraId="258C09F7" w14:textId="77777777" w:rsidR="007F6723" w:rsidRPr="00387119" w:rsidRDefault="007F6723" w:rsidP="00181CF8">
            <w:pPr>
              <w:pStyle w:val="Tabletextcentred"/>
              <w:jc w:val="left"/>
            </w:pPr>
            <w:r>
              <w:t xml:space="preserve">Following the development of the HUI3 tool, which was expected to be more sensitive to the high levels of impairment associated with AD, the study aimed to compare the results of HRQoL in patients with AD. The HUI3 scores were shown to be far worse than the HUI2 scores, falling to as low as -0.23 in terminal patients. Consequently, adjusted scores were also reported which omitted negative scores by setting them to zero (i.e. equivalent to death). These are reported as “Pits”-to-perfect health scale scores </w:t>
            </w:r>
          </w:p>
        </w:tc>
      </w:tr>
      <w:tr w:rsidR="007F6723" w14:paraId="0BD02809" w14:textId="77777777" w:rsidTr="00181CF8">
        <w:tc>
          <w:tcPr>
            <w:tcW w:w="482" w:type="pct"/>
          </w:tcPr>
          <w:p w14:paraId="75F1205E" w14:textId="77777777" w:rsidR="007F6723" w:rsidRDefault="007F6723" w:rsidP="00181CF8">
            <w:pPr>
              <w:pStyle w:val="Tabletextcentred"/>
              <w:keepNext/>
              <w:jc w:val="left"/>
            </w:pPr>
            <w:r w:rsidRPr="001762AE">
              <w:lastRenderedPageBreak/>
              <w:t>Wlodarczyk e</w:t>
            </w:r>
            <w:r>
              <w:t>t al (</w:t>
            </w:r>
            <w:r w:rsidRPr="001762AE">
              <w:t>2004</w:t>
            </w:r>
            <w:r>
              <w:t>)</w:t>
            </w:r>
          </w:p>
        </w:tc>
        <w:tc>
          <w:tcPr>
            <w:tcW w:w="1391" w:type="pct"/>
          </w:tcPr>
          <w:p w14:paraId="3E739C20" w14:textId="67BF2A14" w:rsidR="007F6723" w:rsidRDefault="00554627" w:rsidP="00181CF8">
            <w:pPr>
              <w:pStyle w:val="Tabletextcentred"/>
              <w:keepNext/>
              <w:jc w:val="left"/>
            </w:pPr>
            <w:r>
              <w:t>100</w:t>
            </w:r>
            <w:r w:rsidR="007C77F5">
              <w:t xml:space="preserve"> AD patients</w:t>
            </w:r>
            <w:r w:rsidR="007F6723">
              <w:t xml:space="preserve"> (with mild to moderate, possible or probable AD) participating in an open-label trial of donepezil were followed for six month</w:t>
            </w:r>
            <w:r w:rsidR="0064732B">
              <w:t>s</w:t>
            </w:r>
            <w:r w:rsidR="007F6723">
              <w:t xml:space="preserve"> to examine the relationship between patient/caregiver-rated HRQoL and cognition. QoL was assessed using the</w:t>
            </w:r>
            <w:r w:rsidR="00DA473C">
              <w:t xml:space="preserve"> AQoL</w:t>
            </w:r>
            <w:r w:rsidR="007F6723">
              <w:t xml:space="preserve"> scale, rated separately by patients and their caregivers.</w:t>
            </w:r>
          </w:p>
        </w:tc>
        <w:tc>
          <w:tcPr>
            <w:tcW w:w="1811" w:type="pct"/>
          </w:tcPr>
          <w:p w14:paraId="743959B4" w14:textId="7A3E1A13" w:rsidR="007F6723" w:rsidRDefault="007F6723" w:rsidP="00181CF8">
            <w:pPr>
              <w:pStyle w:val="Tabletextcentred"/>
              <w:keepNext/>
              <w:jc w:val="left"/>
            </w:pPr>
            <w:r>
              <w:t>Carer</w:t>
            </w:r>
            <w:r w:rsidR="000E05F2">
              <w:t>-</w:t>
            </w:r>
            <w:r>
              <w:t>proxy:</w:t>
            </w:r>
          </w:p>
          <w:p w14:paraId="573345AD" w14:textId="77777777" w:rsidR="007F6723" w:rsidRDefault="007F6723" w:rsidP="00181CF8">
            <w:pPr>
              <w:pStyle w:val="Tabletextcentred"/>
              <w:keepNext/>
              <w:jc w:val="left"/>
            </w:pPr>
            <w:r>
              <w:t>MMSE 0-10 = 0.4</w:t>
            </w:r>
          </w:p>
          <w:p w14:paraId="6504DE47" w14:textId="77777777" w:rsidR="007F6723" w:rsidRDefault="007F6723" w:rsidP="00181CF8">
            <w:pPr>
              <w:pStyle w:val="Tabletextcentred"/>
              <w:keepNext/>
              <w:jc w:val="left"/>
            </w:pPr>
            <w:r>
              <w:t>MMSE 10-15 = 0.46</w:t>
            </w:r>
          </w:p>
          <w:p w14:paraId="06D0413C" w14:textId="77777777" w:rsidR="007F6723" w:rsidRDefault="007F6723" w:rsidP="00181CF8">
            <w:pPr>
              <w:pStyle w:val="Tabletextcentred"/>
              <w:keepNext/>
              <w:jc w:val="left"/>
            </w:pPr>
            <w:r>
              <w:t>MMSE 15-20 = 0.475</w:t>
            </w:r>
          </w:p>
          <w:p w14:paraId="7E633C70" w14:textId="77777777" w:rsidR="007F6723" w:rsidRDefault="007F6723" w:rsidP="00181CF8">
            <w:pPr>
              <w:pStyle w:val="Tabletextcentred"/>
              <w:keepNext/>
              <w:jc w:val="left"/>
            </w:pPr>
            <w:r>
              <w:t>MMSE 20-25 = 0.52</w:t>
            </w:r>
          </w:p>
          <w:p w14:paraId="401283E2" w14:textId="77777777" w:rsidR="007F6723" w:rsidRDefault="007F6723" w:rsidP="00181CF8">
            <w:pPr>
              <w:pStyle w:val="Tabletextcentred"/>
              <w:keepNext/>
              <w:jc w:val="left"/>
            </w:pPr>
            <w:r>
              <w:t>MMSE 25+ = 0.59</w:t>
            </w:r>
          </w:p>
          <w:p w14:paraId="215A3DDC" w14:textId="77777777" w:rsidR="007F6723" w:rsidRDefault="007F6723" w:rsidP="00181CF8">
            <w:pPr>
              <w:pStyle w:val="Tabletextcentred"/>
              <w:keepNext/>
              <w:jc w:val="left"/>
            </w:pPr>
          </w:p>
          <w:p w14:paraId="1E03E2B6" w14:textId="77777777" w:rsidR="007F6723" w:rsidRDefault="007F6723" w:rsidP="00181CF8">
            <w:pPr>
              <w:pStyle w:val="Tabletextcentred"/>
              <w:keepNext/>
              <w:jc w:val="left"/>
            </w:pPr>
            <w:r>
              <w:t>Patient-rated:</w:t>
            </w:r>
          </w:p>
          <w:p w14:paraId="161D2607" w14:textId="77777777" w:rsidR="007F6723" w:rsidRDefault="007F6723" w:rsidP="00181CF8">
            <w:pPr>
              <w:pStyle w:val="Tabletextcentred"/>
              <w:keepNext/>
              <w:jc w:val="left"/>
            </w:pPr>
            <w:r>
              <w:t>MMSE 0-10 = 0.52</w:t>
            </w:r>
          </w:p>
          <w:p w14:paraId="7748A013" w14:textId="77777777" w:rsidR="007F6723" w:rsidRDefault="007F6723" w:rsidP="00181CF8">
            <w:pPr>
              <w:pStyle w:val="Tabletextcentred"/>
              <w:keepNext/>
              <w:jc w:val="left"/>
            </w:pPr>
            <w:r>
              <w:t>MMSE 10-15 = 0.54</w:t>
            </w:r>
          </w:p>
          <w:p w14:paraId="3831E852" w14:textId="77777777" w:rsidR="007F6723" w:rsidRDefault="007F6723" w:rsidP="00181CF8">
            <w:pPr>
              <w:pStyle w:val="Tabletextcentred"/>
              <w:keepNext/>
              <w:jc w:val="left"/>
            </w:pPr>
            <w:r>
              <w:t>MMSE 15-20 = 0.61</w:t>
            </w:r>
          </w:p>
          <w:p w14:paraId="6DAA6F86" w14:textId="77777777" w:rsidR="007F6723" w:rsidRDefault="007F6723" w:rsidP="00181CF8">
            <w:pPr>
              <w:pStyle w:val="Tabletextcentred"/>
              <w:keepNext/>
              <w:jc w:val="left"/>
            </w:pPr>
            <w:r>
              <w:t>MMSE 20-25 = 0.68</w:t>
            </w:r>
          </w:p>
          <w:p w14:paraId="3E854A70" w14:textId="77777777" w:rsidR="007F6723" w:rsidRPr="002D465E" w:rsidRDefault="007F6723" w:rsidP="00181CF8">
            <w:pPr>
              <w:pStyle w:val="Tabletextcentred"/>
              <w:keepNext/>
              <w:jc w:val="left"/>
            </w:pPr>
            <w:r>
              <w:t>MMSE 25+ = 0.71</w:t>
            </w:r>
          </w:p>
        </w:tc>
        <w:tc>
          <w:tcPr>
            <w:tcW w:w="1316" w:type="pct"/>
          </w:tcPr>
          <w:p w14:paraId="1A856DC0" w14:textId="77777777" w:rsidR="007F6723" w:rsidRDefault="007F6723" w:rsidP="00181CF8">
            <w:pPr>
              <w:pStyle w:val="Tabletextcentred"/>
              <w:keepNext/>
              <w:jc w:val="left"/>
            </w:pPr>
            <w:r>
              <w:t>AQoL data extracted from Figure 1 of the paper, as per Bond et al (2012). Authors note that the reliance on a sample from day care means that it may not be representative</w:t>
            </w:r>
          </w:p>
        </w:tc>
      </w:tr>
      <w:tr w:rsidR="007F6723" w14:paraId="6667EBBD" w14:textId="77777777" w:rsidTr="00181CF8">
        <w:tc>
          <w:tcPr>
            <w:tcW w:w="482" w:type="pct"/>
          </w:tcPr>
          <w:p w14:paraId="4B9C871C" w14:textId="77777777" w:rsidR="007F6723" w:rsidRDefault="007F6723" w:rsidP="00181CF8">
            <w:pPr>
              <w:pStyle w:val="Tabletextcentred"/>
              <w:jc w:val="left"/>
            </w:pPr>
            <w:r>
              <w:t>Xie et al (</w:t>
            </w:r>
            <w:r w:rsidRPr="001762AE">
              <w:t>2012</w:t>
            </w:r>
            <w:r>
              <w:t>)</w:t>
            </w:r>
          </w:p>
        </w:tc>
        <w:tc>
          <w:tcPr>
            <w:tcW w:w="1391" w:type="pct"/>
          </w:tcPr>
          <w:p w14:paraId="4EF80C98" w14:textId="05565A4D" w:rsidR="007F6723" w:rsidRDefault="007F6723" w:rsidP="00181CF8">
            <w:pPr>
              <w:pStyle w:val="Tabletextcentred"/>
              <w:jc w:val="left"/>
            </w:pPr>
            <w:r>
              <w:t>Computer-assisted interviews were held with 100 participants from the general public, assigning each participant a vignette describing mild</w:t>
            </w:r>
            <w:r w:rsidR="00617B67">
              <w:t>,</w:t>
            </w:r>
            <w:r>
              <w:t xml:space="preserve"> moderate or severe AD. QoL was assessed via the EQ-5D and QoL-AD while imagining living in the health state described in the assigned vignette</w:t>
            </w:r>
            <w:r w:rsidR="00550781">
              <w:t>.</w:t>
            </w:r>
          </w:p>
        </w:tc>
        <w:tc>
          <w:tcPr>
            <w:tcW w:w="1811" w:type="pct"/>
          </w:tcPr>
          <w:p w14:paraId="1D0811BE" w14:textId="77777777" w:rsidR="007F6723" w:rsidRDefault="007F6723" w:rsidP="00181CF8">
            <w:pPr>
              <w:pStyle w:val="Tabletextcentred"/>
              <w:jc w:val="left"/>
            </w:pPr>
            <w:r>
              <w:t>EQ-5D utilities:</w:t>
            </w:r>
          </w:p>
          <w:p w14:paraId="599D566D" w14:textId="77777777" w:rsidR="007F6723" w:rsidRDefault="007F6723" w:rsidP="00181CF8">
            <w:pPr>
              <w:pStyle w:val="Tabletextcentred"/>
              <w:jc w:val="left"/>
            </w:pPr>
            <w:r>
              <w:t>Mild AD = 0.7413</w:t>
            </w:r>
          </w:p>
          <w:p w14:paraId="04097A7A" w14:textId="77777777" w:rsidR="007F6723" w:rsidRDefault="007F6723" w:rsidP="00181CF8">
            <w:pPr>
              <w:pStyle w:val="Tabletextcentred"/>
              <w:jc w:val="left"/>
            </w:pPr>
            <w:r>
              <w:t>Moderate AD = 0.6159</w:t>
            </w:r>
          </w:p>
          <w:p w14:paraId="7AAC5CDA" w14:textId="77777777" w:rsidR="007F6723" w:rsidRDefault="007F6723" w:rsidP="00181CF8">
            <w:pPr>
              <w:pStyle w:val="Tabletextcentred"/>
              <w:jc w:val="left"/>
            </w:pPr>
            <w:r>
              <w:t>Severe AD = 0.4456</w:t>
            </w:r>
          </w:p>
          <w:p w14:paraId="417322C9" w14:textId="77777777" w:rsidR="007F6723" w:rsidRDefault="007F6723" w:rsidP="00181CF8">
            <w:pPr>
              <w:pStyle w:val="Tabletextcentred"/>
              <w:jc w:val="left"/>
            </w:pPr>
          </w:p>
          <w:p w14:paraId="790A6224" w14:textId="77777777" w:rsidR="007F6723" w:rsidRDefault="007F6723" w:rsidP="00181CF8">
            <w:pPr>
              <w:pStyle w:val="Tabletextcentred"/>
              <w:jc w:val="left"/>
            </w:pPr>
            <w:r>
              <w:t>QoL-AD scores:</w:t>
            </w:r>
          </w:p>
          <w:p w14:paraId="1E63F937" w14:textId="77777777" w:rsidR="007F6723" w:rsidRDefault="007F6723" w:rsidP="00181CF8">
            <w:pPr>
              <w:pStyle w:val="Tabletextcentred"/>
              <w:jc w:val="left"/>
            </w:pPr>
            <w:r>
              <w:t>Mild AD = 32.5</w:t>
            </w:r>
          </w:p>
          <w:p w14:paraId="7C5C6973" w14:textId="77777777" w:rsidR="007F6723" w:rsidRDefault="007F6723" w:rsidP="00181CF8">
            <w:pPr>
              <w:pStyle w:val="Tabletextcentred"/>
              <w:jc w:val="left"/>
            </w:pPr>
            <w:r>
              <w:t>Moderate AD = 24.0</w:t>
            </w:r>
          </w:p>
          <w:p w14:paraId="00466302" w14:textId="77777777" w:rsidR="007F6723" w:rsidRPr="002D465E" w:rsidRDefault="007F6723" w:rsidP="00181CF8">
            <w:pPr>
              <w:pStyle w:val="Tabletextcentred"/>
              <w:jc w:val="left"/>
            </w:pPr>
            <w:r>
              <w:t>Severe AD = 21.8</w:t>
            </w:r>
          </w:p>
        </w:tc>
        <w:tc>
          <w:tcPr>
            <w:tcW w:w="1316" w:type="pct"/>
          </w:tcPr>
          <w:p w14:paraId="2750EB84" w14:textId="77777777" w:rsidR="007F6723" w:rsidRDefault="007F6723" w:rsidP="00181CF8">
            <w:pPr>
              <w:pStyle w:val="Tabletextcentred"/>
              <w:jc w:val="left"/>
            </w:pPr>
            <w:r>
              <w:t>The results generated are heavily influenced by the vignettes provided to participants, as this is the only understanding of AD and AD severity a participant can be expected to have. As such, the results of this study should be treated with caution</w:t>
            </w:r>
          </w:p>
        </w:tc>
      </w:tr>
    </w:tbl>
    <w:p w14:paraId="3BCB9025" w14:textId="3B82BAA5" w:rsidR="007F6723" w:rsidRDefault="007F6723" w:rsidP="007F6723">
      <w:pPr>
        <w:pStyle w:val="Tablefootnotes"/>
        <w:sectPr w:rsidR="007F6723" w:rsidSect="00181CF8">
          <w:footerReference w:type="default" r:id="rId28"/>
          <w:pgSz w:w="16838" w:h="11906" w:orient="landscape" w:code="9"/>
          <w:pgMar w:top="1440" w:right="1440" w:bottom="1440" w:left="1440" w:header="680" w:footer="1021" w:gutter="0"/>
          <w:cols w:space="708"/>
          <w:docGrid w:linePitch="360"/>
        </w:sectPr>
      </w:pPr>
      <w:r w:rsidRPr="00F94D4D">
        <w:t>Abbreviations</w:t>
      </w:r>
      <w:r>
        <w:t>: AD, Alzheimer’s Disease; ADL, activities of daily living; AQoL; Asssessment of Quality of Life; CDR, Clinical Dementia Rating; EQ-5D, EurQol Five Dimension questionnaire; HRQoL, health-related quality of life; HUI, Health Utilities Index; MMSE, Mini-Mental State Examination; NA, not applicable; QoL-AD, Quality of Life in Alzheimer’s Disease; SF-36, Short Form 36 Health Survey; VAS, Visual Analog</w:t>
      </w:r>
      <w:r w:rsidR="00EB2552">
        <w:t>ue</w:t>
      </w:r>
      <w:r>
        <w:t xml:space="preserve"> Scale</w:t>
      </w:r>
    </w:p>
    <w:p w14:paraId="0B65B728" w14:textId="77777777" w:rsidR="007F6723" w:rsidRDefault="007F6723" w:rsidP="007F6723">
      <w:r>
        <w:lastRenderedPageBreak/>
        <w:t>Bell et al (2001) was aimed at determining the HRQoL of caregivers rather than patients. As such, it was excluded from further consideration at the point of the full text review.</w:t>
      </w:r>
    </w:p>
    <w:p w14:paraId="58303998" w14:textId="77777777" w:rsidR="007F6723" w:rsidRDefault="007F6723" w:rsidP="007F6723">
      <w:r>
        <w:t xml:space="preserve">Gomez-Gallego et al (2012) reported utility weights based on the </w:t>
      </w:r>
      <w:r w:rsidRPr="00A842E5">
        <w:t>HUI3 instrument. These were reported by disease severity by reporting scores for patients with MMSE≥18 and MMSE&lt;18</w:t>
      </w:r>
      <w:r>
        <w:t>. This level of differentiation, however, was insufficient for use in the economic model and so the study was excluded from further consideration.</w:t>
      </w:r>
    </w:p>
    <w:p w14:paraId="4D1E61AC" w14:textId="77777777" w:rsidR="007F6723" w:rsidRDefault="007F6723" w:rsidP="007F6723">
      <w:r>
        <w:t>The study reported in Jonsson et al (2006) provides utility weights by disease severity, segregated into five MMSE categories. HRQoL was assessed using the EQ-5D, the EQ-5D VAS and the QoL-AD instrument. The study reports results provided by both patients and their caregivers, although the sample of completed instruments was far greater for carers due to cognitive problems preventing patients from completing the instruments in some cases. The average carer-proxy utility weights generated using all three instruments ranged from 0.69 for patients with MMSE scores of between 26 and 30, to 0.33 for patients with MMSE&lt;10. The utility weights generated in this study have been subsequently used in a NICE assessment of the effectiveness and cost-effectiveness of a range of drugs used to treat AD (Bond et al, 2012), following a review of the literature for suitable data to populate the economic model used in that assessment.</w:t>
      </w:r>
    </w:p>
    <w:p w14:paraId="2195DB14" w14:textId="77777777" w:rsidR="007F6723" w:rsidRDefault="007F6723" w:rsidP="007F6723">
      <w:r>
        <w:t>Lopez-Bastida et al (2006) reports utility weights generated in a study conducted in the Canary Islands using the EQ-5D instrument. The utility weights are differentiated by disease severity (assessed via the Clinical Dementia Rating (CDR) scale) to generate a result of 0.52 for mild AD, 0.30 for moderate AD and 0.12 for severe AD. These weights are considerably lower than those reported in Jonsson et al (2006), implying far greater disutility as disease progresses.</w:t>
      </w:r>
    </w:p>
    <w:p w14:paraId="0D024EB5" w14:textId="298CDF4F" w:rsidR="007F6723" w:rsidRDefault="007F6723" w:rsidP="007F6723">
      <w:r>
        <w:t>Mesterton et al (2010) reports utility weights for mild, moderate and severe AD (based on the MMSE) using the EQ-5D questionnaire. The study provides results of 0.64 for mild AD, 0.39 for moderate AD, and 0.24 for severe AD. Again, the range is greater than that reported in Jonsson et al (2006). There was concern about the applicability of the utility weights generated due to an inclusion criterion that patients in the community must have had an informal caregiver. As this could mean the population is more severe than would otherwise be the case, this could be a source of bias.</w:t>
      </w:r>
    </w:p>
    <w:p w14:paraId="2C923153" w14:textId="77777777" w:rsidR="007F6723" w:rsidRDefault="007F6723" w:rsidP="007F6723">
      <w:r>
        <w:t xml:space="preserve">Although Neumann et al (1999) is not an original study to determine utility weights, it does report utility weights generated in a previous study by the same author (Neumann et al, 1998). </w:t>
      </w:r>
      <w:r w:rsidRPr="0002414B">
        <w:t>The</w:t>
      </w:r>
      <w:r>
        <w:t xml:space="preserve">se utility weights </w:t>
      </w:r>
      <w:r w:rsidRPr="0002414B">
        <w:t>were derived via the HUI2 instrument in a cross-sectional study of caregivers of AD patients</w:t>
      </w:r>
      <w:r>
        <w:t>. Patient stratification by disease severity (by CDR disease stage) and setting of care allowed results to be disaggregated accordingly. The estimated utility weights range from 0.68 for mild patients in community care to 0.31 for patients with severe AD being treated in nursing care. Despite the use of a different instrument (HUI2), the range is similar to that reported in Jonsson et al (2006).</w:t>
      </w:r>
    </w:p>
    <w:p w14:paraId="7F7B0022" w14:textId="77777777" w:rsidR="007F6723" w:rsidRDefault="007F6723" w:rsidP="007F6723">
      <w:r>
        <w:t xml:space="preserve">A subsequent study reported in Neumann et al (2000) attempts to update the results by using the HUI3 instrument, which is more sensitive to the high levels of impairment associated with AD. This sensitivity is evident in the results, which are considerably lower than those reported in Neumann et al (1999). The range for mild to severe patients is 0.47 to 0.06 using the HUI3 instrument and falls further to -0.08 and -0.23 for patients with profound and terminal AD, respectively. If samples with negative utility weights are ignored by being set to zero, the utility weight for questionable/mild AD is 0.42 while </w:t>
      </w:r>
      <w:r>
        <w:lastRenderedPageBreak/>
        <w:t>the weights for moderate and for profound/severe/terminal are 0.41 and 0.35, respectively.</w:t>
      </w:r>
    </w:p>
    <w:p w14:paraId="2CC12764" w14:textId="77C3B878" w:rsidR="007F6723" w:rsidRDefault="007F6723" w:rsidP="007F6723">
      <w:r>
        <w:t xml:space="preserve">Wlodarczyk et al (2004) reports carer-proxy and patient-rated utility weights derived using the </w:t>
      </w:r>
      <w:r w:rsidR="00DA473C">
        <w:t>Assessment of Quality of Life (</w:t>
      </w:r>
      <w:r>
        <w:t>AQoL</w:t>
      </w:r>
      <w:r w:rsidR="00DA473C">
        <w:t>)</w:t>
      </w:r>
      <w:r>
        <w:t xml:space="preserve"> instrument, which are disaggregated by MMSE score to capture the impact of disease severity. Carer-proxy weights range from 0.59 to 0.4, while patient-rated weights range from 0.71 to 0.52. As discussed in Bond et al (2012), the reliance on a sample from day care means that these weights may not be representative, which could explain why the range is narrower than is reported in other studies.</w:t>
      </w:r>
    </w:p>
    <w:p w14:paraId="0910F7BB" w14:textId="77777777" w:rsidR="007F6723" w:rsidRDefault="007F6723" w:rsidP="007F6723">
      <w:r>
        <w:t>Xie et al (2012) reports utility weights derived using the EQ-5D instrument as well as QoL-AD scores. Both were generated via computer-assisted interviews held with participants from the general public. EQ-5D weights range from 0.7413 to 0.4456. While this range is not dissimilar to that reported elsewhere (e.g. Jonsson et al, 2006, and Neumann et al, 1999), the utility weights themselves are somewhat higher, which may imply that participants failed to grasp the impact AD has on HRQoL. This is unsurprising given the study design and the reliance on vignettes to understand the impact of AD.</w:t>
      </w:r>
    </w:p>
    <w:p w14:paraId="6AFC7096" w14:textId="77777777" w:rsidR="007F6723" w:rsidRDefault="007F6723" w:rsidP="007F6723">
      <w:r>
        <w:t>Of the studies discussed above, Jonsson et al (2006) appears to provide the strongest estimates of utility weights associated with AD which are suitable for inclusion in the economic model. This is supported by the use of these results by NICE in their assessment of the cost-effectiveness of AD treatment (Bond et al, 2012).</w:t>
      </w:r>
    </w:p>
    <w:p w14:paraId="71781869" w14:textId="77777777" w:rsidR="007F6723" w:rsidRDefault="007F6723" w:rsidP="007F6723">
      <w:pPr>
        <w:pStyle w:val="Heading3"/>
      </w:pPr>
      <w:r>
        <w:t>Relationship of the pre-modelling study to the economic evaluation</w:t>
      </w:r>
    </w:p>
    <w:p w14:paraId="274D5FF8" w14:textId="77777777" w:rsidR="007F6723" w:rsidRDefault="007F6723" w:rsidP="007F6723">
      <w:r>
        <w:t xml:space="preserve">As discussed in Section D, the health states included in the economic model are not defined by MMSE, but rather by whether a patient has mild, moderate or severe AD (health states which correspond better with severity captured via the CDR scale). As discussed in Bond et al (2012), a previous study has mapped CDR to MMSE ranges for people with dementia (Perneczky et al, 2006), thereby enabling the utility weights presented in </w:t>
      </w:r>
      <w:r>
        <w:fldChar w:fldCharType="begin"/>
      </w:r>
      <w:r>
        <w:instrText xml:space="preserve"> REF _Ref278106173 \h </w:instrText>
      </w:r>
      <w:r>
        <w:fldChar w:fldCharType="separate"/>
      </w:r>
      <w:r w:rsidR="00C67698">
        <w:t xml:space="preserve">Table </w:t>
      </w:r>
      <w:r w:rsidR="00C67698">
        <w:rPr>
          <w:noProof/>
        </w:rPr>
        <w:t>C.6</w:t>
      </w:r>
      <w:r w:rsidR="00C67698">
        <w:noBreakHyphen/>
      </w:r>
      <w:r w:rsidR="00C67698">
        <w:rPr>
          <w:noProof/>
        </w:rPr>
        <w:t>3</w:t>
      </w:r>
      <w:r>
        <w:fldChar w:fldCharType="end"/>
      </w:r>
      <w:r>
        <w:t xml:space="preserve"> to be applied to the economic model in Section D.</w:t>
      </w:r>
    </w:p>
    <w:p w14:paraId="5E676F41" w14:textId="274B6C20" w:rsidR="007F6723" w:rsidRDefault="007F6723" w:rsidP="007F6723">
      <w:pPr>
        <w:pStyle w:val="Caption"/>
      </w:pPr>
      <w:bookmarkStart w:id="179" w:name="_Ref278106173"/>
      <w:bookmarkStart w:id="180" w:name="_Toc406172476"/>
      <w:bookmarkStart w:id="181" w:name="_Toc408845230"/>
      <w:r>
        <w:t xml:space="preserve">Table </w:t>
      </w:r>
      <w:fldSimple w:instr=" STYLEREF 2 \s ">
        <w:r w:rsidR="00C67698">
          <w:rPr>
            <w:noProof/>
          </w:rPr>
          <w:t>C.6</w:t>
        </w:r>
      </w:fldSimple>
      <w:r w:rsidR="00524916">
        <w:noBreakHyphen/>
      </w:r>
      <w:fldSimple w:instr=" SEQ Table \* ARABIC \s 2 ">
        <w:r w:rsidR="00C67698">
          <w:rPr>
            <w:noProof/>
          </w:rPr>
          <w:t>3</w:t>
        </w:r>
      </w:fldSimple>
      <w:bookmarkEnd w:id="179"/>
      <w:r>
        <w:tab/>
        <w:t>Utility weights applied to the economic model</w:t>
      </w:r>
      <w:bookmarkEnd w:id="180"/>
      <w:bookmarkEnd w:id="181"/>
    </w:p>
    <w:tbl>
      <w:tblPr>
        <w:tblStyle w:val="TableGrid"/>
        <w:tblW w:w="4610" w:type="pct"/>
        <w:tblInd w:w="704" w:type="dxa"/>
        <w:tblLook w:val="04A0" w:firstRow="1" w:lastRow="0" w:firstColumn="1" w:lastColumn="0" w:noHBand="0" w:noVBand="1"/>
        <w:tblCaption w:val="Utility weights applied to the economic model"/>
        <w:tblDescription w:val="The utility weights for mild, moderate and severe Alzheimer's disease, as applied to the economic model."/>
      </w:tblPr>
      <w:tblGrid>
        <w:gridCol w:w="3456"/>
        <w:gridCol w:w="2536"/>
        <w:gridCol w:w="2529"/>
      </w:tblGrid>
      <w:tr w:rsidR="007F6723" w14:paraId="68F9C837" w14:textId="77777777" w:rsidTr="00181CF8">
        <w:trPr>
          <w:tblHeader/>
        </w:trPr>
        <w:tc>
          <w:tcPr>
            <w:tcW w:w="2028" w:type="pct"/>
          </w:tcPr>
          <w:p w14:paraId="4123F95D" w14:textId="77777777" w:rsidR="007F6723" w:rsidRDefault="007F6723" w:rsidP="00181CF8">
            <w:pPr>
              <w:pStyle w:val="Tabletextboldleft"/>
            </w:pPr>
            <w:r>
              <w:t>Disease severity</w:t>
            </w:r>
          </w:p>
        </w:tc>
        <w:tc>
          <w:tcPr>
            <w:tcW w:w="1488" w:type="pct"/>
          </w:tcPr>
          <w:p w14:paraId="1C223C14" w14:textId="77777777" w:rsidR="007F6723" w:rsidRDefault="007F6723" w:rsidP="00181CF8">
            <w:pPr>
              <w:pStyle w:val="Tabletextboldleft"/>
              <w:jc w:val="center"/>
            </w:pPr>
            <w:r>
              <w:t>MMSE range</w:t>
            </w:r>
          </w:p>
        </w:tc>
        <w:tc>
          <w:tcPr>
            <w:tcW w:w="1484" w:type="pct"/>
          </w:tcPr>
          <w:p w14:paraId="68679631" w14:textId="77777777" w:rsidR="007F6723" w:rsidRDefault="007F6723" w:rsidP="00181CF8">
            <w:pPr>
              <w:pStyle w:val="Tabletextboldleft"/>
              <w:jc w:val="center"/>
            </w:pPr>
            <w:r>
              <w:t>Utility weight</w:t>
            </w:r>
          </w:p>
        </w:tc>
      </w:tr>
      <w:tr w:rsidR="007F6723" w14:paraId="6E6BA09E" w14:textId="77777777" w:rsidTr="00181CF8">
        <w:tc>
          <w:tcPr>
            <w:tcW w:w="2028" w:type="pct"/>
          </w:tcPr>
          <w:p w14:paraId="5182CDD5" w14:textId="77777777" w:rsidR="007F6723" w:rsidRDefault="007F6723" w:rsidP="00181CF8">
            <w:pPr>
              <w:pStyle w:val="Tabletextcentred"/>
              <w:jc w:val="left"/>
            </w:pPr>
            <w:r>
              <w:t>Mild (CDR = 1)</w:t>
            </w:r>
          </w:p>
        </w:tc>
        <w:tc>
          <w:tcPr>
            <w:tcW w:w="1488" w:type="pct"/>
          </w:tcPr>
          <w:p w14:paraId="221F34C7" w14:textId="77777777" w:rsidR="007F6723" w:rsidRDefault="007F6723" w:rsidP="00181CF8">
            <w:pPr>
              <w:pStyle w:val="Tabletextcentred"/>
            </w:pPr>
            <w:r>
              <w:t>21-25</w:t>
            </w:r>
          </w:p>
        </w:tc>
        <w:tc>
          <w:tcPr>
            <w:tcW w:w="1484" w:type="pct"/>
          </w:tcPr>
          <w:p w14:paraId="22388C50" w14:textId="77777777" w:rsidR="007F6723" w:rsidRPr="00884A82" w:rsidRDefault="007F6723" w:rsidP="00181CF8">
            <w:pPr>
              <w:pStyle w:val="Tabletextcentred"/>
            </w:pPr>
            <w:r w:rsidRPr="00884A82">
              <w:t>0.64</w:t>
            </w:r>
          </w:p>
        </w:tc>
      </w:tr>
      <w:tr w:rsidR="007F6723" w14:paraId="1EDBDC30" w14:textId="77777777" w:rsidTr="00181CF8">
        <w:tc>
          <w:tcPr>
            <w:tcW w:w="2028" w:type="pct"/>
          </w:tcPr>
          <w:p w14:paraId="31FDB926" w14:textId="77777777" w:rsidR="007F6723" w:rsidRDefault="007F6723" w:rsidP="00181CF8">
            <w:pPr>
              <w:pStyle w:val="Tabletextcentred"/>
              <w:jc w:val="left"/>
            </w:pPr>
            <w:r>
              <w:t>Moderate (CDR = 2)</w:t>
            </w:r>
          </w:p>
        </w:tc>
        <w:tc>
          <w:tcPr>
            <w:tcW w:w="1488" w:type="pct"/>
          </w:tcPr>
          <w:p w14:paraId="6DB4A212" w14:textId="77777777" w:rsidR="007F6723" w:rsidRDefault="007F6723" w:rsidP="00181CF8">
            <w:pPr>
              <w:pStyle w:val="Tabletextcentred"/>
            </w:pPr>
            <w:r>
              <w:t>11-20</w:t>
            </w:r>
          </w:p>
        </w:tc>
        <w:tc>
          <w:tcPr>
            <w:tcW w:w="1484" w:type="pct"/>
          </w:tcPr>
          <w:p w14:paraId="45BA8061" w14:textId="77777777" w:rsidR="007F6723" w:rsidRPr="00884A82" w:rsidRDefault="007F6723" w:rsidP="00181CF8">
            <w:pPr>
              <w:pStyle w:val="Tabletextcentred"/>
            </w:pPr>
            <w:r w:rsidRPr="00884A82">
              <w:t>0.495</w:t>
            </w:r>
            <w:r w:rsidRPr="00F32C0E">
              <w:rPr>
                <w:vertAlign w:val="superscript"/>
              </w:rPr>
              <w:t>a</w:t>
            </w:r>
          </w:p>
        </w:tc>
      </w:tr>
      <w:tr w:rsidR="007F6723" w14:paraId="34EB37F3" w14:textId="77777777" w:rsidTr="00181CF8">
        <w:tc>
          <w:tcPr>
            <w:tcW w:w="2028" w:type="pct"/>
          </w:tcPr>
          <w:p w14:paraId="739AD3D5" w14:textId="77777777" w:rsidR="007F6723" w:rsidRDefault="007F6723" w:rsidP="00181CF8">
            <w:pPr>
              <w:pStyle w:val="Tabletextcentred"/>
              <w:jc w:val="left"/>
            </w:pPr>
            <w:r>
              <w:t>Severe (CDR = 3)</w:t>
            </w:r>
          </w:p>
        </w:tc>
        <w:tc>
          <w:tcPr>
            <w:tcW w:w="1488" w:type="pct"/>
          </w:tcPr>
          <w:p w14:paraId="15BD8DA4" w14:textId="77777777" w:rsidR="007F6723" w:rsidRDefault="007F6723" w:rsidP="00181CF8">
            <w:pPr>
              <w:pStyle w:val="Tabletextcentred"/>
            </w:pPr>
            <w:r>
              <w:t>0-10</w:t>
            </w:r>
          </w:p>
        </w:tc>
        <w:tc>
          <w:tcPr>
            <w:tcW w:w="1484" w:type="pct"/>
          </w:tcPr>
          <w:p w14:paraId="23EF786A" w14:textId="77777777" w:rsidR="007F6723" w:rsidRPr="00884A82" w:rsidRDefault="007F6723" w:rsidP="00181CF8">
            <w:pPr>
              <w:pStyle w:val="Tabletextcentred"/>
            </w:pPr>
            <w:r w:rsidRPr="00884A82">
              <w:t>0.33</w:t>
            </w:r>
          </w:p>
        </w:tc>
      </w:tr>
    </w:tbl>
    <w:p w14:paraId="3ECE3D05" w14:textId="77777777" w:rsidR="007F6723" w:rsidRDefault="007F6723" w:rsidP="007F6723">
      <w:pPr>
        <w:pStyle w:val="Tablefootnotes"/>
      </w:pPr>
      <w:r>
        <w:t>Source: Jonsson et al (2006); Perneczky et al (2006)</w:t>
      </w:r>
    </w:p>
    <w:p w14:paraId="0907B732" w14:textId="77777777" w:rsidR="007F6723" w:rsidRDefault="007F6723" w:rsidP="007F6723">
      <w:pPr>
        <w:pStyle w:val="Tablefootnotes"/>
      </w:pPr>
      <w:r w:rsidRPr="00F94D4D">
        <w:t>Abbreviations</w:t>
      </w:r>
      <w:r>
        <w:t>: CDR, Clinical Dementia Rating scale; MMSE, Mini-Mental State Examination</w:t>
      </w:r>
    </w:p>
    <w:p w14:paraId="080BAC7E" w14:textId="77777777" w:rsidR="007F6723" w:rsidRDefault="007F6723" w:rsidP="007F6723">
      <w:pPr>
        <w:pStyle w:val="Tablefootnotes"/>
      </w:pPr>
      <w:r w:rsidRPr="00F83702">
        <w:rPr>
          <w:vertAlign w:val="superscript"/>
        </w:rPr>
        <w:t xml:space="preserve">a </w:t>
      </w:r>
      <w:r>
        <w:t>Average of utility weights corresponding to MMSE 10-14 and MMSE 15-20</w:t>
      </w:r>
    </w:p>
    <w:p w14:paraId="42E52182" w14:textId="77777777" w:rsidR="007F6723" w:rsidRDefault="007F6723" w:rsidP="007F6723">
      <w:r>
        <w:t xml:space="preserve">The mild and moderate utility weights presented in </w:t>
      </w:r>
      <w:r>
        <w:fldChar w:fldCharType="begin"/>
      </w:r>
      <w:r>
        <w:instrText xml:space="preserve"> REF _Ref278106173 \h </w:instrText>
      </w:r>
      <w:r>
        <w:fldChar w:fldCharType="separate"/>
      </w:r>
      <w:r w:rsidR="00C67698">
        <w:t xml:space="preserve">Table </w:t>
      </w:r>
      <w:r w:rsidR="00C67698">
        <w:rPr>
          <w:noProof/>
        </w:rPr>
        <w:t>C.6</w:t>
      </w:r>
      <w:r w:rsidR="00C67698">
        <w:noBreakHyphen/>
      </w:r>
      <w:r w:rsidR="00C67698">
        <w:rPr>
          <w:noProof/>
        </w:rPr>
        <w:t>3</w:t>
      </w:r>
      <w:r>
        <w:fldChar w:fldCharType="end"/>
      </w:r>
      <w:r>
        <w:t xml:space="preserve"> were applied to the economic model for mild and moderate patients in community care. The severe utility weight was applied to all patients with severe AD, since, as described in Section D, the model assumes that all patients with severe AD are in nursing care. As per the NICE assessment (Bond et al, 2012), the same utility weight for severe AD was applied to mild and moderate AD patients who are in nursing care. This assumption was based on the understanding that any need for nursing care would be more representative of compromised QoL than disease severity captured via MMSE or the CDR. That is, if a patient is institutionalised it is due to a need for care, which would have QoL implications.</w:t>
      </w:r>
    </w:p>
    <w:p w14:paraId="6B4359DB" w14:textId="77777777" w:rsidR="007F6723" w:rsidRPr="00506ABE" w:rsidRDefault="007F6723" w:rsidP="007F6723">
      <w:r>
        <w:lastRenderedPageBreak/>
        <w:t>These utility weights were applied to the base case analysis, with the impact of alternative sources tested in sensitivity analyses presented in Section D.6.</w:t>
      </w:r>
    </w:p>
    <w:p w14:paraId="11DB1A67" w14:textId="77777777" w:rsidR="007F6723" w:rsidRDefault="007F6723" w:rsidP="007F6723">
      <w:pPr>
        <w:pStyle w:val="Heading2"/>
      </w:pPr>
      <w:bookmarkStart w:id="182" w:name="_Ref278641068"/>
      <w:bookmarkStart w:id="183" w:name="_Toc406172431"/>
      <w:bookmarkStart w:id="184" w:name="_Toc408845175"/>
      <w:r>
        <w:t>Issue 6: Estimating the drug costs associated with treating Alzheimer’s disease</w:t>
      </w:r>
      <w:bookmarkEnd w:id="182"/>
      <w:bookmarkEnd w:id="183"/>
      <w:bookmarkEnd w:id="184"/>
    </w:p>
    <w:p w14:paraId="1D908E01" w14:textId="1E46A901" w:rsidR="007F6723" w:rsidRPr="00180FB4" w:rsidRDefault="007F6723" w:rsidP="007F6723">
      <w:r>
        <w:t>Although th</w:t>
      </w:r>
      <w:r w:rsidR="007C77F5">
        <w:t>e</w:t>
      </w:r>
      <w:r>
        <w:t xml:space="preserve"> economic evaluation presented in Section D is primarily concerned with assessing the cost-effectiveness of diagnosis of AD with FDG-PET relative to SPECT, a comprehensive assessment of this requires the downstream impact of AD to be considered. As a consequence, the economic model requires estimates of treatment costs associated with AD. An important component of such costs is PBS-list</w:t>
      </w:r>
      <w:r w:rsidR="0064732B">
        <w:t>ed</w:t>
      </w:r>
      <w:r>
        <w:t xml:space="preserve"> treatment options. Estimation of these costs is the focus of this section.</w:t>
      </w:r>
    </w:p>
    <w:p w14:paraId="4DA472C3" w14:textId="77777777" w:rsidR="007F6723" w:rsidRDefault="007F6723" w:rsidP="007F6723">
      <w:pPr>
        <w:pStyle w:val="Heading3"/>
      </w:pPr>
      <w:r>
        <w:t>Focused analytical plan</w:t>
      </w:r>
    </w:p>
    <w:p w14:paraId="38D377BC" w14:textId="77777777" w:rsidR="007F6723" w:rsidRDefault="007F6723" w:rsidP="007F6723">
      <w:r>
        <w:t xml:space="preserve">As discussed previously, the model accounts for disease severity, residential setting and whether individuals are receiving AD medication. Currently, the PBS includes both AChEIs and memantine. Memantine is listed on the PBS for use in individuals with MMSE (or SMMSE) scores of 10-14 only. It was appropriate, therefore, to assume that memantine would be used in moderate patients only (defined as MMSE 11-20 in the current model, as discussed in Section </w:t>
      </w:r>
      <w:r>
        <w:fldChar w:fldCharType="begin"/>
      </w:r>
      <w:r>
        <w:instrText xml:space="preserve"> REF _Ref278627078 \r \h </w:instrText>
      </w:r>
      <w:r>
        <w:fldChar w:fldCharType="separate"/>
      </w:r>
      <w:r w:rsidR="00C67698">
        <w:t>C.2</w:t>
      </w:r>
      <w:r>
        <w:fldChar w:fldCharType="end"/>
      </w:r>
      <w:r>
        <w:t xml:space="preserve">; Perneczky et al, 2006, as reported in Bond et al, 2012). </w:t>
      </w:r>
    </w:p>
    <w:p w14:paraId="23A5396C" w14:textId="77777777" w:rsidR="007F6723" w:rsidRDefault="007F6723" w:rsidP="007F6723">
      <w:r>
        <w:t>It was further assumed, for simplicity, that memantine would be the only PBS treatment used in moderate AD patients, while AChEIs would be used in patients with mild AD.</w:t>
      </w:r>
    </w:p>
    <w:p w14:paraId="14989AB6" w14:textId="77777777" w:rsidR="007F6723" w:rsidRDefault="007F6723" w:rsidP="007F6723">
      <w:r>
        <w:t>The AChEIs currently available via the PBS for the treatment of AD include donepezil, rivastigmine and galantamine. It was assumed that these were used exclusively in individuals with mild AD, with the implicit assumption that patients would move off AChEIs and on to memantine at progression from mild to moderate disease.</w:t>
      </w:r>
    </w:p>
    <w:p w14:paraId="3D73ED9E" w14:textId="51367B66" w:rsidR="007F6723" w:rsidRDefault="007F6723" w:rsidP="007F6723">
      <w:r>
        <w:t xml:space="preserve">To estimate the cost of each PBS medication, the daily doses were assumed on the basis of the Product Information (PI) for each drug. This was then used to calculate the average daily cost of each treatment for a patient using that drug/formulation. It was assumed that the recommended maintenance doses were used in all patients receiving treatment. The impact of titration doses, or reductions in average doses due to adverse drug reactions or other issues related to adherence was not accounted for (see discussion of Jones et al </w:t>
      </w:r>
      <w:r w:rsidR="007C77F5">
        <w:t>(</w:t>
      </w:r>
      <w:r>
        <w:t xml:space="preserve">2010) presented in Section </w:t>
      </w:r>
      <w:r>
        <w:fldChar w:fldCharType="begin"/>
      </w:r>
      <w:r>
        <w:instrText xml:space="preserve"> REF _Ref278640733 \r \h </w:instrText>
      </w:r>
      <w:r>
        <w:fldChar w:fldCharType="separate"/>
      </w:r>
      <w:r w:rsidR="00C67698">
        <w:t>C.3</w:t>
      </w:r>
      <w:r>
        <w:fldChar w:fldCharType="end"/>
      </w:r>
      <w:r>
        <w:t xml:space="preserve"> in support of this approach); this had a negligible impact on the results of the model. </w:t>
      </w:r>
    </w:p>
    <w:p w14:paraId="236F9467" w14:textId="77777777" w:rsidR="007F6723" w:rsidRDefault="007F6723" w:rsidP="007F6723">
      <w:r>
        <w:t xml:space="preserve">In the case of the AChEIs, the PIs recommended a dose of 5-10 mg per day for donepezil, 6-12 mg per day as two separate doses for rivastigmine, and 16 mg or 24 mg per day for galantamine. The calculations were undertaken by using the packs that best correspond to each of these dosing possibilities. For example, in the case of galantamine, the 16 mg and 24 mg capsules were used in the costings, while the 8 mg capsules were not included as they would be more likely to be used in the titration phase. In the case of rivastigmine, however, the 4.6 mg/24 hours and 9.5 mg/24 hours patches were also included. </w:t>
      </w:r>
      <w:r>
        <w:fldChar w:fldCharType="begin"/>
      </w:r>
      <w:r>
        <w:instrText xml:space="preserve"> REF _Ref278633080 \h </w:instrText>
      </w:r>
      <w:r>
        <w:fldChar w:fldCharType="separate"/>
      </w:r>
      <w:r w:rsidR="00C67698">
        <w:t xml:space="preserve">Table </w:t>
      </w:r>
      <w:r w:rsidR="00C67698">
        <w:rPr>
          <w:noProof/>
        </w:rPr>
        <w:t>C.7</w:t>
      </w:r>
      <w:r w:rsidR="00C67698">
        <w:noBreakHyphen/>
      </w:r>
      <w:r w:rsidR="00C67698">
        <w:rPr>
          <w:noProof/>
        </w:rPr>
        <w:t>1</w:t>
      </w:r>
      <w:r>
        <w:fldChar w:fldCharType="end"/>
      </w:r>
      <w:r>
        <w:t xml:space="preserve"> presents the calculations of the daily treatment cost of each treatment option.</w:t>
      </w:r>
    </w:p>
    <w:p w14:paraId="0A9CEA45" w14:textId="77777777" w:rsidR="007F6723" w:rsidRDefault="007F6723" w:rsidP="007F6723">
      <w:r>
        <w:lastRenderedPageBreak/>
        <w:t xml:space="preserve">Following the calculation of the average daily cost for each treatment option, PBS statistics were used to calculate a weighted average daily cost per patient. This is presented in </w:t>
      </w:r>
      <w:r>
        <w:fldChar w:fldCharType="begin"/>
      </w:r>
      <w:r>
        <w:instrText xml:space="preserve"> REF _Ref278633526 \h </w:instrText>
      </w:r>
      <w:r>
        <w:fldChar w:fldCharType="separate"/>
      </w:r>
      <w:r w:rsidR="00C67698">
        <w:t xml:space="preserve">Table </w:t>
      </w:r>
      <w:r w:rsidR="00C67698">
        <w:rPr>
          <w:noProof/>
        </w:rPr>
        <w:t>C.7</w:t>
      </w:r>
      <w:r w:rsidR="00C67698">
        <w:noBreakHyphen/>
      </w:r>
      <w:r w:rsidR="00C67698">
        <w:rPr>
          <w:noProof/>
        </w:rPr>
        <w:t>2</w:t>
      </w:r>
      <w:r>
        <w:fldChar w:fldCharType="end"/>
      </w:r>
      <w:r>
        <w:t>.</w:t>
      </w:r>
    </w:p>
    <w:p w14:paraId="40D40B0B" w14:textId="77777777" w:rsidR="007F6723" w:rsidRDefault="007F6723" w:rsidP="007F6723">
      <w:r>
        <w:t xml:space="preserve">In the case of memantine, a similar approach was used. By using the PI, it was determined that the recommended maintenance dose is 20 mg per day. The corresponding pack was used to then calculate an average cost per day of treatment with memantine (see </w:t>
      </w:r>
      <w:r>
        <w:fldChar w:fldCharType="begin"/>
      </w:r>
      <w:r>
        <w:instrText xml:space="preserve"> REF _Ref278633798 \h </w:instrText>
      </w:r>
      <w:r>
        <w:fldChar w:fldCharType="separate"/>
      </w:r>
      <w:r w:rsidR="00C67698">
        <w:t xml:space="preserve">Table </w:t>
      </w:r>
      <w:r w:rsidR="00C67698">
        <w:rPr>
          <w:noProof/>
        </w:rPr>
        <w:t>C.7</w:t>
      </w:r>
      <w:r w:rsidR="00C67698">
        <w:noBreakHyphen/>
      </w:r>
      <w:r w:rsidR="00C67698">
        <w:rPr>
          <w:noProof/>
        </w:rPr>
        <w:t>3</w:t>
      </w:r>
      <w:r>
        <w:fldChar w:fldCharType="end"/>
      </w:r>
      <w:r>
        <w:t>). As it was assumed that individuals with moderate AD would only use memantine and not AChEIs, there was no need to consider the distribution of patients across various treatment options.</w:t>
      </w:r>
    </w:p>
    <w:p w14:paraId="21B884C2" w14:textId="77777777" w:rsidR="007F6723" w:rsidRDefault="007F6723" w:rsidP="007F6723">
      <w:pPr>
        <w:pStyle w:val="Heading3"/>
      </w:pPr>
      <w:r>
        <w:t>Results of the pre-modelling study</w:t>
      </w:r>
    </w:p>
    <w:p w14:paraId="3EC9BF33" w14:textId="77777777" w:rsidR="007F6723" w:rsidRDefault="007F6723" w:rsidP="007F6723">
      <w:r>
        <w:fldChar w:fldCharType="begin"/>
      </w:r>
      <w:r>
        <w:instrText xml:space="preserve"> REF _Ref278633080 \h </w:instrText>
      </w:r>
      <w:r>
        <w:fldChar w:fldCharType="separate"/>
      </w:r>
      <w:r w:rsidR="00C67698">
        <w:t xml:space="preserve">Table </w:t>
      </w:r>
      <w:r w:rsidR="00C67698">
        <w:rPr>
          <w:noProof/>
        </w:rPr>
        <w:t>C.7</w:t>
      </w:r>
      <w:r w:rsidR="00C67698">
        <w:noBreakHyphen/>
      </w:r>
      <w:r w:rsidR="00C67698">
        <w:rPr>
          <w:noProof/>
        </w:rPr>
        <w:t>1</w:t>
      </w:r>
      <w:r>
        <w:fldChar w:fldCharType="end"/>
      </w:r>
      <w:r>
        <w:t xml:space="preserve"> presents the daily treatment costs associated with each of the PBS-listed AChEIs, while </w:t>
      </w:r>
      <w:r>
        <w:fldChar w:fldCharType="begin"/>
      </w:r>
      <w:r>
        <w:instrText xml:space="preserve"> REF _Ref278633526 \h </w:instrText>
      </w:r>
      <w:r>
        <w:fldChar w:fldCharType="separate"/>
      </w:r>
      <w:r w:rsidR="00C67698">
        <w:t xml:space="preserve">Table </w:t>
      </w:r>
      <w:r w:rsidR="00C67698">
        <w:rPr>
          <w:noProof/>
        </w:rPr>
        <w:t>C.7</w:t>
      </w:r>
      <w:r w:rsidR="00C67698">
        <w:noBreakHyphen/>
      </w:r>
      <w:r w:rsidR="00C67698">
        <w:rPr>
          <w:noProof/>
        </w:rPr>
        <w:t>2</w:t>
      </w:r>
      <w:r>
        <w:fldChar w:fldCharType="end"/>
      </w:r>
      <w:r>
        <w:t xml:space="preserve"> presents the weighted average cost per patient on the basis of the data presented in </w:t>
      </w:r>
      <w:r>
        <w:fldChar w:fldCharType="begin"/>
      </w:r>
      <w:r>
        <w:instrText xml:space="preserve"> REF _Ref278633080 \h </w:instrText>
      </w:r>
      <w:r>
        <w:fldChar w:fldCharType="separate"/>
      </w:r>
      <w:r w:rsidR="00C67698">
        <w:t xml:space="preserve">Table </w:t>
      </w:r>
      <w:r w:rsidR="00C67698">
        <w:rPr>
          <w:noProof/>
        </w:rPr>
        <w:t>C.7</w:t>
      </w:r>
      <w:r w:rsidR="00C67698">
        <w:noBreakHyphen/>
      </w:r>
      <w:r w:rsidR="00C67698">
        <w:rPr>
          <w:noProof/>
        </w:rPr>
        <w:t>1</w:t>
      </w:r>
      <w:r>
        <w:fldChar w:fldCharType="end"/>
      </w:r>
      <w:r>
        <w:t xml:space="preserve"> and the PBS scripts data. </w:t>
      </w:r>
    </w:p>
    <w:p w14:paraId="5CB8CE42" w14:textId="1E38625E" w:rsidR="007F6723" w:rsidRDefault="007F6723" w:rsidP="007F6723">
      <w:pPr>
        <w:pStyle w:val="Caption"/>
      </w:pPr>
      <w:bookmarkStart w:id="185" w:name="_Ref278633080"/>
      <w:bookmarkStart w:id="186" w:name="_Toc406172477"/>
      <w:bookmarkStart w:id="187" w:name="_Toc408845231"/>
      <w:r>
        <w:t xml:space="preserve">Table </w:t>
      </w:r>
      <w:fldSimple w:instr=" STYLEREF 2 \s ">
        <w:r w:rsidR="00C67698">
          <w:rPr>
            <w:noProof/>
          </w:rPr>
          <w:t>C.7</w:t>
        </w:r>
      </w:fldSimple>
      <w:r w:rsidR="00524916">
        <w:noBreakHyphen/>
      </w:r>
      <w:fldSimple w:instr=" SEQ Table \* ARABIC \s 2 ">
        <w:r w:rsidR="00C67698">
          <w:rPr>
            <w:noProof/>
          </w:rPr>
          <w:t>1</w:t>
        </w:r>
      </w:fldSimple>
      <w:bookmarkEnd w:id="185"/>
      <w:r>
        <w:tab/>
        <w:t>Calculated daily treatment cost of AChEIs</w:t>
      </w:r>
      <w:bookmarkEnd w:id="186"/>
      <w:bookmarkEnd w:id="187"/>
    </w:p>
    <w:tbl>
      <w:tblPr>
        <w:tblStyle w:val="TableGrid"/>
        <w:tblW w:w="4610" w:type="pct"/>
        <w:tblInd w:w="704" w:type="dxa"/>
        <w:tblLook w:val="04A0" w:firstRow="1" w:lastRow="0" w:firstColumn="1" w:lastColumn="0" w:noHBand="0" w:noVBand="1"/>
        <w:tblCaption w:val="Calculated daily treatment cost of acetylcholinesterase inhibitors"/>
        <w:tblDescription w:val="PBS data showing daily treatment costs including number of milligrams per administration, dose per day, and cost per day."/>
      </w:tblPr>
      <w:tblGrid>
        <w:gridCol w:w="1185"/>
        <w:gridCol w:w="847"/>
        <w:gridCol w:w="1380"/>
        <w:gridCol w:w="978"/>
        <w:gridCol w:w="876"/>
        <w:gridCol w:w="746"/>
        <w:gridCol w:w="837"/>
        <w:gridCol w:w="835"/>
        <w:gridCol w:w="837"/>
      </w:tblGrid>
      <w:tr w:rsidR="007F6723" w14:paraId="580E4BD3" w14:textId="77777777" w:rsidTr="00181CF8">
        <w:trPr>
          <w:tblHeader/>
        </w:trPr>
        <w:tc>
          <w:tcPr>
            <w:tcW w:w="695" w:type="pct"/>
          </w:tcPr>
          <w:p w14:paraId="38CDA5CD" w14:textId="77777777" w:rsidR="007F6723" w:rsidRDefault="007F6723" w:rsidP="00181CF8">
            <w:pPr>
              <w:pStyle w:val="Tabletextboldleft"/>
            </w:pPr>
            <w:r>
              <w:t>Drug</w:t>
            </w:r>
          </w:p>
        </w:tc>
        <w:tc>
          <w:tcPr>
            <w:tcW w:w="497" w:type="pct"/>
          </w:tcPr>
          <w:p w14:paraId="445E6B8F" w14:textId="77777777" w:rsidR="007F6723" w:rsidRDefault="007F6723" w:rsidP="00181CF8">
            <w:pPr>
              <w:pStyle w:val="Tabletextboldleft"/>
              <w:jc w:val="right"/>
            </w:pPr>
            <w:r>
              <w:t>PBS Item number</w:t>
            </w:r>
          </w:p>
        </w:tc>
        <w:tc>
          <w:tcPr>
            <w:tcW w:w="810" w:type="pct"/>
          </w:tcPr>
          <w:p w14:paraId="75512EBA" w14:textId="77777777" w:rsidR="007F6723" w:rsidRDefault="007F6723" w:rsidP="00181CF8">
            <w:pPr>
              <w:pStyle w:val="Tabletextboldleft"/>
              <w:jc w:val="right"/>
            </w:pPr>
            <w:r>
              <w:t>mg per administration</w:t>
            </w:r>
          </w:p>
        </w:tc>
        <w:tc>
          <w:tcPr>
            <w:tcW w:w="574" w:type="pct"/>
          </w:tcPr>
          <w:p w14:paraId="467A9759" w14:textId="77777777" w:rsidR="007F6723" w:rsidRDefault="007F6723" w:rsidP="00181CF8">
            <w:pPr>
              <w:pStyle w:val="Tabletextboldleft"/>
              <w:jc w:val="right"/>
            </w:pPr>
            <w:r>
              <w:t>Assumed dose per day</w:t>
            </w:r>
          </w:p>
        </w:tc>
        <w:tc>
          <w:tcPr>
            <w:tcW w:w="514" w:type="pct"/>
          </w:tcPr>
          <w:p w14:paraId="680CFBE2" w14:textId="77777777" w:rsidR="007F6723" w:rsidRDefault="007F6723" w:rsidP="00181CF8">
            <w:pPr>
              <w:pStyle w:val="Tabletextboldleft"/>
              <w:jc w:val="right"/>
            </w:pPr>
            <w:r>
              <w:t>Max quantity</w:t>
            </w:r>
          </w:p>
        </w:tc>
        <w:tc>
          <w:tcPr>
            <w:tcW w:w="438" w:type="pct"/>
          </w:tcPr>
          <w:p w14:paraId="5528030A" w14:textId="77777777" w:rsidR="007F6723" w:rsidRDefault="007F6723" w:rsidP="00181CF8">
            <w:pPr>
              <w:pStyle w:val="Tabletextboldleft"/>
              <w:jc w:val="right"/>
            </w:pPr>
            <w:r>
              <w:t>mg per pack</w:t>
            </w:r>
          </w:p>
        </w:tc>
        <w:tc>
          <w:tcPr>
            <w:tcW w:w="491" w:type="pct"/>
          </w:tcPr>
          <w:p w14:paraId="7B096CB9" w14:textId="77777777" w:rsidR="007F6723" w:rsidRDefault="007F6723" w:rsidP="00181CF8">
            <w:pPr>
              <w:pStyle w:val="Tabletextboldleft"/>
              <w:jc w:val="right"/>
            </w:pPr>
            <w:r>
              <w:t>DPMQ</w:t>
            </w:r>
          </w:p>
        </w:tc>
        <w:tc>
          <w:tcPr>
            <w:tcW w:w="490" w:type="pct"/>
          </w:tcPr>
          <w:p w14:paraId="339CEA19" w14:textId="77777777" w:rsidR="007F6723" w:rsidRDefault="007F6723" w:rsidP="00181CF8">
            <w:pPr>
              <w:pStyle w:val="Tabletextboldleft"/>
              <w:jc w:val="right"/>
            </w:pPr>
            <w:r>
              <w:t>Price per mg</w:t>
            </w:r>
          </w:p>
        </w:tc>
        <w:tc>
          <w:tcPr>
            <w:tcW w:w="491" w:type="pct"/>
          </w:tcPr>
          <w:p w14:paraId="25CD8259" w14:textId="77777777" w:rsidR="007F6723" w:rsidRDefault="007F6723" w:rsidP="00181CF8">
            <w:pPr>
              <w:pStyle w:val="Tabletextboldleft"/>
              <w:jc w:val="right"/>
            </w:pPr>
            <w:r>
              <w:t>Cost per day</w:t>
            </w:r>
          </w:p>
        </w:tc>
      </w:tr>
      <w:tr w:rsidR="007F6723" w14:paraId="117F354A" w14:textId="77777777" w:rsidTr="00181CF8">
        <w:tc>
          <w:tcPr>
            <w:tcW w:w="695" w:type="pct"/>
            <w:vAlign w:val="bottom"/>
          </w:tcPr>
          <w:p w14:paraId="377FC009" w14:textId="77777777" w:rsidR="007F6723" w:rsidRPr="007F554C" w:rsidRDefault="007F6723" w:rsidP="00181CF8">
            <w:pPr>
              <w:pStyle w:val="Tabletextcentred"/>
              <w:jc w:val="left"/>
              <w:rPr>
                <w:szCs w:val="20"/>
              </w:rPr>
            </w:pPr>
            <w:r w:rsidRPr="007F554C">
              <w:rPr>
                <w:color w:val="000000"/>
                <w:szCs w:val="20"/>
              </w:rPr>
              <w:t>Donepezil</w:t>
            </w:r>
          </w:p>
        </w:tc>
        <w:tc>
          <w:tcPr>
            <w:tcW w:w="497" w:type="pct"/>
            <w:vAlign w:val="bottom"/>
          </w:tcPr>
          <w:p w14:paraId="3AF6DFB4" w14:textId="77777777" w:rsidR="007F6723" w:rsidRPr="007F554C" w:rsidRDefault="007F6723" w:rsidP="00181CF8">
            <w:pPr>
              <w:pStyle w:val="Tabletextcentred"/>
              <w:jc w:val="right"/>
              <w:rPr>
                <w:szCs w:val="20"/>
              </w:rPr>
            </w:pPr>
            <w:r w:rsidRPr="007F554C">
              <w:rPr>
                <w:color w:val="000000"/>
                <w:szCs w:val="20"/>
              </w:rPr>
              <w:t>2532G</w:t>
            </w:r>
          </w:p>
        </w:tc>
        <w:tc>
          <w:tcPr>
            <w:tcW w:w="810" w:type="pct"/>
            <w:vAlign w:val="bottom"/>
          </w:tcPr>
          <w:p w14:paraId="2BF0CC57" w14:textId="77777777" w:rsidR="007F6723" w:rsidRPr="007F554C" w:rsidRDefault="007F6723" w:rsidP="00181CF8">
            <w:pPr>
              <w:pStyle w:val="Tabletextcentred"/>
              <w:jc w:val="right"/>
              <w:rPr>
                <w:szCs w:val="20"/>
              </w:rPr>
            </w:pPr>
            <w:r w:rsidRPr="007F554C">
              <w:rPr>
                <w:color w:val="000000"/>
                <w:szCs w:val="20"/>
              </w:rPr>
              <w:t>5</w:t>
            </w:r>
          </w:p>
        </w:tc>
        <w:tc>
          <w:tcPr>
            <w:tcW w:w="574" w:type="pct"/>
            <w:vAlign w:val="bottom"/>
          </w:tcPr>
          <w:p w14:paraId="4FDBF82D" w14:textId="77777777" w:rsidR="007F6723" w:rsidRPr="007F554C" w:rsidRDefault="007F6723" w:rsidP="00181CF8">
            <w:pPr>
              <w:pStyle w:val="Tabletextcentred"/>
              <w:jc w:val="right"/>
              <w:rPr>
                <w:szCs w:val="20"/>
              </w:rPr>
            </w:pPr>
            <w:r w:rsidRPr="007F554C">
              <w:rPr>
                <w:color w:val="000000"/>
                <w:szCs w:val="20"/>
              </w:rPr>
              <w:t>5</w:t>
            </w:r>
          </w:p>
        </w:tc>
        <w:tc>
          <w:tcPr>
            <w:tcW w:w="514" w:type="pct"/>
            <w:vAlign w:val="bottom"/>
          </w:tcPr>
          <w:p w14:paraId="44CCB6A1" w14:textId="77777777" w:rsidR="007F6723" w:rsidRPr="007F554C" w:rsidRDefault="007F6723" w:rsidP="00181CF8">
            <w:pPr>
              <w:pStyle w:val="Tabletextcentred"/>
              <w:jc w:val="right"/>
              <w:rPr>
                <w:szCs w:val="20"/>
              </w:rPr>
            </w:pPr>
            <w:r w:rsidRPr="007F554C">
              <w:rPr>
                <w:color w:val="000000"/>
                <w:szCs w:val="20"/>
              </w:rPr>
              <w:t>28</w:t>
            </w:r>
          </w:p>
        </w:tc>
        <w:tc>
          <w:tcPr>
            <w:tcW w:w="438" w:type="pct"/>
            <w:vAlign w:val="bottom"/>
          </w:tcPr>
          <w:p w14:paraId="7C8727FC" w14:textId="77777777" w:rsidR="007F6723" w:rsidRPr="007F554C" w:rsidRDefault="007F6723" w:rsidP="00181CF8">
            <w:pPr>
              <w:pStyle w:val="Tabletextcentred"/>
              <w:jc w:val="right"/>
              <w:rPr>
                <w:szCs w:val="20"/>
              </w:rPr>
            </w:pPr>
            <w:r w:rsidRPr="007F554C">
              <w:rPr>
                <w:color w:val="000000"/>
                <w:szCs w:val="20"/>
              </w:rPr>
              <w:t>140</w:t>
            </w:r>
          </w:p>
        </w:tc>
        <w:tc>
          <w:tcPr>
            <w:tcW w:w="491" w:type="pct"/>
            <w:vAlign w:val="bottom"/>
          </w:tcPr>
          <w:p w14:paraId="6815E528" w14:textId="77777777" w:rsidR="007F6723" w:rsidRPr="007F554C" w:rsidRDefault="007F6723" w:rsidP="00181CF8">
            <w:pPr>
              <w:pStyle w:val="Tabletextcentred"/>
              <w:jc w:val="right"/>
              <w:rPr>
                <w:szCs w:val="20"/>
              </w:rPr>
            </w:pPr>
            <w:r w:rsidRPr="007F554C">
              <w:rPr>
                <w:color w:val="000000"/>
                <w:szCs w:val="20"/>
              </w:rPr>
              <w:t>$39.64</w:t>
            </w:r>
          </w:p>
        </w:tc>
        <w:tc>
          <w:tcPr>
            <w:tcW w:w="490" w:type="pct"/>
            <w:vAlign w:val="bottom"/>
          </w:tcPr>
          <w:p w14:paraId="2B051E0D" w14:textId="77777777" w:rsidR="007F6723" w:rsidRPr="007F554C" w:rsidRDefault="007F6723" w:rsidP="00181CF8">
            <w:pPr>
              <w:pStyle w:val="Tabletextcentred"/>
              <w:jc w:val="right"/>
              <w:rPr>
                <w:szCs w:val="20"/>
              </w:rPr>
            </w:pPr>
            <w:r w:rsidRPr="007F554C">
              <w:rPr>
                <w:color w:val="000000"/>
                <w:szCs w:val="20"/>
              </w:rPr>
              <w:t>$0.28</w:t>
            </w:r>
          </w:p>
        </w:tc>
        <w:tc>
          <w:tcPr>
            <w:tcW w:w="491" w:type="pct"/>
            <w:vAlign w:val="bottom"/>
          </w:tcPr>
          <w:p w14:paraId="7E5EAF7C" w14:textId="77777777" w:rsidR="007F6723" w:rsidRPr="007F554C" w:rsidRDefault="007F6723" w:rsidP="00181CF8">
            <w:pPr>
              <w:pStyle w:val="Tabletextcentred"/>
              <w:jc w:val="right"/>
              <w:rPr>
                <w:szCs w:val="20"/>
              </w:rPr>
            </w:pPr>
            <w:r w:rsidRPr="007F554C">
              <w:rPr>
                <w:color w:val="000000"/>
                <w:szCs w:val="20"/>
              </w:rPr>
              <w:t>$1.42</w:t>
            </w:r>
          </w:p>
        </w:tc>
      </w:tr>
      <w:tr w:rsidR="007F6723" w14:paraId="2BC1D8A2" w14:textId="77777777" w:rsidTr="00181CF8">
        <w:tc>
          <w:tcPr>
            <w:tcW w:w="695" w:type="pct"/>
            <w:vAlign w:val="bottom"/>
          </w:tcPr>
          <w:p w14:paraId="582C1A7E" w14:textId="77777777" w:rsidR="007F6723" w:rsidRPr="00C02420" w:rsidRDefault="007F6723" w:rsidP="00181CF8">
            <w:pPr>
              <w:pStyle w:val="Tabletextcentred"/>
              <w:jc w:val="left"/>
              <w:rPr>
                <w:szCs w:val="20"/>
              </w:rPr>
            </w:pPr>
            <w:r w:rsidRPr="00C02420">
              <w:rPr>
                <w:color w:val="000000"/>
                <w:szCs w:val="20"/>
              </w:rPr>
              <w:t>Donepezil</w:t>
            </w:r>
          </w:p>
        </w:tc>
        <w:tc>
          <w:tcPr>
            <w:tcW w:w="497" w:type="pct"/>
            <w:vAlign w:val="bottom"/>
          </w:tcPr>
          <w:p w14:paraId="2F013FF9" w14:textId="77777777" w:rsidR="007F6723" w:rsidRPr="00C02420" w:rsidRDefault="007F6723" w:rsidP="00181CF8">
            <w:pPr>
              <w:pStyle w:val="Tabletextcentred"/>
              <w:jc w:val="right"/>
              <w:rPr>
                <w:szCs w:val="20"/>
              </w:rPr>
            </w:pPr>
            <w:r w:rsidRPr="00C02420">
              <w:rPr>
                <w:color w:val="000000"/>
                <w:szCs w:val="20"/>
              </w:rPr>
              <w:t>2479L</w:t>
            </w:r>
          </w:p>
        </w:tc>
        <w:tc>
          <w:tcPr>
            <w:tcW w:w="810" w:type="pct"/>
            <w:vAlign w:val="bottom"/>
          </w:tcPr>
          <w:p w14:paraId="5DFFF205" w14:textId="77777777" w:rsidR="007F6723" w:rsidRPr="007F554C" w:rsidRDefault="007F6723" w:rsidP="00181CF8">
            <w:pPr>
              <w:pStyle w:val="Tabletextcentred"/>
              <w:jc w:val="right"/>
              <w:rPr>
                <w:szCs w:val="20"/>
              </w:rPr>
            </w:pPr>
            <w:r w:rsidRPr="007F554C">
              <w:rPr>
                <w:color w:val="000000"/>
                <w:szCs w:val="20"/>
              </w:rPr>
              <w:t>10</w:t>
            </w:r>
          </w:p>
        </w:tc>
        <w:tc>
          <w:tcPr>
            <w:tcW w:w="574" w:type="pct"/>
            <w:vAlign w:val="bottom"/>
          </w:tcPr>
          <w:p w14:paraId="3EF49D5B" w14:textId="77777777" w:rsidR="007F6723" w:rsidRPr="007F554C" w:rsidRDefault="007F6723" w:rsidP="00181CF8">
            <w:pPr>
              <w:pStyle w:val="Tabletextcentred"/>
              <w:jc w:val="right"/>
              <w:rPr>
                <w:szCs w:val="20"/>
              </w:rPr>
            </w:pPr>
            <w:r w:rsidRPr="007F554C">
              <w:rPr>
                <w:color w:val="000000"/>
                <w:szCs w:val="20"/>
              </w:rPr>
              <w:t>10</w:t>
            </w:r>
          </w:p>
        </w:tc>
        <w:tc>
          <w:tcPr>
            <w:tcW w:w="514" w:type="pct"/>
            <w:vAlign w:val="bottom"/>
          </w:tcPr>
          <w:p w14:paraId="49458958" w14:textId="77777777" w:rsidR="007F6723" w:rsidRPr="007F554C" w:rsidRDefault="007F6723" w:rsidP="00181CF8">
            <w:pPr>
              <w:pStyle w:val="Tabletextcentred"/>
              <w:jc w:val="right"/>
              <w:rPr>
                <w:szCs w:val="20"/>
              </w:rPr>
            </w:pPr>
            <w:r w:rsidRPr="007F554C">
              <w:rPr>
                <w:color w:val="000000"/>
                <w:szCs w:val="20"/>
              </w:rPr>
              <w:t>28</w:t>
            </w:r>
          </w:p>
        </w:tc>
        <w:tc>
          <w:tcPr>
            <w:tcW w:w="438" w:type="pct"/>
            <w:vAlign w:val="bottom"/>
          </w:tcPr>
          <w:p w14:paraId="0BB2D448" w14:textId="77777777" w:rsidR="007F6723" w:rsidRPr="007F554C" w:rsidRDefault="007F6723" w:rsidP="00181CF8">
            <w:pPr>
              <w:pStyle w:val="Tabletextcentred"/>
              <w:jc w:val="right"/>
              <w:rPr>
                <w:szCs w:val="20"/>
              </w:rPr>
            </w:pPr>
            <w:r w:rsidRPr="007F554C">
              <w:rPr>
                <w:color w:val="000000"/>
                <w:szCs w:val="20"/>
              </w:rPr>
              <w:t>280</w:t>
            </w:r>
          </w:p>
        </w:tc>
        <w:tc>
          <w:tcPr>
            <w:tcW w:w="491" w:type="pct"/>
            <w:vAlign w:val="bottom"/>
          </w:tcPr>
          <w:p w14:paraId="6686836E" w14:textId="77777777" w:rsidR="007F6723" w:rsidRPr="007F554C" w:rsidRDefault="007F6723" w:rsidP="00181CF8">
            <w:pPr>
              <w:pStyle w:val="Tabletextcentred"/>
              <w:jc w:val="right"/>
              <w:rPr>
                <w:szCs w:val="20"/>
              </w:rPr>
            </w:pPr>
            <w:r w:rsidRPr="007F554C">
              <w:rPr>
                <w:color w:val="000000"/>
                <w:szCs w:val="20"/>
              </w:rPr>
              <w:t>$39.64</w:t>
            </w:r>
          </w:p>
        </w:tc>
        <w:tc>
          <w:tcPr>
            <w:tcW w:w="490" w:type="pct"/>
            <w:vAlign w:val="bottom"/>
          </w:tcPr>
          <w:p w14:paraId="516CF26B" w14:textId="77777777" w:rsidR="007F6723" w:rsidRPr="007F554C" w:rsidRDefault="007F6723" w:rsidP="00181CF8">
            <w:pPr>
              <w:pStyle w:val="Tabletextcentred"/>
              <w:jc w:val="right"/>
              <w:rPr>
                <w:szCs w:val="20"/>
              </w:rPr>
            </w:pPr>
            <w:r w:rsidRPr="007F554C">
              <w:rPr>
                <w:color w:val="000000"/>
                <w:szCs w:val="20"/>
              </w:rPr>
              <w:t>$0.14</w:t>
            </w:r>
          </w:p>
        </w:tc>
        <w:tc>
          <w:tcPr>
            <w:tcW w:w="491" w:type="pct"/>
            <w:vAlign w:val="bottom"/>
          </w:tcPr>
          <w:p w14:paraId="5B9CDC72" w14:textId="77777777" w:rsidR="007F6723" w:rsidRPr="007F554C" w:rsidRDefault="007F6723" w:rsidP="00181CF8">
            <w:pPr>
              <w:pStyle w:val="Tabletextcentred"/>
              <w:jc w:val="right"/>
              <w:rPr>
                <w:szCs w:val="20"/>
              </w:rPr>
            </w:pPr>
            <w:r w:rsidRPr="007F554C">
              <w:rPr>
                <w:color w:val="000000"/>
                <w:szCs w:val="20"/>
              </w:rPr>
              <w:t>$1.42</w:t>
            </w:r>
          </w:p>
        </w:tc>
      </w:tr>
      <w:tr w:rsidR="007F6723" w14:paraId="1BD7C049" w14:textId="77777777" w:rsidTr="00181CF8">
        <w:tc>
          <w:tcPr>
            <w:tcW w:w="695" w:type="pct"/>
            <w:vAlign w:val="bottom"/>
          </w:tcPr>
          <w:p w14:paraId="46A082D0" w14:textId="77777777" w:rsidR="007F6723" w:rsidRPr="00C02420" w:rsidRDefault="007F6723" w:rsidP="00181CF8">
            <w:pPr>
              <w:pStyle w:val="Tabletextcentred"/>
              <w:jc w:val="left"/>
              <w:rPr>
                <w:szCs w:val="20"/>
              </w:rPr>
            </w:pPr>
            <w:r w:rsidRPr="00C02420">
              <w:rPr>
                <w:color w:val="000000"/>
                <w:szCs w:val="20"/>
              </w:rPr>
              <w:t>Rivastigmine (capsule)</w:t>
            </w:r>
          </w:p>
        </w:tc>
        <w:tc>
          <w:tcPr>
            <w:tcW w:w="497" w:type="pct"/>
            <w:vAlign w:val="bottom"/>
          </w:tcPr>
          <w:p w14:paraId="16C735BD" w14:textId="77777777" w:rsidR="007F6723" w:rsidRPr="00C02420" w:rsidRDefault="007F6723" w:rsidP="00181CF8">
            <w:pPr>
              <w:pStyle w:val="Tabletextcentred"/>
              <w:jc w:val="right"/>
              <w:rPr>
                <w:szCs w:val="20"/>
              </w:rPr>
            </w:pPr>
            <w:r w:rsidRPr="00C02420">
              <w:t>2493F</w:t>
            </w:r>
          </w:p>
        </w:tc>
        <w:tc>
          <w:tcPr>
            <w:tcW w:w="810" w:type="pct"/>
            <w:vAlign w:val="bottom"/>
          </w:tcPr>
          <w:p w14:paraId="736554C5" w14:textId="77777777" w:rsidR="007F6723" w:rsidRPr="00E46D7C" w:rsidRDefault="007F6723" w:rsidP="00181CF8">
            <w:pPr>
              <w:pStyle w:val="Tabletextcentred"/>
              <w:jc w:val="right"/>
              <w:rPr>
                <w:szCs w:val="20"/>
                <w:highlight w:val="cyan"/>
              </w:rPr>
            </w:pPr>
            <w:r w:rsidRPr="00DA4434">
              <w:t>3</w:t>
            </w:r>
          </w:p>
        </w:tc>
        <w:tc>
          <w:tcPr>
            <w:tcW w:w="574" w:type="pct"/>
            <w:vAlign w:val="bottom"/>
          </w:tcPr>
          <w:p w14:paraId="117203DA" w14:textId="77777777" w:rsidR="007F6723" w:rsidRPr="00E46D7C" w:rsidRDefault="007F6723" w:rsidP="00181CF8">
            <w:pPr>
              <w:pStyle w:val="Tabletextcentred"/>
              <w:jc w:val="right"/>
              <w:rPr>
                <w:szCs w:val="20"/>
                <w:highlight w:val="cyan"/>
              </w:rPr>
            </w:pPr>
            <w:r w:rsidRPr="00DA4434">
              <w:t>6</w:t>
            </w:r>
          </w:p>
        </w:tc>
        <w:tc>
          <w:tcPr>
            <w:tcW w:w="514" w:type="pct"/>
            <w:vAlign w:val="bottom"/>
          </w:tcPr>
          <w:p w14:paraId="5E0A8674" w14:textId="77777777" w:rsidR="007F6723" w:rsidRPr="00E46D7C" w:rsidRDefault="007F6723" w:rsidP="00181CF8">
            <w:pPr>
              <w:pStyle w:val="Tabletextcentred"/>
              <w:jc w:val="right"/>
              <w:rPr>
                <w:szCs w:val="20"/>
                <w:highlight w:val="cyan"/>
              </w:rPr>
            </w:pPr>
            <w:r w:rsidRPr="00DA4434">
              <w:t>56</w:t>
            </w:r>
          </w:p>
        </w:tc>
        <w:tc>
          <w:tcPr>
            <w:tcW w:w="438" w:type="pct"/>
            <w:vAlign w:val="bottom"/>
          </w:tcPr>
          <w:p w14:paraId="54D4FC30" w14:textId="77777777" w:rsidR="007F6723" w:rsidRPr="00E46D7C" w:rsidRDefault="007F6723" w:rsidP="00181CF8">
            <w:pPr>
              <w:pStyle w:val="Tabletextcentred"/>
              <w:jc w:val="right"/>
              <w:rPr>
                <w:szCs w:val="20"/>
                <w:highlight w:val="cyan"/>
              </w:rPr>
            </w:pPr>
            <w:r w:rsidRPr="00DA4434">
              <w:t>168</w:t>
            </w:r>
          </w:p>
        </w:tc>
        <w:tc>
          <w:tcPr>
            <w:tcW w:w="491" w:type="pct"/>
            <w:vAlign w:val="bottom"/>
          </w:tcPr>
          <w:p w14:paraId="09DB946F" w14:textId="77777777" w:rsidR="007F6723" w:rsidRPr="00E46D7C" w:rsidRDefault="007F6723" w:rsidP="00181CF8">
            <w:pPr>
              <w:pStyle w:val="Tabletextcentred"/>
              <w:jc w:val="right"/>
              <w:rPr>
                <w:szCs w:val="20"/>
                <w:highlight w:val="cyan"/>
              </w:rPr>
            </w:pPr>
            <w:r w:rsidRPr="00DA4434">
              <w:t>$96.18</w:t>
            </w:r>
          </w:p>
        </w:tc>
        <w:tc>
          <w:tcPr>
            <w:tcW w:w="490" w:type="pct"/>
            <w:vAlign w:val="bottom"/>
          </w:tcPr>
          <w:p w14:paraId="47DA1561" w14:textId="77777777" w:rsidR="007F6723" w:rsidRPr="00E46D7C" w:rsidRDefault="007F6723" w:rsidP="00181CF8">
            <w:pPr>
              <w:pStyle w:val="Tabletextcentred"/>
              <w:jc w:val="right"/>
              <w:rPr>
                <w:szCs w:val="20"/>
                <w:highlight w:val="cyan"/>
              </w:rPr>
            </w:pPr>
            <w:r w:rsidRPr="00DA4434">
              <w:t>$0.57</w:t>
            </w:r>
          </w:p>
        </w:tc>
        <w:tc>
          <w:tcPr>
            <w:tcW w:w="491" w:type="pct"/>
            <w:vAlign w:val="bottom"/>
          </w:tcPr>
          <w:p w14:paraId="147306C7" w14:textId="77777777" w:rsidR="007F6723" w:rsidRPr="00E46D7C" w:rsidRDefault="007F6723" w:rsidP="00181CF8">
            <w:pPr>
              <w:pStyle w:val="Tabletextcentred"/>
              <w:jc w:val="right"/>
              <w:rPr>
                <w:szCs w:val="20"/>
                <w:highlight w:val="cyan"/>
              </w:rPr>
            </w:pPr>
            <w:r w:rsidRPr="00DA4434">
              <w:t>$3.44</w:t>
            </w:r>
          </w:p>
        </w:tc>
      </w:tr>
      <w:tr w:rsidR="007F6723" w14:paraId="41A1FB9F" w14:textId="77777777" w:rsidTr="00181CF8">
        <w:tc>
          <w:tcPr>
            <w:tcW w:w="695" w:type="pct"/>
            <w:vAlign w:val="bottom"/>
          </w:tcPr>
          <w:p w14:paraId="3EF868A4" w14:textId="77777777" w:rsidR="007F6723" w:rsidRPr="00C02420" w:rsidRDefault="007F6723" w:rsidP="00181CF8">
            <w:pPr>
              <w:pStyle w:val="Tabletextcentred"/>
              <w:jc w:val="left"/>
              <w:rPr>
                <w:szCs w:val="20"/>
              </w:rPr>
            </w:pPr>
            <w:r w:rsidRPr="00C02420">
              <w:rPr>
                <w:color w:val="000000"/>
                <w:szCs w:val="20"/>
              </w:rPr>
              <w:t>Rivastigmine (capsule)</w:t>
            </w:r>
          </w:p>
        </w:tc>
        <w:tc>
          <w:tcPr>
            <w:tcW w:w="497" w:type="pct"/>
            <w:vAlign w:val="bottom"/>
          </w:tcPr>
          <w:p w14:paraId="5AD3374A" w14:textId="77777777" w:rsidR="007F6723" w:rsidRPr="00C02420" w:rsidRDefault="007F6723" w:rsidP="00181CF8">
            <w:pPr>
              <w:pStyle w:val="Tabletextcentred"/>
              <w:jc w:val="right"/>
              <w:rPr>
                <w:szCs w:val="20"/>
              </w:rPr>
            </w:pPr>
            <w:r w:rsidRPr="00C02420">
              <w:t>2526Y</w:t>
            </w:r>
          </w:p>
        </w:tc>
        <w:tc>
          <w:tcPr>
            <w:tcW w:w="810" w:type="pct"/>
            <w:vAlign w:val="bottom"/>
          </w:tcPr>
          <w:p w14:paraId="73FCF84F" w14:textId="77777777" w:rsidR="007F6723" w:rsidRPr="00E46D7C" w:rsidRDefault="007F6723" w:rsidP="00181CF8">
            <w:pPr>
              <w:pStyle w:val="Tabletextcentred"/>
              <w:jc w:val="right"/>
              <w:rPr>
                <w:szCs w:val="20"/>
                <w:highlight w:val="cyan"/>
              </w:rPr>
            </w:pPr>
            <w:r w:rsidRPr="00DA4434">
              <w:t>6</w:t>
            </w:r>
          </w:p>
        </w:tc>
        <w:tc>
          <w:tcPr>
            <w:tcW w:w="574" w:type="pct"/>
            <w:vAlign w:val="bottom"/>
          </w:tcPr>
          <w:p w14:paraId="4ACED427" w14:textId="77777777" w:rsidR="007F6723" w:rsidRPr="00E46D7C" w:rsidRDefault="007F6723" w:rsidP="00181CF8">
            <w:pPr>
              <w:pStyle w:val="Tabletextcentred"/>
              <w:jc w:val="right"/>
              <w:rPr>
                <w:szCs w:val="20"/>
                <w:highlight w:val="cyan"/>
              </w:rPr>
            </w:pPr>
            <w:r w:rsidRPr="00DA4434">
              <w:t>12</w:t>
            </w:r>
          </w:p>
        </w:tc>
        <w:tc>
          <w:tcPr>
            <w:tcW w:w="514" w:type="pct"/>
            <w:vAlign w:val="bottom"/>
          </w:tcPr>
          <w:p w14:paraId="7BADB3E8" w14:textId="77777777" w:rsidR="007F6723" w:rsidRPr="00E46D7C" w:rsidRDefault="007F6723" w:rsidP="00181CF8">
            <w:pPr>
              <w:pStyle w:val="Tabletextcentred"/>
              <w:jc w:val="right"/>
              <w:rPr>
                <w:szCs w:val="20"/>
                <w:highlight w:val="cyan"/>
              </w:rPr>
            </w:pPr>
            <w:r w:rsidRPr="00DA4434">
              <w:t>56</w:t>
            </w:r>
          </w:p>
        </w:tc>
        <w:tc>
          <w:tcPr>
            <w:tcW w:w="438" w:type="pct"/>
            <w:vAlign w:val="bottom"/>
          </w:tcPr>
          <w:p w14:paraId="51DBC005" w14:textId="77777777" w:rsidR="007F6723" w:rsidRPr="00E46D7C" w:rsidRDefault="007F6723" w:rsidP="00181CF8">
            <w:pPr>
              <w:pStyle w:val="Tabletextcentred"/>
              <w:jc w:val="right"/>
              <w:rPr>
                <w:szCs w:val="20"/>
                <w:highlight w:val="cyan"/>
              </w:rPr>
            </w:pPr>
            <w:r w:rsidRPr="00DA4434">
              <w:t>336</w:t>
            </w:r>
          </w:p>
        </w:tc>
        <w:tc>
          <w:tcPr>
            <w:tcW w:w="491" w:type="pct"/>
            <w:vAlign w:val="bottom"/>
          </w:tcPr>
          <w:p w14:paraId="766259A7" w14:textId="77777777" w:rsidR="007F6723" w:rsidRPr="00E46D7C" w:rsidRDefault="007F6723" w:rsidP="00181CF8">
            <w:pPr>
              <w:pStyle w:val="Tabletextcentred"/>
              <w:jc w:val="right"/>
              <w:rPr>
                <w:szCs w:val="20"/>
                <w:highlight w:val="cyan"/>
              </w:rPr>
            </w:pPr>
            <w:r w:rsidRPr="00DA4434">
              <w:t>$96.18</w:t>
            </w:r>
          </w:p>
        </w:tc>
        <w:tc>
          <w:tcPr>
            <w:tcW w:w="490" w:type="pct"/>
            <w:vAlign w:val="bottom"/>
          </w:tcPr>
          <w:p w14:paraId="361653B4" w14:textId="77777777" w:rsidR="007F6723" w:rsidRPr="00E46D7C" w:rsidRDefault="007F6723" w:rsidP="00181CF8">
            <w:pPr>
              <w:pStyle w:val="Tabletextcentred"/>
              <w:jc w:val="right"/>
              <w:rPr>
                <w:szCs w:val="20"/>
                <w:highlight w:val="cyan"/>
              </w:rPr>
            </w:pPr>
            <w:r w:rsidRPr="00DA4434">
              <w:t>$0.29</w:t>
            </w:r>
          </w:p>
        </w:tc>
        <w:tc>
          <w:tcPr>
            <w:tcW w:w="491" w:type="pct"/>
            <w:vAlign w:val="bottom"/>
          </w:tcPr>
          <w:p w14:paraId="1195F9EF" w14:textId="77777777" w:rsidR="007F6723" w:rsidRPr="00E46D7C" w:rsidRDefault="007F6723" w:rsidP="00181CF8">
            <w:pPr>
              <w:pStyle w:val="Tabletextcentred"/>
              <w:jc w:val="right"/>
              <w:rPr>
                <w:szCs w:val="20"/>
                <w:highlight w:val="cyan"/>
              </w:rPr>
            </w:pPr>
            <w:r w:rsidRPr="00DA4434">
              <w:t>$3.44</w:t>
            </w:r>
          </w:p>
        </w:tc>
      </w:tr>
      <w:tr w:rsidR="007F6723" w14:paraId="45ECD380" w14:textId="77777777" w:rsidTr="00181CF8">
        <w:tc>
          <w:tcPr>
            <w:tcW w:w="695" w:type="pct"/>
            <w:vAlign w:val="bottom"/>
          </w:tcPr>
          <w:p w14:paraId="7E3EECA2" w14:textId="77777777" w:rsidR="007F6723" w:rsidRPr="00C02420" w:rsidRDefault="007F6723" w:rsidP="00181CF8">
            <w:pPr>
              <w:pStyle w:val="Tabletextcentred"/>
              <w:jc w:val="left"/>
              <w:rPr>
                <w:szCs w:val="20"/>
              </w:rPr>
            </w:pPr>
            <w:r w:rsidRPr="00C02420">
              <w:rPr>
                <w:color w:val="000000"/>
                <w:szCs w:val="20"/>
              </w:rPr>
              <w:t>Rivastigmine (patch)</w:t>
            </w:r>
          </w:p>
        </w:tc>
        <w:tc>
          <w:tcPr>
            <w:tcW w:w="497" w:type="pct"/>
            <w:vAlign w:val="bottom"/>
          </w:tcPr>
          <w:p w14:paraId="4F08F5F1" w14:textId="77777777" w:rsidR="007F6723" w:rsidRPr="00C02420" w:rsidRDefault="007F6723" w:rsidP="00181CF8">
            <w:pPr>
              <w:pStyle w:val="Tabletextcentred"/>
              <w:jc w:val="right"/>
              <w:rPr>
                <w:szCs w:val="20"/>
              </w:rPr>
            </w:pPr>
            <w:r w:rsidRPr="00C02420">
              <w:rPr>
                <w:color w:val="000000"/>
                <w:szCs w:val="20"/>
              </w:rPr>
              <w:t>2477J</w:t>
            </w:r>
          </w:p>
        </w:tc>
        <w:tc>
          <w:tcPr>
            <w:tcW w:w="810" w:type="pct"/>
            <w:vAlign w:val="bottom"/>
          </w:tcPr>
          <w:p w14:paraId="25CFF864" w14:textId="77777777" w:rsidR="007F6723" w:rsidRPr="007F554C" w:rsidRDefault="007F6723" w:rsidP="00181CF8">
            <w:pPr>
              <w:pStyle w:val="Tabletextcentred"/>
              <w:jc w:val="right"/>
              <w:rPr>
                <w:szCs w:val="20"/>
              </w:rPr>
            </w:pPr>
            <w:r w:rsidRPr="007F554C">
              <w:rPr>
                <w:color w:val="000000"/>
                <w:szCs w:val="20"/>
              </w:rPr>
              <w:t>4.6</w:t>
            </w:r>
          </w:p>
        </w:tc>
        <w:tc>
          <w:tcPr>
            <w:tcW w:w="574" w:type="pct"/>
            <w:vAlign w:val="bottom"/>
          </w:tcPr>
          <w:p w14:paraId="3678E600" w14:textId="77777777" w:rsidR="007F6723" w:rsidRPr="007F554C" w:rsidRDefault="007F6723" w:rsidP="00181CF8">
            <w:pPr>
              <w:pStyle w:val="Tabletextcentred"/>
              <w:jc w:val="right"/>
              <w:rPr>
                <w:szCs w:val="20"/>
              </w:rPr>
            </w:pPr>
            <w:r w:rsidRPr="007F554C">
              <w:rPr>
                <w:color w:val="000000"/>
                <w:szCs w:val="20"/>
              </w:rPr>
              <w:t>4.6</w:t>
            </w:r>
          </w:p>
        </w:tc>
        <w:tc>
          <w:tcPr>
            <w:tcW w:w="514" w:type="pct"/>
            <w:vAlign w:val="bottom"/>
          </w:tcPr>
          <w:p w14:paraId="571C6763" w14:textId="77777777" w:rsidR="007F6723" w:rsidRPr="007F554C" w:rsidRDefault="007F6723" w:rsidP="00181CF8">
            <w:pPr>
              <w:pStyle w:val="Tabletextcentred"/>
              <w:jc w:val="right"/>
              <w:rPr>
                <w:szCs w:val="20"/>
              </w:rPr>
            </w:pPr>
            <w:r w:rsidRPr="007F554C">
              <w:rPr>
                <w:color w:val="000000"/>
                <w:szCs w:val="20"/>
              </w:rPr>
              <w:t>30</w:t>
            </w:r>
          </w:p>
        </w:tc>
        <w:tc>
          <w:tcPr>
            <w:tcW w:w="438" w:type="pct"/>
            <w:vAlign w:val="bottom"/>
          </w:tcPr>
          <w:p w14:paraId="77B7358D" w14:textId="77777777" w:rsidR="007F6723" w:rsidRPr="007F554C" w:rsidRDefault="007F6723" w:rsidP="00181CF8">
            <w:pPr>
              <w:pStyle w:val="Tabletextcentred"/>
              <w:jc w:val="right"/>
              <w:rPr>
                <w:szCs w:val="20"/>
              </w:rPr>
            </w:pPr>
            <w:r w:rsidRPr="007F554C">
              <w:rPr>
                <w:color w:val="000000"/>
                <w:szCs w:val="20"/>
              </w:rPr>
              <w:t>138</w:t>
            </w:r>
          </w:p>
        </w:tc>
        <w:tc>
          <w:tcPr>
            <w:tcW w:w="491" w:type="pct"/>
            <w:vAlign w:val="bottom"/>
          </w:tcPr>
          <w:p w14:paraId="4A8E5457" w14:textId="77777777" w:rsidR="007F6723" w:rsidRPr="007F554C" w:rsidRDefault="007F6723" w:rsidP="00181CF8">
            <w:pPr>
              <w:pStyle w:val="Tabletextcentred"/>
              <w:jc w:val="right"/>
              <w:rPr>
                <w:szCs w:val="20"/>
              </w:rPr>
            </w:pPr>
            <w:r w:rsidRPr="007F554C">
              <w:rPr>
                <w:color w:val="000000"/>
                <w:szCs w:val="20"/>
              </w:rPr>
              <w:t>$102.56</w:t>
            </w:r>
          </w:p>
        </w:tc>
        <w:tc>
          <w:tcPr>
            <w:tcW w:w="490" w:type="pct"/>
            <w:vAlign w:val="bottom"/>
          </w:tcPr>
          <w:p w14:paraId="514659A8" w14:textId="77777777" w:rsidR="007F6723" w:rsidRPr="007F554C" w:rsidRDefault="007F6723" w:rsidP="00181CF8">
            <w:pPr>
              <w:pStyle w:val="Tabletextcentred"/>
              <w:jc w:val="right"/>
              <w:rPr>
                <w:szCs w:val="20"/>
              </w:rPr>
            </w:pPr>
            <w:r w:rsidRPr="007F554C">
              <w:rPr>
                <w:color w:val="000000"/>
                <w:szCs w:val="20"/>
              </w:rPr>
              <w:t>$0.74</w:t>
            </w:r>
          </w:p>
        </w:tc>
        <w:tc>
          <w:tcPr>
            <w:tcW w:w="491" w:type="pct"/>
            <w:vAlign w:val="bottom"/>
          </w:tcPr>
          <w:p w14:paraId="12EA69E3" w14:textId="77777777" w:rsidR="007F6723" w:rsidRPr="007F554C" w:rsidRDefault="007F6723" w:rsidP="00181CF8">
            <w:pPr>
              <w:pStyle w:val="Tabletextcentred"/>
              <w:jc w:val="right"/>
              <w:rPr>
                <w:szCs w:val="20"/>
              </w:rPr>
            </w:pPr>
            <w:r w:rsidRPr="007F554C">
              <w:rPr>
                <w:color w:val="000000"/>
                <w:szCs w:val="20"/>
              </w:rPr>
              <w:t>$3.42</w:t>
            </w:r>
          </w:p>
        </w:tc>
      </w:tr>
      <w:tr w:rsidR="007F6723" w14:paraId="0B54DDEA" w14:textId="77777777" w:rsidTr="00181CF8">
        <w:tc>
          <w:tcPr>
            <w:tcW w:w="695" w:type="pct"/>
            <w:vAlign w:val="bottom"/>
          </w:tcPr>
          <w:p w14:paraId="297AAB85" w14:textId="77777777" w:rsidR="007F6723" w:rsidRPr="00C02420" w:rsidRDefault="007F6723" w:rsidP="00181CF8">
            <w:pPr>
              <w:pStyle w:val="Tabletextcentred"/>
              <w:jc w:val="left"/>
              <w:rPr>
                <w:szCs w:val="20"/>
              </w:rPr>
            </w:pPr>
            <w:r w:rsidRPr="00C02420">
              <w:rPr>
                <w:color w:val="000000"/>
                <w:szCs w:val="20"/>
              </w:rPr>
              <w:t>Rivastigmine (patch)</w:t>
            </w:r>
          </w:p>
        </w:tc>
        <w:tc>
          <w:tcPr>
            <w:tcW w:w="497" w:type="pct"/>
            <w:vAlign w:val="bottom"/>
          </w:tcPr>
          <w:p w14:paraId="6212D4DF" w14:textId="77777777" w:rsidR="007F6723" w:rsidRPr="00C02420" w:rsidRDefault="007F6723" w:rsidP="00181CF8">
            <w:pPr>
              <w:pStyle w:val="Tabletextcentred"/>
              <w:jc w:val="right"/>
              <w:rPr>
                <w:szCs w:val="20"/>
              </w:rPr>
            </w:pPr>
            <w:r w:rsidRPr="00C02420">
              <w:rPr>
                <w:color w:val="000000"/>
                <w:szCs w:val="20"/>
              </w:rPr>
              <w:t>2551G</w:t>
            </w:r>
          </w:p>
        </w:tc>
        <w:tc>
          <w:tcPr>
            <w:tcW w:w="810" w:type="pct"/>
            <w:vAlign w:val="bottom"/>
          </w:tcPr>
          <w:p w14:paraId="077D5AC3" w14:textId="77777777" w:rsidR="007F6723" w:rsidRPr="007F554C" w:rsidRDefault="007F6723" w:rsidP="00181CF8">
            <w:pPr>
              <w:pStyle w:val="Tabletextcentred"/>
              <w:jc w:val="right"/>
              <w:rPr>
                <w:szCs w:val="20"/>
              </w:rPr>
            </w:pPr>
            <w:r w:rsidRPr="007F554C">
              <w:rPr>
                <w:color w:val="000000"/>
                <w:szCs w:val="20"/>
              </w:rPr>
              <w:t>9.5</w:t>
            </w:r>
          </w:p>
        </w:tc>
        <w:tc>
          <w:tcPr>
            <w:tcW w:w="574" w:type="pct"/>
            <w:vAlign w:val="bottom"/>
          </w:tcPr>
          <w:p w14:paraId="6F0FA5F5" w14:textId="77777777" w:rsidR="007F6723" w:rsidRPr="007F554C" w:rsidRDefault="007F6723" w:rsidP="00181CF8">
            <w:pPr>
              <w:pStyle w:val="Tabletextcentred"/>
              <w:jc w:val="right"/>
              <w:rPr>
                <w:szCs w:val="20"/>
              </w:rPr>
            </w:pPr>
            <w:r w:rsidRPr="007F554C">
              <w:rPr>
                <w:color w:val="000000"/>
                <w:szCs w:val="20"/>
              </w:rPr>
              <w:t>9.5</w:t>
            </w:r>
          </w:p>
        </w:tc>
        <w:tc>
          <w:tcPr>
            <w:tcW w:w="514" w:type="pct"/>
            <w:vAlign w:val="bottom"/>
          </w:tcPr>
          <w:p w14:paraId="465E8DE8" w14:textId="77777777" w:rsidR="007F6723" w:rsidRPr="007F554C" w:rsidRDefault="007F6723" w:rsidP="00181CF8">
            <w:pPr>
              <w:pStyle w:val="Tabletextcentred"/>
              <w:jc w:val="right"/>
              <w:rPr>
                <w:szCs w:val="20"/>
              </w:rPr>
            </w:pPr>
            <w:r w:rsidRPr="007F554C">
              <w:rPr>
                <w:color w:val="000000"/>
                <w:szCs w:val="20"/>
              </w:rPr>
              <w:t>30</w:t>
            </w:r>
          </w:p>
        </w:tc>
        <w:tc>
          <w:tcPr>
            <w:tcW w:w="438" w:type="pct"/>
            <w:vAlign w:val="bottom"/>
          </w:tcPr>
          <w:p w14:paraId="3476D852" w14:textId="77777777" w:rsidR="007F6723" w:rsidRPr="007F554C" w:rsidRDefault="007F6723" w:rsidP="00181CF8">
            <w:pPr>
              <w:pStyle w:val="Tabletextcentred"/>
              <w:jc w:val="right"/>
              <w:rPr>
                <w:szCs w:val="20"/>
              </w:rPr>
            </w:pPr>
            <w:r w:rsidRPr="007F554C">
              <w:rPr>
                <w:color w:val="000000"/>
                <w:szCs w:val="20"/>
              </w:rPr>
              <w:t>285</w:t>
            </w:r>
          </w:p>
        </w:tc>
        <w:tc>
          <w:tcPr>
            <w:tcW w:w="491" w:type="pct"/>
            <w:vAlign w:val="bottom"/>
          </w:tcPr>
          <w:p w14:paraId="4E558FDD" w14:textId="77777777" w:rsidR="007F6723" w:rsidRPr="007F554C" w:rsidRDefault="007F6723" w:rsidP="00181CF8">
            <w:pPr>
              <w:pStyle w:val="Tabletextcentred"/>
              <w:jc w:val="right"/>
              <w:rPr>
                <w:szCs w:val="20"/>
              </w:rPr>
            </w:pPr>
            <w:r w:rsidRPr="007F554C">
              <w:rPr>
                <w:color w:val="000000"/>
                <w:szCs w:val="20"/>
              </w:rPr>
              <w:t>$102.56</w:t>
            </w:r>
          </w:p>
        </w:tc>
        <w:tc>
          <w:tcPr>
            <w:tcW w:w="490" w:type="pct"/>
            <w:vAlign w:val="bottom"/>
          </w:tcPr>
          <w:p w14:paraId="437CF577" w14:textId="77777777" w:rsidR="007F6723" w:rsidRPr="007F554C" w:rsidRDefault="007F6723" w:rsidP="00181CF8">
            <w:pPr>
              <w:pStyle w:val="Tabletextcentred"/>
              <w:jc w:val="right"/>
              <w:rPr>
                <w:szCs w:val="20"/>
              </w:rPr>
            </w:pPr>
            <w:r w:rsidRPr="007F554C">
              <w:rPr>
                <w:color w:val="000000"/>
                <w:szCs w:val="20"/>
              </w:rPr>
              <w:t>$0.36</w:t>
            </w:r>
          </w:p>
        </w:tc>
        <w:tc>
          <w:tcPr>
            <w:tcW w:w="491" w:type="pct"/>
            <w:vAlign w:val="bottom"/>
          </w:tcPr>
          <w:p w14:paraId="2BE1AA74" w14:textId="77777777" w:rsidR="007F6723" w:rsidRPr="007F554C" w:rsidRDefault="007F6723" w:rsidP="00181CF8">
            <w:pPr>
              <w:pStyle w:val="Tabletextcentred"/>
              <w:jc w:val="right"/>
              <w:rPr>
                <w:szCs w:val="20"/>
              </w:rPr>
            </w:pPr>
            <w:r w:rsidRPr="007F554C">
              <w:rPr>
                <w:color w:val="000000"/>
                <w:szCs w:val="20"/>
              </w:rPr>
              <w:t>$3.42</w:t>
            </w:r>
          </w:p>
        </w:tc>
      </w:tr>
      <w:tr w:rsidR="007F6723" w14:paraId="66DD0C4E" w14:textId="77777777" w:rsidTr="00181CF8">
        <w:tc>
          <w:tcPr>
            <w:tcW w:w="695" w:type="pct"/>
            <w:vAlign w:val="bottom"/>
          </w:tcPr>
          <w:p w14:paraId="51D20F35" w14:textId="77777777" w:rsidR="007F6723" w:rsidRPr="007F554C" w:rsidRDefault="007F6723" w:rsidP="00181CF8">
            <w:pPr>
              <w:pStyle w:val="Tabletextcentred"/>
              <w:jc w:val="left"/>
              <w:rPr>
                <w:szCs w:val="20"/>
              </w:rPr>
            </w:pPr>
            <w:r w:rsidRPr="007F554C">
              <w:rPr>
                <w:color w:val="000000"/>
                <w:szCs w:val="20"/>
              </w:rPr>
              <w:t>Galantamine</w:t>
            </w:r>
          </w:p>
        </w:tc>
        <w:tc>
          <w:tcPr>
            <w:tcW w:w="497" w:type="pct"/>
            <w:vAlign w:val="bottom"/>
          </w:tcPr>
          <w:p w14:paraId="029E3CC0" w14:textId="77777777" w:rsidR="007F6723" w:rsidRPr="007F554C" w:rsidRDefault="007F6723" w:rsidP="00181CF8">
            <w:pPr>
              <w:pStyle w:val="Tabletextcentred"/>
              <w:jc w:val="right"/>
              <w:rPr>
                <w:szCs w:val="20"/>
              </w:rPr>
            </w:pPr>
            <w:r w:rsidRPr="007F554C">
              <w:rPr>
                <w:color w:val="000000"/>
                <w:szCs w:val="20"/>
              </w:rPr>
              <w:t>2537M</w:t>
            </w:r>
          </w:p>
        </w:tc>
        <w:tc>
          <w:tcPr>
            <w:tcW w:w="810" w:type="pct"/>
            <w:vAlign w:val="bottom"/>
          </w:tcPr>
          <w:p w14:paraId="0B8D32B9" w14:textId="77777777" w:rsidR="007F6723" w:rsidRPr="007F554C" w:rsidRDefault="007F6723" w:rsidP="00181CF8">
            <w:pPr>
              <w:pStyle w:val="Tabletextcentred"/>
              <w:jc w:val="right"/>
              <w:rPr>
                <w:szCs w:val="20"/>
              </w:rPr>
            </w:pPr>
            <w:r w:rsidRPr="007F554C">
              <w:rPr>
                <w:color w:val="000000"/>
                <w:szCs w:val="20"/>
              </w:rPr>
              <w:t>16</w:t>
            </w:r>
          </w:p>
        </w:tc>
        <w:tc>
          <w:tcPr>
            <w:tcW w:w="574" w:type="pct"/>
            <w:vAlign w:val="bottom"/>
          </w:tcPr>
          <w:p w14:paraId="42DF93B0" w14:textId="77777777" w:rsidR="007F6723" w:rsidRPr="007F554C" w:rsidRDefault="007F6723" w:rsidP="00181CF8">
            <w:pPr>
              <w:pStyle w:val="Tabletextcentred"/>
              <w:jc w:val="right"/>
              <w:rPr>
                <w:szCs w:val="20"/>
              </w:rPr>
            </w:pPr>
            <w:r w:rsidRPr="007F554C">
              <w:rPr>
                <w:color w:val="000000"/>
                <w:szCs w:val="20"/>
              </w:rPr>
              <w:t>16</w:t>
            </w:r>
          </w:p>
        </w:tc>
        <w:tc>
          <w:tcPr>
            <w:tcW w:w="514" w:type="pct"/>
            <w:vAlign w:val="bottom"/>
          </w:tcPr>
          <w:p w14:paraId="1631A56A" w14:textId="77777777" w:rsidR="007F6723" w:rsidRPr="007F554C" w:rsidRDefault="007F6723" w:rsidP="00181CF8">
            <w:pPr>
              <w:pStyle w:val="Tabletextcentred"/>
              <w:jc w:val="right"/>
              <w:rPr>
                <w:szCs w:val="20"/>
              </w:rPr>
            </w:pPr>
            <w:r w:rsidRPr="007F554C">
              <w:rPr>
                <w:color w:val="000000"/>
                <w:szCs w:val="20"/>
              </w:rPr>
              <w:t>28</w:t>
            </w:r>
          </w:p>
        </w:tc>
        <w:tc>
          <w:tcPr>
            <w:tcW w:w="438" w:type="pct"/>
            <w:vAlign w:val="bottom"/>
          </w:tcPr>
          <w:p w14:paraId="09A39FF0" w14:textId="77777777" w:rsidR="007F6723" w:rsidRPr="007F554C" w:rsidRDefault="007F6723" w:rsidP="00181CF8">
            <w:pPr>
              <w:pStyle w:val="Tabletextcentred"/>
              <w:jc w:val="right"/>
              <w:rPr>
                <w:szCs w:val="20"/>
              </w:rPr>
            </w:pPr>
            <w:r w:rsidRPr="007F554C">
              <w:rPr>
                <w:color w:val="000000"/>
                <w:szCs w:val="20"/>
              </w:rPr>
              <w:t>448</w:t>
            </w:r>
          </w:p>
        </w:tc>
        <w:tc>
          <w:tcPr>
            <w:tcW w:w="491" w:type="pct"/>
            <w:vAlign w:val="bottom"/>
          </w:tcPr>
          <w:p w14:paraId="653B7827" w14:textId="77777777" w:rsidR="007F6723" w:rsidRPr="007F554C" w:rsidRDefault="007F6723" w:rsidP="00181CF8">
            <w:pPr>
              <w:pStyle w:val="Tabletextcentred"/>
              <w:jc w:val="right"/>
              <w:rPr>
                <w:szCs w:val="20"/>
              </w:rPr>
            </w:pPr>
            <w:r w:rsidRPr="007F554C">
              <w:rPr>
                <w:color w:val="000000"/>
                <w:szCs w:val="20"/>
              </w:rPr>
              <w:t>$51.20</w:t>
            </w:r>
          </w:p>
        </w:tc>
        <w:tc>
          <w:tcPr>
            <w:tcW w:w="490" w:type="pct"/>
            <w:vAlign w:val="bottom"/>
          </w:tcPr>
          <w:p w14:paraId="357D5253" w14:textId="77777777" w:rsidR="007F6723" w:rsidRPr="007F554C" w:rsidRDefault="007F6723" w:rsidP="00181CF8">
            <w:pPr>
              <w:pStyle w:val="Tabletextcentred"/>
              <w:jc w:val="right"/>
              <w:rPr>
                <w:szCs w:val="20"/>
              </w:rPr>
            </w:pPr>
            <w:r w:rsidRPr="007F554C">
              <w:rPr>
                <w:color w:val="000000"/>
                <w:szCs w:val="20"/>
              </w:rPr>
              <w:t>$0.11</w:t>
            </w:r>
          </w:p>
        </w:tc>
        <w:tc>
          <w:tcPr>
            <w:tcW w:w="491" w:type="pct"/>
            <w:vAlign w:val="bottom"/>
          </w:tcPr>
          <w:p w14:paraId="23CC120C" w14:textId="77777777" w:rsidR="007F6723" w:rsidRPr="007F554C" w:rsidRDefault="007F6723" w:rsidP="00181CF8">
            <w:pPr>
              <w:pStyle w:val="Tabletextcentred"/>
              <w:jc w:val="right"/>
              <w:rPr>
                <w:szCs w:val="20"/>
              </w:rPr>
            </w:pPr>
            <w:r w:rsidRPr="007F554C">
              <w:rPr>
                <w:color w:val="000000"/>
                <w:szCs w:val="20"/>
              </w:rPr>
              <w:t>$1.83</w:t>
            </w:r>
          </w:p>
        </w:tc>
      </w:tr>
      <w:tr w:rsidR="007F6723" w14:paraId="3C50EED0" w14:textId="77777777" w:rsidTr="00181CF8">
        <w:tc>
          <w:tcPr>
            <w:tcW w:w="695" w:type="pct"/>
            <w:vAlign w:val="bottom"/>
          </w:tcPr>
          <w:p w14:paraId="492E0425" w14:textId="77777777" w:rsidR="007F6723" w:rsidRPr="007F554C" w:rsidRDefault="007F6723" w:rsidP="00181CF8">
            <w:pPr>
              <w:pStyle w:val="Tabletextcentred"/>
              <w:jc w:val="left"/>
              <w:rPr>
                <w:color w:val="000000"/>
                <w:szCs w:val="20"/>
              </w:rPr>
            </w:pPr>
            <w:r w:rsidRPr="007F554C">
              <w:rPr>
                <w:color w:val="000000"/>
                <w:szCs w:val="20"/>
              </w:rPr>
              <w:t>Galantamine</w:t>
            </w:r>
          </w:p>
        </w:tc>
        <w:tc>
          <w:tcPr>
            <w:tcW w:w="497" w:type="pct"/>
            <w:vAlign w:val="bottom"/>
          </w:tcPr>
          <w:p w14:paraId="0561EA4B" w14:textId="77777777" w:rsidR="007F6723" w:rsidRPr="007F554C" w:rsidRDefault="007F6723" w:rsidP="00181CF8">
            <w:pPr>
              <w:pStyle w:val="Tabletextcentred"/>
              <w:jc w:val="right"/>
              <w:rPr>
                <w:color w:val="000000"/>
                <w:szCs w:val="20"/>
              </w:rPr>
            </w:pPr>
            <w:r w:rsidRPr="007F554C">
              <w:rPr>
                <w:color w:val="000000"/>
                <w:szCs w:val="20"/>
              </w:rPr>
              <w:t>2531F</w:t>
            </w:r>
          </w:p>
        </w:tc>
        <w:tc>
          <w:tcPr>
            <w:tcW w:w="810" w:type="pct"/>
            <w:vAlign w:val="bottom"/>
          </w:tcPr>
          <w:p w14:paraId="1865F379" w14:textId="77777777" w:rsidR="007F6723" w:rsidRPr="007F554C" w:rsidRDefault="007F6723" w:rsidP="00181CF8">
            <w:pPr>
              <w:pStyle w:val="Tabletextcentred"/>
              <w:jc w:val="right"/>
              <w:rPr>
                <w:color w:val="000000"/>
                <w:szCs w:val="20"/>
              </w:rPr>
            </w:pPr>
            <w:r w:rsidRPr="007F554C">
              <w:rPr>
                <w:color w:val="000000"/>
                <w:szCs w:val="20"/>
              </w:rPr>
              <w:t>24</w:t>
            </w:r>
          </w:p>
        </w:tc>
        <w:tc>
          <w:tcPr>
            <w:tcW w:w="574" w:type="pct"/>
            <w:vAlign w:val="bottom"/>
          </w:tcPr>
          <w:p w14:paraId="1A3A3397" w14:textId="77777777" w:rsidR="007F6723" w:rsidRPr="007F554C" w:rsidRDefault="007F6723" w:rsidP="00181CF8">
            <w:pPr>
              <w:pStyle w:val="Tabletextcentred"/>
              <w:jc w:val="right"/>
              <w:rPr>
                <w:color w:val="000000"/>
                <w:szCs w:val="20"/>
              </w:rPr>
            </w:pPr>
            <w:r w:rsidRPr="007F554C">
              <w:rPr>
                <w:color w:val="000000"/>
                <w:szCs w:val="20"/>
              </w:rPr>
              <w:t>24</w:t>
            </w:r>
          </w:p>
        </w:tc>
        <w:tc>
          <w:tcPr>
            <w:tcW w:w="514" w:type="pct"/>
            <w:vAlign w:val="bottom"/>
          </w:tcPr>
          <w:p w14:paraId="45D9D809" w14:textId="77777777" w:rsidR="007F6723" w:rsidRPr="007F554C" w:rsidRDefault="007F6723" w:rsidP="00181CF8">
            <w:pPr>
              <w:pStyle w:val="Tabletextcentred"/>
              <w:jc w:val="right"/>
              <w:rPr>
                <w:color w:val="000000"/>
                <w:szCs w:val="20"/>
              </w:rPr>
            </w:pPr>
            <w:r w:rsidRPr="007F554C">
              <w:rPr>
                <w:color w:val="000000"/>
                <w:szCs w:val="20"/>
              </w:rPr>
              <w:t>28</w:t>
            </w:r>
          </w:p>
        </w:tc>
        <w:tc>
          <w:tcPr>
            <w:tcW w:w="438" w:type="pct"/>
            <w:vAlign w:val="bottom"/>
          </w:tcPr>
          <w:p w14:paraId="5141A33E" w14:textId="77777777" w:rsidR="007F6723" w:rsidRPr="007F554C" w:rsidRDefault="007F6723" w:rsidP="00181CF8">
            <w:pPr>
              <w:pStyle w:val="Tabletextcentred"/>
              <w:jc w:val="right"/>
              <w:rPr>
                <w:color w:val="000000"/>
                <w:szCs w:val="20"/>
              </w:rPr>
            </w:pPr>
            <w:r w:rsidRPr="007F554C">
              <w:rPr>
                <w:color w:val="000000"/>
                <w:szCs w:val="20"/>
              </w:rPr>
              <w:t>672</w:t>
            </w:r>
          </w:p>
        </w:tc>
        <w:tc>
          <w:tcPr>
            <w:tcW w:w="491" w:type="pct"/>
            <w:vAlign w:val="bottom"/>
          </w:tcPr>
          <w:p w14:paraId="5E20506C" w14:textId="77777777" w:rsidR="007F6723" w:rsidRPr="007F554C" w:rsidRDefault="007F6723" w:rsidP="00181CF8">
            <w:pPr>
              <w:pStyle w:val="Tabletextcentred"/>
              <w:jc w:val="right"/>
              <w:rPr>
                <w:color w:val="000000"/>
                <w:szCs w:val="20"/>
              </w:rPr>
            </w:pPr>
            <w:r w:rsidRPr="007F554C">
              <w:rPr>
                <w:color w:val="000000"/>
                <w:szCs w:val="20"/>
              </w:rPr>
              <w:t>$59.12</w:t>
            </w:r>
          </w:p>
        </w:tc>
        <w:tc>
          <w:tcPr>
            <w:tcW w:w="490" w:type="pct"/>
            <w:vAlign w:val="bottom"/>
          </w:tcPr>
          <w:p w14:paraId="18BA2357" w14:textId="77777777" w:rsidR="007F6723" w:rsidRPr="007F554C" w:rsidRDefault="007F6723" w:rsidP="00181CF8">
            <w:pPr>
              <w:pStyle w:val="Tabletextcentred"/>
              <w:jc w:val="right"/>
              <w:rPr>
                <w:color w:val="000000"/>
                <w:szCs w:val="20"/>
              </w:rPr>
            </w:pPr>
            <w:r w:rsidRPr="007F554C">
              <w:rPr>
                <w:color w:val="000000"/>
                <w:szCs w:val="20"/>
              </w:rPr>
              <w:t>$0.09</w:t>
            </w:r>
          </w:p>
        </w:tc>
        <w:tc>
          <w:tcPr>
            <w:tcW w:w="491" w:type="pct"/>
            <w:vAlign w:val="bottom"/>
          </w:tcPr>
          <w:p w14:paraId="37EA8DDB" w14:textId="77777777" w:rsidR="007F6723" w:rsidRPr="007F554C" w:rsidRDefault="007F6723" w:rsidP="00181CF8">
            <w:pPr>
              <w:pStyle w:val="Tabletextcentred"/>
              <w:jc w:val="right"/>
              <w:rPr>
                <w:color w:val="000000"/>
                <w:szCs w:val="20"/>
              </w:rPr>
            </w:pPr>
            <w:r w:rsidRPr="007F554C">
              <w:rPr>
                <w:color w:val="000000"/>
                <w:szCs w:val="20"/>
              </w:rPr>
              <w:t>$2.11</w:t>
            </w:r>
          </w:p>
        </w:tc>
      </w:tr>
    </w:tbl>
    <w:p w14:paraId="07E67CC1" w14:textId="2D7059B1" w:rsidR="007F6723" w:rsidRDefault="007F6723" w:rsidP="007F6723">
      <w:pPr>
        <w:pStyle w:val="Tablefootnotes"/>
      </w:pPr>
      <w:r>
        <w:t>Source: Pharmaceutical Benefits Schedule (</w:t>
      </w:r>
      <w:hyperlink r:id="rId29" w:history="1">
        <w:r w:rsidR="004A62A8">
          <w:rPr>
            <w:rStyle w:val="Hyperlink"/>
          </w:rPr>
          <w:t>PBS website</w:t>
        </w:r>
      </w:hyperlink>
      <w:r>
        <w:t>, accessed November 24, 2014)</w:t>
      </w:r>
    </w:p>
    <w:p w14:paraId="304CADC3" w14:textId="77777777" w:rsidR="007F6723" w:rsidRDefault="007F6723" w:rsidP="007F6723">
      <w:pPr>
        <w:pStyle w:val="Tablefootnotes"/>
      </w:pPr>
      <w:r w:rsidRPr="00F94D4D">
        <w:t>Abbreviations</w:t>
      </w:r>
      <w:r>
        <w:t>: AChEIs, acetylcholinesterase inhibitors; DPMQ, dispensed price per maximum quantity; mg, milligram; PBS, Pharmaceutical Benefits Schedule</w:t>
      </w:r>
    </w:p>
    <w:p w14:paraId="08B2EDC8" w14:textId="4472DCFD" w:rsidR="007F6723" w:rsidRDefault="007F6723" w:rsidP="007F6723">
      <w:pPr>
        <w:pStyle w:val="Caption"/>
      </w:pPr>
      <w:bookmarkStart w:id="188" w:name="_Ref278633526"/>
      <w:bookmarkStart w:id="189" w:name="_Toc406172478"/>
      <w:bookmarkStart w:id="190" w:name="_Toc408845232"/>
      <w:r>
        <w:t xml:space="preserve">Table </w:t>
      </w:r>
      <w:fldSimple w:instr=" STYLEREF 2 \s ">
        <w:r w:rsidR="00C67698">
          <w:rPr>
            <w:noProof/>
          </w:rPr>
          <w:t>C.7</w:t>
        </w:r>
      </w:fldSimple>
      <w:r w:rsidR="00524916">
        <w:noBreakHyphen/>
      </w:r>
      <w:fldSimple w:instr=" SEQ Table \* ARABIC \s 2 ">
        <w:r w:rsidR="00C67698">
          <w:rPr>
            <w:noProof/>
          </w:rPr>
          <w:t>2</w:t>
        </w:r>
      </w:fldSimple>
      <w:bookmarkEnd w:id="188"/>
      <w:r>
        <w:tab/>
        <w:t>Calculated average treatment cost of patients using AChEIs</w:t>
      </w:r>
      <w:bookmarkEnd w:id="189"/>
      <w:bookmarkEnd w:id="190"/>
    </w:p>
    <w:tbl>
      <w:tblPr>
        <w:tblStyle w:val="TableGrid"/>
        <w:tblW w:w="4610" w:type="pct"/>
        <w:tblInd w:w="704" w:type="dxa"/>
        <w:tblLook w:val="04A0" w:firstRow="1" w:lastRow="0" w:firstColumn="1" w:lastColumn="0" w:noHBand="0" w:noVBand="1"/>
        <w:tblCaption w:val="Calculated average treatment cost of patients using acetylcholinesterase inhibitors"/>
        <w:tblDescription w:val="PBS data showing the number of script for each of the acetylcholinesterase inhibitors, cost per day and weighted average cost per day."/>
      </w:tblPr>
      <w:tblGrid>
        <w:gridCol w:w="2034"/>
        <w:gridCol w:w="1298"/>
        <w:gridCol w:w="1298"/>
        <w:gridCol w:w="1297"/>
        <w:gridCol w:w="1297"/>
        <w:gridCol w:w="1297"/>
      </w:tblGrid>
      <w:tr w:rsidR="007F6723" w14:paraId="320F1E87" w14:textId="77777777" w:rsidTr="00181CF8">
        <w:trPr>
          <w:tblHeader/>
        </w:trPr>
        <w:tc>
          <w:tcPr>
            <w:tcW w:w="1193" w:type="pct"/>
          </w:tcPr>
          <w:p w14:paraId="5358C043" w14:textId="77777777" w:rsidR="007F6723" w:rsidRDefault="007F6723" w:rsidP="00181CF8">
            <w:pPr>
              <w:pStyle w:val="Tabletextboldleft"/>
            </w:pPr>
            <w:r>
              <w:t>Drug</w:t>
            </w:r>
          </w:p>
        </w:tc>
        <w:tc>
          <w:tcPr>
            <w:tcW w:w="761" w:type="pct"/>
          </w:tcPr>
          <w:p w14:paraId="0ED4A36F" w14:textId="77777777" w:rsidR="007F6723" w:rsidRDefault="007F6723" w:rsidP="00181CF8">
            <w:pPr>
              <w:pStyle w:val="Tabletextboldleft"/>
              <w:jc w:val="center"/>
            </w:pPr>
            <w:r>
              <w:t>PBS Item number</w:t>
            </w:r>
          </w:p>
        </w:tc>
        <w:tc>
          <w:tcPr>
            <w:tcW w:w="761" w:type="pct"/>
          </w:tcPr>
          <w:p w14:paraId="0E8E8BAE" w14:textId="77777777" w:rsidR="007F6723" w:rsidRPr="00441FC5" w:rsidRDefault="007F6723" w:rsidP="00181CF8">
            <w:pPr>
              <w:pStyle w:val="Tabletextboldleft"/>
              <w:jc w:val="right"/>
            </w:pPr>
            <w:r w:rsidRPr="00441FC5">
              <w:t>Scripts</w:t>
            </w:r>
          </w:p>
        </w:tc>
        <w:tc>
          <w:tcPr>
            <w:tcW w:w="761" w:type="pct"/>
          </w:tcPr>
          <w:p w14:paraId="0D914816" w14:textId="77777777" w:rsidR="007F6723" w:rsidRPr="00441FC5" w:rsidRDefault="007F6723" w:rsidP="00181CF8">
            <w:pPr>
              <w:pStyle w:val="Tabletextboldleft"/>
              <w:jc w:val="right"/>
            </w:pPr>
            <w:r w:rsidRPr="00441FC5">
              <w:t>Proportion of total scripts</w:t>
            </w:r>
          </w:p>
        </w:tc>
        <w:tc>
          <w:tcPr>
            <w:tcW w:w="761" w:type="pct"/>
          </w:tcPr>
          <w:p w14:paraId="19873E79" w14:textId="77777777" w:rsidR="007F6723" w:rsidRPr="00441FC5" w:rsidRDefault="007F6723" w:rsidP="00181CF8">
            <w:pPr>
              <w:pStyle w:val="Tabletextboldleft"/>
              <w:jc w:val="right"/>
            </w:pPr>
            <w:r w:rsidRPr="00441FC5">
              <w:t>Cost per day</w:t>
            </w:r>
          </w:p>
        </w:tc>
        <w:tc>
          <w:tcPr>
            <w:tcW w:w="761" w:type="pct"/>
          </w:tcPr>
          <w:p w14:paraId="7474708F" w14:textId="77777777" w:rsidR="007F6723" w:rsidRPr="00441FC5" w:rsidRDefault="007F6723" w:rsidP="00181CF8">
            <w:pPr>
              <w:pStyle w:val="Tabletextboldleft"/>
              <w:jc w:val="right"/>
            </w:pPr>
            <w:r w:rsidRPr="00441FC5">
              <w:t>Weighted average cost per day</w:t>
            </w:r>
          </w:p>
        </w:tc>
      </w:tr>
      <w:tr w:rsidR="007F6723" w14:paraId="694A1038" w14:textId="77777777" w:rsidTr="00181CF8">
        <w:tc>
          <w:tcPr>
            <w:tcW w:w="1193" w:type="pct"/>
            <w:vAlign w:val="bottom"/>
          </w:tcPr>
          <w:p w14:paraId="0912EF32" w14:textId="77777777" w:rsidR="007F6723" w:rsidRPr="00C02420" w:rsidRDefault="007F6723" w:rsidP="00181CF8">
            <w:pPr>
              <w:pStyle w:val="Tabletextcentred"/>
              <w:keepNext/>
              <w:jc w:val="left"/>
              <w:rPr>
                <w:szCs w:val="20"/>
              </w:rPr>
            </w:pPr>
            <w:r w:rsidRPr="00C02420">
              <w:rPr>
                <w:color w:val="000000"/>
                <w:szCs w:val="20"/>
              </w:rPr>
              <w:t>Donepezil</w:t>
            </w:r>
          </w:p>
        </w:tc>
        <w:tc>
          <w:tcPr>
            <w:tcW w:w="761" w:type="pct"/>
            <w:vAlign w:val="bottom"/>
          </w:tcPr>
          <w:p w14:paraId="366F15F3" w14:textId="77777777" w:rsidR="007F6723" w:rsidRPr="00C02420" w:rsidRDefault="007F6723" w:rsidP="00181CF8">
            <w:pPr>
              <w:pStyle w:val="Tabletextcentred"/>
              <w:keepNext/>
              <w:rPr>
                <w:szCs w:val="20"/>
              </w:rPr>
            </w:pPr>
            <w:r w:rsidRPr="00C02420">
              <w:rPr>
                <w:color w:val="000000"/>
                <w:szCs w:val="20"/>
              </w:rPr>
              <w:t>2532G</w:t>
            </w:r>
          </w:p>
        </w:tc>
        <w:tc>
          <w:tcPr>
            <w:tcW w:w="761" w:type="pct"/>
            <w:vAlign w:val="bottom"/>
          </w:tcPr>
          <w:p w14:paraId="5EA9DB60" w14:textId="77777777" w:rsidR="007F6723" w:rsidRPr="00C02420" w:rsidRDefault="007F6723" w:rsidP="00181CF8">
            <w:pPr>
              <w:pStyle w:val="Tabletextcentred"/>
              <w:keepNext/>
              <w:jc w:val="right"/>
              <w:rPr>
                <w:szCs w:val="20"/>
              </w:rPr>
            </w:pPr>
            <w:r w:rsidRPr="00C02420">
              <w:rPr>
                <w:color w:val="000000"/>
                <w:szCs w:val="20"/>
              </w:rPr>
              <w:t>2526</w:t>
            </w:r>
          </w:p>
        </w:tc>
        <w:tc>
          <w:tcPr>
            <w:tcW w:w="761" w:type="pct"/>
            <w:vAlign w:val="bottom"/>
          </w:tcPr>
          <w:p w14:paraId="3551D262" w14:textId="77777777" w:rsidR="007F6723" w:rsidRPr="00C02420" w:rsidRDefault="007F6723" w:rsidP="00181CF8">
            <w:pPr>
              <w:pStyle w:val="Tabletextcentred"/>
              <w:keepNext/>
              <w:jc w:val="right"/>
              <w:rPr>
                <w:szCs w:val="20"/>
              </w:rPr>
            </w:pPr>
            <w:r w:rsidRPr="00C02420">
              <w:rPr>
                <w:color w:val="000000"/>
                <w:szCs w:val="20"/>
              </w:rPr>
              <w:t>0.0322</w:t>
            </w:r>
          </w:p>
        </w:tc>
        <w:tc>
          <w:tcPr>
            <w:tcW w:w="761" w:type="pct"/>
            <w:vAlign w:val="bottom"/>
          </w:tcPr>
          <w:p w14:paraId="1F00D1A5" w14:textId="77777777" w:rsidR="007F6723" w:rsidRPr="00C02420" w:rsidRDefault="007F6723" w:rsidP="00181CF8">
            <w:pPr>
              <w:pStyle w:val="Tabletextcentred"/>
              <w:keepNext/>
              <w:jc w:val="right"/>
              <w:rPr>
                <w:szCs w:val="20"/>
              </w:rPr>
            </w:pPr>
            <w:r w:rsidRPr="00C02420">
              <w:rPr>
                <w:color w:val="000000"/>
                <w:szCs w:val="20"/>
              </w:rPr>
              <w:t>$1.42</w:t>
            </w:r>
          </w:p>
        </w:tc>
        <w:tc>
          <w:tcPr>
            <w:tcW w:w="761" w:type="pct"/>
            <w:vAlign w:val="bottom"/>
          </w:tcPr>
          <w:p w14:paraId="7D776AD3" w14:textId="77777777" w:rsidR="007F6723" w:rsidRPr="00C02420" w:rsidRDefault="007F6723" w:rsidP="00181CF8">
            <w:pPr>
              <w:pStyle w:val="Tabletextcentred"/>
              <w:keepNext/>
              <w:jc w:val="right"/>
              <w:rPr>
                <w:szCs w:val="20"/>
              </w:rPr>
            </w:pPr>
            <w:r w:rsidRPr="00C02420">
              <w:rPr>
                <w:color w:val="000000"/>
                <w:szCs w:val="20"/>
              </w:rPr>
              <w:t>$0.05</w:t>
            </w:r>
          </w:p>
        </w:tc>
      </w:tr>
      <w:tr w:rsidR="007F6723" w14:paraId="41253F99" w14:textId="77777777" w:rsidTr="00181CF8">
        <w:tc>
          <w:tcPr>
            <w:tcW w:w="1193" w:type="pct"/>
            <w:vAlign w:val="bottom"/>
          </w:tcPr>
          <w:p w14:paraId="595D2004" w14:textId="77777777" w:rsidR="007F6723" w:rsidRPr="00C02420" w:rsidRDefault="007F6723" w:rsidP="00181CF8">
            <w:pPr>
              <w:pStyle w:val="Tabletextcentred"/>
              <w:keepNext/>
              <w:jc w:val="left"/>
              <w:rPr>
                <w:szCs w:val="20"/>
              </w:rPr>
            </w:pPr>
            <w:r w:rsidRPr="00C02420">
              <w:rPr>
                <w:color w:val="000000"/>
                <w:szCs w:val="20"/>
              </w:rPr>
              <w:t>Donepezil</w:t>
            </w:r>
          </w:p>
        </w:tc>
        <w:tc>
          <w:tcPr>
            <w:tcW w:w="761" w:type="pct"/>
            <w:vAlign w:val="bottom"/>
          </w:tcPr>
          <w:p w14:paraId="64A213F7" w14:textId="77777777" w:rsidR="007F6723" w:rsidRPr="00C02420" w:rsidRDefault="007F6723" w:rsidP="00181CF8">
            <w:pPr>
              <w:pStyle w:val="Tabletextcentred"/>
              <w:keepNext/>
              <w:rPr>
                <w:szCs w:val="20"/>
              </w:rPr>
            </w:pPr>
            <w:r w:rsidRPr="00C02420">
              <w:rPr>
                <w:color w:val="000000"/>
                <w:szCs w:val="20"/>
              </w:rPr>
              <w:t>2479L</w:t>
            </w:r>
          </w:p>
        </w:tc>
        <w:tc>
          <w:tcPr>
            <w:tcW w:w="761" w:type="pct"/>
            <w:vAlign w:val="bottom"/>
          </w:tcPr>
          <w:p w14:paraId="38E4D4C1" w14:textId="77777777" w:rsidR="007F6723" w:rsidRPr="00C02420" w:rsidRDefault="007F6723" w:rsidP="00181CF8">
            <w:pPr>
              <w:pStyle w:val="Tabletextcentred"/>
              <w:keepNext/>
              <w:jc w:val="right"/>
              <w:rPr>
                <w:szCs w:val="20"/>
              </w:rPr>
            </w:pPr>
            <w:r w:rsidRPr="00C02420">
              <w:rPr>
                <w:color w:val="000000"/>
                <w:szCs w:val="20"/>
              </w:rPr>
              <w:t>42,522</w:t>
            </w:r>
          </w:p>
        </w:tc>
        <w:tc>
          <w:tcPr>
            <w:tcW w:w="761" w:type="pct"/>
            <w:vAlign w:val="bottom"/>
          </w:tcPr>
          <w:p w14:paraId="3DC2CAC7" w14:textId="77777777" w:rsidR="007F6723" w:rsidRPr="00C02420" w:rsidRDefault="007F6723" w:rsidP="00181CF8">
            <w:pPr>
              <w:pStyle w:val="Tabletextcentred"/>
              <w:keepNext/>
              <w:jc w:val="right"/>
              <w:rPr>
                <w:szCs w:val="20"/>
              </w:rPr>
            </w:pPr>
            <w:r w:rsidRPr="00C02420">
              <w:rPr>
                <w:color w:val="000000"/>
                <w:szCs w:val="20"/>
              </w:rPr>
              <w:t>0.5419</w:t>
            </w:r>
          </w:p>
        </w:tc>
        <w:tc>
          <w:tcPr>
            <w:tcW w:w="761" w:type="pct"/>
            <w:vAlign w:val="bottom"/>
          </w:tcPr>
          <w:p w14:paraId="74EA05E3" w14:textId="77777777" w:rsidR="007F6723" w:rsidRPr="00C02420" w:rsidRDefault="007F6723" w:rsidP="00181CF8">
            <w:pPr>
              <w:pStyle w:val="Tabletextcentred"/>
              <w:keepNext/>
              <w:jc w:val="right"/>
              <w:rPr>
                <w:szCs w:val="20"/>
              </w:rPr>
            </w:pPr>
            <w:r w:rsidRPr="00C02420">
              <w:rPr>
                <w:color w:val="000000"/>
                <w:szCs w:val="20"/>
              </w:rPr>
              <w:t>$1.42</w:t>
            </w:r>
          </w:p>
        </w:tc>
        <w:tc>
          <w:tcPr>
            <w:tcW w:w="761" w:type="pct"/>
            <w:vAlign w:val="bottom"/>
          </w:tcPr>
          <w:p w14:paraId="50F0CE40" w14:textId="77777777" w:rsidR="007F6723" w:rsidRPr="00C02420" w:rsidRDefault="007F6723" w:rsidP="00181CF8">
            <w:pPr>
              <w:pStyle w:val="Tabletextcentred"/>
              <w:keepNext/>
              <w:jc w:val="right"/>
              <w:rPr>
                <w:szCs w:val="20"/>
              </w:rPr>
            </w:pPr>
            <w:r w:rsidRPr="00C02420">
              <w:rPr>
                <w:color w:val="000000"/>
                <w:szCs w:val="20"/>
              </w:rPr>
              <w:t>$0.77</w:t>
            </w:r>
          </w:p>
        </w:tc>
      </w:tr>
      <w:tr w:rsidR="007F6723" w14:paraId="1B4F8F0F" w14:textId="77777777" w:rsidTr="00181CF8">
        <w:tc>
          <w:tcPr>
            <w:tcW w:w="1193" w:type="pct"/>
            <w:vAlign w:val="bottom"/>
          </w:tcPr>
          <w:p w14:paraId="4D059BF6" w14:textId="77777777" w:rsidR="007F6723" w:rsidRPr="00C02420" w:rsidRDefault="007F6723" w:rsidP="00181CF8">
            <w:pPr>
              <w:pStyle w:val="Tabletextcentred"/>
              <w:keepNext/>
              <w:jc w:val="left"/>
              <w:rPr>
                <w:szCs w:val="20"/>
              </w:rPr>
            </w:pPr>
            <w:r w:rsidRPr="00C02420">
              <w:rPr>
                <w:color w:val="000000"/>
                <w:szCs w:val="20"/>
              </w:rPr>
              <w:t>Rivastigmine (capsule)</w:t>
            </w:r>
          </w:p>
        </w:tc>
        <w:tc>
          <w:tcPr>
            <w:tcW w:w="761" w:type="pct"/>
            <w:vAlign w:val="bottom"/>
          </w:tcPr>
          <w:p w14:paraId="6B3CFBDD" w14:textId="77777777" w:rsidR="007F6723" w:rsidRPr="00C02420" w:rsidRDefault="007F6723" w:rsidP="00181CF8">
            <w:pPr>
              <w:pStyle w:val="Tabletextcentred"/>
              <w:keepNext/>
              <w:rPr>
                <w:szCs w:val="20"/>
              </w:rPr>
            </w:pPr>
            <w:r w:rsidRPr="00C02420">
              <w:rPr>
                <w:color w:val="000000"/>
                <w:szCs w:val="20"/>
              </w:rPr>
              <w:t>2493F</w:t>
            </w:r>
          </w:p>
        </w:tc>
        <w:tc>
          <w:tcPr>
            <w:tcW w:w="761" w:type="pct"/>
            <w:vAlign w:val="bottom"/>
          </w:tcPr>
          <w:p w14:paraId="1D9742C6" w14:textId="77777777" w:rsidR="007F6723" w:rsidRPr="00C02420" w:rsidRDefault="007F6723" w:rsidP="00181CF8">
            <w:pPr>
              <w:pStyle w:val="Tabletextcentred"/>
              <w:keepNext/>
              <w:jc w:val="right"/>
              <w:rPr>
                <w:szCs w:val="20"/>
              </w:rPr>
            </w:pPr>
            <w:r w:rsidRPr="00C02420">
              <w:rPr>
                <w:color w:val="000000"/>
                <w:szCs w:val="20"/>
              </w:rPr>
              <w:t>486</w:t>
            </w:r>
          </w:p>
        </w:tc>
        <w:tc>
          <w:tcPr>
            <w:tcW w:w="761" w:type="pct"/>
            <w:vAlign w:val="bottom"/>
          </w:tcPr>
          <w:p w14:paraId="4EE97893" w14:textId="77777777" w:rsidR="007F6723" w:rsidRPr="00C02420" w:rsidRDefault="007F6723" w:rsidP="00181CF8">
            <w:pPr>
              <w:pStyle w:val="Tabletextcentred"/>
              <w:keepNext/>
              <w:jc w:val="right"/>
              <w:rPr>
                <w:szCs w:val="20"/>
              </w:rPr>
            </w:pPr>
            <w:r w:rsidRPr="00C02420">
              <w:rPr>
                <w:color w:val="000000"/>
                <w:szCs w:val="20"/>
              </w:rPr>
              <w:t>0.0062</w:t>
            </w:r>
          </w:p>
        </w:tc>
        <w:tc>
          <w:tcPr>
            <w:tcW w:w="761" w:type="pct"/>
            <w:vAlign w:val="bottom"/>
          </w:tcPr>
          <w:p w14:paraId="6DC386A7" w14:textId="77777777" w:rsidR="007F6723" w:rsidRPr="00C02420" w:rsidRDefault="007F6723" w:rsidP="00181CF8">
            <w:pPr>
              <w:pStyle w:val="Tabletextcentred"/>
              <w:keepNext/>
              <w:jc w:val="right"/>
              <w:rPr>
                <w:szCs w:val="20"/>
              </w:rPr>
            </w:pPr>
            <w:r w:rsidRPr="00C02420">
              <w:rPr>
                <w:color w:val="000000"/>
                <w:szCs w:val="20"/>
              </w:rPr>
              <w:t>$3.44</w:t>
            </w:r>
          </w:p>
        </w:tc>
        <w:tc>
          <w:tcPr>
            <w:tcW w:w="761" w:type="pct"/>
            <w:vAlign w:val="bottom"/>
          </w:tcPr>
          <w:p w14:paraId="01119A0D" w14:textId="77777777" w:rsidR="007F6723" w:rsidRPr="00C02420" w:rsidRDefault="007F6723" w:rsidP="00181CF8">
            <w:pPr>
              <w:pStyle w:val="Tabletextcentred"/>
              <w:keepNext/>
              <w:jc w:val="right"/>
              <w:rPr>
                <w:szCs w:val="20"/>
              </w:rPr>
            </w:pPr>
            <w:r w:rsidRPr="00C02420">
              <w:rPr>
                <w:color w:val="000000"/>
                <w:szCs w:val="20"/>
              </w:rPr>
              <w:t>$0.02</w:t>
            </w:r>
          </w:p>
        </w:tc>
      </w:tr>
      <w:tr w:rsidR="007F6723" w14:paraId="131887DF" w14:textId="77777777" w:rsidTr="00181CF8">
        <w:tc>
          <w:tcPr>
            <w:tcW w:w="1193" w:type="pct"/>
            <w:vAlign w:val="bottom"/>
          </w:tcPr>
          <w:p w14:paraId="562FFDFA" w14:textId="77777777" w:rsidR="007F6723" w:rsidRPr="00C02420" w:rsidRDefault="007F6723" w:rsidP="00181CF8">
            <w:pPr>
              <w:pStyle w:val="Tabletextcentred"/>
              <w:keepNext/>
              <w:jc w:val="left"/>
              <w:rPr>
                <w:szCs w:val="20"/>
              </w:rPr>
            </w:pPr>
            <w:r w:rsidRPr="00C02420">
              <w:rPr>
                <w:color w:val="000000"/>
                <w:szCs w:val="20"/>
              </w:rPr>
              <w:t>Rivastigmine (capsule)</w:t>
            </w:r>
          </w:p>
        </w:tc>
        <w:tc>
          <w:tcPr>
            <w:tcW w:w="761" w:type="pct"/>
            <w:vAlign w:val="bottom"/>
          </w:tcPr>
          <w:p w14:paraId="0A2F48C3" w14:textId="77777777" w:rsidR="007F6723" w:rsidRPr="00C02420" w:rsidRDefault="007F6723" w:rsidP="00181CF8">
            <w:pPr>
              <w:pStyle w:val="Tabletextcentred"/>
              <w:keepNext/>
              <w:rPr>
                <w:szCs w:val="20"/>
              </w:rPr>
            </w:pPr>
            <w:r w:rsidRPr="00C02420">
              <w:rPr>
                <w:color w:val="000000"/>
                <w:szCs w:val="20"/>
              </w:rPr>
              <w:t>2526Y</w:t>
            </w:r>
          </w:p>
        </w:tc>
        <w:tc>
          <w:tcPr>
            <w:tcW w:w="761" w:type="pct"/>
            <w:vAlign w:val="bottom"/>
          </w:tcPr>
          <w:p w14:paraId="5307100B" w14:textId="77777777" w:rsidR="007F6723" w:rsidRPr="00C02420" w:rsidRDefault="007F6723" w:rsidP="00181CF8">
            <w:pPr>
              <w:pStyle w:val="Tabletextcentred"/>
              <w:keepNext/>
              <w:jc w:val="right"/>
              <w:rPr>
                <w:szCs w:val="20"/>
              </w:rPr>
            </w:pPr>
            <w:r w:rsidRPr="00C02420">
              <w:rPr>
                <w:color w:val="000000"/>
                <w:szCs w:val="20"/>
              </w:rPr>
              <w:t>262</w:t>
            </w:r>
          </w:p>
        </w:tc>
        <w:tc>
          <w:tcPr>
            <w:tcW w:w="761" w:type="pct"/>
            <w:vAlign w:val="bottom"/>
          </w:tcPr>
          <w:p w14:paraId="50FF6078" w14:textId="77777777" w:rsidR="007F6723" w:rsidRPr="00C02420" w:rsidRDefault="007F6723" w:rsidP="00181CF8">
            <w:pPr>
              <w:pStyle w:val="Tabletextcentred"/>
              <w:keepNext/>
              <w:jc w:val="right"/>
              <w:rPr>
                <w:szCs w:val="20"/>
              </w:rPr>
            </w:pPr>
            <w:r w:rsidRPr="00C02420">
              <w:rPr>
                <w:color w:val="000000"/>
                <w:szCs w:val="20"/>
              </w:rPr>
              <w:t>0.0033</w:t>
            </w:r>
          </w:p>
        </w:tc>
        <w:tc>
          <w:tcPr>
            <w:tcW w:w="761" w:type="pct"/>
            <w:vAlign w:val="bottom"/>
          </w:tcPr>
          <w:p w14:paraId="7024B9B3" w14:textId="77777777" w:rsidR="007F6723" w:rsidRPr="00C02420" w:rsidRDefault="007F6723" w:rsidP="00181CF8">
            <w:pPr>
              <w:pStyle w:val="Tabletextcentred"/>
              <w:keepNext/>
              <w:jc w:val="right"/>
              <w:rPr>
                <w:szCs w:val="20"/>
              </w:rPr>
            </w:pPr>
            <w:r w:rsidRPr="00C02420">
              <w:rPr>
                <w:color w:val="000000"/>
                <w:szCs w:val="20"/>
              </w:rPr>
              <w:t>$3.44</w:t>
            </w:r>
          </w:p>
        </w:tc>
        <w:tc>
          <w:tcPr>
            <w:tcW w:w="761" w:type="pct"/>
            <w:vAlign w:val="bottom"/>
          </w:tcPr>
          <w:p w14:paraId="4BF50DA0" w14:textId="77777777" w:rsidR="007F6723" w:rsidRPr="00C02420" w:rsidRDefault="007F6723" w:rsidP="00181CF8">
            <w:pPr>
              <w:pStyle w:val="Tabletextcentred"/>
              <w:keepNext/>
              <w:jc w:val="right"/>
              <w:rPr>
                <w:szCs w:val="20"/>
              </w:rPr>
            </w:pPr>
            <w:r w:rsidRPr="00C02420">
              <w:rPr>
                <w:color w:val="000000"/>
                <w:szCs w:val="20"/>
              </w:rPr>
              <w:t>$0.01</w:t>
            </w:r>
          </w:p>
        </w:tc>
      </w:tr>
      <w:tr w:rsidR="007F6723" w14:paraId="18CA07E6" w14:textId="77777777" w:rsidTr="00181CF8">
        <w:tc>
          <w:tcPr>
            <w:tcW w:w="1193" w:type="pct"/>
            <w:vAlign w:val="bottom"/>
          </w:tcPr>
          <w:p w14:paraId="2F213A33" w14:textId="77777777" w:rsidR="007F6723" w:rsidRPr="00C02420" w:rsidRDefault="007F6723" w:rsidP="00181CF8">
            <w:pPr>
              <w:pStyle w:val="Tabletextcentred"/>
              <w:keepNext/>
              <w:jc w:val="left"/>
              <w:rPr>
                <w:szCs w:val="20"/>
              </w:rPr>
            </w:pPr>
            <w:r w:rsidRPr="00C02420">
              <w:rPr>
                <w:color w:val="000000"/>
                <w:szCs w:val="20"/>
              </w:rPr>
              <w:t>Rivastigmine (patch)</w:t>
            </w:r>
          </w:p>
        </w:tc>
        <w:tc>
          <w:tcPr>
            <w:tcW w:w="761" w:type="pct"/>
            <w:vAlign w:val="bottom"/>
          </w:tcPr>
          <w:p w14:paraId="28C2753E" w14:textId="77777777" w:rsidR="007F6723" w:rsidRPr="00C02420" w:rsidRDefault="007F6723" w:rsidP="00181CF8">
            <w:pPr>
              <w:pStyle w:val="Tabletextcentred"/>
              <w:keepNext/>
              <w:rPr>
                <w:szCs w:val="20"/>
              </w:rPr>
            </w:pPr>
            <w:r w:rsidRPr="00C02420">
              <w:rPr>
                <w:color w:val="000000"/>
                <w:szCs w:val="20"/>
              </w:rPr>
              <w:t>2477J</w:t>
            </w:r>
          </w:p>
        </w:tc>
        <w:tc>
          <w:tcPr>
            <w:tcW w:w="761" w:type="pct"/>
            <w:vAlign w:val="bottom"/>
          </w:tcPr>
          <w:p w14:paraId="4718A6A3" w14:textId="77777777" w:rsidR="007F6723" w:rsidRPr="00C02420" w:rsidRDefault="007F6723" w:rsidP="00181CF8">
            <w:pPr>
              <w:pStyle w:val="Tabletextcentred"/>
              <w:keepNext/>
              <w:jc w:val="right"/>
              <w:rPr>
                <w:szCs w:val="20"/>
              </w:rPr>
            </w:pPr>
            <w:r w:rsidRPr="00C02420">
              <w:rPr>
                <w:color w:val="000000"/>
                <w:szCs w:val="20"/>
              </w:rPr>
              <w:t>3747</w:t>
            </w:r>
          </w:p>
        </w:tc>
        <w:tc>
          <w:tcPr>
            <w:tcW w:w="761" w:type="pct"/>
            <w:vAlign w:val="bottom"/>
          </w:tcPr>
          <w:p w14:paraId="17BD9043" w14:textId="77777777" w:rsidR="007F6723" w:rsidRPr="00C02420" w:rsidRDefault="007F6723" w:rsidP="00181CF8">
            <w:pPr>
              <w:pStyle w:val="Tabletextcentred"/>
              <w:keepNext/>
              <w:jc w:val="right"/>
              <w:rPr>
                <w:szCs w:val="20"/>
              </w:rPr>
            </w:pPr>
            <w:r w:rsidRPr="00C02420">
              <w:rPr>
                <w:color w:val="000000"/>
                <w:szCs w:val="20"/>
              </w:rPr>
              <w:t>0.0478</w:t>
            </w:r>
          </w:p>
        </w:tc>
        <w:tc>
          <w:tcPr>
            <w:tcW w:w="761" w:type="pct"/>
            <w:vAlign w:val="bottom"/>
          </w:tcPr>
          <w:p w14:paraId="5E541408" w14:textId="77777777" w:rsidR="007F6723" w:rsidRPr="00C02420" w:rsidRDefault="007F6723" w:rsidP="00181CF8">
            <w:pPr>
              <w:pStyle w:val="Tabletextcentred"/>
              <w:keepNext/>
              <w:jc w:val="right"/>
              <w:rPr>
                <w:szCs w:val="20"/>
              </w:rPr>
            </w:pPr>
            <w:r w:rsidRPr="00C02420">
              <w:rPr>
                <w:color w:val="000000"/>
                <w:szCs w:val="20"/>
              </w:rPr>
              <w:t>$3.42</w:t>
            </w:r>
          </w:p>
        </w:tc>
        <w:tc>
          <w:tcPr>
            <w:tcW w:w="761" w:type="pct"/>
            <w:vAlign w:val="bottom"/>
          </w:tcPr>
          <w:p w14:paraId="5A9171DD" w14:textId="77777777" w:rsidR="007F6723" w:rsidRPr="00C02420" w:rsidRDefault="007F6723" w:rsidP="00181CF8">
            <w:pPr>
              <w:pStyle w:val="Tabletextcentred"/>
              <w:keepNext/>
              <w:jc w:val="right"/>
              <w:rPr>
                <w:szCs w:val="20"/>
              </w:rPr>
            </w:pPr>
            <w:r w:rsidRPr="00C02420">
              <w:rPr>
                <w:color w:val="000000"/>
                <w:szCs w:val="20"/>
              </w:rPr>
              <w:t>$0.16</w:t>
            </w:r>
          </w:p>
        </w:tc>
      </w:tr>
      <w:tr w:rsidR="007F6723" w14:paraId="435B7730" w14:textId="77777777" w:rsidTr="00181CF8">
        <w:tc>
          <w:tcPr>
            <w:tcW w:w="1193" w:type="pct"/>
            <w:vAlign w:val="bottom"/>
          </w:tcPr>
          <w:p w14:paraId="199DC984" w14:textId="77777777" w:rsidR="007F6723" w:rsidRPr="00C02420" w:rsidRDefault="007F6723" w:rsidP="00181CF8">
            <w:pPr>
              <w:pStyle w:val="Tabletextcentred"/>
              <w:keepNext/>
              <w:jc w:val="left"/>
              <w:rPr>
                <w:szCs w:val="20"/>
              </w:rPr>
            </w:pPr>
            <w:r w:rsidRPr="00C02420">
              <w:rPr>
                <w:color w:val="000000"/>
                <w:szCs w:val="20"/>
              </w:rPr>
              <w:t>Rivastigmine (patch)</w:t>
            </w:r>
          </w:p>
        </w:tc>
        <w:tc>
          <w:tcPr>
            <w:tcW w:w="761" w:type="pct"/>
            <w:vAlign w:val="bottom"/>
          </w:tcPr>
          <w:p w14:paraId="554880F4" w14:textId="77777777" w:rsidR="007F6723" w:rsidRPr="00C02420" w:rsidRDefault="007F6723" w:rsidP="00181CF8">
            <w:pPr>
              <w:pStyle w:val="Tabletextcentred"/>
              <w:keepNext/>
              <w:rPr>
                <w:szCs w:val="20"/>
              </w:rPr>
            </w:pPr>
            <w:r w:rsidRPr="00C02420">
              <w:rPr>
                <w:color w:val="000000"/>
                <w:szCs w:val="20"/>
              </w:rPr>
              <w:t>2551G</w:t>
            </w:r>
          </w:p>
        </w:tc>
        <w:tc>
          <w:tcPr>
            <w:tcW w:w="761" w:type="pct"/>
            <w:vAlign w:val="bottom"/>
          </w:tcPr>
          <w:p w14:paraId="5987ECBA" w14:textId="77777777" w:rsidR="007F6723" w:rsidRPr="00C02420" w:rsidRDefault="007F6723" w:rsidP="00181CF8">
            <w:pPr>
              <w:pStyle w:val="Tabletextcentred"/>
              <w:keepNext/>
              <w:jc w:val="right"/>
              <w:rPr>
                <w:szCs w:val="20"/>
              </w:rPr>
            </w:pPr>
            <w:r w:rsidRPr="00C02420">
              <w:rPr>
                <w:color w:val="000000"/>
                <w:szCs w:val="20"/>
              </w:rPr>
              <w:t>12,134</w:t>
            </w:r>
          </w:p>
        </w:tc>
        <w:tc>
          <w:tcPr>
            <w:tcW w:w="761" w:type="pct"/>
            <w:vAlign w:val="bottom"/>
          </w:tcPr>
          <w:p w14:paraId="4E917E7A" w14:textId="77777777" w:rsidR="007F6723" w:rsidRPr="00C02420" w:rsidRDefault="007F6723" w:rsidP="00181CF8">
            <w:pPr>
              <w:pStyle w:val="Tabletextcentred"/>
              <w:keepNext/>
              <w:jc w:val="right"/>
              <w:rPr>
                <w:szCs w:val="20"/>
              </w:rPr>
            </w:pPr>
            <w:r w:rsidRPr="00C02420">
              <w:rPr>
                <w:color w:val="000000"/>
                <w:szCs w:val="20"/>
              </w:rPr>
              <w:t>0.1546</w:t>
            </w:r>
          </w:p>
        </w:tc>
        <w:tc>
          <w:tcPr>
            <w:tcW w:w="761" w:type="pct"/>
            <w:vAlign w:val="bottom"/>
          </w:tcPr>
          <w:p w14:paraId="3EADDF2B" w14:textId="77777777" w:rsidR="007F6723" w:rsidRPr="00C02420" w:rsidRDefault="007F6723" w:rsidP="00181CF8">
            <w:pPr>
              <w:pStyle w:val="Tabletextcentred"/>
              <w:keepNext/>
              <w:jc w:val="right"/>
              <w:rPr>
                <w:szCs w:val="20"/>
              </w:rPr>
            </w:pPr>
            <w:r w:rsidRPr="00C02420">
              <w:rPr>
                <w:color w:val="000000"/>
                <w:szCs w:val="20"/>
              </w:rPr>
              <w:t>$3.42</w:t>
            </w:r>
          </w:p>
        </w:tc>
        <w:tc>
          <w:tcPr>
            <w:tcW w:w="761" w:type="pct"/>
            <w:vAlign w:val="bottom"/>
          </w:tcPr>
          <w:p w14:paraId="2F574E16" w14:textId="77777777" w:rsidR="007F6723" w:rsidRPr="00C02420" w:rsidRDefault="007F6723" w:rsidP="00181CF8">
            <w:pPr>
              <w:pStyle w:val="Tabletextcentred"/>
              <w:keepNext/>
              <w:jc w:val="right"/>
              <w:rPr>
                <w:szCs w:val="20"/>
              </w:rPr>
            </w:pPr>
            <w:r w:rsidRPr="00C02420">
              <w:rPr>
                <w:color w:val="000000"/>
                <w:szCs w:val="20"/>
              </w:rPr>
              <w:t>$0.53</w:t>
            </w:r>
          </w:p>
        </w:tc>
      </w:tr>
      <w:tr w:rsidR="007F6723" w14:paraId="755C2FA5" w14:textId="77777777" w:rsidTr="00181CF8">
        <w:tc>
          <w:tcPr>
            <w:tcW w:w="1193" w:type="pct"/>
            <w:vAlign w:val="bottom"/>
          </w:tcPr>
          <w:p w14:paraId="26F83412" w14:textId="77777777" w:rsidR="007F6723" w:rsidRPr="007F554C" w:rsidRDefault="007F6723" w:rsidP="00181CF8">
            <w:pPr>
              <w:pStyle w:val="Tabletextcentred"/>
              <w:keepNext/>
              <w:jc w:val="left"/>
              <w:rPr>
                <w:szCs w:val="20"/>
              </w:rPr>
            </w:pPr>
            <w:r w:rsidRPr="007F554C">
              <w:rPr>
                <w:color w:val="000000"/>
                <w:szCs w:val="20"/>
              </w:rPr>
              <w:t>Galantamine</w:t>
            </w:r>
          </w:p>
        </w:tc>
        <w:tc>
          <w:tcPr>
            <w:tcW w:w="761" w:type="pct"/>
            <w:vAlign w:val="bottom"/>
          </w:tcPr>
          <w:p w14:paraId="1AF262E5" w14:textId="77777777" w:rsidR="007F6723" w:rsidRPr="007F554C" w:rsidRDefault="007F6723" w:rsidP="00181CF8">
            <w:pPr>
              <w:pStyle w:val="Tabletextcentred"/>
              <w:keepNext/>
              <w:rPr>
                <w:szCs w:val="20"/>
              </w:rPr>
            </w:pPr>
            <w:r w:rsidRPr="007F554C">
              <w:rPr>
                <w:color w:val="000000"/>
                <w:szCs w:val="20"/>
              </w:rPr>
              <w:t>2537M</w:t>
            </w:r>
          </w:p>
        </w:tc>
        <w:tc>
          <w:tcPr>
            <w:tcW w:w="761" w:type="pct"/>
            <w:vAlign w:val="bottom"/>
          </w:tcPr>
          <w:p w14:paraId="5FC8A230" w14:textId="77777777" w:rsidR="007F6723" w:rsidRPr="00441FC5" w:rsidRDefault="007F6723" w:rsidP="00181CF8">
            <w:pPr>
              <w:pStyle w:val="Tabletextcentred"/>
              <w:keepNext/>
              <w:jc w:val="right"/>
              <w:rPr>
                <w:szCs w:val="20"/>
              </w:rPr>
            </w:pPr>
            <w:r w:rsidRPr="00441FC5">
              <w:rPr>
                <w:color w:val="000000"/>
                <w:szCs w:val="20"/>
              </w:rPr>
              <w:t>11,548</w:t>
            </w:r>
          </w:p>
        </w:tc>
        <w:tc>
          <w:tcPr>
            <w:tcW w:w="761" w:type="pct"/>
            <w:vAlign w:val="bottom"/>
          </w:tcPr>
          <w:p w14:paraId="2F02F1B7" w14:textId="77777777" w:rsidR="007F6723" w:rsidRPr="00441FC5" w:rsidRDefault="007F6723" w:rsidP="00181CF8">
            <w:pPr>
              <w:pStyle w:val="Tabletextcentred"/>
              <w:keepNext/>
              <w:jc w:val="right"/>
              <w:rPr>
                <w:szCs w:val="20"/>
              </w:rPr>
            </w:pPr>
            <w:r w:rsidRPr="00441FC5">
              <w:rPr>
                <w:color w:val="000000"/>
                <w:szCs w:val="20"/>
              </w:rPr>
              <w:t>0.1472</w:t>
            </w:r>
          </w:p>
        </w:tc>
        <w:tc>
          <w:tcPr>
            <w:tcW w:w="761" w:type="pct"/>
            <w:vAlign w:val="bottom"/>
          </w:tcPr>
          <w:p w14:paraId="1EFFD100" w14:textId="77777777" w:rsidR="007F6723" w:rsidRPr="00441FC5" w:rsidRDefault="007F6723" w:rsidP="00181CF8">
            <w:pPr>
              <w:pStyle w:val="Tabletextcentred"/>
              <w:keepNext/>
              <w:jc w:val="right"/>
              <w:rPr>
                <w:szCs w:val="20"/>
              </w:rPr>
            </w:pPr>
            <w:r w:rsidRPr="00441FC5">
              <w:rPr>
                <w:color w:val="000000"/>
                <w:szCs w:val="20"/>
              </w:rPr>
              <w:t>$1.83</w:t>
            </w:r>
          </w:p>
        </w:tc>
        <w:tc>
          <w:tcPr>
            <w:tcW w:w="761" w:type="pct"/>
            <w:vAlign w:val="bottom"/>
          </w:tcPr>
          <w:p w14:paraId="5701A678" w14:textId="77777777" w:rsidR="007F6723" w:rsidRPr="00441FC5" w:rsidRDefault="007F6723" w:rsidP="00181CF8">
            <w:pPr>
              <w:pStyle w:val="Tabletextcentred"/>
              <w:keepNext/>
              <w:jc w:val="right"/>
              <w:rPr>
                <w:szCs w:val="20"/>
              </w:rPr>
            </w:pPr>
            <w:r w:rsidRPr="00441FC5">
              <w:rPr>
                <w:color w:val="000000"/>
                <w:szCs w:val="20"/>
              </w:rPr>
              <w:t>$0.27</w:t>
            </w:r>
          </w:p>
        </w:tc>
      </w:tr>
      <w:tr w:rsidR="007F6723" w14:paraId="01F08B68" w14:textId="77777777" w:rsidTr="00181CF8">
        <w:tc>
          <w:tcPr>
            <w:tcW w:w="1193" w:type="pct"/>
            <w:tcBorders>
              <w:bottom w:val="single" w:sz="4" w:space="0" w:color="auto"/>
            </w:tcBorders>
            <w:vAlign w:val="bottom"/>
          </w:tcPr>
          <w:p w14:paraId="6C9CB5EA" w14:textId="77777777" w:rsidR="007F6723" w:rsidRPr="007F554C" w:rsidRDefault="007F6723" w:rsidP="00181CF8">
            <w:pPr>
              <w:pStyle w:val="Tabletextcentred"/>
              <w:keepNext/>
              <w:jc w:val="left"/>
              <w:rPr>
                <w:color w:val="000000"/>
                <w:szCs w:val="20"/>
              </w:rPr>
            </w:pPr>
            <w:r w:rsidRPr="007F554C">
              <w:rPr>
                <w:color w:val="000000"/>
                <w:szCs w:val="20"/>
              </w:rPr>
              <w:t>Galantamine</w:t>
            </w:r>
          </w:p>
        </w:tc>
        <w:tc>
          <w:tcPr>
            <w:tcW w:w="761" w:type="pct"/>
            <w:tcBorders>
              <w:bottom w:val="single" w:sz="4" w:space="0" w:color="auto"/>
            </w:tcBorders>
            <w:vAlign w:val="bottom"/>
          </w:tcPr>
          <w:p w14:paraId="52FBBE47" w14:textId="77777777" w:rsidR="007F6723" w:rsidRPr="007F554C" w:rsidRDefault="007F6723" w:rsidP="00181CF8">
            <w:pPr>
              <w:pStyle w:val="Tabletextcentred"/>
              <w:keepNext/>
              <w:rPr>
                <w:color w:val="000000"/>
                <w:szCs w:val="20"/>
              </w:rPr>
            </w:pPr>
            <w:r w:rsidRPr="007F554C">
              <w:rPr>
                <w:color w:val="000000"/>
                <w:szCs w:val="20"/>
              </w:rPr>
              <w:t>2531F</w:t>
            </w:r>
          </w:p>
        </w:tc>
        <w:tc>
          <w:tcPr>
            <w:tcW w:w="761" w:type="pct"/>
            <w:tcBorders>
              <w:bottom w:val="single" w:sz="4" w:space="0" w:color="auto"/>
            </w:tcBorders>
            <w:vAlign w:val="bottom"/>
          </w:tcPr>
          <w:p w14:paraId="1EBF95C4" w14:textId="77777777" w:rsidR="007F6723" w:rsidRPr="00441FC5" w:rsidRDefault="007F6723" w:rsidP="00181CF8">
            <w:pPr>
              <w:pStyle w:val="Tabletextcentred"/>
              <w:keepNext/>
              <w:jc w:val="right"/>
              <w:rPr>
                <w:color w:val="000000"/>
                <w:szCs w:val="20"/>
              </w:rPr>
            </w:pPr>
            <w:r w:rsidRPr="00441FC5">
              <w:rPr>
                <w:color w:val="000000"/>
                <w:szCs w:val="20"/>
              </w:rPr>
              <w:t>5245</w:t>
            </w:r>
          </w:p>
        </w:tc>
        <w:tc>
          <w:tcPr>
            <w:tcW w:w="761" w:type="pct"/>
            <w:tcBorders>
              <w:bottom w:val="single" w:sz="4" w:space="0" w:color="auto"/>
            </w:tcBorders>
            <w:vAlign w:val="bottom"/>
          </w:tcPr>
          <w:p w14:paraId="36E1503A" w14:textId="77777777" w:rsidR="007F6723" w:rsidRPr="00441FC5" w:rsidRDefault="007F6723" w:rsidP="00181CF8">
            <w:pPr>
              <w:pStyle w:val="Tabletextcentred"/>
              <w:keepNext/>
              <w:jc w:val="right"/>
              <w:rPr>
                <w:color w:val="000000"/>
                <w:szCs w:val="20"/>
              </w:rPr>
            </w:pPr>
            <w:r w:rsidRPr="00441FC5">
              <w:rPr>
                <w:color w:val="000000"/>
                <w:szCs w:val="20"/>
              </w:rPr>
              <w:t>0.0668</w:t>
            </w:r>
          </w:p>
        </w:tc>
        <w:tc>
          <w:tcPr>
            <w:tcW w:w="761" w:type="pct"/>
            <w:tcBorders>
              <w:bottom w:val="single" w:sz="4" w:space="0" w:color="auto"/>
            </w:tcBorders>
            <w:vAlign w:val="bottom"/>
          </w:tcPr>
          <w:p w14:paraId="7CCF9A9B" w14:textId="77777777" w:rsidR="007F6723" w:rsidRPr="00441FC5" w:rsidRDefault="007F6723" w:rsidP="00181CF8">
            <w:pPr>
              <w:pStyle w:val="Tabletextcentred"/>
              <w:keepNext/>
              <w:jc w:val="right"/>
              <w:rPr>
                <w:color w:val="000000"/>
                <w:szCs w:val="20"/>
              </w:rPr>
            </w:pPr>
            <w:r w:rsidRPr="00441FC5">
              <w:rPr>
                <w:color w:val="000000"/>
                <w:szCs w:val="20"/>
              </w:rPr>
              <w:t>$2.11</w:t>
            </w:r>
          </w:p>
        </w:tc>
        <w:tc>
          <w:tcPr>
            <w:tcW w:w="761" w:type="pct"/>
            <w:tcBorders>
              <w:bottom w:val="single" w:sz="4" w:space="0" w:color="auto"/>
            </w:tcBorders>
            <w:vAlign w:val="bottom"/>
          </w:tcPr>
          <w:p w14:paraId="436B2ED5" w14:textId="77777777" w:rsidR="007F6723" w:rsidRPr="00441FC5" w:rsidRDefault="007F6723" w:rsidP="00181CF8">
            <w:pPr>
              <w:pStyle w:val="Tabletextcentred"/>
              <w:keepNext/>
              <w:jc w:val="right"/>
              <w:rPr>
                <w:color w:val="000000"/>
                <w:szCs w:val="20"/>
              </w:rPr>
            </w:pPr>
            <w:r w:rsidRPr="00441FC5">
              <w:rPr>
                <w:color w:val="000000"/>
                <w:szCs w:val="20"/>
              </w:rPr>
              <w:t>$0.14</w:t>
            </w:r>
          </w:p>
        </w:tc>
      </w:tr>
      <w:tr w:rsidR="007F6723" w:rsidRPr="001C238F" w14:paraId="460855E1" w14:textId="77777777" w:rsidTr="00181CF8">
        <w:tc>
          <w:tcPr>
            <w:tcW w:w="1193" w:type="pct"/>
            <w:tcBorders>
              <w:bottom w:val="single" w:sz="4" w:space="0" w:color="auto"/>
            </w:tcBorders>
            <w:vAlign w:val="bottom"/>
          </w:tcPr>
          <w:p w14:paraId="0420C916" w14:textId="77777777" w:rsidR="007F6723" w:rsidRPr="001C238F" w:rsidRDefault="007F6723" w:rsidP="00181CF8">
            <w:pPr>
              <w:pStyle w:val="Tabletextcentred"/>
              <w:keepNext/>
              <w:jc w:val="left"/>
              <w:rPr>
                <w:b/>
                <w:color w:val="000000"/>
                <w:szCs w:val="20"/>
              </w:rPr>
            </w:pPr>
            <w:r w:rsidRPr="001C238F">
              <w:rPr>
                <w:b/>
                <w:color w:val="000000"/>
                <w:szCs w:val="20"/>
              </w:rPr>
              <w:t>Total</w:t>
            </w:r>
          </w:p>
        </w:tc>
        <w:tc>
          <w:tcPr>
            <w:tcW w:w="761" w:type="pct"/>
            <w:tcBorders>
              <w:bottom w:val="single" w:sz="4" w:space="0" w:color="auto"/>
            </w:tcBorders>
            <w:vAlign w:val="bottom"/>
          </w:tcPr>
          <w:p w14:paraId="78CEFC3A" w14:textId="77777777" w:rsidR="007F6723" w:rsidRPr="001C238F" w:rsidRDefault="007F6723" w:rsidP="00181CF8">
            <w:pPr>
              <w:pStyle w:val="Tabletextcentred"/>
              <w:keepNext/>
              <w:rPr>
                <w:b/>
                <w:color w:val="000000"/>
                <w:szCs w:val="20"/>
              </w:rPr>
            </w:pPr>
          </w:p>
        </w:tc>
        <w:tc>
          <w:tcPr>
            <w:tcW w:w="761" w:type="pct"/>
            <w:tcBorders>
              <w:bottom w:val="single" w:sz="4" w:space="0" w:color="auto"/>
            </w:tcBorders>
            <w:vAlign w:val="bottom"/>
          </w:tcPr>
          <w:p w14:paraId="37AF267C" w14:textId="77777777" w:rsidR="007F6723" w:rsidRPr="001C238F" w:rsidRDefault="007F6723" w:rsidP="00181CF8">
            <w:pPr>
              <w:pStyle w:val="Tabletextcentred"/>
              <w:keepNext/>
              <w:jc w:val="right"/>
              <w:rPr>
                <w:b/>
                <w:color w:val="000000"/>
                <w:szCs w:val="20"/>
              </w:rPr>
            </w:pPr>
            <w:r w:rsidRPr="001C238F">
              <w:rPr>
                <w:b/>
                <w:color w:val="000000"/>
                <w:szCs w:val="20"/>
              </w:rPr>
              <w:t>78,470</w:t>
            </w:r>
          </w:p>
        </w:tc>
        <w:tc>
          <w:tcPr>
            <w:tcW w:w="761" w:type="pct"/>
            <w:tcBorders>
              <w:bottom w:val="single" w:sz="4" w:space="0" w:color="auto"/>
            </w:tcBorders>
            <w:vAlign w:val="bottom"/>
          </w:tcPr>
          <w:p w14:paraId="5564437B" w14:textId="77777777" w:rsidR="007F6723" w:rsidRPr="001C238F" w:rsidRDefault="007F6723" w:rsidP="00181CF8">
            <w:pPr>
              <w:pStyle w:val="Tabletextcentred"/>
              <w:keepNext/>
              <w:jc w:val="right"/>
              <w:rPr>
                <w:b/>
                <w:color w:val="000000"/>
                <w:szCs w:val="20"/>
              </w:rPr>
            </w:pPr>
            <w:r w:rsidRPr="001C238F">
              <w:rPr>
                <w:b/>
                <w:color w:val="000000"/>
                <w:szCs w:val="20"/>
              </w:rPr>
              <w:t>1.0000</w:t>
            </w:r>
          </w:p>
        </w:tc>
        <w:tc>
          <w:tcPr>
            <w:tcW w:w="761" w:type="pct"/>
            <w:tcBorders>
              <w:bottom w:val="single" w:sz="4" w:space="0" w:color="auto"/>
            </w:tcBorders>
            <w:vAlign w:val="bottom"/>
          </w:tcPr>
          <w:p w14:paraId="027D96C3" w14:textId="77777777" w:rsidR="007F6723" w:rsidRPr="001C238F" w:rsidRDefault="007F6723" w:rsidP="00181CF8">
            <w:pPr>
              <w:pStyle w:val="Tabletextcentred"/>
              <w:keepNext/>
              <w:jc w:val="right"/>
              <w:rPr>
                <w:b/>
                <w:color w:val="000000"/>
                <w:szCs w:val="20"/>
              </w:rPr>
            </w:pPr>
          </w:p>
        </w:tc>
        <w:tc>
          <w:tcPr>
            <w:tcW w:w="761" w:type="pct"/>
            <w:tcBorders>
              <w:bottom w:val="single" w:sz="4" w:space="0" w:color="auto"/>
            </w:tcBorders>
            <w:vAlign w:val="bottom"/>
          </w:tcPr>
          <w:p w14:paraId="270D587C" w14:textId="77777777" w:rsidR="007F6723" w:rsidRPr="001C238F" w:rsidRDefault="007F6723" w:rsidP="00181CF8">
            <w:pPr>
              <w:pStyle w:val="Tabletextcentred"/>
              <w:keepNext/>
              <w:jc w:val="right"/>
              <w:rPr>
                <w:b/>
                <w:color w:val="000000"/>
                <w:szCs w:val="20"/>
              </w:rPr>
            </w:pPr>
            <w:r w:rsidRPr="001C238F">
              <w:rPr>
                <w:b/>
                <w:color w:val="000000"/>
                <w:szCs w:val="20"/>
              </w:rPr>
              <w:t>$1.95</w:t>
            </w:r>
          </w:p>
        </w:tc>
      </w:tr>
    </w:tbl>
    <w:p w14:paraId="48D3787F" w14:textId="7708B335" w:rsidR="007F6723" w:rsidRDefault="007F6723" w:rsidP="007F6723">
      <w:pPr>
        <w:pStyle w:val="Tablefootnotes"/>
        <w:keepNext/>
      </w:pPr>
      <w:r>
        <w:t>Source: Pharmaceutical Benefits Schedule (</w:t>
      </w:r>
      <w:hyperlink r:id="rId30" w:history="1">
        <w:r w:rsidR="004A62A8">
          <w:rPr>
            <w:rStyle w:val="Hyperlink"/>
          </w:rPr>
          <w:t>PBS website</w:t>
        </w:r>
      </w:hyperlink>
      <w:r>
        <w:t>, accessed November 24, 2014) and Medicare Australia PBS Item and Group reports (</w:t>
      </w:r>
      <w:hyperlink r:id="rId31" w:history="1">
        <w:r w:rsidR="004A62A8">
          <w:rPr>
            <w:rStyle w:val="Hyperlink"/>
          </w:rPr>
          <w:t>Medicare Australia provider PBS Stats</w:t>
        </w:r>
      </w:hyperlink>
      <w:r>
        <w:t>, accessed November 24, 2014)</w:t>
      </w:r>
    </w:p>
    <w:p w14:paraId="73C27F38" w14:textId="77777777" w:rsidR="007F6723" w:rsidRDefault="007F6723" w:rsidP="00903AED">
      <w:pPr>
        <w:pStyle w:val="Tablefootnotes"/>
      </w:pPr>
      <w:r w:rsidRPr="00F94D4D">
        <w:t>Abbreviations</w:t>
      </w:r>
      <w:r>
        <w:t>: AChEIs, acetylcholinesterase inhibitors; mg, milligram; PBS, Pharmaceutical Benefits Schedule</w:t>
      </w:r>
    </w:p>
    <w:p w14:paraId="07977471" w14:textId="77777777" w:rsidR="007F6723" w:rsidRDefault="007F6723" w:rsidP="00903AED">
      <w:pPr>
        <w:keepNext/>
      </w:pPr>
      <w:r>
        <w:lastRenderedPageBreak/>
        <w:t xml:space="preserve">The calculated average daily treatment cost of memantine use is presented in </w:t>
      </w:r>
      <w:r>
        <w:fldChar w:fldCharType="begin"/>
      </w:r>
      <w:r>
        <w:instrText xml:space="preserve"> REF _Ref278633798 \h </w:instrText>
      </w:r>
      <w:r>
        <w:fldChar w:fldCharType="separate"/>
      </w:r>
      <w:r w:rsidR="00C67698">
        <w:t xml:space="preserve">Table </w:t>
      </w:r>
      <w:r w:rsidR="00C67698">
        <w:rPr>
          <w:noProof/>
        </w:rPr>
        <w:t>C.7</w:t>
      </w:r>
      <w:r w:rsidR="00C67698">
        <w:noBreakHyphen/>
      </w:r>
      <w:r w:rsidR="00C67698">
        <w:rPr>
          <w:noProof/>
        </w:rPr>
        <w:t>3</w:t>
      </w:r>
      <w:r>
        <w:fldChar w:fldCharType="end"/>
      </w:r>
      <w:r>
        <w:t xml:space="preserve">. </w:t>
      </w:r>
    </w:p>
    <w:p w14:paraId="585AD882" w14:textId="690142AF" w:rsidR="007F6723" w:rsidRDefault="007F6723" w:rsidP="007F6723">
      <w:pPr>
        <w:pStyle w:val="Caption"/>
      </w:pPr>
      <w:bookmarkStart w:id="191" w:name="_Ref278633798"/>
      <w:bookmarkStart w:id="192" w:name="_Toc406172479"/>
      <w:bookmarkStart w:id="193" w:name="_Toc408845233"/>
      <w:r>
        <w:t xml:space="preserve">Table </w:t>
      </w:r>
      <w:fldSimple w:instr=" STYLEREF 2 \s ">
        <w:r w:rsidR="00C67698">
          <w:rPr>
            <w:noProof/>
          </w:rPr>
          <w:t>C.7</w:t>
        </w:r>
      </w:fldSimple>
      <w:r w:rsidR="00524916">
        <w:noBreakHyphen/>
      </w:r>
      <w:fldSimple w:instr=" SEQ Table \* ARABIC \s 2 ">
        <w:r w:rsidR="00C67698">
          <w:rPr>
            <w:noProof/>
          </w:rPr>
          <w:t>3</w:t>
        </w:r>
      </w:fldSimple>
      <w:bookmarkEnd w:id="191"/>
      <w:r>
        <w:tab/>
        <w:t>Calculated daily treatment cost of memantine</w:t>
      </w:r>
      <w:bookmarkEnd w:id="192"/>
      <w:bookmarkEnd w:id="193"/>
    </w:p>
    <w:tbl>
      <w:tblPr>
        <w:tblStyle w:val="TableGrid"/>
        <w:tblW w:w="4610" w:type="pct"/>
        <w:tblInd w:w="704" w:type="dxa"/>
        <w:tblLook w:val="04A0" w:firstRow="1" w:lastRow="0" w:firstColumn="1" w:lastColumn="0" w:noHBand="0" w:noVBand="1"/>
        <w:tblCaption w:val="Calculated daily treatment cost of memantine"/>
        <w:tblDescription w:val="PBS data showing daily treatment costs including number of milligrams per administration, dose per day, and cost per day."/>
      </w:tblPr>
      <w:tblGrid>
        <w:gridCol w:w="1052"/>
        <w:gridCol w:w="866"/>
        <w:gridCol w:w="1380"/>
        <w:gridCol w:w="978"/>
        <w:gridCol w:w="876"/>
        <w:gridCol w:w="803"/>
        <w:gridCol w:w="856"/>
        <w:gridCol w:w="854"/>
        <w:gridCol w:w="856"/>
      </w:tblGrid>
      <w:tr w:rsidR="007F6723" w14:paraId="659C4EAE" w14:textId="77777777" w:rsidTr="00181CF8">
        <w:trPr>
          <w:tblHeader/>
        </w:trPr>
        <w:tc>
          <w:tcPr>
            <w:tcW w:w="618" w:type="pct"/>
            <w:tcBorders>
              <w:bottom w:val="single" w:sz="4" w:space="0" w:color="auto"/>
            </w:tcBorders>
          </w:tcPr>
          <w:p w14:paraId="3030DBAE" w14:textId="77777777" w:rsidR="007F6723" w:rsidRDefault="007F6723" w:rsidP="00181CF8">
            <w:pPr>
              <w:pStyle w:val="Tabletextboldleft"/>
            </w:pPr>
            <w:r>
              <w:t>Drug</w:t>
            </w:r>
          </w:p>
        </w:tc>
        <w:tc>
          <w:tcPr>
            <w:tcW w:w="508" w:type="pct"/>
            <w:tcBorders>
              <w:bottom w:val="single" w:sz="4" w:space="0" w:color="auto"/>
            </w:tcBorders>
          </w:tcPr>
          <w:p w14:paraId="5D685DA1" w14:textId="77777777" w:rsidR="007F6723" w:rsidRDefault="007F6723" w:rsidP="00181CF8">
            <w:pPr>
              <w:pStyle w:val="Tabletextboldleft"/>
              <w:jc w:val="right"/>
            </w:pPr>
            <w:r>
              <w:t>PBS Item number</w:t>
            </w:r>
          </w:p>
        </w:tc>
        <w:tc>
          <w:tcPr>
            <w:tcW w:w="810" w:type="pct"/>
            <w:tcBorders>
              <w:bottom w:val="single" w:sz="4" w:space="0" w:color="auto"/>
            </w:tcBorders>
          </w:tcPr>
          <w:p w14:paraId="07DCC4E8" w14:textId="77777777" w:rsidR="007F6723" w:rsidRDefault="007F6723" w:rsidP="00181CF8">
            <w:pPr>
              <w:pStyle w:val="Tabletextboldleft"/>
              <w:jc w:val="right"/>
            </w:pPr>
            <w:r>
              <w:t>mg per administration</w:t>
            </w:r>
          </w:p>
        </w:tc>
        <w:tc>
          <w:tcPr>
            <w:tcW w:w="574" w:type="pct"/>
            <w:tcBorders>
              <w:bottom w:val="single" w:sz="4" w:space="0" w:color="auto"/>
            </w:tcBorders>
          </w:tcPr>
          <w:p w14:paraId="3B7A9C79" w14:textId="77777777" w:rsidR="007F6723" w:rsidRDefault="007F6723" w:rsidP="00181CF8">
            <w:pPr>
              <w:pStyle w:val="Tabletextboldleft"/>
              <w:jc w:val="right"/>
            </w:pPr>
            <w:r>
              <w:t>Assumed dose per day</w:t>
            </w:r>
          </w:p>
        </w:tc>
        <w:tc>
          <w:tcPr>
            <w:tcW w:w="514" w:type="pct"/>
            <w:tcBorders>
              <w:bottom w:val="single" w:sz="4" w:space="0" w:color="auto"/>
            </w:tcBorders>
          </w:tcPr>
          <w:p w14:paraId="69D19D87" w14:textId="77777777" w:rsidR="007F6723" w:rsidRDefault="007F6723" w:rsidP="00181CF8">
            <w:pPr>
              <w:pStyle w:val="Tabletextboldleft"/>
              <w:jc w:val="right"/>
            </w:pPr>
            <w:r>
              <w:t>Max quantity</w:t>
            </w:r>
          </w:p>
        </w:tc>
        <w:tc>
          <w:tcPr>
            <w:tcW w:w="471" w:type="pct"/>
            <w:tcBorders>
              <w:bottom w:val="single" w:sz="4" w:space="0" w:color="auto"/>
            </w:tcBorders>
          </w:tcPr>
          <w:p w14:paraId="29954080" w14:textId="77777777" w:rsidR="007F6723" w:rsidRDefault="007F6723" w:rsidP="00181CF8">
            <w:pPr>
              <w:pStyle w:val="Tabletextboldleft"/>
              <w:jc w:val="right"/>
            </w:pPr>
            <w:r>
              <w:t>mg per pack</w:t>
            </w:r>
          </w:p>
        </w:tc>
        <w:tc>
          <w:tcPr>
            <w:tcW w:w="502" w:type="pct"/>
            <w:tcBorders>
              <w:bottom w:val="single" w:sz="4" w:space="0" w:color="auto"/>
            </w:tcBorders>
          </w:tcPr>
          <w:p w14:paraId="5DD83D06" w14:textId="77777777" w:rsidR="007F6723" w:rsidRDefault="007F6723" w:rsidP="00181CF8">
            <w:pPr>
              <w:pStyle w:val="Tabletextboldleft"/>
              <w:jc w:val="right"/>
            </w:pPr>
            <w:r>
              <w:t>DPMQ</w:t>
            </w:r>
          </w:p>
        </w:tc>
        <w:tc>
          <w:tcPr>
            <w:tcW w:w="501" w:type="pct"/>
            <w:tcBorders>
              <w:bottom w:val="single" w:sz="4" w:space="0" w:color="auto"/>
            </w:tcBorders>
          </w:tcPr>
          <w:p w14:paraId="4BA9F6CE" w14:textId="77777777" w:rsidR="007F6723" w:rsidRDefault="007F6723" w:rsidP="00181CF8">
            <w:pPr>
              <w:pStyle w:val="Tabletextboldleft"/>
              <w:jc w:val="right"/>
            </w:pPr>
            <w:r>
              <w:t>Price per mg</w:t>
            </w:r>
          </w:p>
        </w:tc>
        <w:tc>
          <w:tcPr>
            <w:tcW w:w="502" w:type="pct"/>
            <w:tcBorders>
              <w:bottom w:val="single" w:sz="4" w:space="0" w:color="auto"/>
            </w:tcBorders>
          </w:tcPr>
          <w:p w14:paraId="526E1EB1" w14:textId="77777777" w:rsidR="007F6723" w:rsidRDefault="007F6723" w:rsidP="00181CF8">
            <w:pPr>
              <w:pStyle w:val="Tabletextboldleft"/>
              <w:jc w:val="right"/>
            </w:pPr>
            <w:r>
              <w:t>Cost per day</w:t>
            </w:r>
          </w:p>
        </w:tc>
      </w:tr>
      <w:tr w:rsidR="007F6723" w14:paraId="38471A6A" w14:textId="77777777" w:rsidTr="00181CF8">
        <w:tc>
          <w:tcPr>
            <w:tcW w:w="618" w:type="pct"/>
            <w:tcBorders>
              <w:bottom w:val="single" w:sz="4" w:space="0" w:color="auto"/>
            </w:tcBorders>
            <w:vAlign w:val="bottom"/>
          </w:tcPr>
          <w:p w14:paraId="38835602" w14:textId="77777777" w:rsidR="007F6723" w:rsidRPr="007F554C" w:rsidRDefault="007F6723" w:rsidP="00181CF8">
            <w:pPr>
              <w:pStyle w:val="Tabletextcentred"/>
              <w:jc w:val="left"/>
              <w:rPr>
                <w:szCs w:val="20"/>
              </w:rPr>
            </w:pPr>
            <w:r>
              <w:rPr>
                <w:color w:val="000000"/>
                <w:szCs w:val="20"/>
              </w:rPr>
              <w:t>Memantine</w:t>
            </w:r>
          </w:p>
        </w:tc>
        <w:tc>
          <w:tcPr>
            <w:tcW w:w="508" w:type="pct"/>
            <w:tcBorders>
              <w:bottom w:val="single" w:sz="4" w:space="0" w:color="auto"/>
            </w:tcBorders>
            <w:vAlign w:val="bottom"/>
          </w:tcPr>
          <w:p w14:paraId="21875AAD" w14:textId="77777777" w:rsidR="007F6723" w:rsidRPr="007F554C" w:rsidRDefault="007F6723" w:rsidP="00181CF8">
            <w:pPr>
              <w:pStyle w:val="Tabletextcentred"/>
              <w:jc w:val="right"/>
              <w:rPr>
                <w:szCs w:val="20"/>
              </w:rPr>
            </w:pPr>
            <w:r>
              <w:rPr>
                <w:color w:val="000000"/>
                <w:szCs w:val="20"/>
              </w:rPr>
              <w:t>2513G</w:t>
            </w:r>
          </w:p>
        </w:tc>
        <w:tc>
          <w:tcPr>
            <w:tcW w:w="810" w:type="pct"/>
            <w:tcBorders>
              <w:bottom w:val="single" w:sz="4" w:space="0" w:color="auto"/>
            </w:tcBorders>
            <w:vAlign w:val="bottom"/>
          </w:tcPr>
          <w:p w14:paraId="60AE716B" w14:textId="77777777" w:rsidR="007F6723" w:rsidRPr="007F554C" w:rsidRDefault="007F6723" w:rsidP="00181CF8">
            <w:pPr>
              <w:pStyle w:val="Tabletextcentred"/>
              <w:jc w:val="right"/>
              <w:rPr>
                <w:szCs w:val="20"/>
              </w:rPr>
            </w:pPr>
            <w:r>
              <w:rPr>
                <w:color w:val="000000"/>
                <w:szCs w:val="20"/>
              </w:rPr>
              <w:t>20</w:t>
            </w:r>
          </w:p>
        </w:tc>
        <w:tc>
          <w:tcPr>
            <w:tcW w:w="574" w:type="pct"/>
            <w:tcBorders>
              <w:bottom w:val="single" w:sz="4" w:space="0" w:color="auto"/>
            </w:tcBorders>
            <w:vAlign w:val="bottom"/>
          </w:tcPr>
          <w:p w14:paraId="1F41F628" w14:textId="77777777" w:rsidR="007F6723" w:rsidRPr="007F554C" w:rsidRDefault="007F6723" w:rsidP="00181CF8">
            <w:pPr>
              <w:pStyle w:val="Tabletextcentred"/>
              <w:jc w:val="right"/>
              <w:rPr>
                <w:szCs w:val="20"/>
              </w:rPr>
            </w:pPr>
            <w:r>
              <w:rPr>
                <w:color w:val="000000"/>
                <w:szCs w:val="20"/>
              </w:rPr>
              <w:t>20</w:t>
            </w:r>
          </w:p>
        </w:tc>
        <w:tc>
          <w:tcPr>
            <w:tcW w:w="514" w:type="pct"/>
            <w:tcBorders>
              <w:bottom w:val="single" w:sz="4" w:space="0" w:color="auto"/>
            </w:tcBorders>
            <w:vAlign w:val="bottom"/>
          </w:tcPr>
          <w:p w14:paraId="408D1FAB" w14:textId="77777777" w:rsidR="007F6723" w:rsidRPr="007F554C" w:rsidRDefault="007F6723" w:rsidP="00181CF8">
            <w:pPr>
              <w:pStyle w:val="Tabletextcentred"/>
              <w:jc w:val="right"/>
              <w:rPr>
                <w:szCs w:val="20"/>
              </w:rPr>
            </w:pPr>
            <w:r w:rsidRPr="007F554C">
              <w:rPr>
                <w:color w:val="000000"/>
                <w:szCs w:val="20"/>
              </w:rPr>
              <w:t>28</w:t>
            </w:r>
          </w:p>
        </w:tc>
        <w:tc>
          <w:tcPr>
            <w:tcW w:w="471" w:type="pct"/>
            <w:tcBorders>
              <w:bottom w:val="single" w:sz="4" w:space="0" w:color="auto"/>
            </w:tcBorders>
            <w:vAlign w:val="bottom"/>
          </w:tcPr>
          <w:p w14:paraId="0104B360" w14:textId="77777777" w:rsidR="007F6723" w:rsidRPr="007F554C" w:rsidRDefault="007F6723" w:rsidP="00181CF8">
            <w:pPr>
              <w:pStyle w:val="Tabletextcentred"/>
              <w:jc w:val="right"/>
              <w:rPr>
                <w:szCs w:val="20"/>
              </w:rPr>
            </w:pPr>
            <w:r>
              <w:rPr>
                <w:color w:val="000000"/>
                <w:szCs w:val="20"/>
              </w:rPr>
              <w:t>560</w:t>
            </w:r>
          </w:p>
        </w:tc>
        <w:tc>
          <w:tcPr>
            <w:tcW w:w="502" w:type="pct"/>
            <w:tcBorders>
              <w:bottom w:val="single" w:sz="4" w:space="0" w:color="auto"/>
            </w:tcBorders>
            <w:vAlign w:val="bottom"/>
          </w:tcPr>
          <w:p w14:paraId="2C620B98" w14:textId="77777777" w:rsidR="007F6723" w:rsidRPr="007F554C" w:rsidRDefault="007F6723" w:rsidP="00181CF8">
            <w:pPr>
              <w:pStyle w:val="Tabletextcentred"/>
              <w:jc w:val="right"/>
              <w:rPr>
                <w:szCs w:val="20"/>
              </w:rPr>
            </w:pPr>
            <w:r>
              <w:rPr>
                <w:color w:val="000000"/>
                <w:szCs w:val="20"/>
              </w:rPr>
              <w:t>$67.08</w:t>
            </w:r>
          </w:p>
        </w:tc>
        <w:tc>
          <w:tcPr>
            <w:tcW w:w="501" w:type="pct"/>
            <w:tcBorders>
              <w:bottom w:val="single" w:sz="4" w:space="0" w:color="auto"/>
            </w:tcBorders>
            <w:vAlign w:val="bottom"/>
          </w:tcPr>
          <w:p w14:paraId="48639605" w14:textId="77777777" w:rsidR="007F6723" w:rsidRPr="007F554C" w:rsidRDefault="007F6723" w:rsidP="00181CF8">
            <w:pPr>
              <w:pStyle w:val="Tabletextcentred"/>
              <w:jc w:val="right"/>
              <w:rPr>
                <w:szCs w:val="20"/>
              </w:rPr>
            </w:pPr>
            <w:r>
              <w:rPr>
                <w:color w:val="000000"/>
                <w:szCs w:val="20"/>
              </w:rPr>
              <w:t>$0.12</w:t>
            </w:r>
          </w:p>
        </w:tc>
        <w:tc>
          <w:tcPr>
            <w:tcW w:w="502" w:type="pct"/>
            <w:tcBorders>
              <w:bottom w:val="single" w:sz="4" w:space="0" w:color="auto"/>
            </w:tcBorders>
            <w:vAlign w:val="bottom"/>
          </w:tcPr>
          <w:p w14:paraId="2F7F0DF4" w14:textId="77777777" w:rsidR="007F6723" w:rsidRPr="007F554C" w:rsidRDefault="007F6723" w:rsidP="00181CF8">
            <w:pPr>
              <w:pStyle w:val="Tabletextcentred"/>
              <w:jc w:val="right"/>
              <w:rPr>
                <w:szCs w:val="20"/>
              </w:rPr>
            </w:pPr>
            <w:r>
              <w:rPr>
                <w:color w:val="000000"/>
                <w:szCs w:val="20"/>
              </w:rPr>
              <w:t>$2.40</w:t>
            </w:r>
          </w:p>
        </w:tc>
      </w:tr>
    </w:tbl>
    <w:p w14:paraId="1ACD2702" w14:textId="153646DD" w:rsidR="007F6723" w:rsidRPr="009D4F16" w:rsidRDefault="007F6723" w:rsidP="007F6723">
      <w:pPr>
        <w:pStyle w:val="Tablefootnotes"/>
      </w:pPr>
      <w:r>
        <w:t>Source: Pharmaceutical Benefits Schedule (</w:t>
      </w:r>
      <w:hyperlink r:id="rId32" w:tooltip="Link to the Department of Health Pharmaceutical Benefits Schedule website." w:history="1">
        <w:r w:rsidRPr="00DD7D6E">
          <w:rPr>
            <w:rStyle w:val="Hyperlink"/>
          </w:rPr>
          <w:t>www.pbs.gov.au</w:t>
        </w:r>
      </w:hyperlink>
      <w:r>
        <w:t>, accessed November 24, 2014)</w:t>
      </w:r>
    </w:p>
    <w:p w14:paraId="4B5E2AAD" w14:textId="77777777" w:rsidR="007F6723" w:rsidRDefault="007F6723" w:rsidP="007F6723">
      <w:pPr>
        <w:pStyle w:val="Tablefootnotes"/>
      </w:pPr>
      <w:r w:rsidRPr="00F94D4D">
        <w:t>Abbreviations</w:t>
      </w:r>
      <w:r>
        <w:t>: DPMQ, dispensed price per maximum quantity; mg, milligram; PBS, Pharmaceutical Benefits Schedule</w:t>
      </w:r>
    </w:p>
    <w:p w14:paraId="76981C77" w14:textId="77777777" w:rsidR="007F6723" w:rsidRDefault="007F6723" w:rsidP="007F6723">
      <w:pPr>
        <w:pStyle w:val="Heading3"/>
      </w:pPr>
      <w:r>
        <w:t>Relationship of the pre-modelling study to the economic evaluation</w:t>
      </w:r>
    </w:p>
    <w:p w14:paraId="4488F778" w14:textId="3228D5B7" w:rsidR="007F6723" w:rsidRPr="00021656" w:rsidRDefault="007F6723" w:rsidP="007F6723">
      <w:r>
        <w:t xml:space="preserve">The weighted average cost of $1.93 per day for AChEIs from </w:t>
      </w:r>
      <w:r>
        <w:fldChar w:fldCharType="begin"/>
      </w:r>
      <w:r>
        <w:instrText xml:space="preserve"> REF _Ref278633526 \h </w:instrText>
      </w:r>
      <w:r>
        <w:fldChar w:fldCharType="separate"/>
      </w:r>
      <w:r w:rsidR="00C67698">
        <w:t xml:space="preserve">Table </w:t>
      </w:r>
      <w:r w:rsidR="00C67698">
        <w:rPr>
          <w:noProof/>
        </w:rPr>
        <w:t>C.7</w:t>
      </w:r>
      <w:r w:rsidR="00C67698">
        <w:noBreakHyphen/>
      </w:r>
      <w:r w:rsidR="00C67698">
        <w:rPr>
          <w:noProof/>
        </w:rPr>
        <w:t>2</w:t>
      </w:r>
      <w:r>
        <w:fldChar w:fldCharType="end"/>
      </w:r>
      <w:r>
        <w:t xml:space="preserve"> is applied to individuals with mild AD in </w:t>
      </w:r>
      <w:r w:rsidRPr="00021656">
        <w:t xml:space="preserve">the economic model who are receiving treatment. The cost per day </w:t>
      </w:r>
      <w:r w:rsidR="007C77F5">
        <w:t xml:space="preserve">of memantine </w:t>
      </w:r>
      <w:r w:rsidRPr="00021656">
        <w:t xml:space="preserve">presented in </w:t>
      </w:r>
      <w:r w:rsidRPr="00021656">
        <w:fldChar w:fldCharType="begin"/>
      </w:r>
      <w:r w:rsidRPr="00021656">
        <w:instrText xml:space="preserve"> REF _Ref278633798 \h </w:instrText>
      </w:r>
      <w:r w:rsidRPr="00021656">
        <w:fldChar w:fldCharType="separate"/>
      </w:r>
      <w:r w:rsidR="00C67698">
        <w:t xml:space="preserve">Table </w:t>
      </w:r>
      <w:r w:rsidR="00C67698">
        <w:rPr>
          <w:noProof/>
        </w:rPr>
        <w:t>C.7</w:t>
      </w:r>
      <w:r w:rsidR="00C67698">
        <w:noBreakHyphen/>
      </w:r>
      <w:r w:rsidR="00C67698">
        <w:rPr>
          <w:noProof/>
        </w:rPr>
        <w:t>3</w:t>
      </w:r>
      <w:r w:rsidRPr="00021656">
        <w:fldChar w:fldCharType="end"/>
      </w:r>
      <w:r w:rsidRPr="00021656">
        <w:t xml:space="preserve"> is applied to treated patients in the moderate AD health states, as described above. Individuals not receiving treatment are not subject to either of these costs.</w:t>
      </w:r>
    </w:p>
    <w:p w14:paraId="558A8258" w14:textId="77777777" w:rsidR="007F6723" w:rsidRDefault="007F6723" w:rsidP="007F6723">
      <w:r w:rsidRPr="00021656">
        <w:t>The impact of these calculated costs is considered in the sensitivity analyses presented in Section D.6.</w:t>
      </w:r>
    </w:p>
    <w:p w14:paraId="3DB75C4F" w14:textId="77777777" w:rsidR="007F6723" w:rsidRDefault="007F6723" w:rsidP="007F6723">
      <w:pPr>
        <w:pStyle w:val="Heading2"/>
      </w:pPr>
      <w:bookmarkStart w:id="194" w:name="_Ref278641170"/>
      <w:bookmarkStart w:id="195" w:name="_Toc406172432"/>
      <w:bookmarkStart w:id="196" w:name="_Toc408845176"/>
      <w:r>
        <w:t>Issue 7: Costs associated with residential status of individuals with Alzheimer’s disease</w:t>
      </w:r>
      <w:bookmarkEnd w:id="194"/>
      <w:bookmarkEnd w:id="195"/>
      <w:bookmarkEnd w:id="196"/>
    </w:p>
    <w:p w14:paraId="3E5D2395" w14:textId="77777777" w:rsidR="007F6723" w:rsidRPr="007562E8" w:rsidRDefault="007F6723" w:rsidP="007F6723">
      <w:r>
        <w:t xml:space="preserve">In addition to the drug treatment costs discussed in Section </w:t>
      </w:r>
      <w:r>
        <w:fldChar w:fldCharType="begin"/>
      </w:r>
      <w:r>
        <w:instrText xml:space="preserve"> REF _Ref278641068 \r \h </w:instrText>
      </w:r>
      <w:r>
        <w:fldChar w:fldCharType="separate"/>
      </w:r>
      <w:r w:rsidR="00C67698">
        <w:t>C.7</w:t>
      </w:r>
      <w:r>
        <w:fldChar w:fldCharType="end"/>
      </w:r>
      <w:r>
        <w:t>, individuals with AD are expected to accrue other costs related to healthcare resources consumed due to their AD. Such costs are potentially large, particularly in later disease stages, and so reliable estimates were necessary to ensure the incremental cost-effectiveness of diagnostic testing was accurately assessed.</w:t>
      </w:r>
    </w:p>
    <w:p w14:paraId="162ADFA7" w14:textId="77777777" w:rsidR="007F6723" w:rsidRDefault="007F6723" w:rsidP="007F6723">
      <w:pPr>
        <w:pStyle w:val="Heading3"/>
      </w:pPr>
      <w:r>
        <w:t>Focused analytical plan</w:t>
      </w:r>
    </w:p>
    <w:p w14:paraId="05D2B8F4" w14:textId="73025B04" w:rsidR="007F6723" w:rsidRPr="007562E8" w:rsidRDefault="007F6723" w:rsidP="007F6723">
      <w:r>
        <w:t xml:space="preserve">The broad literature search referred to in Section </w:t>
      </w:r>
      <w:r>
        <w:fldChar w:fldCharType="begin"/>
      </w:r>
      <w:r>
        <w:instrText xml:space="preserve"> REF _Ref278640733 \r \h </w:instrText>
      </w:r>
      <w:r>
        <w:fldChar w:fldCharType="separate"/>
      </w:r>
      <w:r w:rsidR="00C67698">
        <w:t>C.3</w:t>
      </w:r>
      <w:r>
        <w:fldChar w:fldCharType="end"/>
      </w:r>
      <w:r>
        <w:t xml:space="preserve"> was also used to identify any Australian sources that may be relevant. Note that non-Australian studies were deemed not relevant, as it is highly likely that resource use varies by health system. The literature search strategy is described in</w:t>
      </w:r>
      <w:r w:rsidR="006A6C31">
        <w:t xml:space="preserve"> </w:t>
      </w:r>
      <w:r w:rsidR="006A6C31">
        <w:rPr>
          <w:highlight w:val="yellow"/>
        </w:rPr>
        <w:fldChar w:fldCharType="begin"/>
      </w:r>
      <w:r w:rsidR="006A6C31">
        <w:instrText xml:space="preserve"> REF _Ref404854563 \w \h </w:instrText>
      </w:r>
      <w:r w:rsidR="006A6C31">
        <w:rPr>
          <w:highlight w:val="yellow"/>
        </w:rPr>
      </w:r>
      <w:r w:rsidR="006A6C31">
        <w:rPr>
          <w:highlight w:val="yellow"/>
        </w:rPr>
        <w:fldChar w:fldCharType="separate"/>
      </w:r>
      <w:r w:rsidR="00C67698">
        <w:t>Appendix 2</w:t>
      </w:r>
      <w:r w:rsidR="006A6C31">
        <w:rPr>
          <w:highlight w:val="yellow"/>
        </w:rPr>
        <w:fldChar w:fldCharType="end"/>
      </w:r>
      <w:r w:rsidR="0071474E">
        <w:t>. Additionally, known g</w:t>
      </w:r>
      <w:r>
        <w:t>overnment sources of appropriate costs were considered.</w:t>
      </w:r>
    </w:p>
    <w:p w14:paraId="000E0D5C" w14:textId="77777777" w:rsidR="007F6723" w:rsidRDefault="007F6723" w:rsidP="007F6723">
      <w:pPr>
        <w:pStyle w:val="Heading3"/>
      </w:pPr>
      <w:r>
        <w:t>Results of the pre-modelling study</w:t>
      </w:r>
    </w:p>
    <w:p w14:paraId="3623360C" w14:textId="01441B18" w:rsidR="007F6723" w:rsidRDefault="007F6723" w:rsidP="007F6723">
      <w:r>
        <w:t>No studies were identified to inform assumptions regarding ongoing monitoring costs for those in the community. As it is reasonable to assume, however, that patients with AD (diagnosed or otherwise) will require regular contact with a medical professional to seek treatment for symptoms of AD or to undertake re-assessments of disease status required by PBS restrictions for AD drugs, the model applied assumptions regarding this. Specifically, it was assumed that all patients with AD w</w:t>
      </w:r>
      <w:r w:rsidR="00161F56">
        <w:t xml:space="preserve">ould </w:t>
      </w:r>
      <w:r>
        <w:t xml:space="preserve">require GP consultations in excess of what </w:t>
      </w:r>
      <w:r w:rsidR="00161F56">
        <w:t>individuals without AD</w:t>
      </w:r>
      <w:r>
        <w:t xml:space="preserve"> would require. As in McMahon et al (2000), it was assumed that individuals with AD would require two additional consultations per year related to their AD. It was assumed that these consultations would be Level B consultations with their GP (MBS </w:t>
      </w:r>
      <w:r w:rsidR="00F67E7B">
        <w:t>i</w:t>
      </w:r>
      <w:r>
        <w:t>tem 23; $37.05 per consultation). Although it is possible that individuals may be seeing specialists for their care, this is not likely for all patients and would have a negligible impact on the estimated cost-effectiveness.</w:t>
      </w:r>
    </w:p>
    <w:p w14:paraId="7FDD49F7" w14:textId="77777777" w:rsidR="007F6723" w:rsidRDefault="007F6723" w:rsidP="007F6723">
      <w:r>
        <w:lastRenderedPageBreak/>
        <w:t xml:space="preserve">With regards to other costs associated with nursing care or increased care required in the community setting, the cost of care packages (2009 costs; Access Economics, 2010, Tables 6.1-6.3) were updated to current costs and applied to the model. Although it is acknowledged that there have been </w:t>
      </w:r>
      <w:r w:rsidRPr="003478F3">
        <w:t>recent changes to the home care and residential aged care packages</w:t>
      </w:r>
      <w:r>
        <w:t xml:space="preserve"> in Australia (introduced 01 July 2014), the costs reported in the Access Economics report are considered to be indicative of the cost of care for AD patients in community and residential care settings. The packages described in the Access Economics report are detailed below.</w:t>
      </w:r>
    </w:p>
    <w:p w14:paraId="676B8DE0" w14:textId="77777777" w:rsidR="007F6723" w:rsidRDefault="007F6723" w:rsidP="007F6723">
      <w:pPr>
        <w:spacing w:after="120"/>
      </w:pPr>
      <w:r>
        <w:t>Residential (i.e. nursing) care is for people for whom community care is not desirable or feasible, often because health care requirements are high or access to informal care is limited. Residential care provides accommodation, living services (e.g. cleaning, laundry, meals) and assistance with personal tasks (e.g. dressing, eating and bathing). There are two classes of residential care:</w:t>
      </w:r>
    </w:p>
    <w:p w14:paraId="242EC20A" w14:textId="77777777" w:rsidR="007F6723" w:rsidRPr="00AA49E5" w:rsidRDefault="007F6723" w:rsidP="007F6723">
      <w:pPr>
        <w:pStyle w:val="Bulletpoints"/>
        <w:spacing w:before="120" w:line="240" w:lineRule="auto"/>
        <w:ind w:left="1434" w:hanging="357"/>
      </w:pPr>
      <w:r w:rsidRPr="00AA49E5">
        <w:t>Low-level care</w:t>
      </w:r>
      <w:r>
        <w:t xml:space="preserve"> ($19,963 per place, per year; $21,476.43 in 2013 prices) </w:t>
      </w:r>
      <w:r w:rsidRPr="00AA49E5">
        <w:t>focuses on personal care services such as help with daily activities, accommodation, support services such as cleaning, laundry and meals, and some allied health services such as physiotherapy and occupational therapy. There is limited access to nursing staff.</w:t>
      </w:r>
    </w:p>
    <w:p w14:paraId="30D6B02F" w14:textId="77777777" w:rsidR="007F6723" w:rsidRDefault="007F6723" w:rsidP="007F6723">
      <w:pPr>
        <w:pStyle w:val="Bulletpoints"/>
        <w:spacing w:before="120" w:line="240" w:lineRule="auto"/>
        <w:ind w:left="1434" w:hanging="357"/>
      </w:pPr>
      <w:r w:rsidRPr="00AA49E5">
        <w:rPr>
          <w:lang w:val="en-AU"/>
        </w:rPr>
        <w:t>High-level care</w:t>
      </w:r>
      <w:r>
        <w:t xml:space="preserve"> ($56,658 per place, per year; $59,528.43 in 2013 prices)</w:t>
      </w:r>
      <w:r>
        <w:rPr>
          <w:lang w:val="en-AU"/>
        </w:rPr>
        <w:t xml:space="preserve"> is</w:t>
      </w:r>
      <w:r w:rsidRPr="00AA49E5">
        <w:rPr>
          <w:lang w:val="en-AU"/>
        </w:rPr>
        <w:t xml:space="preserve"> for those who require full-time supervised health care under the supervision of registered nurses. People also receive the same services as those under low care.</w:t>
      </w:r>
    </w:p>
    <w:p w14:paraId="3731B78B" w14:textId="77777777" w:rsidR="007F6723" w:rsidRPr="007562E8" w:rsidRDefault="007F6723" w:rsidP="007F6723">
      <w:r>
        <w:t>Community aged care refers to formal services usually provided in the recipients home. The Community Aged Care Package (CACP) targets older people living in the community with care needs equivalent to a low needs residential care ($11,934 per package, per year; $12,410.40 in 2013 prices). Extended Aged Care at Home (EACH) packages target older people living at home with care needs equivalent to high-level residential care ($41,021 per package, per year; $41,951.52 in 2013 prices). In addition to the services offered in CACP, EACH clients may be able to receive nursing care, allied health care and rehabilitation services. EACH-D extends the EACH package with service approaches and strategies to meet the specific care needs of care recipients with dementia.</w:t>
      </w:r>
    </w:p>
    <w:p w14:paraId="095B1961" w14:textId="77777777" w:rsidR="007F6723" w:rsidRDefault="007F6723" w:rsidP="007F6723">
      <w:pPr>
        <w:pStyle w:val="Heading3"/>
      </w:pPr>
      <w:r>
        <w:t>Relationship of the pre-modelling study to the economic evaluation</w:t>
      </w:r>
    </w:p>
    <w:p w14:paraId="06E95577" w14:textId="1251C32B" w:rsidR="007F6723" w:rsidRDefault="007F6723" w:rsidP="007F6723">
      <w:r>
        <w:t>In the case of ongoing costs associated with symptoms and re-assessment, the unit cost of a Level B GP consultation was applied twice per year to all community-based individuals with mild or moderate AD ($74.10 per year). This was applied whether individual</w:t>
      </w:r>
      <w:r w:rsidR="00161F56">
        <w:t>s</w:t>
      </w:r>
      <w:r>
        <w:t xml:space="preserve"> were receiving AD treatment or otherwise.</w:t>
      </w:r>
    </w:p>
    <w:p w14:paraId="408064B0" w14:textId="77777777" w:rsidR="007F6723" w:rsidRPr="00021656" w:rsidRDefault="007F6723" w:rsidP="007F6723">
      <w:r>
        <w:t>In the case of more comprehensive care, the unit cost of low-level residential care was applied annually to all individuals in nursing care with mild or moderate AD, while the unit cost of high-level residential care was applied annually to all individuals in nursing care for severe AD</w:t>
      </w:r>
      <w:r w:rsidRPr="00021656">
        <w:t>. CACP was applied annually to all individuals with moderate AD who remain in the community. The model assumed that all individuals with severe AD are in residential care (see Section D), and so the EACH-D unit cost was not applied in the economic model at any stage.</w:t>
      </w:r>
    </w:p>
    <w:p w14:paraId="18A37F18" w14:textId="77777777" w:rsidR="007F6723" w:rsidRDefault="007F6723" w:rsidP="007F6723">
      <w:r w:rsidRPr="00021656">
        <w:t>The inherent uncertainty in these costs is addressed through sensitivity analyses presented in Section D.6.</w:t>
      </w:r>
    </w:p>
    <w:p w14:paraId="534F7650" w14:textId="77777777" w:rsidR="007F6723" w:rsidRDefault="007F6723" w:rsidP="007F6723">
      <w:pPr>
        <w:pStyle w:val="Heading2"/>
      </w:pPr>
      <w:bookmarkStart w:id="197" w:name="_Ref278789397"/>
      <w:bookmarkStart w:id="198" w:name="_Toc406172433"/>
      <w:bookmarkStart w:id="199" w:name="_Toc408845177"/>
      <w:r>
        <w:lastRenderedPageBreak/>
        <w:t>Issue 7: Diagnostic accuracy of FDG-PET and SPECT</w:t>
      </w:r>
      <w:bookmarkEnd w:id="197"/>
      <w:bookmarkEnd w:id="198"/>
      <w:bookmarkEnd w:id="199"/>
    </w:p>
    <w:p w14:paraId="30621CCB" w14:textId="39D50195" w:rsidR="00814FA6" w:rsidRPr="00814FA6" w:rsidRDefault="00814FA6" w:rsidP="00814FA6">
      <w:r w:rsidRPr="00814FA6">
        <w:t xml:space="preserve">The diagnostic accuracy of FDG-PET and SPECT play a key role in the incremental cost-effectiveness of FDG-PET. </w:t>
      </w:r>
      <w:r>
        <w:t>Specifically, the model requires the probability of individuals receiving a correct or incorrect diagnosis with either FDG-PET or SPECT.</w:t>
      </w:r>
    </w:p>
    <w:p w14:paraId="2A7AB68D" w14:textId="77777777" w:rsidR="007F6723" w:rsidRDefault="007F6723" w:rsidP="007F6723">
      <w:pPr>
        <w:pStyle w:val="Heading3"/>
      </w:pPr>
      <w:r>
        <w:t>Focused analytical plan</w:t>
      </w:r>
    </w:p>
    <w:p w14:paraId="3AFF9A86" w14:textId="6D09E613" w:rsidR="00AA12E1" w:rsidRDefault="00814FA6" w:rsidP="00814FA6">
      <w:r>
        <w:t>Diagnostic accuracy of FDG-PET versus SPECT was evaluated in Section B</w:t>
      </w:r>
      <w:r w:rsidR="00AA12E1">
        <w:t xml:space="preserve"> of the Assessment Report</w:t>
      </w:r>
      <w:r>
        <w:t xml:space="preserve">. Direct evidence (i.e. studies in which </w:t>
      </w:r>
      <w:r w:rsidR="00AA12E1">
        <w:t xml:space="preserve">imaging with </w:t>
      </w:r>
      <w:r>
        <w:t xml:space="preserve">FDG-PET and SPECT </w:t>
      </w:r>
      <w:r w:rsidR="00AA12E1">
        <w:t>was undertaken</w:t>
      </w:r>
      <w:r w:rsidR="00E434EC">
        <w:t xml:space="preserve"> in the same patients) is</w:t>
      </w:r>
      <w:r>
        <w:t xml:space="preserve"> less prone to bias </w:t>
      </w:r>
      <w:r w:rsidR="00E434EC">
        <w:t>and is considered to more reliably capture differences in diagnostic accuracy between FDG-PET and SPECT.</w:t>
      </w:r>
      <w:r w:rsidR="00AA12E1">
        <w:t xml:space="preserve"> </w:t>
      </w:r>
    </w:p>
    <w:p w14:paraId="393A06E9" w14:textId="24FC99DD" w:rsidR="001142B7" w:rsidRDefault="001142B7" w:rsidP="00814FA6">
      <w:r>
        <w:t xml:space="preserve">The main similarity between the two </w:t>
      </w:r>
      <w:r w:rsidR="00EF0C90">
        <w:t xml:space="preserve">included </w:t>
      </w:r>
      <w:r>
        <w:t xml:space="preserve">comparative studies (Döbert et al, 2005, and Ito et al, 2014) is that both studies included a broad population of patients with suspected MCI or dementia </w:t>
      </w:r>
      <w:r w:rsidRPr="00AE519F">
        <w:t xml:space="preserve">(including DLB, </w:t>
      </w:r>
      <w:r w:rsidR="00BD65E4">
        <w:t>FTD</w:t>
      </w:r>
      <w:r w:rsidRPr="00AE519F">
        <w:t xml:space="preserve">, VD and </w:t>
      </w:r>
      <w:r>
        <w:t>MIX</w:t>
      </w:r>
      <w:r w:rsidRPr="00AE519F">
        <w:t>)</w:t>
      </w:r>
      <w:r w:rsidR="00EF0C90">
        <w:t>, which</w:t>
      </w:r>
      <w:r>
        <w:t xml:space="preserve"> increases the clinical applicability of the findings.</w:t>
      </w:r>
      <w:r w:rsidR="00EF0C90">
        <w:t xml:space="preserve"> However, in both studies </w:t>
      </w:r>
      <w:r w:rsidR="00EF0C90" w:rsidRPr="001142B7">
        <w:t>the reference standard was not patho</w:t>
      </w:r>
      <w:r w:rsidR="00EF0C90">
        <w:t>logical diagnosis; patients were diagnosed on clinical grounds, which introduces verification bias in th</w:t>
      </w:r>
      <w:r w:rsidR="00416DB3">
        <w:t>e estimates of test performance</w:t>
      </w:r>
      <w:r w:rsidR="00EF0C90" w:rsidRPr="001142B7">
        <w:t>.</w:t>
      </w:r>
    </w:p>
    <w:p w14:paraId="3BAA95C2" w14:textId="65B9035D" w:rsidR="00814FA6" w:rsidRPr="00814FA6" w:rsidRDefault="00AA12E1" w:rsidP="00814FA6">
      <w:r>
        <w:t xml:space="preserve">As a consequence of the </w:t>
      </w:r>
      <w:r w:rsidR="00EF0C90">
        <w:t>shortcomings in</w:t>
      </w:r>
      <w:r>
        <w:t xml:space="preserve"> the comparative evidence, Section B also evaluated the diagnostic accuracy of FDG-PET and SPECT using indirect evidence (i.e. studies where either FDG-PET or SPECT was used in the diagnosis of patients with SD). These studies were heterogeneous and </w:t>
      </w:r>
      <w:r w:rsidR="003B0A85">
        <w:t xml:space="preserve">also </w:t>
      </w:r>
      <w:r>
        <w:t xml:space="preserve">suffered from a number of methodological </w:t>
      </w:r>
      <w:r w:rsidR="00EF0C90">
        <w:t>limitations that make it difficult to assess the applicability of the reported diagnostic values to routine practice (</w:t>
      </w:r>
      <w:r>
        <w:t>discussed in Section B.3 and Section B.4</w:t>
      </w:r>
      <w:r w:rsidR="00EF0C90">
        <w:t>)</w:t>
      </w:r>
      <w:r>
        <w:t>.</w:t>
      </w:r>
      <w:r w:rsidR="00B17BBF">
        <w:t xml:space="preserve"> Of note, there were differences </w:t>
      </w:r>
      <w:r w:rsidR="00753AAE">
        <w:t xml:space="preserve">across the studies </w:t>
      </w:r>
      <w:r w:rsidR="00B17BBF">
        <w:t xml:space="preserve">in </w:t>
      </w:r>
      <w:r w:rsidR="00753AAE">
        <w:t xml:space="preserve">terms of </w:t>
      </w:r>
      <w:r w:rsidR="003B0A85">
        <w:t xml:space="preserve">how </w:t>
      </w:r>
      <w:r w:rsidR="00753AAE">
        <w:t>participants</w:t>
      </w:r>
      <w:r w:rsidR="003B0A85">
        <w:t xml:space="preserve"> were recruited (often retrospectively and non-consecutively from specialty clinics)</w:t>
      </w:r>
      <w:r w:rsidR="00B17BBF">
        <w:t xml:space="preserve">, models of medical machines used (due to advances in imaging technology over time), </w:t>
      </w:r>
      <w:r w:rsidR="00753AAE">
        <w:t>ways of assessing imaging data (visual examination and a wide range of quantitative or semi-quantitative computer-based methods)</w:t>
      </w:r>
      <w:r w:rsidR="000A78AC">
        <w:t>,</w:t>
      </w:r>
      <w:r w:rsidR="00753AAE">
        <w:t xml:space="preserve"> and </w:t>
      </w:r>
      <w:r w:rsidR="000A78AC">
        <w:t xml:space="preserve">the use of </w:t>
      </w:r>
      <w:r w:rsidR="00753AAE">
        <w:t>control populations</w:t>
      </w:r>
      <w:r w:rsidR="005B375E">
        <w:t xml:space="preserve"> (i</w:t>
      </w:r>
      <w:r w:rsidR="00525024">
        <w:t>.e. normal controls, FTD, VD, D</w:t>
      </w:r>
      <w:r w:rsidR="005B375E">
        <w:t>L</w:t>
      </w:r>
      <w:r w:rsidR="00525024">
        <w:t>B</w:t>
      </w:r>
      <w:r w:rsidR="005B375E">
        <w:t>, and non-AD dementia)</w:t>
      </w:r>
      <w:r w:rsidR="00753AAE">
        <w:t>.</w:t>
      </w:r>
      <w:r w:rsidR="00EF0C90">
        <w:t xml:space="preserve"> These differences, together with a general lack of blinding of researchers, mean that the pooled results</w:t>
      </w:r>
      <w:r w:rsidR="00161F56">
        <w:t xml:space="preserve"> from the indirect evidence</w:t>
      </w:r>
      <w:r w:rsidR="00EF0C90">
        <w:t xml:space="preserve"> must be interpreted with caution.</w:t>
      </w:r>
    </w:p>
    <w:p w14:paraId="40BA10BF" w14:textId="77777777" w:rsidR="007F6723" w:rsidRDefault="007F6723" w:rsidP="007F6723">
      <w:pPr>
        <w:pStyle w:val="Heading3"/>
      </w:pPr>
      <w:bookmarkStart w:id="200" w:name="_Ref406172098"/>
      <w:r>
        <w:t>Results of the pre-modelling study</w:t>
      </w:r>
      <w:bookmarkEnd w:id="200"/>
    </w:p>
    <w:p w14:paraId="3D213AD7" w14:textId="3DF24451" w:rsidR="007F6723" w:rsidRDefault="00814FA6" w:rsidP="007F6723">
      <w:r w:rsidRPr="00814FA6">
        <w:t>Although discussed comprehensively in Section B, key data are repeated here for transparency</w:t>
      </w:r>
      <w:r w:rsidR="000B1A94">
        <w:t xml:space="preserve"> (see </w:t>
      </w:r>
      <w:r w:rsidR="000B1A94">
        <w:fldChar w:fldCharType="begin"/>
      </w:r>
      <w:r w:rsidR="000B1A94">
        <w:instrText xml:space="preserve"> REF _Ref406417160 \h </w:instrText>
      </w:r>
      <w:r w:rsidR="000B1A94">
        <w:fldChar w:fldCharType="separate"/>
      </w:r>
      <w:r w:rsidR="00C67698">
        <w:t xml:space="preserve">Table </w:t>
      </w:r>
      <w:r w:rsidR="00C67698">
        <w:rPr>
          <w:noProof/>
        </w:rPr>
        <w:t>C.9</w:t>
      </w:r>
      <w:r w:rsidR="00C67698">
        <w:noBreakHyphen/>
      </w:r>
      <w:r w:rsidR="00C67698">
        <w:rPr>
          <w:noProof/>
        </w:rPr>
        <w:t>1</w:t>
      </w:r>
      <w:r w:rsidR="000B1A94">
        <w:fldChar w:fldCharType="end"/>
      </w:r>
      <w:r w:rsidR="000B1A94">
        <w:t>)</w:t>
      </w:r>
      <w:r>
        <w:t>.</w:t>
      </w:r>
      <w:r w:rsidR="00F0142A">
        <w:t xml:space="preserve"> These data are from the comparative studies of diagnostic accuracy of FDG-PET versus SPECT.</w:t>
      </w:r>
      <w:r w:rsidR="00416DB3">
        <w:t xml:space="preserve"> Overall, </w:t>
      </w:r>
      <w:r w:rsidR="002E63A2">
        <w:t>it cannot be concluded that FDG-PET is superior to SPECT; however, the pooled results from two small studies marginally favours FDG-PET in terms of correctly diagnosing AD.</w:t>
      </w:r>
    </w:p>
    <w:p w14:paraId="42D0C89C" w14:textId="63C884E9" w:rsidR="00524916" w:rsidRDefault="00524916" w:rsidP="00903AED">
      <w:pPr>
        <w:pStyle w:val="Caption"/>
      </w:pPr>
      <w:bookmarkStart w:id="201" w:name="_Ref406417160"/>
      <w:bookmarkStart w:id="202" w:name="_Toc408845234"/>
      <w:r>
        <w:lastRenderedPageBreak/>
        <w:t xml:space="preserve">Table </w:t>
      </w:r>
      <w:fldSimple w:instr=" STYLEREF 2 \s ">
        <w:r w:rsidR="00C67698">
          <w:rPr>
            <w:noProof/>
          </w:rPr>
          <w:t>C.9</w:t>
        </w:r>
      </w:fldSimple>
      <w:r>
        <w:noBreakHyphen/>
      </w:r>
      <w:fldSimple w:instr=" SEQ Table \* ARABIC \s 2 ">
        <w:r w:rsidR="00C67698">
          <w:rPr>
            <w:noProof/>
          </w:rPr>
          <w:t>1</w:t>
        </w:r>
      </w:fldSimple>
      <w:bookmarkEnd w:id="201"/>
      <w:r>
        <w:tab/>
        <w:t>Diagnostic accuracy data applied to the base case</w:t>
      </w:r>
      <w:r w:rsidR="000B1A94">
        <w:t xml:space="preserve"> economic model</w:t>
      </w:r>
      <w:bookmarkEnd w:id="202"/>
    </w:p>
    <w:tbl>
      <w:tblPr>
        <w:tblStyle w:val="TableGrid"/>
        <w:tblW w:w="4610" w:type="pct"/>
        <w:tblInd w:w="704" w:type="dxa"/>
        <w:tblLook w:val="04A0" w:firstRow="1" w:lastRow="0" w:firstColumn="1" w:lastColumn="0" w:noHBand="0" w:noVBand="1"/>
        <w:tblCaption w:val="The diagnostic accuracy data applied to the base case economic model"/>
        <w:tblDescription w:val="The total number of true positives, false positives, false negatives and true negatives from the two studies with comparative evidence of FDG-PET and SPECT. "/>
      </w:tblPr>
      <w:tblGrid>
        <w:gridCol w:w="1601"/>
        <w:gridCol w:w="1730"/>
        <w:gridCol w:w="1730"/>
        <w:gridCol w:w="1730"/>
        <w:gridCol w:w="1730"/>
      </w:tblGrid>
      <w:tr w:rsidR="00182F1A" w:rsidRPr="00B11BD7" w14:paraId="206A89F0" w14:textId="77777777" w:rsidTr="00556738">
        <w:trPr>
          <w:tblHeader/>
        </w:trPr>
        <w:tc>
          <w:tcPr>
            <w:tcW w:w="939" w:type="pct"/>
            <w:shd w:val="clear" w:color="auto" w:fill="FFFFFF" w:themeFill="background1"/>
          </w:tcPr>
          <w:p w14:paraId="777D7267" w14:textId="77777777" w:rsidR="00182F1A" w:rsidRPr="00182F1A" w:rsidRDefault="00182F1A" w:rsidP="00903AED">
            <w:pPr>
              <w:pStyle w:val="Tabletextboldleft"/>
            </w:pPr>
            <w:r w:rsidRPr="00182F1A">
              <w:t xml:space="preserve">Study ID </w:t>
            </w:r>
          </w:p>
        </w:tc>
        <w:tc>
          <w:tcPr>
            <w:tcW w:w="1015" w:type="pct"/>
            <w:shd w:val="clear" w:color="auto" w:fill="FFFFFF" w:themeFill="background1"/>
          </w:tcPr>
          <w:p w14:paraId="229AD2CE" w14:textId="77777777" w:rsidR="00182F1A" w:rsidRPr="00182F1A" w:rsidRDefault="00182F1A" w:rsidP="00903AED">
            <w:pPr>
              <w:pStyle w:val="Tabletextboldleft"/>
              <w:jc w:val="center"/>
            </w:pPr>
            <w:r w:rsidRPr="00182F1A">
              <w:t>TP</w:t>
            </w:r>
          </w:p>
        </w:tc>
        <w:tc>
          <w:tcPr>
            <w:tcW w:w="1015" w:type="pct"/>
            <w:shd w:val="clear" w:color="auto" w:fill="FFFFFF" w:themeFill="background1"/>
          </w:tcPr>
          <w:p w14:paraId="10581D14" w14:textId="6ACC94DE" w:rsidR="00182F1A" w:rsidRPr="00182F1A" w:rsidRDefault="00182F1A" w:rsidP="00903AED">
            <w:pPr>
              <w:pStyle w:val="Tabletextboldleft"/>
              <w:jc w:val="center"/>
            </w:pPr>
            <w:r w:rsidRPr="00EC52D0">
              <w:t>FP</w:t>
            </w:r>
          </w:p>
        </w:tc>
        <w:tc>
          <w:tcPr>
            <w:tcW w:w="1015" w:type="pct"/>
            <w:shd w:val="clear" w:color="auto" w:fill="FFFFFF" w:themeFill="background1"/>
          </w:tcPr>
          <w:p w14:paraId="0D9C7C9F" w14:textId="5F84CE14" w:rsidR="00182F1A" w:rsidRPr="00182F1A" w:rsidRDefault="00182F1A" w:rsidP="00903AED">
            <w:pPr>
              <w:pStyle w:val="Tabletextboldleft"/>
              <w:jc w:val="center"/>
            </w:pPr>
            <w:r w:rsidRPr="00E00519">
              <w:t>FN</w:t>
            </w:r>
          </w:p>
        </w:tc>
        <w:tc>
          <w:tcPr>
            <w:tcW w:w="1015" w:type="pct"/>
            <w:shd w:val="clear" w:color="auto" w:fill="FFFFFF" w:themeFill="background1"/>
          </w:tcPr>
          <w:p w14:paraId="2895E634" w14:textId="31D68441" w:rsidR="00182F1A" w:rsidRPr="00182F1A" w:rsidRDefault="00182F1A" w:rsidP="00903AED">
            <w:pPr>
              <w:pStyle w:val="Tabletextboldleft"/>
              <w:jc w:val="center"/>
            </w:pPr>
            <w:r w:rsidRPr="00182F1A">
              <w:t>TN</w:t>
            </w:r>
          </w:p>
        </w:tc>
      </w:tr>
      <w:tr w:rsidR="00182F1A" w:rsidRPr="00B11BD7" w14:paraId="6D94A71C" w14:textId="77777777" w:rsidTr="00182F1A">
        <w:tc>
          <w:tcPr>
            <w:tcW w:w="939" w:type="pct"/>
            <w:shd w:val="clear" w:color="auto" w:fill="D0CECE" w:themeFill="background2" w:themeFillShade="E6"/>
          </w:tcPr>
          <w:p w14:paraId="323A7522" w14:textId="77777777" w:rsidR="00182F1A" w:rsidRPr="00182F1A" w:rsidRDefault="00182F1A" w:rsidP="00903AED">
            <w:pPr>
              <w:pStyle w:val="Tabletextcentred"/>
              <w:keepNext/>
              <w:jc w:val="left"/>
            </w:pPr>
            <w:r w:rsidRPr="00182F1A">
              <w:t>FDG-PET</w:t>
            </w:r>
          </w:p>
        </w:tc>
        <w:tc>
          <w:tcPr>
            <w:tcW w:w="1015" w:type="pct"/>
            <w:shd w:val="clear" w:color="auto" w:fill="D0CECE" w:themeFill="background2" w:themeFillShade="E6"/>
          </w:tcPr>
          <w:p w14:paraId="07AC74FE" w14:textId="77777777" w:rsidR="00182F1A" w:rsidRPr="00182F1A" w:rsidRDefault="00182F1A" w:rsidP="00903AED">
            <w:pPr>
              <w:pStyle w:val="Tabletextcentred"/>
              <w:keepNext/>
            </w:pPr>
            <w:r w:rsidRPr="00182F1A">
              <w:t>-</w:t>
            </w:r>
          </w:p>
        </w:tc>
        <w:tc>
          <w:tcPr>
            <w:tcW w:w="1015" w:type="pct"/>
            <w:shd w:val="clear" w:color="auto" w:fill="D0CECE" w:themeFill="background2" w:themeFillShade="E6"/>
          </w:tcPr>
          <w:p w14:paraId="485CAB27" w14:textId="4577E76F" w:rsidR="00182F1A" w:rsidRPr="00182F1A" w:rsidRDefault="00182F1A" w:rsidP="00903AED">
            <w:pPr>
              <w:pStyle w:val="Tabletextcentred"/>
              <w:keepNext/>
            </w:pPr>
            <w:r w:rsidRPr="00EC52D0">
              <w:t>-</w:t>
            </w:r>
          </w:p>
        </w:tc>
        <w:tc>
          <w:tcPr>
            <w:tcW w:w="1015" w:type="pct"/>
            <w:shd w:val="clear" w:color="auto" w:fill="D0CECE" w:themeFill="background2" w:themeFillShade="E6"/>
          </w:tcPr>
          <w:p w14:paraId="1DC8C89A" w14:textId="04E2BCE5" w:rsidR="00182F1A" w:rsidRPr="00182F1A" w:rsidRDefault="00182F1A" w:rsidP="00903AED">
            <w:pPr>
              <w:pStyle w:val="Tabletextcentred"/>
              <w:keepNext/>
            </w:pPr>
            <w:r w:rsidRPr="00E00519">
              <w:t>-</w:t>
            </w:r>
          </w:p>
        </w:tc>
        <w:tc>
          <w:tcPr>
            <w:tcW w:w="1015" w:type="pct"/>
            <w:shd w:val="clear" w:color="auto" w:fill="D0CECE" w:themeFill="background2" w:themeFillShade="E6"/>
          </w:tcPr>
          <w:p w14:paraId="7E10ED5E" w14:textId="47658C6B" w:rsidR="00182F1A" w:rsidRPr="00182F1A" w:rsidRDefault="00182F1A" w:rsidP="00903AED">
            <w:pPr>
              <w:pStyle w:val="Tabletextcentred"/>
              <w:keepNext/>
            </w:pPr>
            <w:r w:rsidRPr="00182F1A">
              <w:t>-</w:t>
            </w:r>
          </w:p>
        </w:tc>
      </w:tr>
      <w:tr w:rsidR="00182F1A" w:rsidRPr="00B11BD7" w14:paraId="68EC68D7" w14:textId="77777777" w:rsidTr="00182F1A">
        <w:tc>
          <w:tcPr>
            <w:tcW w:w="939" w:type="pct"/>
            <w:shd w:val="clear" w:color="auto" w:fill="FFFFFF" w:themeFill="background1"/>
          </w:tcPr>
          <w:p w14:paraId="7ADBBD27" w14:textId="77777777" w:rsidR="00182F1A" w:rsidRPr="00182F1A" w:rsidRDefault="00182F1A" w:rsidP="00903AED">
            <w:pPr>
              <w:pStyle w:val="Tabletextcentred"/>
              <w:keepNext/>
              <w:jc w:val="left"/>
            </w:pPr>
            <w:r w:rsidRPr="00182F1A">
              <w:t>Ito (2014)</w:t>
            </w:r>
            <w:r w:rsidRPr="00182F1A">
              <w:rPr>
                <w:vertAlign w:val="superscript"/>
              </w:rPr>
              <w:t>a</w:t>
            </w:r>
          </w:p>
        </w:tc>
        <w:tc>
          <w:tcPr>
            <w:tcW w:w="1015" w:type="pct"/>
            <w:shd w:val="clear" w:color="auto" w:fill="FFFFFF" w:themeFill="background1"/>
          </w:tcPr>
          <w:p w14:paraId="5AF4753B" w14:textId="77777777" w:rsidR="00182F1A" w:rsidRPr="00182F1A" w:rsidRDefault="00182F1A" w:rsidP="00903AED">
            <w:pPr>
              <w:pStyle w:val="Tabletextcentred"/>
              <w:keepNext/>
            </w:pPr>
            <w:r w:rsidRPr="00182F1A">
              <w:t>31</w:t>
            </w:r>
          </w:p>
        </w:tc>
        <w:tc>
          <w:tcPr>
            <w:tcW w:w="1015" w:type="pct"/>
            <w:shd w:val="clear" w:color="auto" w:fill="FFFFFF" w:themeFill="background1"/>
          </w:tcPr>
          <w:p w14:paraId="0A168AF1" w14:textId="23F65EA0" w:rsidR="00182F1A" w:rsidRPr="00182F1A" w:rsidRDefault="00182F1A" w:rsidP="00903AED">
            <w:pPr>
              <w:pStyle w:val="Tabletextcentred"/>
              <w:keepNext/>
            </w:pPr>
            <w:r w:rsidRPr="00EC52D0">
              <w:t>9</w:t>
            </w:r>
          </w:p>
        </w:tc>
        <w:tc>
          <w:tcPr>
            <w:tcW w:w="1015" w:type="pct"/>
            <w:shd w:val="clear" w:color="auto" w:fill="FFFFFF" w:themeFill="background1"/>
          </w:tcPr>
          <w:p w14:paraId="21574158" w14:textId="097558B0" w:rsidR="00182F1A" w:rsidRPr="00182F1A" w:rsidRDefault="00182F1A" w:rsidP="00903AED">
            <w:pPr>
              <w:pStyle w:val="Tabletextcentred"/>
              <w:keepNext/>
            </w:pPr>
            <w:r w:rsidRPr="00E00519">
              <w:t>9</w:t>
            </w:r>
          </w:p>
        </w:tc>
        <w:tc>
          <w:tcPr>
            <w:tcW w:w="1015" w:type="pct"/>
            <w:shd w:val="clear" w:color="auto" w:fill="FFFFFF" w:themeFill="background1"/>
          </w:tcPr>
          <w:p w14:paraId="6F424035" w14:textId="3AC48CB8" w:rsidR="00182F1A" w:rsidRPr="00182F1A" w:rsidRDefault="00182F1A" w:rsidP="00903AED">
            <w:pPr>
              <w:pStyle w:val="Tabletextcentred"/>
              <w:keepNext/>
            </w:pPr>
            <w:r w:rsidRPr="00182F1A">
              <w:t>6</w:t>
            </w:r>
          </w:p>
        </w:tc>
      </w:tr>
      <w:tr w:rsidR="00182F1A" w:rsidRPr="00B11BD7" w14:paraId="1388ED52" w14:textId="77777777" w:rsidTr="00182F1A">
        <w:tc>
          <w:tcPr>
            <w:tcW w:w="939" w:type="pct"/>
            <w:shd w:val="clear" w:color="auto" w:fill="FFFFFF" w:themeFill="background1"/>
          </w:tcPr>
          <w:p w14:paraId="507F0148" w14:textId="77777777" w:rsidR="00182F1A" w:rsidRPr="00182F1A" w:rsidRDefault="00182F1A" w:rsidP="00903AED">
            <w:pPr>
              <w:pStyle w:val="Tabletextcentred"/>
              <w:keepNext/>
              <w:jc w:val="left"/>
            </w:pPr>
            <w:r w:rsidRPr="00182F1A">
              <w:t>Döbert (2005)</w:t>
            </w:r>
          </w:p>
        </w:tc>
        <w:tc>
          <w:tcPr>
            <w:tcW w:w="1015" w:type="pct"/>
            <w:shd w:val="clear" w:color="auto" w:fill="FFFFFF" w:themeFill="background1"/>
          </w:tcPr>
          <w:p w14:paraId="336106B1" w14:textId="77777777" w:rsidR="00182F1A" w:rsidRPr="00182F1A" w:rsidRDefault="00182F1A" w:rsidP="00903AED">
            <w:pPr>
              <w:pStyle w:val="Tabletextcentred"/>
              <w:keepNext/>
            </w:pPr>
            <w:r w:rsidRPr="00182F1A">
              <w:t>4</w:t>
            </w:r>
          </w:p>
        </w:tc>
        <w:tc>
          <w:tcPr>
            <w:tcW w:w="1015" w:type="pct"/>
            <w:shd w:val="clear" w:color="auto" w:fill="FFFFFF" w:themeFill="background1"/>
          </w:tcPr>
          <w:p w14:paraId="40898389" w14:textId="3D98D6AC" w:rsidR="00182F1A" w:rsidRPr="00182F1A" w:rsidRDefault="00182F1A" w:rsidP="00903AED">
            <w:pPr>
              <w:pStyle w:val="Tabletextcentred"/>
              <w:keepNext/>
            </w:pPr>
            <w:r w:rsidRPr="00EC52D0">
              <w:t>3</w:t>
            </w:r>
          </w:p>
        </w:tc>
        <w:tc>
          <w:tcPr>
            <w:tcW w:w="1015" w:type="pct"/>
            <w:shd w:val="clear" w:color="auto" w:fill="FFFFFF" w:themeFill="background1"/>
          </w:tcPr>
          <w:p w14:paraId="62A247FD" w14:textId="75D813F4" w:rsidR="00182F1A" w:rsidRPr="00182F1A" w:rsidRDefault="00182F1A" w:rsidP="00903AED">
            <w:pPr>
              <w:pStyle w:val="Tabletextcentred"/>
              <w:keepNext/>
            </w:pPr>
            <w:r w:rsidRPr="00E00519">
              <w:t>5</w:t>
            </w:r>
          </w:p>
        </w:tc>
        <w:tc>
          <w:tcPr>
            <w:tcW w:w="1015" w:type="pct"/>
            <w:shd w:val="clear" w:color="auto" w:fill="FFFFFF" w:themeFill="background1"/>
          </w:tcPr>
          <w:p w14:paraId="2C4A7E7B" w14:textId="2B727FEC" w:rsidR="00182F1A" w:rsidRPr="00182F1A" w:rsidRDefault="00182F1A" w:rsidP="00903AED">
            <w:pPr>
              <w:pStyle w:val="Tabletextcentred"/>
              <w:keepNext/>
            </w:pPr>
            <w:r w:rsidRPr="00182F1A">
              <w:t>12</w:t>
            </w:r>
          </w:p>
        </w:tc>
      </w:tr>
      <w:tr w:rsidR="00182F1A" w:rsidRPr="00B11BD7" w14:paraId="5E250F65" w14:textId="77777777" w:rsidTr="00182F1A">
        <w:tc>
          <w:tcPr>
            <w:tcW w:w="939" w:type="pct"/>
            <w:shd w:val="clear" w:color="auto" w:fill="FFFFFF" w:themeFill="background1"/>
          </w:tcPr>
          <w:p w14:paraId="07052CE6" w14:textId="77777777" w:rsidR="00182F1A" w:rsidRPr="00182F1A" w:rsidRDefault="00182F1A" w:rsidP="00903AED">
            <w:pPr>
              <w:pStyle w:val="Tabletextcentred"/>
              <w:keepNext/>
              <w:jc w:val="left"/>
              <w:rPr>
                <w:b/>
              </w:rPr>
            </w:pPr>
            <w:r w:rsidRPr="00182F1A">
              <w:rPr>
                <w:b/>
              </w:rPr>
              <w:t>Total</w:t>
            </w:r>
          </w:p>
        </w:tc>
        <w:tc>
          <w:tcPr>
            <w:tcW w:w="1015" w:type="pct"/>
            <w:shd w:val="clear" w:color="auto" w:fill="FFFFFF" w:themeFill="background1"/>
          </w:tcPr>
          <w:p w14:paraId="6C981951" w14:textId="77777777" w:rsidR="00182F1A" w:rsidRPr="00182F1A" w:rsidRDefault="00182F1A" w:rsidP="00903AED">
            <w:pPr>
              <w:pStyle w:val="Tabletextcentred"/>
              <w:keepNext/>
              <w:rPr>
                <w:b/>
              </w:rPr>
            </w:pPr>
            <w:r w:rsidRPr="00182F1A">
              <w:rPr>
                <w:b/>
              </w:rPr>
              <w:t>35</w:t>
            </w:r>
          </w:p>
        </w:tc>
        <w:tc>
          <w:tcPr>
            <w:tcW w:w="1015" w:type="pct"/>
            <w:shd w:val="clear" w:color="auto" w:fill="FFFFFF" w:themeFill="background1"/>
          </w:tcPr>
          <w:p w14:paraId="5700855F" w14:textId="2B706751" w:rsidR="00182F1A" w:rsidRPr="00182F1A" w:rsidRDefault="00182F1A" w:rsidP="00903AED">
            <w:pPr>
              <w:pStyle w:val="Tabletextcentred"/>
              <w:keepNext/>
              <w:rPr>
                <w:b/>
              </w:rPr>
            </w:pPr>
            <w:r w:rsidRPr="00182F1A">
              <w:rPr>
                <w:b/>
              </w:rPr>
              <w:t>12</w:t>
            </w:r>
          </w:p>
        </w:tc>
        <w:tc>
          <w:tcPr>
            <w:tcW w:w="1015" w:type="pct"/>
            <w:shd w:val="clear" w:color="auto" w:fill="FFFFFF" w:themeFill="background1"/>
          </w:tcPr>
          <w:p w14:paraId="42A29C68" w14:textId="7D82646F" w:rsidR="00182F1A" w:rsidRPr="00182F1A" w:rsidRDefault="00182F1A" w:rsidP="00903AED">
            <w:pPr>
              <w:pStyle w:val="Tabletextcentred"/>
              <w:keepNext/>
              <w:rPr>
                <w:b/>
              </w:rPr>
            </w:pPr>
            <w:r w:rsidRPr="00182F1A">
              <w:rPr>
                <w:b/>
              </w:rPr>
              <w:t>14</w:t>
            </w:r>
          </w:p>
        </w:tc>
        <w:tc>
          <w:tcPr>
            <w:tcW w:w="1015" w:type="pct"/>
            <w:shd w:val="clear" w:color="auto" w:fill="FFFFFF" w:themeFill="background1"/>
          </w:tcPr>
          <w:p w14:paraId="2210273F" w14:textId="06B0AB27" w:rsidR="00182F1A" w:rsidRPr="00182F1A" w:rsidRDefault="00182F1A" w:rsidP="00903AED">
            <w:pPr>
              <w:pStyle w:val="Tabletextcentred"/>
              <w:keepNext/>
              <w:rPr>
                <w:b/>
              </w:rPr>
            </w:pPr>
            <w:r w:rsidRPr="00182F1A">
              <w:rPr>
                <w:b/>
              </w:rPr>
              <w:t>18</w:t>
            </w:r>
          </w:p>
        </w:tc>
      </w:tr>
      <w:tr w:rsidR="00182F1A" w:rsidRPr="00B11BD7" w14:paraId="1ACB538F" w14:textId="77777777" w:rsidTr="00182F1A">
        <w:tc>
          <w:tcPr>
            <w:tcW w:w="939" w:type="pct"/>
            <w:shd w:val="clear" w:color="auto" w:fill="D0CECE" w:themeFill="background2" w:themeFillShade="E6"/>
          </w:tcPr>
          <w:p w14:paraId="4ECC7AFE" w14:textId="77777777" w:rsidR="00182F1A" w:rsidRPr="00182F1A" w:rsidRDefault="00182F1A" w:rsidP="00903AED">
            <w:pPr>
              <w:pStyle w:val="Tabletextcentred"/>
              <w:keepNext/>
              <w:jc w:val="left"/>
            </w:pPr>
            <w:r w:rsidRPr="00182F1A">
              <w:t>SPECT</w:t>
            </w:r>
          </w:p>
        </w:tc>
        <w:tc>
          <w:tcPr>
            <w:tcW w:w="1015" w:type="pct"/>
            <w:shd w:val="clear" w:color="auto" w:fill="D0CECE" w:themeFill="background2" w:themeFillShade="E6"/>
          </w:tcPr>
          <w:p w14:paraId="1597524B" w14:textId="77777777" w:rsidR="00182F1A" w:rsidRPr="00182F1A" w:rsidRDefault="00182F1A" w:rsidP="00903AED">
            <w:pPr>
              <w:pStyle w:val="Tabletextcentred"/>
              <w:keepNext/>
            </w:pPr>
            <w:r w:rsidRPr="00182F1A">
              <w:t>-</w:t>
            </w:r>
          </w:p>
        </w:tc>
        <w:tc>
          <w:tcPr>
            <w:tcW w:w="1015" w:type="pct"/>
            <w:shd w:val="clear" w:color="auto" w:fill="D0CECE" w:themeFill="background2" w:themeFillShade="E6"/>
          </w:tcPr>
          <w:p w14:paraId="68585C23" w14:textId="1238584F" w:rsidR="00182F1A" w:rsidRPr="00182F1A" w:rsidRDefault="00182F1A" w:rsidP="00903AED">
            <w:pPr>
              <w:pStyle w:val="Tabletextcentred"/>
              <w:keepNext/>
            </w:pPr>
            <w:r w:rsidRPr="00EC52D0">
              <w:t>-</w:t>
            </w:r>
          </w:p>
        </w:tc>
        <w:tc>
          <w:tcPr>
            <w:tcW w:w="1015" w:type="pct"/>
            <w:shd w:val="clear" w:color="auto" w:fill="D0CECE" w:themeFill="background2" w:themeFillShade="E6"/>
          </w:tcPr>
          <w:p w14:paraId="7160C232" w14:textId="0E53ECA4" w:rsidR="00182F1A" w:rsidRPr="00182F1A" w:rsidRDefault="00182F1A" w:rsidP="00903AED">
            <w:pPr>
              <w:pStyle w:val="Tabletextcentred"/>
              <w:keepNext/>
            </w:pPr>
            <w:r w:rsidRPr="00E00519">
              <w:t>-</w:t>
            </w:r>
          </w:p>
        </w:tc>
        <w:tc>
          <w:tcPr>
            <w:tcW w:w="1015" w:type="pct"/>
            <w:shd w:val="clear" w:color="auto" w:fill="D0CECE" w:themeFill="background2" w:themeFillShade="E6"/>
          </w:tcPr>
          <w:p w14:paraId="693CCFED" w14:textId="7357262F" w:rsidR="00182F1A" w:rsidRPr="00182F1A" w:rsidRDefault="00182F1A" w:rsidP="00903AED">
            <w:pPr>
              <w:pStyle w:val="Tabletextcentred"/>
              <w:keepNext/>
            </w:pPr>
            <w:r w:rsidRPr="00182F1A">
              <w:t>-</w:t>
            </w:r>
          </w:p>
        </w:tc>
      </w:tr>
      <w:tr w:rsidR="00182F1A" w:rsidRPr="00B11BD7" w14:paraId="0D0D52C5" w14:textId="77777777" w:rsidTr="00182F1A">
        <w:tc>
          <w:tcPr>
            <w:tcW w:w="939" w:type="pct"/>
            <w:shd w:val="clear" w:color="auto" w:fill="FFFFFF" w:themeFill="background1"/>
          </w:tcPr>
          <w:p w14:paraId="0551638E" w14:textId="77777777" w:rsidR="00182F1A" w:rsidRPr="00182F1A" w:rsidRDefault="00182F1A" w:rsidP="00903AED">
            <w:pPr>
              <w:pStyle w:val="Tabletextcentred"/>
              <w:keepNext/>
              <w:jc w:val="left"/>
            </w:pPr>
            <w:r w:rsidRPr="00182F1A">
              <w:t>Ito (2014)</w:t>
            </w:r>
          </w:p>
        </w:tc>
        <w:tc>
          <w:tcPr>
            <w:tcW w:w="1015" w:type="pct"/>
            <w:shd w:val="clear" w:color="auto" w:fill="FFFFFF" w:themeFill="background1"/>
          </w:tcPr>
          <w:p w14:paraId="1E64E075" w14:textId="77777777" w:rsidR="00182F1A" w:rsidRPr="00182F1A" w:rsidRDefault="00182F1A" w:rsidP="00903AED">
            <w:pPr>
              <w:pStyle w:val="Tabletextcentred"/>
              <w:keepNext/>
            </w:pPr>
            <w:r w:rsidRPr="00182F1A">
              <w:t>33</w:t>
            </w:r>
          </w:p>
        </w:tc>
        <w:tc>
          <w:tcPr>
            <w:tcW w:w="1015" w:type="pct"/>
            <w:shd w:val="clear" w:color="auto" w:fill="FFFFFF" w:themeFill="background1"/>
          </w:tcPr>
          <w:p w14:paraId="71A75E2E" w14:textId="16A085ED" w:rsidR="00182F1A" w:rsidRPr="00182F1A" w:rsidRDefault="00182F1A" w:rsidP="00903AED">
            <w:pPr>
              <w:pStyle w:val="Tabletextcentred"/>
              <w:keepNext/>
            </w:pPr>
            <w:r w:rsidRPr="00EC52D0">
              <w:t>10</w:t>
            </w:r>
          </w:p>
        </w:tc>
        <w:tc>
          <w:tcPr>
            <w:tcW w:w="1015" w:type="pct"/>
            <w:shd w:val="clear" w:color="auto" w:fill="FFFFFF" w:themeFill="background1"/>
          </w:tcPr>
          <w:p w14:paraId="2D8D0A3E" w14:textId="44A9FBDC" w:rsidR="00182F1A" w:rsidRPr="00182F1A" w:rsidRDefault="00182F1A" w:rsidP="00903AED">
            <w:pPr>
              <w:pStyle w:val="Tabletextcentred"/>
              <w:keepNext/>
            </w:pPr>
            <w:r w:rsidRPr="00E00519">
              <w:t>7</w:t>
            </w:r>
          </w:p>
        </w:tc>
        <w:tc>
          <w:tcPr>
            <w:tcW w:w="1015" w:type="pct"/>
            <w:shd w:val="clear" w:color="auto" w:fill="FFFFFF" w:themeFill="background1"/>
          </w:tcPr>
          <w:p w14:paraId="1F039FE1" w14:textId="2806F260" w:rsidR="00182F1A" w:rsidRPr="00182F1A" w:rsidRDefault="00182F1A" w:rsidP="00903AED">
            <w:pPr>
              <w:pStyle w:val="Tabletextcentred"/>
              <w:keepNext/>
            </w:pPr>
            <w:r w:rsidRPr="00182F1A">
              <w:t>5</w:t>
            </w:r>
          </w:p>
        </w:tc>
      </w:tr>
      <w:tr w:rsidR="00182F1A" w:rsidRPr="00B11BD7" w14:paraId="797F0BBF" w14:textId="77777777" w:rsidTr="00182F1A">
        <w:tc>
          <w:tcPr>
            <w:tcW w:w="939" w:type="pct"/>
            <w:shd w:val="clear" w:color="auto" w:fill="FFFFFF" w:themeFill="background1"/>
          </w:tcPr>
          <w:p w14:paraId="532D0F08" w14:textId="77777777" w:rsidR="00182F1A" w:rsidRPr="00182F1A" w:rsidRDefault="00182F1A" w:rsidP="00903AED">
            <w:pPr>
              <w:pStyle w:val="Tabletextcentred"/>
              <w:keepNext/>
              <w:jc w:val="left"/>
            </w:pPr>
            <w:r w:rsidRPr="00182F1A">
              <w:t>Döbert (2005)</w:t>
            </w:r>
          </w:p>
        </w:tc>
        <w:tc>
          <w:tcPr>
            <w:tcW w:w="1015" w:type="pct"/>
            <w:shd w:val="clear" w:color="auto" w:fill="FFFFFF" w:themeFill="background1"/>
          </w:tcPr>
          <w:p w14:paraId="02A679FB" w14:textId="77777777" w:rsidR="00182F1A" w:rsidRPr="00182F1A" w:rsidRDefault="00182F1A" w:rsidP="00903AED">
            <w:pPr>
              <w:pStyle w:val="Tabletextcentred"/>
              <w:keepNext/>
            </w:pPr>
            <w:r w:rsidRPr="00182F1A">
              <w:t>1</w:t>
            </w:r>
          </w:p>
        </w:tc>
        <w:tc>
          <w:tcPr>
            <w:tcW w:w="1015" w:type="pct"/>
            <w:shd w:val="clear" w:color="auto" w:fill="FFFFFF" w:themeFill="background1"/>
          </w:tcPr>
          <w:p w14:paraId="5369CC41" w14:textId="273E838E" w:rsidR="00182F1A" w:rsidRPr="00182F1A" w:rsidRDefault="00182F1A" w:rsidP="00903AED">
            <w:pPr>
              <w:pStyle w:val="Tabletextcentred"/>
              <w:keepNext/>
            </w:pPr>
            <w:r w:rsidRPr="00EC52D0">
              <w:t>3</w:t>
            </w:r>
          </w:p>
        </w:tc>
        <w:tc>
          <w:tcPr>
            <w:tcW w:w="1015" w:type="pct"/>
            <w:shd w:val="clear" w:color="auto" w:fill="FFFFFF" w:themeFill="background1"/>
          </w:tcPr>
          <w:p w14:paraId="1440DF1C" w14:textId="48300E2C" w:rsidR="00182F1A" w:rsidRPr="00182F1A" w:rsidRDefault="00182F1A" w:rsidP="00903AED">
            <w:pPr>
              <w:pStyle w:val="Tabletextcentred"/>
              <w:keepNext/>
            </w:pPr>
            <w:r w:rsidRPr="00E00519">
              <w:t>8</w:t>
            </w:r>
          </w:p>
        </w:tc>
        <w:tc>
          <w:tcPr>
            <w:tcW w:w="1015" w:type="pct"/>
            <w:shd w:val="clear" w:color="auto" w:fill="FFFFFF" w:themeFill="background1"/>
          </w:tcPr>
          <w:p w14:paraId="47A23E04" w14:textId="16CEBD4D" w:rsidR="00182F1A" w:rsidRPr="00182F1A" w:rsidRDefault="00182F1A" w:rsidP="00903AED">
            <w:pPr>
              <w:pStyle w:val="Tabletextcentred"/>
              <w:keepNext/>
            </w:pPr>
            <w:r w:rsidRPr="00182F1A">
              <w:t>12</w:t>
            </w:r>
          </w:p>
        </w:tc>
      </w:tr>
      <w:tr w:rsidR="00182F1A" w14:paraId="42C313C7" w14:textId="77777777" w:rsidTr="00182F1A">
        <w:tc>
          <w:tcPr>
            <w:tcW w:w="939" w:type="pct"/>
            <w:shd w:val="clear" w:color="auto" w:fill="FFFFFF" w:themeFill="background1"/>
          </w:tcPr>
          <w:p w14:paraId="19F29719" w14:textId="77777777" w:rsidR="00182F1A" w:rsidRPr="00182F1A" w:rsidRDefault="00182F1A" w:rsidP="00903AED">
            <w:pPr>
              <w:pStyle w:val="Tabletextcentred"/>
              <w:keepNext/>
              <w:jc w:val="left"/>
              <w:rPr>
                <w:b/>
              </w:rPr>
            </w:pPr>
            <w:r w:rsidRPr="00182F1A">
              <w:rPr>
                <w:b/>
              </w:rPr>
              <w:t>Total</w:t>
            </w:r>
          </w:p>
        </w:tc>
        <w:tc>
          <w:tcPr>
            <w:tcW w:w="1015" w:type="pct"/>
            <w:shd w:val="clear" w:color="auto" w:fill="FFFFFF" w:themeFill="background1"/>
          </w:tcPr>
          <w:p w14:paraId="0A9B658A" w14:textId="77777777" w:rsidR="00182F1A" w:rsidRPr="00182F1A" w:rsidRDefault="00182F1A" w:rsidP="00903AED">
            <w:pPr>
              <w:pStyle w:val="Tabletextcentred"/>
              <w:keepNext/>
              <w:rPr>
                <w:b/>
              </w:rPr>
            </w:pPr>
            <w:r w:rsidRPr="00182F1A">
              <w:rPr>
                <w:b/>
              </w:rPr>
              <w:t>34</w:t>
            </w:r>
          </w:p>
        </w:tc>
        <w:tc>
          <w:tcPr>
            <w:tcW w:w="1015" w:type="pct"/>
            <w:shd w:val="clear" w:color="auto" w:fill="FFFFFF" w:themeFill="background1"/>
          </w:tcPr>
          <w:p w14:paraId="1CB7804E" w14:textId="2449A9BE" w:rsidR="00182F1A" w:rsidRPr="00182F1A" w:rsidRDefault="00182F1A" w:rsidP="00903AED">
            <w:pPr>
              <w:pStyle w:val="Tabletextcentred"/>
              <w:keepNext/>
              <w:rPr>
                <w:b/>
              </w:rPr>
            </w:pPr>
            <w:r w:rsidRPr="00182F1A">
              <w:rPr>
                <w:b/>
              </w:rPr>
              <w:t>13</w:t>
            </w:r>
          </w:p>
        </w:tc>
        <w:tc>
          <w:tcPr>
            <w:tcW w:w="1015" w:type="pct"/>
            <w:shd w:val="clear" w:color="auto" w:fill="FFFFFF" w:themeFill="background1"/>
          </w:tcPr>
          <w:p w14:paraId="1EC4DAE2" w14:textId="769C935C" w:rsidR="00182F1A" w:rsidRPr="00182F1A" w:rsidRDefault="00182F1A" w:rsidP="00903AED">
            <w:pPr>
              <w:pStyle w:val="Tabletextcentred"/>
              <w:keepNext/>
              <w:rPr>
                <w:b/>
              </w:rPr>
            </w:pPr>
            <w:r w:rsidRPr="00182F1A">
              <w:rPr>
                <w:b/>
              </w:rPr>
              <w:t>15</w:t>
            </w:r>
          </w:p>
        </w:tc>
        <w:tc>
          <w:tcPr>
            <w:tcW w:w="1015" w:type="pct"/>
            <w:shd w:val="clear" w:color="auto" w:fill="FFFFFF" w:themeFill="background1"/>
          </w:tcPr>
          <w:p w14:paraId="06930F3E" w14:textId="17BBE820" w:rsidR="00182F1A" w:rsidRPr="00182F1A" w:rsidRDefault="00182F1A" w:rsidP="00903AED">
            <w:pPr>
              <w:pStyle w:val="Tabletextcentred"/>
              <w:keepNext/>
              <w:rPr>
                <w:b/>
              </w:rPr>
            </w:pPr>
            <w:r w:rsidRPr="00182F1A">
              <w:rPr>
                <w:b/>
              </w:rPr>
              <w:t>17</w:t>
            </w:r>
          </w:p>
        </w:tc>
      </w:tr>
    </w:tbl>
    <w:p w14:paraId="003950D5" w14:textId="20223BC7" w:rsidR="00291969" w:rsidRDefault="00291969" w:rsidP="00903AED">
      <w:pPr>
        <w:pStyle w:val="Tablefootnotes"/>
        <w:keepNext/>
      </w:pPr>
      <w:r>
        <w:t xml:space="preserve">Source: Section B, </w:t>
      </w:r>
      <w:r>
        <w:fldChar w:fldCharType="begin"/>
      </w:r>
      <w:r>
        <w:instrText xml:space="preserve"> REF _Ref405969175 \h </w:instrText>
      </w:r>
      <w:r>
        <w:fldChar w:fldCharType="separate"/>
      </w:r>
      <w:r w:rsidR="00C67698">
        <w:t xml:space="preserve">Table </w:t>
      </w:r>
      <w:r w:rsidR="00C67698">
        <w:rPr>
          <w:noProof/>
        </w:rPr>
        <w:t>B.6</w:t>
      </w:r>
      <w:r w:rsidR="00C67698">
        <w:noBreakHyphen/>
      </w:r>
      <w:r w:rsidR="00C67698">
        <w:rPr>
          <w:noProof/>
        </w:rPr>
        <w:t>1</w:t>
      </w:r>
      <w:r>
        <w:fldChar w:fldCharType="end"/>
      </w:r>
      <w:r>
        <w:t>.</w:t>
      </w:r>
    </w:p>
    <w:p w14:paraId="50DA9BF9" w14:textId="7AC81029" w:rsidR="007F6723" w:rsidRDefault="00291969" w:rsidP="00B7262D">
      <w:pPr>
        <w:pStyle w:val="Tablefootnotes"/>
      </w:pPr>
      <w:r>
        <w:rPr>
          <w:vertAlign w:val="superscript"/>
        </w:rPr>
        <w:t>a</w:t>
      </w:r>
      <w:r>
        <w:t xml:space="preserve"> </w:t>
      </w:r>
      <w:r w:rsidR="007F6723" w:rsidRPr="006229C1">
        <w:t>Scans were read by an expert neurological nuclear medicine physician</w:t>
      </w:r>
      <w:r>
        <w:t xml:space="preserve"> (Reader 1)</w:t>
      </w:r>
      <w:r w:rsidR="007F6723" w:rsidRPr="006229C1">
        <w:t>. Note that this study also reported separate sets of results for scans read by a trainee and by a neuroradiologist.</w:t>
      </w:r>
    </w:p>
    <w:p w14:paraId="156C99B2" w14:textId="77777777" w:rsidR="007F6723" w:rsidRPr="00C435EA" w:rsidRDefault="007F6723" w:rsidP="007F6723">
      <w:pPr>
        <w:pStyle w:val="Heading3"/>
      </w:pPr>
      <w:r w:rsidRPr="00C435EA">
        <w:t>Relationship of the pre-modelling study to the economic evaluation</w:t>
      </w:r>
    </w:p>
    <w:p w14:paraId="0251033B" w14:textId="026E3CBB" w:rsidR="007F6723" w:rsidRPr="00C630CC" w:rsidRDefault="00933B5D" w:rsidP="00F0142A">
      <w:r>
        <w:t xml:space="preserve">The data presented in </w:t>
      </w:r>
      <w:r>
        <w:fldChar w:fldCharType="begin"/>
      </w:r>
      <w:r>
        <w:instrText xml:space="preserve"> REF _Ref406417160 \h </w:instrText>
      </w:r>
      <w:r>
        <w:fldChar w:fldCharType="separate"/>
      </w:r>
      <w:r w:rsidR="00C67698">
        <w:t xml:space="preserve">Table </w:t>
      </w:r>
      <w:r w:rsidR="00C67698">
        <w:rPr>
          <w:noProof/>
        </w:rPr>
        <w:t>C.9</w:t>
      </w:r>
      <w:r w:rsidR="00C67698">
        <w:noBreakHyphen/>
      </w:r>
      <w:r w:rsidR="00C67698">
        <w:rPr>
          <w:noProof/>
        </w:rPr>
        <w:t>1</w:t>
      </w:r>
      <w:r>
        <w:fldChar w:fldCharType="end"/>
      </w:r>
      <w:r>
        <w:t xml:space="preserve"> </w:t>
      </w:r>
      <w:r w:rsidR="00F0142A">
        <w:t xml:space="preserve">were used to determine the probability of individuals receiving a correct or incorrect diagnosis with either FDG-PET or SPECT. These probabilities are calculated in Section </w:t>
      </w:r>
      <w:r w:rsidR="00F0142A">
        <w:fldChar w:fldCharType="begin"/>
      </w:r>
      <w:r w:rsidR="00F0142A">
        <w:instrText xml:space="preserve"> REF _Ref406417315 \w \h </w:instrText>
      </w:r>
      <w:r w:rsidR="00F0142A">
        <w:fldChar w:fldCharType="separate"/>
      </w:r>
      <w:r w:rsidR="00C67698">
        <w:t>D.4.2</w:t>
      </w:r>
      <w:r w:rsidR="00F0142A">
        <w:fldChar w:fldCharType="end"/>
      </w:r>
      <w:r>
        <w:t xml:space="preserve"> and applied to the base case of the economic model</w:t>
      </w:r>
      <w:r w:rsidR="00F0142A">
        <w:t>.</w:t>
      </w:r>
      <w:r w:rsidR="00DD543D">
        <w:t xml:space="preserve"> Sensitivity analyses relating to these estimates are shown in Section </w:t>
      </w:r>
      <w:r w:rsidR="00DD543D">
        <w:fldChar w:fldCharType="begin"/>
      </w:r>
      <w:r w:rsidR="00DD543D">
        <w:instrText xml:space="preserve"> REF _Ref278810398 \w \h </w:instrText>
      </w:r>
      <w:r w:rsidR="00DD543D">
        <w:fldChar w:fldCharType="separate"/>
      </w:r>
      <w:r w:rsidR="00C67698">
        <w:t>D.6</w:t>
      </w:r>
      <w:r w:rsidR="00DD543D">
        <w:fldChar w:fldCharType="end"/>
      </w:r>
    </w:p>
    <w:p w14:paraId="78F59F6F" w14:textId="77777777" w:rsidR="007F6723" w:rsidRDefault="007F6723" w:rsidP="007F6723">
      <w:pPr>
        <w:pStyle w:val="Heading2"/>
      </w:pPr>
      <w:bookmarkStart w:id="203" w:name="_Toc406172434"/>
      <w:bookmarkStart w:id="204" w:name="_Toc408845178"/>
      <w:r>
        <w:t>Summary of the translation issues considered and their relationship to the economic evaluation</w:t>
      </w:r>
      <w:bookmarkEnd w:id="203"/>
      <w:bookmarkEnd w:id="204"/>
    </w:p>
    <w:p w14:paraId="01F25D97" w14:textId="422C53E4" w:rsidR="007F6723" w:rsidRDefault="007F6723" w:rsidP="007F6723">
      <w:r>
        <w:fldChar w:fldCharType="begin"/>
      </w:r>
      <w:r>
        <w:instrText xml:space="preserve"> REF _Ref278792702 \h </w:instrText>
      </w:r>
      <w:r>
        <w:fldChar w:fldCharType="separate"/>
      </w:r>
      <w:r w:rsidR="00C67698">
        <w:t xml:space="preserve">Table </w:t>
      </w:r>
      <w:r w:rsidR="00C67698">
        <w:rPr>
          <w:noProof/>
        </w:rPr>
        <w:t>C.10</w:t>
      </w:r>
      <w:r w:rsidR="00C67698">
        <w:noBreakHyphen/>
      </w:r>
      <w:r w:rsidR="00C67698">
        <w:rPr>
          <w:noProof/>
        </w:rPr>
        <w:t>1</w:t>
      </w:r>
      <w:r>
        <w:fldChar w:fldCharType="end"/>
      </w:r>
      <w:r w:rsidR="003140D6">
        <w:t xml:space="preserve"> </w:t>
      </w:r>
      <w:r>
        <w:t>below summarises all potential translation issues/pre-modelling studies considered in Section C above.</w:t>
      </w:r>
    </w:p>
    <w:p w14:paraId="49FD226D" w14:textId="12873AA0" w:rsidR="007F6723" w:rsidRDefault="007F6723" w:rsidP="007F6723">
      <w:pPr>
        <w:pStyle w:val="Caption"/>
      </w:pPr>
      <w:bookmarkStart w:id="205" w:name="_Ref278792702"/>
      <w:bookmarkStart w:id="206" w:name="_Toc406172480"/>
      <w:bookmarkStart w:id="207" w:name="_Toc408845235"/>
      <w:r>
        <w:t xml:space="preserve">Table </w:t>
      </w:r>
      <w:fldSimple w:instr=" STYLEREF 2 \s ">
        <w:r w:rsidR="00C67698">
          <w:rPr>
            <w:noProof/>
          </w:rPr>
          <w:t>C.10</w:t>
        </w:r>
      </w:fldSimple>
      <w:r w:rsidR="00524916">
        <w:noBreakHyphen/>
      </w:r>
      <w:fldSimple w:instr=" SEQ Table \* ARABIC \s 2 ">
        <w:r w:rsidR="00C67698">
          <w:rPr>
            <w:noProof/>
          </w:rPr>
          <w:t>1</w:t>
        </w:r>
      </w:fldSimple>
      <w:bookmarkEnd w:id="205"/>
      <w:r>
        <w:tab/>
        <w:t>Summary of translation issues considered in Section C</w:t>
      </w:r>
      <w:bookmarkEnd w:id="206"/>
      <w:bookmarkEnd w:id="207"/>
    </w:p>
    <w:tbl>
      <w:tblPr>
        <w:tblStyle w:val="TableGrid"/>
        <w:tblW w:w="4619" w:type="pct"/>
        <w:tblInd w:w="704" w:type="dxa"/>
        <w:tblLayout w:type="fixed"/>
        <w:tblLook w:val="04A0" w:firstRow="1" w:lastRow="0" w:firstColumn="1" w:lastColumn="0" w:noHBand="0" w:noVBand="1"/>
        <w:tblCaption w:val="Summary of translation issues considered in Section C"/>
        <w:tblDescription w:val="A summary of the applicability, extrapolation and transformation issues considered in Section C"/>
      </w:tblPr>
      <w:tblGrid>
        <w:gridCol w:w="1955"/>
        <w:gridCol w:w="3262"/>
        <w:gridCol w:w="3321"/>
      </w:tblGrid>
      <w:tr w:rsidR="007F6723" w14:paraId="2D10A59E" w14:textId="77777777" w:rsidTr="00553BF9">
        <w:trPr>
          <w:tblHeader/>
        </w:trPr>
        <w:tc>
          <w:tcPr>
            <w:tcW w:w="1145" w:type="pct"/>
            <w:tcBorders>
              <w:bottom w:val="single" w:sz="4" w:space="0" w:color="auto"/>
            </w:tcBorders>
          </w:tcPr>
          <w:p w14:paraId="0F1E8EC3" w14:textId="77777777" w:rsidR="007F6723" w:rsidRDefault="007F6723" w:rsidP="00181CF8">
            <w:pPr>
              <w:pStyle w:val="Tabletextboldleft"/>
            </w:pPr>
            <w:r>
              <w:t>Translation issue</w:t>
            </w:r>
          </w:p>
        </w:tc>
        <w:tc>
          <w:tcPr>
            <w:tcW w:w="1910" w:type="pct"/>
            <w:tcBorders>
              <w:bottom w:val="single" w:sz="4" w:space="0" w:color="auto"/>
            </w:tcBorders>
          </w:tcPr>
          <w:p w14:paraId="22578D2F" w14:textId="77777777" w:rsidR="007F6723" w:rsidRDefault="007F6723" w:rsidP="00181CF8">
            <w:pPr>
              <w:pStyle w:val="Tabletextboldleft"/>
            </w:pPr>
            <w:r>
              <w:t>Methods and data sources</w:t>
            </w:r>
          </w:p>
        </w:tc>
        <w:tc>
          <w:tcPr>
            <w:tcW w:w="1945" w:type="pct"/>
          </w:tcPr>
          <w:p w14:paraId="13CFFC59" w14:textId="77777777" w:rsidR="007F6723" w:rsidRDefault="007F6723" w:rsidP="00181CF8">
            <w:pPr>
              <w:pStyle w:val="Tabletextboldleft"/>
            </w:pPr>
            <w:r>
              <w:t>Relationship with Section D</w:t>
            </w:r>
          </w:p>
        </w:tc>
      </w:tr>
      <w:tr w:rsidR="007F6723" w14:paraId="1716688E" w14:textId="77777777" w:rsidTr="00553BF9">
        <w:tc>
          <w:tcPr>
            <w:tcW w:w="1145" w:type="pct"/>
            <w:tcBorders>
              <w:right w:val="nil"/>
            </w:tcBorders>
            <w:shd w:val="clear" w:color="auto" w:fill="BFBFBF" w:themeFill="background1" w:themeFillShade="BF"/>
          </w:tcPr>
          <w:p w14:paraId="72AE7C95" w14:textId="77777777" w:rsidR="007F6723" w:rsidRPr="00903AED" w:rsidRDefault="007F6723" w:rsidP="00181CF8">
            <w:pPr>
              <w:pStyle w:val="Tabletextcentred"/>
              <w:jc w:val="left"/>
            </w:pPr>
            <w:r w:rsidRPr="00903AED">
              <w:t>Applicability issues</w:t>
            </w:r>
          </w:p>
        </w:tc>
        <w:tc>
          <w:tcPr>
            <w:tcW w:w="1910" w:type="pct"/>
            <w:tcBorders>
              <w:left w:val="nil"/>
              <w:right w:val="nil"/>
            </w:tcBorders>
            <w:shd w:val="clear" w:color="auto" w:fill="BFBFBF" w:themeFill="background1" w:themeFillShade="BF"/>
          </w:tcPr>
          <w:p w14:paraId="2AEE4655" w14:textId="77777777" w:rsidR="007F6723" w:rsidRPr="00B20A1B" w:rsidRDefault="007F6723" w:rsidP="00181CF8">
            <w:pPr>
              <w:pStyle w:val="Tabletextcentred"/>
              <w:jc w:val="left"/>
              <w:rPr>
                <w:i/>
              </w:rPr>
            </w:pPr>
            <w:r>
              <w:rPr>
                <w:i/>
              </w:rPr>
              <w:t>-</w:t>
            </w:r>
          </w:p>
        </w:tc>
        <w:tc>
          <w:tcPr>
            <w:tcW w:w="1945" w:type="pct"/>
            <w:tcBorders>
              <w:left w:val="nil"/>
            </w:tcBorders>
            <w:shd w:val="clear" w:color="auto" w:fill="BFBFBF" w:themeFill="background1" w:themeFillShade="BF"/>
          </w:tcPr>
          <w:p w14:paraId="120CFB6E" w14:textId="77777777" w:rsidR="007F6723" w:rsidRPr="00B20A1B" w:rsidRDefault="007F6723" w:rsidP="00181CF8">
            <w:pPr>
              <w:pStyle w:val="Tabletextcentred"/>
              <w:jc w:val="left"/>
              <w:rPr>
                <w:i/>
              </w:rPr>
            </w:pPr>
            <w:r>
              <w:rPr>
                <w:i/>
              </w:rPr>
              <w:t>-</w:t>
            </w:r>
          </w:p>
        </w:tc>
      </w:tr>
      <w:tr w:rsidR="007F6723" w14:paraId="7E680AF2" w14:textId="77777777" w:rsidTr="00553BF9">
        <w:tc>
          <w:tcPr>
            <w:tcW w:w="1145" w:type="pct"/>
            <w:tcBorders>
              <w:bottom w:val="single" w:sz="4" w:space="0" w:color="auto"/>
            </w:tcBorders>
          </w:tcPr>
          <w:p w14:paraId="51B5CEE6" w14:textId="77777777" w:rsidR="007F6723" w:rsidRDefault="007F6723" w:rsidP="00181CF8">
            <w:pPr>
              <w:pStyle w:val="Tabletextcentred"/>
              <w:jc w:val="left"/>
            </w:pPr>
            <w:r>
              <w:t>Population and circumstances of use</w:t>
            </w:r>
          </w:p>
        </w:tc>
        <w:tc>
          <w:tcPr>
            <w:tcW w:w="1910" w:type="pct"/>
            <w:tcBorders>
              <w:bottom w:val="single" w:sz="4" w:space="0" w:color="auto"/>
            </w:tcBorders>
          </w:tcPr>
          <w:p w14:paraId="46CF3A0D" w14:textId="77777777" w:rsidR="007F6723" w:rsidRDefault="007F6723" w:rsidP="00181CF8">
            <w:pPr>
              <w:pStyle w:val="Tabletextcentred"/>
              <w:jc w:val="left"/>
            </w:pPr>
            <w:r>
              <w:t>Characteristics of the requested listing and the modelled population/circumstances of use were considered in isolation and compared.</w:t>
            </w:r>
          </w:p>
        </w:tc>
        <w:tc>
          <w:tcPr>
            <w:tcW w:w="1945" w:type="pct"/>
          </w:tcPr>
          <w:p w14:paraId="16F2DF2A" w14:textId="77777777" w:rsidR="007F6723" w:rsidRPr="00884A82" w:rsidRDefault="007F6723" w:rsidP="00181CF8">
            <w:pPr>
              <w:pStyle w:val="Tabletextcentred"/>
              <w:jc w:val="left"/>
            </w:pPr>
            <w:r>
              <w:t>Requested listing was modelled in Section D as closely as possible given data limitations; potential differences were identified and flagged for testing in sensitivity analyses.</w:t>
            </w:r>
          </w:p>
        </w:tc>
      </w:tr>
      <w:tr w:rsidR="007F6723" w14:paraId="7F012154" w14:textId="77777777" w:rsidTr="00553BF9">
        <w:tc>
          <w:tcPr>
            <w:tcW w:w="1145" w:type="pct"/>
            <w:tcBorders>
              <w:right w:val="nil"/>
            </w:tcBorders>
            <w:shd w:val="clear" w:color="auto" w:fill="BFBFBF" w:themeFill="background1" w:themeFillShade="BF"/>
          </w:tcPr>
          <w:p w14:paraId="7878EB0F" w14:textId="77777777" w:rsidR="007F6723" w:rsidRPr="00903AED" w:rsidRDefault="007F6723" w:rsidP="00181CF8">
            <w:pPr>
              <w:pStyle w:val="Tabletextcentred"/>
              <w:jc w:val="left"/>
            </w:pPr>
            <w:r w:rsidRPr="00903AED">
              <w:t>Extrapolation issues</w:t>
            </w:r>
          </w:p>
        </w:tc>
        <w:tc>
          <w:tcPr>
            <w:tcW w:w="1910" w:type="pct"/>
            <w:tcBorders>
              <w:left w:val="nil"/>
              <w:right w:val="nil"/>
            </w:tcBorders>
            <w:shd w:val="clear" w:color="auto" w:fill="BFBFBF" w:themeFill="background1" w:themeFillShade="BF"/>
          </w:tcPr>
          <w:p w14:paraId="51DE961C" w14:textId="77777777" w:rsidR="007F6723" w:rsidRPr="00903AED" w:rsidRDefault="007F6723" w:rsidP="00181CF8">
            <w:pPr>
              <w:pStyle w:val="Tabletextcentred"/>
              <w:jc w:val="left"/>
              <w:rPr>
                <w:i/>
              </w:rPr>
            </w:pPr>
            <w:r w:rsidRPr="00903AED">
              <w:rPr>
                <w:i/>
              </w:rPr>
              <w:t>-</w:t>
            </w:r>
          </w:p>
        </w:tc>
        <w:tc>
          <w:tcPr>
            <w:tcW w:w="1945" w:type="pct"/>
            <w:tcBorders>
              <w:left w:val="nil"/>
            </w:tcBorders>
            <w:shd w:val="clear" w:color="auto" w:fill="BFBFBF" w:themeFill="background1" w:themeFillShade="BF"/>
          </w:tcPr>
          <w:p w14:paraId="63318D28" w14:textId="77777777" w:rsidR="007F6723" w:rsidRPr="00903AED" w:rsidRDefault="007F6723" w:rsidP="00181CF8">
            <w:pPr>
              <w:pStyle w:val="Tabletextcentred"/>
              <w:jc w:val="left"/>
              <w:rPr>
                <w:i/>
              </w:rPr>
            </w:pPr>
            <w:r w:rsidRPr="00903AED">
              <w:rPr>
                <w:i/>
              </w:rPr>
              <w:t>-</w:t>
            </w:r>
          </w:p>
        </w:tc>
      </w:tr>
      <w:tr w:rsidR="007F6723" w14:paraId="73AA51BE" w14:textId="77777777" w:rsidTr="00553BF9">
        <w:tc>
          <w:tcPr>
            <w:tcW w:w="1145" w:type="pct"/>
            <w:tcBorders>
              <w:bottom w:val="single" w:sz="4" w:space="0" w:color="auto"/>
            </w:tcBorders>
          </w:tcPr>
          <w:p w14:paraId="69687FA3" w14:textId="77777777" w:rsidR="007F6723" w:rsidRDefault="007F6723" w:rsidP="00181CF8">
            <w:pPr>
              <w:pStyle w:val="Tabletextcentred"/>
              <w:jc w:val="left"/>
            </w:pPr>
            <w:r>
              <w:t>Duration of AD treatment</w:t>
            </w:r>
          </w:p>
        </w:tc>
        <w:tc>
          <w:tcPr>
            <w:tcW w:w="1910" w:type="pct"/>
            <w:tcBorders>
              <w:bottom w:val="single" w:sz="4" w:space="0" w:color="auto"/>
            </w:tcBorders>
          </w:tcPr>
          <w:p w14:paraId="68F56E3F" w14:textId="77777777" w:rsidR="007F6723" w:rsidRDefault="007F6723" w:rsidP="00181CF8">
            <w:pPr>
              <w:pStyle w:val="Tabletextcentred"/>
              <w:jc w:val="left"/>
            </w:pPr>
            <w:r>
              <w:t>On the basis of published data, duration of treatment was estimated for mild AD patients treated with AChEIs and moderate patients treated with memantine.</w:t>
            </w:r>
          </w:p>
        </w:tc>
        <w:tc>
          <w:tcPr>
            <w:tcW w:w="1945" w:type="pct"/>
          </w:tcPr>
          <w:p w14:paraId="2A936584" w14:textId="77777777" w:rsidR="007F6723" w:rsidRPr="00884A82" w:rsidRDefault="007F6723" w:rsidP="00181CF8">
            <w:pPr>
              <w:pStyle w:val="Tabletextcentred"/>
              <w:jc w:val="left"/>
            </w:pPr>
            <w:r>
              <w:t>Drug discontinuation rates were applied to the model using the available data. In the case of memantine, the use of non-Australian data meant that PBS restrictions were not inherent in the data; this was therefore flagged for further testing in sensitivity analyses.</w:t>
            </w:r>
          </w:p>
        </w:tc>
      </w:tr>
      <w:tr w:rsidR="007F6723" w14:paraId="7FC5CC42" w14:textId="77777777" w:rsidTr="00553BF9">
        <w:tc>
          <w:tcPr>
            <w:tcW w:w="1145" w:type="pct"/>
            <w:tcBorders>
              <w:right w:val="nil"/>
            </w:tcBorders>
            <w:shd w:val="clear" w:color="auto" w:fill="BFBFBF" w:themeFill="background1" w:themeFillShade="BF"/>
          </w:tcPr>
          <w:p w14:paraId="680EC93A" w14:textId="77777777" w:rsidR="007F6723" w:rsidRPr="00903AED" w:rsidRDefault="007F6723" w:rsidP="00181CF8">
            <w:pPr>
              <w:pStyle w:val="Tabletextcentred"/>
              <w:jc w:val="left"/>
            </w:pPr>
            <w:r w:rsidRPr="00903AED">
              <w:t>Transformation issues</w:t>
            </w:r>
          </w:p>
        </w:tc>
        <w:tc>
          <w:tcPr>
            <w:tcW w:w="1910" w:type="pct"/>
            <w:tcBorders>
              <w:left w:val="nil"/>
              <w:right w:val="nil"/>
            </w:tcBorders>
            <w:shd w:val="clear" w:color="auto" w:fill="BFBFBF" w:themeFill="background1" w:themeFillShade="BF"/>
          </w:tcPr>
          <w:p w14:paraId="1A4AA2CB" w14:textId="77777777" w:rsidR="007F6723" w:rsidRPr="00903AED" w:rsidRDefault="007F6723" w:rsidP="00181CF8">
            <w:pPr>
              <w:pStyle w:val="Tabletextcentred"/>
              <w:jc w:val="left"/>
            </w:pPr>
            <w:r w:rsidRPr="00903AED">
              <w:t>-</w:t>
            </w:r>
          </w:p>
        </w:tc>
        <w:tc>
          <w:tcPr>
            <w:tcW w:w="1945" w:type="pct"/>
            <w:tcBorders>
              <w:left w:val="nil"/>
            </w:tcBorders>
            <w:shd w:val="clear" w:color="auto" w:fill="BFBFBF" w:themeFill="background1" w:themeFillShade="BF"/>
          </w:tcPr>
          <w:p w14:paraId="3C540EBA" w14:textId="77777777" w:rsidR="007F6723" w:rsidRPr="00903AED" w:rsidRDefault="007F6723" w:rsidP="00181CF8">
            <w:pPr>
              <w:pStyle w:val="Tabletextcentred"/>
              <w:jc w:val="left"/>
            </w:pPr>
            <w:r w:rsidRPr="00903AED">
              <w:t>-</w:t>
            </w:r>
          </w:p>
        </w:tc>
      </w:tr>
      <w:tr w:rsidR="007F6723" w14:paraId="6A828CEC" w14:textId="77777777" w:rsidTr="00553BF9">
        <w:tc>
          <w:tcPr>
            <w:tcW w:w="1145" w:type="pct"/>
          </w:tcPr>
          <w:p w14:paraId="623A063F" w14:textId="77777777" w:rsidR="007F6723" w:rsidRDefault="007F6723" w:rsidP="00181CF8">
            <w:pPr>
              <w:pStyle w:val="Tabletextcentred"/>
              <w:jc w:val="left"/>
            </w:pPr>
            <w:r>
              <w:t xml:space="preserve">Modelling the natural history of AD </w:t>
            </w:r>
          </w:p>
        </w:tc>
        <w:tc>
          <w:tcPr>
            <w:tcW w:w="1910" w:type="pct"/>
          </w:tcPr>
          <w:p w14:paraId="670E8BE8" w14:textId="0AD59CAC" w:rsidR="00903AED" w:rsidRDefault="007F6723" w:rsidP="00181CF8">
            <w:pPr>
              <w:pStyle w:val="Tabletextcentred"/>
              <w:jc w:val="left"/>
            </w:pPr>
            <w:r>
              <w:t>Following a literature search, published transition probabilities that considered the impact of disease progression (according to mild AD, moderate AD and severe AD classifications) and residential status were sourced. Adjustments were made where appropriate and discussed in Section C.</w:t>
            </w:r>
          </w:p>
        </w:tc>
        <w:tc>
          <w:tcPr>
            <w:tcW w:w="1945" w:type="pct"/>
          </w:tcPr>
          <w:p w14:paraId="341A2823" w14:textId="77777777" w:rsidR="007F6723" w:rsidRPr="00884A82" w:rsidRDefault="007F6723" w:rsidP="00181CF8">
            <w:pPr>
              <w:pStyle w:val="Tabletextcentred"/>
              <w:jc w:val="left"/>
            </w:pPr>
            <w:r>
              <w:t>Transition probabilities were applied to the model and tested in sensitivity analyses.</w:t>
            </w:r>
          </w:p>
        </w:tc>
      </w:tr>
      <w:tr w:rsidR="007F6723" w14:paraId="03B619F4" w14:textId="77777777" w:rsidTr="00553BF9">
        <w:tc>
          <w:tcPr>
            <w:tcW w:w="1145" w:type="pct"/>
          </w:tcPr>
          <w:p w14:paraId="2D651B25" w14:textId="77777777" w:rsidR="007F6723" w:rsidRDefault="007F6723" w:rsidP="00553BF9">
            <w:pPr>
              <w:pStyle w:val="Tabletextcentred"/>
              <w:keepNext/>
              <w:jc w:val="left"/>
            </w:pPr>
            <w:r>
              <w:lastRenderedPageBreak/>
              <w:t>Treatment effect of AD drugs</w:t>
            </w:r>
          </w:p>
        </w:tc>
        <w:tc>
          <w:tcPr>
            <w:tcW w:w="1910" w:type="pct"/>
          </w:tcPr>
          <w:p w14:paraId="1ACF1304" w14:textId="03618F95" w:rsidR="007F6723" w:rsidRDefault="007F6723" w:rsidP="00553BF9">
            <w:pPr>
              <w:pStyle w:val="Tabletextcentred"/>
              <w:keepNext/>
              <w:jc w:val="left"/>
            </w:pPr>
            <w:r>
              <w:t xml:space="preserve">A literature search was used to source estimates of treatment effect for AChEIs and memantine which could be merged with the health states (and technical structure) considered in the economic model. In the case of AChEIs, a relevant relative risk was sourced and applied to individuals with mild AD on treatment. In the case of memantine, a relative risk was calculated from transition probabilities in </w:t>
            </w:r>
            <w:r w:rsidR="00161F56">
              <w:t xml:space="preserve">a </w:t>
            </w:r>
            <w:r>
              <w:t>published economic evaluation. This was applied to moderate patients on treatment for AD.</w:t>
            </w:r>
          </w:p>
        </w:tc>
        <w:tc>
          <w:tcPr>
            <w:tcW w:w="1945" w:type="pct"/>
          </w:tcPr>
          <w:p w14:paraId="15193940" w14:textId="77777777" w:rsidR="007F6723" w:rsidRPr="00884A82" w:rsidRDefault="007F6723" w:rsidP="00553BF9">
            <w:pPr>
              <w:pStyle w:val="Tabletextcentred"/>
              <w:keepNext/>
              <w:jc w:val="left"/>
            </w:pPr>
            <w:r>
              <w:t>Treatment effect was applied to the natural history estimates of an untreated population to slow progression in individuals treated for AD. The uncertainty around the estimates used, which is acknowledged to be considerable, was examined in sensitivity analyses.</w:t>
            </w:r>
          </w:p>
        </w:tc>
      </w:tr>
      <w:tr w:rsidR="007F6723" w14:paraId="35F73E92" w14:textId="77777777" w:rsidTr="00553BF9">
        <w:tc>
          <w:tcPr>
            <w:tcW w:w="1145" w:type="pct"/>
          </w:tcPr>
          <w:p w14:paraId="7C0E66FA" w14:textId="77777777" w:rsidR="007F6723" w:rsidRDefault="007F6723" w:rsidP="00181CF8">
            <w:pPr>
              <w:pStyle w:val="Tabletextcentred"/>
              <w:jc w:val="left"/>
            </w:pPr>
            <w:r>
              <w:t>Utility weights applied to the economic model</w:t>
            </w:r>
          </w:p>
        </w:tc>
        <w:tc>
          <w:tcPr>
            <w:tcW w:w="1910" w:type="pct"/>
          </w:tcPr>
          <w:p w14:paraId="4F916DA5" w14:textId="77777777" w:rsidR="007F6723" w:rsidRDefault="007F6723" w:rsidP="00181CF8">
            <w:pPr>
              <w:pStyle w:val="Tabletextcentred"/>
              <w:jc w:val="left"/>
            </w:pPr>
            <w:r>
              <w:t>A literature search was undertaken to source utility weights for individuals with AD, which considered both disease severity and the impact of institutionalisation in nursing home care.</w:t>
            </w:r>
          </w:p>
        </w:tc>
        <w:tc>
          <w:tcPr>
            <w:tcW w:w="1945" w:type="pct"/>
          </w:tcPr>
          <w:p w14:paraId="19283147" w14:textId="77777777" w:rsidR="007F6723" w:rsidRDefault="007F6723" w:rsidP="00181CF8">
            <w:pPr>
              <w:pStyle w:val="Tabletextcentred"/>
              <w:jc w:val="left"/>
            </w:pPr>
            <w:r>
              <w:t>Utility weights were applied to health states in accordance with the evidence. The impact of these data and the assumptions applied were examined in sensitivity analyses.</w:t>
            </w:r>
          </w:p>
        </w:tc>
      </w:tr>
      <w:tr w:rsidR="007F6723" w14:paraId="5857F88C" w14:textId="77777777" w:rsidTr="00553BF9">
        <w:tc>
          <w:tcPr>
            <w:tcW w:w="1145" w:type="pct"/>
          </w:tcPr>
          <w:p w14:paraId="69282F58" w14:textId="77777777" w:rsidR="007F6723" w:rsidRDefault="007F6723" w:rsidP="00181CF8">
            <w:pPr>
              <w:pStyle w:val="Tabletextcentred"/>
              <w:jc w:val="left"/>
            </w:pPr>
            <w:r>
              <w:t>Healthcare resource use and associated costs</w:t>
            </w:r>
          </w:p>
        </w:tc>
        <w:tc>
          <w:tcPr>
            <w:tcW w:w="1910" w:type="pct"/>
          </w:tcPr>
          <w:p w14:paraId="45AD27AC" w14:textId="77777777" w:rsidR="007F6723" w:rsidRDefault="007F6723" w:rsidP="00181CF8">
            <w:pPr>
              <w:pStyle w:val="Tabletextcentred"/>
              <w:jc w:val="left"/>
            </w:pPr>
            <w:r>
              <w:t>Using published data, costs associated with AD drugs, ongoing care from GPs and costs associated with both care in nursing homes and in the community were estimated.</w:t>
            </w:r>
          </w:p>
        </w:tc>
        <w:tc>
          <w:tcPr>
            <w:tcW w:w="1945" w:type="pct"/>
          </w:tcPr>
          <w:p w14:paraId="1ED7D01F" w14:textId="77777777" w:rsidR="007F6723" w:rsidRDefault="007F6723" w:rsidP="00181CF8">
            <w:pPr>
              <w:pStyle w:val="Tabletextcentred"/>
              <w:jc w:val="left"/>
            </w:pPr>
            <w:r>
              <w:t>Estimated costs were applied to health states as required, considering each health state’s requirements in terms of drug and other treatment/care. The estimates were varied in sensitivity analyses to determine their impact on the base case result.</w:t>
            </w:r>
          </w:p>
        </w:tc>
      </w:tr>
      <w:tr w:rsidR="007F6723" w14:paraId="436EDEDB" w14:textId="77777777" w:rsidTr="00553BF9">
        <w:tc>
          <w:tcPr>
            <w:tcW w:w="1145" w:type="pct"/>
          </w:tcPr>
          <w:p w14:paraId="41E6F10B" w14:textId="77777777" w:rsidR="007F6723" w:rsidRDefault="007F6723" w:rsidP="00181CF8">
            <w:pPr>
              <w:pStyle w:val="Tabletextcentred"/>
              <w:jc w:val="left"/>
            </w:pPr>
            <w:r>
              <w:t>Diagnostic accuracy</w:t>
            </w:r>
          </w:p>
        </w:tc>
        <w:tc>
          <w:tcPr>
            <w:tcW w:w="1910" w:type="pct"/>
          </w:tcPr>
          <w:p w14:paraId="53BA1933" w14:textId="77777777" w:rsidR="007F6723" w:rsidRDefault="007F6723" w:rsidP="00181CF8">
            <w:pPr>
              <w:pStyle w:val="Tabletextcentred"/>
              <w:jc w:val="left"/>
            </w:pPr>
            <w:r>
              <w:t>True positive, true negative, false positive and false negative data from the published literature.</w:t>
            </w:r>
          </w:p>
        </w:tc>
        <w:tc>
          <w:tcPr>
            <w:tcW w:w="1945" w:type="pct"/>
          </w:tcPr>
          <w:p w14:paraId="25658A14" w14:textId="77777777" w:rsidR="007F6723" w:rsidRDefault="007F6723" w:rsidP="00181CF8">
            <w:pPr>
              <w:pStyle w:val="Tabletextcentred"/>
              <w:jc w:val="left"/>
            </w:pPr>
            <w:r>
              <w:t>Base case assumptions regarding diagnostic accuracy were applied to the model but tested in sensitivity analyses to determine the impact of any uncertainty on these point estimates on the cost-effectiveness.</w:t>
            </w:r>
          </w:p>
        </w:tc>
      </w:tr>
    </w:tbl>
    <w:p w14:paraId="31CDB34B" w14:textId="753E9C98" w:rsidR="007F6723" w:rsidRPr="00906BC0" w:rsidRDefault="007F6723" w:rsidP="00903AED">
      <w:pPr>
        <w:pStyle w:val="Tablefootnotes"/>
      </w:pPr>
      <w:r w:rsidRPr="00F94D4D">
        <w:t>Abbreviations</w:t>
      </w:r>
      <w:r>
        <w:t>: AChEIs, acetylcholinesterase inhibitors; AD, Alzheimer’s disease; GPs, general practitioners</w:t>
      </w:r>
    </w:p>
    <w:p w14:paraId="5BFCDBA8" w14:textId="77777777" w:rsidR="00906BC0" w:rsidRPr="00906BC0" w:rsidRDefault="00906BC0" w:rsidP="00906BC0"/>
    <w:p w14:paraId="3402E8CE" w14:textId="61ECAFD4" w:rsidR="00906BC0" w:rsidRDefault="00906BC0" w:rsidP="00F710E2">
      <w:pPr>
        <w:pStyle w:val="Heading1"/>
      </w:pPr>
      <w:bookmarkStart w:id="208" w:name="_Toc408845179"/>
      <w:r w:rsidRPr="00F710E2">
        <w:lastRenderedPageBreak/>
        <w:t>Economic</w:t>
      </w:r>
      <w:r>
        <w:t xml:space="preserve"> evaluation for the main indication</w:t>
      </w:r>
      <w:bookmarkEnd w:id="208"/>
    </w:p>
    <w:p w14:paraId="6EA9EEFD" w14:textId="42F79E95" w:rsidR="00906BC0" w:rsidRDefault="00506E1C" w:rsidP="00C47E47">
      <w:pPr>
        <w:pStyle w:val="Heading2"/>
      </w:pPr>
      <w:bookmarkStart w:id="209" w:name="_Toc408845180"/>
      <w:r>
        <w:t>Overview of the economic evaluation</w:t>
      </w:r>
      <w:bookmarkEnd w:id="209"/>
    </w:p>
    <w:p w14:paraId="5353397D" w14:textId="77777777" w:rsidR="007F6723" w:rsidRPr="00941BE7" w:rsidRDefault="007F6723" w:rsidP="007F6723">
      <w:pPr>
        <w:spacing w:after="120"/>
      </w:pPr>
      <w:r w:rsidRPr="00941BE7">
        <w:t>Diagnosis of AD usually involves:</w:t>
      </w:r>
    </w:p>
    <w:p w14:paraId="3AD15364" w14:textId="77777777" w:rsidR="007F6723" w:rsidRPr="00941BE7" w:rsidRDefault="007F6723" w:rsidP="007F6723">
      <w:pPr>
        <w:pStyle w:val="Bulletpoints"/>
        <w:spacing w:before="120" w:line="240" w:lineRule="auto"/>
        <w:ind w:left="993"/>
      </w:pPr>
      <w:r>
        <w:t>c</w:t>
      </w:r>
      <w:r w:rsidRPr="00941BE7">
        <w:t>linical evaluation (history, examination, cognitive testing) for the assessment of cognitive function</w:t>
      </w:r>
      <w:r>
        <w:t>;</w:t>
      </w:r>
    </w:p>
    <w:p w14:paraId="0B78FB26" w14:textId="77777777" w:rsidR="007F6723" w:rsidRPr="00941BE7" w:rsidRDefault="007F6723" w:rsidP="007F6723">
      <w:pPr>
        <w:pStyle w:val="Bulletpoints"/>
        <w:spacing w:before="120" w:line="240" w:lineRule="auto"/>
        <w:ind w:left="993"/>
      </w:pPr>
      <w:r>
        <w:t>r</w:t>
      </w:r>
      <w:r w:rsidRPr="00941BE7">
        <w:t>outine blood test (routine biochemistry, haematology, thyroid function, vitamin B12, folate) to exclude potentially treatable causes of cognitive decline</w:t>
      </w:r>
      <w:r>
        <w:t>; and</w:t>
      </w:r>
    </w:p>
    <w:p w14:paraId="3B478FC9" w14:textId="77777777" w:rsidR="007F6723" w:rsidRPr="00941BE7" w:rsidRDefault="007F6723" w:rsidP="007F6723">
      <w:pPr>
        <w:pStyle w:val="Bulletpoints"/>
        <w:spacing w:before="120" w:line="240" w:lineRule="auto"/>
        <w:ind w:left="993"/>
      </w:pPr>
      <w:r>
        <w:t>s</w:t>
      </w:r>
      <w:r w:rsidRPr="00941BE7">
        <w:t>tructural imaging (MRI or CT) to exclude potentially treatable causes of cognitive decline and/or identify findings specific for AD (brain atrophy)</w:t>
      </w:r>
      <w:r>
        <w:t>.</w:t>
      </w:r>
    </w:p>
    <w:p w14:paraId="4363E796" w14:textId="77777777" w:rsidR="007F6723" w:rsidRDefault="007F6723" w:rsidP="007F6723">
      <w:r w:rsidRPr="00941BE7">
        <w:t xml:space="preserve">Functional imaging (using </w:t>
      </w:r>
      <w:r>
        <w:t>FDG-PET</w:t>
      </w:r>
      <w:r w:rsidRPr="00941BE7">
        <w:t xml:space="preserve"> and 99m-Tc-hexamethylpropylene (HMPAO) SPECT) is able to identify changes in brain metabolism that are characteristic of AD before widespread atrophy occurs. The clinical need for such diagnostic techniques </w:t>
      </w:r>
      <w:r>
        <w:t>may</w:t>
      </w:r>
      <w:r w:rsidRPr="00941BE7">
        <w:t xml:space="preserve"> therefore </w:t>
      </w:r>
      <w:r>
        <w:t xml:space="preserve">be </w:t>
      </w:r>
      <w:r w:rsidRPr="00941BE7">
        <w:t>high</w:t>
      </w:r>
      <w:r>
        <w:t>er</w:t>
      </w:r>
      <w:r w:rsidRPr="00941BE7">
        <w:t xml:space="preserve"> in patients with early signs of AD, who have not yet passed the optimal window for therapeutic intervention. </w:t>
      </w:r>
    </w:p>
    <w:p w14:paraId="12339D43" w14:textId="2C1F306B" w:rsidR="002E63A2" w:rsidRPr="00941BE7" w:rsidRDefault="002E63A2" w:rsidP="007F6723">
      <w:r>
        <w:t xml:space="preserve">Based on the </w:t>
      </w:r>
      <w:r w:rsidR="00F6736D">
        <w:t xml:space="preserve">limited body of </w:t>
      </w:r>
      <w:r>
        <w:t xml:space="preserve">evidence presented in Section B, it cannot be concluded that </w:t>
      </w:r>
      <w:r w:rsidR="00F6736D">
        <w:t xml:space="preserve">the </w:t>
      </w:r>
      <w:r>
        <w:t xml:space="preserve">diagnostic accuracy of FDG-PET is superior to SPECT in </w:t>
      </w:r>
      <w:r w:rsidR="00F6736D">
        <w:t>patients with suspected AD.</w:t>
      </w:r>
      <w:r>
        <w:t xml:space="preserve"> </w:t>
      </w:r>
      <w:r w:rsidR="00F6736D">
        <w:t xml:space="preserve">Although the results numerically favour FDG-PET, it is unclear whether this </w:t>
      </w:r>
      <w:r w:rsidR="00D142CA">
        <w:t>would represent</w:t>
      </w:r>
      <w:r w:rsidR="00F6736D">
        <w:t xml:space="preserve"> a true difference between the imaging modalities in clinical practice</w:t>
      </w:r>
      <w:r w:rsidR="00D142CA">
        <w:t>. Nonetheless, a cost-utility analysis (CUA) has been undertaken, as suggested by PASC, assuming inferiority of SPECT but at a much lower cost.</w:t>
      </w:r>
    </w:p>
    <w:p w14:paraId="3BE094D7" w14:textId="77777777" w:rsidR="007F6723" w:rsidRDefault="007F6723" w:rsidP="007F6723">
      <w:pPr>
        <w:pStyle w:val="Heading2"/>
      </w:pPr>
      <w:bookmarkStart w:id="210" w:name="_Toc406172437"/>
      <w:bookmarkStart w:id="211" w:name="_Toc408845181"/>
      <w:r>
        <w:t>Population and circumstances of use reflected in the economic evaluation</w:t>
      </w:r>
      <w:bookmarkEnd w:id="210"/>
      <w:bookmarkEnd w:id="211"/>
    </w:p>
    <w:p w14:paraId="31BADB57" w14:textId="77777777" w:rsidR="007F6723" w:rsidRDefault="007F6723" w:rsidP="007F6723">
      <w:r>
        <w:t xml:space="preserve">The population and circumstances of use were described previously in Section </w:t>
      </w:r>
      <w:r>
        <w:fldChar w:fldCharType="begin"/>
      </w:r>
      <w:r>
        <w:instrText xml:space="preserve"> REF _Ref278790800 \r \h </w:instrText>
      </w:r>
      <w:r>
        <w:fldChar w:fldCharType="separate"/>
      </w:r>
      <w:r w:rsidR="00C67698">
        <w:t>C.2</w:t>
      </w:r>
      <w:r>
        <w:fldChar w:fldCharType="end"/>
      </w:r>
      <w:r>
        <w:t xml:space="preserve"> (</w:t>
      </w:r>
      <w:r>
        <w:fldChar w:fldCharType="begin"/>
      </w:r>
      <w:r>
        <w:instrText xml:space="preserve"> REF _Ref278787826 \h </w:instrText>
      </w:r>
      <w:r>
        <w:fldChar w:fldCharType="separate"/>
      </w:r>
      <w:r w:rsidR="00C67698">
        <w:t xml:space="preserve">Table </w:t>
      </w:r>
      <w:r w:rsidR="00C67698">
        <w:rPr>
          <w:noProof/>
        </w:rPr>
        <w:t>C.2</w:t>
      </w:r>
      <w:r w:rsidR="00C67698">
        <w:noBreakHyphen/>
      </w:r>
      <w:r w:rsidR="00C67698">
        <w:rPr>
          <w:noProof/>
        </w:rPr>
        <w:t>1</w:t>
      </w:r>
      <w:r>
        <w:fldChar w:fldCharType="end"/>
      </w:r>
      <w:r>
        <w:t>). No key differences were identified between the requested listing and the economic evaluation presented here.</w:t>
      </w:r>
    </w:p>
    <w:p w14:paraId="687D6D46" w14:textId="77777777" w:rsidR="007F6723" w:rsidRPr="009427FB" w:rsidRDefault="007F6723" w:rsidP="007F6723">
      <w:r>
        <w:t>Where uncertainty around key inputs or assumptions was identified, the impact of these is tested in sensitivity analyses presented in Section D.6.</w:t>
      </w:r>
    </w:p>
    <w:p w14:paraId="2ED5FA03" w14:textId="77777777" w:rsidR="007F6723" w:rsidRDefault="007F6723" w:rsidP="007F6723">
      <w:pPr>
        <w:pStyle w:val="Heading2"/>
      </w:pPr>
      <w:bookmarkStart w:id="212" w:name="_Ref278804229"/>
      <w:bookmarkStart w:id="213" w:name="_Toc406172438"/>
      <w:bookmarkStart w:id="214" w:name="_Toc408845182"/>
      <w:r>
        <w:t>Structure and rationale of the economic evaluation</w:t>
      </w:r>
      <w:bookmarkEnd w:id="212"/>
      <w:bookmarkEnd w:id="213"/>
      <w:bookmarkEnd w:id="214"/>
    </w:p>
    <w:p w14:paraId="61E507ED" w14:textId="77777777" w:rsidR="007F6723" w:rsidRDefault="007F6723" w:rsidP="007F6723">
      <w:r w:rsidRPr="00941BE7">
        <w:t>There are a large number of CUAs relating to treatment of AD, many of which incorporate complex modelling approaches with microsimulation and probabilistic sensitivity analysis. The PBAC considered a CUA for AD at their December 2000 meeting when they recommended listing rivastigmine on the PBS. All other AD medications were recommended on a cost-minimisation basis.</w:t>
      </w:r>
    </w:p>
    <w:p w14:paraId="2A6DE9D6" w14:textId="38EE05A8" w:rsidR="007F6723" w:rsidRPr="00941BE7" w:rsidRDefault="007F6723" w:rsidP="007F6723">
      <w:r>
        <w:t xml:space="preserve">As first discussed in Green et al (2011), and subsequently discussed in Bond et al (2012), there is a vast number of published studies undertaking economic evaluations of AD treatment using progressive models of AD’s natural history, although it is noted that none of the available models have been able to present a comprehensive model of the natural history of AD (Green et al, 2011). There is evidence of </w:t>
      </w:r>
      <w:r w:rsidR="00D25339">
        <w:t>10</w:t>
      </w:r>
      <w:r>
        <w:t xml:space="preserve"> general modelling </w:t>
      </w:r>
      <w:r>
        <w:lastRenderedPageBreak/>
        <w:t xml:space="preserve">frameworks to assess the cost-effectiveness of AD treatment (Green et al, 2011). These general models each present a different method to model the statistical relationship between risk factors and health states. One of the most widely used of all the models, and the model best able to differentiate patients by disease severity and residential setting, was first presented in the cost-effectiveness study by Neumann et al (1999). </w:t>
      </w:r>
    </w:p>
    <w:p w14:paraId="55B08F4E" w14:textId="77777777" w:rsidR="007F6723" w:rsidRPr="00941BE7" w:rsidRDefault="007F6723" w:rsidP="007F6723">
      <w:r w:rsidRPr="00941BE7">
        <w:t xml:space="preserve">The </w:t>
      </w:r>
      <w:r>
        <w:t xml:space="preserve">approach taken in support of the current Assessment Report was </w:t>
      </w:r>
      <w:r w:rsidRPr="00941BE7">
        <w:t xml:space="preserve">to construct a Markov model based on the </w:t>
      </w:r>
      <w:r>
        <w:t xml:space="preserve">treatment </w:t>
      </w:r>
      <w:r w:rsidRPr="00941BE7">
        <w:t>model by Neumann</w:t>
      </w:r>
      <w:r>
        <w:t xml:space="preserve"> et al</w:t>
      </w:r>
      <w:r w:rsidRPr="00941BE7">
        <w:t xml:space="preserve"> (1999), which characterises progression of AD through different disease stages and residential settings. In any time period, patients are classified into one of three disease stages – mild, moderate or severe </w:t>
      </w:r>
      <w:r>
        <w:t>AD</w:t>
      </w:r>
      <w:r w:rsidRPr="00941BE7">
        <w:t>. Conditional on disease stage, patients are also assigned a probability of being in one of two settings:</w:t>
      </w:r>
      <w:r>
        <w:t xml:space="preserve"> in the</w:t>
      </w:r>
      <w:r w:rsidRPr="00941BE7">
        <w:t xml:space="preserve"> community or </w:t>
      </w:r>
      <w:r>
        <w:t xml:space="preserve">institutionalised in a </w:t>
      </w:r>
      <w:r w:rsidRPr="00941BE7">
        <w:t xml:space="preserve">nursing home. </w:t>
      </w:r>
    </w:p>
    <w:p w14:paraId="717697FF" w14:textId="77777777" w:rsidR="007F6723" w:rsidRPr="00941BE7" w:rsidRDefault="007F6723" w:rsidP="007F6723">
      <w:r w:rsidRPr="00941BE7">
        <w:t xml:space="preserve">In the Neumann model, underlying disease progression </w:t>
      </w:r>
      <w:r>
        <w:t>was</w:t>
      </w:r>
      <w:r w:rsidRPr="00941BE7">
        <w:t xml:space="preserve"> taken from a longitudinal database (CERAD) of 1,145 dementia patients in the USA. Different sets of transition probabilities </w:t>
      </w:r>
      <w:r>
        <w:t>were</w:t>
      </w:r>
      <w:r w:rsidRPr="00941BE7">
        <w:t xml:space="preserve"> applied to cohorts receiving no treatment and drug treatment, based on RCT data for donepezil. </w:t>
      </w:r>
      <w:r>
        <w:t xml:space="preserve">Utility weights were derived from the HUI2 in a companion cross-sectional study of 528 caregivers of AD patients, stratified by severity and setting of care (discussed previously in Section </w:t>
      </w:r>
      <w:r>
        <w:fldChar w:fldCharType="begin"/>
      </w:r>
      <w:r>
        <w:instrText xml:space="preserve"> REF _Ref278640902 \r \h </w:instrText>
      </w:r>
      <w:r>
        <w:fldChar w:fldCharType="separate"/>
      </w:r>
      <w:r w:rsidR="00C67698">
        <w:t>C.6</w:t>
      </w:r>
      <w:r>
        <w:fldChar w:fldCharType="end"/>
      </w:r>
      <w:r>
        <w:t>).</w:t>
      </w:r>
    </w:p>
    <w:p w14:paraId="6DB20AB8" w14:textId="77777777" w:rsidR="007F6723" w:rsidRDefault="007F6723" w:rsidP="007F6723">
      <w:pPr>
        <w:tabs>
          <w:tab w:val="left" w:pos="3828"/>
        </w:tabs>
      </w:pPr>
      <w:r w:rsidRPr="00941BE7">
        <w:t xml:space="preserve">Although the Neumann model is quite old, </w:t>
      </w:r>
      <w:r>
        <w:t xml:space="preserve">the model has been one of the most widely used of all approaches taken in modelling cost-effectiveness of AD treatment (Green et al, 2011). Additionally, </w:t>
      </w:r>
      <w:r w:rsidRPr="00941BE7">
        <w:t xml:space="preserve">the </w:t>
      </w:r>
      <w:r>
        <w:t xml:space="preserve">PBS </w:t>
      </w:r>
      <w:r w:rsidRPr="00941BE7">
        <w:t xml:space="preserve">Review </w:t>
      </w:r>
      <w:r>
        <w:t xml:space="preserve">of anti-dementia medications </w:t>
      </w:r>
      <w:r w:rsidRPr="00941BE7">
        <w:t xml:space="preserve">concluded that there are only a small number of new trials assessing the efficacy and safety of AChEIs and memantine published since the listing of these medicines on the PBS. Overall, the review concluded this more recent evidence on the efficacy and safety of </w:t>
      </w:r>
      <w:r>
        <w:t>A</w:t>
      </w:r>
      <w:r w:rsidRPr="00941BE7">
        <w:t>C</w:t>
      </w:r>
      <w:r>
        <w:t>h</w:t>
      </w:r>
      <w:r w:rsidRPr="00941BE7">
        <w:t>EIs and memantine to be consistent with the evidence previously considered by PBAC, with demonstration of a small average benefit relative to placebo. However, this average benefit more closely reflects stabilisation of symptoms, or relatively slower decline, as opposed to improvement.</w:t>
      </w:r>
    </w:p>
    <w:p w14:paraId="62522310" w14:textId="1CDA0CFF" w:rsidR="007F6723" w:rsidRDefault="007F6723" w:rsidP="007F6723">
      <w:r>
        <w:t xml:space="preserve">The Neumann model did not, however, incorporate diagnostic testing. Although there are some diagnostic models available (e.g. McMahon et al, 2000; Silverman et al, 2002; McMahon et al, 2003; Biasutti et al, 2012), they do not adequately capture imaging test accuracy for a diagnostic model. Therefore, this </w:t>
      </w:r>
      <w:r w:rsidR="00B16778">
        <w:t>A</w:t>
      </w:r>
      <w:r>
        <w:t xml:space="preserve">ssessment </w:t>
      </w:r>
      <w:r w:rsidR="00B16778">
        <w:t>R</w:t>
      </w:r>
      <w:r>
        <w:t xml:space="preserve">eport presents a de novo model commencing with diagnostic testing in terms of </w:t>
      </w:r>
      <w:r w:rsidR="00F67E7B">
        <w:t>t</w:t>
      </w:r>
      <w:r>
        <w:t xml:space="preserve">rue </w:t>
      </w:r>
      <w:r w:rsidR="00F67E7B">
        <w:t>positive, t</w:t>
      </w:r>
      <w:r>
        <w:t xml:space="preserve">rue </w:t>
      </w:r>
      <w:r w:rsidR="00F67E7B">
        <w:t>n</w:t>
      </w:r>
      <w:r>
        <w:t xml:space="preserve">egative, </w:t>
      </w:r>
      <w:r w:rsidR="00F67E7B">
        <w:t>f</w:t>
      </w:r>
      <w:r>
        <w:t xml:space="preserve">alse </w:t>
      </w:r>
      <w:r w:rsidR="00F67E7B">
        <w:t>n</w:t>
      </w:r>
      <w:r>
        <w:t xml:space="preserve">egative and </w:t>
      </w:r>
      <w:r w:rsidR="00F67E7B">
        <w:t>f</w:t>
      </w:r>
      <w:r>
        <w:t xml:space="preserve">alse </w:t>
      </w:r>
      <w:r w:rsidR="00F67E7B">
        <w:t>p</w:t>
      </w:r>
      <w:r>
        <w:t xml:space="preserve">ositive results. </w:t>
      </w:r>
    </w:p>
    <w:p w14:paraId="0417FE26" w14:textId="62B5F5C1" w:rsidR="007F6723" w:rsidRDefault="007F6723" w:rsidP="007F6723">
      <w:r>
        <w:t>A schematic of the model structure is provided in</w:t>
      </w:r>
      <w:r w:rsidR="009955C9">
        <w:t xml:space="preserve"> </w:t>
      </w:r>
      <w:r w:rsidR="009955C9">
        <w:fldChar w:fldCharType="begin"/>
      </w:r>
      <w:r w:rsidR="009955C9">
        <w:instrText xml:space="preserve"> REF _Ref406428275 \h </w:instrText>
      </w:r>
      <w:r w:rsidR="009955C9">
        <w:fldChar w:fldCharType="separate"/>
      </w:r>
      <w:r w:rsidR="00C67698">
        <w:t xml:space="preserve">Figure </w:t>
      </w:r>
      <w:r w:rsidR="00C67698">
        <w:rPr>
          <w:noProof/>
        </w:rPr>
        <w:t>D.3</w:t>
      </w:r>
      <w:r w:rsidR="00C67698">
        <w:noBreakHyphen/>
      </w:r>
      <w:r w:rsidR="00C67698">
        <w:rPr>
          <w:noProof/>
        </w:rPr>
        <w:t>1</w:t>
      </w:r>
      <w:r w:rsidR="009955C9">
        <w:fldChar w:fldCharType="end"/>
      </w:r>
      <w:r>
        <w:t>. The schematic is highly simplified, however, and a number of qualifications are noted in the description of the model structure below.</w:t>
      </w:r>
    </w:p>
    <w:p w14:paraId="277DA969" w14:textId="76F3EFC2" w:rsidR="007F6723" w:rsidRDefault="009955C9" w:rsidP="009955C9">
      <w:pPr>
        <w:pStyle w:val="Caption"/>
      </w:pPr>
      <w:bookmarkStart w:id="215" w:name="_Ref406428275"/>
      <w:bookmarkStart w:id="216" w:name="_Toc406172513"/>
      <w:bookmarkStart w:id="217" w:name="_Toc408845269"/>
      <w:r>
        <w:lastRenderedPageBreak/>
        <w:t xml:space="preserve">Figure </w:t>
      </w:r>
      <w:fldSimple w:instr=" STYLEREF 2 \s ">
        <w:r w:rsidR="00C67698">
          <w:rPr>
            <w:noProof/>
          </w:rPr>
          <w:t>D.3</w:t>
        </w:r>
      </w:fldSimple>
      <w:r>
        <w:noBreakHyphen/>
      </w:r>
      <w:fldSimple w:instr=" SEQ Figure \* ARABIC \s 2 ">
        <w:r w:rsidR="00C67698">
          <w:rPr>
            <w:noProof/>
          </w:rPr>
          <w:t>1</w:t>
        </w:r>
      </w:fldSimple>
      <w:bookmarkEnd w:id="215"/>
      <w:r>
        <w:tab/>
      </w:r>
      <w:r w:rsidR="007F6723">
        <w:t>Simplified schematic of the economic model</w:t>
      </w:r>
      <w:bookmarkEnd w:id="216"/>
      <w:bookmarkEnd w:id="217"/>
    </w:p>
    <w:p w14:paraId="214DDE80" w14:textId="760B356E" w:rsidR="00553BF9" w:rsidRPr="00553BF9" w:rsidRDefault="00553BF9" w:rsidP="00F4677F">
      <w:pPr>
        <w:ind w:hanging="153"/>
      </w:pPr>
      <w:r>
        <w:rPr>
          <w:noProof/>
          <w:lang w:eastAsia="en-AU"/>
        </w:rPr>
        <w:drawing>
          <wp:inline distT="0" distB="0" distL="0" distR="0" wp14:anchorId="270DADCE" wp14:editId="2FF14A88">
            <wp:extent cx="5457825" cy="3655884"/>
            <wp:effectExtent l="0" t="0" r="0" b="1905"/>
            <wp:docPr id="2" name="Picture 2" descr="The model structure. The model starts with possible alzheimer's disease and ends with death." title="A schematic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tion D Figure.tif"/>
                    <pic:cNvPicPr/>
                  </pic:nvPicPr>
                  <pic:blipFill>
                    <a:blip r:embed="rId33">
                      <a:extLst>
                        <a:ext uri="{28A0092B-C50C-407E-A947-70E740481C1C}">
                          <a14:useLocalDpi xmlns:a14="http://schemas.microsoft.com/office/drawing/2010/main" val="0"/>
                        </a:ext>
                      </a:extLst>
                    </a:blip>
                    <a:stretch>
                      <a:fillRect/>
                    </a:stretch>
                  </pic:blipFill>
                  <pic:spPr>
                    <a:xfrm>
                      <a:off x="0" y="0"/>
                      <a:ext cx="5460063" cy="3657383"/>
                    </a:xfrm>
                    <a:prstGeom prst="rect">
                      <a:avLst/>
                    </a:prstGeom>
                  </pic:spPr>
                </pic:pic>
              </a:graphicData>
            </a:graphic>
          </wp:inline>
        </w:drawing>
      </w:r>
    </w:p>
    <w:p w14:paraId="0CCBD924" w14:textId="77777777" w:rsidR="007F6723" w:rsidRDefault="007F6723" w:rsidP="007F6723">
      <w:pPr>
        <w:pStyle w:val="Tablefootnotes"/>
      </w:pPr>
      <w:r>
        <w:t>Abbreviations: AD, Alzheimer’s disease; Comm, community-based care; NH, nursing home care</w:t>
      </w:r>
    </w:p>
    <w:p w14:paraId="0355FEF1" w14:textId="77777777" w:rsidR="007F6723" w:rsidRDefault="007F6723" w:rsidP="007F6723">
      <w:r>
        <w:t xml:space="preserve">All individuals commence the model in the diagnostic testing state. Here, the model applies diagnostic testing with either FDG-PET or SPECT to a cohort of patients. It was assumed that individuals with severe AD at this stage were not included in the model, since such individuals would be past the diagnosis stage or could be diagnosed using standard diagnostic tests rather than functional imaging. Only individuals with mild AD, moderate AD and no AD (but suspected AD) were considered in the model. Severe AD was included as a health state only after disease progression. </w:t>
      </w:r>
    </w:p>
    <w:p w14:paraId="15221442" w14:textId="77777777" w:rsidR="007F6723" w:rsidRDefault="007F6723" w:rsidP="007F6723">
      <w:r>
        <w:t xml:space="preserve">It was assumed that 30% of </w:t>
      </w:r>
      <w:r w:rsidRPr="00C02420">
        <w:t xml:space="preserve">individuals presenting for screening </w:t>
      </w:r>
      <w:r>
        <w:t>did not have AD. This is consistent with a multicentre prospective study by Silverman et al (2001) of 138 patients undergoing FDG-PET for evaluation of dementia, and a smaller study by Hoffman et al (2000) that included 22 individuals with memory loss that was considered “diagnostically challenging or difficult by clinical criteria”. Sensitivity analyses are shown in Section D.6 with the percentage of no AD cases ranging from 10% to 50%.</w:t>
      </w:r>
    </w:p>
    <w:p w14:paraId="576FDE00" w14:textId="77777777" w:rsidR="007F6723" w:rsidRDefault="007F6723" w:rsidP="007F6723">
      <w:r w:rsidRPr="00C02420">
        <w:t xml:space="preserve">Of those with AD, two-thirds had mild AD and the remainder </w:t>
      </w:r>
      <w:r>
        <w:t>had moderate AD. McMahon et al (</w:t>
      </w:r>
      <w:r w:rsidRPr="00C02420">
        <w:t>2000</w:t>
      </w:r>
      <w:r>
        <w:t>)</w:t>
      </w:r>
      <w:r w:rsidRPr="00C02420">
        <w:t xml:space="preserve"> applied a ratio of 1.5:1 for mild to moderate patients; the current analysis increased this slightly to reflect an understanding that </w:t>
      </w:r>
      <w:r>
        <w:t>FDG-</w:t>
      </w:r>
      <w:r w:rsidRPr="00C02420">
        <w:t>PET may find greater use in individuals with mild AD than moderate AD.</w:t>
      </w:r>
      <w:r>
        <w:t xml:space="preserve"> A sensitivity analysis shown in Section D.6 applied a ratio of 4:1 for mild to moderate patients.</w:t>
      </w:r>
    </w:p>
    <w:p w14:paraId="0D86A753" w14:textId="77777777" w:rsidR="00F4677F" w:rsidRDefault="00F4677F">
      <w:pPr>
        <w:spacing w:after="160" w:line="259" w:lineRule="auto"/>
        <w:ind w:left="0"/>
      </w:pPr>
      <w:r>
        <w:br w:type="page"/>
      </w:r>
    </w:p>
    <w:p w14:paraId="79A47E6A" w14:textId="2EF87AAA" w:rsidR="007F6723" w:rsidRDefault="007F6723" w:rsidP="00903AED">
      <w:pPr>
        <w:keepNext/>
        <w:spacing w:after="120"/>
      </w:pPr>
      <w:r>
        <w:lastRenderedPageBreak/>
        <w:t>The structure of the model differentiates patients according to three characteristics:</w:t>
      </w:r>
    </w:p>
    <w:p w14:paraId="36928F3C" w14:textId="77777777" w:rsidR="007F6723" w:rsidRDefault="007F6723" w:rsidP="00903AED">
      <w:pPr>
        <w:pStyle w:val="ListParagraph"/>
        <w:keepNext/>
        <w:numPr>
          <w:ilvl w:val="0"/>
          <w:numId w:val="25"/>
        </w:numPr>
      </w:pPr>
      <w:r>
        <w:t>disease severity (i.e. mild AD, moderate AD, no AD and, in the later stages of the model, severe AD);</w:t>
      </w:r>
    </w:p>
    <w:p w14:paraId="2F8DCBD6" w14:textId="77777777" w:rsidR="007F6723" w:rsidRDefault="007F6723" w:rsidP="003140D6">
      <w:pPr>
        <w:pStyle w:val="ListParagraph"/>
        <w:numPr>
          <w:ilvl w:val="0"/>
          <w:numId w:val="25"/>
        </w:numPr>
      </w:pPr>
      <w:r>
        <w:t>institutional setting (i.e. whether individuals are community-based or institutionalised in nursing homes); and</w:t>
      </w:r>
    </w:p>
    <w:p w14:paraId="6DD19ED1" w14:textId="77777777" w:rsidR="007F6723" w:rsidRDefault="007F6723" w:rsidP="003140D6">
      <w:pPr>
        <w:pStyle w:val="ListParagraph"/>
        <w:numPr>
          <w:ilvl w:val="0"/>
          <w:numId w:val="25"/>
        </w:numPr>
      </w:pPr>
      <w:r>
        <w:t>treatment status (i.e. whether individuals are receiving drug therapy for their AD or suspected AD).</w:t>
      </w:r>
    </w:p>
    <w:p w14:paraId="1DC69C1B" w14:textId="4E66BCBB" w:rsidR="007F6723" w:rsidRDefault="007F6723" w:rsidP="007F6723">
      <w:r>
        <w:t xml:space="preserve">The schematic presented in </w:t>
      </w:r>
      <w:r w:rsidR="00903AED">
        <w:fldChar w:fldCharType="begin"/>
      </w:r>
      <w:r w:rsidR="00903AED">
        <w:instrText xml:space="preserve"> REF _Ref406428275 \h </w:instrText>
      </w:r>
      <w:r w:rsidR="00903AED">
        <w:fldChar w:fldCharType="separate"/>
      </w:r>
      <w:r w:rsidR="00C67698">
        <w:t xml:space="preserve">Figure </w:t>
      </w:r>
      <w:r w:rsidR="00C67698">
        <w:rPr>
          <w:noProof/>
        </w:rPr>
        <w:t>D.3</w:t>
      </w:r>
      <w:r w:rsidR="00C67698">
        <w:noBreakHyphen/>
      </w:r>
      <w:r w:rsidR="00C67698">
        <w:rPr>
          <w:noProof/>
        </w:rPr>
        <w:t>1</w:t>
      </w:r>
      <w:r w:rsidR="00903AED">
        <w:fldChar w:fldCharType="end"/>
      </w:r>
      <w:r w:rsidR="00903AED">
        <w:t xml:space="preserve"> </w:t>
      </w:r>
      <w:r>
        <w:t xml:space="preserve">doesn’t illustrate discrete health states for each of these options, but rather condenses them where appropriate. </w:t>
      </w:r>
    </w:p>
    <w:p w14:paraId="675F8C1A" w14:textId="2C443ACC" w:rsidR="007F6723" w:rsidRDefault="007F6723" w:rsidP="007F6723">
      <w:r>
        <w:t>In the case of no disease, the model applied discrete health states for community-based individuals with no AD who receive no treatment and community-based individuals with no AD who, because of incorrect test results, mistakenly receive AD treatment. In the case of mild disease, the model considered discrete health states for community-based and nursing home</w:t>
      </w:r>
      <w:r w:rsidR="00617B67">
        <w:t>-</w:t>
      </w:r>
      <w:r>
        <w:t>based individuals who are treated and who are untreated. Similar health states are included for individuals with moderate AD. In the case of severe AD, however, all individuals were assumed to be in nursing care and no</w:t>
      </w:r>
      <w:r w:rsidRPr="0018541E">
        <w:t xml:space="preserve"> longer receiving PBS medication for their AD. This is consistent with PBS restrictions.</w:t>
      </w:r>
      <w:r>
        <w:t xml:space="preserve"> Additionally, d</w:t>
      </w:r>
      <w:r w:rsidRPr="0018541E">
        <w:t>at</w:t>
      </w:r>
      <w:r>
        <w:t xml:space="preserve">a from </w:t>
      </w:r>
      <w:r w:rsidRPr="005E01B1">
        <w:t>the AIHW (2012) estimate</w:t>
      </w:r>
      <w:r w:rsidRPr="0018541E">
        <w:t xml:space="preserve"> that only 5% of all dementia cases are </w:t>
      </w:r>
      <w:r>
        <w:t xml:space="preserve">both </w:t>
      </w:r>
      <w:r w:rsidRPr="0018541E">
        <w:t>severe and in the community</w:t>
      </w:r>
      <w:r>
        <w:t>, further justifying this assumption</w:t>
      </w:r>
      <w:r w:rsidRPr="0018541E">
        <w:t>.</w:t>
      </w:r>
      <w:r>
        <w:rPr>
          <w:i/>
        </w:rPr>
        <w:t xml:space="preserve"> </w:t>
      </w:r>
      <w:r>
        <w:t>The assumption of all severe cases of AD being based in nursing home care is consistent with the Neumann et al (1999) model.</w:t>
      </w:r>
    </w:p>
    <w:p w14:paraId="578EA88C" w14:textId="77777777" w:rsidR="007F6723" w:rsidRDefault="007F6723" w:rsidP="007F6723">
      <w:r>
        <w:t xml:space="preserve">The model was structured such that individuals are distributed according to their underlying disease state. Although individual’s test results may influence this to some degree, the importance of the underlying disease status continues to play a crucial role. For example, an individual with moderate AD who has had a false negative test result was placed in a health state consistent with their moderate AD (i.e. not to ‘no AD’ despite their test result indicating this to be so). Specifically, their health state comprised their moderate AD, their being in the community (rather than nursing home), and remaining untreated. </w:t>
      </w:r>
    </w:p>
    <w:p w14:paraId="16E4DA4E" w14:textId="0457120F" w:rsidR="007F6723" w:rsidRDefault="007F6723" w:rsidP="007F6723">
      <w:r>
        <w:t xml:space="preserve">Note that the model was structured so that all individuals are assumed to be community-based at the beginning of the model (i.e. diagnosis and treatment cannot commence in a nursing home setting). </w:t>
      </w:r>
      <w:r w:rsidR="00161F56">
        <w:t>H</w:t>
      </w:r>
      <w:r w:rsidRPr="00F604C9">
        <w:t>owever, PBS data from a 2009 DUSC Secretariat report showed that 15-19% of patients starting</w:t>
      </w:r>
      <w:r w:rsidRPr="00280DB6">
        <w:t xml:space="preserve"> treatment lived in an aged care facility</w:t>
      </w:r>
      <w:r>
        <w:t xml:space="preserve"> (referenced in the PBS Review of anti-dementia medications, October 2012)</w:t>
      </w:r>
      <w:r w:rsidRPr="00280DB6">
        <w:t xml:space="preserve">. </w:t>
      </w:r>
    </w:p>
    <w:p w14:paraId="649794D6" w14:textId="77777777" w:rsidR="007F6723" w:rsidRDefault="007F6723" w:rsidP="007F6723">
      <w:r>
        <w:t>If an individual was community-based and then went on to disease progression, the model assumed he/she remained community-based at the time of progression. The exception was when a community-based moderate AD patient progressed to severe AD. As discussed above, it was assumed that this would include a transition to institutionalisation in a nursing home. Placement in institutionalised nursing care for mild and moderate AD is accounted for in the model, however, through a transition probability that was applied to community-based individuals at the end of each model cycle (six weeks).</w:t>
      </w:r>
    </w:p>
    <w:p w14:paraId="2635BFEB" w14:textId="6B269C28" w:rsidR="007F6723" w:rsidRDefault="007F6723" w:rsidP="007F6723">
      <w:pPr>
        <w:pStyle w:val="ListParagraph"/>
        <w:spacing w:after="160" w:line="259" w:lineRule="auto"/>
      </w:pPr>
      <w:r>
        <w:t xml:space="preserve">The model assumed that individuals without AD remained so for the duration of the model. This was a simplifying assumption. In truth, these individuals may develop AD over </w:t>
      </w:r>
      <w:r w:rsidRPr="0018541E">
        <w:t xml:space="preserve">time and will be eligible for repeat diagnostic testing after </w:t>
      </w:r>
      <w:r>
        <w:t>two-to-three years</w:t>
      </w:r>
      <w:r w:rsidRPr="0018541E">
        <w:t xml:space="preserve"> if symptoms persist</w:t>
      </w:r>
      <w:r>
        <w:t xml:space="preserve">. There is also the possibility that MCI </w:t>
      </w:r>
      <w:r w:rsidR="00B828CC">
        <w:t xml:space="preserve">may progress to AD; </w:t>
      </w:r>
      <w:r w:rsidRPr="0018541E">
        <w:t xml:space="preserve">the </w:t>
      </w:r>
      <w:r w:rsidRPr="0018541E">
        <w:lastRenderedPageBreak/>
        <w:t xml:space="preserve">literature suggests the annual </w:t>
      </w:r>
      <w:r w:rsidRPr="00E0215D">
        <w:t>progression rate from MCI to AD may be around 10%</w:t>
      </w:r>
      <w:r w:rsidR="00B828CC">
        <w:t>, depending on clinical profile, setting and investigation for vascular disease</w:t>
      </w:r>
      <w:r w:rsidRPr="00E0215D">
        <w:t xml:space="preserve"> (Mitchell et al, 2009).</w:t>
      </w:r>
    </w:p>
    <w:p w14:paraId="77105C9B" w14:textId="77777777" w:rsidR="007F6723" w:rsidRPr="00DA6704" w:rsidRDefault="007F6723" w:rsidP="007F6723">
      <w:r w:rsidRPr="00087515">
        <w:t xml:space="preserve">Treatment-related adverse events </w:t>
      </w:r>
      <w:r>
        <w:t xml:space="preserve">were not explicitly captured in the model. </w:t>
      </w:r>
      <w:r w:rsidRPr="00087515">
        <w:t xml:space="preserve">The </w:t>
      </w:r>
      <w:r>
        <w:t xml:space="preserve">PBS </w:t>
      </w:r>
      <w:r w:rsidRPr="00D249D7">
        <w:t xml:space="preserve">Review </w:t>
      </w:r>
      <w:r>
        <w:t xml:space="preserve">of anti-dementia medications </w:t>
      </w:r>
      <w:r w:rsidRPr="00D249D7">
        <w:t>(</w:t>
      </w:r>
      <w:r>
        <w:t xml:space="preserve">October </w:t>
      </w:r>
      <w:r w:rsidRPr="00D249D7">
        <w:t>2012)</w:t>
      </w:r>
      <w:r>
        <w:t xml:space="preserve"> stated that there have been reports of significant side effects such as nausea and diarrhoea; however, starting on a low dose and increasing slowly has been shown to help reduce symptoms. As a pragmatic step, this period of risk of </w:t>
      </w:r>
      <w:r w:rsidRPr="00DA6704">
        <w:t xml:space="preserve">adverse events was not considered. Treatment discontinuations, however, were accounted for, as discussed in </w:t>
      </w:r>
      <w:r>
        <w:t xml:space="preserve">Section </w:t>
      </w:r>
      <w:r w:rsidRPr="00DA6704">
        <w:fldChar w:fldCharType="begin"/>
      </w:r>
      <w:r w:rsidRPr="00DA6704">
        <w:instrText xml:space="preserve"> REF _Ref278640733 \r \h </w:instrText>
      </w:r>
      <w:r w:rsidRPr="00DA6704">
        <w:fldChar w:fldCharType="separate"/>
      </w:r>
      <w:r w:rsidR="00C67698">
        <w:t>C.3</w:t>
      </w:r>
      <w:r w:rsidRPr="00DA6704">
        <w:fldChar w:fldCharType="end"/>
      </w:r>
      <w:r w:rsidRPr="00DA6704">
        <w:t xml:space="preserve">. Note that the model </w:t>
      </w:r>
      <w:r>
        <w:t>assumed</w:t>
      </w:r>
      <w:r w:rsidRPr="00DA6704">
        <w:t xml:space="preserve"> that a discontinuing patient w</w:t>
      </w:r>
      <w:r>
        <w:t>ould</w:t>
      </w:r>
      <w:r w:rsidRPr="00DA6704">
        <w:t xml:space="preserve"> remain off treatment indefinitely.</w:t>
      </w:r>
    </w:p>
    <w:p w14:paraId="49BD9607" w14:textId="3349CB10" w:rsidR="007F6723" w:rsidRPr="00DA6704" w:rsidRDefault="007F6723" w:rsidP="007F6723">
      <w:r w:rsidRPr="00DA6704">
        <w:t>Mortality risk was incorporated into the model, by considering both AD-related and non</w:t>
      </w:r>
      <w:r w:rsidR="00554627">
        <w:t>-</w:t>
      </w:r>
      <w:r w:rsidRPr="00DA6704">
        <w:t>AD-related mortality.</w:t>
      </w:r>
    </w:p>
    <w:p w14:paraId="09315DCB" w14:textId="34519EF0" w:rsidR="007F6723" w:rsidRPr="00DA6704" w:rsidRDefault="007F6723" w:rsidP="007F6723">
      <w:r w:rsidRPr="00DA6704">
        <w:t xml:space="preserve">Finally, as implied by the structure of </w:t>
      </w:r>
      <w:r w:rsidR="002549A6">
        <w:fldChar w:fldCharType="begin"/>
      </w:r>
      <w:r w:rsidR="002549A6">
        <w:instrText xml:space="preserve"> REF _Ref406428275 \h </w:instrText>
      </w:r>
      <w:r w:rsidR="002549A6">
        <w:fldChar w:fldCharType="separate"/>
      </w:r>
      <w:r w:rsidR="00C67698">
        <w:t xml:space="preserve">Figure </w:t>
      </w:r>
      <w:r w:rsidR="00C67698">
        <w:rPr>
          <w:noProof/>
        </w:rPr>
        <w:t>D.3</w:t>
      </w:r>
      <w:r w:rsidR="00C67698">
        <w:noBreakHyphen/>
      </w:r>
      <w:r w:rsidR="00C67698">
        <w:rPr>
          <w:noProof/>
        </w:rPr>
        <w:t>1</w:t>
      </w:r>
      <w:r w:rsidR="002549A6">
        <w:fldChar w:fldCharType="end"/>
      </w:r>
      <w:r w:rsidR="002549A6">
        <w:t xml:space="preserve"> </w:t>
      </w:r>
      <w:r>
        <w:t xml:space="preserve">(and discussed previously in Section </w:t>
      </w:r>
      <w:r>
        <w:fldChar w:fldCharType="begin"/>
      </w:r>
      <w:r>
        <w:instrText xml:space="preserve"> REF _Ref278649011 \r \h </w:instrText>
      </w:r>
      <w:r>
        <w:fldChar w:fldCharType="separate"/>
      </w:r>
      <w:r w:rsidR="00C67698">
        <w:t>C.4</w:t>
      </w:r>
      <w:r>
        <w:fldChar w:fldCharType="end"/>
      </w:r>
      <w:r>
        <w:t>)</w:t>
      </w:r>
      <w:r w:rsidRPr="00DA6704">
        <w:t>, AD is a progressive disease and the model, therefore, did not include ‘backward’ transitions. Although this was modelled by Neumann et al (1999), it was likely due to variations in clinical assessment from the CERAD database.</w:t>
      </w:r>
    </w:p>
    <w:p w14:paraId="45E7E0A7" w14:textId="77777777" w:rsidR="007F6723" w:rsidRDefault="007F6723" w:rsidP="007F6723">
      <w:r w:rsidRPr="00DA6704">
        <w:t xml:space="preserve">The model takes the form of a state-transition semi-Markov model with non-constant transition probabilities applied where appropriate (e.g. </w:t>
      </w:r>
      <w:r>
        <w:t xml:space="preserve">all-cause </w:t>
      </w:r>
      <w:r w:rsidRPr="00DA6704">
        <w:t xml:space="preserve">mortality, which is </w:t>
      </w:r>
      <w:r>
        <w:t xml:space="preserve">known to be </w:t>
      </w:r>
      <w:r w:rsidRPr="00DA6704">
        <w:t xml:space="preserve">age-dependent; discontinuations, which </w:t>
      </w:r>
      <w:r>
        <w:t>were</w:t>
      </w:r>
      <w:r w:rsidRPr="00DA6704">
        <w:t xml:space="preserve"> related to time on therapy; etc.). The model </w:t>
      </w:r>
      <w:r>
        <w:t xml:space="preserve">was intentionally </w:t>
      </w:r>
      <w:r w:rsidRPr="00DA6704">
        <w:t xml:space="preserve">constructed in </w:t>
      </w:r>
      <w:r>
        <w:t xml:space="preserve">a </w:t>
      </w:r>
      <w:r w:rsidRPr="00DA6704">
        <w:t>way that would avoid the unnecessary technical complexity of previo</w:t>
      </w:r>
      <w:r>
        <w:t xml:space="preserve">us models (e.g. Neumann et al, </w:t>
      </w:r>
      <w:r w:rsidRPr="00DA6704">
        <w:t>1999) by avoiding microsimulation/Monte Carlo methods. Instead, the model follow</w:t>
      </w:r>
      <w:r>
        <w:t>ed</w:t>
      </w:r>
      <w:r w:rsidRPr="00DA6704">
        <w:t xml:space="preserve"> a cohort of patients from diagnostic testing through transition to disease progression or death over a five-year period using cycles of six weeks. Individuals</w:t>
      </w:r>
      <w:r>
        <w:t xml:space="preserve"> were assumed to be 72.4 years of age at the beginning of the model (Wood et al, 2010) and gender was distributed with 61.98% of the cohort female (calculated from Table 2.2 of AIHW, 2012).</w:t>
      </w:r>
    </w:p>
    <w:p w14:paraId="6BA25170" w14:textId="77777777" w:rsidR="007F6723" w:rsidRDefault="007F6723" w:rsidP="007F6723">
      <w:r>
        <w:t>Half-cycle correction was appropriately applied to the model, which was constructed using TreeAge Pro 2014. All costs and outcomes were discounted at an annual rate of 5%, in accordance with MSAC Guidelines.</w:t>
      </w:r>
    </w:p>
    <w:p w14:paraId="4D1B2FAC" w14:textId="77777777" w:rsidR="007F6723" w:rsidRDefault="007F6723" w:rsidP="007F6723">
      <w:pPr>
        <w:pStyle w:val="Heading2"/>
      </w:pPr>
      <w:bookmarkStart w:id="218" w:name="_Toc406172439"/>
      <w:bookmarkStart w:id="219" w:name="_Toc408845183"/>
      <w:r>
        <w:t>Variables in the economic evaluation</w:t>
      </w:r>
      <w:bookmarkEnd w:id="218"/>
      <w:bookmarkEnd w:id="219"/>
    </w:p>
    <w:p w14:paraId="2700A83C" w14:textId="77777777" w:rsidR="007F6723" w:rsidRDefault="007F6723" w:rsidP="007F6723">
      <w:r>
        <w:t xml:space="preserve">The variables applied to the economic model, and the assumptions made in relation to these, are discussed in turn in the section below. The variables comprise healthcare resource use/unit costs applied as well as clinical variables. Due to the nature of the economic model, the clinical variables are comprehensive in that they include variables related to diagnostic accuracy as well as those related to downstream treatment and disease progression, and the impact of these on HRQoL and mortality. </w:t>
      </w:r>
    </w:p>
    <w:p w14:paraId="5F42DBF6" w14:textId="77777777" w:rsidR="007F6723" w:rsidRDefault="007F6723" w:rsidP="007F6723">
      <w:r>
        <w:t>Where variables were discussed comprehensively as part of Section C, the discussion below is brief and cross-references what was presented previously.</w:t>
      </w:r>
    </w:p>
    <w:p w14:paraId="22FD683A" w14:textId="77777777" w:rsidR="007F6723" w:rsidRPr="004C0FE7" w:rsidRDefault="007F6723" w:rsidP="007F6723">
      <w:r>
        <w:t xml:space="preserve">As discussed, the immediate need of the economic evaluation to place the primary focus on diagnostic testing rather than downstream treatment of AD means that the model has applied a number of simplifying assumptions to the downstream component. This approach was motivated by a wish to avoid unnecessary technical complexity in the modelling, while balancing the need to adequately inform the decision-making process. </w:t>
      </w:r>
      <w:r>
        <w:lastRenderedPageBreak/>
        <w:t>Where simplifying assumptions were used, these are discussed and, where appropriate, tested in sensitivity analyses presented in Section D.6.</w:t>
      </w:r>
    </w:p>
    <w:p w14:paraId="6E943636" w14:textId="77777777" w:rsidR="007F6723" w:rsidRDefault="007F6723" w:rsidP="007F6723">
      <w:pPr>
        <w:pStyle w:val="Heading3"/>
      </w:pPr>
      <w:r>
        <w:t>Healthcare resource use and unit costs</w:t>
      </w:r>
    </w:p>
    <w:p w14:paraId="46F097D9" w14:textId="77777777" w:rsidR="007F6723" w:rsidRDefault="007F6723" w:rsidP="007F6723">
      <w:r>
        <w:t>The model was structured such that i</w:t>
      </w:r>
      <w:r w:rsidRPr="000D01BA">
        <w:t>ndividuals</w:t>
      </w:r>
      <w:r>
        <w:t xml:space="preserve">, at the beginning of the model, received diagnostic testing with either FDG-PET or with SPECT. It was assumed for the purposes of the model that this is a one-time test, with individuals receiving only one of these tests. </w:t>
      </w:r>
    </w:p>
    <w:p w14:paraId="16FE3EC5" w14:textId="77777777" w:rsidR="007F6723" w:rsidRDefault="007F6723" w:rsidP="007F6723">
      <w:r>
        <w:t xml:space="preserve">The unit cost of each of the diagnostic tests considered in the model is presented in </w:t>
      </w:r>
      <w:r>
        <w:fldChar w:fldCharType="begin"/>
      </w:r>
      <w:r>
        <w:instrText xml:space="preserve"> REF _Ref278622249 \h </w:instrText>
      </w:r>
      <w:r>
        <w:fldChar w:fldCharType="separate"/>
      </w:r>
      <w:r w:rsidR="00C67698">
        <w:t xml:space="preserve">Table </w:t>
      </w:r>
      <w:r w:rsidR="00C67698">
        <w:rPr>
          <w:noProof/>
        </w:rPr>
        <w:t>D.4</w:t>
      </w:r>
      <w:r w:rsidR="00C67698">
        <w:noBreakHyphen/>
      </w:r>
      <w:r w:rsidR="00C67698">
        <w:rPr>
          <w:noProof/>
        </w:rPr>
        <w:t>1</w:t>
      </w:r>
      <w:r>
        <w:fldChar w:fldCharType="end"/>
      </w:r>
      <w:r>
        <w:t>.</w:t>
      </w:r>
    </w:p>
    <w:p w14:paraId="32BAC45D" w14:textId="46CBAAD0" w:rsidR="007F6723" w:rsidRDefault="007F6723" w:rsidP="007F6723">
      <w:pPr>
        <w:pStyle w:val="Caption"/>
      </w:pPr>
      <w:bookmarkStart w:id="220" w:name="_Ref278622249"/>
      <w:bookmarkStart w:id="221" w:name="_Toc406172481"/>
      <w:bookmarkStart w:id="222" w:name="_Toc408845236"/>
      <w:r>
        <w:t xml:space="preserve">Table </w:t>
      </w:r>
      <w:fldSimple w:instr=" STYLEREF 2 \s ">
        <w:r w:rsidR="00C67698">
          <w:rPr>
            <w:noProof/>
          </w:rPr>
          <w:t>D.4</w:t>
        </w:r>
      </w:fldSimple>
      <w:r w:rsidR="00524916">
        <w:noBreakHyphen/>
      </w:r>
      <w:fldSimple w:instr=" SEQ Table \* ARABIC \s 2 ">
        <w:r w:rsidR="00C67698">
          <w:rPr>
            <w:noProof/>
          </w:rPr>
          <w:t>1</w:t>
        </w:r>
      </w:fldSimple>
      <w:bookmarkEnd w:id="220"/>
      <w:r>
        <w:tab/>
        <w:t>Unit costs of diagnostic tests included in the economic model</w:t>
      </w:r>
      <w:bookmarkEnd w:id="221"/>
      <w:bookmarkEnd w:id="222"/>
    </w:p>
    <w:tbl>
      <w:tblPr>
        <w:tblStyle w:val="TableGrid"/>
        <w:tblW w:w="4610" w:type="pct"/>
        <w:tblInd w:w="704" w:type="dxa"/>
        <w:tblLook w:val="04A0" w:firstRow="1" w:lastRow="0" w:firstColumn="1" w:lastColumn="0" w:noHBand="0" w:noVBand="1"/>
        <w:tblCaption w:val="The unit costs of diagnostic tests included in the economic model"/>
        <w:tblDescription w:val="The unit costs of FDG-PET and SPECT"/>
      </w:tblPr>
      <w:tblGrid>
        <w:gridCol w:w="3456"/>
        <w:gridCol w:w="1484"/>
        <w:gridCol w:w="3581"/>
      </w:tblGrid>
      <w:tr w:rsidR="007F6723" w14:paraId="73236EE0" w14:textId="77777777" w:rsidTr="00181CF8">
        <w:trPr>
          <w:tblHeader/>
        </w:trPr>
        <w:tc>
          <w:tcPr>
            <w:tcW w:w="2028" w:type="pct"/>
          </w:tcPr>
          <w:p w14:paraId="420BF17C" w14:textId="77777777" w:rsidR="007F6723" w:rsidRDefault="007F6723" w:rsidP="00181CF8">
            <w:pPr>
              <w:pStyle w:val="Tabletextboldleft"/>
            </w:pPr>
            <w:r>
              <w:t>Diagnostic test</w:t>
            </w:r>
          </w:p>
        </w:tc>
        <w:tc>
          <w:tcPr>
            <w:tcW w:w="871" w:type="pct"/>
          </w:tcPr>
          <w:p w14:paraId="5F3C09BF" w14:textId="77777777" w:rsidR="007F6723" w:rsidRDefault="007F6723" w:rsidP="00181CF8">
            <w:pPr>
              <w:pStyle w:val="Tabletextboldleft"/>
              <w:jc w:val="right"/>
            </w:pPr>
            <w:r>
              <w:t>Unit cost</w:t>
            </w:r>
          </w:p>
        </w:tc>
        <w:tc>
          <w:tcPr>
            <w:tcW w:w="2101" w:type="pct"/>
          </w:tcPr>
          <w:p w14:paraId="1D4ECD37" w14:textId="77777777" w:rsidR="007F6723" w:rsidRDefault="007F6723" w:rsidP="00181CF8">
            <w:pPr>
              <w:pStyle w:val="Tabletextboldleft"/>
              <w:jc w:val="right"/>
            </w:pPr>
            <w:r>
              <w:t>Reference</w:t>
            </w:r>
          </w:p>
        </w:tc>
      </w:tr>
      <w:tr w:rsidR="007F6723" w14:paraId="568B57E1" w14:textId="77777777" w:rsidTr="00181CF8">
        <w:tc>
          <w:tcPr>
            <w:tcW w:w="2028" w:type="pct"/>
          </w:tcPr>
          <w:p w14:paraId="3161748C" w14:textId="77777777" w:rsidR="007F6723" w:rsidRDefault="007F6723" w:rsidP="00181CF8">
            <w:pPr>
              <w:pStyle w:val="Tabletextcentred"/>
              <w:keepNext/>
              <w:jc w:val="left"/>
            </w:pPr>
            <w:r>
              <w:t>FDG-PET</w:t>
            </w:r>
          </w:p>
        </w:tc>
        <w:tc>
          <w:tcPr>
            <w:tcW w:w="871" w:type="pct"/>
          </w:tcPr>
          <w:p w14:paraId="02C0EB5D" w14:textId="77777777" w:rsidR="007F6723" w:rsidRDefault="007F6723" w:rsidP="00181CF8">
            <w:pPr>
              <w:pStyle w:val="Tabletextcentred"/>
              <w:keepNext/>
              <w:jc w:val="right"/>
            </w:pPr>
            <w:r>
              <w:t>$918.00</w:t>
            </w:r>
          </w:p>
        </w:tc>
        <w:tc>
          <w:tcPr>
            <w:tcW w:w="2101" w:type="pct"/>
          </w:tcPr>
          <w:p w14:paraId="3E1213B8" w14:textId="2912E2BB" w:rsidR="007F6723" w:rsidRPr="00884A82" w:rsidRDefault="007F6723" w:rsidP="00181CF8">
            <w:pPr>
              <w:pStyle w:val="Tabletextcentred"/>
              <w:keepNext/>
              <w:jc w:val="right"/>
            </w:pPr>
            <w:r>
              <w:t xml:space="preserve">Proposed MBS </w:t>
            </w:r>
            <w:r w:rsidR="00F67E7B">
              <w:t>i</w:t>
            </w:r>
            <w:r>
              <w:t>tem fee; Section A.3.1</w:t>
            </w:r>
          </w:p>
        </w:tc>
      </w:tr>
      <w:tr w:rsidR="007F6723" w14:paraId="73D2547B" w14:textId="77777777" w:rsidTr="00181CF8">
        <w:tc>
          <w:tcPr>
            <w:tcW w:w="2028" w:type="pct"/>
          </w:tcPr>
          <w:p w14:paraId="3AB74202" w14:textId="77777777" w:rsidR="007F6723" w:rsidRDefault="007F6723" w:rsidP="00181CF8">
            <w:pPr>
              <w:pStyle w:val="Tabletextcentred"/>
              <w:keepNext/>
              <w:jc w:val="left"/>
            </w:pPr>
            <w:r>
              <w:t>SPECT</w:t>
            </w:r>
          </w:p>
        </w:tc>
        <w:tc>
          <w:tcPr>
            <w:tcW w:w="871" w:type="pct"/>
          </w:tcPr>
          <w:p w14:paraId="236C1674" w14:textId="77777777" w:rsidR="007F6723" w:rsidRDefault="007F6723" w:rsidP="00181CF8">
            <w:pPr>
              <w:pStyle w:val="Tabletextcentred"/>
              <w:keepNext/>
              <w:jc w:val="right"/>
            </w:pPr>
            <w:r>
              <w:t>$605.05</w:t>
            </w:r>
          </w:p>
        </w:tc>
        <w:tc>
          <w:tcPr>
            <w:tcW w:w="2101" w:type="pct"/>
          </w:tcPr>
          <w:p w14:paraId="04A61DD0" w14:textId="5A3076DD" w:rsidR="007F6723" w:rsidRPr="00884A82" w:rsidRDefault="007F6723" w:rsidP="00181CF8">
            <w:pPr>
              <w:pStyle w:val="Tabletextcentred"/>
              <w:keepNext/>
              <w:jc w:val="right"/>
            </w:pPr>
            <w:r>
              <w:t xml:space="preserve">MBS </w:t>
            </w:r>
            <w:r w:rsidR="00F67E7B">
              <w:t>i</w:t>
            </w:r>
            <w:r>
              <w:t>tem 61402</w:t>
            </w:r>
          </w:p>
        </w:tc>
      </w:tr>
    </w:tbl>
    <w:p w14:paraId="66FFDB0F" w14:textId="6687A526" w:rsidR="007F6723" w:rsidRDefault="007F6723" w:rsidP="007F6723">
      <w:pPr>
        <w:pStyle w:val="Tablefootnotes"/>
        <w:keepNext/>
      </w:pPr>
      <w:r>
        <w:t>A</w:t>
      </w:r>
      <w:r w:rsidRPr="00F94D4D">
        <w:t>bbreviations</w:t>
      </w:r>
      <w:r>
        <w:t>: FDG-PET, flu</w:t>
      </w:r>
      <w:r w:rsidR="0038452F">
        <w:t>o</w:t>
      </w:r>
      <w:r>
        <w:t>rodeoxyglucose positron emission tomography; MBS, Medicare Benefits Schedule; SPECT, single-photon emission tomography</w:t>
      </w:r>
    </w:p>
    <w:p w14:paraId="0083A957" w14:textId="77777777" w:rsidR="007F6723" w:rsidRDefault="007F6723" w:rsidP="007F6723">
      <w:r>
        <w:t>The cost of diagnostic testing was applied to all individuals in the first cycle of the model. Appropriately, no half-cycle correction was applied to this unit cost.</w:t>
      </w:r>
    </w:p>
    <w:p w14:paraId="56042EBE" w14:textId="77777777" w:rsidR="007F6723" w:rsidRDefault="007F6723" w:rsidP="007F6723">
      <w:r>
        <w:t xml:space="preserve">All other resource use considered in the model was applied in subsequent cycles, and was related to disease severity and residential status of individuals. These resources comprise ongoing AD-related consultations, drug treatment for AD and other healthcare resources associated with AD. These were discussed previously in Section </w:t>
      </w:r>
      <w:r>
        <w:fldChar w:fldCharType="begin"/>
      </w:r>
      <w:r>
        <w:instrText xml:space="preserve"> REF _Ref278641068 \r \h </w:instrText>
      </w:r>
      <w:r>
        <w:fldChar w:fldCharType="separate"/>
      </w:r>
      <w:r w:rsidR="00C67698">
        <w:t>C.7</w:t>
      </w:r>
      <w:r>
        <w:fldChar w:fldCharType="end"/>
      </w:r>
      <w:r>
        <w:t xml:space="preserve"> and Section </w:t>
      </w:r>
      <w:r>
        <w:fldChar w:fldCharType="begin"/>
      </w:r>
      <w:r>
        <w:instrText xml:space="preserve"> REF _Ref278641170 \r \h </w:instrText>
      </w:r>
      <w:r>
        <w:fldChar w:fldCharType="separate"/>
      </w:r>
      <w:r w:rsidR="00C67698">
        <w:t>C.8</w:t>
      </w:r>
      <w:r>
        <w:fldChar w:fldCharType="end"/>
      </w:r>
      <w:r>
        <w:t>.</w:t>
      </w:r>
    </w:p>
    <w:p w14:paraId="79821B71" w14:textId="55ED3B60" w:rsidR="007F6723" w:rsidRPr="00C04217" w:rsidRDefault="007F6723" w:rsidP="007F6723">
      <w:r>
        <w:t>As discussed previously, the model assumed that all patients with AD w</w:t>
      </w:r>
      <w:r w:rsidR="00161F56">
        <w:t>ould</w:t>
      </w:r>
      <w:r>
        <w:t xml:space="preserve"> require GP consultations in excess of what </w:t>
      </w:r>
      <w:r w:rsidR="00161F56">
        <w:t>individuals without AD</w:t>
      </w:r>
      <w:r>
        <w:t xml:space="preserve"> would require. These consultations may be related to symptoms of AD or to re-assessments of disease status as required by PBS restrictions for AD drugs. As in McMahon et al (2000), it was assumed that individuals with AD would require two additional GP consultations per year related to their AD (totalling $74.10 per year). Although it is possible that individuals may be seeing specialists for their care, this is not likely for all patients and would have a negligible impact on the estimated cost-effectiveness. The assumption of two consultations per year was applied to all individuals with AD (detected or otherwise); in those patients with no underlying </w:t>
      </w:r>
      <w:r w:rsidRPr="00C04217">
        <w:t>AD, this cost was omitted from the analysis.</w:t>
      </w:r>
    </w:p>
    <w:p w14:paraId="0F63C35A" w14:textId="77777777" w:rsidR="007F6723" w:rsidRDefault="007F6723" w:rsidP="007F6723">
      <w:r w:rsidRPr="00C04217">
        <w:t xml:space="preserve">Additional to this, the model applied the cost of PBS medication to treated individuals, accounting for disease severity (and, therefore, drug type) and treatment duration. The costs, which were estimated in Section </w:t>
      </w:r>
      <w:r w:rsidRPr="00C04217">
        <w:fldChar w:fldCharType="begin"/>
      </w:r>
      <w:r w:rsidRPr="00C04217">
        <w:instrText xml:space="preserve"> REF _Ref278641068 \r \h </w:instrText>
      </w:r>
      <w:r w:rsidRPr="00C04217">
        <w:fldChar w:fldCharType="separate"/>
      </w:r>
      <w:r w:rsidR="00C67698">
        <w:t>C.7</w:t>
      </w:r>
      <w:r w:rsidRPr="00C04217">
        <w:fldChar w:fldCharType="end"/>
      </w:r>
      <w:r w:rsidRPr="00C04217">
        <w:t xml:space="preserve">, are presented in </w:t>
      </w:r>
      <w:r>
        <w:fldChar w:fldCharType="begin"/>
      </w:r>
      <w:r>
        <w:instrText xml:space="preserve"> REF _Ref278796356 \h </w:instrText>
      </w:r>
      <w:r>
        <w:fldChar w:fldCharType="separate"/>
      </w:r>
      <w:r w:rsidR="00C67698">
        <w:t xml:space="preserve">Table </w:t>
      </w:r>
      <w:r w:rsidR="00C67698">
        <w:rPr>
          <w:noProof/>
        </w:rPr>
        <w:t>D.4</w:t>
      </w:r>
      <w:r w:rsidR="00C67698">
        <w:noBreakHyphen/>
      </w:r>
      <w:r w:rsidR="00C67698">
        <w:rPr>
          <w:noProof/>
        </w:rPr>
        <w:t>2</w:t>
      </w:r>
      <w:r>
        <w:fldChar w:fldCharType="end"/>
      </w:r>
      <w:r w:rsidRPr="00C04217">
        <w:t xml:space="preserve">, as are the costs associated with home and nursing home care for those requiring these (discussed in detail in Section </w:t>
      </w:r>
      <w:r w:rsidRPr="00C04217">
        <w:fldChar w:fldCharType="begin"/>
      </w:r>
      <w:r w:rsidRPr="00C04217">
        <w:instrText xml:space="preserve"> REF _Ref278641170 \r \h </w:instrText>
      </w:r>
      <w:r w:rsidRPr="00C04217">
        <w:fldChar w:fldCharType="separate"/>
      </w:r>
      <w:r w:rsidR="00C67698">
        <w:t>C.8</w:t>
      </w:r>
      <w:r w:rsidRPr="00C04217">
        <w:fldChar w:fldCharType="end"/>
      </w:r>
      <w:r w:rsidRPr="00C04217">
        <w:t>).</w:t>
      </w:r>
    </w:p>
    <w:p w14:paraId="014A0C92" w14:textId="380A8125" w:rsidR="007F6723" w:rsidRDefault="007F6723" w:rsidP="007F6723">
      <w:pPr>
        <w:pStyle w:val="Caption"/>
      </w:pPr>
      <w:bookmarkStart w:id="223" w:name="_Ref278796356"/>
      <w:bookmarkStart w:id="224" w:name="_Toc406172482"/>
      <w:bookmarkStart w:id="225" w:name="_Toc408845237"/>
      <w:r>
        <w:lastRenderedPageBreak/>
        <w:t xml:space="preserve">Table </w:t>
      </w:r>
      <w:fldSimple w:instr=" STYLEREF 2 \s ">
        <w:r w:rsidR="00C67698">
          <w:rPr>
            <w:noProof/>
          </w:rPr>
          <w:t>D.4</w:t>
        </w:r>
      </w:fldSimple>
      <w:r w:rsidR="00524916">
        <w:noBreakHyphen/>
      </w:r>
      <w:fldSimple w:instr=" SEQ Table \* ARABIC \s 2 ">
        <w:r w:rsidR="00C67698">
          <w:rPr>
            <w:noProof/>
          </w:rPr>
          <w:t>2</w:t>
        </w:r>
      </w:fldSimple>
      <w:bookmarkEnd w:id="223"/>
      <w:r>
        <w:tab/>
        <w:t>Unit costs of drug treatment and community-based and nursing home care</w:t>
      </w:r>
      <w:bookmarkEnd w:id="224"/>
      <w:bookmarkEnd w:id="225"/>
    </w:p>
    <w:tbl>
      <w:tblPr>
        <w:tblStyle w:val="TableGrid"/>
        <w:tblW w:w="4610" w:type="pct"/>
        <w:tblInd w:w="704" w:type="dxa"/>
        <w:tblLook w:val="04A0" w:firstRow="1" w:lastRow="0" w:firstColumn="1" w:lastColumn="0" w:noHBand="0" w:noVBand="1"/>
        <w:tblCaption w:val="The unit costs of drug treatment and community-based and nursing home care"/>
      </w:tblPr>
      <w:tblGrid>
        <w:gridCol w:w="4929"/>
        <w:gridCol w:w="1174"/>
        <w:gridCol w:w="2418"/>
      </w:tblGrid>
      <w:tr w:rsidR="007F6723" w14:paraId="711CAC4C" w14:textId="77777777" w:rsidTr="00181CF8">
        <w:trPr>
          <w:tblHeader/>
        </w:trPr>
        <w:tc>
          <w:tcPr>
            <w:tcW w:w="2892" w:type="pct"/>
          </w:tcPr>
          <w:p w14:paraId="10D0EB59" w14:textId="77777777" w:rsidR="007F6723" w:rsidRDefault="007F6723" w:rsidP="00181CF8">
            <w:pPr>
              <w:pStyle w:val="Tabletextboldleft"/>
            </w:pPr>
            <w:r>
              <w:t>Resource description</w:t>
            </w:r>
          </w:p>
        </w:tc>
        <w:tc>
          <w:tcPr>
            <w:tcW w:w="689" w:type="pct"/>
          </w:tcPr>
          <w:p w14:paraId="39E1728D" w14:textId="77777777" w:rsidR="007F6723" w:rsidRDefault="007F6723" w:rsidP="00181CF8">
            <w:pPr>
              <w:pStyle w:val="Tabletextboldleft"/>
              <w:jc w:val="right"/>
            </w:pPr>
            <w:r>
              <w:t>Unit cost</w:t>
            </w:r>
          </w:p>
        </w:tc>
        <w:tc>
          <w:tcPr>
            <w:tcW w:w="1419" w:type="pct"/>
          </w:tcPr>
          <w:p w14:paraId="18F45990" w14:textId="77777777" w:rsidR="007F6723" w:rsidRDefault="007F6723" w:rsidP="00181CF8">
            <w:pPr>
              <w:pStyle w:val="Tabletextboldleft"/>
              <w:jc w:val="right"/>
            </w:pPr>
            <w:r>
              <w:t>Reference</w:t>
            </w:r>
          </w:p>
        </w:tc>
      </w:tr>
      <w:tr w:rsidR="007F6723" w14:paraId="345D04C2" w14:textId="77777777" w:rsidTr="00181CF8">
        <w:tc>
          <w:tcPr>
            <w:tcW w:w="2892" w:type="pct"/>
          </w:tcPr>
          <w:p w14:paraId="740AC848" w14:textId="77777777" w:rsidR="007F6723" w:rsidRDefault="007F6723" w:rsidP="00181CF8">
            <w:pPr>
              <w:pStyle w:val="Tabletextcentred"/>
              <w:keepNext/>
              <w:jc w:val="left"/>
            </w:pPr>
            <w:r>
              <w:t xml:space="preserve">Annual cost of consultations for community-based individuals with AD </w:t>
            </w:r>
          </w:p>
        </w:tc>
        <w:tc>
          <w:tcPr>
            <w:tcW w:w="689" w:type="pct"/>
          </w:tcPr>
          <w:p w14:paraId="5CB268EB" w14:textId="77777777" w:rsidR="007F6723" w:rsidRDefault="007F6723" w:rsidP="00181CF8">
            <w:pPr>
              <w:pStyle w:val="Tabletextcentred"/>
              <w:keepNext/>
              <w:jc w:val="right"/>
            </w:pPr>
            <w:r>
              <w:t>$74.10</w:t>
            </w:r>
          </w:p>
        </w:tc>
        <w:tc>
          <w:tcPr>
            <w:tcW w:w="1419" w:type="pct"/>
          </w:tcPr>
          <w:p w14:paraId="436FD577" w14:textId="0CA034B2" w:rsidR="007F6723" w:rsidRDefault="007F6723" w:rsidP="00181CF8">
            <w:pPr>
              <w:pStyle w:val="Tabletextcentred"/>
              <w:keepNext/>
              <w:tabs>
                <w:tab w:val="left" w:pos="307"/>
                <w:tab w:val="right" w:pos="2313"/>
              </w:tabs>
              <w:jc w:val="right"/>
            </w:pPr>
            <w:r>
              <w:t xml:space="preserve">MBS </w:t>
            </w:r>
            <w:r w:rsidR="00F67E7B">
              <w:t>i</w:t>
            </w:r>
            <w:r>
              <w:t>tem 23, twice per year</w:t>
            </w:r>
          </w:p>
        </w:tc>
      </w:tr>
      <w:tr w:rsidR="007F6723" w14:paraId="242C627E" w14:textId="77777777" w:rsidTr="00181CF8">
        <w:tc>
          <w:tcPr>
            <w:tcW w:w="2892" w:type="pct"/>
          </w:tcPr>
          <w:p w14:paraId="6F8C47BD" w14:textId="77777777" w:rsidR="007F6723" w:rsidRPr="00C02420" w:rsidRDefault="007F6723" w:rsidP="00181CF8">
            <w:pPr>
              <w:pStyle w:val="Tabletextcentred"/>
              <w:keepNext/>
              <w:jc w:val="left"/>
            </w:pPr>
            <w:r w:rsidRPr="00C02420">
              <w:t>Daily cost of drug treatment for mild AD (AChEIs)</w:t>
            </w:r>
          </w:p>
        </w:tc>
        <w:tc>
          <w:tcPr>
            <w:tcW w:w="689" w:type="pct"/>
          </w:tcPr>
          <w:p w14:paraId="73A8FF84" w14:textId="77777777" w:rsidR="007F6723" w:rsidRPr="00C02420" w:rsidRDefault="007F6723" w:rsidP="00181CF8">
            <w:pPr>
              <w:pStyle w:val="Tabletextcentred"/>
              <w:keepNext/>
              <w:jc w:val="right"/>
            </w:pPr>
            <w:r w:rsidRPr="00C02420">
              <w:t>$1.95</w:t>
            </w:r>
          </w:p>
        </w:tc>
        <w:tc>
          <w:tcPr>
            <w:tcW w:w="1419" w:type="pct"/>
          </w:tcPr>
          <w:p w14:paraId="355F4D7C" w14:textId="77777777" w:rsidR="007F6723" w:rsidRPr="00C02420" w:rsidRDefault="007F6723" w:rsidP="00181CF8">
            <w:pPr>
              <w:pStyle w:val="Tabletextcentred"/>
              <w:keepNext/>
              <w:tabs>
                <w:tab w:val="left" w:pos="307"/>
                <w:tab w:val="right" w:pos="2313"/>
              </w:tabs>
              <w:jc w:val="right"/>
            </w:pPr>
            <w:r w:rsidRPr="00C02420">
              <w:t xml:space="preserve">Calculated in Section </w:t>
            </w:r>
            <w:r w:rsidRPr="00C02420">
              <w:fldChar w:fldCharType="begin"/>
            </w:r>
            <w:r w:rsidRPr="00C02420">
              <w:instrText xml:space="preserve"> REF _Ref278641068 \r \h </w:instrText>
            </w:r>
            <w:r w:rsidRPr="00C02420">
              <w:fldChar w:fldCharType="separate"/>
            </w:r>
            <w:r w:rsidR="00C67698">
              <w:t>C.7</w:t>
            </w:r>
            <w:r w:rsidRPr="00C02420">
              <w:fldChar w:fldCharType="end"/>
            </w:r>
          </w:p>
        </w:tc>
      </w:tr>
      <w:tr w:rsidR="007F6723" w14:paraId="5F04E174" w14:textId="77777777" w:rsidTr="00181CF8">
        <w:tc>
          <w:tcPr>
            <w:tcW w:w="2892" w:type="pct"/>
          </w:tcPr>
          <w:p w14:paraId="55CB4A72" w14:textId="77777777" w:rsidR="007F6723" w:rsidRPr="00C02420" w:rsidRDefault="007F6723" w:rsidP="00181CF8">
            <w:pPr>
              <w:pStyle w:val="Tabletextcentred"/>
              <w:keepNext/>
              <w:jc w:val="left"/>
            </w:pPr>
            <w:r w:rsidRPr="00C02420">
              <w:t>Daily cost of drug treatment for moderate AD (memantine)</w:t>
            </w:r>
          </w:p>
        </w:tc>
        <w:tc>
          <w:tcPr>
            <w:tcW w:w="689" w:type="pct"/>
          </w:tcPr>
          <w:p w14:paraId="72F3ECF9" w14:textId="77777777" w:rsidR="007F6723" w:rsidRPr="00C02420" w:rsidRDefault="007F6723" w:rsidP="00181CF8">
            <w:pPr>
              <w:pStyle w:val="Tabletextcentred"/>
              <w:keepNext/>
              <w:jc w:val="right"/>
            </w:pPr>
            <w:r w:rsidRPr="00C02420">
              <w:t>$2.40</w:t>
            </w:r>
          </w:p>
        </w:tc>
        <w:tc>
          <w:tcPr>
            <w:tcW w:w="1419" w:type="pct"/>
          </w:tcPr>
          <w:p w14:paraId="12D70C70" w14:textId="77777777" w:rsidR="007F6723" w:rsidRPr="00C02420" w:rsidRDefault="007F6723" w:rsidP="00181CF8">
            <w:pPr>
              <w:pStyle w:val="Tabletextcentred"/>
              <w:keepNext/>
              <w:jc w:val="right"/>
            </w:pPr>
            <w:r w:rsidRPr="00C02420">
              <w:t xml:space="preserve">Calculated in Section </w:t>
            </w:r>
            <w:r w:rsidRPr="00C02420">
              <w:fldChar w:fldCharType="begin"/>
            </w:r>
            <w:r w:rsidRPr="00C02420">
              <w:instrText xml:space="preserve"> REF _Ref278641068 \r \h  \* MERGEFORMAT </w:instrText>
            </w:r>
            <w:r w:rsidRPr="00C02420">
              <w:fldChar w:fldCharType="separate"/>
            </w:r>
            <w:r w:rsidR="00C67698">
              <w:t>C.7</w:t>
            </w:r>
            <w:r w:rsidRPr="00C02420">
              <w:fldChar w:fldCharType="end"/>
            </w:r>
          </w:p>
        </w:tc>
      </w:tr>
      <w:tr w:rsidR="007F6723" w14:paraId="666A00BE" w14:textId="77777777" w:rsidTr="00181CF8">
        <w:tc>
          <w:tcPr>
            <w:tcW w:w="2892" w:type="pct"/>
          </w:tcPr>
          <w:p w14:paraId="594A04E4" w14:textId="77777777" w:rsidR="007F6723" w:rsidRDefault="007F6723" w:rsidP="00181CF8">
            <w:pPr>
              <w:pStyle w:val="Tabletextcentred"/>
              <w:keepNext/>
              <w:jc w:val="left"/>
            </w:pPr>
            <w:r>
              <w:t>Annual cost of home-based care packages for moderate AD</w:t>
            </w:r>
          </w:p>
        </w:tc>
        <w:tc>
          <w:tcPr>
            <w:tcW w:w="689" w:type="pct"/>
          </w:tcPr>
          <w:p w14:paraId="07AA924C" w14:textId="77777777" w:rsidR="007F6723" w:rsidRDefault="007F6723" w:rsidP="00181CF8">
            <w:pPr>
              <w:pStyle w:val="Tabletextcentred"/>
              <w:keepNext/>
              <w:jc w:val="right"/>
            </w:pPr>
            <w:r>
              <w:t>$12,410.40</w:t>
            </w:r>
          </w:p>
        </w:tc>
        <w:tc>
          <w:tcPr>
            <w:tcW w:w="1419" w:type="pct"/>
          </w:tcPr>
          <w:p w14:paraId="35BB1D90" w14:textId="77777777" w:rsidR="007F6723" w:rsidRDefault="007F6723" w:rsidP="00181CF8">
            <w:pPr>
              <w:pStyle w:val="Tabletextcentred"/>
              <w:keepNext/>
              <w:jc w:val="right"/>
            </w:pPr>
            <w:r>
              <w:t xml:space="preserve">Calculated in Section </w:t>
            </w:r>
            <w:r>
              <w:fldChar w:fldCharType="begin"/>
            </w:r>
            <w:r>
              <w:instrText xml:space="preserve"> REF _Ref278641170 \r \h </w:instrText>
            </w:r>
            <w:r>
              <w:fldChar w:fldCharType="separate"/>
            </w:r>
            <w:r w:rsidR="00C67698">
              <w:t>C.8</w:t>
            </w:r>
            <w:r>
              <w:fldChar w:fldCharType="end"/>
            </w:r>
          </w:p>
        </w:tc>
      </w:tr>
      <w:tr w:rsidR="007F6723" w14:paraId="501375C5" w14:textId="77777777" w:rsidTr="00181CF8">
        <w:tc>
          <w:tcPr>
            <w:tcW w:w="2892" w:type="pct"/>
          </w:tcPr>
          <w:p w14:paraId="0BAB544A" w14:textId="77777777" w:rsidR="007F6723" w:rsidRDefault="007F6723" w:rsidP="00181CF8">
            <w:pPr>
              <w:pStyle w:val="Tabletextcentred"/>
              <w:keepNext/>
              <w:jc w:val="left"/>
            </w:pPr>
            <w:r>
              <w:t>Annual cost of nursing home care for mild and moderate AD</w:t>
            </w:r>
          </w:p>
        </w:tc>
        <w:tc>
          <w:tcPr>
            <w:tcW w:w="689" w:type="pct"/>
          </w:tcPr>
          <w:p w14:paraId="46CD5780" w14:textId="77777777" w:rsidR="007F6723" w:rsidRDefault="007F6723" w:rsidP="00181CF8">
            <w:pPr>
              <w:pStyle w:val="Tabletextcentred"/>
              <w:keepNext/>
              <w:jc w:val="right"/>
            </w:pPr>
            <w:r>
              <w:t>$21,476.43</w:t>
            </w:r>
          </w:p>
        </w:tc>
        <w:tc>
          <w:tcPr>
            <w:tcW w:w="1419" w:type="pct"/>
          </w:tcPr>
          <w:p w14:paraId="4EA2A151" w14:textId="77777777" w:rsidR="007F6723" w:rsidRDefault="007F6723" w:rsidP="00181CF8">
            <w:pPr>
              <w:pStyle w:val="Tabletextcentred"/>
              <w:keepNext/>
              <w:jc w:val="right"/>
            </w:pPr>
            <w:r>
              <w:t xml:space="preserve">Calculated in Section </w:t>
            </w:r>
            <w:r>
              <w:fldChar w:fldCharType="begin"/>
            </w:r>
            <w:r>
              <w:instrText xml:space="preserve"> REF _Ref278641170 \r \h </w:instrText>
            </w:r>
            <w:r>
              <w:fldChar w:fldCharType="separate"/>
            </w:r>
            <w:r w:rsidR="00C67698">
              <w:t>C.8</w:t>
            </w:r>
            <w:r>
              <w:fldChar w:fldCharType="end"/>
            </w:r>
          </w:p>
        </w:tc>
      </w:tr>
      <w:tr w:rsidR="007F6723" w14:paraId="133A0214" w14:textId="77777777" w:rsidTr="00181CF8">
        <w:tc>
          <w:tcPr>
            <w:tcW w:w="2892" w:type="pct"/>
          </w:tcPr>
          <w:p w14:paraId="1599DC23" w14:textId="77777777" w:rsidR="007F6723" w:rsidRDefault="007F6723" w:rsidP="00181CF8">
            <w:pPr>
              <w:pStyle w:val="Tabletextcentred"/>
              <w:keepNext/>
              <w:jc w:val="left"/>
            </w:pPr>
            <w:r>
              <w:t>Annual cost of nursing home care for severe AD</w:t>
            </w:r>
          </w:p>
        </w:tc>
        <w:tc>
          <w:tcPr>
            <w:tcW w:w="689" w:type="pct"/>
          </w:tcPr>
          <w:p w14:paraId="4A9EEED3" w14:textId="77777777" w:rsidR="007F6723" w:rsidRDefault="007F6723" w:rsidP="00181CF8">
            <w:pPr>
              <w:pStyle w:val="Tabletextcentred"/>
              <w:keepNext/>
              <w:jc w:val="right"/>
            </w:pPr>
            <w:r>
              <w:t>$59,528.43</w:t>
            </w:r>
          </w:p>
        </w:tc>
        <w:tc>
          <w:tcPr>
            <w:tcW w:w="1419" w:type="pct"/>
          </w:tcPr>
          <w:p w14:paraId="4E3CF2C3" w14:textId="77777777" w:rsidR="007F6723" w:rsidRDefault="007F6723" w:rsidP="00181CF8">
            <w:pPr>
              <w:pStyle w:val="Tabletextcentred"/>
              <w:keepNext/>
              <w:jc w:val="right"/>
            </w:pPr>
            <w:r>
              <w:t xml:space="preserve">Calculated in Section </w:t>
            </w:r>
            <w:r>
              <w:fldChar w:fldCharType="begin"/>
            </w:r>
            <w:r>
              <w:instrText xml:space="preserve"> REF _Ref278641170 \r \h </w:instrText>
            </w:r>
            <w:r>
              <w:fldChar w:fldCharType="separate"/>
            </w:r>
            <w:r w:rsidR="00C67698">
              <w:t>C.8</w:t>
            </w:r>
            <w:r>
              <w:fldChar w:fldCharType="end"/>
            </w:r>
          </w:p>
        </w:tc>
      </w:tr>
    </w:tbl>
    <w:p w14:paraId="336E6793" w14:textId="77777777" w:rsidR="007F6723" w:rsidRPr="003D1184" w:rsidRDefault="007F6723" w:rsidP="007F6723">
      <w:pPr>
        <w:pStyle w:val="Tablefootnotes"/>
        <w:keepNext/>
      </w:pPr>
      <w:r>
        <w:t>A</w:t>
      </w:r>
      <w:r w:rsidRPr="00F94D4D">
        <w:t>bbreviations</w:t>
      </w:r>
      <w:r>
        <w:t>: AChEIs, acetylcholinesterase inhibitors; AD, Alzheimer’s disease; MBS, Medicare Benefits Schedule</w:t>
      </w:r>
    </w:p>
    <w:p w14:paraId="2D882F9F" w14:textId="77777777" w:rsidR="007F6723" w:rsidRDefault="007F6723" w:rsidP="007F6723">
      <w:pPr>
        <w:pStyle w:val="Heading3"/>
      </w:pPr>
      <w:bookmarkStart w:id="226" w:name="_Ref406417315"/>
      <w:r>
        <w:t>Diagnostic accuracy</w:t>
      </w:r>
      <w:bookmarkEnd w:id="226"/>
    </w:p>
    <w:p w14:paraId="5C97A999" w14:textId="77777777" w:rsidR="007F6723" w:rsidRDefault="007F6723" w:rsidP="007F6723">
      <w:r>
        <w:t>The diagnostic accuracy data described in Section B and again in Section C.9 were applied to the economic model. Specifically, these were used to determine the probability of individuals receiving a correct or incorrect diagnosis with either FDG-PET or SPECT.</w:t>
      </w:r>
    </w:p>
    <w:p w14:paraId="41522D52" w14:textId="77777777" w:rsidR="007F6723" w:rsidRPr="00DC18A6" w:rsidRDefault="007F6723" w:rsidP="007F6723">
      <w:r>
        <w:t xml:space="preserve">As described above, the structure of the model required that these data were used to calculate the probability of correct and incorrect diagnoses. These are presented in </w:t>
      </w:r>
      <w:r>
        <w:fldChar w:fldCharType="begin"/>
      </w:r>
      <w:r>
        <w:instrText xml:space="preserve"> REF _Ref279912394 \h </w:instrText>
      </w:r>
      <w:r>
        <w:fldChar w:fldCharType="separate"/>
      </w:r>
      <w:r w:rsidR="00C67698">
        <w:t xml:space="preserve">Table </w:t>
      </w:r>
      <w:r w:rsidR="00C67698">
        <w:rPr>
          <w:noProof/>
        </w:rPr>
        <w:t>D.4</w:t>
      </w:r>
      <w:r w:rsidR="00C67698">
        <w:noBreakHyphen/>
      </w:r>
      <w:r w:rsidR="00C67698">
        <w:rPr>
          <w:noProof/>
        </w:rPr>
        <w:t>3</w:t>
      </w:r>
      <w:r>
        <w:fldChar w:fldCharType="end"/>
      </w:r>
      <w:r>
        <w:t>.</w:t>
      </w:r>
    </w:p>
    <w:p w14:paraId="08A17B5C" w14:textId="0D21E20C" w:rsidR="007F6723" w:rsidRDefault="007F6723" w:rsidP="007F6723">
      <w:pPr>
        <w:pStyle w:val="Caption"/>
      </w:pPr>
      <w:bookmarkStart w:id="227" w:name="_Ref279912394"/>
      <w:bookmarkStart w:id="228" w:name="_Toc406172483"/>
      <w:bookmarkStart w:id="229" w:name="_Toc408845238"/>
      <w:r>
        <w:t xml:space="preserve">Table </w:t>
      </w:r>
      <w:fldSimple w:instr=" STYLEREF 2 \s ">
        <w:r w:rsidR="00C67698">
          <w:rPr>
            <w:noProof/>
          </w:rPr>
          <w:t>D.4</w:t>
        </w:r>
      </w:fldSimple>
      <w:r w:rsidR="00524916">
        <w:noBreakHyphen/>
      </w:r>
      <w:fldSimple w:instr=" SEQ Table \* ARABIC \s 2 ">
        <w:r w:rsidR="00C67698">
          <w:rPr>
            <w:noProof/>
          </w:rPr>
          <w:t>3</w:t>
        </w:r>
      </w:fldSimple>
      <w:bookmarkEnd w:id="227"/>
      <w:r>
        <w:tab/>
        <w:t>Probability of correct and incorrect diagnoses applied to the economic model</w:t>
      </w:r>
      <w:bookmarkEnd w:id="228"/>
      <w:bookmarkEnd w:id="229"/>
    </w:p>
    <w:tbl>
      <w:tblPr>
        <w:tblStyle w:val="TableGrid"/>
        <w:tblW w:w="4610" w:type="pct"/>
        <w:tblInd w:w="704" w:type="dxa"/>
        <w:tblLook w:val="04A0" w:firstRow="1" w:lastRow="0" w:firstColumn="1" w:lastColumn="0" w:noHBand="0" w:noVBand="1"/>
        <w:tblCaption w:val="The probability of correct and incorrect diagnoses applied to the economic model"/>
      </w:tblPr>
      <w:tblGrid>
        <w:gridCol w:w="4796"/>
        <w:gridCol w:w="1743"/>
        <w:gridCol w:w="1982"/>
      </w:tblGrid>
      <w:tr w:rsidR="007F6723" w14:paraId="314187DE" w14:textId="77777777" w:rsidTr="00181CF8">
        <w:trPr>
          <w:tblHeader/>
        </w:trPr>
        <w:tc>
          <w:tcPr>
            <w:tcW w:w="2814" w:type="pct"/>
            <w:tcBorders>
              <w:bottom w:val="single" w:sz="4" w:space="0" w:color="auto"/>
            </w:tcBorders>
          </w:tcPr>
          <w:p w14:paraId="3606205C" w14:textId="77777777" w:rsidR="007F6723" w:rsidRDefault="007F6723" w:rsidP="00181CF8">
            <w:pPr>
              <w:pStyle w:val="Tabletextboldleft"/>
            </w:pPr>
            <w:r>
              <w:t>Parameter</w:t>
            </w:r>
          </w:p>
        </w:tc>
        <w:tc>
          <w:tcPr>
            <w:tcW w:w="1023" w:type="pct"/>
            <w:tcBorders>
              <w:bottom w:val="single" w:sz="4" w:space="0" w:color="auto"/>
            </w:tcBorders>
          </w:tcPr>
          <w:p w14:paraId="24143C25" w14:textId="77777777" w:rsidR="007F6723" w:rsidRDefault="007F6723" w:rsidP="00181CF8">
            <w:pPr>
              <w:pStyle w:val="Tabletextboldleft"/>
              <w:jc w:val="right"/>
            </w:pPr>
            <w:r>
              <w:t>Value</w:t>
            </w:r>
          </w:p>
        </w:tc>
        <w:tc>
          <w:tcPr>
            <w:tcW w:w="1163" w:type="pct"/>
          </w:tcPr>
          <w:p w14:paraId="37541F4C" w14:textId="77777777" w:rsidR="007F6723" w:rsidRDefault="007F6723" w:rsidP="00181CF8">
            <w:pPr>
              <w:pStyle w:val="Tabletextboldleft"/>
              <w:jc w:val="right"/>
            </w:pPr>
            <w:r>
              <w:t>Reference</w:t>
            </w:r>
          </w:p>
        </w:tc>
      </w:tr>
      <w:tr w:rsidR="007F6723" w14:paraId="518FBB1D" w14:textId="77777777" w:rsidTr="00181CF8">
        <w:tc>
          <w:tcPr>
            <w:tcW w:w="2814" w:type="pct"/>
            <w:tcBorders>
              <w:right w:val="nil"/>
            </w:tcBorders>
          </w:tcPr>
          <w:p w14:paraId="3A0620A6" w14:textId="77777777" w:rsidR="007F6723" w:rsidRPr="00E52FAD" w:rsidRDefault="007F6723" w:rsidP="00181CF8">
            <w:pPr>
              <w:pStyle w:val="Tabletextcentred"/>
              <w:keepNext/>
              <w:tabs>
                <w:tab w:val="left" w:pos="307"/>
                <w:tab w:val="right" w:pos="2313"/>
              </w:tabs>
              <w:jc w:val="left"/>
              <w:rPr>
                <w:b/>
              </w:rPr>
            </w:pPr>
            <w:r w:rsidRPr="00E52FAD">
              <w:rPr>
                <w:b/>
              </w:rPr>
              <w:t>FDG-PET</w:t>
            </w:r>
          </w:p>
        </w:tc>
        <w:tc>
          <w:tcPr>
            <w:tcW w:w="1023" w:type="pct"/>
            <w:tcBorders>
              <w:left w:val="nil"/>
              <w:right w:val="nil"/>
            </w:tcBorders>
          </w:tcPr>
          <w:p w14:paraId="181F4158" w14:textId="77777777" w:rsidR="007F6723" w:rsidRDefault="007F6723" w:rsidP="00181CF8">
            <w:pPr>
              <w:pStyle w:val="Tabletextcentred"/>
              <w:keepNext/>
              <w:tabs>
                <w:tab w:val="left" w:pos="307"/>
                <w:tab w:val="right" w:pos="2313"/>
              </w:tabs>
              <w:jc w:val="right"/>
            </w:pPr>
            <w:r>
              <w:t>-</w:t>
            </w:r>
          </w:p>
        </w:tc>
        <w:tc>
          <w:tcPr>
            <w:tcW w:w="1163" w:type="pct"/>
            <w:tcBorders>
              <w:left w:val="nil"/>
            </w:tcBorders>
          </w:tcPr>
          <w:p w14:paraId="021A99ED" w14:textId="77777777" w:rsidR="007F6723" w:rsidRDefault="007F6723" w:rsidP="00181CF8">
            <w:pPr>
              <w:pStyle w:val="Tabletextcentred"/>
              <w:keepNext/>
              <w:tabs>
                <w:tab w:val="left" w:pos="307"/>
                <w:tab w:val="right" w:pos="2313"/>
              </w:tabs>
              <w:jc w:val="right"/>
            </w:pPr>
            <w:r>
              <w:t>-</w:t>
            </w:r>
          </w:p>
        </w:tc>
      </w:tr>
      <w:tr w:rsidR="007F6723" w14:paraId="6BF66F2A" w14:textId="77777777" w:rsidTr="00181CF8">
        <w:tc>
          <w:tcPr>
            <w:tcW w:w="2814" w:type="pct"/>
          </w:tcPr>
          <w:p w14:paraId="120A3336" w14:textId="77777777" w:rsidR="007F6723" w:rsidRDefault="007F6723" w:rsidP="00181CF8">
            <w:pPr>
              <w:pStyle w:val="Tabletextcentred"/>
              <w:keepNext/>
              <w:jc w:val="left"/>
            </w:pPr>
            <w:r>
              <w:t>Probability of a correct result in individuals with AD</w:t>
            </w:r>
          </w:p>
        </w:tc>
        <w:tc>
          <w:tcPr>
            <w:tcW w:w="1023" w:type="pct"/>
          </w:tcPr>
          <w:p w14:paraId="2C5B69C6" w14:textId="77777777" w:rsidR="007F6723" w:rsidRDefault="007F6723" w:rsidP="00181CF8">
            <w:pPr>
              <w:pStyle w:val="Tabletextcentred"/>
              <w:keepNext/>
              <w:jc w:val="right"/>
            </w:pPr>
            <w:r>
              <w:t>0.71</w:t>
            </w:r>
          </w:p>
        </w:tc>
        <w:tc>
          <w:tcPr>
            <w:tcW w:w="1163" w:type="pct"/>
          </w:tcPr>
          <w:p w14:paraId="49F58B86" w14:textId="77777777" w:rsidR="007F6723" w:rsidRPr="00884A82" w:rsidRDefault="007F6723" w:rsidP="00181CF8">
            <w:pPr>
              <w:pStyle w:val="Tabletextcentred"/>
              <w:keepNext/>
              <w:tabs>
                <w:tab w:val="left" w:pos="307"/>
                <w:tab w:val="right" w:pos="2313"/>
              </w:tabs>
              <w:jc w:val="right"/>
            </w:pPr>
            <w:r>
              <w:t>TP /  (TP + FN)</w:t>
            </w:r>
          </w:p>
        </w:tc>
      </w:tr>
      <w:tr w:rsidR="007F6723" w14:paraId="6786BD65" w14:textId="77777777" w:rsidTr="00181CF8">
        <w:tc>
          <w:tcPr>
            <w:tcW w:w="2814" w:type="pct"/>
            <w:tcBorders>
              <w:bottom w:val="single" w:sz="4" w:space="0" w:color="auto"/>
            </w:tcBorders>
          </w:tcPr>
          <w:p w14:paraId="68139624" w14:textId="77777777" w:rsidR="007F6723" w:rsidRDefault="007F6723" w:rsidP="00181CF8">
            <w:pPr>
              <w:pStyle w:val="Tabletextcentred"/>
              <w:keepNext/>
              <w:jc w:val="left"/>
            </w:pPr>
            <w:r>
              <w:t>Probability of correct result in individuals with no AD</w:t>
            </w:r>
          </w:p>
        </w:tc>
        <w:tc>
          <w:tcPr>
            <w:tcW w:w="1023" w:type="pct"/>
            <w:tcBorders>
              <w:bottom w:val="single" w:sz="4" w:space="0" w:color="auto"/>
            </w:tcBorders>
          </w:tcPr>
          <w:p w14:paraId="5273D4E5" w14:textId="77777777" w:rsidR="007F6723" w:rsidRDefault="007F6723" w:rsidP="00181CF8">
            <w:pPr>
              <w:pStyle w:val="Tabletextcentred"/>
              <w:keepNext/>
              <w:tabs>
                <w:tab w:val="center" w:pos="1160"/>
                <w:tab w:val="right" w:pos="2320"/>
              </w:tabs>
              <w:jc w:val="right"/>
            </w:pPr>
            <w:r>
              <w:t>0.60</w:t>
            </w:r>
          </w:p>
        </w:tc>
        <w:tc>
          <w:tcPr>
            <w:tcW w:w="1163" w:type="pct"/>
          </w:tcPr>
          <w:p w14:paraId="40BB2BA9" w14:textId="77777777" w:rsidR="007F6723" w:rsidRPr="00884A82" w:rsidRDefault="007F6723" w:rsidP="00181CF8">
            <w:pPr>
              <w:pStyle w:val="Tabletextcentred"/>
              <w:keepNext/>
              <w:jc w:val="right"/>
            </w:pPr>
            <w:r>
              <w:t>TN / (TN + FP)</w:t>
            </w:r>
          </w:p>
        </w:tc>
      </w:tr>
      <w:tr w:rsidR="007F6723" w14:paraId="06A69CA0" w14:textId="77777777" w:rsidTr="00181CF8">
        <w:tc>
          <w:tcPr>
            <w:tcW w:w="2814" w:type="pct"/>
            <w:tcBorders>
              <w:right w:val="nil"/>
            </w:tcBorders>
          </w:tcPr>
          <w:p w14:paraId="371CC513" w14:textId="77777777" w:rsidR="007F6723" w:rsidRPr="00E52FAD" w:rsidRDefault="007F6723" w:rsidP="00181CF8">
            <w:pPr>
              <w:pStyle w:val="Tabletextcentred"/>
              <w:keepNext/>
              <w:jc w:val="left"/>
              <w:rPr>
                <w:b/>
              </w:rPr>
            </w:pPr>
            <w:r w:rsidRPr="00E52FAD">
              <w:rPr>
                <w:b/>
              </w:rPr>
              <w:t>SPECT</w:t>
            </w:r>
          </w:p>
        </w:tc>
        <w:tc>
          <w:tcPr>
            <w:tcW w:w="1023" w:type="pct"/>
            <w:tcBorders>
              <w:left w:val="nil"/>
              <w:right w:val="nil"/>
            </w:tcBorders>
          </w:tcPr>
          <w:p w14:paraId="65C14DA1" w14:textId="77777777" w:rsidR="007F6723" w:rsidRDefault="007F6723" w:rsidP="00181CF8">
            <w:pPr>
              <w:pStyle w:val="Tabletextcentred"/>
              <w:keepNext/>
              <w:jc w:val="right"/>
            </w:pPr>
            <w:r>
              <w:t>-</w:t>
            </w:r>
          </w:p>
        </w:tc>
        <w:tc>
          <w:tcPr>
            <w:tcW w:w="1163" w:type="pct"/>
            <w:tcBorders>
              <w:left w:val="nil"/>
            </w:tcBorders>
          </w:tcPr>
          <w:p w14:paraId="43CC10A0" w14:textId="77777777" w:rsidR="007F6723" w:rsidRDefault="007F6723" w:rsidP="00181CF8">
            <w:pPr>
              <w:pStyle w:val="Tabletextcentred"/>
              <w:keepNext/>
              <w:jc w:val="right"/>
            </w:pPr>
            <w:r>
              <w:t>-</w:t>
            </w:r>
          </w:p>
        </w:tc>
      </w:tr>
      <w:tr w:rsidR="007F6723" w14:paraId="33261A31" w14:textId="77777777" w:rsidTr="00181CF8">
        <w:tc>
          <w:tcPr>
            <w:tcW w:w="2814" w:type="pct"/>
          </w:tcPr>
          <w:p w14:paraId="40D35914" w14:textId="77777777" w:rsidR="007F6723" w:rsidRDefault="007F6723" w:rsidP="00181CF8">
            <w:pPr>
              <w:pStyle w:val="Tabletextcentred"/>
              <w:keepNext/>
              <w:jc w:val="left"/>
            </w:pPr>
            <w:r>
              <w:t>Probability of a correct result in individuals with AD</w:t>
            </w:r>
          </w:p>
        </w:tc>
        <w:tc>
          <w:tcPr>
            <w:tcW w:w="1023" w:type="pct"/>
          </w:tcPr>
          <w:p w14:paraId="070D1B87" w14:textId="77777777" w:rsidR="007F6723" w:rsidRDefault="007F6723" w:rsidP="00181CF8">
            <w:pPr>
              <w:pStyle w:val="Tabletextcentred"/>
              <w:keepNext/>
              <w:jc w:val="right"/>
            </w:pPr>
            <w:r>
              <w:t>0.69</w:t>
            </w:r>
          </w:p>
        </w:tc>
        <w:tc>
          <w:tcPr>
            <w:tcW w:w="1163" w:type="pct"/>
          </w:tcPr>
          <w:p w14:paraId="1CE5B38E" w14:textId="77777777" w:rsidR="007F6723" w:rsidRDefault="007F6723" w:rsidP="00181CF8">
            <w:pPr>
              <w:pStyle w:val="Tabletextcentred"/>
              <w:keepNext/>
              <w:jc w:val="right"/>
            </w:pPr>
            <w:r>
              <w:t>TP /  (TP + FN)</w:t>
            </w:r>
          </w:p>
        </w:tc>
      </w:tr>
      <w:tr w:rsidR="007F6723" w14:paraId="4D7F5294" w14:textId="77777777" w:rsidTr="00181CF8">
        <w:tc>
          <w:tcPr>
            <w:tcW w:w="2814" w:type="pct"/>
          </w:tcPr>
          <w:p w14:paraId="57C787D7" w14:textId="77777777" w:rsidR="007F6723" w:rsidRDefault="007F6723" w:rsidP="00181CF8">
            <w:pPr>
              <w:pStyle w:val="Tabletextcentred"/>
              <w:keepNext/>
              <w:jc w:val="left"/>
            </w:pPr>
            <w:r>
              <w:t>Probability of correct result in individuals with no AD</w:t>
            </w:r>
          </w:p>
        </w:tc>
        <w:tc>
          <w:tcPr>
            <w:tcW w:w="1023" w:type="pct"/>
          </w:tcPr>
          <w:p w14:paraId="1CB32C3B" w14:textId="77777777" w:rsidR="007F6723" w:rsidRDefault="007F6723" w:rsidP="00181CF8">
            <w:pPr>
              <w:pStyle w:val="Tabletextcentred"/>
              <w:keepNext/>
              <w:jc w:val="right"/>
            </w:pPr>
            <w:r>
              <w:t>0.56</w:t>
            </w:r>
          </w:p>
        </w:tc>
        <w:tc>
          <w:tcPr>
            <w:tcW w:w="1163" w:type="pct"/>
          </w:tcPr>
          <w:p w14:paraId="20B4A735" w14:textId="77777777" w:rsidR="007F6723" w:rsidRDefault="007F6723" w:rsidP="00181CF8">
            <w:pPr>
              <w:pStyle w:val="Tabletextcentred"/>
              <w:keepNext/>
              <w:jc w:val="right"/>
            </w:pPr>
            <w:r>
              <w:t>TN / (TN + FP)</w:t>
            </w:r>
          </w:p>
        </w:tc>
      </w:tr>
    </w:tbl>
    <w:p w14:paraId="288FC5B1" w14:textId="7CD7925F" w:rsidR="007F6723" w:rsidRDefault="007F6723" w:rsidP="007F6723">
      <w:pPr>
        <w:pStyle w:val="Tablefootnotes"/>
        <w:keepNext/>
      </w:pPr>
      <w:r>
        <w:t>Abbreviations: AD, Alzheimer’s disease; FDG-PET, flu</w:t>
      </w:r>
      <w:r w:rsidR="0038452F">
        <w:t>o</w:t>
      </w:r>
      <w:r>
        <w:t>rodeoxyglucose positron emission tomography; FN, false negative; FP, false positive; SPECT, single-photon emission tomography TN, true negative; TP, true positive</w:t>
      </w:r>
    </w:p>
    <w:p w14:paraId="2E9FED8B" w14:textId="77777777" w:rsidR="007F6723" w:rsidRDefault="007F6723" w:rsidP="007F6723">
      <w:r>
        <w:t xml:space="preserve">The uncertainty relating to the diagnostic accuracy data, and the impact these have on the probability described in </w:t>
      </w:r>
      <w:r>
        <w:fldChar w:fldCharType="begin"/>
      </w:r>
      <w:r>
        <w:instrText xml:space="preserve"> REF _Ref279912394 \h </w:instrText>
      </w:r>
      <w:r>
        <w:fldChar w:fldCharType="separate"/>
      </w:r>
      <w:r w:rsidR="00C67698">
        <w:t xml:space="preserve">Table </w:t>
      </w:r>
      <w:r w:rsidR="00C67698">
        <w:rPr>
          <w:noProof/>
        </w:rPr>
        <w:t>D.4</w:t>
      </w:r>
      <w:r w:rsidR="00C67698">
        <w:noBreakHyphen/>
      </w:r>
      <w:r w:rsidR="00C67698">
        <w:rPr>
          <w:noProof/>
        </w:rPr>
        <w:t>3</w:t>
      </w:r>
      <w:r>
        <w:fldChar w:fldCharType="end"/>
      </w:r>
      <w:r>
        <w:t xml:space="preserve"> is explored in Section D.6.</w:t>
      </w:r>
    </w:p>
    <w:p w14:paraId="4868C9F5" w14:textId="77777777" w:rsidR="007F6723" w:rsidRDefault="007F6723" w:rsidP="007F6723">
      <w:pPr>
        <w:pStyle w:val="Heading3"/>
      </w:pPr>
      <w:r>
        <w:t>Transition probabilities</w:t>
      </w:r>
    </w:p>
    <w:p w14:paraId="77189B62" w14:textId="77777777" w:rsidR="007F6723" w:rsidRDefault="007F6723" w:rsidP="007F6723">
      <w:r>
        <w:t xml:space="preserve">Transition probabilities relating to the natural history of AD were sourced from the published literature, as described previously in Section </w:t>
      </w:r>
      <w:r>
        <w:fldChar w:fldCharType="begin"/>
      </w:r>
      <w:r>
        <w:instrText xml:space="preserve"> REF _Ref278649011 \r \h </w:instrText>
      </w:r>
      <w:r>
        <w:fldChar w:fldCharType="separate"/>
      </w:r>
      <w:r w:rsidR="00C67698">
        <w:t>C.4</w:t>
      </w:r>
      <w:r>
        <w:fldChar w:fldCharType="end"/>
      </w:r>
      <w:r>
        <w:t>, following a comprehensive search of the published literature.</w:t>
      </w:r>
    </w:p>
    <w:p w14:paraId="060E0793" w14:textId="77777777" w:rsidR="007F6723" w:rsidRDefault="007F6723" w:rsidP="007F6723">
      <w:r>
        <w:t xml:space="preserve">Transition probabilities from Neumann et al (1999) were applied to the economic model. These included probabilities governing disease progression, progression from community-based care to institutionalisation in nursing home care and progression to death (dealt with separately in Section </w:t>
      </w:r>
      <w:r>
        <w:fldChar w:fldCharType="begin"/>
      </w:r>
      <w:r>
        <w:instrText xml:space="preserve"> REF _Ref278800924 \r \h </w:instrText>
      </w:r>
      <w:r>
        <w:fldChar w:fldCharType="separate"/>
      </w:r>
      <w:r w:rsidR="00C67698">
        <w:t>D.4.5</w:t>
      </w:r>
      <w:r>
        <w:fldChar w:fldCharType="end"/>
      </w:r>
      <w:r>
        <w:t xml:space="preserve"> below), and so were deemed as being the most appropriate given the model structure and the need to differentiate individuals to this extent. As discussed previously, it was assumed that there were no ‘backward’ transitions possible for individuals with AD due to the progressive nature of AD.</w:t>
      </w:r>
    </w:p>
    <w:p w14:paraId="63454760" w14:textId="77ECE69D" w:rsidR="007F6723" w:rsidRDefault="007F6723" w:rsidP="007F6723">
      <w:pPr>
        <w:pStyle w:val="Caption"/>
      </w:pPr>
      <w:bookmarkStart w:id="230" w:name="_Toc406172484"/>
      <w:bookmarkStart w:id="231" w:name="_Toc408845239"/>
      <w:r>
        <w:lastRenderedPageBreak/>
        <w:t xml:space="preserve">Table </w:t>
      </w:r>
      <w:fldSimple w:instr=" STYLEREF 2 \s ">
        <w:r w:rsidR="00C67698">
          <w:rPr>
            <w:noProof/>
          </w:rPr>
          <w:t>D.4</w:t>
        </w:r>
      </w:fldSimple>
      <w:r w:rsidR="00524916">
        <w:noBreakHyphen/>
      </w:r>
      <w:fldSimple w:instr=" SEQ Table \* ARABIC \s 2 ">
        <w:r w:rsidR="00C67698">
          <w:rPr>
            <w:noProof/>
          </w:rPr>
          <w:t>4</w:t>
        </w:r>
      </w:fldSimple>
      <w:r>
        <w:tab/>
        <w:t>Transition probabilities applied to the economic model</w:t>
      </w:r>
      <w:bookmarkEnd w:id="230"/>
      <w:bookmarkEnd w:id="231"/>
    </w:p>
    <w:tbl>
      <w:tblPr>
        <w:tblStyle w:val="TableGrid"/>
        <w:tblW w:w="4610" w:type="pct"/>
        <w:tblInd w:w="704" w:type="dxa"/>
        <w:tblLook w:val="04A0" w:firstRow="1" w:lastRow="0" w:firstColumn="1" w:lastColumn="0" w:noHBand="0" w:noVBand="1"/>
        <w:tblCaption w:val="The transition probabilities applied to the economic model"/>
      </w:tblPr>
      <w:tblGrid>
        <w:gridCol w:w="4505"/>
        <w:gridCol w:w="1743"/>
        <w:gridCol w:w="2273"/>
      </w:tblGrid>
      <w:tr w:rsidR="007F6723" w14:paraId="543395A4" w14:textId="77777777" w:rsidTr="00556738">
        <w:trPr>
          <w:tblHeader/>
        </w:trPr>
        <w:tc>
          <w:tcPr>
            <w:tcW w:w="2643" w:type="pct"/>
          </w:tcPr>
          <w:p w14:paraId="73D017D2" w14:textId="77777777" w:rsidR="007F6723" w:rsidRDefault="007F6723" w:rsidP="00181CF8">
            <w:pPr>
              <w:pStyle w:val="Tabletextboldleft"/>
            </w:pPr>
            <w:r>
              <w:t>Transition</w:t>
            </w:r>
          </w:p>
        </w:tc>
        <w:tc>
          <w:tcPr>
            <w:tcW w:w="1023" w:type="pct"/>
          </w:tcPr>
          <w:p w14:paraId="112ECD5A" w14:textId="77777777" w:rsidR="007F6723" w:rsidRDefault="007F6723" w:rsidP="00181CF8">
            <w:pPr>
              <w:pStyle w:val="Tabletextboldleft"/>
              <w:jc w:val="right"/>
            </w:pPr>
            <w:r>
              <w:t>Annual transition probability</w:t>
            </w:r>
          </w:p>
        </w:tc>
        <w:tc>
          <w:tcPr>
            <w:tcW w:w="1334" w:type="pct"/>
          </w:tcPr>
          <w:p w14:paraId="4B88A520" w14:textId="77777777" w:rsidR="007F6723" w:rsidRDefault="007F6723" w:rsidP="00181CF8">
            <w:pPr>
              <w:pStyle w:val="Tabletextboldleft"/>
              <w:jc w:val="right"/>
            </w:pPr>
            <w:r>
              <w:t>Reference</w:t>
            </w:r>
          </w:p>
        </w:tc>
      </w:tr>
      <w:tr w:rsidR="007F6723" w14:paraId="0972C5CB" w14:textId="77777777" w:rsidTr="00181CF8">
        <w:tc>
          <w:tcPr>
            <w:tcW w:w="2643" w:type="pct"/>
          </w:tcPr>
          <w:p w14:paraId="5A008653" w14:textId="77777777" w:rsidR="007F6723" w:rsidRDefault="007F6723" w:rsidP="00181CF8">
            <w:pPr>
              <w:pStyle w:val="Tabletextcentred"/>
              <w:keepNext/>
              <w:jc w:val="left"/>
            </w:pPr>
            <w:r>
              <w:t>Mild AD to mild AD</w:t>
            </w:r>
          </w:p>
        </w:tc>
        <w:tc>
          <w:tcPr>
            <w:tcW w:w="1023" w:type="pct"/>
          </w:tcPr>
          <w:p w14:paraId="612DFE82" w14:textId="77777777" w:rsidR="007F6723" w:rsidRDefault="007F6723" w:rsidP="00181CF8">
            <w:pPr>
              <w:pStyle w:val="Tabletextcentred"/>
              <w:keepNext/>
              <w:jc w:val="right"/>
            </w:pPr>
            <w:r>
              <w:t>0.615</w:t>
            </w:r>
          </w:p>
        </w:tc>
        <w:tc>
          <w:tcPr>
            <w:tcW w:w="1334" w:type="pct"/>
          </w:tcPr>
          <w:p w14:paraId="3C89B1B2" w14:textId="77777777" w:rsidR="007F6723" w:rsidRDefault="007F6723" w:rsidP="00181CF8">
            <w:pPr>
              <w:pStyle w:val="Tabletextcentred"/>
              <w:keepNext/>
              <w:jc w:val="right"/>
            </w:pPr>
            <w:r>
              <w:t>Calculated</w:t>
            </w:r>
          </w:p>
        </w:tc>
      </w:tr>
      <w:tr w:rsidR="007F6723" w14:paraId="15D1ED7E" w14:textId="77777777" w:rsidTr="00181CF8">
        <w:tc>
          <w:tcPr>
            <w:tcW w:w="2643" w:type="pct"/>
          </w:tcPr>
          <w:p w14:paraId="131AC534" w14:textId="77777777" w:rsidR="007F6723" w:rsidRDefault="007F6723" w:rsidP="00181CF8">
            <w:pPr>
              <w:pStyle w:val="Tabletextcentred"/>
              <w:keepNext/>
              <w:jc w:val="left"/>
            </w:pPr>
            <w:r>
              <w:t>Mild AD to moderate AD</w:t>
            </w:r>
          </w:p>
        </w:tc>
        <w:tc>
          <w:tcPr>
            <w:tcW w:w="1023" w:type="pct"/>
          </w:tcPr>
          <w:p w14:paraId="050C282C" w14:textId="77777777" w:rsidR="007F6723" w:rsidRDefault="007F6723" w:rsidP="00181CF8">
            <w:pPr>
              <w:pStyle w:val="Tabletextcentred"/>
              <w:keepNext/>
              <w:jc w:val="right"/>
            </w:pPr>
            <w:r>
              <w:t>0.364</w:t>
            </w:r>
          </w:p>
        </w:tc>
        <w:tc>
          <w:tcPr>
            <w:tcW w:w="1334" w:type="pct"/>
          </w:tcPr>
          <w:p w14:paraId="3E6DD004" w14:textId="77777777" w:rsidR="007F6723" w:rsidRPr="006C2766" w:rsidRDefault="007F6723" w:rsidP="00181CF8">
            <w:pPr>
              <w:pStyle w:val="Tabletextcentred"/>
              <w:keepNext/>
              <w:jc w:val="right"/>
              <w:rPr>
                <w:vertAlign w:val="superscript"/>
              </w:rPr>
            </w:pPr>
            <w:r>
              <w:t>Neumann et al (1999)</w:t>
            </w:r>
            <w:r>
              <w:rPr>
                <w:vertAlign w:val="superscript"/>
              </w:rPr>
              <w:t>a</w:t>
            </w:r>
          </w:p>
        </w:tc>
      </w:tr>
      <w:tr w:rsidR="007F6723" w14:paraId="7E275B8C" w14:textId="77777777" w:rsidTr="00181CF8">
        <w:tc>
          <w:tcPr>
            <w:tcW w:w="2643" w:type="pct"/>
          </w:tcPr>
          <w:p w14:paraId="3190AB8E" w14:textId="77777777" w:rsidR="007F6723" w:rsidRDefault="007F6723" w:rsidP="00181CF8">
            <w:pPr>
              <w:pStyle w:val="Tabletextcentred"/>
              <w:keepNext/>
              <w:jc w:val="left"/>
            </w:pPr>
            <w:r>
              <w:t>Mild AD to severe AD</w:t>
            </w:r>
          </w:p>
        </w:tc>
        <w:tc>
          <w:tcPr>
            <w:tcW w:w="1023" w:type="pct"/>
          </w:tcPr>
          <w:p w14:paraId="16122395" w14:textId="77777777" w:rsidR="007F6723" w:rsidRDefault="007F6723" w:rsidP="00181CF8">
            <w:pPr>
              <w:pStyle w:val="Tabletextcentred"/>
              <w:keepNext/>
              <w:jc w:val="right"/>
            </w:pPr>
            <w:r>
              <w:t>0.000</w:t>
            </w:r>
          </w:p>
        </w:tc>
        <w:tc>
          <w:tcPr>
            <w:tcW w:w="1334" w:type="pct"/>
          </w:tcPr>
          <w:p w14:paraId="50EBB90F" w14:textId="77777777" w:rsidR="007F6723" w:rsidRDefault="007F6723" w:rsidP="00181CF8">
            <w:pPr>
              <w:pStyle w:val="Tabletextcentred"/>
              <w:keepNext/>
              <w:jc w:val="right"/>
            </w:pPr>
            <w:r>
              <w:t>Assumption</w:t>
            </w:r>
          </w:p>
        </w:tc>
      </w:tr>
      <w:tr w:rsidR="007F6723" w14:paraId="50A65151" w14:textId="77777777" w:rsidTr="00181CF8">
        <w:tc>
          <w:tcPr>
            <w:tcW w:w="2643" w:type="pct"/>
          </w:tcPr>
          <w:p w14:paraId="46F007AA" w14:textId="77777777" w:rsidR="007F6723" w:rsidRDefault="007F6723" w:rsidP="00181CF8">
            <w:pPr>
              <w:pStyle w:val="Tabletextcentred"/>
              <w:keepNext/>
              <w:jc w:val="left"/>
            </w:pPr>
            <w:r>
              <w:t>Community to nursing home (individuals with mild AD)</w:t>
            </w:r>
          </w:p>
        </w:tc>
        <w:tc>
          <w:tcPr>
            <w:tcW w:w="1023" w:type="pct"/>
          </w:tcPr>
          <w:p w14:paraId="0162DDB4" w14:textId="77777777" w:rsidR="007F6723" w:rsidRDefault="007F6723" w:rsidP="00181CF8">
            <w:pPr>
              <w:pStyle w:val="Tabletextcentred"/>
              <w:keepNext/>
              <w:jc w:val="right"/>
            </w:pPr>
            <w:r>
              <w:t>0.038</w:t>
            </w:r>
          </w:p>
        </w:tc>
        <w:tc>
          <w:tcPr>
            <w:tcW w:w="1334" w:type="pct"/>
          </w:tcPr>
          <w:p w14:paraId="48DFE6CE" w14:textId="77777777" w:rsidR="007F6723" w:rsidRDefault="007F6723" w:rsidP="00181CF8">
            <w:pPr>
              <w:pStyle w:val="Tabletextcentred"/>
              <w:keepNext/>
              <w:jc w:val="right"/>
            </w:pPr>
            <w:r>
              <w:t>Neumann et al (1999)</w:t>
            </w:r>
          </w:p>
        </w:tc>
      </w:tr>
      <w:tr w:rsidR="007F6723" w14:paraId="6877025B" w14:textId="77777777" w:rsidTr="00181CF8">
        <w:tc>
          <w:tcPr>
            <w:tcW w:w="2643" w:type="pct"/>
          </w:tcPr>
          <w:p w14:paraId="178A659F" w14:textId="77777777" w:rsidR="007F6723" w:rsidRDefault="007F6723" w:rsidP="00181CF8">
            <w:pPr>
              <w:pStyle w:val="Tabletextcentred"/>
              <w:keepNext/>
              <w:jc w:val="left"/>
            </w:pPr>
            <w:r>
              <w:t>Moderate AD to mild AD</w:t>
            </w:r>
          </w:p>
        </w:tc>
        <w:tc>
          <w:tcPr>
            <w:tcW w:w="1023" w:type="pct"/>
          </w:tcPr>
          <w:p w14:paraId="33694C65" w14:textId="77777777" w:rsidR="007F6723" w:rsidRDefault="007F6723" w:rsidP="00181CF8">
            <w:pPr>
              <w:pStyle w:val="Tabletextcentred"/>
              <w:keepNext/>
              <w:jc w:val="right"/>
            </w:pPr>
            <w:r>
              <w:t>0.000</w:t>
            </w:r>
          </w:p>
        </w:tc>
        <w:tc>
          <w:tcPr>
            <w:tcW w:w="1334" w:type="pct"/>
          </w:tcPr>
          <w:p w14:paraId="69A48B0B" w14:textId="77777777" w:rsidR="007F6723" w:rsidRDefault="007F6723" w:rsidP="00181CF8">
            <w:pPr>
              <w:pStyle w:val="Tabletextcentred"/>
              <w:keepNext/>
              <w:jc w:val="right"/>
            </w:pPr>
            <w:r>
              <w:t>Assumption</w:t>
            </w:r>
          </w:p>
        </w:tc>
      </w:tr>
      <w:tr w:rsidR="007F6723" w14:paraId="5749FFC0" w14:textId="77777777" w:rsidTr="00181CF8">
        <w:tc>
          <w:tcPr>
            <w:tcW w:w="2643" w:type="pct"/>
          </w:tcPr>
          <w:p w14:paraId="38A24356" w14:textId="77777777" w:rsidR="007F6723" w:rsidRDefault="007F6723" w:rsidP="00181CF8">
            <w:pPr>
              <w:pStyle w:val="Tabletextcentred"/>
              <w:keepNext/>
              <w:jc w:val="left"/>
            </w:pPr>
            <w:r>
              <w:t>Moderate AD to moderate AD</w:t>
            </w:r>
          </w:p>
        </w:tc>
        <w:tc>
          <w:tcPr>
            <w:tcW w:w="1023" w:type="pct"/>
          </w:tcPr>
          <w:p w14:paraId="43FE11C2" w14:textId="77777777" w:rsidR="007F6723" w:rsidRDefault="007F6723" w:rsidP="00181CF8">
            <w:pPr>
              <w:pStyle w:val="Tabletextcentred"/>
              <w:keepNext/>
              <w:jc w:val="right"/>
            </w:pPr>
            <w:r>
              <w:t>0.608</w:t>
            </w:r>
          </w:p>
        </w:tc>
        <w:tc>
          <w:tcPr>
            <w:tcW w:w="1334" w:type="pct"/>
          </w:tcPr>
          <w:p w14:paraId="04FC1F50" w14:textId="77777777" w:rsidR="007F6723" w:rsidRPr="006C2766" w:rsidRDefault="007F6723" w:rsidP="00181CF8">
            <w:pPr>
              <w:pStyle w:val="Tabletextcentred"/>
              <w:keepNext/>
              <w:jc w:val="right"/>
              <w:rPr>
                <w:vertAlign w:val="superscript"/>
              </w:rPr>
            </w:pPr>
            <w:r>
              <w:t>Calculated</w:t>
            </w:r>
            <w:r>
              <w:rPr>
                <w:vertAlign w:val="superscript"/>
              </w:rPr>
              <w:t>b</w:t>
            </w:r>
          </w:p>
        </w:tc>
      </w:tr>
      <w:tr w:rsidR="007F6723" w14:paraId="0359C983" w14:textId="77777777" w:rsidTr="00181CF8">
        <w:tc>
          <w:tcPr>
            <w:tcW w:w="2643" w:type="pct"/>
          </w:tcPr>
          <w:p w14:paraId="4CE551B9" w14:textId="77777777" w:rsidR="007F6723" w:rsidRDefault="007F6723" w:rsidP="00181CF8">
            <w:pPr>
              <w:pStyle w:val="Tabletextcentred"/>
              <w:keepNext/>
              <w:jc w:val="left"/>
            </w:pPr>
            <w:r>
              <w:t>Moderate AD to severe AD</w:t>
            </w:r>
          </w:p>
        </w:tc>
        <w:tc>
          <w:tcPr>
            <w:tcW w:w="1023" w:type="pct"/>
          </w:tcPr>
          <w:p w14:paraId="147D1268" w14:textId="77777777" w:rsidR="007F6723" w:rsidRDefault="007F6723" w:rsidP="00181CF8">
            <w:pPr>
              <w:pStyle w:val="Tabletextcentred"/>
              <w:keepNext/>
              <w:jc w:val="right"/>
            </w:pPr>
            <w:r>
              <w:t>0.339</w:t>
            </w:r>
          </w:p>
        </w:tc>
        <w:tc>
          <w:tcPr>
            <w:tcW w:w="1334" w:type="pct"/>
          </w:tcPr>
          <w:p w14:paraId="1D37DE59" w14:textId="77777777" w:rsidR="007F6723" w:rsidRDefault="007F6723" w:rsidP="00181CF8">
            <w:pPr>
              <w:pStyle w:val="Tabletextcentred"/>
              <w:keepNext/>
              <w:jc w:val="right"/>
            </w:pPr>
            <w:r>
              <w:t>Neumann et al (1999)</w:t>
            </w:r>
          </w:p>
        </w:tc>
      </w:tr>
      <w:tr w:rsidR="007F6723" w14:paraId="1D29AF43" w14:textId="77777777" w:rsidTr="00181CF8">
        <w:tc>
          <w:tcPr>
            <w:tcW w:w="2643" w:type="pct"/>
          </w:tcPr>
          <w:p w14:paraId="26945D84" w14:textId="77777777" w:rsidR="007F6723" w:rsidRDefault="007F6723" w:rsidP="00181CF8">
            <w:pPr>
              <w:pStyle w:val="Tabletextcentred"/>
              <w:keepNext/>
              <w:jc w:val="left"/>
            </w:pPr>
            <w:r>
              <w:t>Community to nursing home (individuals with moderate AD)</w:t>
            </w:r>
          </w:p>
        </w:tc>
        <w:tc>
          <w:tcPr>
            <w:tcW w:w="1023" w:type="pct"/>
          </w:tcPr>
          <w:p w14:paraId="24D449E7" w14:textId="77777777" w:rsidR="007F6723" w:rsidRDefault="007F6723" w:rsidP="00181CF8">
            <w:pPr>
              <w:pStyle w:val="Tabletextcentred"/>
              <w:keepNext/>
              <w:jc w:val="right"/>
            </w:pPr>
            <w:r>
              <w:t>0.110</w:t>
            </w:r>
          </w:p>
        </w:tc>
        <w:tc>
          <w:tcPr>
            <w:tcW w:w="1334" w:type="pct"/>
          </w:tcPr>
          <w:p w14:paraId="7F23D830" w14:textId="77777777" w:rsidR="007F6723" w:rsidRDefault="007F6723" w:rsidP="00181CF8">
            <w:pPr>
              <w:pStyle w:val="Tabletextcentred"/>
              <w:keepNext/>
              <w:jc w:val="right"/>
            </w:pPr>
            <w:r>
              <w:t>Neumann et al (1999)</w:t>
            </w:r>
          </w:p>
        </w:tc>
      </w:tr>
      <w:tr w:rsidR="007F6723" w14:paraId="10D082AC" w14:textId="77777777" w:rsidTr="00181CF8">
        <w:tc>
          <w:tcPr>
            <w:tcW w:w="2643" w:type="pct"/>
          </w:tcPr>
          <w:p w14:paraId="633560B3" w14:textId="77777777" w:rsidR="007F6723" w:rsidRDefault="007F6723" w:rsidP="00181CF8">
            <w:pPr>
              <w:pStyle w:val="Tabletextcentred"/>
              <w:keepNext/>
              <w:jc w:val="left"/>
            </w:pPr>
            <w:r>
              <w:t>Severe AD to mild AD</w:t>
            </w:r>
          </w:p>
        </w:tc>
        <w:tc>
          <w:tcPr>
            <w:tcW w:w="1023" w:type="pct"/>
          </w:tcPr>
          <w:p w14:paraId="11CB982F" w14:textId="77777777" w:rsidR="007F6723" w:rsidRDefault="007F6723" w:rsidP="00181CF8">
            <w:pPr>
              <w:pStyle w:val="Tabletextcentred"/>
              <w:keepNext/>
              <w:jc w:val="right"/>
            </w:pPr>
            <w:r>
              <w:t>0.000</w:t>
            </w:r>
          </w:p>
        </w:tc>
        <w:tc>
          <w:tcPr>
            <w:tcW w:w="1334" w:type="pct"/>
          </w:tcPr>
          <w:p w14:paraId="4A99FECB" w14:textId="77777777" w:rsidR="007F6723" w:rsidRDefault="007F6723" w:rsidP="00181CF8">
            <w:pPr>
              <w:pStyle w:val="Tabletextcentred"/>
              <w:keepNext/>
              <w:jc w:val="right"/>
            </w:pPr>
            <w:r>
              <w:t>Neumann et al (1999)</w:t>
            </w:r>
          </w:p>
        </w:tc>
      </w:tr>
      <w:tr w:rsidR="007F6723" w14:paraId="7BBB813F" w14:textId="77777777" w:rsidTr="00181CF8">
        <w:tc>
          <w:tcPr>
            <w:tcW w:w="2643" w:type="pct"/>
          </w:tcPr>
          <w:p w14:paraId="2A31BA8E" w14:textId="77777777" w:rsidR="007F6723" w:rsidRDefault="007F6723" w:rsidP="00181CF8">
            <w:pPr>
              <w:pStyle w:val="Tabletextcentred"/>
              <w:keepNext/>
              <w:jc w:val="left"/>
            </w:pPr>
            <w:r>
              <w:t>Severe AD to moderate AD</w:t>
            </w:r>
          </w:p>
        </w:tc>
        <w:tc>
          <w:tcPr>
            <w:tcW w:w="1023" w:type="pct"/>
          </w:tcPr>
          <w:p w14:paraId="50CEAAA8" w14:textId="77777777" w:rsidR="007F6723" w:rsidRDefault="007F6723" w:rsidP="00181CF8">
            <w:pPr>
              <w:pStyle w:val="Tabletextcentred"/>
              <w:keepNext/>
              <w:jc w:val="right"/>
            </w:pPr>
            <w:r>
              <w:t>0.000</w:t>
            </w:r>
          </w:p>
        </w:tc>
        <w:tc>
          <w:tcPr>
            <w:tcW w:w="1334" w:type="pct"/>
          </w:tcPr>
          <w:p w14:paraId="2375DD67" w14:textId="77777777" w:rsidR="007F6723" w:rsidRDefault="007F6723" w:rsidP="00181CF8">
            <w:pPr>
              <w:pStyle w:val="Tabletextcentred"/>
              <w:keepNext/>
              <w:jc w:val="right"/>
            </w:pPr>
            <w:r>
              <w:t>Neumann et al (1999)</w:t>
            </w:r>
          </w:p>
        </w:tc>
      </w:tr>
      <w:tr w:rsidR="007F6723" w14:paraId="4336B5B6" w14:textId="77777777" w:rsidTr="00181CF8">
        <w:tc>
          <w:tcPr>
            <w:tcW w:w="2643" w:type="pct"/>
          </w:tcPr>
          <w:p w14:paraId="635A3D01" w14:textId="77777777" w:rsidR="007F6723" w:rsidRDefault="007F6723" w:rsidP="00181CF8">
            <w:pPr>
              <w:pStyle w:val="Tabletextcentred"/>
              <w:keepNext/>
              <w:jc w:val="left"/>
            </w:pPr>
            <w:r>
              <w:t>Severe AD to severe AD</w:t>
            </w:r>
          </w:p>
        </w:tc>
        <w:tc>
          <w:tcPr>
            <w:tcW w:w="1023" w:type="pct"/>
          </w:tcPr>
          <w:p w14:paraId="17E33797" w14:textId="77777777" w:rsidR="007F6723" w:rsidRDefault="007F6723" w:rsidP="00181CF8">
            <w:pPr>
              <w:pStyle w:val="Tabletextcentred"/>
              <w:keepNext/>
              <w:jc w:val="right"/>
            </w:pPr>
            <w:r>
              <w:t>0.847</w:t>
            </w:r>
          </w:p>
        </w:tc>
        <w:tc>
          <w:tcPr>
            <w:tcW w:w="1334" w:type="pct"/>
          </w:tcPr>
          <w:p w14:paraId="02D868BC" w14:textId="77777777" w:rsidR="007F6723" w:rsidRDefault="007F6723" w:rsidP="00181CF8">
            <w:pPr>
              <w:pStyle w:val="Tabletextcentred"/>
              <w:keepNext/>
              <w:jc w:val="right"/>
            </w:pPr>
            <w:r>
              <w:t>Neumann et al (1999)</w:t>
            </w:r>
          </w:p>
        </w:tc>
      </w:tr>
    </w:tbl>
    <w:p w14:paraId="24E5D08D" w14:textId="5DFE992C" w:rsidR="007F6723" w:rsidRDefault="007F6723" w:rsidP="007F6723">
      <w:pPr>
        <w:pStyle w:val="Tablefootnotes"/>
      </w:pPr>
      <w:r>
        <w:t>Abbrevi</w:t>
      </w:r>
      <w:r w:rsidR="00E772DD">
        <w:t>ations: AD, Alzheimer’s disease.</w:t>
      </w:r>
      <w:r>
        <w:t xml:space="preserve"> </w:t>
      </w:r>
    </w:p>
    <w:p w14:paraId="1F7E7C01" w14:textId="77777777" w:rsidR="007F6723" w:rsidRDefault="007F6723" w:rsidP="007F6723">
      <w:pPr>
        <w:pStyle w:val="Tablefootnotes"/>
      </w:pPr>
      <w:r w:rsidRPr="00E82BEE">
        <w:rPr>
          <w:vertAlign w:val="superscript"/>
        </w:rPr>
        <w:t>a</w:t>
      </w:r>
      <w:r>
        <w:t xml:space="preserve"> Neumann et al (1999) included scope for individuals to ‘skip’ from mild to moderate disease. In light of the six-week cycle length of the model, this was deemed inappropriate. Instead, the sum of these probabilities was applied to the model (i.e. 0.322 + 0.042 = 0.364).</w:t>
      </w:r>
    </w:p>
    <w:p w14:paraId="5267F07A" w14:textId="77777777" w:rsidR="007F6723" w:rsidRDefault="007F6723" w:rsidP="007F6723">
      <w:pPr>
        <w:pStyle w:val="Tablefootnotes"/>
      </w:pPr>
      <w:r w:rsidRPr="00E82BEE">
        <w:rPr>
          <w:vertAlign w:val="superscript"/>
        </w:rPr>
        <w:t>b</w:t>
      </w:r>
      <w:r>
        <w:t xml:space="preserve"> Calculated by assuming no backward disease severity transitions.</w:t>
      </w:r>
    </w:p>
    <w:p w14:paraId="78816869" w14:textId="0B4726F9" w:rsidR="007F6723" w:rsidRDefault="007F6723" w:rsidP="007F6723">
      <w:pPr>
        <w:pStyle w:val="Tablefootnotes"/>
      </w:pPr>
      <w:r>
        <w:t>Note: No transition probability for severe community-based treatment to severe nursing home treatment is presented due to the assumption that all severe AD patients are residents of nursing homes due to disease severity</w:t>
      </w:r>
      <w:r w:rsidR="00E772DD">
        <w:t>.</w:t>
      </w:r>
    </w:p>
    <w:p w14:paraId="178F7A29" w14:textId="77777777" w:rsidR="007F6723" w:rsidRDefault="007F6723" w:rsidP="007F6723">
      <w:r>
        <w:t xml:space="preserve">These data were applied to those individuals not on treatment for AD. They were, however, also used as a basis for the estimates of transition probabilities applied to those on AD drugs. This is discussed in Section </w:t>
      </w:r>
      <w:r>
        <w:fldChar w:fldCharType="begin"/>
      </w:r>
      <w:r>
        <w:instrText xml:space="preserve"> REF _Ref278649120 \r \h </w:instrText>
      </w:r>
      <w:r>
        <w:fldChar w:fldCharType="separate"/>
      </w:r>
      <w:r w:rsidR="00C67698">
        <w:t>C.5</w:t>
      </w:r>
      <w:r>
        <w:fldChar w:fldCharType="end"/>
      </w:r>
      <w:r>
        <w:t xml:space="preserve"> and in Section </w:t>
      </w:r>
      <w:r>
        <w:fldChar w:fldCharType="begin"/>
      </w:r>
      <w:r>
        <w:instrText xml:space="preserve"> REF _Ref278800924 \r \h </w:instrText>
      </w:r>
      <w:r>
        <w:fldChar w:fldCharType="separate"/>
      </w:r>
      <w:r w:rsidR="00C67698">
        <w:t>D.4.5</w:t>
      </w:r>
      <w:r>
        <w:fldChar w:fldCharType="end"/>
      </w:r>
      <w:r>
        <w:t xml:space="preserve"> below. </w:t>
      </w:r>
    </w:p>
    <w:p w14:paraId="764E2DAA" w14:textId="77777777" w:rsidR="007F6723" w:rsidRDefault="007F6723" w:rsidP="007F6723">
      <w:r w:rsidRPr="00B648BF">
        <w:t>The inherent uncertainty of these transition probabilities is acknowledged; among the causes of this is the age of the source and the fact that they come from a non-Australian source. As a consequence, the effect of this uncertainty was examined in sensitivity analyses presented in Section D.6.</w:t>
      </w:r>
    </w:p>
    <w:p w14:paraId="303ACA7F" w14:textId="77777777" w:rsidR="007F6723" w:rsidRDefault="007F6723" w:rsidP="007F6723">
      <w:r w:rsidRPr="0027189A">
        <w:t xml:space="preserve">In addition to the natural history component, appropriate transition probabilities representative of drug discontinuations were calculated from the published literature. A detailed discussion of the search and estimation of these is presented in Section </w:t>
      </w:r>
      <w:r w:rsidRPr="0027189A">
        <w:fldChar w:fldCharType="begin"/>
      </w:r>
      <w:r w:rsidRPr="0027189A">
        <w:instrText xml:space="preserve"> REF _Ref278640733 \r \h </w:instrText>
      </w:r>
      <w:r w:rsidRPr="0027189A">
        <w:fldChar w:fldCharType="separate"/>
      </w:r>
      <w:r w:rsidR="00C67698">
        <w:t>C.3</w:t>
      </w:r>
      <w:r w:rsidRPr="0027189A">
        <w:fldChar w:fldCharType="end"/>
      </w:r>
      <w:r w:rsidRPr="0027189A">
        <w:t xml:space="preserve">. </w:t>
      </w:r>
    </w:p>
    <w:p w14:paraId="5A7727CD" w14:textId="77777777" w:rsidR="007F6723" w:rsidRDefault="007F6723" w:rsidP="007F6723">
      <w:r>
        <w:t xml:space="preserve">From Le Couteur et al (2012), discontinuation rates at six months, one year, two years and three years were estimated. The discontinuation rates were applied as transition probabilities from treatment to no treatment, and are provided in </w:t>
      </w:r>
      <w:r>
        <w:fldChar w:fldCharType="begin"/>
      </w:r>
      <w:r>
        <w:instrText xml:space="preserve"> REF _Ref278652614 \h </w:instrText>
      </w:r>
      <w:r>
        <w:fldChar w:fldCharType="separate"/>
      </w:r>
      <w:r w:rsidR="00C67698">
        <w:t xml:space="preserve">Table </w:t>
      </w:r>
      <w:r w:rsidR="00C67698">
        <w:rPr>
          <w:noProof/>
        </w:rPr>
        <w:t>C.3</w:t>
      </w:r>
      <w:r w:rsidR="00C67698">
        <w:noBreakHyphen/>
      </w:r>
      <w:r w:rsidR="00C67698">
        <w:rPr>
          <w:noProof/>
        </w:rPr>
        <w:t>1</w:t>
      </w:r>
      <w:r>
        <w:fldChar w:fldCharType="end"/>
      </w:r>
      <w:r>
        <w:t>. They were applied as one-time transition probabilities at the associated time (e.g. at one year, a discontinuation rate of 12.9% was applied to all individuals on treatment, with no further discontinuations assumed until the cycle in which the second year begins).</w:t>
      </w:r>
    </w:p>
    <w:p w14:paraId="283ED01F" w14:textId="77777777" w:rsidR="007F6723" w:rsidRDefault="007F6723" w:rsidP="007F6723">
      <w:r>
        <w:t xml:space="preserve">As discussed previously, data limitations led to the rates presented in </w:t>
      </w:r>
      <w:r>
        <w:fldChar w:fldCharType="begin"/>
      </w:r>
      <w:r>
        <w:instrText xml:space="preserve"> REF _Ref278801512 \h </w:instrText>
      </w:r>
      <w:r>
        <w:fldChar w:fldCharType="separate"/>
      </w:r>
      <w:r w:rsidR="00C67698">
        <w:t xml:space="preserve">Table </w:t>
      </w:r>
      <w:r w:rsidR="00C67698">
        <w:rPr>
          <w:noProof/>
        </w:rPr>
        <w:t>D.4</w:t>
      </w:r>
      <w:r w:rsidR="00C67698">
        <w:noBreakHyphen/>
      </w:r>
      <w:r w:rsidR="00C67698">
        <w:rPr>
          <w:noProof/>
        </w:rPr>
        <w:t>5</w:t>
      </w:r>
      <w:r>
        <w:fldChar w:fldCharType="end"/>
      </w:r>
      <w:r>
        <w:t xml:space="preserve"> being applied to both individuals treated with AChEIs and to individuals treated with memantine.</w:t>
      </w:r>
    </w:p>
    <w:p w14:paraId="0CC2F747" w14:textId="77777777" w:rsidR="007F6723" w:rsidRPr="003D1184" w:rsidRDefault="007F6723" w:rsidP="007F6723">
      <w:r>
        <w:t>Assumptions regarding the application of Le Couteur et al (2012) data to AChEIs and to memantine in the economic model are tested in sensitivity analyses presented in Section D.6</w:t>
      </w:r>
    </w:p>
    <w:p w14:paraId="2E95133F" w14:textId="77777777" w:rsidR="007F6723" w:rsidRDefault="007F6723" w:rsidP="007F6723">
      <w:pPr>
        <w:pStyle w:val="Heading3"/>
      </w:pPr>
      <w:r>
        <w:t>Treatment effect of AD drugs</w:t>
      </w:r>
    </w:p>
    <w:p w14:paraId="2810110F" w14:textId="77777777" w:rsidR="007F6723" w:rsidRPr="000128A2" w:rsidRDefault="007F6723" w:rsidP="007F6723">
      <w:r>
        <w:t xml:space="preserve">In addition to the transition probabilities applicable to the natural history of AD, the model considered the impact that drug treatment has on disease progression (and associated costs and HRQoL). Although it is true that the assessment is focused on </w:t>
      </w:r>
      <w:r>
        <w:lastRenderedPageBreak/>
        <w:t>diagnostic testing, the cost-effectiveness of this is intrinsically linked with the effectiveness of downstream treatment options.</w:t>
      </w:r>
    </w:p>
    <w:p w14:paraId="0B6B36A2" w14:textId="77777777" w:rsidR="007F6723" w:rsidRDefault="007F6723" w:rsidP="007F6723">
      <w:r>
        <w:t xml:space="preserve">A treatment effect of 0.5 was applied to individuals treated with AChEIs. This was sourced, via a literature search for relevant data, from Neumann et al (1999) (calculated from Rogers et al, 1998). The treatment effect was assumed to be constant throughout the duration of treatment, with no residual effect at discontinuation. As discussed in Section </w:t>
      </w:r>
      <w:r>
        <w:fldChar w:fldCharType="begin"/>
      </w:r>
      <w:r>
        <w:instrText xml:space="preserve"> REF _Ref278649120 \r \h </w:instrText>
      </w:r>
      <w:r>
        <w:fldChar w:fldCharType="separate"/>
      </w:r>
      <w:r w:rsidR="00C67698">
        <w:t>C.5</w:t>
      </w:r>
      <w:r>
        <w:fldChar w:fldCharType="end"/>
      </w:r>
      <w:r>
        <w:t>, this estimate/approach has subsequently been applied in a number of cost-effectiveness models building upon the Neumann et al (1999) study.</w:t>
      </w:r>
    </w:p>
    <w:p w14:paraId="2B1B9196" w14:textId="77777777" w:rsidR="007F6723" w:rsidRDefault="007F6723" w:rsidP="007F6723">
      <w:r>
        <w:t xml:space="preserve">In the case of individuals with moderate AD, who are treated with memantine, a treatment effect of 0.8026 was estimated from data presented in </w:t>
      </w:r>
      <w:r w:rsidRPr="00D0329D">
        <w:t>Jones et al (2004).</w:t>
      </w:r>
      <w:r>
        <w:t xml:space="preserve"> As discussed previously in Section </w:t>
      </w:r>
      <w:r>
        <w:fldChar w:fldCharType="begin"/>
      </w:r>
      <w:r>
        <w:instrText xml:space="preserve"> REF _Ref278649120 \r \h </w:instrText>
      </w:r>
      <w:r>
        <w:fldChar w:fldCharType="separate"/>
      </w:r>
      <w:r w:rsidR="00C67698">
        <w:t>C.5</w:t>
      </w:r>
      <w:r>
        <w:fldChar w:fldCharType="end"/>
      </w:r>
      <w:r>
        <w:t>, the estimate was derived from a population of patients with moderately severe (as opposed to moderate) AD and is, therefore, subject to considerable uncertainty.</w:t>
      </w:r>
    </w:p>
    <w:p w14:paraId="5BACEBD3" w14:textId="77777777" w:rsidR="007F6723" w:rsidRDefault="007F6723" w:rsidP="007F6723">
      <w:r>
        <w:t>The model applied these treatment effects such that they reduced the likelihood of disease progression. They were assumed not to impact on transitions from community care to nursing home care or to death, both of which were assumed to be unrelated to the possible impact of drug therapy. Given the high disutility associated with transition to nursing home care (particularly in mild and moderate AD), this assumption is appropriately conservative, eliminating any possibility of overstating the incremental QALY benefit arising from an effect of this type.</w:t>
      </w:r>
    </w:p>
    <w:p w14:paraId="13DFF0AC" w14:textId="0A7DA320" w:rsidR="007F6723" w:rsidRDefault="007F6723" w:rsidP="007F6723">
      <w:pPr>
        <w:pStyle w:val="Caption"/>
      </w:pPr>
      <w:bookmarkStart w:id="232" w:name="_Ref278801512"/>
      <w:bookmarkStart w:id="233" w:name="_Toc406172485"/>
      <w:bookmarkStart w:id="234" w:name="_Toc408845240"/>
      <w:r>
        <w:t xml:space="preserve">Table </w:t>
      </w:r>
      <w:fldSimple w:instr=" STYLEREF 2 \s ">
        <w:r w:rsidR="00C67698">
          <w:rPr>
            <w:noProof/>
          </w:rPr>
          <w:t>D.4</w:t>
        </w:r>
      </w:fldSimple>
      <w:r w:rsidR="00524916">
        <w:noBreakHyphen/>
      </w:r>
      <w:fldSimple w:instr=" SEQ Table \* ARABIC \s 2 ">
        <w:r w:rsidR="00C67698">
          <w:rPr>
            <w:noProof/>
          </w:rPr>
          <w:t>5</w:t>
        </w:r>
      </w:fldSimple>
      <w:bookmarkEnd w:id="232"/>
      <w:r>
        <w:tab/>
        <w:t>Treatment effects applied to the economic model</w:t>
      </w:r>
      <w:bookmarkEnd w:id="233"/>
      <w:bookmarkEnd w:id="234"/>
    </w:p>
    <w:tbl>
      <w:tblPr>
        <w:tblStyle w:val="TableGrid"/>
        <w:tblW w:w="4610" w:type="pct"/>
        <w:tblInd w:w="704" w:type="dxa"/>
        <w:tblLook w:val="04A0" w:firstRow="1" w:lastRow="0" w:firstColumn="1" w:lastColumn="0" w:noHBand="0" w:noVBand="1"/>
        <w:tblCaption w:val="The treatment effects applied to the economic model"/>
        <w:tblDescription w:val="The relative risk of progression from mild to moderate AD due to treatment with acetylcholinesterase inhibitors and memantine."/>
      </w:tblPr>
      <w:tblGrid>
        <w:gridCol w:w="4067"/>
        <w:gridCol w:w="1599"/>
        <w:gridCol w:w="2855"/>
      </w:tblGrid>
      <w:tr w:rsidR="007F6723" w14:paraId="1BA19A8D" w14:textId="77777777" w:rsidTr="00181CF8">
        <w:trPr>
          <w:tblHeader/>
        </w:trPr>
        <w:tc>
          <w:tcPr>
            <w:tcW w:w="2387" w:type="pct"/>
          </w:tcPr>
          <w:p w14:paraId="1120A2FF" w14:textId="77777777" w:rsidR="007F6723" w:rsidRDefault="007F6723" w:rsidP="00181CF8">
            <w:pPr>
              <w:pStyle w:val="Tabletextboldleft"/>
            </w:pPr>
            <w:r>
              <w:t>Risk of progression</w:t>
            </w:r>
          </w:p>
        </w:tc>
        <w:tc>
          <w:tcPr>
            <w:tcW w:w="938" w:type="pct"/>
          </w:tcPr>
          <w:p w14:paraId="2C19C011" w14:textId="77777777" w:rsidR="007F6723" w:rsidRDefault="007F6723" w:rsidP="00181CF8">
            <w:pPr>
              <w:pStyle w:val="Tabletextboldleft"/>
              <w:jc w:val="right"/>
            </w:pPr>
            <w:r>
              <w:t>Estimated treatment effect</w:t>
            </w:r>
          </w:p>
        </w:tc>
        <w:tc>
          <w:tcPr>
            <w:tcW w:w="1675" w:type="pct"/>
          </w:tcPr>
          <w:p w14:paraId="72EA2530" w14:textId="77777777" w:rsidR="007F6723" w:rsidRDefault="007F6723" w:rsidP="00181CF8">
            <w:pPr>
              <w:pStyle w:val="Tabletextboldleft"/>
              <w:jc w:val="right"/>
            </w:pPr>
            <w:r>
              <w:t>Reference</w:t>
            </w:r>
          </w:p>
        </w:tc>
      </w:tr>
      <w:tr w:rsidR="007F6723" w14:paraId="75AB86F0" w14:textId="77777777" w:rsidTr="00181CF8">
        <w:tc>
          <w:tcPr>
            <w:tcW w:w="2387" w:type="pct"/>
          </w:tcPr>
          <w:p w14:paraId="21B2CD4B" w14:textId="77777777" w:rsidR="007F6723" w:rsidRDefault="007F6723" w:rsidP="00181CF8">
            <w:pPr>
              <w:pStyle w:val="Tabletextcentred"/>
              <w:keepNext/>
              <w:tabs>
                <w:tab w:val="center" w:pos="1009"/>
              </w:tabs>
              <w:jc w:val="left"/>
            </w:pPr>
            <w:r>
              <w:t>Relative risk of progression from mild to moderate AD due to treatment with AChEIs</w:t>
            </w:r>
          </w:p>
        </w:tc>
        <w:tc>
          <w:tcPr>
            <w:tcW w:w="938" w:type="pct"/>
          </w:tcPr>
          <w:p w14:paraId="637A8751" w14:textId="77777777" w:rsidR="007F6723" w:rsidRDefault="007F6723" w:rsidP="00181CF8">
            <w:pPr>
              <w:pStyle w:val="Tabletextcentred"/>
              <w:keepNext/>
              <w:jc w:val="right"/>
            </w:pPr>
            <w:r>
              <w:t>0.50</w:t>
            </w:r>
          </w:p>
        </w:tc>
        <w:tc>
          <w:tcPr>
            <w:tcW w:w="1675" w:type="pct"/>
          </w:tcPr>
          <w:p w14:paraId="6EA61CCB" w14:textId="77777777" w:rsidR="007F6723" w:rsidRPr="00884A82" w:rsidRDefault="007F6723" w:rsidP="00181CF8">
            <w:pPr>
              <w:pStyle w:val="Tabletextcentred"/>
              <w:keepNext/>
              <w:tabs>
                <w:tab w:val="center" w:pos="1432"/>
                <w:tab w:val="right" w:pos="2865"/>
              </w:tabs>
              <w:jc w:val="right"/>
            </w:pPr>
            <w:r>
              <w:t>Neumann et al (1999)</w:t>
            </w:r>
          </w:p>
        </w:tc>
      </w:tr>
      <w:tr w:rsidR="007F6723" w14:paraId="09159238" w14:textId="77777777" w:rsidTr="00181CF8">
        <w:tc>
          <w:tcPr>
            <w:tcW w:w="2387" w:type="pct"/>
          </w:tcPr>
          <w:p w14:paraId="5064944E" w14:textId="77777777" w:rsidR="007F6723" w:rsidRDefault="007F6723" w:rsidP="00181CF8">
            <w:pPr>
              <w:pStyle w:val="Tabletextcentred"/>
              <w:keepNext/>
              <w:jc w:val="left"/>
            </w:pPr>
            <w:r>
              <w:t>Relative risk of progression from moderate to severe AD due to treatment with memantine</w:t>
            </w:r>
          </w:p>
        </w:tc>
        <w:tc>
          <w:tcPr>
            <w:tcW w:w="938" w:type="pct"/>
          </w:tcPr>
          <w:p w14:paraId="3D9A5C90" w14:textId="77777777" w:rsidR="007F6723" w:rsidRDefault="007F6723" w:rsidP="00181CF8">
            <w:pPr>
              <w:pStyle w:val="Tabletextcentred"/>
              <w:keepNext/>
              <w:jc w:val="right"/>
            </w:pPr>
            <w:r>
              <w:t>0.8026</w:t>
            </w:r>
          </w:p>
        </w:tc>
        <w:tc>
          <w:tcPr>
            <w:tcW w:w="1675" w:type="pct"/>
          </w:tcPr>
          <w:p w14:paraId="65DDCD30" w14:textId="77777777" w:rsidR="007F6723" w:rsidRPr="00884A82" w:rsidRDefault="007F6723" w:rsidP="00181CF8">
            <w:pPr>
              <w:pStyle w:val="Tabletextcentred"/>
              <w:keepNext/>
              <w:jc w:val="right"/>
            </w:pPr>
            <w:r>
              <w:t>Calculated from Jones et al (2005)</w:t>
            </w:r>
          </w:p>
        </w:tc>
      </w:tr>
    </w:tbl>
    <w:p w14:paraId="1B97116A" w14:textId="77777777" w:rsidR="007F6723" w:rsidRPr="006A5E77" w:rsidRDefault="007F6723" w:rsidP="007F6723">
      <w:pPr>
        <w:pStyle w:val="Tablefootnotes"/>
        <w:keepNext/>
      </w:pPr>
      <w:r w:rsidRPr="006A5E77">
        <w:t>Abbreviations: AChEIs, acetylcholinesterase inhibitors; AD, Alzheimer’s disease</w:t>
      </w:r>
    </w:p>
    <w:p w14:paraId="0D83C349" w14:textId="77777777" w:rsidR="007F6723" w:rsidRPr="003D1184" w:rsidRDefault="007F6723" w:rsidP="007F6723">
      <w:r w:rsidRPr="006A5E77">
        <w:t>The uncertainty around each of these estimates is examined in sensitivity analyses presented in Section D.6.</w:t>
      </w:r>
    </w:p>
    <w:p w14:paraId="12E78EB4" w14:textId="77777777" w:rsidR="007F6723" w:rsidRDefault="007F6723" w:rsidP="007F6723">
      <w:pPr>
        <w:pStyle w:val="Heading3"/>
      </w:pPr>
      <w:bookmarkStart w:id="235" w:name="_Ref278800924"/>
      <w:r>
        <w:t>Mortality</w:t>
      </w:r>
      <w:bookmarkEnd w:id="235"/>
    </w:p>
    <w:p w14:paraId="585A584B" w14:textId="13AF8973" w:rsidR="007F6723" w:rsidRDefault="007F6723" w:rsidP="007F6723">
      <w:r>
        <w:t>Mortality was accounted for in the economic model in two ways: AD-related death and non-AD</w:t>
      </w:r>
      <w:r w:rsidR="000E05F2">
        <w:t>-</w:t>
      </w:r>
      <w:r>
        <w:t>related death.</w:t>
      </w:r>
    </w:p>
    <w:p w14:paraId="1CFA2B56" w14:textId="77777777" w:rsidR="007F6723" w:rsidRDefault="007F6723" w:rsidP="007F6723">
      <w:r>
        <w:t>The model structure required non-AD death to be accounted for in the case of individuals who went through the diagnostic testing process, but who did not in fact have AD. While it is true that individuals who have progressed this far through a diagnostic testing process are likely to be suffering from a non-AD condition that could have a profound on their survival (particularly if left untreated,) it is a highly complex process to model this and one that is fraught with uncertainty. This is out of scope. As such, a simplifying assumption was made that all-cause mortality rates would be applicable for this subgroup.</w:t>
      </w:r>
    </w:p>
    <w:p w14:paraId="445D3FE9" w14:textId="77777777" w:rsidR="007F6723" w:rsidRPr="00771249" w:rsidRDefault="007F6723" w:rsidP="007F6723">
      <w:r>
        <w:t xml:space="preserve">On the basis of published data, age- and gender-related mortality rates were applied to those with no AD. No adjustment was made to remove AD-related deaths from these data and the impact of this omission is negligible. Raw mortality data were sourced from </w:t>
      </w:r>
      <w:r>
        <w:lastRenderedPageBreak/>
        <w:t>the Australian Bureau of Statistics (</w:t>
      </w:r>
      <w:r w:rsidRPr="007D6333">
        <w:t>3302.0.55.001 - Life Tables, States, Territories and Australia, 2011-2013</w:t>
      </w:r>
      <w:r>
        <w:rPr>
          <w:rStyle w:val="FootnoteReference"/>
        </w:rPr>
        <w:footnoteReference w:id="9"/>
      </w:r>
      <w:r>
        <w:t xml:space="preserve">). These were weighted by gender using data from AIHW (2012), as described in Section </w:t>
      </w:r>
      <w:r>
        <w:fldChar w:fldCharType="begin"/>
      </w:r>
      <w:r>
        <w:instrText xml:space="preserve"> REF _Ref278790800 \r \h </w:instrText>
      </w:r>
      <w:r>
        <w:fldChar w:fldCharType="separate"/>
      </w:r>
      <w:r w:rsidR="00C67698">
        <w:t>C.2</w:t>
      </w:r>
      <w:r>
        <w:fldChar w:fldCharType="end"/>
      </w:r>
      <w:r>
        <w:t xml:space="preserve">. Age was accounted for in the model through the variable ‘Current_Age’, which was set to 72.4 years at baseline (according to Wood et al, 2010), as described in Section </w:t>
      </w:r>
      <w:r>
        <w:fldChar w:fldCharType="begin"/>
      </w:r>
      <w:r>
        <w:instrText xml:space="preserve"> REF _Ref278804229 \r \h </w:instrText>
      </w:r>
      <w:r>
        <w:fldChar w:fldCharType="separate"/>
      </w:r>
      <w:r w:rsidR="00C67698">
        <w:t>D.3</w:t>
      </w:r>
      <w:r>
        <w:fldChar w:fldCharType="end"/>
      </w:r>
      <w:r>
        <w:t>) and increased by six weeks each cycle.</w:t>
      </w:r>
    </w:p>
    <w:p w14:paraId="486993ED" w14:textId="77777777" w:rsidR="007F6723" w:rsidRDefault="007F6723" w:rsidP="007F6723">
      <w:pPr>
        <w:tabs>
          <w:tab w:val="center" w:pos="4873"/>
        </w:tabs>
      </w:pPr>
      <w:r w:rsidRPr="00A34563">
        <w:t xml:space="preserve">As discussed previously in </w:t>
      </w:r>
      <w:r>
        <w:t xml:space="preserve">Section </w:t>
      </w:r>
      <w:r>
        <w:fldChar w:fldCharType="begin"/>
      </w:r>
      <w:r>
        <w:instrText xml:space="preserve"> REF _Ref278649011 \r \h </w:instrText>
      </w:r>
      <w:r>
        <w:fldChar w:fldCharType="separate"/>
      </w:r>
      <w:r w:rsidR="00C67698">
        <w:t>C.4</w:t>
      </w:r>
      <w:r>
        <w:fldChar w:fldCharType="end"/>
      </w:r>
      <w:r>
        <w:t xml:space="preserve">, estimates of AD-related mortality were sourced, via a literature search, from Neumann et al (1999), which provided mortality risks for those with AD, differentiated by disease severity. Specifically, annual mortality rates were provided for those with mild AD, those with moderate AD and those with severe AD. </w:t>
      </w:r>
    </w:p>
    <w:p w14:paraId="155CD37A" w14:textId="3730AB0A" w:rsidR="007F6723" w:rsidRDefault="007F6723" w:rsidP="007F6723">
      <w:pPr>
        <w:pStyle w:val="Caption"/>
      </w:pPr>
      <w:bookmarkStart w:id="236" w:name="_Toc406172486"/>
      <w:bookmarkStart w:id="237" w:name="_Toc408845241"/>
      <w:r>
        <w:t xml:space="preserve">Table </w:t>
      </w:r>
      <w:fldSimple w:instr=" STYLEREF 2 \s ">
        <w:r w:rsidR="00C67698">
          <w:rPr>
            <w:noProof/>
          </w:rPr>
          <w:t>D.4</w:t>
        </w:r>
      </w:fldSimple>
      <w:r w:rsidR="00524916">
        <w:noBreakHyphen/>
      </w:r>
      <w:fldSimple w:instr=" SEQ Table \* ARABIC \s 2 ">
        <w:r w:rsidR="00C67698">
          <w:rPr>
            <w:noProof/>
          </w:rPr>
          <w:t>6</w:t>
        </w:r>
      </w:fldSimple>
      <w:r>
        <w:tab/>
        <w:t>AD-related mortality</w:t>
      </w:r>
      <w:bookmarkEnd w:id="236"/>
      <w:bookmarkEnd w:id="237"/>
    </w:p>
    <w:tbl>
      <w:tblPr>
        <w:tblStyle w:val="TableGrid"/>
        <w:tblW w:w="4610" w:type="pct"/>
        <w:tblInd w:w="704" w:type="dxa"/>
        <w:tblLook w:val="04A0" w:firstRow="1" w:lastRow="0" w:firstColumn="1" w:lastColumn="0" w:noHBand="0" w:noVBand="1"/>
        <w:tblCaption w:val="Alzheimer's disease related mortality"/>
        <w:tblDescription w:val="Alzheimer's disease related mortality according to disease severity"/>
      </w:tblPr>
      <w:tblGrid>
        <w:gridCol w:w="4796"/>
        <w:gridCol w:w="3725"/>
      </w:tblGrid>
      <w:tr w:rsidR="007F6723" w14:paraId="4C7D5BA0" w14:textId="77777777" w:rsidTr="00181CF8">
        <w:trPr>
          <w:tblHeader/>
        </w:trPr>
        <w:tc>
          <w:tcPr>
            <w:tcW w:w="2814" w:type="pct"/>
          </w:tcPr>
          <w:p w14:paraId="2529A3C6" w14:textId="77777777" w:rsidR="007F6723" w:rsidRDefault="007F6723" w:rsidP="00181CF8">
            <w:pPr>
              <w:pStyle w:val="Tabletextboldleft"/>
            </w:pPr>
            <w:r>
              <w:t>Disease severity</w:t>
            </w:r>
          </w:p>
        </w:tc>
        <w:tc>
          <w:tcPr>
            <w:tcW w:w="2186" w:type="pct"/>
          </w:tcPr>
          <w:p w14:paraId="497C9C1A" w14:textId="77777777" w:rsidR="007F6723" w:rsidRDefault="007F6723" w:rsidP="00181CF8">
            <w:pPr>
              <w:pStyle w:val="Tabletextboldleft"/>
              <w:jc w:val="right"/>
            </w:pPr>
            <w:r>
              <w:t>Estimated treatment effect</w:t>
            </w:r>
          </w:p>
        </w:tc>
      </w:tr>
      <w:tr w:rsidR="007F6723" w14:paraId="784EE1A5" w14:textId="77777777" w:rsidTr="00181CF8">
        <w:tc>
          <w:tcPr>
            <w:tcW w:w="2814" w:type="pct"/>
          </w:tcPr>
          <w:p w14:paraId="0030DC3A" w14:textId="77777777" w:rsidR="007F6723" w:rsidRDefault="007F6723" w:rsidP="00181CF8">
            <w:pPr>
              <w:pStyle w:val="Tabletextcentred"/>
              <w:keepNext/>
              <w:tabs>
                <w:tab w:val="center" w:pos="1009"/>
              </w:tabs>
              <w:jc w:val="left"/>
            </w:pPr>
            <w:r>
              <w:t>Individuals with mild AD</w:t>
            </w:r>
          </w:p>
        </w:tc>
        <w:tc>
          <w:tcPr>
            <w:tcW w:w="2186" w:type="pct"/>
          </w:tcPr>
          <w:p w14:paraId="6D7D3B0A" w14:textId="77777777" w:rsidR="007F6723" w:rsidRDefault="007F6723" w:rsidP="00181CF8">
            <w:pPr>
              <w:pStyle w:val="Tabletextcentred"/>
              <w:keepNext/>
              <w:jc w:val="right"/>
            </w:pPr>
            <w:r>
              <w:t>0.021</w:t>
            </w:r>
          </w:p>
        </w:tc>
      </w:tr>
      <w:tr w:rsidR="007F6723" w14:paraId="1B52A6DD" w14:textId="77777777" w:rsidTr="00181CF8">
        <w:tc>
          <w:tcPr>
            <w:tcW w:w="2814" w:type="pct"/>
          </w:tcPr>
          <w:p w14:paraId="05337EA4" w14:textId="77777777" w:rsidR="007F6723" w:rsidRDefault="007F6723" w:rsidP="00181CF8">
            <w:pPr>
              <w:pStyle w:val="Tabletextcentred"/>
              <w:keepNext/>
              <w:tabs>
                <w:tab w:val="center" w:pos="1009"/>
              </w:tabs>
              <w:jc w:val="left"/>
            </w:pPr>
            <w:r>
              <w:t>Individuals with moderate AD</w:t>
            </w:r>
          </w:p>
        </w:tc>
        <w:tc>
          <w:tcPr>
            <w:tcW w:w="2186" w:type="pct"/>
          </w:tcPr>
          <w:p w14:paraId="238E0B42" w14:textId="77777777" w:rsidR="007F6723" w:rsidRDefault="007F6723" w:rsidP="00181CF8">
            <w:pPr>
              <w:pStyle w:val="Tabletextcentred"/>
              <w:keepNext/>
              <w:jc w:val="right"/>
            </w:pPr>
            <w:r>
              <w:t>0.053</w:t>
            </w:r>
          </w:p>
        </w:tc>
      </w:tr>
      <w:tr w:rsidR="007F6723" w14:paraId="28396846" w14:textId="77777777" w:rsidTr="00181CF8">
        <w:tc>
          <w:tcPr>
            <w:tcW w:w="2814" w:type="pct"/>
          </w:tcPr>
          <w:p w14:paraId="4CD8357D" w14:textId="77777777" w:rsidR="007F6723" w:rsidRDefault="007F6723" w:rsidP="00181CF8">
            <w:pPr>
              <w:pStyle w:val="Tabletextcentred"/>
              <w:keepNext/>
              <w:jc w:val="left"/>
            </w:pPr>
            <w:r>
              <w:t>Individuals with severe AD</w:t>
            </w:r>
          </w:p>
        </w:tc>
        <w:tc>
          <w:tcPr>
            <w:tcW w:w="2186" w:type="pct"/>
          </w:tcPr>
          <w:p w14:paraId="1D88E802" w14:textId="77777777" w:rsidR="007F6723" w:rsidRDefault="007F6723" w:rsidP="00181CF8">
            <w:pPr>
              <w:pStyle w:val="Tabletextcentred"/>
              <w:keepNext/>
              <w:jc w:val="right"/>
            </w:pPr>
            <w:r>
              <w:t>0.153</w:t>
            </w:r>
          </w:p>
        </w:tc>
      </w:tr>
    </w:tbl>
    <w:p w14:paraId="3D620D36" w14:textId="77777777" w:rsidR="007F6723" w:rsidRDefault="007F6723" w:rsidP="007F6723">
      <w:pPr>
        <w:pStyle w:val="Tablefootnotes"/>
        <w:keepNext/>
      </w:pPr>
      <w:r>
        <w:t>Source: Neumann et al (1999), calculated from the Consortium to Establish a Registry for Alzheimer’s Disease data</w:t>
      </w:r>
    </w:p>
    <w:p w14:paraId="75A1AAE7" w14:textId="77777777" w:rsidR="007F6723" w:rsidRDefault="007F6723" w:rsidP="007F6723">
      <w:pPr>
        <w:pStyle w:val="Tablefootnotes"/>
        <w:keepNext/>
      </w:pPr>
      <w:r>
        <w:t>Abbreviations: AD, Alzheimer’s disease</w:t>
      </w:r>
    </w:p>
    <w:p w14:paraId="56265B66" w14:textId="77777777" w:rsidR="007F6723" w:rsidRPr="00A34563" w:rsidRDefault="007F6723" w:rsidP="007F6723">
      <w:pPr>
        <w:tabs>
          <w:tab w:val="center" w:pos="4873"/>
        </w:tabs>
      </w:pPr>
      <w:r>
        <w:t>The AD-related mortality risks were applied to all individuals with AD, regardless of treatment status. That is, as discussed above, treatment effect was assumed not to impact on this risk of death. This is examined as a possible source of uncertainty on the results in Section D.6.</w:t>
      </w:r>
    </w:p>
    <w:p w14:paraId="188D3F15" w14:textId="6FFF092F" w:rsidR="007F6723" w:rsidRDefault="007F6723" w:rsidP="007F6723">
      <w:pPr>
        <w:pStyle w:val="Heading3"/>
      </w:pPr>
      <w:r>
        <w:t>Quality</w:t>
      </w:r>
      <w:r w:rsidR="0064732B">
        <w:t>-</w:t>
      </w:r>
      <w:r>
        <w:t>adjusted life years</w:t>
      </w:r>
    </w:p>
    <w:p w14:paraId="7DB9D919" w14:textId="77777777" w:rsidR="007F6723" w:rsidRDefault="007F6723" w:rsidP="007F6723">
      <w:r w:rsidRPr="005B5D11">
        <w:t xml:space="preserve">A </w:t>
      </w:r>
      <w:r>
        <w:t xml:space="preserve">comprehensive literature search to source utility weights applicable to the economic model was presented in Section </w:t>
      </w:r>
      <w:r>
        <w:fldChar w:fldCharType="begin"/>
      </w:r>
      <w:r>
        <w:instrText xml:space="preserve"> REF _Ref278640902 \r \h </w:instrText>
      </w:r>
      <w:r>
        <w:fldChar w:fldCharType="separate"/>
      </w:r>
      <w:r w:rsidR="00C67698">
        <w:t>C.6</w:t>
      </w:r>
      <w:r>
        <w:fldChar w:fldCharType="end"/>
      </w:r>
      <w:r>
        <w:t>. As described previously, since it is expected that HRQoL will worsen with AD severity, and as patients move to more intensive care (i.e. from the community to nursing care), utility values play a crucial role in the estimation of the incremental cost-effectiveness of FDG-PET.</w:t>
      </w:r>
    </w:p>
    <w:p w14:paraId="5DCA976E" w14:textId="77777777" w:rsidR="007F6723" w:rsidRPr="00097EE4" w:rsidRDefault="007F6723" w:rsidP="007F6723">
      <w:r>
        <w:t xml:space="preserve">The literature search comprised two steps. Initially, a search was conducted to identify </w:t>
      </w:r>
      <w:r w:rsidRPr="00595D45">
        <w:t>published studies that derive utility weights</w:t>
      </w:r>
      <w:r>
        <w:t xml:space="preserve"> using</w:t>
      </w:r>
      <w:r w:rsidRPr="00595D45">
        <w:t xml:space="preserve"> a </w:t>
      </w:r>
      <w:r>
        <w:t>MAUI</w:t>
      </w:r>
      <w:r w:rsidRPr="00595D45">
        <w:t xml:space="preserve">. </w:t>
      </w:r>
      <w:r>
        <w:t xml:space="preserve">Electronic searches of </w:t>
      </w:r>
      <w:r w:rsidRPr="00097EE4">
        <w:t xml:space="preserve">PubMed and the Cochrane Library were conducted using the approach discussed previously in Section </w:t>
      </w:r>
      <w:r w:rsidRPr="00097EE4">
        <w:fldChar w:fldCharType="begin"/>
      </w:r>
      <w:r w:rsidRPr="00097EE4">
        <w:instrText xml:space="preserve"> REF _Ref278640902 \r \h </w:instrText>
      </w:r>
      <w:r>
        <w:instrText xml:space="preserve"> \* MERGEFORMAT </w:instrText>
      </w:r>
      <w:r w:rsidRPr="00097EE4">
        <w:fldChar w:fldCharType="separate"/>
      </w:r>
      <w:r w:rsidR="00C67698">
        <w:t>C.6</w:t>
      </w:r>
      <w:r w:rsidRPr="00097EE4">
        <w:fldChar w:fldCharType="end"/>
      </w:r>
      <w:r w:rsidRPr="00097EE4">
        <w:t xml:space="preserve">. Exclusion criteria were applied, leaving 15 studies (including systematic reviews). These were considered further for application to the model. Additionally, a broad literature search (see Section </w:t>
      </w:r>
      <w:r w:rsidRPr="00097EE4">
        <w:fldChar w:fldCharType="begin"/>
      </w:r>
      <w:r w:rsidRPr="00097EE4">
        <w:instrText xml:space="preserve"> REF _Ref278640733 \r \h </w:instrText>
      </w:r>
      <w:r>
        <w:instrText xml:space="preserve"> \* MERGEFORMAT </w:instrText>
      </w:r>
      <w:r w:rsidRPr="00097EE4">
        <w:fldChar w:fldCharType="separate"/>
      </w:r>
      <w:r w:rsidR="00C67698">
        <w:t>C.3</w:t>
      </w:r>
      <w:r w:rsidRPr="00097EE4">
        <w:fldChar w:fldCharType="end"/>
      </w:r>
      <w:r w:rsidRPr="00097EE4">
        <w:t>) was also conducted to identify any potentially relevant Australian sources that may have been missed. This did not yield any results in this instance.</w:t>
      </w:r>
    </w:p>
    <w:p w14:paraId="402040D6" w14:textId="230EB764" w:rsidR="007F6723" w:rsidRPr="00097EE4" w:rsidRDefault="007F6723" w:rsidP="007F6723">
      <w:r w:rsidRPr="00097EE4">
        <w:t xml:space="preserve">Of the identified studies, Jonsson et al (2006) provided the strongest estimates of utility weights associated with AD suitable for inclusion in the economic model. These were subsequently applied to the model, as described in </w:t>
      </w:r>
      <w:r w:rsidRPr="00097EE4">
        <w:fldChar w:fldCharType="begin"/>
      </w:r>
      <w:r w:rsidRPr="00097EE4">
        <w:instrText xml:space="preserve"> REF _Ref278806502 \h </w:instrText>
      </w:r>
      <w:r>
        <w:instrText xml:space="preserve"> \* MERGEFORMAT </w:instrText>
      </w:r>
      <w:r w:rsidRPr="00097EE4">
        <w:fldChar w:fldCharType="separate"/>
      </w:r>
      <w:r w:rsidR="00C67698" w:rsidRPr="00097EE4">
        <w:t xml:space="preserve">Table </w:t>
      </w:r>
      <w:r w:rsidR="00C67698">
        <w:rPr>
          <w:noProof/>
        </w:rPr>
        <w:t>D.4</w:t>
      </w:r>
      <w:r w:rsidR="00C67698">
        <w:rPr>
          <w:noProof/>
        </w:rPr>
        <w:noBreakHyphen/>
        <w:t>7</w:t>
      </w:r>
      <w:r w:rsidRPr="00097EE4">
        <w:fldChar w:fldCharType="end"/>
      </w:r>
      <w:r w:rsidRPr="00097EE4">
        <w:t>.</w:t>
      </w:r>
    </w:p>
    <w:p w14:paraId="30641E78" w14:textId="56B90FC7" w:rsidR="007F6723" w:rsidRPr="00097EE4" w:rsidRDefault="007F6723" w:rsidP="007F6723">
      <w:pPr>
        <w:pStyle w:val="Caption"/>
      </w:pPr>
      <w:bookmarkStart w:id="238" w:name="_Ref278806502"/>
      <w:bookmarkStart w:id="239" w:name="_Toc406172487"/>
      <w:bookmarkStart w:id="240" w:name="_Toc408845242"/>
      <w:r w:rsidRPr="00097EE4">
        <w:lastRenderedPageBreak/>
        <w:t xml:space="preserve">Table </w:t>
      </w:r>
      <w:fldSimple w:instr=" STYLEREF 2 \s ">
        <w:r w:rsidR="00C67698">
          <w:rPr>
            <w:noProof/>
          </w:rPr>
          <w:t>D.4</w:t>
        </w:r>
      </w:fldSimple>
      <w:r w:rsidR="00524916">
        <w:noBreakHyphen/>
      </w:r>
      <w:fldSimple w:instr=" SEQ Table \* ARABIC \s 2 ">
        <w:r w:rsidR="00C67698">
          <w:rPr>
            <w:noProof/>
          </w:rPr>
          <w:t>7</w:t>
        </w:r>
      </w:fldSimple>
      <w:bookmarkEnd w:id="238"/>
      <w:r w:rsidRPr="00097EE4">
        <w:tab/>
        <w:t>Utility weights applied to the economic model</w:t>
      </w:r>
      <w:bookmarkEnd w:id="239"/>
      <w:bookmarkEnd w:id="240"/>
    </w:p>
    <w:tbl>
      <w:tblPr>
        <w:tblStyle w:val="TableGrid"/>
        <w:tblW w:w="4610" w:type="pct"/>
        <w:tblInd w:w="704" w:type="dxa"/>
        <w:tblLook w:val="04A0" w:firstRow="1" w:lastRow="0" w:firstColumn="1" w:lastColumn="0" w:noHBand="0" w:noVBand="1"/>
        <w:tblCaption w:val="The utility weights applied to the economic model"/>
        <w:tblDescription w:val="utility weights according to disease severity. Separate utility weights are shown for mild and moderate patients for institutionalised patients versus community-based care."/>
      </w:tblPr>
      <w:tblGrid>
        <w:gridCol w:w="3487"/>
        <w:gridCol w:w="1743"/>
        <w:gridCol w:w="3291"/>
      </w:tblGrid>
      <w:tr w:rsidR="007F6723" w:rsidRPr="00097EE4" w14:paraId="1CD19CC5" w14:textId="77777777" w:rsidTr="00181CF8">
        <w:trPr>
          <w:tblHeader/>
        </w:trPr>
        <w:tc>
          <w:tcPr>
            <w:tcW w:w="2046" w:type="pct"/>
          </w:tcPr>
          <w:p w14:paraId="0BF1BB70" w14:textId="77777777" w:rsidR="007F6723" w:rsidRPr="00097EE4" w:rsidRDefault="007F6723" w:rsidP="00181CF8">
            <w:pPr>
              <w:pStyle w:val="Tabletextboldleft"/>
            </w:pPr>
            <w:r w:rsidRPr="00097EE4">
              <w:t>Disease severity</w:t>
            </w:r>
          </w:p>
        </w:tc>
        <w:tc>
          <w:tcPr>
            <w:tcW w:w="1023" w:type="pct"/>
          </w:tcPr>
          <w:p w14:paraId="53B062FF" w14:textId="77777777" w:rsidR="007F6723" w:rsidRPr="00097EE4" w:rsidRDefault="007F6723" w:rsidP="00181CF8">
            <w:pPr>
              <w:pStyle w:val="Tabletextboldleft"/>
              <w:jc w:val="right"/>
            </w:pPr>
            <w:r w:rsidRPr="00097EE4">
              <w:t>Utility weight</w:t>
            </w:r>
          </w:p>
        </w:tc>
        <w:tc>
          <w:tcPr>
            <w:tcW w:w="1931" w:type="pct"/>
          </w:tcPr>
          <w:p w14:paraId="30D2AA07" w14:textId="77777777" w:rsidR="007F6723" w:rsidRPr="00097EE4" w:rsidRDefault="007F6723" w:rsidP="00181CF8">
            <w:pPr>
              <w:pStyle w:val="Tabletextboldleft"/>
              <w:jc w:val="right"/>
            </w:pPr>
            <w:r w:rsidRPr="00097EE4">
              <w:t>Reference</w:t>
            </w:r>
          </w:p>
        </w:tc>
      </w:tr>
      <w:tr w:rsidR="007F6723" w:rsidRPr="00097EE4" w14:paraId="6C1BCE82" w14:textId="77777777" w:rsidTr="00181CF8">
        <w:tc>
          <w:tcPr>
            <w:tcW w:w="2046" w:type="pct"/>
          </w:tcPr>
          <w:p w14:paraId="3077FD52" w14:textId="77777777" w:rsidR="007F6723" w:rsidRPr="00097EE4" w:rsidRDefault="007F6723" w:rsidP="00181CF8">
            <w:pPr>
              <w:pStyle w:val="Tabletextcentred"/>
              <w:keepNext/>
              <w:jc w:val="left"/>
            </w:pPr>
            <w:r w:rsidRPr="00097EE4">
              <w:t>No AD</w:t>
            </w:r>
          </w:p>
        </w:tc>
        <w:tc>
          <w:tcPr>
            <w:tcW w:w="1023" w:type="pct"/>
          </w:tcPr>
          <w:p w14:paraId="063DFEC5" w14:textId="77777777" w:rsidR="007F6723" w:rsidRPr="00097EE4" w:rsidRDefault="007F6723" w:rsidP="00181CF8">
            <w:pPr>
              <w:pStyle w:val="Tabletextcentred"/>
              <w:keepNext/>
              <w:jc w:val="right"/>
            </w:pPr>
            <w:r w:rsidRPr="00097EE4">
              <w:t>1.000</w:t>
            </w:r>
          </w:p>
        </w:tc>
        <w:tc>
          <w:tcPr>
            <w:tcW w:w="1931" w:type="pct"/>
          </w:tcPr>
          <w:p w14:paraId="13638617" w14:textId="77777777" w:rsidR="007F6723" w:rsidRPr="00097EE4" w:rsidRDefault="007F6723" w:rsidP="00181CF8">
            <w:pPr>
              <w:pStyle w:val="Tabletextcentred"/>
              <w:keepNext/>
              <w:jc w:val="right"/>
            </w:pPr>
            <w:r w:rsidRPr="00097EE4">
              <w:t>Assumption</w:t>
            </w:r>
          </w:p>
        </w:tc>
      </w:tr>
      <w:tr w:rsidR="007F6723" w:rsidRPr="00097EE4" w14:paraId="0A11B84A" w14:textId="77777777" w:rsidTr="00181CF8">
        <w:tc>
          <w:tcPr>
            <w:tcW w:w="2046" w:type="pct"/>
          </w:tcPr>
          <w:p w14:paraId="01CE4D3D" w14:textId="77777777" w:rsidR="007F6723" w:rsidRPr="00097EE4" w:rsidRDefault="007F6723" w:rsidP="00181CF8">
            <w:pPr>
              <w:pStyle w:val="Tabletextcentred"/>
              <w:keepNext/>
              <w:jc w:val="left"/>
            </w:pPr>
            <w:r w:rsidRPr="00097EE4">
              <w:t>Mild AD, community-based</w:t>
            </w:r>
          </w:p>
        </w:tc>
        <w:tc>
          <w:tcPr>
            <w:tcW w:w="1023" w:type="pct"/>
          </w:tcPr>
          <w:p w14:paraId="6275C1F3" w14:textId="77777777" w:rsidR="007F6723" w:rsidRPr="00097EE4" w:rsidRDefault="007F6723" w:rsidP="00181CF8">
            <w:pPr>
              <w:pStyle w:val="Tabletextcentred"/>
              <w:keepNext/>
              <w:jc w:val="right"/>
            </w:pPr>
            <w:r w:rsidRPr="00097EE4">
              <w:t>0.640</w:t>
            </w:r>
          </w:p>
        </w:tc>
        <w:tc>
          <w:tcPr>
            <w:tcW w:w="1931" w:type="pct"/>
          </w:tcPr>
          <w:p w14:paraId="5A9E683C" w14:textId="77777777" w:rsidR="007F6723" w:rsidRPr="00097EE4" w:rsidRDefault="007F6723" w:rsidP="00181CF8">
            <w:pPr>
              <w:pStyle w:val="Tabletextcentred"/>
              <w:keepNext/>
              <w:jc w:val="right"/>
            </w:pPr>
            <w:r w:rsidRPr="00097EE4">
              <w:t>Jonsson et al (2006)</w:t>
            </w:r>
          </w:p>
        </w:tc>
      </w:tr>
      <w:tr w:rsidR="007F6723" w:rsidRPr="00097EE4" w14:paraId="0287002D" w14:textId="77777777" w:rsidTr="00181CF8">
        <w:tc>
          <w:tcPr>
            <w:tcW w:w="2046" w:type="pct"/>
          </w:tcPr>
          <w:p w14:paraId="64D7B756" w14:textId="77777777" w:rsidR="007F6723" w:rsidRPr="00097EE4" w:rsidRDefault="007F6723" w:rsidP="00181CF8">
            <w:pPr>
              <w:pStyle w:val="Tabletextcentred"/>
              <w:keepNext/>
              <w:jc w:val="left"/>
            </w:pPr>
            <w:r w:rsidRPr="00097EE4">
              <w:t>Moderate AD, community-based</w:t>
            </w:r>
          </w:p>
        </w:tc>
        <w:tc>
          <w:tcPr>
            <w:tcW w:w="1023" w:type="pct"/>
          </w:tcPr>
          <w:p w14:paraId="42A150E2" w14:textId="77777777" w:rsidR="007F6723" w:rsidRPr="00097EE4" w:rsidRDefault="007F6723" w:rsidP="00181CF8">
            <w:pPr>
              <w:pStyle w:val="Tabletextcentred"/>
              <w:keepNext/>
              <w:jc w:val="right"/>
            </w:pPr>
            <w:r w:rsidRPr="00097EE4">
              <w:t>0.495</w:t>
            </w:r>
          </w:p>
        </w:tc>
        <w:tc>
          <w:tcPr>
            <w:tcW w:w="1931" w:type="pct"/>
          </w:tcPr>
          <w:p w14:paraId="41A8C47E" w14:textId="77777777" w:rsidR="007F6723" w:rsidRPr="00097EE4" w:rsidRDefault="007F6723" w:rsidP="00181CF8">
            <w:pPr>
              <w:pStyle w:val="Tabletextcentred"/>
              <w:keepNext/>
              <w:jc w:val="right"/>
            </w:pPr>
            <w:r w:rsidRPr="00097EE4">
              <w:t>Calculated from Jonsson et al (2006)</w:t>
            </w:r>
          </w:p>
        </w:tc>
      </w:tr>
      <w:tr w:rsidR="007F6723" w:rsidRPr="00097EE4" w14:paraId="31527DB8" w14:textId="77777777" w:rsidTr="00181CF8">
        <w:tc>
          <w:tcPr>
            <w:tcW w:w="2046" w:type="pct"/>
          </w:tcPr>
          <w:p w14:paraId="101E6F21" w14:textId="77777777" w:rsidR="007F6723" w:rsidRPr="00097EE4" w:rsidRDefault="007F6723" w:rsidP="00181CF8">
            <w:pPr>
              <w:pStyle w:val="Tabletextcentred"/>
              <w:keepNext/>
              <w:jc w:val="left"/>
            </w:pPr>
            <w:r w:rsidRPr="00097EE4">
              <w:t>Mild or moderate AD, institutionalised in nursing home care</w:t>
            </w:r>
          </w:p>
        </w:tc>
        <w:tc>
          <w:tcPr>
            <w:tcW w:w="1023" w:type="pct"/>
          </w:tcPr>
          <w:p w14:paraId="7A9A01FB" w14:textId="77777777" w:rsidR="007F6723" w:rsidRPr="00097EE4" w:rsidRDefault="007F6723" w:rsidP="00181CF8">
            <w:pPr>
              <w:pStyle w:val="Tabletextcentred"/>
              <w:keepNext/>
              <w:jc w:val="right"/>
            </w:pPr>
            <w:r w:rsidRPr="00097EE4">
              <w:t>0.330</w:t>
            </w:r>
          </w:p>
        </w:tc>
        <w:tc>
          <w:tcPr>
            <w:tcW w:w="1931" w:type="pct"/>
          </w:tcPr>
          <w:p w14:paraId="014AE57C" w14:textId="77777777" w:rsidR="007F6723" w:rsidRPr="00097EE4" w:rsidRDefault="007F6723" w:rsidP="00181CF8">
            <w:pPr>
              <w:pStyle w:val="Tabletextcentred"/>
              <w:keepNext/>
              <w:jc w:val="right"/>
            </w:pPr>
            <w:r w:rsidRPr="00097EE4">
              <w:t>Bond et al (2012)</w:t>
            </w:r>
          </w:p>
        </w:tc>
      </w:tr>
      <w:tr w:rsidR="007F6723" w:rsidRPr="00097EE4" w14:paraId="29B779EA" w14:textId="77777777" w:rsidTr="00181CF8">
        <w:tc>
          <w:tcPr>
            <w:tcW w:w="2046" w:type="pct"/>
          </w:tcPr>
          <w:p w14:paraId="44ADD41C" w14:textId="77777777" w:rsidR="007F6723" w:rsidRPr="00097EE4" w:rsidRDefault="007F6723" w:rsidP="00181CF8">
            <w:pPr>
              <w:pStyle w:val="Tabletextcentred"/>
              <w:keepNext/>
              <w:jc w:val="left"/>
              <w:rPr>
                <w:vertAlign w:val="superscript"/>
              </w:rPr>
            </w:pPr>
            <w:r w:rsidRPr="00097EE4">
              <w:t xml:space="preserve">Severe AD </w:t>
            </w:r>
            <w:r w:rsidRPr="00097EE4">
              <w:rPr>
                <w:vertAlign w:val="superscript"/>
              </w:rPr>
              <w:t>a</w:t>
            </w:r>
          </w:p>
        </w:tc>
        <w:tc>
          <w:tcPr>
            <w:tcW w:w="1023" w:type="pct"/>
          </w:tcPr>
          <w:p w14:paraId="5BAF1A76" w14:textId="77777777" w:rsidR="007F6723" w:rsidRPr="00097EE4" w:rsidRDefault="007F6723" w:rsidP="00181CF8">
            <w:pPr>
              <w:pStyle w:val="Tabletextcentred"/>
              <w:keepNext/>
              <w:jc w:val="right"/>
            </w:pPr>
            <w:r w:rsidRPr="00097EE4">
              <w:t>0.330</w:t>
            </w:r>
          </w:p>
        </w:tc>
        <w:tc>
          <w:tcPr>
            <w:tcW w:w="1931" w:type="pct"/>
          </w:tcPr>
          <w:p w14:paraId="679712C2" w14:textId="77777777" w:rsidR="007F6723" w:rsidRPr="00097EE4" w:rsidRDefault="007F6723" w:rsidP="00181CF8">
            <w:pPr>
              <w:pStyle w:val="Tabletextcentred"/>
              <w:keepNext/>
              <w:jc w:val="right"/>
            </w:pPr>
            <w:r w:rsidRPr="00097EE4">
              <w:t>Jonsson et al (2006)</w:t>
            </w:r>
          </w:p>
        </w:tc>
      </w:tr>
      <w:tr w:rsidR="007F6723" w:rsidRPr="00097EE4" w14:paraId="4881BF69" w14:textId="77777777" w:rsidTr="00181CF8">
        <w:tc>
          <w:tcPr>
            <w:tcW w:w="2046" w:type="pct"/>
          </w:tcPr>
          <w:p w14:paraId="7ECCCCE3" w14:textId="77777777" w:rsidR="007F6723" w:rsidRPr="00097EE4" w:rsidRDefault="007F6723" w:rsidP="00181CF8">
            <w:pPr>
              <w:pStyle w:val="Tabletextcentred"/>
              <w:keepNext/>
              <w:jc w:val="left"/>
            </w:pPr>
            <w:r w:rsidRPr="00097EE4">
              <w:t>Dead</w:t>
            </w:r>
          </w:p>
        </w:tc>
        <w:tc>
          <w:tcPr>
            <w:tcW w:w="1023" w:type="pct"/>
          </w:tcPr>
          <w:p w14:paraId="11DD1A3A" w14:textId="77777777" w:rsidR="007F6723" w:rsidRPr="00097EE4" w:rsidRDefault="007F6723" w:rsidP="00181CF8">
            <w:pPr>
              <w:pStyle w:val="Tabletextcentred"/>
              <w:keepNext/>
              <w:jc w:val="right"/>
            </w:pPr>
            <w:r w:rsidRPr="00097EE4">
              <w:t>0.000</w:t>
            </w:r>
          </w:p>
        </w:tc>
        <w:tc>
          <w:tcPr>
            <w:tcW w:w="1931" w:type="pct"/>
          </w:tcPr>
          <w:p w14:paraId="6A43DCFD" w14:textId="77777777" w:rsidR="007F6723" w:rsidRPr="00097EE4" w:rsidRDefault="007F6723" w:rsidP="00181CF8">
            <w:pPr>
              <w:pStyle w:val="Tabletextcentred"/>
              <w:keepNext/>
              <w:jc w:val="right"/>
            </w:pPr>
            <w:r w:rsidRPr="00097EE4">
              <w:t xml:space="preserve">Assumption </w:t>
            </w:r>
          </w:p>
        </w:tc>
      </w:tr>
    </w:tbl>
    <w:p w14:paraId="3498EF65" w14:textId="77777777" w:rsidR="007F6723" w:rsidRPr="00097EE4" w:rsidRDefault="007F6723" w:rsidP="007F6723">
      <w:pPr>
        <w:pStyle w:val="Tablefootnotes"/>
      </w:pPr>
      <w:r w:rsidRPr="00097EE4">
        <w:t>Source: Jonsson et al (2006)</w:t>
      </w:r>
    </w:p>
    <w:p w14:paraId="6A24BDC5" w14:textId="77777777" w:rsidR="007F6723" w:rsidRPr="00097EE4" w:rsidRDefault="007F6723" w:rsidP="007F6723">
      <w:pPr>
        <w:pStyle w:val="Tablefootnotes"/>
      </w:pPr>
      <w:r w:rsidRPr="00097EE4">
        <w:t>Abbreviations: AD, Alzheimer’s disease</w:t>
      </w:r>
    </w:p>
    <w:p w14:paraId="1E9124BB" w14:textId="77777777" w:rsidR="007F6723" w:rsidRPr="00097EE4" w:rsidRDefault="007F6723" w:rsidP="007F6723">
      <w:pPr>
        <w:pStyle w:val="Tablefootnotes"/>
      </w:pPr>
      <w:r w:rsidRPr="00097EE4">
        <w:rPr>
          <w:vertAlign w:val="superscript"/>
        </w:rPr>
        <w:t>a</w:t>
      </w:r>
      <w:r w:rsidRPr="00097EE4">
        <w:t xml:space="preserve"> As outlined previously, it was assumed that all severe AD cases were institutionalised in nursing home care</w:t>
      </w:r>
    </w:p>
    <w:p w14:paraId="413ADE91" w14:textId="77777777" w:rsidR="007F6723" w:rsidRPr="00097EE4" w:rsidRDefault="007F6723" w:rsidP="007F6723">
      <w:r w:rsidRPr="00097EE4">
        <w:t>Bond et al (2012) – a NICE HTA that applied the utility weights from Jonsson et al (2006) – applied the mild and moderate utility weights from Jonsson et al (2006) to community-based individuals only. In the case of individuals with mild or moderate AD who are institutionalised in nursing home care, the same utility weight was applied as in the case of severe AD. A similar approach was taken in the current assessment. This was based on the reasoning that the need for institutionalisation in a nursing home would be more representative of substantially compromised QoL than any cognitive instrument capturing disease severity (such as the MMSE or CDR). That is, institutionalisation is a better indicator of HRQoL and thereby justified application of lower utility weights.</w:t>
      </w:r>
    </w:p>
    <w:p w14:paraId="0A794934" w14:textId="069E42A3" w:rsidR="007F6723" w:rsidRPr="00097EE4" w:rsidRDefault="007F6723" w:rsidP="007F6723">
      <w:r w:rsidRPr="00097EE4">
        <w:t>In the case of those with no AD, it was assumed that a utility weight of 1 (equivalent to perfect health) was applicable. This represents a simplifying assumption, similar to the mortality risk assumption discussed above. While it is true that individuals who have progressed this far through a diagnostic testing process are likely to be suffering from a non-AD condition that could have a profound impact on their HRQoL (particularly if left untreated), it is not possible to know the extent of this or for how long any disutility would apply. Modelling this would be subject to extreme uncertainty and out of scope of the current assessment. Consequently, it was conservatively assumed that any disutility would be temporary in nature and best captured by a value representative of perfect health. Th</w:t>
      </w:r>
      <w:r w:rsidR="00E772DD">
        <w:t>e</w:t>
      </w:r>
      <w:r w:rsidRPr="00097EE4">
        <w:t xml:space="preserve"> impact of this is tested in sensitivity analyses, as is the impact of all utility weights applied.</w:t>
      </w:r>
    </w:p>
    <w:p w14:paraId="69FA1246" w14:textId="77777777" w:rsidR="007F6723" w:rsidRPr="00097EE4" w:rsidRDefault="007F6723" w:rsidP="007F6723">
      <w:pPr>
        <w:pStyle w:val="Heading2"/>
      </w:pPr>
      <w:r w:rsidRPr="00097EE4">
        <w:t xml:space="preserve"> </w:t>
      </w:r>
      <w:bookmarkStart w:id="241" w:name="_Toc406172440"/>
      <w:bookmarkStart w:id="242" w:name="_Toc408845184"/>
      <w:r w:rsidRPr="00097EE4">
        <w:t>Results of the economic evaluation</w:t>
      </w:r>
      <w:bookmarkEnd w:id="241"/>
      <w:bookmarkEnd w:id="242"/>
    </w:p>
    <w:p w14:paraId="399C0516" w14:textId="006F0963" w:rsidR="007F6723" w:rsidRPr="00097EE4" w:rsidRDefault="007F6723" w:rsidP="007F6723">
      <w:r w:rsidRPr="00097EE4">
        <w:t xml:space="preserve">The results of the economic analysis of FDG-PET versus SPECT for diagnostic testing in individuals with suspected AD is presented below. Section </w:t>
      </w:r>
      <w:r w:rsidRPr="00097EE4">
        <w:fldChar w:fldCharType="begin"/>
      </w:r>
      <w:r w:rsidRPr="00097EE4">
        <w:instrText xml:space="preserve"> REF _Ref278810570 \r \h </w:instrText>
      </w:r>
      <w:r>
        <w:instrText xml:space="preserve"> \* MERGEFORMAT </w:instrText>
      </w:r>
      <w:r w:rsidRPr="00097EE4">
        <w:fldChar w:fldCharType="separate"/>
      </w:r>
      <w:r w:rsidR="00C67698">
        <w:t>D.5.1</w:t>
      </w:r>
      <w:r w:rsidRPr="00097EE4">
        <w:fldChar w:fldCharType="end"/>
      </w:r>
      <w:r w:rsidRPr="00097EE4">
        <w:t xml:space="preserve"> presents the disaggregated average costs per patient, while Section </w:t>
      </w:r>
      <w:r w:rsidRPr="00097EE4">
        <w:fldChar w:fldCharType="begin"/>
      </w:r>
      <w:r w:rsidRPr="00097EE4">
        <w:instrText xml:space="preserve"> REF _Ref278810579 \r \h </w:instrText>
      </w:r>
      <w:r>
        <w:instrText xml:space="preserve"> \* MERGEFORMAT </w:instrText>
      </w:r>
      <w:r w:rsidRPr="00097EE4">
        <w:fldChar w:fldCharType="separate"/>
      </w:r>
      <w:r w:rsidR="00C67698">
        <w:t>D.5.2</w:t>
      </w:r>
      <w:r w:rsidRPr="00097EE4">
        <w:fldChar w:fldCharType="end"/>
      </w:r>
      <w:r w:rsidRPr="00097EE4">
        <w:t xml:space="preserve"> presents the disaggregated health outcomes in terms of quality</w:t>
      </w:r>
      <w:r w:rsidR="0064732B">
        <w:t>-</w:t>
      </w:r>
      <w:r w:rsidRPr="00097EE4">
        <w:t xml:space="preserve">adjusted life years. The base case incremental cost-effectiveness ratios are presented in Section </w:t>
      </w:r>
      <w:r w:rsidRPr="00097EE4">
        <w:fldChar w:fldCharType="begin"/>
      </w:r>
      <w:r w:rsidRPr="00097EE4">
        <w:instrText xml:space="preserve"> REF _Ref278810582 \r \h </w:instrText>
      </w:r>
      <w:r>
        <w:instrText xml:space="preserve"> \* MERGEFORMAT </w:instrText>
      </w:r>
      <w:r w:rsidRPr="00097EE4">
        <w:fldChar w:fldCharType="separate"/>
      </w:r>
      <w:r w:rsidR="00C67698">
        <w:t>D.5.3</w:t>
      </w:r>
      <w:r w:rsidRPr="00097EE4">
        <w:fldChar w:fldCharType="end"/>
      </w:r>
      <w:r w:rsidRPr="00097EE4">
        <w:t xml:space="preserve">. Sensitivity analyses follow in Section </w:t>
      </w:r>
      <w:r w:rsidRPr="00097EE4">
        <w:fldChar w:fldCharType="begin"/>
      </w:r>
      <w:r w:rsidRPr="00097EE4">
        <w:instrText xml:space="preserve"> REF _Ref278810398 \r \h </w:instrText>
      </w:r>
      <w:r>
        <w:instrText xml:space="preserve"> \* MERGEFORMAT </w:instrText>
      </w:r>
      <w:r w:rsidRPr="00097EE4">
        <w:fldChar w:fldCharType="separate"/>
      </w:r>
      <w:r w:rsidR="00C67698">
        <w:t>D.6</w:t>
      </w:r>
      <w:r w:rsidRPr="00097EE4">
        <w:fldChar w:fldCharType="end"/>
      </w:r>
      <w:r w:rsidRPr="00097EE4">
        <w:t>.</w:t>
      </w:r>
    </w:p>
    <w:p w14:paraId="317BE7EC" w14:textId="77777777" w:rsidR="007F6723" w:rsidRPr="00097EE4" w:rsidRDefault="007F6723" w:rsidP="007F6723">
      <w:pPr>
        <w:pStyle w:val="Heading3"/>
      </w:pPr>
      <w:bookmarkStart w:id="243" w:name="_Ref278810570"/>
      <w:r w:rsidRPr="00097EE4">
        <w:t>Disaggregated average costs</w:t>
      </w:r>
      <w:bookmarkEnd w:id="243"/>
    </w:p>
    <w:p w14:paraId="797D14C9" w14:textId="114AA21C" w:rsidR="007F6723" w:rsidRPr="00097EE4" w:rsidRDefault="007F6723" w:rsidP="007F6723">
      <w:r w:rsidRPr="00097EE4">
        <w:t xml:space="preserve">All costs, inclusive of downstream events and treatment, following on from diagnosis with either FDG-PET or SPECT are presented in </w:t>
      </w:r>
      <w:r w:rsidRPr="00097EE4">
        <w:fldChar w:fldCharType="begin"/>
      </w:r>
      <w:r w:rsidRPr="00097EE4">
        <w:instrText xml:space="preserve"> REF _Ref278810973 \h </w:instrText>
      </w:r>
      <w:r>
        <w:instrText xml:space="preserve"> \* MERGEFORMAT </w:instrText>
      </w:r>
      <w:r w:rsidRPr="00097EE4">
        <w:fldChar w:fldCharType="separate"/>
      </w:r>
      <w:r w:rsidR="00C67698" w:rsidRPr="00097EE4">
        <w:t xml:space="preserve">Table </w:t>
      </w:r>
      <w:r w:rsidR="00C67698">
        <w:rPr>
          <w:noProof/>
        </w:rPr>
        <w:t>D.5</w:t>
      </w:r>
      <w:r w:rsidR="00C67698">
        <w:rPr>
          <w:noProof/>
        </w:rPr>
        <w:noBreakHyphen/>
        <w:t>1</w:t>
      </w:r>
      <w:r w:rsidRPr="00097EE4">
        <w:fldChar w:fldCharType="end"/>
      </w:r>
      <w:r w:rsidRPr="00097EE4">
        <w:t xml:space="preserve">. </w:t>
      </w:r>
    </w:p>
    <w:p w14:paraId="4E934ADF" w14:textId="671514F2" w:rsidR="007F6723" w:rsidRPr="00097EE4" w:rsidRDefault="007F6723" w:rsidP="007F6723">
      <w:pPr>
        <w:pStyle w:val="Caption"/>
      </w:pPr>
      <w:bookmarkStart w:id="244" w:name="_Ref278810973"/>
      <w:bookmarkStart w:id="245" w:name="_Toc406172488"/>
      <w:bookmarkStart w:id="246" w:name="_Toc408845243"/>
      <w:r w:rsidRPr="00097EE4">
        <w:lastRenderedPageBreak/>
        <w:t xml:space="preserve">Table </w:t>
      </w:r>
      <w:fldSimple w:instr=" STYLEREF 2 \s ">
        <w:r w:rsidR="00C67698">
          <w:rPr>
            <w:noProof/>
          </w:rPr>
          <w:t>D.5</w:t>
        </w:r>
      </w:fldSimple>
      <w:r w:rsidR="00524916">
        <w:noBreakHyphen/>
      </w:r>
      <w:fldSimple w:instr=" SEQ Table \* ARABIC \s 2 ">
        <w:r w:rsidR="00C67698">
          <w:rPr>
            <w:noProof/>
          </w:rPr>
          <w:t>1</w:t>
        </w:r>
      </w:fldSimple>
      <w:bookmarkEnd w:id="244"/>
      <w:r w:rsidRPr="00097EE4">
        <w:tab/>
        <w:t>Disaggregated cost results of the economic evaluation, per patient</w:t>
      </w:r>
      <w:bookmarkEnd w:id="245"/>
      <w:bookmarkEnd w:id="246"/>
    </w:p>
    <w:tbl>
      <w:tblPr>
        <w:tblStyle w:val="TableGrid"/>
        <w:tblW w:w="4610" w:type="pct"/>
        <w:tblInd w:w="704" w:type="dxa"/>
        <w:tblLook w:val="04A0" w:firstRow="1" w:lastRow="0" w:firstColumn="1" w:lastColumn="0" w:noHBand="0" w:noVBand="1"/>
        <w:tblCaption w:val="The disaggregated costs per patient"/>
        <w:tblDescription w:val="All costs, inclusive of downstream events and treatment, after diagnosis with either FDG-PET or SPECT"/>
      </w:tblPr>
      <w:tblGrid>
        <w:gridCol w:w="3720"/>
        <w:gridCol w:w="1601"/>
        <w:gridCol w:w="1600"/>
        <w:gridCol w:w="1600"/>
      </w:tblGrid>
      <w:tr w:rsidR="007F6723" w:rsidRPr="00097EE4" w14:paraId="65DC4ACA" w14:textId="77777777" w:rsidTr="00181CF8">
        <w:trPr>
          <w:tblHeader/>
        </w:trPr>
        <w:tc>
          <w:tcPr>
            <w:tcW w:w="2182" w:type="pct"/>
          </w:tcPr>
          <w:p w14:paraId="03AC1D90" w14:textId="77777777" w:rsidR="007F6723" w:rsidRPr="00097EE4" w:rsidRDefault="007F6723" w:rsidP="00181CF8">
            <w:pPr>
              <w:pStyle w:val="Tabletextboldleft"/>
            </w:pPr>
            <w:r w:rsidRPr="00097EE4">
              <w:t>Health state</w:t>
            </w:r>
          </w:p>
        </w:tc>
        <w:tc>
          <w:tcPr>
            <w:tcW w:w="939" w:type="pct"/>
          </w:tcPr>
          <w:p w14:paraId="7CF6DAE6" w14:textId="77777777" w:rsidR="007F6723" w:rsidRPr="00097EE4" w:rsidRDefault="007F6723" w:rsidP="00181CF8">
            <w:pPr>
              <w:pStyle w:val="Tabletextboldleft"/>
              <w:jc w:val="right"/>
            </w:pPr>
            <w:r w:rsidRPr="00097EE4">
              <w:t>FDG-PET arm</w:t>
            </w:r>
          </w:p>
        </w:tc>
        <w:tc>
          <w:tcPr>
            <w:tcW w:w="939" w:type="pct"/>
          </w:tcPr>
          <w:p w14:paraId="2538B599" w14:textId="77777777" w:rsidR="007F6723" w:rsidRPr="00097EE4" w:rsidRDefault="007F6723" w:rsidP="00181CF8">
            <w:pPr>
              <w:pStyle w:val="Tabletextboldleft"/>
              <w:jc w:val="right"/>
            </w:pPr>
            <w:r w:rsidRPr="00097EE4">
              <w:t>SPECT arm</w:t>
            </w:r>
          </w:p>
        </w:tc>
        <w:tc>
          <w:tcPr>
            <w:tcW w:w="939" w:type="pct"/>
          </w:tcPr>
          <w:p w14:paraId="0B9B74CB" w14:textId="77777777" w:rsidR="007F6723" w:rsidRPr="00097EE4" w:rsidRDefault="007F6723" w:rsidP="00181CF8">
            <w:pPr>
              <w:pStyle w:val="Tabletextboldleft"/>
              <w:jc w:val="right"/>
            </w:pPr>
            <w:r w:rsidRPr="00097EE4">
              <w:t>Incremental</w:t>
            </w:r>
          </w:p>
        </w:tc>
      </w:tr>
      <w:tr w:rsidR="007F6723" w:rsidRPr="00097EE4" w14:paraId="25BA7254" w14:textId="77777777" w:rsidTr="00181CF8">
        <w:tc>
          <w:tcPr>
            <w:tcW w:w="2182" w:type="pct"/>
          </w:tcPr>
          <w:p w14:paraId="4F2E0651" w14:textId="77777777" w:rsidR="007F6723" w:rsidRPr="00097EE4" w:rsidRDefault="007F6723" w:rsidP="00181CF8">
            <w:pPr>
              <w:pStyle w:val="Tabletextcentred"/>
              <w:keepNext/>
              <w:jc w:val="left"/>
            </w:pPr>
            <w:r w:rsidRPr="00097EE4">
              <w:t>Diagnostic testing</w:t>
            </w:r>
          </w:p>
        </w:tc>
        <w:tc>
          <w:tcPr>
            <w:tcW w:w="939" w:type="pct"/>
          </w:tcPr>
          <w:p w14:paraId="33B53096" w14:textId="77777777" w:rsidR="007F6723" w:rsidRPr="00097EE4" w:rsidRDefault="007F6723" w:rsidP="00181CF8">
            <w:pPr>
              <w:pStyle w:val="Tabletextcentred"/>
              <w:keepNext/>
              <w:jc w:val="right"/>
            </w:pPr>
            <w:r w:rsidRPr="00097EE4">
              <w:t>$1088</w:t>
            </w:r>
          </w:p>
        </w:tc>
        <w:tc>
          <w:tcPr>
            <w:tcW w:w="939" w:type="pct"/>
          </w:tcPr>
          <w:p w14:paraId="4915B831" w14:textId="77777777" w:rsidR="007F6723" w:rsidRPr="00097EE4" w:rsidRDefault="007F6723" w:rsidP="00181CF8">
            <w:pPr>
              <w:pStyle w:val="Tabletextcentred"/>
              <w:keepNext/>
              <w:jc w:val="right"/>
            </w:pPr>
            <w:r w:rsidRPr="00097EE4">
              <w:t>$775</w:t>
            </w:r>
          </w:p>
        </w:tc>
        <w:tc>
          <w:tcPr>
            <w:tcW w:w="939" w:type="pct"/>
          </w:tcPr>
          <w:p w14:paraId="61481780" w14:textId="77777777" w:rsidR="007F6723" w:rsidRPr="00097EE4" w:rsidRDefault="007F6723" w:rsidP="00181CF8">
            <w:pPr>
              <w:pStyle w:val="Tabletextcentred"/>
              <w:keepNext/>
              <w:jc w:val="right"/>
            </w:pPr>
            <w:r w:rsidRPr="00097EE4">
              <w:t>$313</w:t>
            </w:r>
          </w:p>
        </w:tc>
      </w:tr>
      <w:tr w:rsidR="007F6723" w:rsidRPr="00097EE4" w14:paraId="462A7FBA" w14:textId="77777777" w:rsidTr="00181CF8">
        <w:tc>
          <w:tcPr>
            <w:tcW w:w="2182" w:type="pct"/>
          </w:tcPr>
          <w:p w14:paraId="7CC0B869" w14:textId="7F2A3EC4" w:rsidR="007F6723" w:rsidRPr="00097EE4" w:rsidRDefault="007F6723" w:rsidP="00181CF8">
            <w:pPr>
              <w:pStyle w:val="Tabletextcentred"/>
              <w:keepNext/>
              <w:jc w:val="left"/>
            </w:pPr>
            <w:r w:rsidRPr="00097EE4">
              <w:t>No AD – community</w:t>
            </w:r>
            <w:r w:rsidR="000E05F2">
              <w:t>-</w:t>
            </w:r>
            <w:r w:rsidRPr="00097EE4">
              <w:t>based, untreated</w:t>
            </w:r>
          </w:p>
        </w:tc>
        <w:tc>
          <w:tcPr>
            <w:tcW w:w="939" w:type="pct"/>
          </w:tcPr>
          <w:p w14:paraId="086F8152" w14:textId="77777777" w:rsidR="007F6723" w:rsidRPr="00097EE4" w:rsidRDefault="007F6723" w:rsidP="00181CF8">
            <w:pPr>
              <w:pStyle w:val="Tabletextcentred"/>
              <w:keepNext/>
              <w:jc w:val="right"/>
            </w:pPr>
            <w:r w:rsidRPr="00097EE4">
              <w:t>$0</w:t>
            </w:r>
          </w:p>
        </w:tc>
        <w:tc>
          <w:tcPr>
            <w:tcW w:w="939" w:type="pct"/>
          </w:tcPr>
          <w:p w14:paraId="38C0CCEE" w14:textId="77777777" w:rsidR="007F6723" w:rsidRPr="00097EE4" w:rsidRDefault="007F6723" w:rsidP="00181CF8">
            <w:pPr>
              <w:pStyle w:val="Tabletextcentred"/>
              <w:keepNext/>
              <w:jc w:val="right"/>
            </w:pPr>
            <w:r w:rsidRPr="00097EE4">
              <w:t>$0</w:t>
            </w:r>
          </w:p>
        </w:tc>
        <w:tc>
          <w:tcPr>
            <w:tcW w:w="939" w:type="pct"/>
          </w:tcPr>
          <w:p w14:paraId="57828B65" w14:textId="77777777" w:rsidR="007F6723" w:rsidRPr="00097EE4" w:rsidRDefault="007F6723" w:rsidP="00181CF8">
            <w:pPr>
              <w:pStyle w:val="Tabletextcentred"/>
              <w:keepNext/>
              <w:jc w:val="right"/>
            </w:pPr>
            <w:r w:rsidRPr="00097EE4">
              <w:t>$0</w:t>
            </w:r>
          </w:p>
        </w:tc>
      </w:tr>
      <w:tr w:rsidR="007F6723" w:rsidRPr="00097EE4" w14:paraId="5A36D4AC" w14:textId="77777777" w:rsidTr="00181CF8">
        <w:tc>
          <w:tcPr>
            <w:tcW w:w="2182" w:type="pct"/>
          </w:tcPr>
          <w:p w14:paraId="6772DAD5" w14:textId="77777777" w:rsidR="007F6723" w:rsidRPr="00097EE4" w:rsidRDefault="007F6723" w:rsidP="00181CF8">
            <w:pPr>
              <w:pStyle w:val="Tabletextcentred"/>
              <w:keepNext/>
              <w:jc w:val="left"/>
            </w:pPr>
            <w:r w:rsidRPr="00097EE4">
              <w:t>Mild AD – community-based, untreated</w:t>
            </w:r>
          </w:p>
        </w:tc>
        <w:tc>
          <w:tcPr>
            <w:tcW w:w="939" w:type="pct"/>
          </w:tcPr>
          <w:p w14:paraId="3C421C88" w14:textId="77777777" w:rsidR="007F6723" w:rsidRPr="00097EE4" w:rsidRDefault="007F6723" w:rsidP="00181CF8">
            <w:pPr>
              <w:pStyle w:val="Tabletextcentred"/>
              <w:keepNext/>
              <w:jc w:val="right"/>
            </w:pPr>
            <w:r w:rsidRPr="00097EE4">
              <w:t>$6938</w:t>
            </w:r>
          </w:p>
        </w:tc>
        <w:tc>
          <w:tcPr>
            <w:tcW w:w="939" w:type="pct"/>
          </w:tcPr>
          <w:p w14:paraId="4F4D709C" w14:textId="77777777" w:rsidR="007F6723" w:rsidRPr="00097EE4" w:rsidRDefault="007F6723" w:rsidP="00181CF8">
            <w:pPr>
              <w:pStyle w:val="Tabletextcentred"/>
              <w:keepNext/>
              <w:jc w:val="right"/>
            </w:pPr>
            <w:r w:rsidRPr="00097EE4">
              <w:t>$7148</w:t>
            </w:r>
          </w:p>
        </w:tc>
        <w:tc>
          <w:tcPr>
            <w:tcW w:w="939" w:type="pct"/>
          </w:tcPr>
          <w:p w14:paraId="68E5FD64" w14:textId="77777777" w:rsidR="007F6723" w:rsidRPr="00097EE4" w:rsidRDefault="007F6723" w:rsidP="00181CF8">
            <w:pPr>
              <w:pStyle w:val="Tabletextcentred"/>
              <w:keepNext/>
              <w:jc w:val="right"/>
            </w:pPr>
            <w:r w:rsidRPr="00097EE4">
              <w:t>-$210</w:t>
            </w:r>
          </w:p>
        </w:tc>
      </w:tr>
      <w:tr w:rsidR="007F6723" w:rsidRPr="00097EE4" w14:paraId="1B4D85F7" w14:textId="77777777" w:rsidTr="00181CF8">
        <w:tc>
          <w:tcPr>
            <w:tcW w:w="2182" w:type="pct"/>
          </w:tcPr>
          <w:p w14:paraId="0489A12E" w14:textId="77777777" w:rsidR="007F6723" w:rsidRPr="00097EE4" w:rsidRDefault="007F6723" w:rsidP="00181CF8">
            <w:pPr>
              <w:pStyle w:val="Tabletextcentred"/>
              <w:keepNext/>
              <w:jc w:val="left"/>
            </w:pPr>
            <w:r w:rsidRPr="00097EE4">
              <w:t>Mild AD – community-based, treated</w:t>
            </w:r>
          </w:p>
        </w:tc>
        <w:tc>
          <w:tcPr>
            <w:tcW w:w="939" w:type="pct"/>
          </w:tcPr>
          <w:p w14:paraId="2EF91B42" w14:textId="77777777" w:rsidR="007F6723" w:rsidRPr="00097EE4" w:rsidRDefault="007F6723" w:rsidP="00181CF8">
            <w:pPr>
              <w:pStyle w:val="Tabletextcentred"/>
              <w:keepNext/>
              <w:jc w:val="right"/>
            </w:pPr>
            <w:r w:rsidRPr="00097EE4">
              <w:t>$6270</w:t>
            </w:r>
          </w:p>
        </w:tc>
        <w:tc>
          <w:tcPr>
            <w:tcW w:w="939" w:type="pct"/>
          </w:tcPr>
          <w:p w14:paraId="259779A3" w14:textId="77777777" w:rsidR="007F6723" w:rsidRPr="00097EE4" w:rsidRDefault="007F6723" w:rsidP="00181CF8">
            <w:pPr>
              <w:pStyle w:val="Tabletextcentred"/>
              <w:keepNext/>
              <w:jc w:val="right"/>
            </w:pPr>
            <w:r w:rsidRPr="00097EE4">
              <w:t>$6091</w:t>
            </w:r>
          </w:p>
        </w:tc>
        <w:tc>
          <w:tcPr>
            <w:tcW w:w="939" w:type="pct"/>
          </w:tcPr>
          <w:p w14:paraId="3F2220B5" w14:textId="77777777" w:rsidR="007F6723" w:rsidRPr="00097EE4" w:rsidRDefault="007F6723" w:rsidP="00181CF8">
            <w:pPr>
              <w:pStyle w:val="Tabletextcentred"/>
              <w:keepNext/>
              <w:jc w:val="right"/>
            </w:pPr>
            <w:r w:rsidRPr="00097EE4">
              <w:t>$179</w:t>
            </w:r>
          </w:p>
        </w:tc>
      </w:tr>
      <w:tr w:rsidR="007F6723" w:rsidRPr="00097EE4" w14:paraId="05A64D3D" w14:textId="77777777" w:rsidTr="00181CF8">
        <w:tc>
          <w:tcPr>
            <w:tcW w:w="2182" w:type="pct"/>
          </w:tcPr>
          <w:p w14:paraId="08190FC7" w14:textId="77777777" w:rsidR="007F6723" w:rsidRPr="00097EE4" w:rsidRDefault="007F6723" w:rsidP="00181CF8">
            <w:pPr>
              <w:pStyle w:val="Tabletextcentred"/>
              <w:keepNext/>
              <w:jc w:val="left"/>
            </w:pPr>
            <w:r w:rsidRPr="00097EE4">
              <w:t>Mild AD – nursing home care, untreated</w:t>
            </w:r>
          </w:p>
        </w:tc>
        <w:tc>
          <w:tcPr>
            <w:tcW w:w="939" w:type="pct"/>
          </w:tcPr>
          <w:p w14:paraId="447EFDDD" w14:textId="77777777" w:rsidR="007F6723" w:rsidRPr="00097EE4" w:rsidRDefault="007F6723" w:rsidP="00181CF8">
            <w:pPr>
              <w:pStyle w:val="Tabletextcentred"/>
              <w:keepNext/>
              <w:jc w:val="right"/>
            </w:pPr>
            <w:r w:rsidRPr="00097EE4">
              <w:t>$853</w:t>
            </w:r>
          </w:p>
        </w:tc>
        <w:tc>
          <w:tcPr>
            <w:tcW w:w="939" w:type="pct"/>
          </w:tcPr>
          <w:p w14:paraId="56DDE671" w14:textId="77777777" w:rsidR="007F6723" w:rsidRPr="00097EE4" w:rsidRDefault="007F6723" w:rsidP="00181CF8">
            <w:pPr>
              <w:pStyle w:val="Tabletextcentred"/>
              <w:keepNext/>
              <w:jc w:val="right"/>
            </w:pPr>
            <w:r w:rsidRPr="00097EE4">
              <w:t>$869</w:t>
            </w:r>
          </w:p>
        </w:tc>
        <w:tc>
          <w:tcPr>
            <w:tcW w:w="939" w:type="pct"/>
          </w:tcPr>
          <w:p w14:paraId="19DE711E" w14:textId="77777777" w:rsidR="007F6723" w:rsidRPr="00097EE4" w:rsidRDefault="007F6723" w:rsidP="00181CF8">
            <w:pPr>
              <w:pStyle w:val="Tabletextcentred"/>
              <w:keepNext/>
              <w:jc w:val="right"/>
            </w:pPr>
            <w:r w:rsidRPr="00097EE4">
              <w:t>-$16</w:t>
            </w:r>
          </w:p>
        </w:tc>
      </w:tr>
      <w:tr w:rsidR="007F6723" w:rsidRPr="00097EE4" w14:paraId="73F57A91" w14:textId="77777777" w:rsidTr="00181CF8">
        <w:tc>
          <w:tcPr>
            <w:tcW w:w="2182" w:type="pct"/>
          </w:tcPr>
          <w:p w14:paraId="57EDDF9F" w14:textId="77777777" w:rsidR="007F6723" w:rsidRPr="00097EE4" w:rsidRDefault="007F6723" w:rsidP="00181CF8">
            <w:pPr>
              <w:pStyle w:val="Tabletextcentred"/>
              <w:keepNext/>
              <w:jc w:val="left"/>
              <w:rPr>
                <w:vertAlign w:val="superscript"/>
              </w:rPr>
            </w:pPr>
            <w:r w:rsidRPr="00097EE4">
              <w:t>Mild AD – nursing home care, treated</w:t>
            </w:r>
          </w:p>
        </w:tc>
        <w:tc>
          <w:tcPr>
            <w:tcW w:w="939" w:type="pct"/>
          </w:tcPr>
          <w:p w14:paraId="5BA8B505" w14:textId="77777777" w:rsidR="007F6723" w:rsidRPr="00097EE4" w:rsidRDefault="007F6723" w:rsidP="00181CF8">
            <w:pPr>
              <w:pStyle w:val="Tabletextcentred"/>
              <w:keepNext/>
              <w:jc w:val="right"/>
            </w:pPr>
            <w:r w:rsidRPr="00097EE4">
              <w:t>$558</w:t>
            </w:r>
          </w:p>
        </w:tc>
        <w:tc>
          <w:tcPr>
            <w:tcW w:w="939" w:type="pct"/>
          </w:tcPr>
          <w:p w14:paraId="72356DFC" w14:textId="77777777" w:rsidR="007F6723" w:rsidRPr="00097EE4" w:rsidRDefault="007F6723" w:rsidP="00181CF8">
            <w:pPr>
              <w:pStyle w:val="Tabletextcentred"/>
              <w:keepNext/>
              <w:jc w:val="right"/>
            </w:pPr>
            <w:r w:rsidRPr="00097EE4">
              <w:t>$542</w:t>
            </w:r>
          </w:p>
        </w:tc>
        <w:tc>
          <w:tcPr>
            <w:tcW w:w="939" w:type="pct"/>
          </w:tcPr>
          <w:p w14:paraId="06C94F57" w14:textId="77777777" w:rsidR="007F6723" w:rsidRPr="00097EE4" w:rsidRDefault="007F6723" w:rsidP="00181CF8">
            <w:pPr>
              <w:pStyle w:val="Tabletextcentred"/>
              <w:keepNext/>
              <w:jc w:val="right"/>
            </w:pPr>
            <w:r w:rsidRPr="00097EE4">
              <w:t>$16</w:t>
            </w:r>
          </w:p>
        </w:tc>
      </w:tr>
      <w:tr w:rsidR="007F6723" w:rsidRPr="00097EE4" w14:paraId="17B51B7F" w14:textId="77777777" w:rsidTr="00181CF8">
        <w:tc>
          <w:tcPr>
            <w:tcW w:w="2182" w:type="pct"/>
          </w:tcPr>
          <w:p w14:paraId="2B6C1532" w14:textId="77777777" w:rsidR="007F6723" w:rsidRPr="00097EE4" w:rsidRDefault="007F6723" w:rsidP="00181CF8">
            <w:pPr>
              <w:pStyle w:val="Tabletextcentred"/>
              <w:keepNext/>
              <w:jc w:val="left"/>
            </w:pPr>
            <w:r w:rsidRPr="00097EE4">
              <w:t>Moderate AD – community-based, untreated</w:t>
            </w:r>
          </w:p>
        </w:tc>
        <w:tc>
          <w:tcPr>
            <w:tcW w:w="939" w:type="pct"/>
          </w:tcPr>
          <w:p w14:paraId="6C75F734" w14:textId="77777777" w:rsidR="007F6723" w:rsidRPr="00097EE4" w:rsidRDefault="007F6723" w:rsidP="00181CF8">
            <w:pPr>
              <w:pStyle w:val="Tabletextcentred"/>
              <w:keepNext/>
              <w:jc w:val="right"/>
            </w:pPr>
            <w:r w:rsidRPr="00097EE4">
              <w:t>$8420</w:t>
            </w:r>
          </w:p>
        </w:tc>
        <w:tc>
          <w:tcPr>
            <w:tcW w:w="939" w:type="pct"/>
          </w:tcPr>
          <w:p w14:paraId="04997025" w14:textId="77777777" w:rsidR="007F6723" w:rsidRPr="00097EE4" w:rsidRDefault="007F6723" w:rsidP="00181CF8">
            <w:pPr>
              <w:pStyle w:val="Tabletextcentred"/>
              <w:keepNext/>
              <w:jc w:val="right"/>
            </w:pPr>
            <w:r w:rsidRPr="00097EE4">
              <w:t>$8706</w:t>
            </w:r>
          </w:p>
        </w:tc>
        <w:tc>
          <w:tcPr>
            <w:tcW w:w="939" w:type="pct"/>
          </w:tcPr>
          <w:p w14:paraId="0D6FDE70" w14:textId="77777777" w:rsidR="007F6723" w:rsidRPr="00097EE4" w:rsidRDefault="007F6723" w:rsidP="00181CF8">
            <w:pPr>
              <w:pStyle w:val="Tabletextcentred"/>
              <w:keepNext/>
              <w:jc w:val="right"/>
            </w:pPr>
            <w:r w:rsidRPr="00097EE4">
              <w:t>-$286</w:t>
            </w:r>
          </w:p>
        </w:tc>
      </w:tr>
      <w:tr w:rsidR="007F6723" w:rsidRPr="00097EE4" w14:paraId="0C222B38" w14:textId="77777777" w:rsidTr="00181CF8">
        <w:tc>
          <w:tcPr>
            <w:tcW w:w="2182" w:type="pct"/>
          </w:tcPr>
          <w:p w14:paraId="19ECA271" w14:textId="77777777" w:rsidR="007F6723" w:rsidRPr="00097EE4" w:rsidRDefault="007F6723" w:rsidP="00181CF8">
            <w:pPr>
              <w:pStyle w:val="Tabletextcentred"/>
              <w:keepNext/>
              <w:jc w:val="left"/>
            </w:pPr>
            <w:r w:rsidRPr="00097EE4">
              <w:t>Moderate AD – community-based, treated</w:t>
            </w:r>
          </w:p>
        </w:tc>
        <w:tc>
          <w:tcPr>
            <w:tcW w:w="939" w:type="pct"/>
          </w:tcPr>
          <w:p w14:paraId="26209195" w14:textId="77777777" w:rsidR="007F6723" w:rsidRPr="00097EE4" w:rsidRDefault="007F6723" w:rsidP="00181CF8">
            <w:pPr>
              <w:pStyle w:val="Tabletextcentred"/>
              <w:keepNext/>
              <w:jc w:val="right"/>
            </w:pPr>
            <w:r w:rsidRPr="00097EE4">
              <w:t>$4165</w:t>
            </w:r>
          </w:p>
        </w:tc>
        <w:tc>
          <w:tcPr>
            <w:tcW w:w="939" w:type="pct"/>
          </w:tcPr>
          <w:p w14:paraId="4A7DD460" w14:textId="77777777" w:rsidR="007F6723" w:rsidRPr="00097EE4" w:rsidRDefault="007F6723" w:rsidP="00181CF8">
            <w:pPr>
              <w:pStyle w:val="Tabletextcentred"/>
              <w:keepNext/>
              <w:jc w:val="right"/>
            </w:pPr>
            <w:r w:rsidRPr="00097EE4">
              <w:t>$4046</w:t>
            </w:r>
          </w:p>
        </w:tc>
        <w:tc>
          <w:tcPr>
            <w:tcW w:w="939" w:type="pct"/>
          </w:tcPr>
          <w:p w14:paraId="58493925" w14:textId="77777777" w:rsidR="007F6723" w:rsidRPr="00097EE4" w:rsidRDefault="007F6723" w:rsidP="00181CF8">
            <w:pPr>
              <w:pStyle w:val="Tabletextcentred"/>
              <w:keepNext/>
              <w:jc w:val="right"/>
            </w:pPr>
            <w:r w:rsidRPr="00097EE4">
              <w:t>$119</w:t>
            </w:r>
          </w:p>
        </w:tc>
      </w:tr>
      <w:tr w:rsidR="007F6723" w:rsidRPr="00097EE4" w14:paraId="33723A85" w14:textId="77777777" w:rsidTr="00181CF8">
        <w:tc>
          <w:tcPr>
            <w:tcW w:w="2182" w:type="pct"/>
          </w:tcPr>
          <w:p w14:paraId="15E0B09A" w14:textId="77777777" w:rsidR="007F6723" w:rsidRPr="00097EE4" w:rsidRDefault="007F6723" w:rsidP="00181CF8">
            <w:pPr>
              <w:pStyle w:val="Tabletextcentred"/>
              <w:keepNext/>
              <w:jc w:val="left"/>
            </w:pPr>
            <w:r w:rsidRPr="00097EE4">
              <w:t>Moderate AD – nursing home care, untreated</w:t>
            </w:r>
          </w:p>
        </w:tc>
        <w:tc>
          <w:tcPr>
            <w:tcW w:w="939" w:type="pct"/>
          </w:tcPr>
          <w:p w14:paraId="67E3D2B1" w14:textId="77777777" w:rsidR="007F6723" w:rsidRPr="00097EE4" w:rsidRDefault="007F6723" w:rsidP="00181CF8">
            <w:pPr>
              <w:pStyle w:val="Tabletextcentred"/>
              <w:keepNext/>
              <w:jc w:val="right"/>
            </w:pPr>
            <w:r w:rsidRPr="00097EE4">
              <w:t>$3064</w:t>
            </w:r>
          </w:p>
        </w:tc>
        <w:tc>
          <w:tcPr>
            <w:tcW w:w="939" w:type="pct"/>
          </w:tcPr>
          <w:p w14:paraId="2A16CCD5" w14:textId="77777777" w:rsidR="007F6723" w:rsidRPr="00097EE4" w:rsidRDefault="007F6723" w:rsidP="00181CF8">
            <w:pPr>
              <w:pStyle w:val="Tabletextcentred"/>
              <w:keepNext/>
              <w:jc w:val="right"/>
            </w:pPr>
            <w:r w:rsidRPr="00097EE4">
              <w:t>$3147</w:t>
            </w:r>
          </w:p>
        </w:tc>
        <w:tc>
          <w:tcPr>
            <w:tcW w:w="939" w:type="pct"/>
          </w:tcPr>
          <w:p w14:paraId="47BCDCDF" w14:textId="77777777" w:rsidR="007F6723" w:rsidRPr="00097EE4" w:rsidRDefault="007F6723" w:rsidP="00181CF8">
            <w:pPr>
              <w:pStyle w:val="Tabletextcentred"/>
              <w:keepNext/>
              <w:jc w:val="right"/>
            </w:pPr>
            <w:r w:rsidRPr="00097EE4">
              <w:t>-$83</w:t>
            </w:r>
          </w:p>
        </w:tc>
      </w:tr>
      <w:tr w:rsidR="007F6723" w:rsidRPr="00097EE4" w14:paraId="63A6FDC1" w14:textId="77777777" w:rsidTr="00181CF8">
        <w:tc>
          <w:tcPr>
            <w:tcW w:w="2182" w:type="pct"/>
          </w:tcPr>
          <w:p w14:paraId="403BBC2F" w14:textId="77777777" w:rsidR="007F6723" w:rsidRPr="00097EE4" w:rsidRDefault="007F6723" w:rsidP="00181CF8">
            <w:pPr>
              <w:pStyle w:val="Tabletextcentred"/>
              <w:keepNext/>
              <w:jc w:val="left"/>
            </w:pPr>
            <w:r w:rsidRPr="00097EE4">
              <w:t>Moderate AD – nursing home care, treated</w:t>
            </w:r>
          </w:p>
        </w:tc>
        <w:tc>
          <w:tcPr>
            <w:tcW w:w="939" w:type="pct"/>
          </w:tcPr>
          <w:p w14:paraId="4EAF35EF" w14:textId="77777777" w:rsidR="007F6723" w:rsidRPr="00097EE4" w:rsidRDefault="007F6723" w:rsidP="00181CF8">
            <w:pPr>
              <w:pStyle w:val="Tabletextcentred"/>
              <w:keepNext/>
              <w:jc w:val="right"/>
            </w:pPr>
            <w:r w:rsidRPr="00097EE4">
              <w:t>$1073</w:t>
            </w:r>
          </w:p>
        </w:tc>
        <w:tc>
          <w:tcPr>
            <w:tcW w:w="939" w:type="pct"/>
          </w:tcPr>
          <w:p w14:paraId="32B4EA04" w14:textId="77777777" w:rsidR="007F6723" w:rsidRPr="00097EE4" w:rsidRDefault="007F6723" w:rsidP="00181CF8">
            <w:pPr>
              <w:pStyle w:val="Tabletextcentred"/>
              <w:keepNext/>
              <w:jc w:val="right"/>
            </w:pPr>
            <w:r w:rsidRPr="00097EE4">
              <w:t>$1043</w:t>
            </w:r>
          </w:p>
        </w:tc>
        <w:tc>
          <w:tcPr>
            <w:tcW w:w="939" w:type="pct"/>
          </w:tcPr>
          <w:p w14:paraId="61826D46" w14:textId="77777777" w:rsidR="007F6723" w:rsidRPr="00097EE4" w:rsidRDefault="007F6723" w:rsidP="00181CF8">
            <w:pPr>
              <w:pStyle w:val="Tabletextcentred"/>
              <w:keepNext/>
              <w:jc w:val="right"/>
            </w:pPr>
            <w:r w:rsidRPr="00097EE4">
              <w:t>$30</w:t>
            </w:r>
          </w:p>
        </w:tc>
      </w:tr>
      <w:tr w:rsidR="007F6723" w:rsidRPr="00097EE4" w14:paraId="73281C0A" w14:textId="77777777" w:rsidTr="00181CF8">
        <w:tc>
          <w:tcPr>
            <w:tcW w:w="2182" w:type="pct"/>
          </w:tcPr>
          <w:p w14:paraId="1861C176" w14:textId="77777777" w:rsidR="007F6723" w:rsidRPr="00097EE4" w:rsidRDefault="007F6723" w:rsidP="00181CF8">
            <w:pPr>
              <w:pStyle w:val="Tabletextcentred"/>
              <w:keepNext/>
              <w:jc w:val="left"/>
            </w:pPr>
            <w:r w:rsidRPr="00097EE4">
              <w:t>Severe AD</w:t>
            </w:r>
          </w:p>
        </w:tc>
        <w:tc>
          <w:tcPr>
            <w:tcW w:w="939" w:type="pct"/>
          </w:tcPr>
          <w:p w14:paraId="7947985E" w14:textId="77777777" w:rsidR="007F6723" w:rsidRPr="00097EE4" w:rsidRDefault="007F6723" w:rsidP="00181CF8">
            <w:pPr>
              <w:pStyle w:val="Tabletextcentred"/>
              <w:keepNext/>
              <w:jc w:val="right"/>
            </w:pPr>
            <w:r w:rsidRPr="00097EE4">
              <w:t>$65,994</w:t>
            </w:r>
          </w:p>
        </w:tc>
        <w:tc>
          <w:tcPr>
            <w:tcW w:w="939" w:type="pct"/>
          </w:tcPr>
          <w:p w14:paraId="4AAD3972" w14:textId="77777777" w:rsidR="007F6723" w:rsidRPr="00097EE4" w:rsidRDefault="007F6723" w:rsidP="00181CF8">
            <w:pPr>
              <w:pStyle w:val="Tabletextcentred"/>
              <w:keepNext/>
              <w:jc w:val="right"/>
            </w:pPr>
            <w:r w:rsidRPr="00097EE4">
              <w:t>$67,219</w:t>
            </w:r>
          </w:p>
        </w:tc>
        <w:tc>
          <w:tcPr>
            <w:tcW w:w="939" w:type="pct"/>
          </w:tcPr>
          <w:p w14:paraId="7281A872" w14:textId="77777777" w:rsidR="007F6723" w:rsidRPr="00097EE4" w:rsidRDefault="007F6723" w:rsidP="00181CF8">
            <w:pPr>
              <w:pStyle w:val="Tabletextcentred"/>
              <w:keepNext/>
              <w:jc w:val="right"/>
            </w:pPr>
            <w:r w:rsidRPr="00097EE4">
              <w:t>-$1225</w:t>
            </w:r>
          </w:p>
        </w:tc>
      </w:tr>
      <w:tr w:rsidR="007F6723" w:rsidRPr="00097EE4" w14:paraId="4ECDF5A6" w14:textId="77777777" w:rsidTr="00181CF8">
        <w:tc>
          <w:tcPr>
            <w:tcW w:w="2182" w:type="pct"/>
          </w:tcPr>
          <w:p w14:paraId="64C8AAEF" w14:textId="77777777" w:rsidR="007F6723" w:rsidRPr="00097EE4" w:rsidRDefault="007F6723" w:rsidP="00181CF8">
            <w:pPr>
              <w:pStyle w:val="Tabletextcentred"/>
              <w:keepNext/>
              <w:jc w:val="left"/>
            </w:pPr>
            <w:r w:rsidRPr="00097EE4">
              <w:t>Dead</w:t>
            </w:r>
          </w:p>
        </w:tc>
        <w:tc>
          <w:tcPr>
            <w:tcW w:w="939" w:type="pct"/>
          </w:tcPr>
          <w:p w14:paraId="0152840C" w14:textId="77777777" w:rsidR="007F6723" w:rsidRPr="00097EE4" w:rsidRDefault="007F6723" w:rsidP="00181CF8">
            <w:pPr>
              <w:pStyle w:val="Tabletextcentred"/>
              <w:keepNext/>
              <w:jc w:val="right"/>
            </w:pPr>
            <w:r w:rsidRPr="00097EE4">
              <w:t>$0</w:t>
            </w:r>
          </w:p>
        </w:tc>
        <w:tc>
          <w:tcPr>
            <w:tcW w:w="939" w:type="pct"/>
          </w:tcPr>
          <w:p w14:paraId="55A05F14" w14:textId="77777777" w:rsidR="007F6723" w:rsidRPr="00097EE4" w:rsidRDefault="007F6723" w:rsidP="00181CF8">
            <w:pPr>
              <w:pStyle w:val="Tabletextcentred"/>
              <w:keepNext/>
              <w:jc w:val="right"/>
            </w:pPr>
            <w:r w:rsidRPr="00097EE4">
              <w:t>$0</w:t>
            </w:r>
          </w:p>
        </w:tc>
        <w:tc>
          <w:tcPr>
            <w:tcW w:w="939" w:type="pct"/>
          </w:tcPr>
          <w:p w14:paraId="046C6E3E" w14:textId="77777777" w:rsidR="007F6723" w:rsidRPr="00097EE4" w:rsidRDefault="007F6723" w:rsidP="00181CF8">
            <w:pPr>
              <w:pStyle w:val="Tabletextcentred"/>
              <w:keepNext/>
              <w:jc w:val="right"/>
            </w:pPr>
            <w:r w:rsidRPr="00097EE4">
              <w:t>$0</w:t>
            </w:r>
          </w:p>
        </w:tc>
      </w:tr>
    </w:tbl>
    <w:p w14:paraId="4E55B2D3" w14:textId="7517321B" w:rsidR="007F6723" w:rsidRPr="00097EE4" w:rsidRDefault="007F6723" w:rsidP="007F6723">
      <w:pPr>
        <w:pStyle w:val="Tablefootnotes"/>
      </w:pPr>
      <w:r w:rsidRPr="00097EE4">
        <w:t>Abbreviations: AD, Alzheimer’s disease; FDG-PET, flu</w:t>
      </w:r>
      <w:r w:rsidR="0038452F">
        <w:t>o</w:t>
      </w:r>
      <w:r w:rsidRPr="00097EE4">
        <w:t>rodeoxyglucose positron emission tomography; SPECT, single-photon emission tomography</w:t>
      </w:r>
    </w:p>
    <w:p w14:paraId="48BA3A78" w14:textId="4828DAD9" w:rsidR="007F6723" w:rsidRPr="00097EE4" w:rsidRDefault="007F6723" w:rsidP="007F6723">
      <w:r w:rsidRPr="00097EE4">
        <w:t xml:space="preserve">Over the five-year modelled period, diagnosis using FDG-PET is expected to cost $1160 less </w:t>
      </w:r>
      <w:r w:rsidR="0074610F">
        <w:t xml:space="preserve">per </w:t>
      </w:r>
      <w:r w:rsidRPr="00097EE4">
        <w:t xml:space="preserve">patient than diagnosis using SPECT. While there is an expected positive net cost associated with diagnostic testing and with increased use of AD medication due to better diagnostic accuracy, the cost difference is driven by larger downstream cost offsets associated with progression to severe AD. In particular, this is best understood as avoidance of the large nursing home care costs individuals incur in the severe AD health state. By avoiding/slowing progression to this health state (due to the effectiveness of AD drugs), there are large savings of $1225 per patient (discounted), which more than fully offset the additional costs of FDG-PET and the drug treatment in those additional patients with AD detected. </w:t>
      </w:r>
    </w:p>
    <w:p w14:paraId="2B61E410" w14:textId="77777777" w:rsidR="007F6723" w:rsidRPr="00097EE4" w:rsidRDefault="007F6723" w:rsidP="007F6723">
      <w:r w:rsidRPr="00097EE4">
        <w:t>If the analyses were confined to MBS costs only, FDG-PET would be associated with a positive incremental cost $312 per patient. If only PBS costs were considered, FDG-PET would be associated with a positive incremental cost of $21. The small positive cost differences here further serve to highlight the importance of the impact of downstream cost savings resulting from delayed progression to severe AD and the associated costs.</w:t>
      </w:r>
    </w:p>
    <w:p w14:paraId="657704D0" w14:textId="77777777" w:rsidR="007F6723" w:rsidRPr="00097EE4" w:rsidRDefault="007F6723" w:rsidP="007F6723">
      <w:pPr>
        <w:pStyle w:val="Heading3"/>
      </w:pPr>
      <w:bookmarkStart w:id="247" w:name="_Ref278810579"/>
      <w:r w:rsidRPr="00097EE4">
        <w:t>Disaggregated health outcomes</w:t>
      </w:r>
      <w:bookmarkEnd w:id="247"/>
    </w:p>
    <w:p w14:paraId="220098F3" w14:textId="7BFBC62C" w:rsidR="007F6723" w:rsidRPr="00097EE4" w:rsidRDefault="007F6723" w:rsidP="007F6723">
      <w:r w:rsidRPr="00097EE4">
        <w:t xml:space="preserve">Total average QALYs, inclusive of those associated with downstream events and treatments, following on from diagnosis with either FDG-PET or SPECT are presented in </w:t>
      </w:r>
      <w:r w:rsidRPr="00097EE4">
        <w:fldChar w:fldCharType="begin"/>
      </w:r>
      <w:r w:rsidRPr="00097EE4">
        <w:instrText xml:space="preserve"> REF _Ref278812743 \h </w:instrText>
      </w:r>
      <w:r>
        <w:instrText xml:space="preserve"> \* MERGEFORMAT </w:instrText>
      </w:r>
      <w:r w:rsidRPr="00097EE4">
        <w:fldChar w:fldCharType="separate"/>
      </w:r>
      <w:r w:rsidR="00C67698" w:rsidRPr="00097EE4">
        <w:t xml:space="preserve">Table </w:t>
      </w:r>
      <w:r w:rsidR="00C67698">
        <w:rPr>
          <w:noProof/>
        </w:rPr>
        <w:t>D.5</w:t>
      </w:r>
      <w:r w:rsidR="00C67698">
        <w:rPr>
          <w:noProof/>
        </w:rPr>
        <w:noBreakHyphen/>
        <w:t>2</w:t>
      </w:r>
      <w:r w:rsidRPr="00097EE4">
        <w:fldChar w:fldCharType="end"/>
      </w:r>
      <w:r w:rsidRPr="00097EE4">
        <w:t xml:space="preserve">. </w:t>
      </w:r>
    </w:p>
    <w:p w14:paraId="0BF85FA6" w14:textId="070EF4E9" w:rsidR="007F6723" w:rsidRPr="00097EE4" w:rsidRDefault="007F6723" w:rsidP="007F6723">
      <w:pPr>
        <w:pStyle w:val="Caption"/>
      </w:pPr>
      <w:bookmarkStart w:id="248" w:name="_Ref278812743"/>
      <w:bookmarkStart w:id="249" w:name="_Toc406172489"/>
      <w:bookmarkStart w:id="250" w:name="_Toc408845244"/>
      <w:r w:rsidRPr="00097EE4">
        <w:lastRenderedPageBreak/>
        <w:t xml:space="preserve">Table </w:t>
      </w:r>
      <w:fldSimple w:instr=" STYLEREF 2 \s ">
        <w:r w:rsidR="00C67698">
          <w:rPr>
            <w:noProof/>
          </w:rPr>
          <w:t>D.5</w:t>
        </w:r>
      </w:fldSimple>
      <w:r w:rsidR="00524916">
        <w:noBreakHyphen/>
      </w:r>
      <w:fldSimple w:instr=" SEQ Table \* ARABIC \s 2 ">
        <w:r w:rsidR="00C67698">
          <w:rPr>
            <w:noProof/>
          </w:rPr>
          <w:t>2</w:t>
        </w:r>
      </w:fldSimple>
      <w:bookmarkEnd w:id="248"/>
      <w:r w:rsidRPr="00097EE4">
        <w:tab/>
        <w:t xml:space="preserve">Disaggregated </w:t>
      </w:r>
      <w:r w:rsidR="00190CC9">
        <w:t>QALY</w:t>
      </w:r>
      <w:r w:rsidRPr="00097EE4">
        <w:t xml:space="preserve"> results of the economic evaluation</w:t>
      </w:r>
      <w:bookmarkEnd w:id="249"/>
      <w:bookmarkEnd w:id="250"/>
    </w:p>
    <w:tbl>
      <w:tblPr>
        <w:tblStyle w:val="TableGrid"/>
        <w:tblW w:w="4610" w:type="pct"/>
        <w:tblInd w:w="704" w:type="dxa"/>
        <w:tblLook w:val="04A0" w:firstRow="1" w:lastRow="0" w:firstColumn="1" w:lastColumn="0" w:noHBand="0" w:noVBand="1"/>
        <w:tblCaption w:val="Disaggregated QALY results of the economic evaluation"/>
        <w:tblDescription w:val="QALY results according to health state"/>
      </w:tblPr>
      <w:tblGrid>
        <w:gridCol w:w="3779"/>
        <w:gridCol w:w="1581"/>
        <w:gridCol w:w="1580"/>
        <w:gridCol w:w="1581"/>
      </w:tblGrid>
      <w:tr w:rsidR="007F6723" w:rsidRPr="00097EE4" w14:paraId="70259455" w14:textId="77777777" w:rsidTr="00181CF8">
        <w:trPr>
          <w:tblHeader/>
        </w:trPr>
        <w:tc>
          <w:tcPr>
            <w:tcW w:w="2217" w:type="pct"/>
          </w:tcPr>
          <w:p w14:paraId="527A0DB7" w14:textId="77777777" w:rsidR="007F6723" w:rsidRPr="00097EE4" w:rsidRDefault="007F6723" w:rsidP="00181CF8">
            <w:pPr>
              <w:pStyle w:val="Tabletextboldleft"/>
            </w:pPr>
            <w:r w:rsidRPr="00097EE4">
              <w:t>Health state</w:t>
            </w:r>
          </w:p>
        </w:tc>
        <w:tc>
          <w:tcPr>
            <w:tcW w:w="927" w:type="pct"/>
          </w:tcPr>
          <w:p w14:paraId="2F6CF7FA" w14:textId="77777777" w:rsidR="007F6723" w:rsidRPr="00097EE4" w:rsidRDefault="007F6723" w:rsidP="00181CF8">
            <w:pPr>
              <w:pStyle w:val="Tabletextboldleft"/>
              <w:jc w:val="right"/>
            </w:pPr>
            <w:r w:rsidRPr="00097EE4">
              <w:t>FDG-PET arm</w:t>
            </w:r>
          </w:p>
        </w:tc>
        <w:tc>
          <w:tcPr>
            <w:tcW w:w="927" w:type="pct"/>
          </w:tcPr>
          <w:p w14:paraId="02720B24" w14:textId="77777777" w:rsidR="007F6723" w:rsidRPr="00097EE4" w:rsidRDefault="007F6723" w:rsidP="00181CF8">
            <w:pPr>
              <w:pStyle w:val="Tabletextboldleft"/>
              <w:jc w:val="right"/>
            </w:pPr>
            <w:r w:rsidRPr="00097EE4">
              <w:t>SPECT arm</w:t>
            </w:r>
          </w:p>
        </w:tc>
        <w:tc>
          <w:tcPr>
            <w:tcW w:w="928" w:type="pct"/>
          </w:tcPr>
          <w:p w14:paraId="6C2204F8" w14:textId="77777777" w:rsidR="007F6723" w:rsidRPr="00097EE4" w:rsidRDefault="007F6723" w:rsidP="00181CF8">
            <w:pPr>
              <w:pStyle w:val="Tabletextboldleft"/>
              <w:jc w:val="right"/>
            </w:pPr>
            <w:r w:rsidRPr="00097EE4">
              <w:t>Incremental</w:t>
            </w:r>
          </w:p>
        </w:tc>
      </w:tr>
      <w:tr w:rsidR="007F6723" w:rsidRPr="00097EE4" w14:paraId="020F466D" w14:textId="77777777" w:rsidTr="00181CF8">
        <w:tc>
          <w:tcPr>
            <w:tcW w:w="2217" w:type="pct"/>
          </w:tcPr>
          <w:p w14:paraId="6CB8638F" w14:textId="77777777" w:rsidR="007F6723" w:rsidRPr="00097EE4" w:rsidRDefault="007F6723" w:rsidP="00181CF8">
            <w:pPr>
              <w:pStyle w:val="Tabletextcentred"/>
              <w:keepNext/>
              <w:jc w:val="left"/>
            </w:pPr>
            <w:r w:rsidRPr="00097EE4">
              <w:t>Diagnostic testing</w:t>
            </w:r>
          </w:p>
        </w:tc>
        <w:tc>
          <w:tcPr>
            <w:tcW w:w="927" w:type="pct"/>
          </w:tcPr>
          <w:p w14:paraId="78D04754" w14:textId="77777777" w:rsidR="007F6723" w:rsidRPr="00097EE4" w:rsidRDefault="007F6723" w:rsidP="00181CF8">
            <w:pPr>
              <w:pStyle w:val="Tabletextcentred"/>
              <w:keepNext/>
              <w:jc w:val="right"/>
            </w:pPr>
            <w:r w:rsidRPr="00097EE4">
              <w:t>0.04</w:t>
            </w:r>
          </w:p>
        </w:tc>
        <w:tc>
          <w:tcPr>
            <w:tcW w:w="927" w:type="pct"/>
          </w:tcPr>
          <w:p w14:paraId="694D4E62" w14:textId="77777777" w:rsidR="007F6723" w:rsidRPr="00097EE4" w:rsidRDefault="007F6723" w:rsidP="00181CF8">
            <w:pPr>
              <w:pStyle w:val="Tabletextcentred"/>
              <w:keepNext/>
              <w:jc w:val="right"/>
            </w:pPr>
            <w:r w:rsidRPr="00097EE4">
              <w:t>0.04</w:t>
            </w:r>
          </w:p>
        </w:tc>
        <w:tc>
          <w:tcPr>
            <w:tcW w:w="928" w:type="pct"/>
          </w:tcPr>
          <w:p w14:paraId="55C502F5" w14:textId="77777777" w:rsidR="007F6723" w:rsidRPr="00097EE4" w:rsidRDefault="007F6723" w:rsidP="00181CF8">
            <w:pPr>
              <w:pStyle w:val="Tabletextcentred"/>
              <w:keepNext/>
              <w:jc w:val="right"/>
            </w:pPr>
            <w:r w:rsidRPr="00097EE4">
              <w:t>0.00</w:t>
            </w:r>
          </w:p>
        </w:tc>
      </w:tr>
      <w:tr w:rsidR="007F6723" w:rsidRPr="00097EE4" w14:paraId="462A6FED" w14:textId="77777777" w:rsidTr="00181CF8">
        <w:tc>
          <w:tcPr>
            <w:tcW w:w="2217" w:type="pct"/>
          </w:tcPr>
          <w:p w14:paraId="1F0D79C6" w14:textId="02FB4859" w:rsidR="007F6723" w:rsidRPr="00097EE4" w:rsidRDefault="007F6723" w:rsidP="00181CF8">
            <w:pPr>
              <w:pStyle w:val="Tabletextcentred"/>
              <w:keepNext/>
              <w:jc w:val="left"/>
            </w:pPr>
            <w:r w:rsidRPr="00097EE4">
              <w:t>No AD – community</w:t>
            </w:r>
            <w:r w:rsidR="000E05F2">
              <w:t>-</w:t>
            </w:r>
            <w:r w:rsidRPr="00097EE4">
              <w:t>based, untreated</w:t>
            </w:r>
          </w:p>
        </w:tc>
        <w:tc>
          <w:tcPr>
            <w:tcW w:w="927" w:type="pct"/>
          </w:tcPr>
          <w:p w14:paraId="630560EB" w14:textId="77777777" w:rsidR="007F6723" w:rsidRPr="00097EE4" w:rsidRDefault="007F6723" w:rsidP="00181CF8">
            <w:pPr>
              <w:pStyle w:val="Tabletextcentred"/>
              <w:keepNext/>
              <w:jc w:val="right"/>
            </w:pPr>
            <w:r w:rsidRPr="00097EE4">
              <w:t>0.78</w:t>
            </w:r>
          </w:p>
        </w:tc>
        <w:tc>
          <w:tcPr>
            <w:tcW w:w="927" w:type="pct"/>
          </w:tcPr>
          <w:p w14:paraId="60640CDB" w14:textId="77777777" w:rsidR="007F6723" w:rsidRPr="00097EE4" w:rsidRDefault="007F6723" w:rsidP="00181CF8">
            <w:pPr>
              <w:pStyle w:val="Tabletextcentred"/>
              <w:keepNext/>
              <w:jc w:val="right"/>
            </w:pPr>
            <w:r w:rsidRPr="00097EE4">
              <w:t>0.74</w:t>
            </w:r>
          </w:p>
        </w:tc>
        <w:tc>
          <w:tcPr>
            <w:tcW w:w="928" w:type="pct"/>
          </w:tcPr>
          <w:p w14:paraId="794E2691" w14:textId="77777777" w:rsidR="007F6723" w:rsidRPr="00097EE4" w:rsidRDefault="007F6723" w:rsidP="00181CF8">
            <w:pPr>
              <w:pStyle w:val="Tabletextcentred"/>
              <w:keepNext/>
              <w:jc w:val="right"/>
            </w:pPr>
            <w:r w:rsidRPr="00097EE4">
              <w:t>0.04</w:t>
            </w:r>
          </w:p>
        </w:tc>
      </w:tr>
      <w:tr w:rsidR="007F6723" w:rsidRPr="00097EE4" w14:paraId="196C9034" w14:textId="77777777" w:rsidTr="00181CF8">
        <w:tc>
          <w:tcPr>
            <w:tcW w:w="2217" w:type="pct"/>
          </w:tcPr>
          <w:p w14:paraId="6514BCA0" w14:textId="77777777" w:rsidR="007F6723" w:rsidRPr="00097EE4" w:rsidRDefault="007F6723" w:rsidP="00181CF8">
            <w:pPr>
              <w:pStyle w:val="Tabletextcentred"/>
              <w:keepNext/>
              <w:jc w:val="left"/>
            </w:pPr>
            <w:r w:rsidRPr="00097EE4">
              <w:t>Mild AD – community-based, untreated</w:t>
            </w:r>
          </w:p>
        </w:tc>
        <w:tc>
          <w:tcPr>
            <w:tcW w:w="927" w:type="pct"/>
          </w:tcPr>
          <w:p w14:paraId="679524AF" w14:textId="77777777" w:rsidR="007F6723" w:rsidRPr="00097EE4" w:rsidRDefault="007F6723" w:rsidP="00181CF8">
            <w:pPr>
              <w:pStyle w:val="Tabletextcentred"/>
              <w:keepNext/>
              <w:jc w:val="right"/>
            </w:pPr>
            <w:r w:rsidRPr="00097EE4">
              <w:t>0.36</w:t>
            </w:r>
          </w:p>
        </w:tc>
        <w:tc>
          <w:tcPr>
            <w:tcW w:w="927" w:type="pct"/>
          </w:tcPr>
          <w:p w14:paraId="5FAD3041" w14:textId="77777777" w:rsidR="007F6723" w:rsidRPr="00097EE4" w:rsidRDefault="007F6723" w:rsidP="00181CF8">
            <w:pPr>
              <w:pStyle w:val="Tabletextcentred"/>
              <w:keepNext/>
              <w:jc w:val="right"/>
            </w:pPr>
            <w:r w:rsidRPr="00097EE4">
              <w:t>0.37</w:t>
            </w:r>
          </w:p>
        </w:tc>
        <w:tc>
          <w:tcPr>
            <w:tcW w:w="928" w:type="pct"/>
          </w:tcPr>
          <w:p w14:paraId="12210FEC" w14:textId="77777777" w:rsidR="007F6723" w:rsidRPr="00097EE4" w:rsidRDefault="007F6723" w:rsidP="00181CF8">
            <w:pPr>
              <w:pStyle w:val="Tabletextcentred"/>
              <w:keepNext/>
              <w:jc w:val="right"/>
            </w:pPr>
            <w:r w:rsidRPr="00097EE4">
              <w:t>-0.01</w:t>
            </w:r>
          </w:p>
        </w:tc>
      </w:tr>
      <w:tr w:rsidR="007F6723" w:rsidRPr="00097EE4" w14:paraId="58CE3DEB" w14:textId="77777777" w:rsidTr="00181CF8">
        <w:tc>
          <w:tcPr>
            <w:tcW w:w="2217" w:type="pct"/>
          </w:tcPr>
          <w:p w14:paraId="74E4C898" w14:textId="77777777" w:rsidR="007F6723" w:rsidRPr="00097EE4" w:rsidRDefault="007F6723" w:rsidP="00181CF8">
            <w:pPr>
              <w:pStyle w:val="Tabletextcentred"/>
              <w:keepNext/>
              <w:jc w:val="left"/>
            </w:pPr>
            <w:r w:rsidRPr="00097EE4">
              <w:t>Mild AD – community-based, treated</w:t>
            </w:r>
          </w:p>
        </w:tc>
        <w:tc>
          <w:tcPr>
            <w:tcW w:w="927" w:type="pct"/>
          </w:tcPr>
          <w:p w14:paraId="07F067C8" w14:textId="77777777" w:rsidR="007F6723" w:rsidRPr="00097EE4" w:rsidRDefault="007F6723" w:rsidP="00181CF8">
            <w:pPr>
              <w:pStyle w:val="Tabletextcentred"/>
              <w:keepNext/>
              <w:jc w:val="right"/>
            </w:pPr>
            <w:r w:rsidRPr="00097EE4">
              <w:t>0.30</w:t>
            </w:r>
          </w:p>
        </w:tc>
        <w:tc>
          <w:tcPr>
            <w:tcW w:w="927" w:type="pct"/>
          </w:tcPr>
          <w:p w14:paraId="2CCA212D" w14:textId="77777777" w:rsidR="007F6723" w:rsidRPr="00097EE4" w:rsidRDefault="007F6723" w:rsidP="00181CF8">
            <w:pPr>
              <w:pStyle w:val="Tabletextcentred"/>
              <w:keepNext/>
              <w:jc w:val="right"/>
            </w:pPr>
            <w:r w:rsidRPr="00097EE4">
              <w:t>0.29</w:t>
            </w:r>
          </w:p>
        </w:tc>
        <w:tc>
          <w:tcPr>
            <w:tcW w:w="928" w:type="pct"/>
          </w:tcPr>
          <w:p w14:paraId="616773B1" w14:textId="77777777" w:rsidR="007F6723" w:rsidRPr="00097EE4" w:rsidRDefault="007F6723" w:rsidP="00181CF8">
            <w:pPr>
              <w:pStyle w:val="Tabletextcentred"/>
              <w:keepNext/>
              <w:jc w:val="right"/>
            </w:pPr>
            <w:r w:rsidRPr="00097EE4">
              <w:t>0.01</w:t>
            </w:r>
          </w:p>
        </w:tc>
      </w:tr>
      <w:tr w:rsidR="007F6723" w:rsidRPr="00097EE4" w14:paraId="1F227EC9" w14:textId="77777777" w:rsidTr="00181CF8">
        <w:tc>
          <w:tcPr>
            <w:tcW w:w="2217" w:type="pct"/>
          </w:tcPr>
          <w:p w14:paraId="7B2A3A6E" w14:textId="77777777" w:rsidR="007F6723" w:rsidRPr="00097EE4" w:rsidRDefault="007F6723" w:rsidP="00181CF8">
            <w:pPr>
              <w:pStyle w:val="Tabletextcentred"/>
              <w:keepNext/>
              <w:jc w:val="left"/>
            </w:pPr>
            <w:r w:rsidRPr="00097EE4">
              <w:t>Mild AD – nursing home care, untreated</w:t>
            </w:r>
          </w:p>
        </w:tc>
        <w:tc>
          <w:tcPr>
            <w:tcW w:w="927" w:type="pct"/>
          </w:tcPr>
          <w:p w14:paraId="1E109AE7" w14:textId="77777777" w:rsidR="007F6723" w:rsidRPr="00097EE4" w:rsidRDefault="007F6723" w:rsidP="00181CF8">
            <w:pPr>
              <w:pStyle w:val="Tabletextcentred"/>
              <w:keepNext/>
              <w:jc w:val="right"/>
            </w:pPr>
            <w:r w:rsidRPr="00097EE4">
              <w:t>0.01</w:t>
            </w:r>
          </w:p>
        </w:tc>
        <w:tc>
          <w:tcPr>
            <w:tcW w:w="927" w:type="pct"/>
          </w:tcPr>
          <w:p w14:paraId="7E135D04" w14:textId="77777777" w:rsidR="007F6723" w:rsidRPr="00097EE4" w:rsidRDefault="007F6723" w:rsidP="00181CF8">
            <w:pPr>
              <w:pStyle w:val="Tabletextcentred"/>
              <w:keepNext/>
              <w:jc w:val="right"/>
            </w:pPr>
            <w:r w:rsidRPr="00097EE4">
              <w:t>0.01</w:t>
            </w:r>
          </w:p>
        </w:tc>
        <w:tc>
          <w:tcPr>
            <w:tcW w:w="928" w:type="pct"/>
          </w:tcPr>
          <w:p w14:paraId="47E45F22" w14:textId="77777777" w:rsidR="007F6723" w:rsidRPr="00097EE4" w:rsidRDefault="007F6723" w:rsidP="00181CF8">
            <w:pPr>
              <w:pStyle w:val="Tabletextcentred"/>
              <w:keepNext/>
              <w:jc w:val="right"/>
            </w:pPr>
            <w:r w:rsidRPr="00097EE4">
              <w:t>0.00</w:t>
            </w:r>
          </w:p>
        </w:tc>
      </w:tr>
      <w:tr w:rsidR="007F6723" w:rsidRPr="00097EE4" w14:paraId="49C1E364" w14:textId="77777777" w:rsidTr="00181CF8">
        <w:tc>
          <w:tcPr>
            <w:tcW w:w="2217" w:type="pct"/>
          </w:tcPr>
          <w:p w14:paraId="096699EC" w14:textId="77777777" w:rsidR="007F6723" w:rsidRPr="00097EE4" w:rsidRDefault="007F6723" w:rsidP="00181CF8">
            <w:pPr>
              <w:pStyle w:val="Tabletextcentred"/>
              <w:keepNext/>
              <w:jc w:val="left"/>
              <w:rPr>
                <w:vertAlign w:val="superscript"/>
              </w:rPr>
            </w:pPr>
            <w:r w:rsidRPr="00097EE4">
              <w:t>Mild AD – nursing home care, treated</w:t>
            </w:r>
          </w:p>
        </w:tc>
        <w:tc>
          <w:tcPr>
            <w:tcW w:w="927" w:type="pct"/>
          </w:tcPr>
          <w:p w14:paraId="402BAF5A" w14:textId="77777777" w:rsidR="007F6723" w:rsidRPr="00097EE4" w:rsidRDefault="007F6723" w:rsidP="00181CF8">
            <w:pPr>
              <w:pStyle w:val="Tabletextcentred"/>
              <w:keepNext/>
              <w:jc w:val="right"/>
            </w:pPr>
            <w:r w:rsidRPr="00097EE4">
              <w:t>0.01</w:t>
            </w:r>
          </w:p>
        </w:tc>
        <w:tc>
          <w:tcPr>
            <w:tcW w:w="927" w:type="pct"/>
          </w:tcPr>
          <w:p w14:paraId="66F2E782" w14:textId="77777777" w:rsidR="007F6723" w:rsidRPr="00097EE4" w:rsidRDefault="007F6723" w:rsidP="00181CF8">
            <w:pPr>
              <w:pStyle w:val="Tabletextcentred"/>
              <w:keepNext/>
              <w:jc w:val="right"/>
            </w:pPr>
            <w:r w:rsidRPr="00097EE4">
              <w:t>0.01</w:t>
            </w:r>
          </w:p>
        </w:tc>
        <w:tc>
          <w:tcPr>
            <w:tcW w:w="928" w:type="pct"/>
          </w:tcPr>
          <w:p w14:paraId="0FA861F0" w14:textId="77777777" w:rsidR="007F6723" w:rsidRPr="00097EE4" w:rsidRDefault="007F6723" w:rsidP="00181CF8">
            <w:pPr>
              <w:pStyle w:val="Tabletextcentred"/>
              <w:keepNext/>
              <w:jc w:val="right"/>
            </w:pPr>
            <w:r w:rsidRPr="00097EE4">
              <w:t>0.00</w:t>
            </w:r>
          </w:p>
        </w:tc>
      </w:tr>
      <w:tr w:rsidR="007F6723" w:rsidRPr="00097EE4" w14:paraId="0CC776CD" w14:textId="77777777" w:rsidTr="00181CF8">
        <w:tc>
          <w:tcPr>
            <w:tcW w:w="2217" w:type="pct"/>
          </w:tcPr>
          <w:p w14:paraId="2E3D5DCD" w14:textId="77777777" w:rsidR="007F6723" w:rsidRPr="00097EE4" w:rsidRDefault="007F6723" w:rsidP="00181CF8">
            <w:pPr>
              <w:pStyle w:val="Tabletextcentred"/>
              <w:keepNext/>
              <w:jc w:val="left"/>
            </w:pPr>
            <w:r w:rsidRPr="00097EE4">
              <w:t>Moderate AD – community-based, untreated</w:t>
            </w:r>
          </w:p>
        </w:tc>
        <w:tc>
          <w:tcPr>
            <w:tcW w:w="927" w:type="pct"/>
          </w:tcPr>
          <w:p w14:paraId="03445F96" w14:textId="77777777" w:rsidR="007F6723" w:rsidRPr="00097EE4" w:rsidRDefault="007F6723" w:rsidP="00181CF8">
            <w:pPr>
              <w:pStyle w:val="Tabletextcentred"/>
              <w:keepNext/>
              <w:jc w:val="right"/>
            </w:pPr>
            <w:r w:rsidRPr="00097EE4">
              <w:t>0.33</w:t>
            </w:r>
          </w:p>
        </w:tc>
        <w:tc>
          <w:tcPr>
            <w:tcW w:w="927" w:type="pct"/>
          </w:tcPr>
          <w:p w14:paraId="7113B65C" w14:textId="77777777" w:rsidR="007F6723" w:rsidRPr="00097EE4" w:rsidRDefault="007F6723" w:rsidP="00181CF8">
            <w:pPr>
              <w:pStyle w:val="Tabletextcentred"/>
              <w:keepNext/>
              <w:jc w:val="right"/>
            </w:pPr>
            <w:r w:rsidRPr="00097EE4">
              <w:t>0.35</w:t>
            </w:r>
          </w:p>
        </w:tc>
        <w:tc>
          <w:tcPr>
            <w:tcW w:w="928" w:type="pct"/>
          </w:tcPr>
          <w:p w14:paraId="1C47E275" w14:textId="77777777" w:rsidR="007F6723" w:rsidRPr="00097EE4" w:rsidRDefault="007F6723" w:rsidP="00181CF8">
            <w:pPr>
              <w:pStyle w:val="Tabletextcentred"/>
              <w:keepNext/>
              <w:jc w:val="right"/>
            </w:pPr>
            <w:r w:rsidRPr="00097EE4">
              <w:t>-0.01</w:t>
            </w:r>
          </w:p>
        </w:tc>
      </w:tr>
      <w:tr w:rsidR="007F6723" w:rsidRPr="00097EE4" w14:paraId="1F9B5B66" w14:textId="77777777" w:rsidTr="00181CF8">
        <w:tc>
          <w:tcPr>
            <w:tcW w:w="2217" w:type="pct"/>
          </w:tcPr>
          <w:p w14:paraId="5B255736" w14:textId="77777777" w:rsidR="007F6723" w:rsidRPr="00097EE4" w:rsidRDefault="007F6723" w:rsidP="00181CF8">
            <w:pPr>
              <w:pStyle w:val="Tabletextcentred"/>
              <w:keepNext/>
              <w:jc w:val="left"/>
            </w:pPr>
            <w:r w:rsidRPr="00097EE4">
              <w:t>Moderate AD – community-based, treated</w:t>
            </w:r>
          </w:p>
        </w:tc>
        <w:tc>
          <w:tcPr>
            <w:tcW w:w="927" w:type="pct"/>
          </w:tcPr>
          <w:p w14:paraId="428F8A0F" w14:textId="77777777" w:rsidR="007F6723" w:rsidRPr="00097EE4" w:rsidRDefault="007F6723" w:rsidP="00181CF8">
            <w:pPr>
              <w:pStyle w:val="Tabletextcentred"/>
              <w:keepNext/>
              <w:jc w:val="right"/>
            </w:pPr>
            <w:r w:rsidRPr="00097EE4">
              <w:t>0.15</w:t>
            </w:r>
          </w:p>
        </w:tc>
        <w:tc>
          <w:tcPr>
            <w:tcW w:w="927" w:type="pct"/>
          </w:tcPr>
          <w:p w14:paraId="17B03A51" w14:textId="77777777" w:rsidR="007F6723" w:rsidRPr="00097EE4" w:rsidRDefault="007F6723" w:rsidP="00181CF8">
            <w:pPr>
              <w:pStyle w:val="Tabletextcentred"/>
              <w:keepNext/>
              <w:jc w:val="right"/>
            </w:pPr>
            <w:r w:rsidRPr="00097EE4">
              <w:t>0.15</w:t>
            </w:r>
          </w:p>
        </w:tc>
        <w:tc>
          <w:tcPr>
            <w:tcW w:w="928" w:type="pct"/>
          </w:tcPr>
          <w:p w14:paraId="5EB9F93C" w14:textId="77777777" w:rsidR="007F6723" w:rsidRPr="00097EE4" w:rsidRDefault="007F6723" w:rsidP="00181CF8">
            <w:pPr>
              <w:pStyle w:val="Tabletextcentred"/>
              <w:keepNext/>
              <w:jc w:val="right"/>
            </w:pPr>
            <w:r w:rsidRPr="00097EE4">
              <w:t>0.00</w:t>
            </w:r>
          </w:p>
        </w:tc>
      </w:tr>
      <w:tr w:rsidR="007F6723" w:rsidRPr="00097EE4" w14:paraId="5CE51879" w14:textId="77777777" w:rsidTr="00181CF8">
        <w:tc>
          <w:tcPr>
            <w:tcW w:w="2217" w:type="pct"/>
          </w:tcPr>
          <w:p w14:paraId="260E2169" w14:textId="77777777" w:rsidR="007F6723" w:rsidRPr="00097EE4" w:rsidRDefault="007F6723" w:rsidP="00181CF8">
            <w:pPr>
              <w:pStyle w:val="Tabletextcentred"/>
              <w:keepNext/>
              <w:jc w:val="left"/>
            </w:pPr>
            <w:r w:rsidRPr="00097EE4">
              <w:t>Moderate AD – nursing home care, untreated</w:t>
            </w:r>
          </w:p>
        </w:tc>
        <w:tc>
          <w:tcPr>
            <w:tcW w:w="927" w:type="pct"/>
          </w:tcPr>
          <w:p w14:paraId="07248C52" w14:textId="77777777" w:rsidR="007F6723" w:rsidRPr="00097EE4" w:rsidRDefault="007F6723" w:rsidP="00181CF8">
            <w:pPr>
              <w:pStyle w:val="Tabletextcentred"/>
              <w:keepNext/>
              <w:jc w:val="right"/>
            </w:pPr>
            <w:r w:rsidRPr="00097EE4">
              <w:t>0.05</w:t>
            </w:r>
          </w:p>
        </w:tc>
        <w:tc>
          <w:tcPr>
            <w:tcW w:w="927" w:type="pct"/>
          </w:tcPr>
          <w:p w14:paraId="2027CABB" w14:textId="77777777" w:rsidR="007F6723" w:rsidRPr="00097EE4" w:rsidRDefault="007F6723" w:rsidP="00181CF8">
            <w:pPr>
              <w:pStyle w:val="Tabletextcentred"/>
              <w:keepNext/>
              <w:jc w:val="right"/>
            </w:pPr>
            <w:r w:rsidRPr="00097EE4">
              <w:t>0.05</w:t>
            </w:r>
          </w:p>
        </w:tc>
        <w:tc>
          <w:tcPr>
            <w:tcW w:w="928" w:type="pct"/>
          </w:tcPr>
          <w:p w14:paraId="31993077" w14:textId="77777777" w:rsidR="007F6723" w:rsidRPr="00097EE4" w:rsidRDefault="007F6723" w:rsidP="00181CF8">
            <w:pPr>
              <w:pStyle w:val="Tabletextcentred"/>
              <w:keepNext/>
              <w:jc w:val="right"/>
            </w:pPr>
            <w:r w:rsidRPr="00097EE4">
              <w:t>0.00</w:t>
            </w:r>
          </w:p>
        </w:tc>
      </w:tr>
      <w:tr w:rsidR="007F6723" w:rsidRPr="00097EE4" w14:paraId="6D5FF0F9" w14:textId="77777777" w:rsidTr="00181CF8">
        <w:tc>
          <w:tcPr>
            <w:tcW w:w="2217" w:type="pct"/>
          </w:tcPr>
          <w:p w14:paraId="5BE8D297" w14:textId="77777777" w:rsidR="007F6723" w:rsidRPr="00097EE4" w:rsidRDefault="007F6723" w:rsidP="00181CF8">
            <w:pPr>
              <w:pStyle w:val="Tabletextcentred"/>
              <w:keepNext/>
              <w:jc w:val="left"/>
            </w:pPr>
            <w:r w:rsidRPr="00097EE4">
              <w:t>Moderate AD – nursing home care, treated</w:t>
            </w:r>
          </w:p>
        </w:tc>
        <w:tc>
          <w:tcPr>
            <w:tcW w:w="927" w:type="pct"/>
          </w:tcPr>
          <w:p w14:paraId="0DE3D5A2" w14:textId="77777777" w:rsidR="007F6723" w:rsidRPr="00097EE4" w:rsidRDefault="007F6723" w:rsidP="00181CF8">
            <w:pPr>
              <w:pStyle w:val="Tabletextcentred"/>
              <w:keepNext/>
              <w:jc w:val="right"/>
            </w:pPr>
            <w:r w:rsidRPr="00097EE4">
              <w:t>0.02</w:t>
            </w:r>
          </w:p>
        </w:tc>
        <w:tc>
          <w:tcPr>
            <w:tcW w:w="927" w:type="pct"/>
          </w:tcPr>
          <w:p w14:paraId="7887551B" w14:textId="77777777" w:rsidR="007F6723" w:rsidRPr="00097EE4" w:rsidRDefault="007F6723" w:rsidP="00181CF8">
            <w:pPr>
              <w:pStyle w:val="Tabletextcentred"/>
              <w:keepNext/>
              <w:jc w:val="right"/>
            </w:pPr>
            <w:r w:rsidRPr="00097EE4">
              <w:t>0.02</w:t>
            </w:r>
          </w:p>
        </w:tc>
        <w:tc>
          <w:tcPr>
            <w:tcW w:w="928" w:type="pct"/>
          </w:tcPr>
          <w:p w14:paraId="7AD8E1EB" w14:textId="77777777" w:rsidR="007F6723" w:rsidRPr="00097EE4" w:rsidRDefault="007F6723" w:rsidP="00181CF8">
            <w:pPr>
              <w:pStyle w:val="Tabletextcentred"/>
              <w:keepNext/>
              <w:jc w:val="right"/>
            </w:pPr>
            <w:r w:rsidRPr="00097EE4">
              <w:t>0.00</w:t>
            </w:r>
          </w:p>
        </w:tc>
      </w:tr>
      <w:tr w:rsidR="007F6723" w:rsidRPr="00097EE4" w14:paraId="1C77F129" w14:textId="77777777" w:rsidTr="00181CF8">
        <w:tc>
          <w:tcPr>
            <w:tcW w:w="2217" w:type="pct"/>
          </w:tcPr>
          <w:p w14:paraId="14AC835C" w14:textId="77777777" w:rsidR="007F6723" w:rsidRPr="00097EE4" w:rsidRDefault="007F6723" w:rsidP="00181CF8">
            <w:pPr>
              <w:pStyle w:val="Tabletextcentred"/>
              <w:keepNext/>
              <w:jc w:val="left"/>
            </w:pPr>
            <w:r w:rsidRPr="00097EE4">
              <w:t>Severe AD</w:t>
            </w:r>
          </w:p>
        </w:tc>
        <w:tc>
          <w:tcPr>
            <w:tcW w:w="927" w:type="pct"/>
          </w:tcPr>
          <w:p w14:paraId="3938207C" w14:textId="77777777" w:rsidR="007F6723" w:rsidRPr="00097EE4" w:rsidRDefault="007F6723" w:rsidP="00181CF8">
            <w:pPr>
              <w:pStyle w:val="Tabletextcentred"/>
              <w:keepNext/>
              <w:jc w:val="right"/>
            </w:pPr>
            <w:r w:rsidRPr="00097EE4">
              <w:t>0.37</w:t>
            </w:r>
          </w:p>
        </w:tc>
        <w:tc>
          <w:tcPr>
            <w:tcW w:w="927" w:type="pct"/>
          </w:tcPr>
          <w:p w14:paraId="39431A80" w14:textId="77777777" w:rsidR="007F6723" w:rsidRPr="00097EE4" w:rsidRDefault="007F6723" w:rsidP="00181CF8">
            <w:pPr>
              <w:pStyle w:val="Tabletextcentred"/>
              <w:keepNext/>
              <w:jc w:val="right"/>
            </w:pPr>
            <w:r w:rsidRPr="00097EE4">
              <w:t>0.37</w:t>
            </w:r>
          </w:p>
        </w:tc>
        <w:tc>
          <w:tcPr>
            <w:tcW w:w="928" w:type="pct"/>
          </w:tcPr>
          <w:p w14:paraId="5E5C7817" w14:textId="77777777" w:rsidR="007F6723" w:rsidRPr="00097EE4" w:rsidRDefault="007F6723" w:rsidP="00181CF8">
            <w:pPr>
              <w:pStyle w:val="Tabletextcentred"/>
              <w:keepNext/>
              <w:jc w:val="right"/>
            </w:pPr>
            <w:r w:rsidRPr="00097EE4">
              <w:t>-0.01</w:t>
            </w:r>
          </w:p>
        </w:tc>
      </w:tr>
      <w:tr w:rsidR="007F6723" w:rsidRPr="00097EE4" w14:paraId="7D0905FA" w14:textId="77777777" w:rsidTr="00181CF8">
        <w:tc>
          <w:tcPr>
            <w:tcW w:w="2217" w:type="pct"/>
          </w:tcPr>
          <w:p w14:paraId="406B6D76" w14:textId="77777777" w:rsidR="007F6723" w:rsidRPr="00097EE4" w:rsidRDefault="007F6723" w:rsidP="00181CF8">
            <w:pPr>
              <w:pStyle w:val="Tabletextcentred"/>
              <w:keepNext/>
              <w:jc w:val="left"/>
            </w:pPr>
            <w:r w:rsidRPr="00097EE4">
              <w:t>Dead</w:t>
            </w:r>
          </w:p>
        </w:tc>
        <w:tc>
          <w:tcPr>
            <w:tcW w:w="927" w:type="pct"/>
          </w:tcPr>
          <w:p w14:paraId="74533137" w14:textId="77777777" w:rsidR="007F6723" w:rsidRPr="00097EE4" w:rsidRDefault="007F6723" w:rsidP="00181CF8">
            <w:pPr>
              <w:pStyle w:val="Tabletextcentred"/>
              <w:keepNext/>
              <w:jc w:val="right"/>
            </w:pPr>
            <w:r w:rsidRPr="00097EE4">
              <w:t>0.00</w:t>
            </w:r>
          </w:p>
        </w:tc>
        <w:tc>
          <w:tcPr>
            <w:tcW w:w="927" w:type="pct"/>
          </w:tcPr>
          <w:p w14:paraId="3693F3A8" w14:textId="77777777" w:rsidR="007F6723" w:rsidRPr="00097EE4" w:rsidRDefault="007F6723" w:rsidP="00181CF8">
            <w:pPr>
              <w:pStyle w:val="Tabletextcentred"/>
              <w:keepNext/>
              <w:jc w:val="right"/>
            </w:pPr>
            <w:r w:rsidRPr="00097EE4">
              <w:t>0.00</w:t>
            </w:r>
          </w:p>
        </w:tc>
        <w:tc>
          <w:tcPr>
            <w:tcW w:w="928" w:type="pct"/>
          </w:tcPr>
          <w:p w14:paraId="64F7446D" w14:textId="77777777" w:rsidR="007F6723" w:rsidRPr="00097EE4" w:rsidRDefault="007F6723" w:rsidP="00181CF8">
            <w:pPr>
              <w:pStyle w:val="Tabletextcentred"/>
              <w:keepNext/>
              <w:jc w:val="right"/>
            </w:pPr>
            <w:r w:rsidRPr="00097EE4">
              <w:t>0.00</w:t>
            </w:r>
          </w:p>
        </w:tc>
      </w:tr>
    </w:tbl>
    <w:p w14:paraId="5E3735BD" w14:textId="15EA2FB8" w:rsidR="007F6723" w:rsidRPr="00097EE4" w:rsidRDefault="007F6723" w:rsidP="007F6723">
      <w:pPr>
        <w:pStyle w:val="Tablefootnotes"/>
        <w:keepNext/>
      </w:pPr>
      <w:r w:rsidRPr="00097EE4">
        <w:t>Abbreviations: AD, Alzheimer’s disease; FDG-PET, flu</w:t>
      </w:r>
      <w:r w:rsidR="0038452F">
        <w:t>o</w:t>
      </w:r>
      <w:r w:rsidRPr="00097EE4">
        <w:t>rodeoxyglucose positron emission tomography; SPECT, single-photon emission tomography</w:t>
      </w:r>
    </w:p>
    <w:p w14:paraId="07157F7C" w14:textId="77777777" w:rsidR="007F6723" w:rsidRPr="00097EE4" w:rsidRDefault="007F6723" w:rsidP="007F6723">
      <w:pPr>
        <w:pStyle w:val="Tablefootnotes"/>
      </w:pPr>
      <w:r w:rsidRPr="00097EE4">
        <w:t>Note: Rounding may impact on some figures</w:t>
      </w:r>
    </w:p>
    <w:p w14:paraId="5EC87A22" w14:textId="77777777" w:rsidR="007F6723" w:rsidRPr="00097EE4" w:rsidRDefault="007F6723" w:rsidP="007F6723">
      <w:r w:rsidRPr="00097EE4">
        <w:t xml:space="preserve">Over the five-year modelled period, diagnosis using FDG-PET is expected to accrue 0.03 QALYs more per patient than diagnosis using SPECT. The difference is driven by more accurate diagnosis of No AD (the probability of correct diagnosis of no AD is 0.60 with FDG-PET and 0.56 with SPECT). This is inherently linked with the assumption of perfect utility in these individuals (i.e. a utility weight of 1). This assumption, however, is uncertain since it hinges on the belief that these individuals do not have markedly compromised HRQoL and/or will receive adequate treatment for any other conditions they may have. This was discussed previously in Section </w:t>
      </w:r>
      <w:r w:rsidRPr="00097EE4">
        <w:fldChar w:fldCharType="begin"/>
      </w:r>
      <w:r w:rsidRPr="00097EE4">
        <w:instrText xml:space="preserve"> REF _Ref278640902 \r \h </w:instrText>
      </w:r>
      <w:r>
        <w:instrText xml:space="preserve"> \* MERGEFORMAT </w:instrText>
      </w:r>
      <w:r w:rsidRPr="00097EE4">
        <w:fldChar w:fldCharType="separate"/>
      </w:r>
      <w:r w:rsidR="00C67698">
        <w:t>C.6</w:t>
      </w:r>
      <w:r w:rsidRPr="00097EE4">
        <w:fldChar w:fldCharType="end"/>
      </w:r>
      <w:r w:rsidRPr="00097EE4">
        <w:t>.</w:t>
      </w:r>
    </w:p>
    <w:p w14:paraId="4C024C22" w14:textId="77777777" w:rsidR="007F6723" w:rsidRPr="00097EE4" w:rsidRDefault="007F6723" w:rsidP="007F6723">
      <w:r w:rsidRPr="00097EE4">
        <w:t>Since this assumption is responsible for such a large portion of the incremental QALY difference between FDG-PET and SPECT, the importance of testing this in sensitivity analyses in Section D.6 is highlighted.</w:t>
      </w:r>
    </w:p>
    <w:p w14:paraId="0F2F8FC4" w14:textId="77777777" w:rsidR="007F6723" w:rsidRPr="00097EE4" w:rsidRDefault="007F6723" w:rsidP="007F6723">
      <w:r w:rsidRPr="00097EE4">
        <w:t>In addition to the difference described above, there is a small positive QALY difference of 0.01 in the mild AD health state for those individuals who are treated in the community setting. This is the result of delayed progression due to treatment. Other observable differences in QALY results appear to favour SPECT, though this is perhaps misleading. In truth, delays in progression are responsible for these differences (e.g. less individuals progressing to severe AD means that, on average, there is a lower QALY in the FDG-PET arm for this health state).</w:t>
      </w:r>
    </w:p>
    <w:p w14:paraId="2EAB1CC2" w14:textId="165C882C" w:rsidR="007F6723" w:rsidRPr="00097EE4" w:rsidRDefault="007F6723" w:rsidP="007F6723">
      <w:r w:rsidRPr="00097EE4">
        <w:t>Nonetheless, it is important to note that the incremental QAL</w:t>
      </w:r>
      <w:r w:rsidR="0074610F">
        <w:t xml:space="preserve">Y difference of </w:t>
      </w:r>
      <w:r w:rsidR="0074610F" w:rsidRPr="00097EE4">
        <w:t>0.03 per patient</w:t>
      </w:r>
      <w:r w:rsidRPr="00097EE4">
        <w:t xml:space="preserve"> over a five-year period is small. This is particularly striking when considering how the assumption of perfect health in the No AD health state is intrinsically linked with the benefit that is observed. This is unsurprising given the small differences in diagnostic accuracy and the fact that treatment will slow progression rather than cure patients of AD altogether.</w:t>
      </w:r>
    </w:p>
    <w:p w14:paraId="757B0E0C" w14:textId="77777777" w:rsidR="007F6723" w:rsidRPr="00097EE4" w:rsidRDefault="007F6723" w:rsidP="007F6723">
      <w:pPr>
        <w:pStyle w:val="Heading3"/>
      </w:pPr>
      <w:bookmarkStart w:id="251" w:name="_Ref278810582"/>
      <w:r w:rsidRPr="00097EE4">
        <w:t>Incremental cost-effectiveness ratio</w:t>
      </w:r>
      <w:bookmarkEnd w:id="251"/>
      <w:r w:rsidRPr="00097EE4">
        <w:t xml:space="preserve"> </w:t>
      </w:r>
    </w:p>
    <w:p w14:paraId="0CD6DED2" w14:textId="0E8CCCE8" w:rsidR="007F6723" w:rsidRPr="00097EE4" w:rsidRDefault="007F6723" w:rsidP="007F6723">
      <w:r w:rsidRPr="00097EE4">
        <w:t xml:space="preserve">On the basis of the total costs and QALYs presented in </w:t>
      </w:r>
      <w:r w:rsidRPr="00097EE4">
        <w:fldChar w:fldCharType="begin"/>
      </w:r>
      <w:r w:rsidRPr="00097EE4">
        <w:instrText xml:space="preserve"> REF _Ref278810973 \h </w:instrText>
      </w:r>
      <w:r>
        <w:instrText xml:space="preserve"> \* MERGEFORMAT </w:instrText>
      </w:r>
      <w:r w:rsidRPr="00097EE4">
        <w:fldChar w:fldCharType="separate"/>
      </w:r>
      <w:r w:rsidR="00C67698" w:rsidRPr="00097EE4">
        <w:t xml:space="preserve">Table </w:t>
      </w:r>
      <w:r w:rsidR="00C67698">
        <w:rPr>
          <w:noProof/>
        </w:rPr>
        <w:t>D.5</w:t>
      </w:r>
      <w:r w:rsidR="00C67698">
        <w:rPr>
          <w:noProof/>
        </w:rPr>
        <w:noBreakHyphen/>
        <w:t>1</w:t>
      </w:r>
      <w:r w:rsidRPr="00097EE4">
        <w:fldChar w:fldCharType="end"/>
      </w:r>
      <w:r w:rsidRPr="00097EE4">
        <w:t xml:space="preserve"> and </w:t>
      </w:r>
      <w:r w:rsidRPr="00097EE4">
        <w:fldChar w:fldCharType="begin"/>
      </w:r>
      <w:r w:rsidRPr="00097EE4">
        <w:instrText xml:space="preserve"> REF _Ref278812743 \h </w:instrText>
      </w:r>
      <w:r>
        <w:instrText xml:space="preserve"> \* MERGEFORMAT </w:instrText>
      </w:r>
      <w:r w:rsidRPr="00097EE4">
        <w:fldChar w:fldCharType="separate"/>
      </w:r>
      <w:r w:rsidR="00C67698" w:rsidRPr="00097EE4">
        <w:t xml:space="preserve">Table </w:t>
      </w:r>
      <w:r w:rsidR="00C67698">
        <w:rPr>
          <w:noProof/>
        </w:rPr>
        <w:t>D.5</w:t>
      </w:r>
      <w:r w:rsidR="00C67698">
        <w:rPr>
          <w:noProof/>
        </w:rPr>
        <w:noBreakHyphen/>
        <w:t>2</w:t>
      </w:r>
      <w:r w:rsidRPr="00097EE4">
        <w:fldChar w:fldCharType="end"/>
      </w:r>
      <w:r w:rsidRPr="00097EE4">
        <w:t xml:space="preserve">, respectively, </w:t>
      </w:r>
      <w:r w:rsidRPr="00097EE4">
        <w:fldChar w:fldCharType="begin"/>
      </w:r>
      <w:r w:rsidRPr="00097EE4">
        <w:instrText xml:space="preserve"> REF _Ref278812798 \h </w:instrText>
      </w:r>
      <w:r>
        <w:instrText xml:space="preserve"> \* MERGEFORMAT </w:instrText>
      </w:r>
      <w:r w:rsidRPr="00097EE4">
        <w:fldChar w:fldCharType="separate"/>
      </w:r>
      <w:r w:rsidR="00C67698" w:rsidRPr="00097EE4">
        <w:t xml:space="preserve">Table </w:t>
      </w:r>
      <w:r w:rsidR="00C67698">
        <w:rPr>
          <w:noProof/>
        </w:rPr>
        <w:t>D.5</w:t>
      </w:r>
      <w:r w:rsidR="00C67698">
        <w:rPr>
          <w:noProof/>
        </w:rPr>
        <w:noBreakHyphen/>
        <w:t>3</w:t>
      </w:r>
      <w:r w:rsidRPr="00097EE4">
        <w:fldChar w:fldCharType="end"/>
      </w:r>
      <w:r w:rsidRPr="00097EE4">
        <w:t xml:space="preserve"> presents the base case ICER in terms of the QALY gain offered by FDG-PET.</w:t>
      </w:r>
    </w:p>
    <w:p w14:paraId="2A2EC687" w14:textId="1D82CB85" w:rsidR="007F6723" w:rsidRPr="00097EE4" w:rsidRDefault="007F6723" w:rsidP="007F6723">
      <w:pPr>
        <w:pStyle w:val="Caption"/>
      </w:pPr>
      <w:bookmarkStart w:id="252" w:name="_Ref278812798"/>
      <w:bookmarkStart w:id="253" w:name="_Toc406172490"/>
      <w:bookmarkStart w:id="254" w:name="_Toc408845245"/>
      <w:r w:rsidRPr="00097EE4">
        <w:lastRenderedPageBreak/>
        <w:t xml:space="preserve">Table </w:t>
      </w:r>
      <w:fldSimple w:instr=" STYLEREF 2 \s ">
        <w:r w:rsidR="00C67698">
          <w:rPr>
            <w:noProof/>
          </w:rPr>
          <w:t>D.5</w:t>
        </w:r>
      </w:fldSimple>
      <w:r w:rsidR="00524916">
        <w:noBreakHyphen/>
      </w:r>
      <w:fldSimple w:instr=" SEQ Table \* ARABIC \s 2 ">
        <w:r w:rsidR="00C67698">
          <w:rPr>
            <w:noProof/>
          </w:rPr>
          <w:t>3</w:t>
        </w:r>
      </w:fldSimple>
      <w:bookmarkEnd w:id="252"/>
      <w:r w:rsidRPr="00097EE4">
        <w:tab/>
        <w:t>Incremental cost-effectiveness ratio of FDG-PET versus SPECT</w:t>
      </w:r>
      <w:bookmarkEnd w:id="253"/>
      <w:bookmarkEnd w:id="254"/>
    </w:p>
    <w:tbl>
      <w:tblPr>
        <w:tblStyle w:val="TableGrid"/>
        <w:tblW w:w="4610" w:type="pct"/>
        <w:tblInd w:w="704" w:type="dxa"/>
        <w:tblLook w:val="04A0" w:firstRow="1" w:lastRow="0" w:firstColumn="1" w:lastColumn="0" w:noHBand="0" w:noVBand="1"/>
        <w:tblCaption w:val="The incremental cost-effectiveness ratio of FDG-PET versus SPECT"/>
        <w:tblDescription w:val="The cost and QALYs associated with the FDG-PET and SPECT arms. The table also shows the incremental cost per QALY."/>
      </w:tblPr>
      <w:tblGrid>
        <w:gridCol w:w="2561"/>
        <w:gridCol w:w="1987"/>
        <w:gridCol w:w="1989"/>
        <w:gridCol w:w="1984"/>
      </w:tblGrid>
      <w:tr w:rsidR="007F6723" w:rsidRPr="00097EE4" w14:paraId="380CE37E" w14:textId="77777777" w:rsidTr="006D0DCF">
        <w:trPr>
          <w:tblHeader/>
        </w:trPr>
        <w:tc>
          <w:tcPr>
            <w:tcW w:w="1503" w:type="pct"/>
          </w:tcPr>
          <w:p w14:paraId="5F82F146" w14:textId="77777777" w:rsidR="007F6723" w:rsidRPr="00097EE4" w:rsidRDefault="007F6723" w:rsidP="00181CF8">
            <w:pPr>
              <w:pStyle w:val="Tabletextboldleft"/>
            </w:pPr>
            <w:r w:rsidRPr="00097EE4">
              <w:t>Parameter</w:t>
            </w:r>
          </w:p>
        </w:tc>
        <w:tc>
          <w:tcPr>
            <w:tcW w:w="1166" w:type="pct"/>
          </w:tcPr>
          <w:p w14:paraId="3D6EE82A" w14:textId="77777777" w:rsidR="007F6723" w:rsidRPr="00097EE4" w:rsidRDefault="007F6723" w:rsidP="00181CF8">
            <w:pPr>
              <w:pStyle w:val="Tabletextboldleft"/>
              <w:jc w:val="right"/>
            </w:pPr>
            <w:r w:rsidRPr="00097EE4">
              <w:t>FDG-PET arm</w:t>
            </w:r>
          </w:p>
        </w:tc>
        <w:tc>
          <w:tcPr>
            <w:tcW w:w="1167" w:type="pct"/>
          </w:tcPr>
          <w:p w14:paraId="62CD7603" w14:textId="77777777" w:rsidR="007F6723" w:rsidRPr="00097EE4" w:rsidRDefault="007F6723" w:rsidP="00181CF8">
            <w:pPr>
              <w:pStyle w:val="Tabletextboldleft"/>
              <w:jc w:val="right"/>
            </w:pPr>
            <w:r w:rsidRPr="00097EE4">
              <w:t>SPECT arm</w:t>
            </w:r>
          </w:p>
        </w:tc>
        <w:tc>
          <w:tcPr>
            <w:tcW w:w="1164" w:type="pct"/>
          </w:tcPr>
          <w:p w14:paraId="7F353A5C" w14:textId="77777777" w:rsidR="007F6723" w:rsidRPr="00097EE4" w:rsidRDefault="007F6723" w:rsidP="00181CF8">
            <w:pPr>
              <w:pStyle w:val="Tabletextboldleft"/>
              <w:jc w:val="right"/>
            </w:pPr>
            <w:r w:rsidRPr="00097EE4">
              <w:t>Incremental</w:t>
            </w:r>
          </w:p>
        </w:tc>
      </w:tr>
      <w:tr w:rsidR="007F6723" w:rsidRPr="00097EE4" w14:paraId="4B3E394E" w14:textId="77777777" w:rsidTr="006D0DCF">
        <w:tc>
          <w:tcPr>
            <w:tcW w:w="1503" w:type="pct"/>
          </w:tcPr>
          <w:p w14:paraId="61802D37" w14:textId="77777777" w:rsidR="007F6723" w:rsidRPr="00097EE4" w:rsidRDefault="007F6723" w:rsidP="00181CF8">
            <w:pPr>
              <w:pStyle w:val="Tabletextcentred"/>
              <w:keepNext/>
              <w:jc w:val="left"/>
            </w:pPr>
            <w:r w:rsidRPr="00097EE4">
              <w:t>Cost</w:t>
            </w:r>
          </w:p>
        </w:tc>
        <w:tc>
          <w:tcPr>
            <w:tcW w:w="1166" w:type="pct"/>
          </w:tcPr>
          <w:p w14:paraId="0D538C06" w14:textId="77777777" w:rsidR="007F6723" w:rsidRPr="00097EE4" w:rsidRDefault="007F6723" w:rsidP="00181CF8">
            <w:pPr>
              <w:pStyle w:val="Tabletextcentred"/>
              <w:keepNext/>
              <w:jc w:val="right"/>
            </w:pPr>
            <w:r w:rsidRPr="00097EE4">
              <w:t>$98,</w:t>
            </w:r>
            <w:r>
              <w:t>424</w:t>
            </w:r>
          </w:p>
        </w:tc>
        <w:tc>
          <w:tcPr>
            <w:tcW w:w="1167" w:type="pct"/>
          </w:tcPr>
          <w:p w14:paraId="592F6B04" w14:textId="77777777" w:rsidR="007F6723" w:rsidRPr="00097EE4" w:rsidRDefault="007F6723" w:rsidP="00181CF8">
            <w:pPr>
              <w:pStyle w:val="Tabletextcentred"/>
              <w:keepNext/>
              <w:jc w:val="right"/>
            </w:pPr>
            <w:r w:rsidRPr="00097EE4">
              <w:t>$99,585</w:t>
            </w:r>
          </w:p>
        </w:tc>
        <w:tc>
          <w:tcPr>
            <w:tcW w:w="1164" w:type="pct"/>
          </w:tcPr>
          <w:p w14:paraId="0B295212" w14:textId="77777777" w:rsidR="007F6723" w:rsidRPr="00097EE4" w:rsidRDefault="007F6723" w:rsidP="00181CF8">
            <w:pPr>
              <w:pStyle w:val="Tabletextcentred"/>
              <w:keepNext/>
              <w:jc w:val="right"/>
            </w:pPr>
            <w:r w:rsidRPr="00097EE4">
              <w:t>-$1160</w:t>
            </w:r>
          </w:p>
        </w:tc>
      </w:tr>
      <w:tr w:rsidR="007F6723" w:rsidRPr="00097EE4" w14:paraId="6971C11B" w14:textId="77777777" w:rsidTr="006D0DCF">
        <w:tc>
          <w:tcPr>
            <w:tcW w:w="1503" w:type="pct"/>
          </w:tcPr>
          <w:p w14:paraId="2D294B17" w14:textId="77777777" w:rsidR="007F6723" w:rsidRPr="00097EE4" w:rsidRDefault="007F6723" w:rsidP="00181CF8">
            <w:pPr>
              <w:pStyle w:val="Tabletextcentred"/>
              <w:keepNext/>
              <w:jc w:val="left"/>
            </w:pPr>
            <w:r w:rsidRPr="00097EE4">
              <w:t>QALY</w:t>
            </w:r>
          </w:p>
        </w:tc>
        <w:tc>
          <w:tcPr>
            <w:tcW w:w="1166" w:type="pct"/>
          </w:tcPr>
          <w:p w14:paraId="24327E75" w14:textId="77777777" w:rsidR="007F6723" w:rsidRPr="00097EE4" w:rsidRDefault="007F6723" w:rsidP="00181CF8">
            <w:pPr>
              <w:pStyle w:val="Tabletextcentred"/>
              <w:keepNext/>
              <w:jc w:val="right"/>
            </w:pPr>
            <w:r w:rsidRPr="00097EE4">
              <w:t>2.41</w:t>
            </w:r>
          </w:p>
        </w:tc>
        <w:tc>
          <w:tcPr>
            <w:tcW w:w="1167" w:type="pct"/>
          </w:tcPr>
          <w:p w14:paraId="402A24D2" w14:textId="77777777" w:rsidR="007F6723" w:rsidRPr="00097EE4" w:rsidRDefault="007F6723" w:rsidP="00181CF8">
            <w:pPr>
              <w:pStyle w:val="Tabletextcentred"/>
              <w:keepNext/>
              <w:jc w:val="right"/>
            </w:pPr>
            <w:r w:rsidRPr="00097EE4">
              <w:t>2.39</w:t>
            </w:r>
          </w:p>
        </w:tc>
        <w:tc>
          <w:tcPr>
            <w:tcW w:w="1164" w:type="pct"/>
          </w:tcPr>
          <w:p w14:paraId="2BD36FB8" w14:textId="77777777" w:rsidR="007F6723" w:rsidRPr="00097EE4" w:rsidRDefault="007F6723" w:rsidP="00181CF8">
            <w:pPr>
              <w:pStyle w:val="Tabletextcentred"/>
              <w:keepNext/>
              <w:jc w:val="right"/>
            </w:pPr>
            <w:r w:rsidRPr="00097EE4">
              <w:t>0.03</w:t>
            </w:r>
          </w:p>
        </w:tc>
      </w:tr>
      <w:tr w:rsidR="006D0DCF" w:rsidRPr="00097EE4" w14:paraId="330DA5DF" w14:textId="77777777" w:rsidTr="006D0DCF">
        <w:tc>
          <w:tcPr>
            <w:tcW w:w="1503" w:type="pct"/>
          </w:tcPr>
          <w:p w14:paraId="11DE029D" w14:textId="77777777" w:rsidR="006D0DCF" w:rsidRPr="00097EE4" w:rsidRDefault="006D0DCF" w:rsidP="00181CF8">
            <w:pPr>
              <w:pStyle w:val="Tabletextcentred"/>
              <w:keepNext/>
              <w:jc w:val="left"/>
            </w:pPr>
            <w:r w:rsidRPr="00097EE4">
              <w:t>Incremental cost per QALY</w:t>
            </w:r>
          </w:p>
        </w:tc>
        <w:tc>
          <w:tcPr>
            <w:tcW w:w="1166" w:type="pct"/>
          </w:tcPr>
          <w:p w14:paraId="0D16F0C5" w14:textId="326A7104" w:rsidR="006D0DCF" w:rsidRPr="00097EE4" w:rsidRDefault="006D0DCF" w:rsidP="006D0DCF">
            <w:pPr>
              <w:pStyle w:val="Tabletextcentred"/>
              <w:keepNext/>
              <w:jc w:val="right"/>
            </w:pPr>
            <w:r>
              <w:t>-</w:t>
            </w:r>
          </w:p>
        </w:tc>
        <w:tc>
          <w:tcPr>
            <w:tcW w:w="1167" w:type="pct"/>
          </w:tcPr>
          <w:p w14:paraId="4C0A0BCA" w14:textId="387E76B4" w:rsidR="006D0DCF" w:rsidRPr="00097EE4" w:rsidRDefault="006D0DCF" w:rsidP="006D0DCF">
            <w:pPr>
              <w:pStyle w:val="Tabletextcentred"/>
              <w:keepNext/>
              <w:jc w:val="right"/>
            </w:pPr>
            <w:r>
              <w:t>-</w:t>
            </w:r>
          </w:p>
        </w:tc>
        <w:tc>
          <w:tcPr>
            <w:tcW w:w="1164" w:type="pct"/>
          </w:tcPr>
          <w:p w14:paraId="38731C33" w14:textId="77777777" w:rsidR="006D0DCF" w:rsidRPr="00097EE4" w:rsidRDefault="006D0DCF" w:rsidP="00181CF8">
            <w:pPr>
              <w:pStyle w:val="Tabletextcentred"/>
              <w:keepNext/>
              <w:jc w:val="right"/>
            </w:pPr>
            <w:r w:rsidRPr="00097EE4">
              <w:t>-$42,991</w:t>
            </w:r>
          </w:p>
        </w:tc>
      </w:tr>
    </w:tbl>
    <w:p w14:paraId="2DA13195" w14:textId="54356DB3" w:rsidR="007F6723" w:rsidRPr="00097EE4" w:rsidRDefault="007F6723" w:rsidP="007F6723">
      <w:pPr>
        <w:pStyle w:val="Tablefootnotes"/>
        <w:keepNext/>
      </w:pPr>
      <w:r w:rsidRPr="00097EE4">
        <w:t>Abbreviations: AD, Alzheimer’s disease; FDG-PET, flu</w:t>
      </w:r>
      <w:r w:rsidR="0038452F">
        <w:t>o</w:t>
      </w:r>
      <w:r w:rsidRPr="00097EE4">
        <w:t>rodeoxyglucose positron emission tomography; SPECT, single-photon emission tomography</w:t>
      </w:r>
    </w:p>
    <w:p w14:paraId="1BF7E53E" w14:textId="77777777" w:rsidR="007F6723" w:rsidRPr="00097EE4" w:rsidRDefault="007F6723" w:rsidP="007F6723">
      <w:pPr>
        <w:pStyle w:val="Tablefootnotes"/>
      </w:pPr>
      <w:r w:rsidRPr="00097EE4">
        <w:t>Note: Rounding may impact on some figures</w:t>
      </w:r>
    </w:p>
    <w:p w14:paraId="10223346" w14:textId="77777777" w:rsidR="007F6723" w:rsidRPr="00097EE4" w:rsidRDefault="007F6723" w:rsidP="007F6723">
      <w:r w:rsidRPr="00097EE4">
        <w:t>It was estimated that FDG-PET will save $1160 per patient over a five-year period, while also delivering an incremental QALY gain of 0.03. While this renders the ICER itself somewhat difficult to interpret, the key conclusion to draw from this result is that FDG-PET is more effective and less costly than SPECT in the diagnosis of AD.</w:t>
      </w:r>
    </w:p>
    <w:p w14:paraId="0B15BD4E" w14:textId="77777777" w:rsidR="007F6723" w:rsidRPr="00097EE4" w:rsidRDefault="007F6723" w:rsidP="007F6723">
      <w:r w:rsidRPr="00097EE4">
        <w:t>Consequently, if the assumptions of the base case analysis are to be accepted, the decision-making process is simple: FDG-PET is to be accepted as a cost-effective alternative to SPECT for the requested listing. Sensitivity analyses presented in Section D.6, however, explore the impact alternative assumptions have on the result.</w:t>
      </w:r>
    </w:p>
    <w:p w14:paraId="5C0C07A4" w14:textId="18F579C4" w:rsidR="007F6723" w:rsidRPr="00097EE4" w:rsidRDefault="007F6723" w:rsidP="007F6723">
      <w:r w:rsidRPr="00097EE4">
        <w:t xml:space="preserve">In addition to the ICER, </w:t>
      </w:r>
      <w:r w:rsidRPr="00097EE4">
        <w:fldChar w:fldCharType="begin"/>
      </w:r>
      <w:r w:rsidRPr="00097EE4">
        <w:instrText xml:space="preserve"> REF _Ref278812858 \h </w:instrText>
      </w:r>
      <w:r>
        <w:instrText xml:space="preserve"> \* MERGEFORMAT </w:instrText>
      </w:r>
      <w:r w:rsidRPr="00097EE4">
        <w:fldChar w:fldCharType="separate"/>
      </w:r>
      <w:r w:rsidR="00C67698" w:rsidRPr="00097EE4">
        <w:t xml:space="preserve">Table </w:t>
      </w:r>
      <w:r w:rsidR="00C67698">
        <w:rPr>
          <w:noProof/>
        </w:rPr>
        <w:t>D.5</w:t>
      </w:r>
      <w:r w:rsidR="00C67698">
        <w:rPr>
          <w:noProof/>
        </w:rPr>
        <w:noBreakHyphen/>
        <w:t>4</w:t>
      </w:r>
      <w:r w:rsidRPr="00097EE4">
        <w:fldChar w:fldCharType="end"/>
      </w:r>
      <w:r w:rsidRPr="00097EE4">
        <w:t xml:space="preserve"> presents other health outcomes likely to be of interest to decision-makers in this instance. In particular, life years gained are considered, as is the number of deaths in each treatment arm.</w:t>
      </w:r>
    </w:p>
    <w:p w14:paraId="548E0228" w14:textId="6AA95264" w:rsidR="007F6723" w:rsidRPr="00097EE4" w:rsidRDefault="007F6723" w:rsidP="007F6723">
      <w:pPr>
        <w:pStyle w:val="Caption"/>
      </w:pPr>
      <w:bookmarkStart w:id="255" w:name="_Ref278812858"/>
      <w:bookmarkStart w:id="256" w:name="_Toc406172491"/>
      <w:bookmarkStart w:id="257" w:name="_Toc408845246"/>
      <w:r w:rsidRPr="00097EE4">
        <w:t xml:space="preserve">Table </w:t>
      </w:r>
      <w:fldSimple w:instr=" STYLEREF 2 \s ">
        <w:r w:rsidR="00C67698">
          <w:rPr>
            <w:noProof/>
          </w:rPr>
          <w:t>D.5</w:t>
        </w:r>
      </w:fldSimple>
      <w:r w:rsidR="00524916">
        <w:noBreakHyphen/>
      </w:r>
      <w:fldSimple w:instr=" SEQ Table \* ARABIC \s 2 ">
        <w:r w:rsidR="00C67698">
          <w:rPr>
            <w:noProof/>
          </w:rPr>
          <w:t>4</w:t>
        </w:r>
      </w:fldSimple>
      <w:bookmarkEnd w:id="255"/>
      <w:r w:rsidRPr="00097EE4">
        <w:tab/>
        <w:t>Life years gained and number of deaths generated in the base case analysis</w:t>
      </w:r>
      <w:bookmarkEnd w:id="256"/>
      <w:bookmarkEnd w:id="257"/>
    </w:p>
    <w:tbl>
      <w:tblPr>
        <w:tblStyle w:val="TableGrid"/>
        <w:tblW w:w="4610" w:type="pct"/>
        <w:tblInd w:w="704" w:type="dxa"/>
        <w:tblLook w:val="04A0" w:firstRow="1" w:lastRow="0" w:firstColumn="1" w:lastColumn="0" w:noHBand="0" w:noVBand="1"/>
        <w:tblCaption w:val="The life years gained and number of deaths generated in the base case analysis"/>
      </w:tblPr>
      <w:tblGrid>
        <w:gridCol w:w="2561"/>
        <w:gridCol w:w="1987"/>
        <w:gridCol w:w="1989"/>
        <w:gridCol w:w="1984"/>
      </w:tblGrid>
      <w:tr w:rsidR="007F6723" w:rsidRPr="00097EE4" w14:paraId="2EE73DA5" w14:textId="77777777" w:rsidTr="00654707">
        <w:trPr>
          <w:tblHeader/>
        </w:trPr>
        <w:tc>
          <w:tcPr>
            <w:tcW w:w="1503" w:type="pct"/>
          </w:tcPr>
          <w:p w14:paraId="66F5A1BB" w14:textId="77777777" w:rsidR="007F6723" w:rsidRPr="00097EE4" w:rsidRDefault="007F6723" w:rsidP="00181CF8">
            <w:pPr>
              <w:pStyle w:val="Tabletextboldleft"/>
            </w:pPr>
            <w:r w:rsidRPr="00097EE4">
              <w:t>Parameter</w:t>
            </w:r>
          </w:p>
        </w:tc>
        <w:tc>
          <w:tcPr>
            <w:tcW w:w="1166" w:type="pct"/>
          </w:tcPr>
          <w:p w14:paraId="784A5DAB" w14:textId="77777777" w:rsidR="007F6723" w:rsidRPr="00097EE4" w:rsidRDefault="007F6723" w:rsidP="00181CF8">
            <w:pPr>
              <w:pStyle w:val="Tabletextboldleft"/>
              <w:jc w:val="right"/>
            </w:pPr>
            <w:r w:rsidRPr="00097EE4">
              <w:t>FDG-PET arm</w:t>
            </w:r>
          </w:p>
        </w:tc>
        <w:tc>
          <w:tcPr>
            <w:tcW w:w="1167" w:type="pct"/>
          </w:tcPr>
          <w:p w14:paraId="57F8680C" w14:textId="77777777" w:rsidR="007F6723" w:rsidRPr="00097EE4" w:rsidRDefault="007F6723" w:rsidP="00181CF8">
            <w:pPr>
              <w:pStyle w:val="Tabletextboldleft"/>
              <w:jc w:val="right"/>
            </w:pPr>
            <w:r w:rsidRPr="00097EE4">
              <w:t>SPECT arm</w:t>
            </w:r>
          </w:p>
        </w:tc>
        <w:tc>
          <w:tcPr>
            <w:tcW w:w="1164" w:type="pct"/>
          </w:tcPr>
          <w:p w14:paraId="6FBC892C" w14:textId="77777777" w:rsidR="007F6723" w:rsidRPr="00097EE4" w:rsidRDefault="007F6723" w:rsidP="00181CF8">
            <w:pPr>
              <w:pStyle w:val="Tabletextboldleft"/>
              <w:jc w:val="right"/>
            </w:pPr>
            <w:r w:rsidRPr="00097EE4">
              <w:t>Incremental</w:t>
            </w:r>
          </w:p>
        </w:tc>
      </w:tr>
      <w:tr w:rsidR="007F6723" w:rsidRPr="00097EE4" w14:paraId="123EF55B" w14:textId="77777777" w:rsidTr="00654707">
        <w:tc>
          <w:tcPr>
            <w:tcW w:w="1503" w:type="pct"/>
          </w:tcPr>
          <w:p w14:paraId="7834A2B4" w14:textId="77777777" w:rsidR="007F6723" w:rsidRPr="00097EE4" w:rsidRDefault="007F6723" w:rsidP="00181CF8">
            <w:pPr>
              <w:pStyle w:val="Tabletextcentred"/>
              <w:keepNext/>
              <w:jc w:val="left"/>
            </w:pPr>
            <w:r w:rsidRPr="00097EE4">
              <w:t>Cost</w:t>
            </w:r>
          </w:p>
        </w:tc>
        <w:tc>
          <w:tcPr>
            <w:tcW w:w="1166" w:type="pct"/>
          </w:tcPr>
          <w:p w14:paraId="1652C356" w14:textId="77777777" w:rsidR="007F6723" w:rsidRPr="00097EE4" w:rsidRDefault="007F6723" w:rsidP="00181CF8">
            <w:pPr>
              <w:pStyle w:val="Tabletextcentred"/>
              <w:keepNext/>
              <w:jc w:val="right"/>
            </w:pPr>
            <w:r w:rsidRPr="00097EE4">
              <w:t>$98,242</w:t>
            </w:r>
          </w:p>
        </w:tc>
        <w:tc>
          <w:tcPr>
            <w:tcW w:w="1167" w:type="pct"/>
          </w:tcPr>
          <w:p w14:paraId="001C7C1C" w14:textId="77777777" w:rsidR="007F6723" w:rsidRPr="00097EE4" w:rsidRDefault="007F6723" w:rsidP="00181CF8">
            <w:pPr>
              <w:pStyle w:val="Tabletextcentred"/>
              <w:keepNext/>
              <w:jc w:val="right"/>
            </w:pPr>
            <w:r w:rsidRPr="00097EE4">
              <w:t>$99,585</w:t>
            </w:r>
          </w:p>
        </w:tc>
        <w:tc>
          <w:tcPr>
            <w:tcW w:w="1164" w:type="pct"/>
          </w:tcPr>
          <w:p w14:paraId="5FD1E4AF" w14:textId="77777777" w:rsidR="007F6723" w:rsidRPr="00097EE4" w:rsidRDefault="007F6723" w:rsidP="00181CF8">
            <w:pPr>
              <w:pStyle w:val="Tabletextcentred"/>
              <w:keepNext/>
              <w:jc w:val="right"/>
            </w:pPr>
            <w:r w:rsidRPr="00097EE4">
              <w:t>-$1160</w:t>
            </w:r>
          </w:p>
        </w:tc>
      </w:tr>
      <w:tr w:rsidR="007F6723" w:rsidRPr="00097EE4" w14:paraId="3A89ED53" w14:textId="77777777" w:rsidTr="00654707">
        <w:tc>
          <w:tcPr>
            <w:tcW w:w="1503" w:type="pct"/>
          </w:tcPr>
          <w:p w14:paraId="14575584" w14:textId="77777777" w:rsidR="007F6723" w:rsidRPr="00097EE4" w:rsidRDefault="007F6723" w:rsidP="00181CF8">
            <w:pPr>
              <w:pStyle w:val="Tabletextcentred"/>
              <w:keepNext/>
              <w:jc w:val="left"/>
            </w:pPr>
            <w:r w:rsidRPr="00097EE4">
              <w:t>LYG</w:t>
            </w:r>
          </w:p>
        </w:tc>
        <w:tc>
          <w:tcPr>
            <w:tcW w:w="1166" w:type="pct"/>
          </w:tcPr>
          <w:p w14:paraId="757857EE" w14:textId="77777777" w:rsidR="007F6723" w:rsidRPr="00097EE4" w:rsidRDefault="007F6723" w:rsidP="00181CF8">
            <w:pPr>
              <w:pStyle w:val="Tabletextcentred"/>
              <w:keepNext/>
              <w:jc w:val="right"/>
            </w:pPr>
            <w:r w:rsidRPr="00097EE4">
              <w:t>4.21</w:t>
            </w:r>
          </w:p>
        </w:tc>
        <w:tc>
          <w:tcPr>
            <w:tcW w:w="1167" w:type="pct"/>
          </w:tcPr>
          <w:p w14:paraId="24D24165" w14:textId="77777777" w:rsidR="007F6723" w:rsidRPr="00097EE4" w:rsidRDefault="007F6723" w:rsidP="00181CF8">
            <w:pPr>
              <w:pStyle w:val="Tabletextcentred"/>
              <w:keepNext/>
              <w:jc w:val="right"/>
            </w:pPr>
            <w:r w:rsidRPr="00097EE4">
              <w:t>4.21</w:t>
            </w:r>
          </w:p>
        </w:tc>
        <w:tc>
          <w:tcPr>
            <w:tcW w:w="1164" w:type="pct"/>
          </w:tcPr>
          <w:p w14:paraId="312383F4" w14:textId="2ED5DE4E" w:rsidR="007F6723" w:rsidRPr="00097EE4" w:rsidRDefault="007F6723" w:rsidP="00181CF8">
            <w:pPr>
              <w:pStyle w:val="Tabletextcentred"/>
              <w:keepNext/>
              <w:jc w:val="right"/>
            </w:pPr>
            <w:r w:rsidRPr="00097EE4">
              <w:t>0.00</w:t>
            </w:r>
          </w:p>
        </w:tc>
      </w:tr>
      <w:tr w:rsidR="00654707" w:rsidRPr="00097EE4" w14:paraId="51381475" w14:textId="77777777" w:rsidTr="0011249C">
        <w:tc>
          <w:tcPr>
            <w:tcW w:w="1503" w:type="pct"/>
          </w:tcPr>
          <w:p w14:paraId="16CCA1AD" w14:textId="77777777" w:rsidR="00654707" w:rsidRPr="00097EE4" w:rsidRDefault="00654707" w:rsidP="00181CF8">
            <w:pPr>
              <w:pStyle w:val="Tabletextcentred"/>
              <w:keepNext/>
              <w:jc w:val="left"/>
            </w:pPr>
            <w:r w:rsidRPr="00097EE4">
              <w:t>Incremental cost per LYG</w:t>
            </w:r>
          </w:p>
        </w:tc>
        <w:tc>
          <w:tcPr>
            <w:tcW w:w="1166" w:type="pct"/>
          </w:tcPr>
          <w:p w14:paraId="43632F02" w14:textId="137E29EC" w:rsidR="00654707" w:rsidRPr="00097EE4" w:rsidRDefault="0011249C" w:rsidP="0011249C">
            <w:pPr>
              <w:pStyle w:val="Tabletextcentred"/>
              <w:keepNext/>
              <w:jc w:val="right"/>
            </w:pPr>
            <w:r>
              <w:t>-</w:t>
            </w:r>
          </w:p>
        </w:tc>
        <w:tc>
          <w:tcPr>
            <w:tcW w:w="1167" w:type="pct"/>
          </w:tcPr>
          <w:p w14:paraId="58626025" w14:textId="6A1AF289" w:rsidR="00654707" w:rsidRPr="00097EE4" w:rsidRDefault="0011249C" w:rsidP="0011249C">
            <w:pPr>
              <w:pStyle w:val="Tabletextcentred"/>
              <w:keepNext/>
              <w:jc w:val="right"/>
            </w:pPr>
            <w:r>
              <w:t>-</w:t>
            </w:r>
          </w:p>
        </w:tc>
        <w:tc>
          <w:tcPr>
            <w:tcW w:w="1164" w:type="pct"/>
          </w:tcPr>
          <w:p w14:paraId="510F40DC" w14:textId="77777777" w:rsidR="00654707" w:rsidRPr="00097EE4" w:rsidRDefault="00654707" w:rsidP="00181CF8">
            <w:pPr>
              <w:pStyle w:val="Tabletextcentred"/>
              <w:keepNext/>
              <w:jc w:val="right"/>
            </w:pPr>
            <w:r w:rsidRPr="00097EE4">
              <w:t>-$382,755</w:t>
            </w:r>
          </w:p>
        </w:tc>
      </w:tr>
    </w:tbl>
    <w:p w14:paraId="6F75B2DA" w14:textId="20BE4D49" w:rsidR="007F6723" w:rsidRPr="00097EE4" w:rsidRDefault="007F6723" w:rsidP="007F6723">
      <w:pPr>
        <w:pStyle w:val="Tablefootnotes"/>
      </w:pPr>
      <w:r w:rsidRPr="00097EE4">
        <w:t>Abbreviations: AD, Alzheimer’s disease; FDG-PET, flu</w:t>
      </w:r>
      <w:r w:rsidR="0038452F">
        <w:t>o</w:t>
      </w:r>
      <w:r w:rsidRPr="00097EE4">
        <w:t>rodeoxyglucose positron emission tomography; LYG, life year gained; SPECT, single-photon emission tomography</w:t>
      </w:r>
    </w:p>
    <w:p w14:paraId="115B5A0C" w14:textId="77777777" w:rsidR="007F6723" w:rsidRPr="009F0C64" w:rsidRDefault="007F6723" w:rsidP="007F6723">
      <w:r w:rsidRPr="00097EE4">
        <w:t>As in the base case cost per QALY analysis, FDG-PET appears to be cost-saving relative to SPECT (no difference to the QALY analysis) while potentially offering superior health outcomes (albeit, marginal</w:t>
      </w:r>
      <w:r>
        <w:t xml:space="preserve"> enough to be undetectable at the level of two decimal places)</w:t>
      </w:r>
      <w:r w:rsidRPr="00A74ECB">
        <w:t xml:space="preserve">. The difference in LYG is, as expected, smaller than the difference in QALYs making the result </w:t>
      </w:r>
      <w:r>
        <w:t>very close</w:t>
      </w:r>
      <w:r w:rsidRPr="00A74ECB">
        <w:t xml:space="preserve"> to the margin. This renders the acceptability of the base case assumptions more sensitive when this perspective is adopted. Nonetheless, </w:t>
      </w:r>
      <w:r>
        <w:t>FDG-PET</w:t>
      </w:r>
      <w:r w:rsidRPr="00A74ECB">
        <w:t xml:space="preserve"> appears to remain a cost-effective alternative</w:t>
      </w:r>
      <w:r>
        <w:t xml:space="preserve"> to SPECT in the case of an incremental cost per LYG analysis.</w:t>
      </w:r>
    </w:p>
    <w:p w14:paraId="789A33C8" w14:textId="77777777" w:rsidR="007F6723" w:rsidRDefault="007F6723" w:rsidP="007F6723">
      <w:pPr>
        <w:pStyle w:val="Heading2"/>
      </w:pPr>
      <w:bookmarkStart w:id="258" w:name="_Ref278810398"/>
      <w:bookmarkStart w:id="259" w:name="_Toc406172441"/>
      <w:bookmarkStart w:id="260" w:name="_Toc408845185"/>
      <w:r>
        <w:t>Sensitivity analyses</w:t>
      </w:r>
      <w:bookmarkEnd w:id="258"/>
      <w:bookmarkEnd w:id="259"/>
      <w:bookmarkEnd w:id="260"/>
    </w:p>
    <w:p w14:paraId="4EC16D0D" w14:textId="765E1EA4" w:rsidR="007F6723" w:rsidRDefault="007F6723" w:rsidP="007F6723">
      <w:r>
        <w:t>As discussed throughout Section C and D, many of the variables applied in the base case analysis are subject to considerable uncertainty. The possibility of uncertainty has been discussed several times previously, but its impact has not been presented thus far.</w:t>
      </w:r>
    </w:p>
    <w:p w14:paraId="46649FD8" w14:textId="30ADBCA8" w:rsidR="000402E7" w:rsidRDefault="000402E7" w:rsidP="000402E7">
      <w:r>
        <w:t xml:space="preserve">The sensitivity analyses are separated into two parts. In Section </w:t>
      </w:r>
      <w:r>
        <w:fldChar w:fldCharType="begin"/>
      </w:r>
      <w:r>
        <w:instrText xml:space="preserve"> REF _Ref408584594 \r \h </w:instrText>
      </w:r>
      <w:r>
        <w:fldChar w:fldCharType="separate"/>
      </w:r>
      <w:r w:rsidR="00C67698">
        <w:t>D.6.1</w:t>
      </w:r>
      <w:r>
        <w:fldChar w:fldCharType="end"/>
      </w:r>
      <w:r>
        <w:t xml:space="preserve">, sensitivity analyses around the AD portion of the model will be performed, with baseline characteristics and model specifications being varied, as well as data around costs, treatment duration, utilities, treatment effect and transition probabilities. Section </w:t>
      </w:r>
      <w:r>
        <w:fldChar w:fldCharType="begin"/>
      </w:r>
      <w:r>
        <w:instrText xml:space="preserve"> REF _Ref408584607 \r \h </w:instrText>
      </w:r>
      <w:r>
        <w:fldChar w:fldCharType="separate"/>
      </w:r>
      <w:r w:rsidR="00C67698">
        <w:t>D.6.2</w:t>
      </w:r>
      <w:r>
        <w:fldChar w:fldCharType="end"/>
      </w:r>
      <w:r>
        <w:t xml:space="preserve"> provides a detailed assessment of the effect of varying data around the comparative efficacy of FDG-PET and SPECT in the diagnostic accuracy portion of the model. </w:t>
      </w:r>
    </w:p>
    <w:p w14:paraId="103C309D" w14:textId="7021A3C4" w:rsidR="000402E7" w:rsidRDefault="000402E7" w:rsidP="000402E7">
      <w:pPr>
        <w:pStyle w:val="Heading3"/>
      </w:pPr>
      <w:bookmarkStart w:id="261" w:name="_Ref408584594"/>
      <w:r>
        <w:lastRenderedPageBreak/>
        <w:t>AD model</w:t>
      </w:r>
      <w:bookmarkEnd w:id="261"/>
    </w:p>
    <w:p w14:paraId="49471104" w14:textId="556950CD" w:rsidR="000402E7" w:rsidRPr="00097EE4" w:rsidRDefault="000402E7" w:rsidP="000402E7">
      <w:r w:rsidRPr="000402E7">
        <w:t>Table D.6 1 below presents a series of one-way sensitivity analyses aimed at better understanding the impact of the uncertainty around key variables and assumptions</w:t>
      </w:r>
      <w:r w:rsidR="005569B0">
        <w:t xml:space="preserve"> in the AD portion of the model</w:t>
      </w:r>
      <w:r w:rsidRPr="000402E7">
        <w:t>. Where these are shown to have a meaningful impact on results, this is discussed below.</w:t>
      </w:r>
    </w:p>
    <w:p w14:paraId="6D816D0D" w14:textId="4BA64F3B" w:rsidR="007F6723" w:rsidRPr="00097EE4" w:rsidRDefault="007F6723" w:rsidP="007F6723">
      <w:pPr>
        <w:pStyle w:val="Caption"/>
      </w:pPr>
      <w:bookmarkStart w:id="262" w:name="_Ref278964553"/>
      <w:bookmarkStart w:id="263" w:name="_Toc406172492"/>
      <w:bookmarkStart w:id="264" w:name="_Toc408845247"/>
      <w:r w:rsidRPr="00097EE4">
        <w:t xml:space="preserve">Table </w:t>
      </w:r>
      <w:fldSimple w:instr=" STYLEREF 2 \s ">
        <w:r w:rsidR="00C67698">
          <w:rPr>
            <w:noProof/>
          </w:rPr>
          <w:t>D.6</w:t>
        </w:r>
      </w:fldSimple>
      <w:r w:rsidR="00524916">
        <w:noBreakHyphen/>
      </w:r>
      <w:fldSimple w:instr=" SEQ Table \* ARABIC \s 2 ">
        <w:r w:rsidR="00C67698">
          <w:rPr>
            <w:noProof/>
          </w:rPr>
          <w:t>1</w:t>
        </w:r>
      </w:fldSimple>
      <w:bookmarkEnd w:id="262"/>
      <w:r w:rsidRPr="00097EE4">
        <w:tab/>
        <w:t>One-way sensitivity analyses</w:t>
      </w:r>
      <w:bookmarkEnd w:id="263"/>
      <w:bookmarkEnd w:id="264"/>
    </w:p>
    <w:tbl>
      <w:tblPr>
        <w:tblStyle w:val="TableGrid"/>
        <w:tblW w:w="4610" w:type="pct"/>
        <w:tblInd w:w="704" w:type="dxa"/>
        <w:tblLook w:val="04A0" w:firstRow="1" w:lastRow="0" w:firstColumn="1" w:lastColumn="0" w:noHBand="0" w:noVBand="1"/>
        <w:tblCaption w:val="One-way sensitivity analyses"/>
        <w:tblDescription w:val="Sensitivity analyses testing various assumptions for baseline characteristics, costs, treatment duration, utilities, treatment effect, and transition probabilities."/>
      </w:tblPr>
      <w:tblGrid>
        <w:gridCol w:w="3923"/>
        <w:gridCol w:w="1304"/>
        <w:gridCol w:w="1305"/>
        <w:gridCol w:w="1989"/>
      </w:tblGrid>
      <w:tr w:rsidR="007F6723" w:rsidRPr="00097EE4" w14:paraId="2B27955F" w14:textId="77777777" w:rsidTr="00181CF8">
        <w:trPr>
          <w:tblHeader/>
        </w:trPr>
        <w:tc>
          <w:tcPr>
            <w:tcW w:w="2302" w:type="pct"/>
          </w:tcPr>
          <w:p w14:paraId="19418A0E" w14:textId="77777777" w:rsidR="007F6723" w:rsidRPr="00097EE4" w:rsidRDefault="007F6723" w:rsidP="00181CF8">
            <w:pPr>
              <w:pStyle w:val="Tabletextboldleft"/>
              <w:tabs>
                <w:tab w:val="center" w:pos="1532"/>
              </w:tabs>
            </w:pPr>
            <w:r w:rsidRPr="00097EE4">
              <w:t>Analysis</w:t>
            </w:r>
          </w:p>
        </w:tc>
        <w:tc>
          <w:tcPr>
            <w:tcW w:w="765" w:type="pct"/>
          </w:tcPr>
          <w:p w14:paraId="0259F828" w14:textId="77777777" w:rsidR="007F6723" w:rsidRPr="00097EE4" w:rsidRDefault="007F6723" w:rsidP="00181CF8">
            <w:pPr>
              <w:pStyle w:val="Tabletextboldleft"/>
              <w:jc w:val="right"/>
            </w:pPr>
            <w:r w:rsidRPr="00097EE4">
              <w:t>Incremental cost</w:t>
            </w:r>
          </w:p>
        </w:tc>
        <w:tc>
          <w:tcPr>
            <w:tcW w:w="766" w:type="pct"/>
          </w:tcPr>
          <w:p w14:paraId="5091CB6E" w14:textId="77777777" w:rsidR="007F6723" w:rsidRPr="00097EE4" w:rsidRDefault="007F6723" w:rsidP="00181CF8">
            <w:pPr>
              <w:pStyle w:val="Tabletextboldleft"/>
              <w:jc w:val="right"/>
            </w:pPr>
            <w:r w:rsidRPr="00097EE4">
              <w:t>Incremental QALY</w:t>
            </w:r>
          </w:p>
        </w:tc>
        <w:tc>
          <w:tcPr>
            <w:tcW w:w="1167" w:type="pct"/>
          </w:tcPr>
          <w:p w14:paraId="04361DF3" w14:textId="77777777" w:rsidR="007F6723" w:rsidRPr="00097EE4" w:rsidRDefault="007F6723" w:rsidP="00181CF8">
            <w:pPr>
              <w:pStyle w:val="Tabletextboldleft"/>
              <w:jc w:val="right"/>
            </w:pPr>
            <w:r w:rsidRPr="00097EE4">
              <w:t>Result</w:t>
            </w:r>
          </w:p>
        </w:tc>
      </w:tr>
      <w:tr w:rsidR="007F6723" w:rsidRPr="00097EE4" w14:paraId="2B086F63" w14:textId="77777777" w:rsidTr="00181CF8">
        <w:tc>
          <w:tcPr>
            <w:tcW w:w="2302" w:type="pct"/>
            <w:tcBorders>
              <w:bottom w:val="single" w:sz="4" w:space="0" w:color="auto"/>
            </w:tcBorders>
          </w:tcPr>
          <w:p w14:paraId="289A29CA" w14:textId="77777777" w:rsidR="007F6723" w:rsidRPr="00097EE4" w:rsidRDefault="007F6723" w:rsidP="00181CF8">
            <w:pPr>
              <w:pStyle w:val="Tabletextcentred"/>
              <w:jc w:val="left"/>
              <w:rPr>
                <w:i/>
              </w:rPr>
            </w:pPr>
            <w:r w:rsidRPr="00097EE4">
              <w:rPr>
                <w:i/>
              </w:rPr>
              <w:t>Base case</w:t>
            </w:r>
          </w:p>
        </w:tc>
        <w:tc>
          <w:tcPr>
            <w:tcW w:w="765" w:type="pct"/>
            <w:tcBorders>
              <w:bottom w:val="single" w:sz="4" w:space="0" w:color="auto"/>
            </w:tcBorders>
          </w:tcPr>
          <w:p w14:paraId="3D4200C7" w14:textId="77777777" w:rsidR="007F6723" w:rsidRPr="00097EE4" w:rsidRDefault="007F6723" w:rsidP="00181CF8">
            <w:pPr>
              <w:pStyle w:val="Tabletextcentred"/>
              <w:jc w:val="right"/>
              <w:rPr>
                <w:i/>
              </w:rPr>
            </w:pPr>
            <w:r w:rsidRPr="00097EE4">
              <w:rPr>
                <w:i/>
              </w:rPr>
              <w:t>-$1160</w:t>
            </w:r>
          </w:p>
        </w:tc>
        <w:tc>
          <w:tcPr>
            <w:tcW w:w="766" w:type="pct"/>
            <w:tcBorders>
              <w:bottom w:val="single" w:sz="4" w:space="0" w:color="auto"/>
            </w:tcBorders>
          </w:tcPr>
          <w:p w14:paraId="28249654" w14:textId="77777777" w:rsidR="007F6723" w:rsidRPr="00097EE4" w:rsidRDefault="007F6723" w:rsidP="00181CF8">
            <w:pPr>
              <w:pStyle w:val="Tabletextcentred"/>
              <w:jc w:val="right"/>
              <w:rPr>
                <w:i/>
              </w:rPr>
            </w:pPr>
            <w:r w:rsidRPr="00097EE4">
              <w:rPr>
                <w:i/>
              </w:rPr>
              <w:t>0.03</w:t>
            </w:r>
          </w:p>
        </w:tc>
        <w:tc>
          <w:tcPr>
            <w:tcW w:w="1167" w:type="pct"/>
          </w:tcPr>
          <w:p w14:paraId="1EA7EBA9" w14:textId="77777777" w:rsidR="007F6723" w:rsidRPr="00097EE4" w:rsidRDefault="007F6723" w:rsidP="00181CF8">
            <w:pPr>
              <w:pStyle w:val="Tabletextcentred"/>
              <w:jc w:val="right"/>
              <w:rPr>
                <w:i/>
              </w:rPr>
            </w:pPr>
            <w:r w:rsidRPr="00097EE4">
              <w:rPr>
                <w:i/>
              </w:rPr>
              <w:t>FDG-PET leads to cost savings while improving QALYs</w:t>
            </w:r>
          </w:p>
        </w:tc>
      </w:tr>
      <w:tr w:rsidR="007F6723" w:rsidRPr="00097EE4" w14:paraId="263F3993" w14:textId="77777777" w:rsidTr="00047A70">
        <w:tc>
          <w:tcPr>
            <w:tcW w:w="2302" w:type="pct"/>
            <w:tcBorders>
              <w:right w:val="nil"/>
            </w:tcBorders>
            <w:shd w:val="clear" w:color="auto" w:fill="BFBFBF" w:themeFill="background1" w:themeFillShade="BF"/>
          </w:tcPr>
          <w:p w14:paraId="7DA5FD41" w14:textId="77777777" w:rsidR="007F6723" w:rsidRPr="00047A70" w:rsidRDefault="007F6723" w:rsidP="00181CF8">
            <w:pPr>
              <w:pStyle w:val="Tabletextcentred"/>
              <w:jc w:val="left"/>
              <w:rPr>
                <w:i/>
              </w:rPr>
            </w:pPr>
            <w:r w:rsidRPr="00047A70">
              <w:t>Baseline characteristics/model specifications</w:t>
            </w:r>
          </w:p>
        </w:tc>
        <w:tc>
          <w:tcPr>
            <w:tcW w:w="765" w:type="pct"/>
            <w:tcBorders>
              <w:left w:val="nil"/>
              <w:right w:val="nil"/>
            </w:tcBorders>
            <w:shd w:val="clear" w:color="auto" w:fill="BFBFBF" w:themeFill="background1" w:themeFillShade="BF"/>
          </w:tcPr>
          <w:p w14:paraId="63F1B413" w14:textId="77777777" w:rsidR="007F6723" w:rsidRPr="00047A70" w:rsidRDefault="007F6723" w:rsidP="00181CF8">
            <w:pPr>
              <w:pStyle w:val="Tabletextcentred"/>
              <w:jc w:val="left"/>
              <w:rPr>
                <w:i/>
              </w:rPr>
            </w:pPr>
          </w:p>
        </w:tc>
        <w:tc>
          <w:tcPr>
            <w:tcW w:w="766" w:type="pct"/>
            <w:tcBorders>
              <w:left w:val="nil"/>
              <w:right w:val="nil"/>
            </w:tcBorders>
            <w:shd w:val="clear" w:color="auto" w:fill="BFBFBF" w:themeFill="background1" w:themeFillShade="BF"/>
          </w:tcPr>
          <w:p w14:paraId="4A963AB5" w14:textId="77777777" w:rsidR="007F6723" w:rsidRPr="00047A70" w:rsidRDefault="007F6723" w:rsidP="00181CF8">
            <w:pPr>
              <w:pStyle w:val="Tabletextcentred"/>
              <w:jc w:val="left"/>
              <w:rPr>
                <w:i/>
              </w:rPr>
            </w:pPr>
          </w:p>
        </w:tc>
        <w:tc>
          <w:tcPr>
            <w:tcW w:w="1167" w:type="pct"/>
            <w:tcBorders>
              <w:left w:val="nil"/>
            </w:tcBorders>
            <w:shd w:val="clear" w:color="auto" w:fill="BFBFBF" w:themeFill="background1" w:themeFillShade="BF"/>
          </w:tcPr>
          <w:p w14:paraId="00570AA0" w14:textId="77777777" w:rsidR="007F6723" w:rsidRPr="00047A70" w:rsidRDefault="007F6723" w:rsidP="00181CF8">
            <w:pPr>
              <w:pStyle w:val="Tabletextcentred"/>
              <w:jc w:val="left"/>
              <w:rPr>
                <w:i/>
              </w:rPr>
            </w:pPr>
          </w:p>
        </w:tc>
      </w:tr>
      <w:tr w:rsidR="007F6723" w:rsidRPr="00097EE4" w14:paraId="4CE50F03" w14:textId="77777777" w:rsidTr="00181CF8">
        <w:tc>
          <w:tcPr>
            <w:tcW w:w="2302" w:type="pct"/>
          </w:tcPr>
          <w:p w14:paraId="62907EA3" w14:textId="77777777" w:rsidR="007F6723" w:rsidRPr="00097EE4" w:rsidRDefault="007F6723" w:rsidP="00181CF8">
            <w:pPr>
              <w:pStyle w:val="Tabletextcentred"/>
              <w:jc w:val="left"/>
            </w:pPr>
            <w:r w:rsidRPr="00097EE4">
              <w:t>Starting age set to 50 years (72.4 in base case)</w:t>
            </w:r>
          </w:p>
        </w:tc>
        <w:tc>
          <w:tcPr>
            <w:tcW w:w="765" w:type="pct"/>
          </w:tcPr>
          <w:p w14:paraId="5C573151" w14:textId="77777777" w:rsidR="007F6723" w:rsidRPr="00097EE4" w:rsidRDefault="007F6723" w:rsidP="00181CF8">
            <w:pPr>
              <w:pStyle w:val="Tabletextcentred"/>
              <w:jc w:val="right"/>
            </w:pPr>
            <w:r w:rsidRPr="00097EE4">
              <w:t>-$1160</w:t>
            </w:r>
          </w:p>
        </w:tc>
        <w:tc>
          <w:tcPr>
            <w:tcW w:w="766" w:type="pct"/>
          </w:tcPr>
          <w:p w14:paraId="180BE52B" w14:textId="77777777" w:rsidR="007F6723" w:rsidRPr="00097EE4" w:rsidRDefault="007F6723" w:rsidP="00181CF8">
            <w:pPr>
              <w:pStyle w:val="Tabletextcentred"/>
              <w:jc w:val="right"/>
            </w:pPr>
            <w:r w:rsidRPr="00097EE4">
              <w:t>0.03</w:t>
            </w:r>
          </w:p>
        </w:tc>
        <w:tc>
          <w:tcPr>
            <w:tcW w:w="1167" w:type="pct"/>
          </w:tcPr>
          <w:p w14:paraId="1B6355F3" w14:textId="77777777" w:rsidR="007F6723" w:rsidRPr="00097EE4" w:rsidRDefault="007F6723" w:rsidP="00181CF8">
            <w:pPr>
              <w:pStyle w:val="Tabletextcentred"/>
              <w:jc w:val="right"/>
            </w:pPr>
            <w:r w:rsidRPr="00097EE4">
              <w:t>FDG-PET leads to cost savings while improving QALYs</w:t>
            </w:r>
          </w:p>
        </w:tc>
      </w:tr>
      <w:tr w:rsidR="007F6723" w:rsidRPr="00097EE4" w14:paraId="3F4E4061" w14:textId="77777777" w:rsidTr="00181CF8">
        <w:tc>
          <w:tcPr>
            <w:tcW w:w="2302" w:type="pct"/>
          </w:tcPr>
          <w:p w14:paraId="0A7DC7BA" w14:textId="77777777" w:rsidR="007F6723" w:rsidRPr="00097EE4" w:rsidRDefault="007F6723" w:rsidP="00181CF8">
            <w:pPr>
              <w:pStyle w:val="Tabletextcentred"/>
              <w:jc w:val="left"/>
            </w:pPr>
            <w:r w:rsidRPr="00097EE4">
              <w:t>Starting age set to 65 years (72.4 in base case)</w:t>
            </w:r>
          </w:p>
        </w:tc>
        <w:tc>
          <w:tcPr>
            <w:tcW w:w="765" w:type="pct"/>
          </w:tcPr>
          <w:p w14:paraId="1663D1B0" w14:textId="77777777" w:rsidR="007F6723" w:rsidRPr="00097EE4" w:rsidRDefault="007F6723" w:rsidP="00181CF8">
            <w:pPr>
              <w:pStyle w:val="Tabletextcentred"/>
              <w:jc w:val="right"/>
            </w:pPr>
            <w:r w:rsidRPr="00097EE4">
              <w:t>-$1160</w:t>
            </w:r>
          </w:p>
        </w:tc>
        <w:tc>
          <w:tcPr>
            <w:tcW w:w="766" w:type="pct"/>
          </w:tcPr>
          <w:p w14:paraId="0E6FF960" w14:textId="77777777" w:rsidR="007F6723" w:rsidRPr="00097EE4" w:rsidRDefault="007F6723" w:rsidP="00181CF8">
            <w:pPr>
              <w:pStyle w:val="Tabletextcentred"/>
              <w:jc w:val="right"/>
            </w:pPr>
            <w:r w:rsidRPr="00097EE4">
              <w:t>0.01</w:t>
            </w:r>
          </w:p>
        </w:tc>
        <w:tc>
          <w:tcPr>
            <w:tcW w:w="1167" w:type="pct"/>
          </w:tcPr>
          <w:p w14:paraId="78BE8055" w14:textId="77777777" w:rsidR="007F6723" w:rsidRPr="00097EE4" w:rsidRDefault="007F6723" w:rsidP="00181CF8">
            <w:pPr>
              <w:pStyle w:val="Tabletextcentred"/>
              <w:jc w:val="right"/>
            </w:pPr>
            <w:r w:rsidRPr="00097EE4">
              <w:t>FDG-PET leads to cost savings while improving QALYs</w:t>
            </w:r>
          </w:p>
        </w:tc>
      </w:tr>
      <w:tr w:rsidR="007F6723" w:rsidRPr="00097EE4" w14:paraId="3F2044B3" w14:textId="77777777" w:rsidTr="00181CF8">
        <w:tc>
          <w:tcPr>
            <w:tcW w:w="2302" w:type="pct"/>
          </w:tcPr>
          <w:p w14:paraId="38089AB0" w14:textId="77777777" w:rsidR="007F6723" w:rsidRPr="00097EE4" w:rsidRDefault="007F6723" w:rsidP="00181CF8">
            <w:pPr>
              <w:pStyle w:val="Tabletextcentred"/>
              <w:jc w:val="left"/>
            </w:pPr>
            <w:r w:rsidRPr="00097EE4">
              <w:t>Gender weighting set to 50% female (61.98% in the base case)</w:t>
            </w:r>
          </w:p>
        </w:tc>
        <w:tc>
          <w:tcPr>
            <w:tcW w:w="765" w:type="pct"/>
          </w:tcPr>
          <w:p w14:paraId="3D23166C" w14:textId="77777777" w:rsidR="007F6723" w:rsidRPr="00097EE4" w:rsidRDefault="007F6723" w:rsidP="00181CF8">
            <w:pPr>
              <w:pStyle w:val="Tabletextcentred"/>
              <w:jc w:val="right"/>
            </w:pPr>
            <w:r w:rsidRPr="00097EE4">
              <w:t>-$1160</w:t>
            </w:r>
          </w:p>
        </w:tc>
        <w:tc>
          <w:tcPr>
            <w:tcW w:w="766" w:type="pct"/>
          </w:tcPr>
          <w:p w14:paraId="062007D4" w14:textId="77777777" w:rsidR="007F6723" w:rsidRPr="00097EE4" w:rsidRDefault="007F6723" w:rsidP="00181CF8">
            <w:pPr>
              <w:pStyle w:val="Tabletextcentred"/>
              <w:jc w:val="right"/>
            </w:pPr>
            <w:r w:rsidRPr="00097EE4">
              <w:t>0.03</w:t>
            </w:r>
          </w:p>
        </w:tc>
        <w:tc>
          <w:tcPr>
            <w:tcW w:w="1167" w:type="pct"/>
          </w:tcPr>
          <w:p w14:paraId="15D8F449" w14:textId="77777777" w:rsidR="007F6723" w:rsidRPr="00097EE4" w:rsidRDefault="007F6723" w:rsidP="00181CF8">
            <w:pPr>
              <w:pStyle w:val="Tabletextcentred"/>
              <w:jc w:val="right"/>
            </w:pPr>
            <w:r w:rsidRPr="00097EE4">
              <w:t>FDG-PET leads to cost savings while improving QALYs</w:t>
            </w:r>
          </w:p>
        </w:tc>
      </w:tr>
      <w:tr w:rsidR="007F6723" w:rsidRPr="00097EE4" w14:paraId="3FDC6032" w14:textId="77777777" w:rsidTr="00181CF8">
        <w:tc>
          <w:tcPr>
            <w:tcW w:w="2302" w:type="pct"/>
          </w:tcPr>
          <w:p w14:paraId="53F858FF" w14:textId="77777777" w:rsidR="007F6723" w:rsidRPr="00097EE4" w:rsidRDefault="007F6723" w:rsidP="00181CF8">
            <w:pPr>
              <w:pStyle w:val="Tabletextcentred"/>
              <w:jc w:val="left"/>
            </w:pPr>
            <w:r w:rsidRPr="00097EE4">
              <w:t>Initial distribution of patients with no AD decreased to 10% (30% in the base case)</w:t>
            </w:r>
          </w:p>
        </w:tc>
        <w:tc>
          <w:tcPr>
            <w:tcW w:w="765" w:type="pct"/>
          </w:tcPr>
          <w:p w14:paraId="797B23E5" w14:textId="77777777" w:rsidR="007F6723" w:rsidRPr="00097EE4" w:rsidRDefault="007F6723" w:rsidP="00181CF8">
            <w:pPr>
              <w:pStyle w:val="Tabletextcentred"/>
              <w:jc w:val="right"/>
            </w:pPr>
            <w:r w:rsidRPr="00097EE4">
              <w:t>-$290</w:t>
            </w:r>
          </w:p>
        </w:tc>
        <w:tc>
          <w:tcPr>
            <w:tcW w:w="766" w:type="pct"/>
          </w:tcPr>
          <w:p w14:paraId="041D12AA" w14:textId="77777777" w:rsidR="007F6723" w:rsidRPr="00097EE4" w:rsidRDefault="007F6723" w:rsidP="001B6692">
            <w:pPr>
              <w:pStyle w:val="Tabletextcentred"/>
              <w:jc w:val="right"/>
            </w:pPr>
            <w:r w:rsidRPr="00097EE4">
              <w:t>0.01</w:t>
            </w:r>
          </w:p>
        </w:tc>
        <w:tc>
          <w:tcPr>
            <w:tcW w:w="1167" w:type="pct"/>
          </w:tcPr>
          <w:p w14:paraId="6A61AAA5" w14:textId="77777777" w:rsidR="007F6723" w:rsidRPr="00097EE4" w:rsidRDefault="007F6723" w:rsidP="00181CF8">
            <w:pPr>
              <w:pStyle w:val="Tabletextcentred"/>
              <w:jc w:val="right"/>
            </w:pPr>
            <w:r w:rsidRPr="00097EE4">
              <w:t>FDG-PET leads to cost savings while improving QALYs</w:t>
            </w:r>
          </w:p>
        </w:tc>
      </w:tr>
      <w:tr w:rsidR="007F6723" w:rsidRPr="00097EE4" w14:paraId="30CF7307" w14:textId="77777777" w:rsidTr="00181CF8">
        <w:tc>
          <w:tcPr>
            <w:tcW w:w="2302" w:type="pct"/>
          </w:tcPr>
          <w:p w14:paraId="0463395B" w14:textId="77777777" w:rsidR="007F6723" w:rsidRPr="00097EE4" w:rsidRDefault="007F6723" w:rsidP="00181CF8">
            <w:pPr>
              <w:pStyle w:val="Tabletextcentred"/>
              <w:jc w:val="left"/>
            </w:pPr>
            <w:r w:rsidRPr="00097EE4">
              <w:t>Initial distribution of patients with no AD increased to 50% (30% in the base case)</w:t>
            </w:r>
          </w:p>
        </w:tc>
        <w:tc>
          <w:tcPr>
            <w:tcW w:w="765" w:type="pct"/>
          </w:tcPr>
          <w:p w14:paraId="6D9C0DB4" w14:textId="77777777" w:rsidR="007F6723" w:rsidRPr="00097EE4" w:rsidRDefault="007F6723" w:rsidP="00181CF8">
            <w:pPr>
              <w:pStyle w:val="Tabletextcentred"/>
              <w:jc w:val="right"/>
            </w:pPr>
            <w:r w:rsidRPr="00097EE4">
              <w:t>-$2117</w:t>
            </w:r>
          </w:p>
        </w:tc>
        <w:tc>
          <w:tcPr>
            <w:tcW w:w="766" w:type="pct"/>
          </w:tcPr>
          <w:p w14:paraId="16C6B4B2" w14:textId="77777777" w:rsidR="007F6723" w:rsidRPr="00097EE4" w:rsidRDefault="007F6723" w:rsidP="00181CF8">
            <w:pPr>
              <w:pStyle w:val="Tabletextcentred"/>
              <w:jc w:val="right"/>
            </w:pPr>
            <w:r w:rsidRPr="00097EE4">
              <w:t>0.04</w:t>
            </w:r>
          </w:p>
        </w:tc>
        <w:tc>
          <w:tcPr>
            <w:tcW w:w="1167" w:type="pct"/>
          </w:tcPr>
          <w:p w14:paraId="600EBF58" w14:textId="77777777" w:rsidR="007F6723" w:rsidRPr="00097EE4" w:rsidRDefault="007F6723" w:rsidP="00181CF8">
            <w:pPr>
              <w:pStyle w:val="Tabletextcentred"/>
              <w:jc w:val="right"/>
            </w:pPr>
            <w:r w:rsidRPr="00097EE4">
              <w:t>FDG-PET leads to cost savings while improving QALYs</w:t>
            </w:r>
          </w:p>
        </w:tc>
      </w:tr>
      <w:tr w:rsidR="007F6723" w:rsidRPr="00097EE4" w14:paraId="5E2565E0" w14:textId="77777777" w:rsidTr="00181CF8">
        <w:tc>
          <w:tcPr>
            <w:tcW w:w="2302" w:type="pct"/>
          </w:tcPr>
          <w:p w14:paraId="217CA824" w14:textId="77777777" w:rsidR="007F6723" w:rsidRPr="00C02420" w:rsidRDefault="007F6723" w:rsidP="00181CF8">
            <w:pPr>
              <w:pStyle w:val="Tabletextcentred"/>
              <w:jc w:val="left"/>
            </w:pPr>
            <w:r w:rsidRPr="00C02420">
              <w:t>Weighting of initial AD severity set to 80% mild and 20% moderate (67% mild and 33% moderate in base case)</w:t>
            </w:r>
          </w:p>
        </w:tc>
        <w:tc>
          <w:tcPr>
            <w:tcW w:w="765" w:type="pct"/>
          </w:tcPr>
          <w:p w14:paraId="464B2353" w14:textId="77777777" w:rsidR="007F6723" w:rsidRPr="00C02420" w:rsidRDefault="007F6723" w:rsidP="00181CF8">
            <w:pPr>
              <w:pStyle w:val="Tabletextcentred"/>
              <w:jc w:val="right"/>
            </w:pPr>
            <w:r w:rsidRPr="00C02420">
              <w:t>-$1125</w:t>
            </w:r>
          </w:p>
        </w:tc>
        <w:tc>
          <w:tcPr>
            <w:tcW w:w="766" w:type="pct"/>
          </w:tcPr>
          <w:p w14:paraId="4B971479" w14:textId="77777777" w:rsidR="007F6723" w:rsidRPr="00C02420" w:rsidRDefault="007F6723" w:rsidP="00181CF8">
            <w:pPr>
              <w:pStyle w:val="Tabletextcentred"/>
              <w:jc w:val="right"/>
            </w:pPr>
            <w:r w:rsidRPr="00C02420">
              <w:t>0.03</w:t>
            </w:r>
          </w:p>
        </w:tc>
        <w:tc>
          <w:tcPr>
            <w:tcW w:w="1167" w:type="pct"/>
          </w:tcPr>
          <w:p w14:paraId="7DF94051" w14:textId="77777777" w:rsidR="007F6723" w:rsidRPr="00C02420" w:rsidRDefault="007F6723" w:rsidP="00181CF8">
            <w:pPr>
              <w:pStyle w:val="Tabletextcentred"/>
              <w:jc w:val="right"/>
            </w:pPr>
            <w:r w:rsidRPr="00C02420">
              <w:t>FDG-PET leads to cost savings while improving QALYs</w:t>
            </w:r>
          </w:p>
        </w:tc>
      </w:tr>
      <w:tr w:rsidR="007F6723" w:rsidRPr="00097EE4" w14:paraId="162E1B9F" w14:textId="77777777" w:rsidTr="00181CF8">
        <w:tc>
          <w:tcPr>
            <w:tcW w:w="2302" w:type="pct"/>
          </w:tcPr>
          <w:p w14:paraId="5BC2255B" w14:textId="77777777" w:rsidR="007F6723" w:rsidRPr="00097EE4" w:rsidRDefault="007F6723" w:rsidP="00181CF8">
            <w:pPr>
              <w:pStyle w:val="Tabletextcentred"/>
              <w:jc w:val="left"/>
            </w:pPr>
            <w:r w:rsidRPr="00097EE4">
              <w:t>Weighting of initial AD severity set to 50% mild and 50% moderate (67% mild and 33% moderate in base case)</w:t>
            </w:r>
          </w:p>
        </w:tc>
        <w:tc>
          <w:tcPr>
            <w:tcW w:w="765" w:type="pct"/>
          </w:tcPr>
          <w:p w14:paraId="421FEBE0" w14:textId="77777777" w:rsidR="007F6723" w:rsidRPr="00097EE4" w:rsidRDefault="007F6723" w:rsidP="00181CF8">
            <w:pPr>
              <w:pStyle w:val="Tabletextcentred"/>
              <w:jc w:val="right"/>
            </w:pPr>
            <w:r w:rsidRPr="00097EE4">
              <w:t>-$1204</w:t>
            </w:r>
          </w:p>
        </w:tc>
        <w:tc>
          <w:tcPr>
            <w:tcW w:w="766" w:type="pct"/>
          </w:tcPr>
          <w:p w14:paraId="5DA8C5B8" w14:textId="77777777" w:rsidR="007F6723" w:rsidRPr="00097EE4" w:rsidRDefault="007F6723" w:rsidP="00181CF8">
            <w:pPr>
              <w:pStyle w:val="Tabletextcentred"/>
              <w:jc w:val="right"/>
            </w:pPr>
            <w:r w:rsidRPr="00097EE4">
              <w:t>0.03</w:t>
            </w:r>
          </w:p>
        </w:tc>
        <w:tc>
          <w:tcPr>
            <w:tcW w:w="1167" w:type="pct"/>
          </w:tcPr>
          <w:p w14:paraId="2EB5F96A" w14:textId="77777777" w:rsidR="007F6723" w:rsidRPr="00097EE4" w:rsidRDefault="007F6723" w:rsidP="00181CF8">
            <w:pPr>
              <w:pStyle w:val="Tabletextcentred"/>
              <w:jc w:val="right"/>
            </w:pPr>
            <w:r w:rsidRPr="00097EE4">
              <w:t>FDG-PET leads to cost savings while improving QALYs</w:t>
            </w:r>
          </w:p>
        </w:tc>
      </w:tr>
      <w:tr w:rsidR="007F6723" w:rsidRPr="00097EE4" w14:paraId="75788DC5" w14:textId="77777777" w:rsidTr="00181CF8">
        <w:tc>
          <w:tcPr>
            <w:tcW w:w="2302" w:type="pct"/>
          </w:tcPr>
          <w:p w14:paraId="01E65A83" w14:textId="77777777" w:rsidR="007F6723" w:rsidRPr="00097EE4" w:rsidRDefault="007F6723" w:rsidP="00181CF8">
            <w:pPr>
              <w:pStyle w:val="Tabletextcentred"/>
              <w:jc w:val="left"/>
            </w:pPr>
            <w:r w:rsidRPr="00097EE4">
              <w:t>Discount rate set to 0% for costs and outcomes (5% in the base case)</w:t>
            </w:r>
          </w:p>
        </w:tc>
        <w:tc>
          <w:tcPr>
            <w:tcW w:w="765" w:type="pct"/>
          </w:tcPr>
          <w:p w14:paraId="7D2B0C75" w14:textId="77777777" w:rsidR="007F6723" w:rsidRPr="00097EE4" w:rsidRDefault="007F6723" w:rsidP="00181CF8">
            <w:pPr>
              <w:pStyle w:val="Tabletextcentred"/>
              <w:jc w:val="right"/>
            </w:pPr>
            <w:r w:rsidRPr="00097EE4">
              <w:t>-$1344</w:t>
            </w:r>
          </w:p>
        </w:tc>
        <w:tc>
          <w:tcPr>
            <w:tcW w:w="766" w:type="pct"/>
          </w:tcPr>
          <w:p w14:paraId="7789DF89" w14:textId="77777777" w:rsidR="007F6723" w:rsidRPr="00097EE4" w:rsidRDefault="007F6723" w:rsidP="00181CF8">
            <w:pPr>
              <w:pStyle w:val="Tabletextcentred"/>
              <w:jc w:val="right"/>
            </w:pPr>
            <w:r w:rsidRPr="00097EE4">
              <w:t>0.03</w:t>
            </w:r>
          </w:p>
        </w:tc>
        <w:tc>
          <w:tcPr>
            <w:tcW w:w="1167" w:type="pct"/>
          </w:tcPr>
          <w:p w14:paraId="7F51856C" w14:textId="77777777" w:rsidR="007F6723" w:rsidRPr="00097EE4" w:rsidRDefault="007F6723" w:rsidP="00181CF8">
            <w:pPr>
              <w:pStyle w:val="Tabletextcentred"/>
              <w:jc w:val="right"/>
            </w:pPr>
            <w:r w:rsidRPr="00097EE4">
              <w:t>FDG-PET leads to cost savings while improving QALYs</w:t>
            </w:r>
          </w:p>
        </w:tc>
      </w:tr>
      <w:tr w:rsidR="007F6723" w:rsidRPr="00097EE4" w14:paraId="3964C99C" w14:textId="77777777" w:rsidTr="00181CF8">
        <w:tc>
          <w:tcPr>
            <w:tcW w:w="2302" w:type="pct"/>
          </w:tcPr>
          <w:p w14:paraId="2CE3C36A" w14:textId="77777777" w:rsidR="007F6723" w:rsidRPr="00097EE4" w:rsidRDefault="007F6723" w:rsidP="00181CF8">
            <w:pPr>
              <w:pStyle w:val="Tabletextcentred"/>
              <w:jc w:val="left"/>
            </w:pPr>
            <w:r w:rsidRPr="00097EE4">
              <w:t>Discount rate set to 3% for costs and outcomes (5% in the base case)</w:t>
            </w:r>
          </w:p>
        </w:tc>
        <w:tc>
          <w:tcPr>
            <w:tcW w:w="765" w:type="pct"/>
          </w:tcPr>
          <w:p w14:paraId="38CC954C" w14:textId="77777777" w:rsidR="007F6723" w:rsidRPr="00097EE4" w:rsidRDefault="007F6723" w:rsidP="00181CF8">
            <w:pPr>
              <w:pStyle w:val="Tabletextcentred"/>
              <w:jc w:val="right"/>
            </w:pPr>
            <w:r w:rsidRPr="00097EE4">
              <w:t>-$1229</w:t>
            </w:r>
          </w:p>
        </w:tc>
        <w:tc>
          <w:tcPr>
            <w:tcW w:w="766" w:type="pct"/>
          </w:tcPr>
          <w:p w14:paraId="1B884BA5" w14:textId="77777777" w:rsidR="007F6723" w:rsidRPr="00097EE4" w:rsidRDefault="007F6723" w:rsidP="00181CF8">
            <w:pPr>
              <w:pStyle w:val="Tabletextcentred"/>
              <w:jc w:val="right"/>
            </w:pPr>
            <w:r w:rsidRPr="00097EE4">
              <w:t>0.03</w:t>
            </w:r>
          </w:p>
        </w:tc>
        <w:tc>
          <w:tcPr>
            <w:tcW w:w="1167" w:type="pct"/>
          </w:tcPr>
          <w:p w14:paraId="56CAB3E9" w14:textId="77777777" w:rsidR="007F6723" w:rsidRPr="00097EE4" w:rsidRDefault="007F6723" w:rsidP="00181CF8">
            <w:pPr>
              <w:pStyle w:val="Tabletextcentred"/>
              <w:jc w:val="right"/>
            </w:pPr>
            <w:r w:rsidRPr="00097EE4">
              <w:t>FDG-PET leads to cost savings while improving QALYs</w:t>
            </w:r>
          </w:p>
        </w:tc>
      </w:tr>
      <w:tr w:rsidR="007F6723" w:rsidRPr="00097EE4" w14:paraId="3D66DE24" w14:textId="77777777" w:rsidTr="00181CF8">
        <w:tc>
          <w:tcPr>
            <w:tcW w:w="2302" w:type="pct"/>
          </w:tcPr>
          <w:p w14:paraId="6A9748F3" w14:textId="77777777" w:rsidR="007F6723" w:rsidRPr="00097EE4" w:rsidRDefault="007F6723" w:rsidP="00181CF8">
            <w:pPr>
              <w:pStyle w:val="Tabletextcentred"/>
              <w:jc w:val="left"/>
            </w:pPr>
            <w:r w:rsidRPr="00097EE4">
              <w:t>Model duration reduced to 3 years (5 years in the base case)</w:t>
            </w:r>
          </w:p>
        </w:tc>
        <w:tc>
          <w:tcPr>
            <w:tcW w:w="765" w:type="pct"/>
          </w:tcPr>
          <w:p w14:paraId="48D685F7" w14:textId="77777777" w:rsidR="007F6723" w:rsidRPr="00097EE4" w:rsidRDefault="007F6723" w:rsidP="00181CF8">
            <w:pPr>
              <w:pStyle w:val="Tabletextcentred"/>
              <w:jc w:val="right"/>
            </w:pPr>
            <w:r w:rsidRPr="00097EE4">
              <w:t>-$443</w:t>
            </w:r>
          </w:p>
        </w:tc>
        <w:tc>
          <w:tcPr>
            <w:tcW w:w="766" w:type="pct"/>
          </w:tcPr>
          <w:p w14:paraId="68DE3FF3" w14:textId="77777777" w:rsidR="007F6723" w:rsidRPr="00097EE4" w:rsidRDefault="007F6723" w:rsidP="00181CF8">
            <w:pPr>
              <w:pStyle w:val="Tabletextcentred"/>
              <w:jc w:val="right"/>
            </w:pPr>
            <w:r w:rsidRPr="00097EE4">
              <w:t>0.02</w:t>
            </w:r>
          </w:p>
        </w:tc>
        <w:tc>
          <w:tcPr>
            <w:tcW w:w="1167" w:type="pct"/>
          </w:tcPr>
          <w:p w14:paraId="31484AB5" w14:textId="77777777" w:rsidR="007F6723" w:rsidRPr="00097EE4" w:rsidRDefault="007F6723" w:rsidP="00181CF8">
            <w:pPr>
              <w:pStyle w:val="Tabletextcentred"/>
              <w:jc w:val="right"/>
            </w:pPr>
            <w:r w:rsidRPr="00097EE4">
              <w:t>FDG-PET leads to cost savings while improving QALYs</w:t>
            </w:r>
          </w:p>
        </w:tc>
      </w:tr>
      <w:tr w:rsidR="007F6723" w:rsidRPr="00097EE4" w14:paraId="35C3835C" w14:textId="77777777" w:rsidTr="00181CF8">
        <w:tc>
          <w:tcPr>
            <w:tcW w:w="2302" w:type="pct"/>
            <w:tcBorders>
              <w:bottom w:val="single" w:sz="4" w:space="0" w:color="auto"/>
            </w:tcBorders>
          </w:tcPr>
          <w:p w14:paraId="2E64E37F" w14:textId="77777777" w:rsidR="007F6723" w:rsidRPr="00097EE4" w:rsidRDefault="007F6723" w:rsidP="00181CF8">
            <w:pPr>
              <w:pStyle w:val="Tabletextcentred"/>
              <w:jc w:val="left"/>
            </w:pPr>
            <w:r w:rsidRPr="00097EE4">
              <w:t>Model duration increased to 10 years (5 years in the base case)</w:t>
            </w:r>
          </w:p>
        </w:tc>
        <w:tc>
          <w:tcPr>
            <w:tcW w:w="765" w:type="pct"/>
            <w:tcBorders>
              <w:bottom w:val="single" w:sz="4" w:space="0" w:color="auto"/>
            </w:tcBorders>
          </w:tcPr>
          <w:p w14:paraId="6F783F7F" w14:textId="77777777" w:rsidR="007F6723" w:rsidRPr="00097EE4" w:rsidRDefault="007F6723" w:rsidP="00181CF8">
            <w:pPr>
              <w:pStyle w:val="Tabletextcentred"/>
              <w:jc w:val="right"/>
            </w:pPr>
            <w:r w:rsidRPr="00097EE4">
              <w:t>-$2567</w:t>
            </w:r>
          </w:p>
        </w:tc>
        <w:tc>
          <w:tcPr>
            <w:tcW w:w="766" w:type="pct"/>
            <w:tcBorders>
              <w:bottom w:val="single" w:sz="4" w:space="0" w:color="auto"/>
            </w:tcBorders>
          </w:tcPr>
          <w:p w14:paraId="7328EC76" w14:textId="77777777" w:rsidR="007F6723" w:rsidRPr="00097EE4" w:rsidRDefault="007F6723" w:rsidP="00181CF8">
            <w:pPr>
              <w:pStyle w:val="Tabletextcentred"/>
              <w:jc w:val="right"/>
            </w:pPr>
            <w:r w:rsidRPr="00097EE4">
              <w:t>0.05</w:t>
            </w:r>
          </w:p>
        </w:tc>
        <w:tc>
          <w:tcPr>
            <w:tcW w:w="1167" w:type="pct"/>
          </w:tcPr>
          <w:p w14:paraId="0404587E" w14:textId="77777777" w:rsidR="007F6723" w:rsidRPr="00097EE4" w:rsidRDefault="007F6723" w:rsidP="00181CF8">
            <w:pPr>
              <w:pStyle w:val="Tabletextcentred"/>
              <w:jc w:val="right"/>
            </w:pPr>
            <w:r w:rsidRPr="00097EE4">
              <w:t>FDG-PET leads to cost savings while improving QALYs</w:t>
            </w:r>
          </w:p>
        </w:tc>
      </w:tr>
      <w:tr w:rsidR="007F6723" w:rsidRPr="00097EE4" w14:paraId="2BE6399B" w14:textId="77777777" w:rsidTr="00047A70">
        <w:tc>
          <w:tcPr>
            <w:tcW w:w="2302" w:type="pct"/>
            <w:tcBorders>
              <w:right w:val="nil"/>
            </w:tcBorders>
            <w:shd w:val="clear" w:color="auto" w:fill="BFBFBF" w:themeFill="background1" w:themeFillShade="BF"/>
          </w:tcPr>
          <w:p w14:paraId="289332FF" w14:textId="77777777" w:rsidR="007F6723" w:rsidRPr="00047A70" w:rsidRDefault="007F6723" w:rsidP="00181CF8">
            <w:pPr>
              <w:pStyle w:val="Tabletextcentred"/>
              <w:jc w:val="left"/>
            </w:pPr>
            <w:r w:rsidRPr="00047A70">
              <w:t>Costs</w:t>
            </w:r>
          </w:p>
        </w:tc>
        <w:tc>
          <w:tcPr>
            <w:tcW w:w="765" w:type="pct"/>
            <w:tcBorders>
              <w:left w:val="nil"/>
              <w:right w:val="nil"/>
            </w:tcBorders>
            <w:shd w:val="clear" w:color="auto" w:fill="BFBFBF" w:themeFill="background1" w:themeFillShade="BF"/>
          </w:tcPr>
          <w:p w14:paraId="32181A8F" w14:textId="77777777" w:rsidR="007F6723" w:rsidRPr="00047A70" w:rsidRDefault="007F6723" w:rsidP="00181CF8">
            <w:pPr>
              <w:pStyle w:val="Tabletextcentred"/>
              <w:jc w:val="left"/>
            </w:pPr>
          </w:p>
        </w:tc>
        <w:tc>
          <w:tcPr>
            <w:tcW w:w="766" w:type="pct"/>
            <w:tcBorders>
              <w:left w:val="nil"/>
              <w:right w:val="nil"/>
            </w:tcBorders>
            <w:shd w:val="clear" w:color="auto" w:fill="BFBFBF" w:themeFill="background1" w:themeFillShade="BF"/>
          </w:tcPr>
          <w:p w14:paraId="61BFA315" w14:textId="77777777" w:rsidR="007F6723" w:rsidRPr="00047A70" w:rsidRDefault="007F6723" w:rsidP="00181CF8">
            <w:pPr>
              <w:pStyle w:val="Tabletextcentred"/>
              <w:jc w:val="left"/>
            </w:pPr>
          </w:p>
        </w:tc>
        <w:tc>
          <w:tcPr>
            <w:tcW w:w="1167" w:type="pct"/>
            <w:tcBorders>
              <w:left w:val="nil"/>
            </w:tcBorders>
            <w:shd w:val="clear" w:color="auto" w:fill="BFBFBF" w:themeFill="background1" w:themeFillShade="BF"/>
          </w:tcPr>
          <w:p w14:paraId="0FE0533E" w14:textId="77777777" w:rsidR="007F6723" w:rsidRPr="00047A70" w:rsidRDefault="007F6723" w:rsidP="00181CF8">
            <w:pPr>
              <w:pStyle w:val="Tabletextcentred"/>
              <w:jc w:val="left"/>
            </w:pPr>
          </w:p>
        </w:tc>
      </w:tr>
      <w:tr w:rsidR="007F6723" w:rsidRPr="00097EE4" w14:paraId="70721546" w14:textId="77777777" w:rsidTr="00181CF8">
        <w:tc>
          <w:tcPr>
            <w:tcW w:w="2302" w:type="pct"/>
          </w:tcPr>
          <w:p w14:paraId="3A3CBF1C" w14:textId="77777777" w:rsidR="007F6723" w:rsidRPr="00097EE4" w:rsidRDefault="007F6723" w:rsidP="00181CF8">
            <w:pPr>
              <w:pStyle w:val="Tabletextcentred"/>
              <w:jc w:val="left"/>
            </w:pPr>
            <w:r w:rsidRPr="00097EE4">
              <w:t>MBS item fee for FDG-PET increased by 10% to $1009.80 ($918.00 in the base case)</w:t>
            </w:r>
          </w:p>
        </w:tc>
        <w:tc>
          <w:tcPr>
            <w:tcW w:w="765" w:type="pct"/>
          </w:tcPr>
          <w:p w14:paraId="477C59CE" w14:textId="77777777" w:rsidR="007F6723" w:rsidRPr="00097EE4" w:rsidRDefault="007F6723" w:rsidP="00181CF8">
            <w:pPr>
              <w:pStyle w:val="Tabletextcentred"/>
              <w:jc w:val="right"/>
            </w:pPr>
            <w:r w:rsidRPr="00097EE4">
              <w:t>-$1069</w:t>
            </w:r>
          </w:p>
        </w:tc>
        <w:tc>
          <w:tcPr>
            <w:tcW w:w="766" w:type="pct"/>
          </w:tcPr>
          <w:p w14:paraId="088E1C5D" w14:textId="77777777" w:rsidR="007F6723" w:rsidRPr="00097EE4" w:rsidRDefault="007F6723" w:rsidP="00181CF8">
            <w:pPr>
              <w:pStyle w:val="Tabletextcentred"/>
              <w:jc w:val="right"/>
            </w:pPr>
            <w:r w:rsidRPr="00097EE4">
              <w:t>0.03</w:t>
            </w:r>
          </w:p>
        </w:tc>
        <w:tc>
          <w:tcPr>
            <w:tcW w:w="1167" w:type="pct"/>
          </w:tcPr>
          <w:p w14:paraId="4EE2DE2C" w14:textId="77777777" w:rsidR="007F6723" w:rsidRPr="00097EE4" w:rsidRDefault="007F6723" w:rsidP="00181CF8">
            <w:pPr>
              <w:pStyle w:val="Tabletextcentred"/>
              <w:jc w:val="right"/>
            </w:pPr>
            <w:r w:rsidRPr="00097EE4">
              <w:t>FDG-PET leads to cost savings while improving QALYs</w:t>
            </w:r>
          </w:p>
        </w:tc>
      </w:tr>
      <w:tr w:rsidR="007F6723" w:rsidRPr="00097EE4" w14:paraId="67501486" w14:textId="77777777" w:rsidTr="00181CF8">
        <w:tc>
          <w:tcPr>
            <w:tcW w:w="2302" w:type="pct"/>
          </w:tcPr>
          <w:p w14:paraId="63A70FB8" w14:textId="77777777" w:rsidR="007F6723" w:rsidRPr="00097EE4" w:rsidRDefault="007F6723" w:rsidP="00181CF8">
            <w:pPr>
              <w:pStyle w:val="Tabletextcentred"/>
              <w:jc w:val="left"/>
            </w:pPr>
            <w:r w:rsidRPr="00097EE4">
              <w:t>MBS item fee for FDG-PET decreased by 10% to $826.20 ($918.00 in the base case)</w:t>
            </w:r>
          </w:p>
        </w:tc>
        <w:tc>
          <w:tcPr>
            <w:tcW w:w="765" w:type="pct"/>
          </w:tcPr>
          <w:p w14:paraId="1B12F843" w14:textId="77777777" w:rsidR="007F6723" w:rsidRPr="00097EE4" w:rsidRDefault="007F6723" w:rsidP="00181CF8">
            <w:pPr>
              <w:pStyle w:val="Tabletextcentred"/>
              <w:jc w:val="right"/>
            </w:pPr>
            <w:r w:rsidRPr="00097EE4">
              <w:t>-$1252</w:t>
            </w:r>
          </w:p>
        </w:tc>
        <w:tc>
          <w:tcPr>
            <w:tcW w:w="766" w:type="pct"/>
          </w:tcPr>
          <w:p w14:paraId="41CAE3D4" w14:textId="77777777" w:rsidR="007F6723" w:rsidRPr="00097EE4" w:rsidRDefault="007F6723" w:rsidP="00181CF8">
            <w:pPr>
              <w:pStyle w:val="Tabletextcentred"/>
              <w:jc w:val="right"/>
            </w:pPr>
            <w:r w:rsidRPr="00097EE4">
              <w:t>0.03</w:t>
            </w:r>
          </w:p>
        </w:tc>
        <w:tc>
          <w:tcPr>
            <w:tcW w:w="1167" w:type="pct"/>
          </w:tcPr>
          <w:p w14:paraId="1F930C6A" w14:textId="77777777" w:rsidR="007F6723" w:rsidRPr="00097EE4" w:rsidRDefault="007F6723" w:rsidP="00181CF8">
            <w:pPr>
              <w:pStyle w:val="Tabletextcentred"/>
              <w:jc w:val="right"/>
            </w:pPr>
            <w:r w:rsidRPr="00097EE4">
              <w:t>FDG-PET leads to cost savings while improving QALYs</w:t>
            </w:r>
          </w:p>
        </w:tc>
      </w:tr>
      <w:tr w:rsidR="007F6723" w:rsidRPr="00097EE4" w14:paraId="0D82872D" w14:textId="77777777" w:rsidTr="00181CF8">
        <w:tc>
          <w:tcPr>
            <w:tcW w:w="2302" w:type="pct"/>
          </w:tcPr>
          <w:p w14:paraId="0630469A" w14:textId="13132B2B" w:rsidR="007F6723" w:rsidRPr="00097EE4" w:rsidRDefault="007F6723" w:rsidP="00181CF8">
            <w:pPr>
              <w:pStyle w:val="Tabletextcentred"/>
              <w:jc w:val="left"/>
            </w:pPr>
            <w:r w:rsidRPr="00097EE4">
              <w:t xml:space="preserve">MBS item fee for FDG-PET set to </w:t>
            </w:r>
            <w:r w:rsidR="00B16778">
              <w:t>A</w:t>
            </w:r>
            <w:r w:rsidRPr="00097EE4">
              <w:t>pplicant’s requested fee of $1180.00</w:t>
            </w:r>
          </w:p>
        </w:tc>
        <w:tc>
          <w:tcPr>
            <w:tcW w:w="765" w:type="pct"/>
          </w:tcPr>
          <w:p w14:paraId="05114755" w14:textId="77777777" w:rsidR="007F6723" w:rsidRPr="00097EE4" w:rsidRDefault="007F6723" w:rsidP="00181CF8">
            <w:pPr>
              <w:pStyle w:val="Tabletextcentred"/>
              <w:jc w:val="right"/>
            </w:pPr>
            <w:r w:rsidRPr="00097EE4">
              <w:t>-$898</w:t>
            </w:r>
          </w:p>
        </w:tc>
        <w:tc>
          <w:tcPr>
            <w:tcW w:w="766" w:type="pct"/>
          </w:tcPr>
          <w:p w14:paraId="02EA4300" w14:textId="77777777" w:rsidR="007F6723" w:rsidRPr="00097EE4" w:rsidRDefault="007F6723" w:rsidP="00181CF8">
            <w:pPr>
              <w:pStyle w:val="Tabletextcentred"/>
              <w:jc w:val="right"/>
            </w:pPr>
            <w:r w:rsidRPr="00097EE4">
              <w:t>0.03</w:t>
            </w:r>
          </w:p>
        </w:tc>
        <w:tc>
          <w:tcPr>
            <w:tcW w:w="1167" w:type="pct"/>
          </w:tcPr>
          <w:p w14:paraId="70191689" w14:textId="77777777" w:rsidR="007F6723" w:rsidRPr="00097EE4" w:rsidRDefault="007F6723" w:rsidP="00181CF8">
            <w:pPr>
              <w:pStyle w:val="Tabletextcentred"/>
              <w:jc w:val="right"/>
            </w:pPr>
            <w:r w:rsidRPr="00097EE4">
              <w:t>FDG-PET leads to cost savings while improving QALYs</w:t>
            </w:r>
          </w:p>
        </w:tc>
      </w:tr>
      <w:tr w:rsidR="007F6723" w:rsidRPr="00097EE4" w14:paraId="7B194D4E" w14:textId="77777777" w:rsidTr="00181CF8">
        <w:tc>
          <w:tcPr>
            <w:tcW w:w="2302" w:type="pct"/>
          </w:tcPr>
          <w:p w14:paraId="63888810" w14:textId="77777777" w:rsidR="007F6723" w:rsidRPr="00097EE4" w:rsidRDefault="007F6723" w:rsidP="00F4677F">
            <w:pPr>
              <w:pStyle w:val="Tabletextcentred"/>
              <w:keepNext/>
              <w:jc w:val="left"/>
            </w:pPr>
            <w:r w:rsidRPr="00097EE4">
              <w:lastRenderedPageBreak/>
              <w:t>Daily cost of AChEIs set to price of highest priced treatment option ($3.42 per day instead of average of $1.93 in the base case)</w:t>
            </w:r>
          </w:p>
        </w:tc>
        <w:tc>
          <w:tcPr>
            <w:tcW w:w="765" w:type="pct"/>
          </w:tcPr>
          <w:p w14:paraId="07D8A8EE" w14:textId="77777777" w:rsidR="007F6723" w:rsidRPr="00097EE4" w:rsidRDefault="007F6723" w:rsidP="00F4677F">
            <w:pPr>
              <w:pStyle w:val="Tabletextcentred"/>
              <w:keepNext/>
              <w:jc w:val="right"/>
            </w:pPr>
            <w:r w:rsidRPr="00097EE4">
              <w:t>-$1160</w:t>
            </w:r>
          </w:p>
        </w:tc>
        <w:tc>
          <w:tcPr>
            <w:tcW w:w="766" w:type="pct"/>
          </w:tcPr>
          <w:p w14:paraId="1DD56125" w14:textId="77777777" w:rsidR="007F6723" w:rsidRPr="00097EE4" w:rsidRDefault="007F6723" w:rsidP="00F4677F">
            <w:pPr>
              <w:pStyle w:val="Tabletextcentred"/>
              <w:keepNext/>
              <w:jc w:val="right"/>
            </w:pPr>
            <w:r w:rsidRPr="00097EE4">
              <w:t>0.03</w:t>
            </w:r>
          </w:p>
        </w:tc>
        <w:tc>
          <w:tcPr>
            <w:tcW w:w="1167" w:type="pct"/>
          </w:tcPr>
          <w:p w14:paraId="1DFC8223" w14:textId="77777777" w:rsidR="007F6723" w:rsidRPr="00097EE4" w:rsidRDefault="007F6723" w:rsidP="00F4677F">
            <w:pPr>
              <w:pStyle w:val="Tabletextcentred"/>
              <w:keepNext/>
              <w:jc w:val="right"/>
            </w:pPr>
            <w:r w:rsidRPr="00097EE4">
              <w:t>FDG-PET leads to cost savings while improving QALYs</w:t>
            </w:r>
          </w:p>
        </w:tc>
      </w:tr>
      <w:tr w:rsidR="007F6723" w:rsidRPr="00097EE4" w14:paraId="4AFB5F04" w14:textId="77777777" w:rsidTr="00181CF8">
        <w:tc>
          <w:tcPr>
            <w:tcW w:w="2302" w:type="pct"/>
          </w:tcPr>
          <w:p w14:paraId="14B7AC50" w14:textId="77777777" w:rsidR="007F6723" w:rsidRPr="00097EE4" w:rsidRDefault="007F6723" w:rsidP="00181CF8">
            <w:pPr>
              <w:pStyle w:val="Tabletextcentred"/>
              <w:jc w:val="left"/>
            </w:pPr>
            <w:r w:rsidRPr="00097EE4">
              <w:t>Daily cost of AChEIs set to price of lowest priced treatment option ($1.42 per day instead of average of $1.93 in the base case)</w:t>
            </w:r>
          </w:p>
        </w:tc>
        <w:tc>
          <w:tcPr>
            <w:tcW w:w="765" w:type="pct"/>
          </w:tcPr>
          <w:p w14:paraId="655A4005" w14:textId="77777777" w:rsidR="007F6723" w:rsidRPr="00097EE4" w:rsidRDefault="007F6723" w:rsidP="00181CF8">
            <w:pPr>
              <w:pStyle w:val="Tabletextcentred"/>
              <w:jc w:val="right"/>
            </w:pPr>
            <w:r w:rsidRPr="00097EE4">
              <w:t>-$1160</w:t>
            </w:r>
          </w:p>
        </w:tc>
        <w:tc>
          <w:tcPr>
            <w:tcW w:w="766" w:type="pct"/>
          </w:tcPr>
          <w:p w14:paraId="5256DA2E" w14:textId="77777777" w:rsidR="007F6723" w:rsidRPr="00097EE4" w:rsidRDefault="007F6723" w:rsidP="00181CF8">
            <w:pPr>
              <w:pStyle w:val="Tabletextcentred"/>
              <w:jc w:val="right"/>
            </w:pPr>
            <w:r w:rsidRPr="00097EE4">
              <w:t>0.03</w:t>
            </w:r>
          </w:p>
        </w:tc>
        <w:tc>
          <w:tcPr>
            <w:tcW w:w="1167" w:type="pct"/>
          </w:tcPr>
          <w:p w14:paraId="68FCF2CC" w14:textId="77777777" w:rsidR="007F6723" w:rsidRPr="00097EE4" w:rsidRDefault="007F6723" w:rsidP="00181CF8">
            <w:pPr>
              <w:pStyle w:val="Tabletextcentred"/>
              <w:jc w:val="right"/>
            </w:pPr>
            <w:r w:rsidRPr="00097EE4">
              <w:t>FDG-PET leads to cost savings while improving QALYs</w:t>
            </w:r>
          </w:p>
        </w:tc>
      </w:tr>
      <w:tr w:rsidR="007F6723" w:rsidRPr="00097EE4" w14:paraId="31A89AA6" w14:textId="77777777" w:rsidTr="00181CF8">
        <w:tc>
          <w:tcPr>
            <w:tcW w:w="2302" w:type="pct"/>
          </w:tcPr>
          <w:p w14:paraId="2878ED4D" w14:textId="77777777" w:rsidR="007F6723" w:rsidRPr="00097EE4" w:rsidRDefault="007F6723" w:rsidP="00181CF8">
            <w:pPr>
              <w:pStyle w:val="Tabletextcentred"/>
              <w:jc w:val="left"/>
            </w:pPr>
            <w:r w:rsidRPr="00097EE4">
              <w:t xml:space="preserve">Daily treatment cost of moderate AD set to be 50% memantine and 50% AChEIs (100% memantine in the base case) </w:t>
            </w:r>
          </w:p>
        </w:tc>
        <w:tc>
          <w:tcPr>
            <w:tcW w:w="765" w:type="pct"/>
          </w:tcPr>
          <w:p w14:paraId="42347C70" w14:textId="77777777" w:rsidR="007F6723" w:rsidRPr="00097EE4" w:rsidRDefault="007F6723" w:rsidP="00181CF8">
            <w:pPr>
              <w:pStyle w:val="Tabletextcentred"/>
              <w:jc w:val="right"/>
            </w:pPr>
            <w:r w:rsidRPr="00097EE4">
              <w:t>-$1162</w:t>
            </w:r>
          </w:p>
        </w:tc>
        <w:tc>
          <w:tcPr>
            <w:tcW w:w="766" w:type="pct"/>
          </w:tcPr>
          <w:p w14:paraId="7296A9E1" w14:textId="77777777" w:rsidR="007F6723" w:rsidRPr="00097EE4" w:rsidRDefault="007F6723" w:rsidP="00181CF8">
            <w:pPr>
              <w:pStyle w:val="Tabletextcentred"/>
              <w:jc w:val="right"/>
            </w:pPr>
            <w:r w:rsidRPr="00097EE4">
              <w:t>0.03</w:t>
            </w:r>
          </w:p>
        </w:tc>
        <w:tc>
          <w:tcPr>
            <w:tcW w:w="1167" w:type="pct"/>
          </w:tcPr>
          <w:p w14:paraId="19000ABC" w14:textId="77777777" w:rsidR="007F6723" w:rsidRPr="00097EE4" w:rsidRDefault="007F6723" w:rsidP="00181CF8">
            <w:pPr>
              <w:pStyle w:val="Tabletextcentred"/>
              <w:jc w:val="right"/>
            </w:pPr>
            <w:r w:rsidRPr="00097EE4">
              <w:t>FDG-PET leads to cost savings while improving QALYs</w:t>
            </w:r>
          </w:p>
        </w:tc>
      </w:tr>
      <w:tr w:rsidR="007F6723" w:rsidRPr="00097EE4" w14:paraId="74DC4652" w14:textId="77777777" w:rsidTr="00181CF8">
        <w:tc>
          <w:tcPr>
            <w:tcW w:w="2302" w:type="pct"/>
          </w:tcPr>
          <w:p w14:paraId="2C41AFAB" w14:textId="2CA2DB3E" w:rsidR="007F6723" w:rsidRPr="00097EE4" w:rsidRDefault="007F6723" w:rsidP="00181CF8">
            <w:pPr>
              <w:pStyle w:val="Tabletextcentred"/>
              <w:jc w:val="left"/>
            </w:pPr>
            <w:r w:rsidRPr="00097EE4">
              <w:t>Home</w:t>
            </w:r>
            <w:r w:rsidR="00617B67">
              <w:t>-</w:t>
            </w:r>
            <w:r w:rsidRPr="00097EE4">
              <w:t>based care removed for moderate AD ($12,410.40 per year in the base case)</w:t>
            </w:r>
          </w:p>
        </w:tc>
        <w:tc>
          <w:tcPr>
            <w:tcW w:w="765" w:type="pct"/>
          </w:tcPr>
          <w:p w14:paraId="6EFCF308" w14:textId="77777777" w:rsidR="007F6723" w:rsidRPr="00097EE4" w:rsidRDefault="007F6723" w:rsidP="00181CF8">
            <w:pPr>
              <w:pStyle w:val="Tabletextcentred"/>
              <w:jc w:val="right"/>
            </w:pPr>
            <w:r w:rsidRPr="00097EE4">
              <w:t>-$945</w:t>
            </w:r>
          </w:p>
        </w:tc>
        <w:tc>
          <w:tcPr>
            <w:tcW w:w="766" w:type="pct"/>
          </w:tcPr>
          <w:p w14:paraId="790477C8" w14:textId="77777777" w:rsidR="007F6723" w:rsidRPr="00097EE4" w:rsidRDefault="007F6723" w:rsidP="00181CF8">
            <w:pPr>
              <w:pStyle w:val="Tabletextcentred"/>
              <w:jc w:val="right"/>
            </w:pPr>
            <w:r w:rsidRPr="00097EE4">
              <w:t>0.03</w:t>
            </w:r>
          </w:p>
        </w:tc>
        <w:tc>
          <w:tcPr>
            <w:tcW w:w="1167" w:type="pct"/>
          </w:tcPr>
          <w:p w14:paraId="3B7439DA" w14:textId="77777777" w:rsidR="007F6723" w:rsidRPr="00097EE4" w:rsidRDefault="007F6723" w:rsidP="00181CF8">
            <w:pPr>
              <w:pStyle w:val="Tabletextcentred"/>
              <w:jc w:val="right"/>
            </w:pPr>
            <w:r w:rsidRPr="00097EE4">
              <w:t>FDG-PET leads to cost savings while improving QALYs</w:t>
            </w:r>
          </w:p>
        </w:tc>
      </w:tr>
      <w:tr w:rsidR="007F6723" w:rsidRPr="00097EE4" w14:paraId="6B15C865" w14:textId="77777777" w:rsidTr="00181CF8">
        <w:tc>
          <w:tcPr>
            <w:tcW w:w="2302" w:type="pct"/>
            <w:tcBorders>
              <w:bottom w:val="single" w:sz="4" w:space="0" w:color="auto"/>
            </w:tcBorders>
          </w:tcPr>
          <w:p w14:paraId="4182A7BB" w14:textId="77777777" w:rsidR="007F6723" w:rsidRPr="00097EE4" w:rsidRDefault="007F6723" w:rsidP="00181CF8">
            <w:pPr>
              <w:pStyle w:val="Tabletextcentred"/>
              <w:jc w:val="left"/>
            </w:pPr>
            <w:r w:rsidRPr="00097EE4">
              <w:t>Nursing home care set to $21,476.43 per year to equal cost of low-level residential care ($59,528.43 in the base case)</w:t>
            </w:r>
          </w:p>
        </w:tc>
        <w:tc>
          <w:tcPr>
            <w:tcW w:w="765" w:type="pct"/>
            <w:tcBorders>
              <w:bottom w:val="single" w:sz="4" w:space="0" w:color="auto"/>
            </w:tcBorders>
          </w:tcPr>
          <w:p w14:paraId="4C699929" w14:textId="77777777" w:rsidR="007F6723" w:rsidRPr="00097EE4" w:rsidRDefault="007F6723" w:rsidP="00181CF8">
            <w:pPr>
              <w:pStyle w:val="Tabletextcentred"/>
              <w:jc w:val="right"/>
            </w:pPr>
            <w:r w:rsidRPr="00097EE4">
              <w:t>-$377</w:t>
            </w:r>
          </w:p>
        </w:tc>
        <w:tc>
          <w:tcPr>
            <w:tcW w:w="766" w:type="pct"/>
            <w:tcBorders>
              <w:bottom w:val="single" w:sz="4" w:space="0" w:color="auto"/>
            </w:tcBorders>
          </w:tcPr>
          <w:p w14:paraId="0A2586C6" w14:textId="77777777" w:rsidR="007F6723" w:rsidRPr="00097EE4" w:rsidRDefault="007F6723" w:rsidP="00181CF8">
            <w:pPr>
              <w:pStyle w:val="Tabletextcentred"/>
              <w:jc w:val="right"/>
            </w:pPr>
            <w:r w:rsidRPr="00097EE4">
              <w:t>0.03</w:t>
            </w:r>
          </w:p>
        </w:tc>
        <w:tc>
          <w:tcPr>
            <w:tcW w:w="1167" w:type="pct"/>
          </w:tcPr>
          <w:p w14:paraId="5CB01B57" w14:textId="77777777" w:rsidR="007F6723" w:rsidRPr="00097EE4" w:rsidRDefault="007F6723" w:rsidP="00181CF8">
            <w:pPr>
              <w:pStyle w:val="Tabletextcentred"/>
              <w:jc w:val="right"/>
            </w:pPr>
            <w:r w:rsidRPr="00097EE4">
              <w:t>FDG-PET leads to cost savings while improving QALYs</w:t>
            </w:r>
          </w:p>
        </w:tc>
      </w:tr>
      <w:tr w:rsidR="007F6723" w:rsidRPr="00097EE4" w14:paraId="0B50DB57" w14:textId="77777777" w:rsidTr="00047A70">
        <w:tc>
          <w:tcPr>
            <w:tcW w:w="2302" w:type="pct"/>
            <w:tcBorders>
              <w:right w:val="nil"/>
            </w:tcBorders>
            <w:shd w:val="clear" w:color="auto" w:fill="BFBFBF" w:themeFill="background1" w:themeFillShade="BF"/>
          </w:tcPr>
          <w:p w14:paraId="3DB5CB32" w14:textId="77777777" w:rsidR="007F6723" w:rsidRPr="00047A70" w:rsidRDefault="007F6723" w:rsidP="00181CF8">
            <w:pPr>
              <w:pStyle w:val="Tabletextcentred"/>
              <w:jc w:val="left"/>
            </w:pPr>
            <w:r w:rsidRPr="00047A70">
              <w:t>Treatment duration</w:t>
            </w:r>
          </w:p>
        </w:tc>
        <w:tc>
          <w:tcPr>
            <w:tcW w:w="765" w:type="pct"/>
            <w:tcBorders>
              <w:left w:val="nil"/>
              <w:right w:val="nil"/>
            </w:tcBorders>
            <w:shd w:val="clear" w:color="auto" w:fill="BFBFBF" w:themeFill="background1" w:themeFillShade="BF"/>
          </w:tcPr>
          <w:p w14:paraId="0241046D" w14:textId="77777777" w:rsidR="007F6723" w:rsidRPr="00047A70" w:rsidRDefault="007F6723" w:rsidP="00181CF8">
            <w:pPr>
              <w:pStyle w:val="Tabletextcentred"/>
              <w:jc w:val="left"/>
            </w:pPr>
          </w:p>
        </w:tc>
        <w:tc>
          <w:tcPr>
            <w:tcW w:w="766" w:type="pct"/>
            <w:tcBorders>
              <w:left w:val="nil"/>
              <w:right w:val="nil"/>
            </w:tcBorders>
            <w:shd w:val="clear" w:color="auto" w:fill="BFBFBF" w:themeFill="background1" w:themeFillShade="BF"/>
          </w:tcPr>
          <w:p w14:paraId="1353731C" w14:textId="77777777" w:rsidR="007F6723" w:rsidRPr="00047A70" w:rsidRDefault="007F6723" w:rsidP="00181CF8">
            <w:pPr>
              <w:pStyle w:val="Tabletextcentred"/>
              <w:jc w:val="left"/>
            </w:pPr>
          </w:p>
        </w:tc>
        <w:tc>
          <w:tcPr>
            <w:tcW w:w="1167" w:type="pct"/>
            <w:tcBorders>
              <w:left w:val="nil"/>
            </w:tcBorders>
            <w:shd w:val="clear" w:color="auto" w:fill="BFBFBF" w:themeFill="background1" w:themeFillShade="BF"/>
          </w:tcPr>
          <w:p w14:paraId="0373C4C8" w14:textId="77777777" w:rsidR="007F6723" w:rsidRPr="00047A70" w:rsidRDefault="007F6723" w:rsidP="00181CF8">
            <w:pPr>
              <w:pStyle w:val="Tabletextcentred"/>
              <w:jc w:val="left"/>
            </w:pPr>
          </w:p>
        </w:tc>
      </w:tr>
      <w:tr w:rsidR="007F6723" w:rsidRPr="00097EE4" w14:paraId="1B5FB279" w14:textId="77777777" w:rsidTr="00181CF8">
        <w:tc>
          <w:tcPr>
            <w:tcW w:w="2302" w:type="pct"/>
          </w:tcPr>
          <w:p w14:paraId="37FB524D" w14:textId="77777777" w:rsidR="007F6723" w:rsidRPr="00097EE4" w:rsidRDefault="007F6723" w:rsidP="00181CF8">
            <w:pPr>
              <w:pStyle w:val="Tabletextcentred"/>
              <w:jc w:val="left"/>
            </w:pPr>
            <w:r w:rsidRPr="00097EE4">
              <w:t>Discontinuations removed from the model</w:t>
            </w:r>
          </w:p>
        </w:tc>
        <w:tc>
          <w:tcPr>
            <w:tcW w:w="765" w:type="pct"/>
          </w:tcPr>
          <w:p w14:paraId="3F912891" w14:textId="77777777" w:rsidR="007F6723" w:rsidRPr="00097EE4" w:rsidRDefault="007F6723" w:rsidP="00181CF8">
            <w:pPr>
              <w:pStyle w:val="Tabletextcentred"/>
              <w:jc w:val="right"/>
            </w:pPr>
            <w:r w:rsidRPr="00097EE4">
              <w:t>-$1235</w:t>
            </w:r>
          </w:p>
        </w:tc>
        <w:tc>
          <w:tcPr>
            <w:tcW w:w="766" w:type="pct"/>
          </w:tcPr>
          <w:p w14:paraId="3ECE1F4A" w14:textId="77777777" w:rsidR="007F6723" w:rsidRPr="00097EE4" w:rsidRDefault="007F6723" w:rsidP="00181CF8">
            <w:pPr>
              <w:pStyle w:val="Tabletextcentred"/>
              <w:jc w:val="right"/>
            </w:pPr>
            <w:r w:rsidRPr="00097EE4">
              <w:t>0.03</w:t>
            </w:r>
          </w:p>
        </w:tc>
        <w:tc>
          <w:tcPr>
            <w:tcW w:w="1167" w:type="pct"/>
          </w:tcPr>
          <w:p w14:paraId="049320D8" w14:textId="77777777" w:rsidR="007F6723" w:rsidRPr="00097EE4" w:rsidRDefault="007F6723" w:rsidP="00181CF8">
            <w:pPr>
              <w:pStyle w:val="Tabletextcentred"/>
              <w:jc w:val="right"/>
            </w:pPr>
            <w:r w:rsidRPr="00097EE4">
              <w:t>FDG-PET leads to cost savings while improving QALYs</w:t>
            </w:r>
          </w:p>
        </w:tc>
      </w:tr>
      <w:tr w:rsidR="007F6723" w:rsidRPr="00097EE4" w14:paraId="5AEC1E42" w14:textId="77777777" w:rsidTr="00181CF8">
        <w:tc>
          <w:tcPr>
            <w:tcW w:w="2302" w:type="pct"/>
          </w:tcPr>
          <w:p w14:paraId="414E81AE" w14:textId="77777777" w:rsidR="007F6723" w:rsidRPr="00097EE4" w:rsidRDefault="007F6723" w:rsidP="00181CF8">
            <w:pPr>
              <w:pStyle w:val="Tabletextcentred"/>
              <w:jc w:val="left"/>
            </w:pPr>
            <w:r w:rsidRPr="00097EE4">
              <w:t>Discontinuations set to 100% at the end of first six months (base case assumes discontinuation rate of 37.2% at the end of the first six months)</w:t>
            </w:r>
          </w:p>
        </w:tc>
        <w:tc>
          <w:tcPr>
            <w:tcW w:w="765" w:type="pct"/>
          </w:tcPr>
          <w:p w14:paraId="7BD1D31D" w14:textId="77777777" w:rsidR="007F6723" w:rsidRPr="00097EE4" w:rsidRDefault="007F6723" w:rsidP="00181CF8">
            <w:pPr>
              <w:pStyle w:val="Tabletextcentred"/>
              <w:jc w:val="right"/>
            </w:pPr>
            <w:r w:rsidRPr="00097EE4">
              <w:t>-$1195</w:t>
            </w:r>
          </w:p>
        </w:tc>
        <w:tc>
          <w:tcPr>
            <w:tcW w:w="766" w:type="pct"/>
          </w:tcPr>
          <w:p w14:paraId="3B9CF6BF" w14:textId="77777777" w:rsidR="007F6723" w:rsidRPr="00097EE4" w:rsidRDefault="007F6723" w:rsidP="00181CF8">
            <w:pPr>
              <w:pStyle w:val="Tabletextcentred"/>
              <w:jc w:val="right"/>
            </w:pPr>
            <w:r w:rsidRPr="00097EE4">
              <w:t>0.03</w:t>
            </w:r>
          </w:p>
        </w:tc>
        <w:tc>
          <w:tcPr>
            <w:tcW w:w="1167" w:type="pct"/>
          </w:tcPr>
          <w:p w14:paraId="0FB2D6EE" w14:textId="77777777" w:rsidR="007F6723" w:rsidRPr="00097EE4" w:rsidRDefault="007F6723" w:rsidP="00181CF8">
            <w:pPr>
              <w:pStyle w:val="Tabletextcentred"/>
              <w:jc w:val="right"/>
            </w:pPr>
            <w:r w:rsidRPr="00097EE4">
              <w:t>FDG-PET leads to cost savings while improving QALYs</w:t>
            </w:r>
          </w:p>
        </w:tc>
      </w:tr>
      <w:tr w:rsidR="007F6723" w:rsidRPr="00097EE4" w14:paraId="1FFB0C2A" w14:textId="77777777" w:rsidTr="00181CF8">
        <w:tc>
          <w:tcPr>
            <w:tcW w:w="2302" w:type="pct"/>
          </w:tcPr>
          <w:p w14:paraId="2F51B3DA" w14:textId="77777777" w:rsidR="007F6723" w:rsidRPr="00097EE4" w:rsidRDefault="007F6723" w:rsidP="00181CF8">
            <w:pPr>
              <w:pStyle w:val="Tabletextcentred"/>
              <w:jc w:val="left"/>
            </w:pPr>
            <w:r w:rsidRPr="00097EE4">
              <w:t>Discontinuations set to 100% at the end of first year (base case assumes cumulative discontinuation rate of 45.3% at the end of the first year)</w:t>
            </w:r>
          </w:p>
        </w:tc>
        <w:tc>
          <w:tcPr>
            <w:tcW w:w="765" w:type="pct"/>
          </w:tcPr>
          <w:p w14:paraId="6C6D7EEB" w14:textId="77777777" w:rsidR="007F6723" w:rsidRPr="00097EE4" w:rsidRDefault="007F6723" w:rsidP="00181CF8">
            <w:pPr>
              <w:pStyle w:val="Tabletextcentred"/>
              <w:jc w:val="right"/>
            </w:pPr>
            <w:r w:rsidRPr="00097EE4">
              <w:t>-$1168</w:t>
            </w:r>
          </w:p>
        </w:tc>
        <w:tc>
          <w:tcPr>
            <w:tcW w:w="766" w:type="pct"/>
          </w:tcPr>
          <w:p w14:paraId="3FAAFD93" w14:textId="77777777" w:rsidR="007F6723" w:rsidRPr="00097EE4" w:rsidRDefault="007F6723" w:rsidP="00181CF8">
            <w:pPr>
              <w:pStyle w:val="Tabletextcentred"/>
              <w:jc w:val="right"/>
            </w:pPr>
            <w:r w:rsidRPr="00097EE4">
              <w:t>0.03</w:t>
            </w:r>
          </w:p>
        </w:tc>
        <w:tc>
          <w:tcPr>
            <w:tcW w:w="1167" w:type="pct"/>
          </w:tcPr>
          <w:p w14:paraId="1DCEC227" w14:textId="77777777" w:rsidR="007F6723" w:rsidRPr="00097EE4" w:rsidRDefault="007F6723" w:rsidP="00181CF8">
            <w:pPr>
              <w:pStyle w:val="Tabletextcentred"/>
              <w:jc w:val="right"/>
            </w:pPr>
            <w:r w:rsidRPr="00097EE4">
              <w:t>FDG-PET leads to cost savings while improving QALYs</w:t>
            </w:r>
          </w:p>
        </w:tc>
      </w:tr>
      <w:tr w:rsidR="007F6723" w:rsidRPr="00097EE4" w14:paraId="26CC179F" w14:textId="77777777" w:rsidTr="00181CF8">
        <w:tc>
          <w:tcPr>
            <w:tcW w:w="2302" w:type="pct"/>
          </w:tcPr>
          <w:p w14:paraId="7D0E715C" w14:textId="77777777" w:rsidR="007F6723" w:rsidRPr="00097EE4" w:rsidRDefault="007F6723" w:rsidP="00181CF8">
            <w:pPr>
              <w:pStyle w:val="Tabletextcentred"/>
              <w:jc w:val="left"/>
            </w:pPr>
            <w:r w:rsidRPr="00097EE4">
              <w:t>Discontinuations set to 100% at the end of second year (base case assumes cumulative discontinuation rate of 57% at the end of the second year)</w:t>
            </w:r>
          </w:p>
        </w:tc>
        <w:tc>
          <w:tcPr>
            <w:tcW w:w="765" w:type="pct"/>
          </w:tcPr>
          <w:p w14:paraId="2E1FC8EA" w14:textId="77777777" w:rsidR="007F6723" w:rsidRPr="00097EE4" w:rsidRDefault="007F6723" w:rsidP="00181CF8">
            <w:pPr>
              <w:pStyle w:val="Tabletextcentred"/>
              <w:jc w:val="right"/>
            </w:pPr>
            <w:r w:rsidRPr="00097EE4">
              <w:t>-$1166</w:t>
            </w:r>
          </w:p>
        </w:tc>
        <w:tc>
          <w:tcPr>
            <w:tcW w:w="766" w:type="pct"/>
          </w:tcPr>
          <w:p w14:paraId="146B8177" w14:textId="77777777" w:rsidR="007F6723" w:rsidRPr="00097EE4" w:rsidRDefault="007F6723" w:rsidP="00181CF8">
            <w:pPr>
              <w:pStyle w:val="Tabletextcentred"/>
              <w:jc w:val="right"/>
            </w:pPr>
            <w:r w:rsidRPr="00097EE4">
              <w:t>0.03</w:t>
            </w:r>
          </w:p>
        </w:tc>
        <w:tc>
          <w:tcPr>
            <w:tcW w:w="1167" w:type="pct"/>
          </w:tcPr>
          <w:p w14:paraId="7B527E81" w14:textId="77777777" w:rsidR="007F6723" w:rsidRPr="00097EE4" w:rsidRDefault="007F6723" w:rsidP="00181CF8">
            <w:pPr>
              <w:pStyle w:val="Tabletextcentred"/>
              <w:jc w:val="right"/>
            </w:pPr>
            <w:r w:rsidRPr="00097EE4">
              <w:t>FDG-PET leads to cost savings while improving QALYs</w:t>
            </w:r>
          </w:p>
        </w:tc>
      </w:tr>
      <w:tr w:rsidR="007F6723" w:rsidRPr="00097EE4" w14:paraId="67005190" w14:textId="77777777" w:rsidTr="00181CF8">
        <w:tc>
          <w:tcPr>
            <w:tcW w:w="2302" w:type="pct"/>
            <w:tcBorders>
              <w:bottom w:val="single" w:sz="4" w:space="0" w:color="auto"/>
            </w:tcBorders>
          </w:tcPr>
          <w:p w14:paraId="7EB2F2DE" w14:textId="77777777" w:rsidR="007F6723" w:rsidRPr="00097EE4" w:rsidRDefault="007F6723" w:rsidP="00181CF8">
            <w:pPr>
              <w:pStyle w:val="Tabletextcentred"/>
              <w:jc w:val="left"/>
            </w:pPr>
            <w:r w:rsidRPr="00097EE4">
              <w:t>Discontinuation rate of memantine set to zero (base case assumes cumulative rate of 67.1% over three years)</w:t>
            </w:r>
          </w:p>
        </w:tc>
        <w:tc>
          <w:tcPr>
            <w:tcW w:w="765" w:type="pct"/>
            <w:tcBorders>
              <w:bottom w:val="single" w:sz="4" w:space="0" w:color="auto"/>
            </w:tcBorders>
          </w:tcPr>
          <w:p w14:paraId="321C331F" w14:textId="77777777" w:rsidR="007F6723" w:rsidRPr="00097EE4" w:rsidRDefault="007F6723" w:rsidP="00181CF8">
            <w:pPr>
              <w:pStyle w:val="Tabletextcentred"/>
              <w:jc w:val="right"/>
            </w:pPr>
            <w:r w:rsidRPr="00097EE4">
              <w:t>-$1162</w:t>
            </w:r>
          </w:p>
        </w:tc>
        <w:tc>
          <w:tcPr>
            <w:tcW w:w="766" w:type="pct"/>
            <w:tcBorders>
              <w:bottom w:val="single" w:sz="4" w:space="0" w:color="auto"/>
            </w:tcBorders>
          </w:tcPr>
          <w:p w14:paraId="7EE20B7E" w14:textId="77777777" w:rsidR="007F6723" w:rsidRPr="00097EE4" w:rsidRDefault="007F6723" w:rsidP="00181CF8">
            <w:pPr>
              <w:pStyle w:val="Tabletextcentred"/>
              <w:jc w:val="right"/>
            </w:pPr>
            <w:r w:rsidRPr="00097EE4">
              <w:t>0.03</w:t>
            </w:r>
          </w:p>
        </w:tc>
        <w:tc>
          <w:tcPr>
            <w:tcW w:w="1167" w:type="pct"/>
          </w:tcPr>
          <w:p w14:paraId="40DFDBCE" w14:textId="77777777" w:rsidR="007F6723" w:rsidRPr="00097EE4" w:rsidRDefault="007F6723" w:rsidP="00181CF8">
            <w:pPr>
              <w:pStyle w:val="Tabletextcentred"/>
              <w:jc w:val="right"/>
            </w:pPr>
            <w:r w:rsidRPr="00097EE4">
              <w:t>FDG-PET leads to cost savings while improving QALYs</w:t>
            </w:r>
          </w:p>
        </w:tc>
      </w:tr>
      <w:tr w:rsidR="007F6723" w:rsidRPr="00097EE4" w14:paraId="6691DBE3" w14:textId="77777777" w:rsidTr="00047A70">
        <w:tc>
          <w:tcPr>
            <w:tcW w:w="2302" w:type="pct"/>
            <w:tcBorders>
              <w:right w:val="nil"/>
            </w:tcBorders>
            <w:shd w:val="clear" w:color="auto" w:fill="BFBFBF" w:themeFill="background1" w:themeFillShade="BF"/>
          </w:tcPr>
          <w:p w14:paraId="1245F874" w14:textId="77777777" w:rsidR="007F6723" w:rsidRPr="00047A70" w:rsidRDefault="007F6723" w:rsidP="00181CF8">
            <w:pPr>
              <w:pStyle w:val="Tabletextcentred"/>
              <w:jc w:val="left"/>
            </w:pPr>
            <w:r w:rsidRPr="00047A70">
              <w:t>Utilities</w:t>
            </w:r>
          </w:p>
        </w:tc>
        <w:tc>
          <w:tcPr>
            <w:tcW w:w="765" w:type="pct"/>
            <w:tcBorders>
              <w:left w:val="nil"/>
              <w:right w:val="nil"/>
            </w:tcBorders>
            <w:shd w:val="clear" w:color="auto" w:fill="BFBFBF" w:themeFill="background1" w:themeFillShade="BF"/>
          </w:tcPr>
          <w:p w14:paraId="21592647" w14:textId="77777777" w:rsidR="007F6723" w:rsidRPr="00047A70" w:rsidRDefault="007F6723" w:rsidP="00181CF8">
            <w:pPr>
              <w:pStyle w:val="Tabletextcentred"/>
              <w:jc w:val="left"/>
            </w:pPr>
          </w:p>
        </w:tc>
        <w:tc>
          <w:tcPr>
            <w:tcW w:w="766" w:type="pct"/>
            <w:tcBorders>
              <w:left w:val="nil"/>
              <w:right w:val="nil"/>
            </w:tcBorders>
            <w:shd w:val="clear" w:color="auto" w:fill="BFBFBF" w:themeFill="background1" w:themeFillShade="BF"/>
          </w:tcPr>
          <w:p w14:paraId="741E24BE" w14:textId="77777777" w:rsidR="007F6723" w:rsidRPr="00047A70" w:rsidRDefault="007F6723" w:rsidP="00181CF8">
            <w:pPr>
              <w:pStyle w:val="Tabletextcentred"/>
              <w:jc w:val="left"/>
            </w:pPr>
          </w:p>
        </w:tc>
        <w:tc>
          <w:tcPr>
            <w:tcW w:w="1167" w:type="pct"/>
            <w:tcBorders>
              <w:left w:val="nil"/>
            </w:tcBorders>
            <w:shd w:val="clear" w:color="auto" w:fill="BFBFBF" w:themeFill="background1" w:themeFillShade="BF"/>
          </w:tcPr>
          <w:p w14:paraId="43747AA5" w14:textId="77777777" w:rsidR="007F6723" w:rsidRPr="00047A70" w:rsidRDefault="007F6723" w:rsidP="00181CF8">
            <w:pPr>
              <w:pStyle w:val="Tabletextcentred"/>
              <w:jc w:val="left"/>
            </w:pPr>
          </w:p>
        </w:tc>
      </w:tr>
      <w:tr w:rsidR="007F6723" w:rsidRPr="00097EE4" w14:paraId="18620F83" w14:textId="77777777" w:rsidTr="00181CF8">
        <w:tc>
          <w:tcPr>
            <w:tcW w:w="2302" w:type="pct"/>
          </w:tcPr>
          <w:p w14:paraId="04AD8C67" w14:textId="77777777" w:rsidR="007F6723" w:rsidRPr="00097EE4" w:rsidRDefault="007F6723" w:rsidP="00181CF8">
            <w:pPr>
              <w:pStyle w:val="Tabletextcentred"/>
              <w:jc w:val="left"/>
            </w:pPr>
            <w:r w:rsidRPr="00097EE4">
              <w:t>Utility weight of no AD set to 0.7 (1 in the base case)</w:t>
            </w:r>
          </w:p>
        </w:tc>
        <w:tc>
          <w:tcPr>
            <w:tcW w:w="765" w:type="pct"/>
          </w:tcPr>
          <w:p w14:paraId="10F00557" w14:textId="77777777" w:rsidR="007F6723" w:rsidRPr="00097EE4" w:rsidRDefault="007F6723" w:rsidP="00181CF8">
            <w:pPr>
              <w:pStyle w:val="Tabletextcentred"/>
              <w:jc w:val="right"/>
            </w:pPr>
            <w:r w:rsidRPr="00097EE4">
              <w:t>-$1160</w:t>
            </w:r>
          </w:p>
        </w:tc>
        <w:tc>
          <w:tcPr>
            <w:tcW w:w="766" w:type="pct"/>
          </w:tcPr>
          <w:p w14:paraId="63099DBD" w14:textId="77777777" w:rsidR="007F6723" w:rsidRPr="00097EE4" w:rsidRDefault="007F6723" w:rsidP="00181CF8">
            <w:pPr>
              <w:pStyle w:val="Tabletextcentred"/>
              <w:jc w:val="right"/>
            </w:pPr>
            <w:r w:rsidRPr="00097EE4">
              <w:t>0.01</w:t>
            </w:r>
          </w:p>
        </w:tc>
        <w:tc>
          <w:tcPr>
            <w:tcW w:w="1167" w:type="pct"/>
          </w:tcPr>
          <w:p w14:paraId="02F55247" w14:textId="77777777" w:rsidR="007F6723" w:rsidRPr="00097EE4" w:rsidRDefault="007F6723" w:rsidP="00181CF8">
            <w:pPr>
              <w:pStyle w:val="Tabletextcentred"/>
              <w:jc w:val="right"/>
            </w:pPr>
            <w:r w:rsidRPr="00097EE4">
              <w:t>FDG-PET leads to cost savings while improving QALYs</w:t>
            </w:r>
          </w:p>
        </w:tc>
      </w:tr>
      <w:tr w:rsidR="007F6723" w:rsidRPr="00097EE4" w14:paraId="1061C250" w14:textId="77777777" w:rsidTr="00181CF8">
        <w:tc>
          <w:tcPr>
            <w:tcW w:w="2302" w:type="pct"/>
            <w:tcBorders>
              <w:bottom w:val="single" w:sz="4" w:space="0" w:color="auto"/>
            </w:tcBorders>
          </w:tcPr>
          <w:p w14:paraId="04F9E465" w14:textId="77777777" w:rsidR="007F6723" w:rsidRPr="00097EE4" w:rsidRDefault="007F6723" w:rsidP="00181CF8">
            <w:pPr>
              <w:pStyle w:val="Tabletextcentred"/>
              <w:jc w:val="left"/>
            </w:pPr>
            <w:r w:rsidRPr="00097EE4">
              <w:t>Utility weight of nursing home for mild and moderate AD set equal to community-based AD (0.33 in the base case)</w:t>
            </w:r>
          </w:p>
        </w:tc>
        <w:tc>
          <w:tcPr>
            <w:tcW w:w="765" w:type="pct"/>
            <w:tcBorders>
              <w:bottom w:val="single" w:sz="4" w:space="0" w:color="auto"/>
            </w:tcBorders>
          </w:tcPr>
          <w:p w14:paraId="01BBABF8" w14:textId="77777777" w:rsidR="007F6723" w:rsidRPr="00097EE4" w:rsidRDefault="007F6723" w:rsidP="00181CF8">
            <w:pPr>
              <w:pStyle w:val="Tabletextcentred"/>
              <w:jc w:val="right"/>
            </w:pPr>
            <w:r w:rsidRPr="00097EE4">
              <w:t>-$1160</w:t>
            </w:r>
          </w:p>
        </w:tc>
        <w:tc>
          <w:tcPr>
            <w:tcW w:w="766" w:type="pct"/>
            <w:tcBorders>
              <w:bottom w:val="single" w:sz="4" w:space="0" w:color="auto"/>
            </w:tcBorders>
          </w:tcPr>
          <w:p w14:paraId="17C10231" w14:textId="77777777" w:rsidR="007F6723" w:rsidRPr="00097EE4" w:rsidRDefault="007F6723" w:rsidP="00181CF8">
            <w:pPr>
              <w:pStyle w:val="Tabletextcentred"/>
              <w:jc w:val="right"/>
            </w:pPr>
            <w:r w:rsidRPr="00097EE4">
              <w:t>0.03</w:t>
            </w:r>
          </w:p>
        </w:tc>
        <w:tc>
          <w:tcPr>
            <w:tcW w:w="1167" w:type="pct"/>
          </w:tcPr>
          <w:p w14:paraId="627DD503" w14:textId="77777777" w:rsidR="007F6723" w:rsidRPr="00097EE4" w:rsidRDefault="007F6723" w:rsidP="00181CF8">
            <w:pPr>
              <w:pStyle w:val="Tabletextcentred"/>
              <w:jc w:val="right"/>
            </w:pPr>
            <w:r w:rsidRPr="00097EE4">
              <w:t>FDG-PET leads to cost savings while improving QALYs</w:t>
            </w:r>
          </w:p>
        </w:tc>
      </w:tr>
      <w:tr w:rsidR="007F6723" w:rsidRPr="00097EE4" w14:paraId="55EFD8F7" w14:textId="77777777" w:rsidTr="00047A70">
        <w:tc>
          <w:tcPr>
            <w:tcW w:w="2302" w:type="pct"/>
            <w:tcBorders>
              <w:right w:val="nil"/>
            </w:tcBorders>
            <w:shd w:val="clear" w:color="auto" w:fill="BFBFBF" w:themeFill="background1" w:themeFillShade="BF"/>
          </w:tcPr>
          <w:p w14:paraId="116831F6" w14:textId="77777777" w:rsidR="007F6723" w:rsidRPr="00047A70" w:rsidRDefault="007F6723" w:rsidP="00181CF8">
            <w:pPr>
              <w:pStyle w:val="Tabletextcentred"/>
              <w:jc w:val="left"/>
            </w:pPr>
            <w:r w:rsidRPr="00047A70">
              <w:t>Treatment effect</w:t>
            </w:r>
          </w:p>
        </w:tc>
        <w:tc>
          <w:tcPr>
            <w:tcW w:w="765" w:type="pct"/>
            <w:tcBorders>
              <w:left w:val="nil"/>
              <w:right w:val="nil"/>
            </w:tcBorders>
            <w:shd w:val="clear" w:color="auto" w:fill="BFBFBF" w:themeFill="background1" w:themeFillShade="BF"/>
          </w:tcPr>
          <w:p w14:paraId="65515500" w14:textId="77777777" w:rsidR="007F6723" w:rsidRPr="00047A70" w:rsidRDefault="007F6723" w:rsidP="00181CF8">
            <w:pPr>
              <w:pStyle w:val="Tabletextcentred"/>
              <w:jc w:val="left"/>
            </w:pPr>
          </w:p>
        </w:tc>
        <w:tc>
          <w:tcPr>
            <w:tcW w:w="766" w:type="pct"/>
            <w:tcBorders>
              <w:left w:val="nil"/>
              <w:right w:val="nil"/>
            </w:tcBorders>
            <w:shd w:val="clear" w:color="auto" w:fill="BFBFBF" w:themeFill="background1" w:themeFillShade="BF"/>
          </w:tcPr>
          <w:p w14:paraId="7C36C866" w14:textId="77777777" w:rsidR="007F6723" w:rsidRPr="00047A70" w:rsidRDefault="007F6723" w:rsidP="00181CF8">
            <w:pPr>
              <w:pStyle w:val="Tabletextcentred"/>
              <w:jc w:val="left"/>
            </w:pPr>
          </w:p>
        </w:tc>
        <w:tc>
          <w:tcPr>
            <w:tcW w:w="1167" w:type="pct"/>
            <w:tcBorders>
              <w:left w:val="nil"/>
            </w:tcBorders>
            <w:shd w:val="clear" w:color="auto" w:fill="BFBFBF" w:themeFill="background1" w:themeFillShade="BF"/>
          </w:tcPr>
          <w:p w14:paraId="5CB2E45E" w14:textId="77777777" w:rsidR="007F6723" w:rsidRPr="00047A70" w:rsidRDefault="007F6723" w:rsidP="00181CF8">
            <w:pPr>
              <w:pStyle w:val="Tabletextcentred"/>
              <w:jc w:val="left"/>
            </w:pPr>
          </w:p>
        </w:tc>
      </w:tr>
      <w:tr w:rsidR="007F6723" w:rsidRPr="00097EE4" w14:paraId="1157C9ED" w14:textId="77777777" w:rsidTr="00181CF8">
        <w:tc>
          <w:tcPr>
            <w:tcW w:w="2302" w:type="pct"/>
          </w:tcPr>
          <w:p w14:paraId="6D636E5E" w14:textId="77777777" w:rsidR="007F6723" w:rsidRPr="00097EE4" w:rsidRDefault="007F6723" w:rsidP="00181CF8">
            <w:pPr>
              <w:pStyle w:val="Tabletextcentred"/>
              <w:jc w:val="left"/>
            </w:pPr>
            <w:r w:rsidRPr="00097EE4">
              <w:t>Treatment effect of AChEIs reduced by 0.15 to 0.65 (0.5 in the base case)</w:t>
            </w:r>
          </w:p>
        </w:tc>
        <w:tc>
          <w:tcPr>
            <w:tcW w:w="765" w:type="pct"/>
          </w:tcPr>
          <w:p w14:paraId="1A8E08E8" w14:textId="77777777" w:rsidR="007F6723" w:rsidRPr="00097EE4" w:rsidRDefault="007F6723" w:rsidP="00181CF8">
            <w:pPr>
              <w:pStyle w:val="Tabletextcentred"/>
              <w:jc w:val="right"/>
            </w:pPr>
            <w:r w:rsidRPr="00097EE4">
              <w:t>-$1128</w:t>
            </w:r>
          </w:p>
        </w:tc>
        <w:tc>
          <w:tcPr>
            <w:tcW w:w="766" w:type="pct"/>
          </w:tcPr>
          <w:p w14:paraId="55F87064" w14:textId="77777777" w:rsidR="007F6723" w:rsidRPr="00097EE4" w:rsidRDefault="007F6723" w:rsidP="00181CF8">
            <w:pPr>
              <w:pStyle w:val="Tabletextcentred"/>
              <w:jc w:val="right"/>
            </w:pPr>
            <w:r w:rsidRPr="00097EE4">
              <w:t>0.03</w:t>
            </w:r>
          </w:p>
        </w:tc>
        <w:tc>
          <w:tcPr>
            <w:tcW w:w="1167" w:type="pct"/>
          </w:tcPr>
          <w:p w14:paraId="36FC8A70" w14:textId="77777777" w:rsidR="007F6723" w:rsidRPr="00097EE4" w:rsidRDefault="007F6723" w:rsidP="00181CF8">
            <w:pPr>
              <w:pStyle w:val="Tabletextcentred"/>
              <w:jc w:val="right"/>
            </w:pPr>
            <w:r w:rsidRPr="00097EE4">
              <w:t>FDG-PET leads to cost savings while improving QALYs</w:t>
            </w:r>
          </w:p>
        </w:tc>
      </w:tr>
      <w:tr w:rsidR="007F6723" w:rsidRPr="00097EE4" w14:paraId="05BB4525" w14:textId="77777777" w:rsidTr="00181CF8">
        <w:tc>
          <w:tcPr>
            <w:tcW w:w="2302" w:type="pct"/>
          </w:tcPr>
          <w:p w14:paraId="6FEA3767" w14:textId="77777777" w:rsidR="007F6723" w:rsidRPr="00097EE4" w:rsidRDefault="007F6723" w:rsidP="00181CF8">
            <w:pPr>
              <w:pStyle w:val="Tabletextcentred"/>
              <w:jc w:val="left"/>
            </w:pPr>
            <w:r w:rsidRPr="00097EE4">
              <w:t>Treatment effect of AChEIs increased by 0.15 to 0.35 (0.5 in the base case)</w:t>
            </w:r>
          </w:p>
        </w:tc>
        <w:tc>
          <w:tcPr>
            <w:tcW w:w="765" w:type="pct"/>
          </w:tcPr>
          <w:p w14:paraId="075C4E00" w14:textId="77777777" w:rsidR="007F6723" w:rsidRPr="00097EE4" w:rsidRDefault="007F6723" w:rsidP="00181CF8">
            <w:pPr>
              <w:pStyle w:val="Tabletextcentred"/>
              <w:jc w:val="right"/>
            </w:pPr>
            <w:r w:rsidRPr="00097EE4">
              <w:t>-$1197</w:t>
            </w:r>
          </w:p>
        </w:tc>
        <w:tc>
          <w:tcPr>
            <w:tcW w:w="766" w:type="pct"/>
          </w:tcPr>
          <w:p w14:paraId="7B2918E8" w14:textId="77777777" w:rsidR="007F6723" w:rsidRPr="00097EE4" w:rsidRDefault="007F6723" w:rsidP="00181CF8">
            <w:pPr>
              <w:pStyle w:val="Tabletextcentred"/>
              <w:jc w:val="right"/>
            </w:pPr>
            <w:r w:rsidRPr="00097EE4">
              <w:t>0.03</w:t>
            </w:r>
          </w:p>
        </w:tc>
        <w:tc>
          <w:tcPr>
            <w:tcW w:w="1167" w:type="pct"/>
          </w:tcPr>
          <w:p w14:paraId="72AD8459" w14:textId="77777777" w:rsidR="007F6723" w:rsidRPr="00097EE4" w:rsidRDefault="007F6723" w:rsidP="00181CF8">
            <w:pPr>
              <w:pStyle w:val="Tabletextcentred"/>
              <w:jc w:val="right"/>
            </w:pPr>
            <w:r w:rsidRPr="00097EE4">
              <w:t>FDG-PET leads to cost savings while improving QALYs</w:t>
            </w:r>
          </w:p>
        </w:tc>
      </w:tr>
      <w:tr w:rsidR="007F6723" w:rsidRPr="00097EE4" w14:paraId="2F056BBA" w14:textId="77777777" w:rsidTr="00181CF8">
        <w:tc>
          <w:tcPr>
            <w:tcW w:w="2302" w:type="pct"/>
          </w:tcPr>
          <w:p w14:paraId="7C5844D3" w14:textId="77777777" w:rsidR="007F6723" w:rsidRPr="00097EE4" w:rsidRDefault="007F6723" w:rsidP="00181CF8">
            <w:pPr>
              <w:pStyle w:val="Tabletextcentred"/>
              <w:jc w:val="left"/>
            </w:pPr>
            <w:r w:rsidRPr="00097EE4">
              <w:t>Treatment effect of AChEIs set at 0.8026 to equal the estimate for memantine (0.5 in the base case)</w:t>
            </w:r>
          </w:p>
        </w:tc>
        <w:tc>
          <w:tcPr>
            <w:tcW w:w="765" w:type="pct"/>
          </w:tcPr>
          <w:p w14:paraId="61554F2E" w14:textId="77777777" w:rsidR="007F6723" w:rsidRPr="00097EE4" w:rsidRDefault="007F6723" w:rsidP="00181CF8">
            <w:pPr>
              <w:pStyle w:val="Tabletextcentred"/>
              <w:jc w:val="right"/>
            </w:pPr>
            <w:r w:rsidRPr="00097EE4">
              <w:t>-$1098</w:t>
            </w:r>
          </w:p>
        </w:tc>
        <w:tc>
          <w:tcPr>
            <w:tcW w:w="766" w:type="pct"/>
          </w:tcPr>
          <w:p w14:paraId="20CB93B8" w14:textId="77777777" w:rsidR="007F6723" w:rsidRPr="00097EE4" w:rsidRDefault="007F6723" w:rsidP="00181CF8">
            <w:pPr>
              <w:pStyle w:val="Tabletextcentred"/>
              <w:jc w:val="right"/>
            </w:pPr>
            <w:r w:rsidRPr="00097EE4">
              <w:t>0.03</w:t>
            </w:r>
          </w:p>
        </w:tc>
        <w:tc>
          <w:tcPr>
            <w:tcW w:w="1167" w:type="pct"/>
          </w:tcPr>
          <w:p w14:paraId="3CEEC4EC" w14:textId="77777777" w:rsidR="007F6723" w:rsidRPr="00097EE4" w:rsidRDefault="007F6723" w:rsidP="00181CF8">
            <w:pPr>
              <w:pStyle w:val="Tabletextcentred"/>
              <w:jc w:val="right"/>
            </w:pPr>
            <w:r w:rsidRPr="00097EE4">
              <w:t>FDG-PET leads to cost savings while improving QALYs</w:t>
            </w:r>
          </w:p>
        </w:tc>
      </w:tr>
      <w:tr w:rsidR="007F6723" w:rsidRPr="00097EE4" w14:paraId="505D6FCC" w14:textId="77777777" w:rsidTr="00181CF8">
        <w:tc>
          <w:tcPr>
            <w:tcW w:w="2302" w:type="pct"/>
          </w:tcPr>
          <w:p w14:paraId="7E0277D0" w14:textId="77777777" w:rsidR="007F6723" w:rsidRPr="00097EE4" w:rsidRDefault="007F6723" w:rsidP="00181CF8">
            <w:pPr>
              <w:pStyle w:val="Tabletextcentred"/>
              <w:jc w:val="left"/>
            </w:pPr>
            <w:r w:rsidRPr="00097EE4">
              <w:t>Treatment effect of memantine reduced by 0.15 to 0.9526 (0.8026 in the base case)</w:t>
            </w:r>
          </w:p>
        </w:tc>
        <w:tc>
          <w:tcPr>
            <w:tcW w:w="765" w:type="pct"/>
          </w:tcPr>
          <w:p w14:paraId="3FBB5E13" w14:textId="77777777" w:rsidR="007F6723" w:rsidRPr="00097EE4" w:rsidRDefault="007F6723" w:rsidP="00181CF8">
            <w:pPr>
              <w:pStyle w:val="Tabletextcentred"/>
              <w:jc w:val="right"/>
            </w:pPr>
            <w:r w:rsidRPr="00097EE4">
              <w:t>-$1062</w:t>
            </w:r>
          </w:p>
        </w:tc>
        <w:tc>
          <w:tcPr>
            <w:tcW w:w="766" w:type="pct"/>
          </w:tcPr>
          <w:p w14:paraId="1214CDF4" w14:textId="77777777" w:rsidR="007F6723" w:rsidRPr="00097EE4" w:rsidRDefault="007F6723" w:rsidP="00181CF8">
            <w:pPr>
              <w:pStyle w:val="Tabletextcentred"/>
              <w:jc w:val="right"/>
            </w:pPr>
            <w:r w:rsidRPr="00097EE4">
              <w:t>0.03</w:t>
            </w:r>
          </w:p>
        </w:tc>
        <w:tc>
          <w:tcPr>
            <w:tcW w:w="1167" w:type="pct"/>
          </w:tcPr>
          <w:p w14:paraId="432DD551" w14:textId="77777777" w:rsidR="007F6723" w:rsidRPr="00097EE4" w:rsidRDefault="007F6723" w:rsidP="00181CF8">
            <w:pPr>
              <w:pStyle w:val="Tabletextcentred"/>
              <w:jc w:val="right"/>
            </w:pPr>
            <w:r w:rsidRPr="00097EE4">
              <w:t>FDG-PET leads to cost savings while improving QALYs</w:t>
            </w:r>
          </w:p>
        </w:tc>
      </w:tr>
      <w:tr w:rsidR="007F6723" w:rsidRPr="00097EE4" w14:paraId="58B75210" w14:textId="77777777" w:rsidTr="00181CF8">
        <w:tc>
          <w:tcPr>
            <w:tcW w:w="2302" w:type="pct"/>
            <w:tcBorders>
              <w:bottom w:val="single" w:sz="4" w:space="0" w:color="auto"/>
            </w:tcBorders>
          </w:tcPr>
          <w:p w14:paraId="2B96CA1D" w14:textId="77777777" w:rsidR="007F6723" w:rsidRPr="00097EE4" w:rsidRDefault="007F6723" w:rsidP="00181CF8">
            <w:pPr>
              <w:pStyle w:val="Tabletextcentred"/>
              <w:jc w:val="left"/>
            </w:pPr>
            <w:r w:rsidRPr="00097EE4">
              <w:t>Treatment effect of memantine increased by 0.15 to 0.6526 (0.8026 in the base case)</w:t>
            </w:r>
          </w:p>
        </w:tc>
        <w:tc>
          <w:tcPr>
            <w:tcW w:w="765" w:type="pct"/>
            <w:tcBorders>
              <w:bottom w:val="single" w:sz="4" w:space="0" w:color="auto"/>
            </w:tcBorders>
          </w:tcPr>
          <w:p w14:paraId="52D48EAE" w14:textId="77777777" w:rsidR="007F6723" w:rsidRPr="00097EE4" w:rsidRDefault="007F6723" w:rsidP="00181CF8">
            <w:pPr>
              <w:pStyle w:val="Tabletextcentred"/>
              <w:jc w:val="right"/>
            </w:pPr>
            <w:r w:rsidRPr="00097EE4">
              <w:t>-$1207</w:t>
            </w:r>
          </w:p>
        </w:tc>
        <w:tc>
          <w:tcPr>
            <w:tcW w:w="766" w:type="pct"/>
            <w:tcBorders>
              <w:bottom w:val="single" w:sz="4" w:space="0" w:color="auto"/>
            </w:tcBorders>
          </w:tcPr>
          <w:p w14:paraId="3F728260" w14:textId="77777777" w:rsidR="007F6723" w:rsidRPr="00097EE4" w:rsidRDefault="007F6723" w:rsidP="00181CF8">
            <w:pPr>
              <w:pStyle w:val="Tabletextcentred"/>
              <w:jc w:val="right"/>
            </w:pPr>
            <w:r w:rsidRPr="00097EE4">
              <w:t>0.03</w:t>
            </w:r>
          </w:p>
        </w:tc>
        <w:tc>
          <w:tcPr>
            <w:tcW w:w="1167" w:type="pct"/>
          </w:tcPr>
          <w:p w14:paraId="27007C8F" w14:textId="77777777" w:rsidR="007F6723" w:rsidRPr="00097EE4" w:rsidRDefault="007F6723" w:rsidP="00181CF8">
            <w:pPr>
              <w:pStyle w:val="Tabletextcentred"/>
              <w:jc w:val="right"/>
            </w:pPr>
            <w:r w:rsidRPr="00097EE4">
              <w:t>FDG-PET leads to cost savings while improving QALYs</w:t>
            </w:r>
          </w:p>
        </w:tc>
      </w:tr>
      <w:tr w:rsidR="007F6723" w:rsidRPr="00097EE4" w14:paraId="5CB8DC2A" w14:textId="77777777" w:rsidTr="00047A70">
        <w:tc>
          <w:tcPr>
            <w:tcW w:w="2302" w:type="pct"/>
            <w:tcBorders>
              <w:right w:val="nil"/>
            </w:tcBorders>
            <w:shd w:val="clear" w:color="auto" w:fill="BFBFBF" w:themeFill="background1" w:themeFillShade="BF"/>
          </w:tcPr>
          <w:p w14:paraId="0BD42108" w14:textId="77777777" w:rsidR="007F6723" w:rsidRPr="00047A70" w:rsidRDefault="007F6723" w:rsidP="00F4677F">
            <w:pPr>
              <w:pStyle w:val="Tabletextcentred"/>
              <w:keepNext/>
              <w:jc w:val="left"/>
            </w:pPr>
            <w:r w:rsidRPr="00047A70">
              <w:lastRenderedPageBreak/>
              <w:t>Transition probabilities</w:t>
            </w:r>
          </w:p>
        </w:tc>
        <w:tc>
          <w:tcPr>
            <w:tcW w:w="765" w:type="pct"/>
            <w:tcBorders>
              <w:left w:val="nil"/>
              <w:right w:val="nil"/>
            </w:tcBorders>
            <w:shd w:val="clear" w:color="auto" w:fill="BFBFBF" w:themeFill="background1" w:themeFillShade="BF"/>
          </w:tcPr>
          <w:p w14:paraId="6403F4FD" w14:textId="77777777" w:rsidR="007F6723" w:rsidRPr="00047A70" w:rsidRDefault="007F6723" w:rsidP="00F4677F">
            <w:pPr>
              <w:pStyle w:val="Tabletextcentred"/>
              <w:keepNext/>
              <w:jc w:val="left"/>
            </w:pPr>
          </w:p>
        </w:tc>
        <w:tc>
          <w:tcPr>
            <w:tcW w:w="766" w:type="pct"/>
            <w:tcBorders>
              <w:left w:val="nil"/>
              <w:right w:val="nil"/>
            </w:tcBorders>
            <w:shd w:val="clear" w:color="auto" w:fill="BFBFBF" w:themeFill="background1" w:themeFillShade="BF"/>
          </w:tcPr>
          <w:p w14:paraId="06DA79E3" w14:textId="77777777" w:rsidR="007F6723" w:rsidRPr="00047A70" w:rsidRDefault="007F6723" w:rsidP="00F4677F">
            <w:pPr>
              <w:pStyle w:val="Tabletextcentred"/>
              <w:keepNext/>
              <w:jc w:val="left"/>
            </w:pPr>
          </w:p>
        </w:tc>
        <w:tc>
          <w:tcPr>
            <w:tcW w:w="1167" w:type="pct"/>
            <w:tcBorders>
              <w:left w:val="nil"/>
            </w:tcBorders>
            <w:shd w:val="clear" w:color="auto" w:fill="BFBFBF" w:themeFill="background1" w:themeFillShade="BF"/>
          </w:tcPr>
          <w:p w14:paraId="0682A321" w14:textId="77777777" w:rsidR="007F6723" w:rsidRPr="00047A70" w:rsidRDefault="007F6723" w:rsidP="00F4677F">
            <w:pPr>
              <w:pStyle w:val="Tabletextcentred"/>
              <w:keepNext/>
              <w:jc w:val="left"/>
            </w:pPr>
          </w:p>
        </w:tc>
      </w:tr>
      <w:tr w:rsidR="007F6723" w:rsidRPr="00097EE4" w14:paraId="64B0678C" w14:textId="77777777" w:rsidTr="00181CF8">
        <w:tc>
          <w:tcPr>
            <w:tcW w:w="2302" w:type="pct"/>
          </w:tcPr>
          <w:p w14:paraId="3AE3136C" w14:textId="77777777" w:rsidR="007F6723" w:rsidRPr="00097EE4" w:rsidRDefault="007F6723" w:rsidP="00F4677F">
            <w:pPr>
              <w:pStyle w:val="Tabletextcentred"/>
              <w:keepNext/>
              <w:jc w:val="left"/>
            </w:pPr>
            <w:r w:rsidRPr="00097EE4">
              <w:t>Annual transition probability from mild to moderate AD increased by 10% to 0.4004 (0.364 in the base case)</w:t>
            </w:r>
          </w:p>
        </w:tc>
        <w:tc>
          <w:tcPr>
            <w:tcW w:w="765" w:type="pct"/>
          </w:tcPr>
          <w:p w14:paraId="346CD9BF" w14:textId="77777777" w:rsidR="007F6723" w:rsidRPr="00097EE4" w:rsidRDefault="007F6723" w:rsidP="00F4677F">
            <w:pPr>
              <w:pStyle w:val="Tabletextcentred"/>
              <w:keepNext/>
              <w:jc w:val="right"/>
            </w:pPr>
            <w:r w:rsidRPr="00097EE4">
              <w:t>-$1181</w:t>
            </w:r>
          </w:p>
        </w:tc>
        <w:tc>
          <w:tcPr>
            <w:tcW w:w="766" w:type="pct"/>
          </w:tcPr>
          <w:p w14:paraId="4EEA411D" w14:textId="77777777" w:rsidR="007F6723" w:rsidRPr="00097EE4" w:rsidRDefault="007F6723" w:rsidP="00F4677F">
            <w:pPr>
              <w:pStyle w:val="Tabletextcentred"/>
              <w:keepNext/>
              <w:jc w:val="right"/>
            </w:pPr>
            <w:r w:rsidRPr="00097EE4">
              <w:t>0.03</w:t>
            </w:r>
          </w:p>
        </w:tc>
        <w:tc>
          <w:tcPr>
            <w:tcW w:w="1167" w:type="pct"/>
          </w:tcPr>
          <w:p w14:paraId="0BD0CF61" w14:textId="77777777" w:rsidR="007F6723" w:rsidRPr="00097EE4" w:rsidRDefault="007F6723" w:rsidP="00F4677F">
            <w:pPr>
              <w:pStyle w:val="Tabletextcentred"/>
              <w:keepNext/>
              <w:jc w:val="right"/>
            </w:pPr>
            <w:r w:rsidRPr="00097EE4">
              <w:t>FDG-PET leads to cost savings while improving QALYs</w:t>
            </w:r>
          </w:p>
        </w:tc>
      </w:tr>
      <w:tr w:rsidR="007F6723" w:rsidRPr="00097EE4" w14:paraId="3895489F" w14:textId="77777777" w:rsidTr="00181CF8">
        <w:tc>
          <w:tcPr>
            <w:tcW w:w="2302" w:type="pct"/>
          </w:tcPr>
          <w:p w14:paraId="5E813F3F" w14:textId="77777777" w:rsidR="007F6723" w:rsidRPr="00097EE4" w:rsidRDefault="007F6723" w:rsidP="00181CF8">
            <w:pPr>
              <w:pStyle w:val="Tabletextcentred"/>
              <w:jc w:val="left"/>
            </w:pPr>
            <w:r w:rsidRPr="00097EE4">
              <w:t>Annual transition probability from mild to moderate AD decreased by 10% to 0.3276 (0.364 in the base case)</w:t>
            </w:r>
          </w:p>
        </w:tc>
        <w:tc>
          <w:tcPr>
            <w:tcW w:w="765" w:type="pct"/>
          </w:tcPr>
          <w:p w14:paraId="1F64487A" w14:textId="77777777" w:rsidR="007F6723" w:rsidRPr="00097EE4" w:rsidRDefault="007F6723" w:rsidP="00181CF8">
            <w:pPr>
              <w:pStyle w:val="Tabletextcentred"/>
              <w:jc w:val="right"/>
            </w:pPr>
            <w:r w:rsidRPr="00097EE4">
              <w:t>-$1137</w:t>
            </w:r>
          </w:p>
        </w:tc>
        <w:tc>
          <w:tcPr>
            <w:tcW w:w="766" w:type="pct"/>
          </w:tcPr>
          <w:p w14:paraId="653D3C12" w14:textId="77777777" w:rsidR="007F6723" w:rsidRPr="00097EE4" w:rsidRDefault="007F6723" w:rsidP="00181CF8">
            <w:pPr>
              <w:pStyle w:val="Tabletextcentred"/>
              <w:jc w:val="right"/>
            </w:pPr>
            <w:r w:rsidRPr="00097EE4">
              <w:t>0.03</w:t>
            </w:r>
          </w:p>
        </w:tc>
        <w:tc>
          <w:tcPr>
            <w:tcW w:w="1167" w:type="pct"/>
          </w:tcPr>
          <w:p w14:paraId="793670E0" w14:textId="77777777" w:rsidR="007F6723" w:rsidRPr="00097EE4" w:rsidRDefault="007F6723" w:rsidP="00181CF8">
            <w:pPr>
              <w:pStyle w:val="Tabletextcentred"/>
              <w:jc w:val="right"/>
            </w:pPr>
            <w:r w:rsidRPr="00097EE4">
              <w:t>FDG-PET leads to cost savings while improving QALYs</w:t>
            </w:r>
          </w:p>
        </w:tc>
      </w:tr>
      <w:tr w:rsidR="007F6723" w:rsidRPr="00097EE4" w14:paraId="1E77C399" w14:textId="77777777" w:rsidTr="00181CF8">
        <w:tc>
          <w:tcPr>
            <w:tcW w:w="2302" w:type="pct"/>
          </w:tcPr>
          <w:p w14:paraId="520FD05B" w14:textId="77777777" w:rsidR="007F6723" w:rsidRPr="00097EE4" w:rsidRDefault="007F6723" w:rsidP="00181CF8">
            <w:pPr>
              <w:pStyle w:val="Tabletextcentred"/>
              <w:jc w:val="left"/>
            </w:pPr>
            <w:r w:rsidRPr="00097EE4">
              <w:t>Annual transition probability from moderate to severe AD increased by 10% to 0.3729 (0.339 in the base case)</w:t>
            </w:r>
          </w:p>
        </w:tc>
        <w:tc>
          <w:tcPr>
            <w:tcW w:w="765" w:type="pct"/>
          </w:tcPr>
          <w:p w14:paraId="43B90FAC" w14:textId="77777777" w:rsidR="007F6723" w:rsidRPr="00097EE4" w:rsidRDefault="007F6723" w:rsidP="00181CF8">
            <w:pPr>
              <w:pStyle w:val="Tabletextcentred"/>
              <w:jc w:val="right"/>
            </w:pPr>
            <w:r w:rsidRPr="00097EE4">
              <w:t>-$1219</w:t>
            </w:r>
          </w:p>
        </w:tc>
        <w:tc>
          <w:tcPr>
            <w:tcW w:w="766" w:type="pct"/>
          </w:tcPr>
          <w:p w14:paraId="2D9B0071" w14:textId="77777777" w:rsidR="007F6723" w:rsidRPr="00097EE4" w:rsidRDefault="007F6723" w:rsidP="00181CF8">
            <w:pPr>
              <w:pStyle w:val="Tabletextcentred"/>
              <w:jc w:val="right"/>
            </w:pPr>
            <w:r w:rsidRPr="00097EE4">
              <w:t>0.03</w:t>
            </w:r>
          </w:p>
        </w:tc>
        <w:tc>
          <w:tcPr>
            <w:tcW w:w="1167" w:type="pct"/>
          </w:tcPr>
          <w:p w14:paraId="2E6CC96A" w14:textId="77777777" w:rsidR="007F6723" w:rsidRPr="00097EE4" w:rsidRDefault="007F6723" w:rsidP="00181CF8">
            <w:pPr>
              <w:pStyle w:val="Tabletextcentred"/>
              <w:jc w:val="right"/>
            </w:pPr>
            <w:r w:rsidRPr="00097EE4">
              <w:t>FDG-PET leads to cost savings while improving QALYs</w:t>
            </w:r>
          </w:p>
        </w:tc>
      </w:tr>
      <w:tr w:rsidR="007F6723" w:rsidRPr="00097EE4" w14:paraId="71F7917B" w14:textId="77777777" w:rsidTr="00181CF8">
        <w:tc>
          <w:tcPr>
            <w:tcW w:w="2302" w:type="pct"/>
          </w:tcPr>
          <w:p w14:paraId="7397811F" w14:textId="77777777" w:rsidR="007F6723" w:rsidRPr="00097EE4" w:rsidRDefault="007F6723" w:rsidP="00181CF8">
            <w:pPr>
              <w:pStyle w:val="Tabletextcentred"/>
              <w:jc w:val="left"/>
            </w:pPr>
            <w:r w:rsidRPr="00097EE4">
              <w:t>Annual transition probability from moderate to severe AD decreased by 10% to 0.3051 (0.339 in the base case)</w:t>
            </w:r>
          </w:p>
        </w:tc>
        <w:tc>
          <w:tcPr>
            <w:tcW w:w="765" w:type="pct"/>
          </w:tcPr>
          <w:p w14:paraId="1641797A" w14:textId="77777777" w:rsidR="007F6723" w:rsidRPr="00097EE4" w:rsidRDefault="007F6723" w:rsidP="00181CF8">
            <w:pPr>
              <w:pStyle w:val="Tabletextcentred"/>
              <w:jc w:val="right"/>
            </w:pPr>
            <w:r w:rsidRPr="00097EE4">
              <w:t>-$1097</w:t>
            </w:r>
          </w:p>
        </w:tc>
        <w:tc>
          <w:tcPr>
            <w:tcW w:w="766" w:type="pct"/>
          </w:tcPr>
          <w:p w14:paraId="68DDF07F" w14:textId="77777777" w:rsidR="007F6723" w:rsidRPr="00097EE4" w:rsidRDefault="007F6723" w:rsidP="00181CF8">
            <w:pPr>
              <w:pStyle w:val="Tabletextcentred"/>
              <w:jc w:val="right"/>
            </w:pPr>
            <w:r w:rsidRPr="00097EE4">
              <w:t>0.03</w:t>
            </w:r>
          </w:p>
        </w:tc>
        <w:tc>
          <w:tcPr>
            <w:tcW w:w="1167" w:type="pct"/>
          </w:tcPr>
          <w:p w14:paraId="2560144D" w14:textId="77777777" w:rsidR="007F6723" w:rsidRPr="00097EE4" w:rsidRDefault="007F6723" w:rsidP="00181CF8">
            <w:pPr>
              <w:pStyle w:val="Tabletextcentred"/>
              <w:jc w:val="right"/>
            </w:pPr>
            <w:r w:rsidRPr="00097EE4">
              <w:t>FDG-PET leads to cost savings while improving QALYs</w:t>
            </w:r>
          </w:p>
        </w:tc>
      </w:tr>
      <w:tr w:rsidR="007F6723" w:rsidRPr="00097EE4" w14:paraId="57352E72" w14:textId="77777777" w:rsidTr="00181CF8">
        <w:tc>
          <w:tcPr>
            <w:tcW w:w="2302" w:type="pct"/>
          </w:tcPr>
          <w:p w14:paraId="41950EC6" w14:textId="77777777" w:rsidR="007F6723" w:rsidRPr="00097EE4" w:rsidRDefault="007F6723" w:rsidP="00181CF8">
            <w:pPr>
              <w:pStyle w:val="Tabletextcentred"/>
              <w:jc w:val="left"/>
            </w:pPr>
            <w:r w:rsidRPr="00097EE4">
              <w:t>Probability of mild community-based care to mild nursing home care removed (0.038 per annum in the base case)</w:t>
            </w:r>
          </w:p>
        </w:tc>
        <w:tc>
          <w:tcPr>
            <w:tcW w:w="765" w:type="pct"/>
          </w:tcPr>
          <w:p w14:paraId="0E649BC6" w14:textId="77777777" w:rsidR="007F6723" w:rsidRPr="00097EE4" w:rsidRDefault="007F6723" w:rsidP="00181CF8">
            <w:pPr>
              <w:pStyle w:val="Tabletextcentred"/>
              <w:jc w:val="right"/>
            </w:pPr>
            <w:r w:rsidRPr="00097EE4">
              <w:t>-$1158</w:t>
            </w:r>
          </w:p>
        </w:tc>
        <w:tc>
          <w:tcPr>
            <w:tcW w:w="766" w:type="pct"/>
          </w:tcPr>
          <w:p w14:paraId="44B8A63D" w14:textId="77777777" w:rsidR="007F6723" w:rsidRPr="00097EE4" w:rsidRDefault="007F6723" w:rsidP="00181CF8">
            <w:pPr>
              <w:pStyle w:val="Tabletextcentred"/>
              <w:jc w:val="right"/>
            </w:pPr>
            <w:r w:rsidRPr="00097EE4">
              <w:t>0.03</w:t>
            </w:r>
          </w:p>
        </w:tc>
        <w:tc>
          <w:tcPr>
            <w:tcW w:w="1167" w:type="pct"/>
          </w:tcPr>
          <w:p w14:paraId="7ACE4B8C" w14:textId="77777777" w:rsidR="007F6723" w:rsidRPr="00097EE4" w:rsidRDefault="007F6723" w:rsidP="00181CF8">
            <w:pPr>
              <w:pStyle w:val="Tabletextcentred"/>
              <w:jc w:val="right"/>
            </w:pPr>
            <w:r w:rsidRPr="00097EE4">
              <w:t>FDG-PET leads to cost savings while improving QALYs</w:t>
            </w:r>
          </w:p>
        </w:tc>
      </w:tr>
      <w:tr w:rsidR="007F6723" w:rsidRPr="00097EE4" w14:paraId="613ED330" w14:textId="77777777" w:rsidTr="00181CF8">
        <w:tc>
          <w:tcPr>
            <w:tcW w:w="2302" w:type="pct"/>
          </w:tcPr>
          <w:p w14:paraId="2E43BD88" w14:textId="77777777" w:rsidR="007F6723" w:rsidRPr="00097EE4" w:rsidRDefault="007F6723" w:rsidP="00181CF8">
            <w:pPr>
              <w:pStyle w:val="Tabletextcentred"/>
              <w:jc w:val="left"/>
            </w:pPr>
            <w:r w:rsidRPr="00097EE4">
              <w:t>Probability of mild AD to death set to age-related all-cause mortality (0.021 per annum in the base case)</w:t>
            </w:r>
          </w:p>
        </w:tc>
        <w:tc>
          <w:tcPr>
            <w:tcW w:w="765" w:type="pct"/>
          </w:tcPr>
          <w:p w14:paraId="77CAD661" w14:textId="77777777" w:rsidR="007F6723" w:rsidRPr="00097EE4" w:rsidRDefault="007F6723" w:rsidP="00181CF8">
            <w:pPr>
              <w:pStyle w:val="Tabletextcentred"/>
              <w:jc w:val="right"/>
            </w:pPr>
            <w:r w:rsidRPr="00097EE4">
              <w:t>-$1162</w:t>
            </w:r>
          </w:p>
        </w:tc>
        <w:tc>
          <w:tcPr>
            <w:tcW w:w="766" w:type="pct"/>
          </w:tcPr>
          <w:p w14:paraId="3B8F4E7C" w14:textId="77777777" w:rsidR="007F6723" w:rsidRPr="00097EE4" w:rsidRDefault="007F6723" w:rsidP="00181CF8">
            <w:pPr>
              <w:pStyle w:val="Tabletextcentred"/>
              <w:jc w:val="right"/>
            </w:pPr>
            <w:r w:rsidRPr="00097EE4">
              <w:t>0.03</w:t>
            </w:r>
          </w:p>
        </w:tc>
        <w:tc>
          <w:tcPr>
            <w:tcW w:w="1167" w:type="pct"/>
          </w:tcPr>
          <w:p w14:paraId="03C2BFA5" w14:textId="77777777" w:rsidR="007F6723" w:rsidRPr="00097EE4" w:rsidRDefault="007F6723" w:rsidP="00181CF8">
            <w:pPr>
              <w:pStyle w:val="Tabletextcentred"/>
              <w:jc w:val="right"/>
            </w:pPr>
            <w:r w:rsidRPr="00097EE4">
              <w:t>FDG-PET leads to cost savings while improving QALYs</w:t>
            </w:r>
          </w:p>
        </w:tc>
      </w:tr>
    </w:tbl>
    <w:p w14:paraId="4238C5C2" w14:textId="3FA7BA84" w:rsidR="007F6723" w:rsidRPr="00097EE4" w:rsidRDefault="007F6723" w:rsidP="007F6723">
      <w:pPr>
        <w:pStyle w:val="Tablefootnotes"/>
      </w:pPr>
      <w:r w:rsidRPr="00097EE4">
        <w:t>Abbreviations: AChEIs, acetylcholinesterase inhibitors; AD, Alzheimer’s disease; FDG-PET, flu</w:t>
      </w:r>
      <w:r w:rsidR="0038452F">
        <w:t>o</w:t>
      </w:r>
      <w:r w:rsidRPr="00097EE4">
        <w:t>rodeoxyglucose positron emission tomography; ICER, incremental cost-effectiveness ratio; QALY, quality</w:t>
      </w:r>
      <w:r w:rsidR="0064732B">
        <w:t>-</w:t>
      </w:r>
      <w:r w:rsidRPr="00097EE4">
        <w:t>adjusted life year</w:t>
      </w:r>
    </w:p>
    <w:p w14:paraId="17077DD8" w14:textId="77777777" w:rsidR="007F6723" w:rsidRDefault="007F6723" w:rsidP="007F6723">
      <w:pPr>
        <w:pStyle w:val="Tablefootnotes"/>
      </w:pPr>
      <w:r w:rsidRPr="00097EE4">
        <w:rPr>
          <w:vertAlign w:val="superscript"/>
        </w:rPr>
        <w:t>a</w:t>
      </w:r>
      <w:r w:rsidRPr="00097EE4">
        <w:t xml:space="preserve"> Neumann et al (1999) set backward transitions from severe to 0, thereby eliminating the need for a positive transition probability for backward transition from severe to be included in this analysis</w:t>
      </w:r>
    </w:p>
    <w:p w14:paraId="15737D32" w14:textId="77777777" w:rsidR="007F6723" w:rsidRDefault="007F6723" w:rsidP="007F6723">
      <w:r>
        <w:t>A number of these one-way sensitivity analyses are worth further comment.</w:t>
      </w:r>
    </w:p>
    <w:p w14:paraId="0A96A3B6" w14:textId="77777777" w:rsidR="007F6723" w:rsidRDefault="007F6723" w:rsidP="007F6723">
      <w:r>
        <w:t>In the case of analyses involving modifications to baseline age and gender, the difference from the base case is negligible. While this may be surprising at first glance, it is due to age and gender having an isolated impact on non-AD mortality only. Further, since this is applied in such rare cases in the model (i.e. in only those cases of individuals with no AD), the impact is small. Mortality in the AD health states was set to be equal to estimates from the literature and was not related to either age or gender.</w:t>
      </w:r>
    </w:p>
    <w:p w14:paraId="5013279A" w14:textId="77777777" w:rsidR="007F6723" w:rsidRDefault="007F6723" w:rsidP="007F6723">
      <w:r>
        <w:t>The proportion of the cohort with no AD has a notable impact on the results. As more individuals with no AD are tested with FDG-PET, the technology appears more cost-effective. This result is unsurprising given that the diagnostic power of FDG-PET is greater in these cases than with SPECT (probability of correct diagnosis is 0.60 versus 0.56). As this has the impact of leading to fewer individuals undergoing unnecessary PBS treatment, the result is intuitive. It is worth noting, however, that the estimate used in the base case was uncertain and that any change in assumptions relative to the base case could impact on the expected cost-effectiveness.</w:t>
      </w:r>
    </w:p>
    <w:p w14:paraId="09E3186A" w14:textId="77777777" w:rsidR="007F6723" w:rsidRDefault="007F6723" w:rsidP="007F6723">
      <w:r>
        <w:t>The distribution of individuals with AD between mild and moderate AD has only marginal impact on the results of the analysis.</w:t>
      </w:r>
    </w:p>
    <w:p w14:paraId="682C4956" w14:textId="77777777" w:rsidR="007F6723" w:rsidRDefault="007F6723" w:rsidP="007F6723">
      <w:r>
        <w:t>The model duration, as expected, has a notable impact with a longer time horizon leading to an increase in cost savings. This result is intuitive as it allows for greater emphasis on the delayed progression due to effective treatment. As is always the case with longer extrapolation, however, this would also increase uncertainty and should be viewed in this light.</w:t>
      </w:r>
    </w:p>
    <w:p w14:paraId="0606563E" w14:textId="281BF8A4" w:rsidR="007F6723" w:rsidRDefault="007F6723" w:rsidP="007F6723">
      <w:r>
        <w:t>The results of the model are somewhat robust with regards to cost assumptions. The exception, however, is with regards to the more expensive home- and nursing</w:t>
      </w:r>
      <w:r w:rsidR="00F2342C">
        <w:t xml:space="preserve"> </w:t>
      </w:r>
      <w:r>
        <w:t xml:space="preserve">care </w:t>
      </w:r>
      <w:r>
        <w:lastRenderedPageBreak/>
        <w:t>resources that occur downstream as individual’s conditions worsen. If these costs are eliminated or lessened, the cost savings offered by FDG-PET reduce markedly. Most notable is the analysis which reduces the cost of nursing care by 50%, which has the effect of reducing the incremental cost saving by 67.5%. If the assumptions regarding downstream treatment costs cannot be accepted, this could alter the conclusions drawn from the economic evaluation.</w:t>
      </w:r>
    </w:p>
    <w:p w14:paraId="3C272E83" w14:textId="0CC5DDC6" w:rsidR="007F6723" w:rsidRDefault="007F6723" w:rsidP="007F6723">
      <w:r>
        <w:t xml:space="preserve">Treatment discontinuation assumptions have very little impact on the base case result. The same can be said for the utility weight sensitivity analyses reported in </w:t>
      </w:r>
      <w:r>
        <w:fldChar w:fldCharType="begin"/>
      </w:r>
      <w:r>
        <w:instrText xml:space="preserve"> REF _Ref278964553 \h </w:instrText>
      </w:r>
      <w:r>
        <w:fldChar w:fldCharType="separate"/>
      </w:r>
      <w:r w:rsidR="00C67698" w:rsidRPr="00097EE4">
        <w:t xml:space="preserve">Table </w:t>
      </w:r>
      <w:r w:rsidR="00C67698">
        <w:rPr>
          <w:noProof/>
        </w:rPr>
        <w:t>D.6</w:t>
      </w:r>
      <w:r w:rsidR="00C67698">
        <w:noBreakHyphen/>
      </w:r>
      <w:r w:rsidR="00C67698">
        <w:rPr>
          <w:noProof/>
        </w:rPr>
        <w:t>1</w:t>
      </w:r>
      <w:r>
        <w:fldChar w:fldCharType="end"/>
      </w:r>
      <w:r>
        <w:t>, although utility weights as a potential source of uncertainty are explored further below.</w:t>
      </w:r>
    </w:p>
    <w:p w14:paraId="463034F3" w14:textId="77777777" w:rsidR="007F6723" w:rsidRDefault="007F6723" w:rsidP="007F6723">
      <w:r>
        <w:t>Treatment effects similarly have only a modest impact on the results. This result is expected given the very small difference in the power of FDG-PET to correctly diagnose AD cases relative to SPECT. Since this difference would lead to correct drug treatment is just two additional individuals out of every 100 tested, reasonable variations the effect of treatment have little impact on the results of the cost-effectiveness analysis.</w:t>
      </w:r>
    </w:p>
    <w:p w14:paraId="426C348E" w14:textId="77777777" w:rsidR="007F6723" w:rsidRDefault="007F6723" w:rsidP="007F6723">
      <w:r>
        <w:t>A similar logic applies to the analyses modifying transition probabilities. Small differences in the number of individuals correctly treated lessen the impact of the transition probabilities relating to the natural history of AD. These, while perhaps uncertain in themselves, are not expected to be a notable source of uncertainty in the modelled results.</w:t>
      </w:r>
    </w:p>
    <w:p w14:paraId="4C29031A" w14:textId="67787A41" w:rsidR="007F6723" w:rsidRDefault="007F6723" w:rsidP="007F6723">
      <w:r w:rsidRPr="00203E4C">
        <w:t>I</w:t>
      </w:r>
      <w:r>
        <w:t>n</w:t>
      </w:r>
      <w:r w:rsidRPr="00203E4C">
        <w:t xml:space="preserve"> addition </w:t>
      </w:r>
      <w:r>
        <w:t xml:space="preserve">to the one-way sensitivity analyses presented in </w:t>
      </w:r>
      <w:r>
        <w:fldChar w:fldCharType="begin"/>
      </w:r>
      <w:r>
        <w:instrText xml:space="preserve"> REF _Ref278964553 \h </w:instrText>
      </w:r>
      <w:r>
        <w:fldChar w:fldCharType="separate"/>
      </w:r>
      <w:r w:rsidR="00C67698" w:rsidRPr="00097EE4">
        <w:t xml:space="preserve">Table </w:t>
      </w:r>
      <w:r w:rsidR="00C67698">
        <w:rPr>
          <w:noProof/>
        </w:rPr>
        <w:t>D.6</w:t>
      </w:r>
      <w:r w:rsidR="00C67698">
        <w:noBreakHyphen/>
      </w:r>
      <w:r w:rsidR="00C67698">
        <w:rPr>
          <w:noProof/>
        </w:rPr>
        <w:t>1</w:t>
      </w:r>
      <w:r>
        <w:fldChar w:fldCharType="end"/>
      </w:r>
      <w:r>
        <w:t xml:space="preserve">, it was necessary to further explore the impact of the utility weight assumptions incorporated into the base case analysis. As discussed in Section </w:t>
      </w:r>
      <w:r>
        <w:fldChar w:fldCharType="begin"/>
      </w:r>
      <w:r>
        <w:instrText xml:space="preserve"> REF _Ref278640902 \r \h </w:instrText>
      </w:r>
      <w:r>
        <w:fldChar w:fldCharType="separate"/>
      </w:r>
      <w:r w:rsidR="00C67698">
        <w:t>C.6</w:t>
      </w:r>
      <w:r>
        <w:fldChar w:fldCharType="end"/>
      </w:r>
      <w:r>
        <w:t xml:space="preserve">, Jonsson et al (2006) provided the best estimates of utility weights for use in the model. There were, however, a number of other sources which differentiated HRQoL by disease severity using MAUIs. The impact of using these alternative sources is presented in </w:t>
      </w:r>
      <w:r>
        <w:fldChar w:fldCharType="begin"/>
      </w:r>
      <w:r>
        <w:instrText xml:space="preserve"> REF _Ref278966301 \h </w:instrText>
      </w:r>
      <w:r>
        <w:fldChar w:fldCharType="separate"/>
      </w:r>
      <w:r w:rsidR="00C67698">
        <w:t xml:space="preserve">Table </w:t>
      </w:r>
      <w:r w:rsidR="00C67698">
        <w:rPr>
          <w:noProof/>
        </w:rPr>
        <w:t>D.6</w:t>
      </w:r>
      <w:r w:rsidR="00C67698">
        <w:noBreakHyphen/>
      </w:r>
      <w:r w:rsidR="00C67698">
        <w:rPr>
          <w:noProof/>
        </w:rPr>
        <w:t>2</w:t>
      </w:r>
      <w:r>
        <w:fldChar w:fldCharType="end"/>
      </w:r>
      <w:r>
        <w:t>.</w:t>
      </w:r>
    </w:p>
    <w:p w14:paraId="5C68DC47" w14:textId="6E0BADA0" w:rsidR="007F6723" w:rsidRDefault="007F6723" w:rsidP="007F6723">
      <w:pPr>
        <w:pStyle w:val="Caption"/>
      </w:pPr>
      <w:bookmarkStart w:id="265" w:name="_Ref278966301"/>
      <w:bookmarkStart w:id="266" w:name="_Toc406172493"/>
      <w:bookmarkStart w:id="267" w:name="_Toc408845248"/>
      <w:r>
        <w:lastRenderedPageBreak/>
        <w:t xml:space="preserve">Table </w:t>
      </w:r>
      <w:fldSimple w:instr=" STYLEREF 2 \s ">
        <w:r w:rsidR="00C67698">
          <w:rPr>
            <w:noProof/>
          </w:rPr>
          <w:t>D.6</w:t>
        </w:r>
      </w:fldSimple>
      <w:r w:rsidR="00524916">
        <w:noBreakHyphen/>
      </w:r>
      <w:fldSimple w:instr=" SEQ Table \* ARABIC \s 2 ">
        <w:r w:rsidR="00C67698">
          <w:rPr>
            <w:noProof/>
          </w:rPr>
          <w:t>2</w:t>
        </w:r>
      </w:fldSimple>
      <w:bookmarkEnd w:id="265"/>
      <w:r>
        <w:tab/>
        <w:t>Sensitivity analyses of utility weights used in the economic model</w:t>
      </w:r>
      <w:bookmarkEnd w:id="266"/>
      <w:bookmarkEnd w:id="267"/>
    </w:p>
    <w:tbl>
      <w:tblPr>
        <w:tblStyle w:val="TableGrid"/>
        <w:tblW w:w="4610" w:type="pct"/>
        <w:tblInd w:w="704" w:type="dxa"/>
        <w:tblLook w:val="04A0" w:firstRow="1" w:lastRow="0" w:firstColumn="1" w:lastColumn="0" w:noHBand="0" w:noVBand="1"/>
        <w:tblCaption w:val="Sensitivity analyses of utility weights used in the economic model"/>
      </w:tblPr>
      <w:tblGrid>
        <w:gridCol w:w="3779"/>
        <w:gridCol w:w="1597"/>
        <w:gridCol w:w="1454"/>
        <w:gridCol w:w="1691"/>
      </w:tblGrid>
      <w:tr w:rsidR="007F6723" w14:paraId="365ADB1A" w14:textId="77777777" w:rsidTr="00181CF8">
        <w:trPr>
          <w:tblHeader/>
        </w:trPr>
        <w:tc>
          <w:tcPr>
            <w:tcW w:w="2218" w:type="pct"/>
          </w:tcPr>
          <w:p w14:paraId="3DD775D9" w14:textId="77777777" w:rsidR="007F6723" w:rsidRDefault="007F6723" w:rsidP="00181CF8">
            <w:pPr>
              <w:pStyle w:val="Tabletextboldleft"/>
              <w:tabs>
                <w:tab w:val="center" w:pos="1532"/>
              </w:tabs>
            </w:pPr>
            <w:r>
              <w:t>Analysis</w:t>
            </w:r>
          </w:p>
        </w:tc>
        <w:tc>
          <w:tcPr>
            <w:tcW w:w="937" w:type="pct"/>
          </w:tcPr>
          <w:p w14:paraId="0DD0C872" w14:textId="77777777" w:rsidR="007F6723" w:rsidRDefault="007F6723" w:rsidP="00181CF8">
            <w:pPr>
              <w:pStyle w:val="Tabletextboldleft"/>
              <w:jc w:val="right"/>
            </w:pPr>
            <w:r>
              <w:t>Incremental cost</w:t>
            </w:r>
          </w:p>
        </w:tc>
        <w:tc>
          <w:tcPr>
            <w:tcW w:w="853" w:type="pct"/>
          </w:tcPr>
          <w:p w14:paraId="1DA68340" w14:textId="77777777" w:rsidR="007F6723" w:rsidRDefault="007F6723" w:rsidP="00181CF8">
            <w:pPr>
              <w:pStyle w:val="Tabletextboldleft"/>
              <w:jc w:val="right"/>
            </w:pPr>
            <w:r>
              <w:t>Incremental QALY</w:t>
            </w:r>
          </w:p>
        </w:tc>
        <w:tc>
          <w:tcPr>
            <w:tcW w:w="992" w:type="pct"/>
          </w:tcPr>
          <w:p w14:paraId="1805ECD1" w14:textId="77777777" w:rsidR="007F6723" w:rsidRDefault="007F6723" w:rsidP="00181CF8">
            <w:pPr>
              <w:pStyle w:val="Tabletextboldleft"/>
              <w:jc w:val="right"/>
            </w:pPr>
            <w:r>
              <w:t>Result</w:t>
            </w:r>
          </w:p>
        </w:tc>
      </w:tr>
      <w:tr w:rsidR="007F6723" w14:paraId="64251163" w14:textId="77777777" w:rsidTr="00181CF8">
        <w:tc>
          <w:tcPr>
            <w:tcW w:w="2218" w:type="pct"/>
          </w:tcPr>
          <w:p w14:paraId="569451BB" w14:textId="77777777" w:rsidR="007F6723" w:rsidRDefault="007F6723" w:rsidP="00181CF8">
            <w:pPr>
              <w:pStyle w:val="Tabletextcentred"/>
              <w:keepNext/>
              <w:jc w:val="left"/>
              <w:rPr>
                <w:i/>
              </w:rPr>
            </w:pPr>
            <w:r>
              <w:rPr>
                <w:i/>
              </w:rPr>
              <w:t>Base case</w:t>
            </w:r>
          </w:p>
          <w:p w14:paraId="1310523F" w14:textId="77777777" w:rsidR="007F6723" w:rsidRPr="000960D8" w:rsidRDefault="007F6723" w:rsidP="00181CF8">
            <w:pPr>
              <w:pStyle w:val="Tabletextcentred"/>
              <w:keepNext/>
              <w:jc w:val="left"/>
              <w:rPr>
                <w:i/>
              </w:rPr>
            </w:pPr>
            <w:r w:rsidRPr="000960D8">
              <w:rPr>
                <w:i/>
              </w:rPr>
              <w:t>Mild AD, community-based = 0.6</w:t>
            </w:r>
            <w:r>
              <w:rPr>
                <w:i/>
              </w:rPr>
              <w:t>4</w:t>
            </w:r>
          </w:p>
          <w:p w14:paraId="742FF028" w14:textId="77777777" w:rsidR="007F6723" w:rsidRPr="000960D8" w:rsidRDefault="007F6723" w:rsidP="00181CF8">
            <w:pPr>
              <w:pStyle w:val="Tabletextcentred"/>
              <w:keepNext/>
              <w:jc w:val="left"/>
              <w:rPr>
                <w:i/>
              </w:rPr>
            </w:pPr>
            <w:r w:rsidRPr="000960D8">
              <w:rPr>
                <w:i/>
              </w:rPr>
              <w:t>Mild AD, nursing home = 0.</w:t>
            </w:r>
            <w:r>
              <w:rPr>
                <w:i/>
              </w:rPr>
              <w:t>33</w:t>
            </w:r>
          </w:p>
          <w:p w14:paraId="6E1D345A" w14:textId="77777777" w:rsidR="007F6723" w:rsidRPr="000960D8" w:rsidRDefault="007F6723" w:rsidP="00181CF8">
            <w:pPr>
              <w:pStyle w:val="Tabletextcentred"/>
              <w:keepNext/>
              <w:jc w:val="left"/>
              <w:rPr>
                <w:i/>
              </w:rPr>
            </w:pPr>
            <w:r w:rsidRPr="000960D8">
              <w:rPr>
                <w:i/>
              </w:rPr>
              <w:t>Moderate AD, community-based = 0.</w:t>
            </w:r>
            <w:r>
              <w:rPr>
                <w:i/>
              </w:rPr>
              <w:t>495</w:t>
            </w:r>
          </w:p>
          <w:p w14:paraId="716E4A6B" w14:textId="77777777" w:rsidR="007F6723" w:rsidRPr="000960D8" w:rsidRDefault="007F6723" w:rsidP="00181CF8">
            <w:pPr>
              <w:pStyle w:val="Tabletextcentred"/>
              <w:keepNext/>
              <w:jc w:val="left"/>
              <w:rPr>
                <w:i/>
              </w:rPr>
            </w:pPr>
            <w:r w:rsidRPr="000960D8">
              <w:rPr>
                <w:i/>
              </w:rPr>
              <w:t>Moderate AD, nursing home = 0.</w:t>
            </w:r>
            <w:r>
              <w:rPr>
                <w:i/>
              </w:rPr>
              <w:t>33</w:t>
            </w:r>
          </w:p>
          <w:p w14:paraId="2F29D01A" w14:textId="77777777" w:rsidR="007F6723" w:rsidRPr="006D4E9F" w:rsidRDefault="007F6723" w:rsidP="00181CF8">
            <w:pPr>
              <w:pStyle w:val="Tabletextcentred"/>
              <w:keepNext/>
              <w:jc w:val="left"/>
              <w:rPr>
                <w:i/>
              </w:rPr>
            </w:pPr>
            <w:r w:rsidRPr="000960D8">
              <w:rPr>
                <w:i/>
              </w:rPr>
              <w:t>Severe AD (all nursing home) = 0.3</w:t>
            </w:r>
            <w:r>
              <w:rPr>
                <w:i/>
              </w:rPr>
              <w:t>3</w:t>
            </w:r>
          </w:p>
        </w:tc>
        <w:tc>
          <w:tcPr>
            <w:tcW w:w="937" w:type="pct"/>
          </w:tcPr>
          <w:p w14:paraId="72213834" w14:textId="77777777" w:rsidR="007F6723" w:rsidRPr="006D4E9F" w:rsidRDefault="007F6723" w:rsidP="00181CF8">
            <w:pPr>
              <w:pStyle w:val="Tabletextcentred"/>
              <w:keepNext/>
              <w:jc w:val="right"/>
              <w:rPr>
                <w:i/>
              </w:rPr>
            </w:pPr>
            <w:r>
              <w:rPr>
                <w:i/>
              </w:rPr>
              <w:t>-</w:t>
            </w:r>
          </w:p>
        </w:tc>
        <w:tc>
          <w:tcPr>
            <w:tcW w:w="853" w:type="pct"/>
          </w:tcPr>
          <w:p w14:paraId="7F761D05" w14:textId="77777777" w:rsidR="007F6723" w:rsidRPr="006D4E9F" w:rsidRDefault="007F6723" w:rsidP="00181CF8">
            <w:pPr>
              <w:pStyle w:val="Tabletextcentred"/>
              <w:keepNext/>
              <w:jc w:val="right"/>
              <w:rPr>
                <w:i/>
              </w:rPr>
            </w:pPr>
            <w:r>
              <w:rPr>
                <w:i/>
              </w:rPr>
              <w:t>-$1160</w:t>
            </w:r>
          </w:p>
        </w:tc>
        <w:tc>
          <w:tcPr>
            <w:tcW w:w="992" w:type="pct"/>
          </w:tcPr>
          <w:p w14:paraId="71444C03" w14:textId="77777777" w:rsidR="007F6723" w:rsidRPr="006D4E9F" w:rsidRDefault="007F6723" w:rsidP="00181CF8">
            <w:pPr>
              <w:pStyle w:val="Tabletextcentred"/>
              <w:keepNext/>
              <w:jc w:val="right"/>
              <w:rPr>
                <w:i/>
              </w:rPr>
            </w:pPr>
            <w:r>
              <w:rPr>
                <w:i/>
              </w:rPr>
              <w:t>0.03</w:t>
            </w:r>
          </w:p>
        </w:tc>
      </w:tr>
      <w:tr w:rsidR="007F6723" w14:paraId="527BA417" w14:textId="77777777" w:rsidTr="00181CF8">
        <w:tc>
          <w:tcPr>
            <w:tcW w:w="2218" w:type="pct"/>
          </w:tcPr>
          <w:p w14:paraId="7D18FE5E" w14:textId="77777777" w:rsidR="007F6723" w:rsidRDefault="007F6723" w:rsidP="00181CF8">
            <w:pPr>
              <w:pStyle w:val="Tabletextcentred"/>
              <w:keepNext/>
              <w:jc w:val="left"/>
            </w:pPr>
            <w:r>
              <w:t>Utility weights from Neumann et al (1999)</w:t>
            </w:r>
          </w:p>
          <w:p w14:paraId="42E36292" w14:textId="77777777" w:rsidR="007F6723" w:rsidRDefault="007F6723" w:rsidP="00181CF8">
            <w:pPr>
              <w:pStyle w:val="Tabletextcentred"/>
              <w:keepNext/>
              <w:jc w:val="left"/>
            </w:pPr>
            <w:r>
              <w:t>Mild AD, community-based = 0.68</w:t>
            </w:r>
          </w:p>
          <w:p w14:paraId="28494FC9" w14:textId="77777777" w:rsidR="007F6723" w:rsidRDefault="007F6723" w:rsidP="00181CF8">
            <w:pPr>
              <w:pStyle w:val="Tabletextcentred"/>
              <w:keepNext/>
              <w:jc w:val="left"/>
            </w:pPr>
            <w:r>
              <w:t>Mild AD, nursing home = 0.71</w:t>
            </w:r>
          </w:p>
          <w:p w14:paraId="1F869635" w14:textId="77777777" w:rsidR="007F6723" w:rsidRDefault="007F6723" w:rsidP="00181CF8">
            <w:pPr>
              <w:pStyle w:val="Tabletextcentred"/>
              <w:keepNext/>
              <w:jc w:val="left"/>
            </w:pPr>
            <w:r>
              <w:t>Moderate AD, community-based = 0.54</w:t>
            </w:r>
          </w:p>
          <w:p w14:paraId="093D2DF9" w14:textId="77777777" w:rsidR="007F6723" w:rsidRDefault="007F6723" w:rsidP="00181CF8">
            <w:pPr>
              <w:pStyle w:val="Tabletextcentred"/>
              <w:keepNext/>
              <w:jc w:val="left"/>
            </w:pPr>
            <w:r>
              <w:t>Moderate AD, nursing home = 0.48</w:t>
            </w:r>
          </w:p>
          <w:p w14:paraId="0B195E36" w14:textId="77777777" w:rsidR="007F6723" w:rsidRDefault="007F6723" w:rsidP="00181CF8">
            <w:pPr>
              <w:pStyle w:val="Tabletextcentred"/>
              <w:keepNext/>
              <w:jc w:val="left"/>
            </w:pPr>
            <w:r>
              <w:t>Severe AD (all nursing home) = 0.31</w:t>
            </w:r>
          </w:p>
        </w:tc>
        <w:tc>
          <w:tcPr>
            <w:tcW w:w="937" w:type="pct"/>
          </w:tcPr>
          <w:p w14:paraId="673FEC4C" w14:textId="77777777" w:rsidR="007F6723" w:rsidRPr="00462B7F" w:rsidRDefault="007F6723" w:rsidP="00181CF8">
            <w:pPr>
              <w:pStyle w:val="Tabletextcentred"/>
              <w:keepNext/>
              <w:jc w:val="right"/>
            </w:pPr>
            <w:r>
              <w:rPr>
                <w:i/>
              </w:rPr>
              <w:t>-$1160</w:t>
            </w:r>
          </w:p>
        </w:tc>
        <w:tc>
          <w:tcPr>
            <w:tcW w:w="853" w:type="pct"/>
          </w:tcPr>
          <w:p w14:paraId="1A58FFAC" w14:textId="77777777" w:rsidR="007F6723" w:rsidRPr="00462B7F" w:rsidRDefault="007F6723" w:rsidP="00181CF8">
            <w:pPr>
              <w:pStyle w:val="Tabletextcentred"/>
              <w:keepNext/>
              <w:jc w:val="right"/>
            </w:pPr>
            <w:r>
              <w:rPr>
                <w:i/>
              </w:rPr>
              <w:t>0.03</w:t>
            </w:r>
          </w:p>
        </w:tc>
        <w:tc>
          <w:tcPr>
            <w:tcW w:w="992" w:type="pct"/>
          </w:tcPr>
          <w:p w14:paraId="635517B7" w14:textId="77777777" w:rsidR="007F6723" w:rsidRPr="00462B7F" w:rsidRDefault="007F6723" w:rsidP="00181CF8">
            <w:pPr>
              <w:pStyle w:val="Tabletextcentred"/>
              <w:keepNext/>
              <w:jc w:val="right"/>
            </w:pPr>
            <w:r>
              <w:rPr>
                <w:i/>
              </w:rPr>
              <w:t>FDG-PET leads to cost savings while improving QALYs</w:t>
            </w:r>
          </w:p>
        </w:tc>
      </w:tr>
      <w:tr w:rsidR="007F6723" w14:paraId="37A42554" w14:textId="77777777" w:rsidTr="00181CF8">
        <w:tc>
          <w:tcPr>
            <w:tcW w:w="2218" w:type="pct"/>
          </w:tcPr>
          <w:p w14:paraId="6C52F3AC" w14:textId="77777777" w:rsidR="007F6723" w:rsidRDefault="007F6723" w:rsidP="00181CF8">
            <w:pPr>
              <w:pStyle w:val="Tabletextcentred"/>
              <w:keepNext/>
              <w:jc w:val="left"/>
            </w:pPr>
            <w:r>
              <w:t>Utility weights from Neumann et al (2000) (‘Pits-to-perfect’ adjustment, HUI3)</w:t>
            </w:r>
          </w:p>
          <w:p w14:paraId="455B0E36" w14:textId="77777777" w:rsidR="007F6723" w:rsidRDefault="007F6723" w:rsidP="00181CF8">
            <w:pPr>
              <w:pStyle w:val="Tabletextcentred"/>
              <w:keepNext/>
              <w:jc w:val="left"/>
            </w:pPr>
            <w:r>
              <w:t>Mild AD = 0.42</w:t>
            </w:r>
          </w:p>
          <w:p w14:paraId="513D09DA" w14:textId="77777777" w:rsidR="007F6723" w:rsidRDefault="007F6723" w:rsidP="00181CF8">
            <w:pPr>
              <w:pStyle w:val="Tabletextcentred"/>
              <w:keepNext/>
              <w:jc w:val="left"/>
            </w:pPr>
            <w:r>
              <w:t>Moderate AD = 0.41</w:t>
            </w:r>
          </w:p>
          <w:p w14:paraId="2DAFE10A" w14:textId="77777777" w:rsidR="007F6723" w:rsidRPr="00462B7F" w:rsidRDefault="007F6723" w:rsidP="00181CF8">
            <w:pPr>
              <w:pStyle w:val="Tabletextcentred"/>
              <w:keepNext/>
              <w:jc w:val="left"/>
            </w:pPr>
            <w:r>
              <w:t>Severe AD = 0.25</w:t>
            </w:r>
          </w:p>
        </w:tc>
        <w:tc>
          <w:tcPr>
            <w:tcW w:w="937" w:type="pct"/>
          </w:tcPr>
          <w:p w14:paraId="4F59053D" w14:textId="77777777" w:rsidR="007F6723" w:rsidRPr="00462B7F" w:rsidRDefault="007F6723" w:rsidP="00181CF8">
            <w:pPr>
              <w:pStyle w:val="Tabletextcentred"/>
              <w:keepNext/>
              <w:jc w:val="right"/>
            </w:pPr>
            <w:r>
              <w:rPr>
                <w:i/>
              </w:rPr>
              <w:t>-$1160</w:t>
            </w:r>
          </w:p>
        </w:tc>
        <w:tc>
          <w:tcPr>
            <w:tcW w:w="853" w:type="pct"/>
          </w:tcPr>
          <w:p w14:paraId="252ACF60" w14:textId="77777777" w:rsidR="007F6723" w:rsidRPr="00462B7F" w:rsidRDefault="007F6723" w:rsidP="00181CF8">
            <w:pPr>
              <w:pStyle w:val="Tabletextcentred"/>
              <w:keepNext/>
              <w:jc w:val="right"/>
            </w:pPr>
            <w:r>
              <w:rPr>
                <w:i/>
              </w:rPr>
              <w:t>0.03</w:t>
            </w:r>
          </w:p>
        </w:tc>
        <w:tc>
          <w:tcPr>
            <w:tcW w:w="992" w:type="pct"/>
          </w:tcPr>
          <w:p w14:paraId="76626406" w14:textId="77777777" w:rsidR="007F6723" w:rsidRPr="00462B7F" w:rsidRDefault="007F6723" w:rsidP="00181CF8">
            <w:pPr>
              <w:pStyle w:val="Tabletextcentred"/>
              <w:keepNext/>
              <w:jc w:val="right"/>
            </w:pPr>
            <w:r>
              <w:rPr>
                <w:i/>
              </w:rPr>
              <w:t>FDG-PET leads to cost savings while improving QALYs</w:t>
            </w:r>
          </w:p>
        </w:tc>
      </w:tr>
      <w:tr w:rsidR="007F6723" w14:paraId="7FCF48C9" w14:textId="77777777" w:rsidTr="00181CF8">
        <w:tc>
          <w:tcPr>
            <w:tcW w:w="2218" w:type="pct"/>
          </w:tcPr>
          <w:p w14:paraId="2F38D7C4" w14:textId="77777777" w:rsidR="007F6723" w:rsidRDefault="007F6723" w:rsidP="00181CF8">
            <w:pPr>
              <w:pStyle w:val="Tabletextcentred"/>
              <w:keepNext/>
              <w:jc w:val="left"/>
            </w:pPr>
            <w:r>
              <w:t>Utility weights from Neumann et al (2000) (‘Pits-to-perfect’ adjustment, HUI2)</w:t>
            </w:r>
          </w:p>
          <w:p w14:paraId="32BA4249" w14:textId="77777777" w:rsidR="007F6723" w:rsidRDefault="007F6723" w:rsidP="00181CF8">
            <w:pPr>
              <w:pStyle w:val="Tabletextcentred"/>
              <w:keepNext/>
              <w:jc w:val="left"/>
            </w:pPr>
            <w:r>
              <w:t>Mild AD = 0.70</w:t>
            </w:r>
          </w:p>
          <w:p w14:paraId="2E8DBA52" w14:textId="77777777" w:rsidR="007F6723" w:rsidRDefault="007F6723" w:rsidP="00181CF8">
            <w:pPr>
              <w:pStyle w:val="Tabletextcentred"/>
              <w:keepNext/>
              <w:jc w:val="left"/>
            </w:pPr>
            <w:r>
              <w:t>Moderate AD = 0.54</w:t>
            </w:r>
          </w:p>
          <w:p w14:paraId="0E31A06D" w14:textId="77777777" w:rsidR="007F6723" w:rsidRPr="00462B7F" w:rsidRDefault="007F6723" w:rsidP="00181CF8">
            <w:pPr>
              <w:pStyle w:val="Tabletextcentred"/>
              <w:keepNext/>
              <w:jc w:val="left"/>
            </w:pPr>
            <w:r>
              <w:t>Severe AD = 0.35</w:t>
            </w:r>
          </w:p>
        </w:tc>
        <w:tc>
          <w:tcPr>
            <w:tcW w:w="937" w:type="pct"/>
          </w:tcPr>
          <w:p w14:paraId="20E437C3" w14:textId="77777777" w:rsidR="007F6723" w:rsidRPr="00462B7F" w:rsidRDefault="007F6723" w:rsidP="00181CF8">
            <w:pPr>
              <w:pStyle w:val="Tabletextcentred"/>
              <w:keepNext/>
              <w:jc w:val="right"/>
            </w:pPr>
            <w:r>
              <w:rPr>
                <w:i/>
              </w:rPr>
              <w:t>-$1160</w:t>
            </w:r>
          </w:p>
        </w:tc>
        <w:tc>
          <w:tcPr>
            <w:tcW w:w="853" w:type="pct"/>
          </w:tcPr>
          <w:p w14:paraId="6E3BF639" w14:textId="77777777" w:rsidR="007F6723" w:rsidRPr="00462B7F" w:rsidRDefault="007F6723" w:rsidP="00181CF8">
            <w:pPr>
              <w:pStyle w:val="Tabletextcentred"/>
              <w:keepNext/>
              <w:jc w:val="right"/>
            </w:pPr>
            <w:r>
              <w:rPr>
                <w:i/>
              </w:rPr>
              <w:t>0.03</w:t>
            </w:r>
          </w:p>
        </w:tc>
        <w:tc>
          <w:tcPr>
            <w:tcW w:w="992" w:type="pct"/>
          </w:tcPr>
          <w:p w14:paraId="0D61E65D" w14:textId="77777777" w:rsidR="007F6723" w:rsidRPr="00462B7F" w:rsidRDefault="007F6723" w:rsidP="00181CF8">
            <w:pPr>
              <w:pStyle w:val="Tabletextcentred"/>
              <w:keepNext/>
              <w:jc w:val="right"/>
            </w:pPr>
            <w:r>
              <w:rPr>
                <w:i/>
              </w:rPr>
              <w:t>FDG-PET leads to cost savings while improving QALYs</w:t>
            </w:r>
          </w:p>
        </w:tc>
      </w:tr>
      <w:tr w:rsidR="007F6723" w14:paraId="50B42305" w14:textId="77777777" w:rsidTr="00181CF8">
        <w:tc>
          <w:tcPr>
            <w:tcW w:w="2218" w:type="pct"/>
          </w:tcPr>
          <w:p w14:paraId="4E284067" w14:textId="77777777" w:rsidR="007F6723" w:rsidRDefault="007F6723" w:rsidP="00181CF8">
            <w:pPr>
              <w:pStyle w:val="Tabletextcentred"/>
              <w:keepNext/>
              <w:jc w:val="left"/>
            </w:pPr>
            <w:r w:rsidRPr="00F249C6">
              <w:t xml:space="preserve">Wlodarczyk </w:t>
            </w:r>
            <w:r>
              <w:t xml:space="preserve">et al </w:t>
            </w:r>
            <w:r w:rsidRPr="00F249C6">
              <w:t>(2004)</w:t>
            </w:r>
          </w:p>
          <w:p w14:paraId="793B9325" w14:textId="77777777" w:rsidR="007F6723" w:rsidRDefault="007F6723" w:rsidP="00181CF8">
            <w:pPr>
              <w:pStyle w:val="Tabletextcentred"/>
              <w:keepNext/>
              <w:jc w:val="left"/>
            </w:pPr>
            <w:r>
              <w:t>Mild AD = 0.68</w:t>
            </w:r>
          </w:p>
          <w:p w14:paraId="7D88E993" w14:textId="77777777" w:rsidR="007F6723" w:rsidRDefault="007F6723" w:rsidP="00181CF8">
            <w:pPr>
              <w:pStyle w:val="Tabletextcentred"/>
              <w:keepNext/>
              <w:jc w:val="left"/>
            </w:pPr>
            <w:r>
              <w:t>Moderate AD = 0.575</w:t>
            </w:r>
          </w:p>
          <w:p w14:paraId="0875A56A" w14:textId="77777777" w:rsidR="007F6723" w:rsidRDefault="007F6723" w:rsidP="00181CF8">
            <w:pPr>
              <w:pStyle w:val="Tabletextcentred"/>
              <w:keepNext/>
              <w:jc w:val="left"/>
            </w:pPr>
            <w:r>
              <w:t>Severe AD = 0.52</w:t>
            </w:r>
          </w:p>
        </w:tc>
        <w:tc>
          <w:tcPr>
            <w:tcW w:w="937" w:type="pct"/>
          </w:tcPr>
          <w:p w14:paraId="24579479" w14:textId="77777777" w:rsidR="007F6723" w:rsidRPr="00462B7F" w:rsidRDefault="007F6723" w:rsidP="00181CF8">
            <w:pPr>
              <w:pStyle w:val="Tabletextcentred"/>
              <w:keepNext/>
              <w:jc w:val="right"/>
            </w:pPr>
            <w:r>
              <w:rPr>
                <w:i/>
              </w:rPr>
              <w:t>-$1160</w:t>
            </w:r>
          </w:p>
        </w:tc>
        <w:tc>
          <w:tcPr>
            <w:tcW w:w="853" w:type="pct"/>
          </w:tcPr>
          <w:p w14:paraId="4EE7ABF1" w14:textId="77777777" w:rsidR="007F6723" w:rsidRPr="00462B7F" w:rsidRDefault="007F6723" w:rsidP="00181CF8">
            <w:pPr>
              <w:pStyle w:val="Tabletextcentred"/>
              <w:keepNext/>
              <w:jc w:val="right"/>
            </w:pPr>
            <w:r>
              <w:rPr>
                <w:i/>
              </w:rPr>
              <w:t>0.02</w:t>
            </w:r>
          </w:p>
        </w:tc>
        <w:tc>
          <w:tcPr>
            <w:tcW w:w="992" w:type="pct"/>
          </w:tcPr>
          <w:p w14:paraId="28BC090E" w14:textId="77777777" w:rsidR="007F6723" w:rsidRPr="00462B7F" w:rsidRDefault="007F6723" w:rsidP="00181CF8">
            <w:pPr>
              <w:pStyle w:val="Tabletextcentred"/>
              <w:keepNext/>
              <w:jc w:val="right"/>
            </w:pPr>
            <w:r>
              <w:rPr>
                <w:i/>
              </w:rPr>
              <w:t>FDG-PET leads to cost savings while improving QALYs</w:t>
            </w:r>
          </w:p>
        </w:tc>
      </w:tr>
    </w:tbl>
    <w:p w14:paraId="29B054DA" w14:textId="28C31A3A" w:rsidR="007F6723" w:rsidRDefault="007F6723" w:rsidP="007F6723">
      <w:pPr>
        <w:pStyle w:val="Tablefootnotes"/>
      </w:pPr>
      <w:r w:rsidRPr="00F94D4D">
        <w:t>Abbreviations</w:t>
      </w:r>
      <w:r>
        <w:t>: AD, Alzheimer’s disease; ICER, incremental cost-effectiveness ratio; QALY, quality</w:t>
      </w:r>
      <w:r w:rsidR="0064732B">
        <w:t>-</w:t>
      </w:r>
      <w:r>
        <w:t>adjusted life year</w:t>
      </w:r>
    </w:p>
    <w:p w14:paraId="6CB40775" w14:textId="77777777" w:rsidR="007F6723" w:rsidRDefault="007F6723" w:rsidP="007F6723">
      <w:r>
        <w:t>The first of the utility weight sensitivity analyses was from the same source as the base case, but used the EQ-5D utility weight results for samples in which patient and carer results were available. The range of utility weights was tighter in this analysis than in the base case, with the most notable difference being the higher estimate for those with severe AD or in institutional care in a nursing home. It did not lead to a perceptible change in the incremental QALY, however, with the difference remaining at 0.03 at the level of two decimal places.</w:t>
      </w:r>
    </w:p>
    <w:p w14:paraId="518F12A8" w14:textId="77777777" w:rsidR="007F6723" w:rsidRDefault="007F6723" w:rsidP="007F6723">
      <w:r>
        <w:t>An analysis was also undertaken applying the HUI2 estimates used in the study by Neumann et al (1999). This source used a similar range (0.37, compared to 0.36 in the base case), but was distributed differently; the main difference being the markedly higher estimates for mild and moderate AD when treated in nursing homes. Again, no difference was perceptible at the level of two decimal places versus the base case.</w:t>
      </w:r>
    </w:p>
    <w:p w14:paraId="78CB9A4F" w14:textId="77777777" w:rsidR="007F6723" w:rsidRDefault="007F6723" w:rsidP="007F6723">
      <w:r>
        <w:t xml:space="preserve">Two analyses were also undertaken using updated estimates generated by Neumann et al (2000). These analyses used the estimates which excluded negative score results from the sample by setting these to zero, thereby avoiding the risk of overstating the value of FDG-PET by using heavily negative utility weights (which would appear unreasonable and perhaps related to issues with the use of the HUI2 and HUI3 in dementia/AD). Both HUI2 and HUI3 scores were used to generate these analyses. The range of scores was similar to the base case in the HUI3 example (0.35) but much tighter in the HUI2 case (0.17). In both, however, the distribution of utility weights by disease severity was very different, with the most notable difference that mild and moderate AD was not given a compromised utility weight if treated in nursing homes instead of the community. </w:t>
      </w:r>
      <w:r>
        <w:lastRenderedPageBreak/>
        <w:t>Again, no difference was perceptible at the level of two decimal places versus the base case.</w:t>
      </w:r>
    </w:p>
    <w:p w14:paraId="35EBBC64" w14:textId="77777777" w:rsidR="007F6723" w:rsidRDefault="007F6723" w:rsidP="007F6723">
      <w:r>
        <w:t>Finally, an analysis was undertaken using Australian utility weights from Wlodarczyk et al (2004). The range of these utility weights was much smaller than in the base case (0.16), and no compromised utility was applied on the basis of individuals being institutionalised in nursing homes. This was the only analysis that had an impact on the incremental QALY which could be observed at two decimal places. The difference, however, was small with a reduction from 0.03 to 0.02. The reason for this analysis having the only observable difference was the much narrower range in utility weights as an individual’s AD progresses. The result of this is that treatment offers less benefit than it otherwise would.</w:t>
      </w:r>
    </w:p>
    <w:p w14:paraId="2FA70D30" w14:textId="77777777" w:rsidR="007F6723" w:rsidRDefault="007F6723" w:rsidP="007F6723">
      <w:r>
        <w:t>The results of these analyses is unsurprising given the small difference in the diagnostic accuracy of FDG-PET compared with SPECT. With a larger difference, and more accurate diagnosis of AD, the impact of the utility weights would be greater. As it stands, however, it is clear that the utility weights selected for use in the model have a small impact on the results of the analysis.</w:t>
      </w:r>
    </w:p>
    <w:p w14:paraId="559480E6" w14:textId="3CBF8170" w:rsidR="000402E7" w:rsidRDefault="000402E7" w:rsidP="000402E7">
      <w:pPr>
        <w:pStyle w:val="Heading3"/>
      </w:pPr>
      <w:bookmarkStart w:id="268" w:name="_Ref408584607"/>
      <w:r>
        <w:t>Diagnostic accuracy model</w:t>
      </w:r>
      <w:bookmarkEnd w:id="268"/>
    </w:p>
    <w:p w14:paraId="36B1C181" w14:textId="13F710DE" w:rsidR="007F6723" w:rsidRDefault="005569B0" w:rsidP="007F6723">
      <w:r>
        <w:t>A</w:t>
      </w:r>
      <w:r w:rsidR="007F6723">
        <w:t xml:space="preserve"> series of sensitivity analyses was undertaken to explore the impact of the diagnostic accuracy data used in the </w:t>
      </w:r>
      <w:r>
        <w:t xml:space="preserve">diagnostic accuracy portion of the </w:t>
      </w:r>
      <w:r w:rsidR="007F6723">
        <w:t xml:space="preserve">economic model. </w:t>
      </w:r>
      <w:r w:rsidR="007F6723">
        <w:fldChar w:fldCharType="begin"/>
      </w:r>
      <w:r w:rsidR="007F6723">
        <w:instrText xml:space="preserve"> REF _Ref279930455 \h </w:instrText>
      </w:r>
      <w:r w:rsidR="007F6723">
        <w:fldChar w:fldCharType="separate"/>
      </w:r>
      <w:r w:rsidR="00C67698">
        <w:t xml:space="preserve">Table </w:t>
      </w:r>
      <w:r w:rsidR="00C67698">
        <w:rPr>
          <w:noProof/>
        </w:rPr>
        <w:t>D.6</w:t>
      </w:r>
      <w:r w:rsidR="00C67698">
        <w:noBreakHyphen/>
      </w:r>
      <w:r w:rsidR="00C67698">
        <w:rPr>
          <w:noProof/>
        </w:rPr>
        <w:t>3</w:t>
      </w:r>
      <w:r w:rsidR="007F6723">
        <w:fldChar w:fldCharType="end"/>
      </w:r>
      <w:r w:rsidR="007F6723">
        <w:t xml:space="preserve"> presents alternative estimates of the diagnostic accuracy of FDG-PET and </w:t>
      </w:r>
      <w:r w:rsidR="007F6723" w:rsidRPr="00DE5CD5">
        <w:t xml:space="preserve">SPECT. Compared with the </w:t>
      </w:r>
      <w:r w:rsidR="00DE5CD5" w:rsidRPr="00DE5CD5">
        <w:t>data</w:t>
      </w:r>
      <w:r w:rsidR="007F6723" w:rsidRPr="00DE5CD5">
        <w:t xml:space="preserve"> presented in Section </w:t>
      </w:r>
      <w:r w:rsidR="007F6723" w:rsidRPr="00DE5CD5">
        <w:fldChar w:fldCharType="begin"/>
      </w:r>
      <w:r w:rsidR="007F6723" w:rsidRPr="00DE5CD5">
        <w:instrText xml:space="preserve"> REF _Ref406172098 \r \h  \* MERGEFORMAT </w:instrText>
      </w:r>
      <w:r w:rsidR="007F6723" w:rsidRPr="00DE5CD5">
        <w:fldChar w:fldCharType="separate"/>
      </w:r>
      <w:r w:rsidR="00C67698">
        <w:t>C.9.2</w:t>
      </w:r>
      <w:r w:rsidR="007F6723" w:rsidRPr="00DE5CD5">
        <w:fldChar w:fldCharType="end"/>
      </w:r>
      <w:r w:rsidR="007F6723" w:rsidRPr="00DE5CD5">
        <w:t xml:space="preserve">, these apply </w:t>
      </w:r>
      <w:r w:rsidR="00DE5CD5" w:rsidRPr="00DE5CD5">
        <w:t xml:space="preserve">a </w:t>
      </w:r>
      <w:r w:rsidR="007F6723" w:rsidRPr="00DE5CD5">
        <w:t>different</w:t>
      </w:r>
      <w:r w:rsidR="00DE5CD5" w:rsidRPr="00DE5CD5">
        <w:t xml:space="preserve"> set of values from the study by Dö</w:t>
      </w:r>
      <w:r w:rsidR="007F6723" w:rsidRPr="00DE5CD5">
        <w:t>bert et al (2005)</w:t>
      </w:r>
      <w:r w:rsidR="00DE5CD5" w:rsidRPr="00DE5CD5">
        <w:t>, whereby AD and mixed-type dementia were combined, on the basis that differentiation of those two conditions may be of limited clinical importance</w:t>
      </w:r>
      <w:r w:rsidR="007F6723" w:rsidRPr="00DE5CD5">
        <w:t>. Using these led to a change in the probability of correct diagnosis of AD when using FDG-PET (0.71 to 0.83) and of no AD when using FDG-PET (0.60 to 0.56). Similarly</w:t>
      </w:r>
      <w:r w:rsidR="007F6723">
        <w:t>, there was also a change in the probability of correct diagnosis of AD when using SPECT (0.69 to 0.70) and no AD when using SPECT (0.56 to 0.43).</w:t>
      </w:r>
    </w:p>
    <w:p w14:paraId="5C594E40" w14:textId="1E96010A" w:rsidR="007F6723" w:rsidRDefault="007F6723" w:rsidP="007F6723">
      <w:pPr>
        <w:pStyle w:val="Caption"/>
      </w:pPr>
      <w:bookmarkStart w:id="269" w:name="_Ref279930455"/>
      <w:bookmarkStart w:id="270" w:name="_Toc406172494"/>
      <w:bookmarkStart w:id="271" w:name="_Toc408845249"/>
      <w:r>
        <w:t xml:space="preserve">Table </w:t>
      </w:r>
      <w:fldSimple w:instr=" STYLEREF 2 \s ">
        <w:r w:rsidR="00C67698">
          <w:rPr>
            <w:noProof/>
          </w:rPr>
          <w:t>D.6</w:t>
        </w:r>
      </w:fldSimple>
      <w:r w:rsidR="00524916">
        <w:noBreakHyphen/>
      </w:r>
      <w:fldSimple w:instr=" SEQ Table \* ARABIC \s 2 ">
        <w:r w:rsidR="00C67698">
          <w:rPr>
            <w:noProof/>
          </w:rPr>
          <w:t>3</w:t>
        </w:r>
      </w:fldSimple>
      <w:bookmarkEnd w:id="269"/>
      <w:r>
        <w:tab/>
        <w:t>Diagnostic accuracy data applied to the sensitivity analysis</w:t>
      </w:r>
      <w:bookmarkEnd w:id="270"/>
      <w:bookmarkEnd w:id="271"/>
    </w:p>
    <w:tbl>
      <w:tblPr>
        <w:tblStyle w:val="TableGrid"/>
        <w:tblW w:w="4642" w:type="pct"/>
        <w:tblInd w:w="704" w:type="dxa"/>
        <w:tblLook w:val="04A0" w:firstRow="1" w:lastRow="0" w:firstColumn="1" w:lastColumn="0" w:noHBand="0" w:noVBand="1"/>
        <w:tblCaption w:val="The diagnostic accuracy data applied to the sensitivity analysis"/>
        <w:tblDescription w:val="Alternative estimates of the number of true positives, false positives, false negatives and true negatives from Ito 2014 and Dobert 2005."/>
      </w:tblPr>
      <w:tblGrid>
        <w:gridCol w:w="1456"/>
        <w:gridCol w:w="1781"/>
        <w:gridCol w:w="1781"/>
        <w:gridCol w:w="1781"/>
        <w:gridCol w:w="1781"/>
      </w:tblGrid>
      <w:tr w:rsidR="00577007" w:rsidRPr="006228A6" w14:paraId="72A17F81" w14:textId="77777777" w:rsidTr="00577007">
        <w:trPr>
          <w:tblHeader/>
        </w:trPr>
        <w:tc>
          <w:tcPr>
            <w:tcW w:w="848" w:type="pct"/>
            <w:shd w:val="clear" w:color="auto" w:fill="FFFFFF" w:themeFill="background1"/>
          </w:tcPr>
          <w:p w14:paraId="691BC5AA" w14:textId="77777777" w:rsidR="00577007" w:rsidRPr="001A2F2B" w:rsidRDefault="00577007" w:rsidP="00577007">
            <w:pPr>
              <w:pStyle w:val="Tabletextboldleft"/>
            </w:pPr>
            <w:r w:rsidRPr="001A2F2B">
              <w:t xml:space="preserve">Study ID </w:t>
            </w:r>
          </w:p>
        </w:tc>
        <w:tc>
          <w:tcPr>
            <w:tcW w:w="1038" w:type="pct"/>
            <w:shd w:val="clear" w:color="auto" w:fill="FFFFFF" w:themeFill="background1"/>
          </w:tcPr>
          <w:p w14:paraId="697AF17B" w14:textId="77777777" w:rsidR="00577007" w:rsidRPr="001A2F2B" w:rsidRDefault="00577007" w:rsidP="00577007">
            <w:pPr>
              <w:pStyle w:val="Tabletextboldleft"/>
              <w:jc w:val="center"/>
            </w:pPr>
            <w:r w:rsidRPr="001A2F2B">
              <w:t>TP</w:t>
            </w:r>
          </w:p>
        </w:tc>
        <w:tc>
          <w:tcPr>
            <w:tcW w:w="1038" w:type="pct"/>
            <w:shd w:val="clear" w:color="auto" w:fill="FFFFFF" w:themeFill="background1"/>
          </w:tcPr>
          <w:p w14:paraId="32B33B44" w14:textId="6096456D" w:rsidR="00577007" w:rsidRPr="001A2F2B" w:rsidRDefault="00577007" w:rsidP="00577007">
            <w:pPr>
              <w:pStyle w:val="Tabletextboldleft"/>
              <w:jc w:val="center"/>
            </w:pPr>
            <w:r w:rsidRPr="00680BFC">
              <w:t>FP</w:t>
            </w:r>
          </w:p>
        </w:tc>
        <w:tc>
          <w:tcPr>
            <w:tcW w:w="1038" w:type="pct"/>
            <w:shd w:val="clear" w:color="auto" w:fill="FFFFFF" w:themeFill="background1"/>
          </w:tcPr>
          <w:p w14:paraId="1E393143" w14:textId="3EAFCA85" w:rsidR="00577007" w:rsidRPr="001A2F2B" w:rsidRDefault="00577007" w:rsidP="00577007">
            <w:pPr>
              <w:pStyle w:val="Tabletextboldleft"/>
              <w:jc w:val="center"/>
            </w:pPr>
            <w:r w:rsidRPr="000F5250">
              <w:t>FN</w:t>
            </w:r>
          </w:p>
        </w:tc>
        <w:tc>
          <w:tcPr>
            <w:tcW w:w="1038" w:type="pct"/>
            <w:shd w:val="clear" w:color="auto" w:fill="FFFFFF" w:themeFill="background1"/>
          </w:tcPr>
          <w:p w14:paraId="2C8EFD03" w14:textId="45AD238A" w:rsidR="00577007" w:rsidRPr="001A2F2B" w:rsidRDefault="00577007" w:rsidP="00577007">
            <w:pPr>
              <w:pStyle w:val="Tabletextboldleft"/>
              <w:jc w:val="center"/>
            </w:pPr>
            <w:r w:rsidRPr="001A2F2B">
              <w:t>TN</w:t>
            </w:r>
          </w:p>
        </w:tc>
      </w:tr>
      <w:tr w:rsidR="00577007" w:rsidRPr="006228A6" w14:paraId="76E49F7B" w14:textId="77777777" w:rsidTr="00577007">
        <w:tc>
          <w:tcPr>
            <w:tcW w:w="848" w:type="pct"/>
            <w:shd w:val="clear" w:color="auto" w:fill="D0CECE" w:themeFill="background2" w:themeFillShade="E6"/>
          </w:tcPr>
          <w:p w14:paraId="54EBF9D8" w14:textId="3BC73495" w:rsidR="00577007" w:rsidRPr="001A2F2B" w:rsidRDefault="00577007" w:rsidP="00577007">
            <w:pPr>
              <w:pStyle w:val="Tabletextcentred"/>
              <w:keepNext/>
              <w:jc w:val="left"/>
            </w:pPr>
            <w:r>
              <w:t>FDG-PET</w:t>
            </w:r>
          </w:p>
        </w:tc>
        <w:tc>
          <w:tcPr>
            <w:tcW w:w="1038" w:type="pct"/>
            <w:shd w:val="clear" w:color="auto" w:fill="D0CECE" w:themeFill="background2" w:themeFillShade="E6"/>
          </w:tcPr>
          <w:p w14:paraId="7BDCB3F9" w14:textId="64391E8E" w:rsidR="00577007" w:rsidRPr="001A2F2B" w:rsidRDefault="00577007" w:rsidP="00577007">
            <w:pPr>
              <w:pStyle w:val="Tabletextcentred"/>
              <w:keepNext/>
            </w:pPr>
            <w:r>
              <w:t>-</w:t>
            </w:r>
          </w:p>
        </w:tc>
        <w:tc>
          <w:tcPr>
            <w:tcW w:w="1038" w:type="pct"/>
            <w:shd w:val="clear" w:color="auto" w:fill="D0CECE" w:themeFill="background2" w:themeFillShade="E6"/>
          </w:tcPr>
          <w:p w14:paraId="7FDAEDFD" w14:textId="7FF2506E" w:rsidR="00577007" w:rsidRDefault="00577007" w:rsidP="00577007">
            <w:pPr>
              <w:pStyle w:val="Tabletextcentred"/>
              <w:keepNext/>
            </w:pPr>
            <w:r w:rsidRPr="00680BFC">
              <w:t>-</w:t>
            </w:r>
          </w:p>
        </w:tc>
        <w:tc>
          <w:tcPr>
            <w:tcW w:w="1038" w:type="pct"/>
            <w:shd w:val="clear" w:color="auto" w:fill="D0CECE" w:themeFill="background2" w:themeFillShade="E6"/>
          </w:tcPr>
          <w:p w14:paraId="58B62163" w14:textId="78F92715" w:rsidR="00577007" w:rsidRDefault="00577007" w:rsidP="00577007">
            <w:pPr>
              <w:pStyle w:val="Tabletextcentred"/>
              <w:keepNext/>
            </w:pPr>
            <w:r w:rsidRPr="000F5250">
              <w:t>-</w:t>
            </w:r>
          </w:p>
        </w:tc>
        <w:tc>
          <w:tcPr>
            <w:tcW w:w="1038" w:type="pct"/>
            <w:shd w:val="clear" w:color="auto" w:fill="D0CECE" w:themeFill="background2" w:themeFillShade="E6"/>
          </w:tcPr>
          <w:p w14:paraId="5CF155DC" w14:textId="13239FCC" w:rsidR="00577007" w:rsidRPr="001A2F2B" w:rsidRDefault="00577007" w:rsidP="00577007">
            <w:pPr>
              <w:pStyle w:val="Tabletextcentred"/>
              <w:keepNext/>
            </w:pPr>
            <w:r>
              <w:t>-</w:t>
            </w:r>
          </w:p>
        </w:tc>
      </w:tr>
      <w:tr w:rsidR="00577007" w:rsidRPr="006228A6" w14:paraId="4D13DBD9" w14:textId="77777777" w:rsidTr="00577007">
        <w:tc>
          <w:tcPr>
            <w:tcW w:w="848" w:type="pct"/>
            <w:shd w:val="clear" w:color="auto" w:fill="FFFFFF" w:themeFill="background1"/>
          </w:tcPr>
          <w:p w14:paraId="36046152" w14:textId="77777777" w:rsidR="00577007" w:rsidRPr="001A2F2B" w:rsidRDefault="00577007" w:rsidP="00577007">
            <w:pPr>
              <w:pStyle w:val="Tabletextcentred"/>
              <w:keepNext/>
              <w:jc w:val="left"/>
            </w:pPr>
            <w:r w:rsidRPr="001A2F2B">
              <w:t>Ito (2014)</w:t>
            </w:r>
            <w:r w:rsidRPr="001A2F2B">
              <w:rPr>
                <w:vertAlign w:val="superscript"/>
              </w:rPr>
              <w:t>a</w:t>
            </w:r>
          </w:p>
        </w:tc>
        <w:tc>
          <w:tcPr>
            <w:tcW w:w="1038" w:type="pct"/>
            <w:shd w:val="clear" w:color="auto" w:fill="FFFFFF" w:themeFill="background1"/>
          </w:tcPr>
          <w:p w14:paraId="611648CD" w14:textId="77777777" w:rsidR="00577007" w:rsidRPr="001A2F2B" w:rsidRDefault="00577007" w:rsidP="00577007">
            <w:pPr>
              <w:pStyle w:val="Tabletextcentred"/>
              <w:keepNext/>
            </w:pPr>
            <w:r w:rsidRPr="001A2F2B">
              <w:t>31</w:t>
            </w:r>
          </w:p>
        </w:tc>
        <w:tc>
          <w:tcPr>
            <w:tcW w:w="1038" w:type="pct"/>
            <w:shd w:val="clear" w:color="auto" w:fill="FFFFFF" w:themeFill="background1"/>
          </w:tcPr>
          <w:p w14:paraId="635713A0" w14:textId="0E048ECA" w:rsidR="00577007" w:rsidRPr="001A2F2B" w:rsidRDefault="00577007" w:rsidP="00577007">
            <w:pPr>
              <w:pStyle w:val="Tabletextcentred"/>
              <w:keepNext/>
            </w:pPr>
            <w:r w:rsidRPr="00680BFC">
              <w:t>9</w:t>
            </w:r>
          </w:p>
        </w:tc>
        <w:tc>
          <w:tcPr>
            <w:tcW w:w="1038" w:type="pct"/>
            <w:shd w:val="clear" w:color="auto" w:fill="FFFFFF" w:themeFill="background1"/>
          </w:tcPr>
          <w:p w14:paraId="4C0CF275" w14:textId="095D3782" w:rsidR="00577007" w:rsidRPr="001A2F2B" w:rsidRDefault="00577007" w:rsidP="00577007">
            <w:pPr>
              <w:pStyle w:val="Tabletextcentred"/>
              <w:keepNext/>
            </w:pPr>
            <w:r w:rsidRPr="000F5250">
              <w:t>9</w:t>
            </w:r>
          </w:p>
        </w:tc>
        <w:tc>
          <w:tcPr>
            <w:tcW w:w="1038" w:type="pct"/>
            <w:shd w:val="clear" w:color="auto" w:fill="FFFFFF" w:themeFill="background1"/>
          </w:tcPr>
          <w:p w14:paraId="2EF3BB4A" w14:textId="5E2BA95B" w:rsidR="00577007" w:rsidRPr="001A2F2B" w:rsidRDefault="00577007" w:rsidP="00577007">
            <w:pPr>
              <w:pStyle w:val="Tabletextcentred"/>
              <w:keepNext/>
            </w:pPr>
            <w:r w:rsidRPr="001A2F2B">
              <w:t>6</w:t>
            </w:r>
          </w:p>
        </w:tc>
      </w:tr>
      <w:tr w:rsidR="00577007" w:rsidRPr="006228A6" w14:paraId="301044D7" w14:textId="77777777" w:rsidTr="00577007">
        <w:tc>
          <w:tcPr>
            <w:tcW w:w="848" w:type="pct"/>
            <w:shd w:val="clear" w:color="auto" w:fill="FFFFFF" w:themeFill="background1"/>
          </w:tcPr>
          <w:p w14:paraId="0DE603B4" w14:textId="77777777" w:rsidR="00577007" w:rsidRPr="001A2F2B" w:rsidRDefault="00577007" w:rsidP="00577007">
            <w:pPr>
              <w:pStyle w:val="Tabletextcentred"/>
              <w:keepNext/>
              <w:jc w:val="left"/>
            </w:pPr>
            <w:r w:rsidRPr="001A2F2B">
              <w:t>Döbert (2005)</w:t>
            </w:r>
          </w:p>
        </w:tc>
        <w:tc>
          <w:tcPr>
            <w:tcW w:w="1038" w:type="pct"/>
            <w:shd w:val="clear" w:color="auto" w:fill="FFFFFF" w:themeFill="background1"/>
          </w:tcPr>
          <w:p w14:paraId="4C28CB22" w14:textId="77777777" w:rsidR="00577007" w:rsidRPr="001A2F2B" w:rsidRDefault="00577007" w:rsidP="00577007">
            <w:pPr>
              <w:pStyle w:val="Tabletextcentred"/>
              <w:keepNext/>
            </w:pPr>
            <w:r w:rsidRPr="001A2F2B">
              <w:t>16</w:t>
            </w:r>
          </w:p>
        </w:tc>
        <w:tc>
          <w:tcPr>
            <w:tcW w:w="1038" w:type="pct"/>
            <w:shd w:val="clear" w:color="auto" w:fill="FFFFFF" w:themeFill="background1"/>
          </w:tcPr>
          <w:p w14:paraId="685CD874" w14:textId="5FE6948D" w:rsidR="00577007" w:rsidRPr="001A2F2B" w:rsidRDefault="00577007" w:rsidP="00577007">
            <w:pPr>
              <w:pStyle w:val="Tabletextcentred"/>
              <w:keepNext/>
            </w:pPr>
            <w:r w:rsidRPr="00680BFC">
              <w:t>1</w:t>
            </w:r>
          </w:p>
        </w:tc>
        <w:tc>
          <w:tcPr>
            <w:tcW w:w="1038" w:type="pct"/>
            <w:shd w:val="clear" w:color="auto" w:fill="FFFFFF" w:themeFill="background1"/>
          </w:tcPr>
          <w:p w14:paraId="4A1C224C" w14:textId="582738D6" w:rsidR="00577007" w:rsidRPr="001A2F2B" w:rsidRDefault="00577007" w:rsidP="00577007">
            <w:pPr>
              <w:pStyle w:val="Tabletextcentred"/>
              <w:keepNext/>
            </w:pPr>
            <w:r w:rsidRPr="000F5250">
              <w:t>0</w:t>
            </w:r>
          </w:p>
        </w:tc>
        <w:tc>
          <w:tcPr>
            <w:tcW w:w="1038" w:type="pct"/>
            <w:shd w:val="clear" w:color="auto" w:fill="FFFFFF" w:themeFill="background1"/>
          </w:tcPr>
          <w:p w14:paraId="5405C0C6" w14:textId="27BE49A6" w:rsidR="00577007" w:rsidRPr="001A2F2B" w:rsidRDefault="00577007" w:rsidP="00577007">
            <w:pPr>
              <w:pStyle w:val="Tabletextcentred"/>
              <w:keepNext/>
            </w:pPr>
            <w:r w:rsidRPr="001A2F2B">
              <w:t>7</w:t>
            </w:r>
          </w:p>
        </w:tc>
      </w:tr>
      <w:tr w:rsidR="00577007" w:rsidRPr="006228A6" w14:paraId="4D7DF530" w14:textId="77777777" w:rsidTr="00577007">
        <w:tc>
          <w:tcPr>
            <w:tcW w:w="848" w:type="pct"/>
            <w:shd w:val="clear" w:color="auto" w:fill="FFFFFF" w:themeFill="background1"/>
          </w:tcPr>
          <w:p w14:paraId="7B2DA892" w14:textId="77777777" w:rsidR="00577007" w:rsidRPr="001A2F2B" w:rsidRDefault="00577007" w:rsidP="00577007">
            <w:pPr>
              <w:pStyle w:val="Tabletextcentred"/>
              <w:keepNext/>
              <w:jc w:val="left"/>
              <w:rPr>
                <w:b/>
              </w:rPr>
            </w:pPr>
            <w:r w:rsidRPr="001A2F2B">
              <w:rPr>
                <w:b/>
              </w:rPr>
              <w:t>Total</w:t>
            </w:r>
          </w:p>
        </w:tc>
        <w:tc>
          <w:tcPr>
            <w:tcW w:w="1038" w:type="pct"/>
            <w:shd w:val="clear" w:color="auto" w:fill="FFFFFF" w:themeFill="background1"/>
          </w:tcPr>
          <w:p w14:paraId="21A8D949" w14:textId="77777777" w:rsidR="00577007" w:rsidRPr="001A2F2B" w:rsidRDefault="00577007" w:rsidP="00577007">
            <w:pPr>
              <w:pStyle w:val="Tabletextcentred"/>
              <w:keepNext/>
              <w:rPr>
                <w:b/>
              </w:rPr>
            </w:pPr>
            <w:r w:rsidRPr="001A2F2B">
              <w:rPr>
                <w:b/>
              </w:rPr>
              <w:t>47</w:t>
            </w:r>
          </w:p>
        </w:tc>
        <w:tc>
          <w:tcPr>
            <w:tcW w:w="1038" w:type="pct"/>
            <w:shd w:val="clear" w:color="auto" w:fill="FFFFFF" w:themeFill="background1"/>
          </w:tcPr>
          <w:p w14:paraId="1C049408" w14:textId="2BDDD5C4" w:rsidR="00577007" w:rsidRPr="00B71A04" w:rsidRDefault="00577007" w:rsidP="00577007">
            <w:pPr>
              <w:pStyle w:val="Tabletextcentred"/>
              <w:keepNext/>
              <w:rPr>
                <w:b/>
              </w:rPr>
            </w:pPr>
            <w:r w:rsidRPr="00B71A04">
              <w:rPr>
                <w:b/>
              </w:rPr>
              <w:t>10</w:t>
            </w:r>
          </w:p>
        </w:tc>
        <w:tc>
          <w:tcPr>
            <w:tcW w:w="1038" w:type="pct"/>
            <w:shd w:val="clear" w:color="auto" w:fill="FFFFFF" w:themeFill="background1"/>
          </w:tcPr>
          <w:p w14:paraId="5E563205" w14:textId="73BC55F0" w:rsidR="00577007" w:rsidRPr="00B71A04" w:rsidRDefault="00577007" w:rsidP="00577007">
            <w:pPr>
              <w:pStyle w:val="Tabletextcentred"/>
              <w:keepNext/>
              <w:rPr>
                <w:b/>
              </w:rPr>
            </w:pPr>
            <w:r w:rsidRPr="00B71A04">
              <w:rPr>
                <w:b/>
              </w:rPr>
              <w:t>9</w:t>
            </w:r>
          </w:p>
        </w:tc>
        <w:tc>
          <w:tcPr>
            <w:tcW w:w="1038" w:type="pct"/>
            <w:shd w:val="clear" w:color="auto" w:fill="FFFFFF" w:themeFill="background1"/>
          </w:tcPr>
          <w:p w14:paraId="65A47CE4" w14:textId="345C91E8" w:rsidR="00577007" w:rsidRPr="001A2F2B" w:rsidRDefault="00577007" w:rsidP="00577007">
            <w:pPr>
              <w:pStyle w:val="Tabletextcentred"/>
              <w:keepNext/>
              <w:rPr>
                <w:b/>
              </w:rPr>
            </w:pPr>
            <w:r w:rsidRPr="001A2F2B">
              <w:rPr>
                <w:b/>
              </w:rPr>
              <w:t>13</w:t>
            </w:r>
          </w:p>
        </w:tc>
      </w:tr>
      <w:tr w:rsidR="00577007" w:rsidRPr="006228A6" w14:paraId="5CF24B25" w14:textId="77777777" w:rsidTr="00577007">
        <w:tc>
          <w:tcPr>
            <w:tcW w:w="848" w:type="pct"/>
            <w:shd w:val="clear" w:color="auto" w:fill="D0CECE" w:themeFill="background2" w:themeFillShade="E6"/>
          </w:tcPr>
          <w:p w14:paraId="34FB82F0" w14:textId="5639A780" w:rsidR="00577007" w:rsidRPr="001A2F2B" w:rsidRDefault="00577007" w:rsidP="00577007">
            <w:pPr>
              <w:pStyle w:val="Tabletextcentred"/>
              <w:keepNext/>
              <w:jc w:val="left"/>
            </w:pPr>
            <w:r>
              <w:t>SPECT</w:t>
            </w:r>
          </w:p>
        </w:tc>
        <w:tc>
          <w:tcPr>
            <w:tcW w:w="1038" w:type="pct"/>
            <w:shd w:val="clear" w:color="auto" w:fill="D0CECE" w:themeFill="background2" w:themeFillShade="E6"/>
          </w:tcPr>
          <w:p w14:paraId="2FDB027C" w14:textId="6A976B7E" w:rsidR="00577007" w:rsidRPr="001A2F2B" w:rsidRDefault="00577007" w:rsidP="00577007">
            <w:pPr>
              <w:pStyle w:val="Tabletextcentred"/>
              <w:keepNext/>
            </w:pPr>
            <w:r>
              <w:t>-</w:t>
            </w:r>
          </w:p>
        </w:tc>
        <w:tc>
          <w:tcPr>
            <w:tcW w:w="1038" w:type="pct"/>
            <w:shd w:val="clear" w:color="auto" w:fill="D0CECE" w:themeFill="background2" w:themeFillShade="E6"/>
          </w:tcPr>
          <w:p w14:paraId="4DF14EB6" w14:textId="785E934C" w:rsidR="00577007" w:rsidRDefault="00577007" w:rsidP="00577007">
            <w:pPr>
              <w:pStyle w:val="Tabletextcentred"/>
              <w:keepNext/>
            </w:pPr>
            <w:r w:rsidRPr="00680BFC">
              <w:t>-</w:t>
            </w:r>
          </w:p>
        </w:tc>
        <w:tc>
          <w:tcPr>
            <w:tcW w:w="1038" w:type="pct"/>
            <w:shd w:val="clear" w:color="auto" w:fill="D0CECE" w:themeFill="background2" w:themeFillShade="E6"/>
          </w:tcPr>
          <w:p w14:paraId="7607D9D7" w14:textId="1B39BD1E" w:rsidR="00577007" w:rsidRDefault="00577007" w:rsidP="00577007">
            <w:pPr>
              <w:pStyle w:val="Tabletextcentred"/>
              <w:keepNext/>
            </w:pPr>
            <w:r w:rsidRPr="000F5250">
              <w:t>-</w:t>
            </w:r>
          </w:p>
        </w:tc>
        <w:tc>
          <w:tcPr>
            <w:tcW w:w="1038" w:type="pct"/>
            <w:shd w:val="clear" w:color="auto" w:fill="D0CECE" w:themeFill="background2" w:themeFillShade="E6"/>
          </w:tcPr>
          <w:p w14:paraId="7FFB2BF4" w14:textId="2BC9C142" w:rsidR="00577007" w:rsidRPr="001A2F2B" w:rsidRDefault="00577007" w:rsidP="00577007">
            <w:pPr>
              <w:pStyle w:val="Tabletextcentred"/>
              <w:keepNext/>
            </w:pPr>
            <w:r>
              <w:t>-</w:t>
            </w:r>
          </w:p>
        </w:tc>
      </w:tr>
      <w:tr w:rsidR="00577007" w:rsidRPr="006228A6" w14:paraId="3C4E34A7" w14:textId="77777777" w:rsidTr="00577007">
        <w:tc>
          <w:tcPr>
            <w:tcW w:w="848" w:type="pct"/>
            <w:shd w:val="clear" w:color="auto" w:fill="FFFFFF" w:themeFill="background1"/>
          </w:tcPr>
          <w:p w14:paraId="4E57B7A7" w14:textId="77777777" w:rsidR="00577007" w:rsidRPr="001A2F2B" w:rsidRDefault="00577007" w:rsidP="00577007">
            <w:pPr>
              <w:pStyle w:val="Tabletextcentred"/>
              <w:keepNext/>
              <w:jc w:val="left"/>
            </w:pPr>
            <w:r w:rsidRPr="001A2F2B">
              <w:t>Ito (2014)</w:t>
            </w:r>
            <w:r w:rsidRPr="001A2F2B">
              <w:rPr>
                <w:vertAlign w:val="superscript"/>
              </w:rPr>
              <w:t xml:space="preserve"> a</w:t>
            </w:r>
          </w:p>
        </w:tc>
        <w:tc>
          <w:tcPr>
            <w:tcW w:w="1038" w:type="pct"/>
            <w:shd w:val="clear" w:color="auto" w:fill="FFFFFF" w:themeFill="background1"/>
          </w:tcPr>
          <w:p w14:paraId="162D560A" w14:textId="77777777" w:rsidR="00577007" w:rsidRPr="001A2F2B" w:rsidRDefault="00577007" w:rsidP="00577007">
            <w:pPr>
              <w:pStyle w:val="Tabletextcentred"/>
              <w:keepNext/>
            </w:pPr>
            <w:r w:rsidRPr="001A2F2B">
              <w:t>33</w:t>
            </w:r>
          </w:p>
        </w:tc>
        <w:tc>
          <w:tcPr>
            <w:tcW w:w="1038" w:type="pct"/>
            <w:shd w:val="clear" w:color="auto" w:fill="FFFFFF" w:themeFill="background1"/>
          </w:tcPr>
          <w:p w14:paraId="77E6CF9F" w14:textId="5F45B54E" w:rsidR="00577007" w:rsidRPr="001A2F2B" w:rsidRDefault="00577007" w:rsidP="00577007">
            <w:pPr>
              <w:pStyle w:val="Tabletextcentred"/>
              <w:keepNext/>
            </w:pPr>
            <w:r w:rsidRPr="00680BFC">
              <w:t>10</w:t>
            </w:r>
          </w:p>
        </w:tc>
        <w:tc>
          <w:tcPr>
            <w:tcW w:w="1038" w:type="pct"/>
            <w:shd w:val="clear" w:color="auto" w:fill="FFFFFF" w:themeFill="background1"/>
          </w:tcPr>
          <w:p w14:paraId="0BE74779" w14:textId="1118F527" w:rsidR="00577007" w:rsidRPr="001A2F2B" w:rsidRDefault="00577007" w:rsidP="00577007">
            <w:pPr>
              <w:pStyle w:val="Tabletextcentred"/>
              <w:keepNext/>
            </w:pPr>
            <w:r w:rsidRPr="000F5250">
              <w:t>7</w:t>
            </w:r>
          </w:p>
        </w:tc>
        <w:tc>
          <w:tcPr>
            <w:tcW w:w="1038" w:type="pct"/>
            <w:shd w:val="clear" w:color="auto" w:fill="FFFFFF" w:themeFill="background1"/>
          </w:tcPr>
          <w:p w14:paraId="644A8556" w14:textId="263CF748" w:rsidR="00577007" w:rsidRPr="001A2F2B" w:rsidRDefault="00577007" w:rsidP="00577007">
            <w:pPr>
              <w:pStyle w:val="Tabletextcentred"/>
              <w:keepNext/>
            </w:pPr>
            <w:r w:rsidRPr="001A2F2B">
              <w:t>5</w:t>
            </w:r>
          </w:p>
        </w:tc>
      </w:tr>
      <w:tr w:rsidR="00577007" w:rsidRPr="006228A6" w14:paraId="665CD128" w14:textId="77777777" w:rsidTr="00577007">
        <w:tc>
          <w:tcPr>
            <w:tcW w:w="848" w:type="pct"/>
            <w:shd w:val="clear" w:color="auto" w:fill="FFFFFF" w:themeFill="background1"/>
          </w:tcPr>
          <w:p w14:paraId="1F46AF14" w14:textId="77777777" w:rsidR="00577007" w:rsidRPr="001A2F2B" w:rsidRDefault="00577007" w:rsidP="00577007">
            <w:pPr>
              <w:pStyle w:val="Tabletextcentred"/>
              <w:keepNext/>
              <w:jc w:val="left"/>
            </w:pPr>
            <w:r w:rsidRPr="001A2F2B">
              <w:t>Döbert (2005)</w:t>
            </w:r>
          </w:p>
        </w:tc>
        <w:tc>
          <w:tcPr>
            <w:tcW w:w="1038" w:type="pct"/>
            <w:shd w:val="clear" w:color="auto" w:fill="FFFFFF" w:themeFill="background1"/>
          </w:tcPr>
          <w:p w14:paraId="75B765E2" w14:textId="2A87BBF8" w:rsidR="00577007" w:rsidRPr="001A2F2B" w:rsidRDefault="00577007" w:rsidP="00577007">
            <w:pPr>
              <w:pStyle w:val="Tabletextcentred"/>
              <w:keepNext/>
            </w:pPr>
            <w:r>
              <w:t>6</w:t>
            </w:r>
          </w:p>
        </w:tc>
        <w:tc>
          <w:tcPr>
            <w:tcW w:w="1038" w:type="pct"/>
            <w:shd w:val="clear" w:color="auto" w:fill="FFFFFF" w:themeFill="background1"/>
          </w:tcPr>
          <w:p w14:paraId="6A888821" w14:textId="1049645B" w:rsidR="00577007" w:rsidRDefault="00577007" w:rsidP="00577007">
            <w:pPr>
              <w:pStyle w:val="Tabletextcentred"/>
              <w:keepNext/>
            </w:pPr>
            <w:r w:rsidRPr="00680BFC">
              <w:t>3</w:t>
            </w:r>
          </w:p>
        </w:tc>
        <w:tc>
          <w:tcPr>
            <w:tcW w:w="1038" w:type="pct"/>
            <w:shd w:val="clear" w:color="auto" w:fill="FFFFFF" w:themeFill="background1"/>
          </w:tcPr>
          <w:p w14:paraId="1883846C" w14:textId="05819710" w:rsidR="00577007" w:rsidRDefault="00577007" w:rsidP="00577007">
            <w:pPr>
              <w:pStyle w:val="Tabletextcentred"/>
              <w:keepNext/>
            </w:pPr>
            <w:r w:rsidRPr="000F5250">
              <w:t>10</w:t>
            </w:r>
          </w:p>
        </w:tc>
        <w:tc>
          <w:tcPr>
            <w:tcW w:w="1038" w:type="pct"/>
            <w:shd w:val="clear" w:color="auto" w:fill="FFFFFF" w:themeFill="background1"/>
          </w:tcPr>
          <w:p w14:paraId="17CC8438" w14:textId="42AD96EB" w:rsidR="00577007" w:rsidRPr="001A2F2B" w:rsidRDefault="00577007" w:rsidP="00577007">
            <w:pPr>
              <w:pStyle w:val="Tabletextcentred"/>
              <w:keepNext/>
            </w:pPr>
            <w:r>
              <w:t>5</w:t>
            </w:r>
          </w:p>
        </w:tc>
      </w:tr>
      <w:tr w:rsidR="00577007" w14:paraId="7F7B3991" w14:textId="77777777" w:rsidTr="00577007">
        <w:tc>
          <w:tcPr>
            <w:tcW w:w="848" w:type="pct"/>
            <w:shd w:val="clear" w:color="auto" w:fill="FFFFFF" w:themeFill="background1"/>
          </w:tcPr>
          <w:p w14:paraId="11D0E72B" w14:textId="77777777" w:rsidR="00577007" w:rsidRPr="001A2F2B" w:rsidRDefault="00577007" w:rsidP="00577007">
            <w:pPr>
              <w:pStyle w:val="Tabletextcentred"/>
              <w:keepNext/>
              <w:jc w:val="left"/>
              <w:rPr>
                <w:b/>
              </w:rPr>
            </w:pPr>
            <w:r w:rsidRPr="001A2F2B">
              <w:rPr>
                <w:b/>
              </w:rPr>
              <w:t>Total</w:t>
            </w:r>
          </w:p>
        </w:tc>
        <w:tc>
          <w:tcPr>
            <w:tcW w:w="1038" w:type="pct"/>
            <w:shd w:val="clear" w:color="auto" w:fill="FFFFFF" w:themeFill="background1"/>
          </w:tcPr>
          <w:p w14:paraId="164104DC" w14:textId="7339549F" w:rsidR="00577007" w:rsidRPr="001A2F2B" w:rsidRDefault="00577007" w:rsidP="00577007">
            <w:pPr>
              <w:pStyle w:val="Tabletextcentred"/>
              <w:keepNext/>
              <w:rPr>
                <w:b/>
              </w:rPr>
            </w:pPr>
            <w:r>
              <w:rPr>
                <w:b/>
              </w:rPr>
              <w:t>39</w:t>
            </w:r>
          </w:p>
        </w:tc>
        <w:tc>
          <w:tcPr>
            <w:tcW w:w="1038" w:type="pct"/>
            <w:shd w:val="clear" w:color="auto" w:fill="FFFFFF" w:themeFill="background1"/>
          </w:tcPr>
          <w:p w14:paraId="045958E4" w14:textId="6A9BA390" w:rsidR="00577007" w:rsidRPr="00B71A04" w:rsidRDefault="00577007" w:rsidP="00577007">
            <w:pPr>
              <w:pStyle w:val="Tabletextcentred"/>
              <w:keepNext/>
              <w:rPr>
                <w:b/>
              </w:rPr>
            </w:pPr>
            <w:r w:rsidRPr="00B71A04">
              <w:rPr>
                <w:b/>
              </w:rPr>
              <w:t>13</w:t>
            </w:r>
          </w:p>
        </w:tc>
        <w:tc>
          <w:tcPr>
            <w:tcW w:w="1038" w:type="pct"/>
            <w:shd w:val="clear" w:color="auto" w:fill="FFFFFF" w:themeFill="background1"/>
          </w:tcPr>
          <w:p w14:paraId="15894C05" w14:textId="578CF5A3" w:rsidR="00577007" w:rsidRPr="00B71A04" w:rsidRDefault="00577007" w:rsidP="00577007">
            <w:pPr>
              <w:pStyle w:val="Tabletextcentred"/>
              <w:keepNext/>
              <w:rPr>
                <w:b/>
              </w:rPr>
            </w:pPr>
            <w:r w:rsidRPr="00B71A04">
              <w:rPr>
                <w:b/>
              </w:rPr>
              <w:t>17</w:t>
            </w:r>
          </w:p>
        </w:tc>
        <w:tc>
          <w:tcPr>
            <w:tcW w:w="1038" w:type="pct"/>
            <w:shd w:val="clear" w:color="auto" w:fill="FFFFFF" w:themeFill="background1"/>
          </w:tcPr>
          <w:p w14:paraId="57643427" w14:textId="087BEEEA" w:rsidR="00577007" w:rsidRPr="001A2F2B" w:rsidRDefault="00577007" w:rsidP="00577007">
            <w:pPr>
              <w:pStyle w:val="Tabletextcentred"/>
              <w:keepNext/>
              <w:rPr>
                <w:b/>
              </w:rPr>
            </w:pPr>
            <w:r>
              <w:rPr>
                <w:b/>
              </w:rPr>
              <w:t>10</w:t>
            </w:r>
          </w:p>
        </w:tc>
      </w:tr>
    </w:tbl>
    <w:p w14:paraId="54D1A46C" w14:textId="2BD1167F" w:rsidR="001A2F2B" w:rsidRDefault="001A2F2B" w:rsidP="007F6723">
      <w:pPr>
        <w:pStyle w:val="Tablefootnotes"/>
        <w:keepNext/>
      </w:pPr>
      <w:r>
        <w:t>Source: Section B,</w:t>
      </w:r>
      <w:r w:rsidR="00577007">
        <w:t xml:space="preserve"> </w:t>
      </w:r>
      <w:r w:rsidR="00577007">
        <w:fldChar w:fldCharType="begin"/>
      </w:r>
      <w:r w:rsidR="00577007">
        <w:instrText xml:space="preserve"> REF _Ref408322182 \h </w:instrText>
      </w:r>
      <w:r w:rsidR="00577007">
        <w:fldChar w:fldCharType="separate"/>
      </w:r>
      <w:r w:rsidR="00C67698" w:rsidRPr="00A469B7">
        <w:t xml:space="preserve">Table </w:t>
      </w:r>
      <w:r w:rsidR="00C67698">
        <w:rPr>
          <w:noProof/>
        </w:rPr>
        <w:t>B.6</w:t>
      </w:r>
      <w:r w:rsidR="00C67698">
        <w:noBreakHyphen/>
      </w:r>
      <w:r w:rsidR="00C67698">
        <w:rPr>
          <w:noProof/>
        </w:rPr>
        <w:t>3</w:t>
      </w:r>
      <w:r w:rsidR="00577007">
        <w:fldChar w:fldCharType="end"/>
      </w:r>
    </w:p>
    <w:p w14:paraId="355C792C" w14:textId="20AB415B" w:rsidR="007F6723" w:rsidRPr="00141A4C" w:rsidRDefault="007F6723" w:rsidP="007F6723">
      <w:pPr>
        <w:pStyle w:val="Tablefootnotes"/>
        <w:keepNext/>
      </w:pPr>
      <w:r>
        <w:t>Abbreviations: CI, confidence interval; FDG-PET, flu</w:t>
      </w:r>
      <w:r w:rsidR="0038452F">
        <w:t>o</w:t>
      </w:r>
      <w:r>
        <w:t>rodeoxyglucose positron emission tomography; FN, false negative; FP, false positive; NPV, negative predictive value; PPV, positive predictive vaue; SPECT, single-photon emission tomography TN, true negative; TP, true positive</w:t>
      </w:r>
    </w:p>
    <w:p w14:paraId="37A14C73" w14:textId="77777777" w:rsidR="007F6723" w:rsidRDefault="007F6723" w:rsidP="007F6723">
      <w:pPr>
        <w:pStyle w:val="Tablefootnotes"/>
        <w:keepNext/>
      </w:pPr>
      <w:r w:rsidRPr="006228A6">
        <w:rPr>
          <w:vertAlign w:val="superscript"/>
        </w:rPr>
        <w:t>a</w:t>
      </w:r>
      <w:r w:rsidRPr="00141A4C">
        <w:t xml:space="preserve"> Scans were read by an expert neurological nuclear medicine physician. Note that this study also reported separate sets of results for scans read by a trainee and by a neuroradiologist.</w:t>
      </w:r>
    </w:p>
    <w:p w14:paraId="41FEABD9" w14:textId="77777777" w:rsidR="007F6723" w:rsidRDefault="007F6723" w:rsidP="007F6723">
      <w:r>
        <w:t xml:space="preserve">As shown in </w:t>
      </w:r>
      <w:r>
        <w:fldChar w:fldCharType="begin"/>
      </w:r>
      <w:r>
        <w:instrText xml:space="preserve"> REF _Ref406172382 \h </w:instrText>
      </w:r>
      <w:r>
        <w:fldChar w:fldCharType="separate"/>
      </w:r>
      <w:r w:rsidR="00C67698">
        <w:t xml:space="preserve">Table </w:t>
      </w:r>
      <w:r w:rsidR="00C67698">
        <w:rPr>
          <w:noProof/>
        </w:rPr>
        <w:t>D.6</w:t>
      </w:r>
      <w:r w:rsidR="00C67698">
        <w:noBreakHyphen/>
      </w:r>
      <w:r w:rsidR="00C67698">
        <w:rPr>
          <w:noProof/>
        </w:rPr>
        <w:t>4</w:t>
      </w:r>
      <w:r>
        <w:fldChar w:fldCharType="end"/>
      </w:r>
      <w:r>
        <w:t>, the net impact of the alternative analysis was to increase the cost saving offered by FDG-PET by over $4,700 per patient and to increase the incremental QALY gain considerably by 0.08. This is driven largely by the improved true positive rate of FDG-PET which, in turn, leads to the technology better identifying cases of individuals with AD positive status.</w:t>
      </w:r>
    </w:p>
    <w:p w14:paraId="62137607" w14:textId="31D9BB13" w:rsidR="007F6723" w:rsidRDefault="007F6723" w:rsidP="007F6723">
      <w:pPr>
        <w:pStyle w:val="Caption"/>
      </w:pPr>
      <w:bookmarkStart w:id="272" w:name="_Ref406172382"/>
      <w:bookmarkStart w:id="273" w:name="_Toc406172495"/>
      <w:bookmarkStart w:id="274" w:name="_Toc408845250"/>
      <w:r>
        <w:lastRenderedPageBreak/>
        <w:t xml:space="preserve">Table </w:t>
      </w:r>
      <w:fldSimple w:instr=" STYLEREF 2 \s ">
        <w:r w:rsidR="00C67698">
          <w:rPr>
            <w:noProof/>
          </w:rPr>
          <w:t>D.6</w:t>
        </w:r>
      </w:fldSimple>
      <w:r w:rsidR="00524916">
        <w:noBreakHyphen/>
      </w:r>
      <w:fldSimple w:instr=" SEQ Table \* ARABIC \s 2 ">
        <w:r w:rsidR="00C67698">
          <w:rPr>
            <w:noProof/>
          </w:rPr>
          <w:t>4</w:t>
        </w:r>
      </w:fldSimple>
      <w:bookmarkEnd w:id="272"/>
      <w:r>
        <w:tab/>
        <w:t>Sensitivity analyses of diagnostic accuracy</w:t>
      </w:r>
      <w:bookmarkEnd w:id="273"/>
      <w:bookmarkEnd w:id="274"/>
    </w:p>
    <w:tbl>
      <w:tblPr>
        <w:tblStyle w:val="TableGrid"/>
        <w:tblW w:w="4610" w:type="pct"/>
        <w:tblInd w:w="704" w:type="dxa"/>
        <w:tblLook w:val="04A0" w:firstRow="1" w:lastRow="0" w:firstColumn="1" w:lastColumn="0" w:noHBand="0" w:noVBand="1"/>
        <w:tblCaption w:val="Sensitivity analyses of diagnostic accuracy"/>
      </w:tblPr>
      <w:tblGrid>
        <w:gridCol w:w="2562"/>
        <w:gridCol w:w="1987"/>
        <w:gridCol w:w="1987"/>
        <w:gridCol w:w="1985"/>
      </w:tblGrid>
      <w:tr w:rsidR="007F6723" w14:paraId="37DAF4C8" w14:textId="77777777" w:rsidTr="00181CF8">
        <w:trPr>
          <w:tblHeader/>
        </w:trPr>
        <w:tc>
          <w:tcPr>
            <w:tcW w:w="1503" w:type="pct"/>
          </w:tcPr>
          <w:p w14:paraId="1FA3CE5A" w14:textId="77777777" w:rsidR="007F6723" w:rsidRDefault="007F6723" w:rsidP="00181CF8">
            <w:pPr>
              <w:pStyle w:val="Tabletextboldleft"/>
              <w:tabs>
                <w:tab w:val="center" w:pos="1532"/>
              </w:tabs>
            </w:pPr>
            <w:r>
              <w:t>Analysis</w:t>
            </w:r>
          </w:p>
        </w:tc>
        <w:tc>
          <w:tcPr>
            <w:tcW w:w="1166" w:type="pct"/>
          </w:tcPr>
          <w:p w14:paraId="6A300412" w14:textId="77777777" w:rsidR="007F6723" w:rsidRDefault="007F6723" w:rsidP="00181CF8">
            <w:pPr>
              <w:pStyle w:val="Tabletextboldleft"/>
              <w:jc w:val="right"/>
            </w:pPr>
            <w:r>
              <w:t>Incremental cost</w:t>
            </w:r>
          </w:p>
        </w:tc>
        <w:tc>
          <w:tcPr>
            <w:tcW w:w="1166" w:type="pct"/>
          </w:tcPr>
          <w:p w14:paraId="4F191B47" w14:textId="77777777" w:rsidR="007F6723" w:rsidRDefault="007F6723" w:rsidP="00181CF8">
            <w:pPr>
              <w:pStyle w:val="Tabletextboldleft"/>
              <w:jc w:val="right"/>
            </w:pPr>
            <w:r>
              <w:t>Incremental QALY</w:t>
            </w:r>
          </w:p>
        </w:tc>
        <w:tc>
          <w:tcPr>
            <w:tcW w:w="1166" w:type="pct"/>
          </w:tcPr>
          <w:p w14:paraId="11384C7C" w14:textId="77777777" w:rsidR="007F6723" w:rsidRDefault="007F6723" w:rsidP="00181CF8">
            <w:pPr>
              <w:pStyle w:val="Tabletextboldleft"/>
              <w:jc w:val="right"/>
            </w:pPr>
            <w:r>
              <w:t>Result</w:t>
            </w:r>
          </w:p>
        </w:tc>
      </w:tr>
      <w:tr w:rsidR="007F6723" w14:paraId="0A96A3C3" w14:textId="77777777" w:rsidTr="00181CF8">
        <w:tc>
          <w:tcPr>
            <w:tcW w:w="1503" w:type="pct"/>
          </w:tcPr>
          <w:p w14:paraId="65ED7E49" w14:textId="77777777" w:rsidR="007F6723" w:rsidRPr="006D4E9F" w:rsidRDefault="007F6723" w:rsidP="00181CF8">
            <w:pPr>
              <w:pStyle w:val="Tabletextcentred"/>
              <w:keepNext/>
              <w:jc w:val="left"/>
              <w:rPr>
                <w:i/>
              </w:rPr>
            </w:pPr>
            <w:r>
              <w:rPr>
                <w:i/>
              </w:rPr>
              <w:t>Base case</w:t>
            </w:r>
          </w:p>
        </w:tc>
        <w:tc>
          <w:tcPr>
            <w:tcW w:w="1166" w:type="pct"/>
          </w:tcPr>
          <w:p w14:paraId="6312AA5B" w14:textId="77777777" w:rsidR="007F6723" w:rsidRPr="006D4E9F" w:rsidRDefault="007F6723" w:rsidP="00181CF8">
            <w:pPr>
              <w:pStyle w:val="Tabletextcentred"/>
              <w:keepNext/>
              <w:jc w:val="right"/>
              <w:rPr>
                <w:i/>
              </w:rPr>
            </w:pPr>
            <w:r>
              <w:rPr>
                <w:i/>
              </w:rPr>
              <w:t>-$1160</w:t>
            </w:r>
          </w:p>
        </w:tc>
        <w:tc>
          <w:tcPr>
            <w:tcW w:w="1166" w:type="pct"/>
          </w:tcPr>
          <w:p w14:paraId="5E1E5E37" w14:textId="77777777" w:rsidR="007F6723" w:rsidRPr="006D4E9F" w:rsidRDefault="007F6723" w:rsidP="00181CF8">
            <w:pPr>
              <w:pStyle w:val="Tabletextcentred"/>
              <w:keepNext/>
              <w:jc w:val="right"/>
              <w:rPr>
                <w:i/>
              </w:rPr>
            </w:pPr>
            <w:r>
              <w:rPr>
                <w:i/>
              </w:rPr>
              <w:t>0.03</w:t>
            </w:r>
          </w:p>
        </w:tc>
        <w:tc>
          <w:tcPr>
            <w:tcW w:w="1166" w:type="pct"/>
          </w:tcPr>
          <w:p w14:paraId="4E11592B" w14:textId="77777777" w:rsidR="007F6723" w:rsidRPr="006D4E9F" w:rsidRDefault="007F6723" w:rsidP="00181CF8">
            <w:pPr>
              <w:pStyle w:val="Tabletextcentred"/>
              <w:keepNext/>
              <w:jc w:val="right"/>
              <w:rPr>
                <w:i/>
              </w:rPr>
            </w:pPr>
            <w:r>
              <w:rPr>
                <w:i/>
              </w:rPr>
              <w:t>FDG-PET leads to cost savings while improving QALYs</w:t>
            </w:r>
          </w:p>
        </w:tc>
      </w:tr>
      <w:tr w:rsidR="007F6723" w14:paraId="406CAA21" w14:textId="77777777" w:rsidTr="00181CF8">
        <w:tc>
          <w:tcPr>
            <w:tcW w:w="1503" w:type="pct"/>
          </w:tcPr>
          <w:p w14:paraId="50151AD9" w14:textId="77777777" w:rsidR="007F6723" w:rsidRPr="00462B7F" w:rsidRDefault="007F6723" w:rsidP="00181CF8">
            <w:pPr>
              <w:pStyle w:val="Tabletextcentred"/>
              <w:keepNext/>
              <w:jc w:val="left"/>
            </w:pPr>
            <w:r>
              <w:t xml:space="preserve">Alternative diagnostic accuracy rates from </w:t>
            </w:r>
            <w:r>
              <w:fldChar w:fldCharType="begin"/>
            </w:r>
            <w:r>
              <w:instrText xml:space="preserve"> REF _Ref279930455 \h </w:instrText>
            </w:r>
            <w:r>
              <w:fldChar w:fldCharType="separate"/>
            </w:r>
            <w:r w:rsidR="00C67698">
              <w:t xml:space="preserve">Table </w:t>
            </w:r>
            <w:r w:rsidR="00C67698">
              <w:rPr>
                <w:noProof/>
              </w:rPr>
              <w:t>D.6</w:t>
            </w:r>
            <w:r w:rsidR="00C67698">
              <w:noBreakHyphen/>
            </w:r>
            <w:r w:rsidR="00C67698">
              <w:rPr>
                <w:noProof/>
              </w:rPr>
              <w:t>3</w:t>
            </w:r>
            <w:r>
              <w:fldChar w:fldCharType="end"/>
            </w:r>
          </w:p>
        </w:tc>
        <w:tc>
          <w:tcPr>
            <w:tcW w:w="1166" w:type="pct"/>
          </w:tcPr>
          <w:p w14:paraId="54B3DAB6" w14:textId="77777777" w:rsidR="007F6723" w:rsidRPr="00462B7F" w:rsidRDefault="007F6723" w:rsidP="00181CF8">
            <w:pPr>
              <w:pStyle w:val="Tabletextcentred"/>
              <w:keepNext/>
              <w:jc w:val="right"/>
            </w:pPr>
            <w:r>
              <w:rPr>
                <w:i/>
              </w:rPr>
              <w:t>-$5889</w:t>
            </w:r>
          </w:p>
        </w:tc>
        <w:tc>
          <w:tcPr>
            <w:tcW w:w="1166" w:type="pct"/>
          </w:tcPr>
          <w:p w14:paraId="12DA56D4" w14:textId="77777777" w:rsidR="007F6723" w:rsidRPr="00462B7F" w:rsidRDefault="007F6723" w:rsidP="00181CF8">
            <w:pPr>
              <w:pStyle w:val="Tabletextcentred"/>
              <w:keepNext/>
              <w:jc w:val="right"/>
            </w:pPr>
            <w:r>
              <w:rPr>
                <w:i/>
              </w:rPr>
              <w:t>0.11</w:t>
            </w:r>
          </w:p>
        </w:tc>
        <w:tc>
          <w:tcPr>
            <w:tcW w:w="1166" w:type="pct"/>
          </w:tcPr>
          <w:p w14:paraId="5D41CD45" w14:textId="77777777" w:rsidR="007F6723" w:rsidRPr="00462B7F" w:rsidRDefault="007F6723" w:rsidP="00181CF8">
            <w:pPr>
              <w:pStyle w:val="Tabletextcentred"/>
              <w:keepNext/>
              <w:jc w:val="right"/>
            </w:pPr>
            <w:r>
              <w:rPr>
                <w:i/>
              </w:rPr>
              <w:t>FDG-PET leads to cost savings while improving QALYs</w:t>
            </w:r>
          </w:p>
        </w:tc>
      </w:tr>
    </w:tbl>
    <w:p w14:paraId="23C79A91" w14:textId="7926F1B0" w:rsidR="007F6723" w:rsidRDefault="007F6723" w:rsidP="007F6723">
      <w:pPr>
        <w:pStyle w:val="Tablefootnotes"/>
        <w:keepNext/>
      </w:pPr>
      <w:r>
        <w:t>Abbreviations: FDG-PET, flu</w:t>
      </w:r>
      <w:r w:rsidR="0038452F">
        <w:t>o</w:t>
      </w:r>
      <w:r>
        <w:t>rodeoxyglucose positron emission tomography; QALY, quality</w:t>
      </w:r>
      <w:r w:rsidR="0064732B">
        <w:t>-</w:t>
      </w:r>
      <w:r>
        <w:t>adjusted life year</w:t>
      </w:r>
      <w:r w:rsidR="005569B0">
        <w:t>.</w:t>
      </w:r>
    </w:p>
    <w:p w14:paraId="27E96D04" w14:textId="6F075963" w:rsidR="0006115C" w:rsidRDefault="0006115C" w:rsidP="005569B0">
      <w:pPr>
        <w:pStyle w:val="Tablefootnotes"/>
        <w:keepNext/>
        <w:ind w:left="0"/>
      </w:pPr>
    </w:p>
    <w:p w14:paraId="3B8179B4" w14:textId="77777777" w:rsidR="007F6723" w:rsidRDefault="007F6723" w:rsidP="007F6723">
      <w:r w:rsidRPr="00850A8C">
        <w:t xml:space="preserve">Additionally, indirect evidence regarding the diagnostic accuracy was available for application to the model. </w:t>
      </w:r>
      <w:r>
        <w:t xml:space="preserve">Although indirect evidence is not ideal due to underlying differences in the patient populations, indirect evidence was explored in Section B due to the very limited direct evidence available for FDG-PET versus SPECT in the diagnosis of AD. </w:t>
      </w:r>
      <w:r w:rsidRPr="00850A8C">
        <w:fldChar w:fldCharType="begin"/>
      </w:r>
      <w:r w:rsidRPr="00850A8C">
        <w:instrText xml:space="preserve"> REF _Ref279931952 \h  \* MERGEFORMAT </w:instrText>
      </w:r>
      <w:r w:rsidRPr="00850A8C">
        <w:fldChar w:fldCharType="separate"/>
      </w:r>
      <w:r w:rsidR="00C67698">
        <w:t xml:space="preserve">Table </w:t>
      </w:r>
      <w:r w:rsidR="00C67698">
        <w:rPr>
          <w:noProof/>
        </w:rPr>
        <w:t>D.6</w:t>
      </w:r>
      <w:r w:rsidR="00C67698">
        <w:rPr>
          <w:noProof/>
        </w:rPr>
        <w:noBreakHyphen/>
        <w:t>5</w:t>
      </w:r>
      <w:r w:rsidRPr="00850A8C">
        <w:fldChar w:fldCharType="end"/>
      </w:r>
      <w:r w:rsidRPr="00850A8C">
        <w:t xml:space="preserve"> presents indirect evidence of studies in patients with dementia or suspected dementia, with pathological diagnosis as the reference standard; </w:t>
      </w:r>
      <w:r w:rsidRPr="00850A8C">
        <w:fldChar w:fldCharType="begin"/>
      </w:r>
      <w:r w:rsidRPr="00850A8C">
        <w:instrText xml:space="preserve"> REF _Ref279931959 \h  \* MERGEFORMAT </w:instrText>
      </w:r>
      <w:r w:rsidRPr="00850A8C">
        <w:fldChar w:fldCharType="separate"/>
      </w:r>
      <w:r w:rsidR="00C67698">
        <w:t xml:space="preserve">Table </w:t>
      </w:r>
      <w:r w:rsidR="00C67698">
        <w:rPr>
          <w:noProof/>
        </w:rPr>
        <w:t>D.6</w:t>
      </w:r>
      <w:r w:rsidR="00C67698">
        <w:rPr>
          <w:noProof/>
        </w:rPr>
        <w:noBreakHyphen/>
        <w:t>6</w:t>
      </w:r>
      <w:r w:rsidRPr="00850A8C">
        <w:fldChar w:fldCharType="end"/>
      </w:r>
      <w:r w:rsidRPr="00850A8C">
        <w:t xml:space="preserve"> presents data from a published meta-analysis of FDG-PET and SPECT for the diagnosis of AD including normal controls and demented controls, with pathological diagnosis as the reference standard.</w:t>
      </w:r>
      <w:r>
        <w:t xml:space="preserve"> The limitations of each of these studies is discussed in Section B.4. Of note, closer examination of primary studies within the published meta-analysis by Cure et al (2014) found that not all had pathologic diagnosis, despite this being a requirement for inclusion.</w:t>
      </w:r>
    </w:p>
    <w:p w14:paraId="7126BDBD" w14:textId="2DE87E50" w:rsidR="007F6723" w:rsidRDefault="007F6723" w:rsidP="007F6723">
      <w:pPr>
        <w:pStyle w:val="Caption"/>
      </w:pPr>
      <w:bookmarkStart w:id="275" w:name="_Ref279931952"/>
      <w:bookmarkStart w:id="276" w:name="_Toc406172496"/>
      <w:bookmarkStart w:id="277" w:name="_Toc408845251"/>
      <w:r>
        <w:t xml:space="preserve">Table </w:t>
      </w:r>
      <w:fldSimple w:instr=" STYLEREF 2 \s ">
        <w:r w:rsidR="00C67698">
          <w:rPr>
            <w:noProof/>
          </w:rPr>
          <w:t>D.6</w:t>
        </w:r>
      </w:fldSimple>
      <w:r w:rsidR="00524916">
        <w:noBreakHyphen/>
      </w:r>
      <w:fldSimple w:instr=" SEQ Table \* ARABIC \s 2 ">
        <w:r w:rsidR="00C67698">
          <w:rPr>
            <w:noProof/>
          </w:rPr>
          <w:t>5</w:t>
        </w:r>
      </w:fldSimple>
      <w:bookmarkEnd w:id="275"/>
      <w:r>
        <w:tab/>
        <w:t>Diagnostic accuracy rates applied to the sensitivity analysis, indirect evidence</w:t>
      </w:r>
      <w:bookmarkEnd w:id="276"/>
      <w:bookmarkEnd w:id="277"/>
    </w:p>
    <w:tbl>
      <w:tblPr>
        <w:tblStyle w:val="TableGrid4"/>
        <w:tblW w:w="0" w:type="auto"/>
        <w:tblInd w:w="720" w:type="dxa"/>
        <w:tblCellMar>
          <w:left w:w="57" w:type="dxa"/>
          <w:right w:w="57" w:type="dxa"/>
        </w:tblCellMar>
        <w:tblLook w:val="04A0" w:firstRow="1" w:lastRow="0" w:firstColumn="1" w:lastColumn="0" w:noHBand="0" w:noVBand="1"/>
        <w:tblCaption w:val="The diagnostic accuracy results applied to the sensitivity analysis"/>
        <w:tblDescription w:val="Indirect evidence of FDG-PET or SPECT and the overall diagnostic accuracy inputs for each diagnostic test. "/>
      </w:tblPr>
      <w:tblGrid>
        <w:gridCol w:w="1685"/>
        <w:gridCol w:w="1304"/>
        <w:gridCol w:w="1304"/>
        <w:gridCol w:w="1304"/>
        <w:gridCol w:w="1304"/>
        <w:gridCol w:w="1305"/>
      </w:tblGrid>
      <w:tr w:rsidR="00B7262D" w:rsidRPr="00B7262D" w14:paraId="58B000B9" w14:textId="77777777" w:rsidTr="00556738">
        <w:trPr>
          <w:tblHeader/>
        </w:trPr>
        <w:tc>
          <w:tcPr>
            <w:tcW w:w="1685" w:type="dxa"/>
            <w:shd w:val="clear" w:color="auto" w:fill="FFFFFF" w:themeFill="background1"/>
          </w:tcPr>
          <w:p w14:paraId="16133E72" w14:textId="77777777" w:rsidR="00B7262D" w:rsidRPr="00B7262D" w:rsidRDefault="00B7262D" w:rsidP="00B7262D">
            <w:pPr>
              <w:keepNext/>
              <w:spacing w:after="0"/>
              <w:ind w:left="0"/>
              <w:rPr>
                <w:rFonts w:ascii="Arial Narrow" w:eastAsia="Times New Roman" w:hAnsi="Arial Narrow" w:cs="Arial"/>
                <w:b/>
                <w:sz w:val="20"/>
                <w:szCs w:val="20"/>
              </w:rPr>
            </w:pPr>
            <w:r w:rsidRPr="00B7262D">
              <w:rPr>
                <w:rFonts w:ascii="Arial Narrow" w:eastAsia="Times New Roman" w:hAnsi="Arial Narrow" w:cs="Arial"/>
                <w:b/>
                <w:sz w:val="20"/>
                <w:szCs w:val="20"/>
              </w:rPr>
              <w:t xml:space="preserve">Study ID </w:t>
            </w:r>
          </w:p>
        </w:tc>
        <w:tc>
          <w:tcPr>
            <w:tcW w:w="1304" w:type="dxa"/>
            <w:shd w:val="clear" w:color="auto" w:fill="FFFFFF" w:themeFill="background1"/>
          </w:tcPr>
          <w:p w14:paraId="7B4F5C26" w14:textId="77777777" w:rsidR="00B7262D" w:rsidRPr="00B7262D" w:rsidRDefault="00B7262D" w:rsidP="00B7262D">
            <w:pPr>
              <w:keepNext/>
              <w:spacing w:after="0"/>
              <w:ind w:left="0"/>
              <w:jc w:val="center"/>
              <w:rPr>
                <w:rFonts w:ascii="Arial Narrow" w:eastAsia="Times New Roman" w:hAnsi="Arial Narrow" w:cs="Arial"/>
                <w:b/>
                <w:sz w:val="20"/>
                <w:szCs w:val="20"/>
              </w:rPr>
            </w:pPr>
            <w:r w:rsidRPr="00B7262D">
              <w:rPr>
                <w:rFonts w:ascii="Arial Narrow" w:eastAsia="Times New Roman" w:hAnsi="Arial Narrow" w:cs="Arial"/>
                <w:b/>
                <w:sz w:val="20"/>
                <w:szCs w:val="20"/>
              </w:rPr>
              <w:t>TP</w:t>
            </w:r>
          </w:p>
        </w:tc>
        <w:tc>
          <w:tcPr>
            <w:tcW w:w="1304" w:type="dxa"/>
            <w:shd w:val="clear" w:color="auto" w:fill="FFFFFF" w:themeFill="background1"/>
          </w:tcPr>
          <w:p w14:paraId="2E8F1B9C" w14:textId="77777777" w:rsidR="00B7262D" w:rsidRPr="00B7262D" w:rsidRDefault="00B7262D" w:rsidP="00B7262D">
            <w:pPr>
              <w:keepNext/>
              <w:spacing w:after="0"/>
              <w:ind w:left="0"/>
              <w:jc w:val="center"/>
              <w:rPr>
                <w:rFonts w:ascii="Arial Narrow" w:eastAsia="Times New Roman" w:hAnsi="Arial Narrow" w:cs="Arial"/>
                <w:b/>
                <w:sz w:val="20"/>
                <w:szCs w:val="20"/>
              </w:rPr>
            </w:pPr>
            <w:r w:rsidRPr="00B7262D">
              <w:rPr>
                <w:rFonts w:ascii="Arial Narrow" w:eastAsia="Times New Roman" w:hAnsi="Arial Narrow" w:cs="Arial"/>
                <w:b/>
                <w:sz w:val="20"/>
                <w:szCs w:val="20"/>
              </w:rPr>
              <w:t>FP</w:t>
            </w:r>
          </w:p>
        </w:tc>
        <w:tc>
          <w:tcPr>
            <w:tcW w:w="1304" w:type="dxa"/>
            <w:shd w:val="clear" w:color="auto" w:fill="FFFFFF" w:themeFill="background1"/>
          </w:tcPr>
          <w:p w14:paraId="4323089D" w14:textId="77777777" w:rsidR="00B7262D" w:rsidRPr="00B7262D" w:rsidRDefault="00B7262D" w:rsidP="00B7262D">
            <w:pPr>
              <w:keepNext/>
              <w:spacing w:after="0"/>
              <w:ind w:left="0"/>
              <w:jc w:val="center"/>
              <w:rPr>
                <w:rFonts w:ascii="Arial Narrow" w:eastAsia="Times New Roman" w:hAnsi="Arial Narrow" w:cs="Arial"/>
                <w:b/>
                <w:sz w:val="20"/>
                <w:szCs w:val="20"/>
              </w:rPr>
            </w:pPr>
            <w:r w:rsidRPr="00B7262D">
              <w:rPr>
                <w:rFonts w:ascii="Arial Narrow" w:eastAsia="Times New Roman" w:hAnsi="Arial Narrow" w:cs="Arial"/>
                <w:b/>
                <w:sz w:val="20"/>
                <w:szCs w:val="20"/>
              </w:rPr>
              <w:t>FN</w:t>
            </w:r>
          </w:p>
        </w:tc>
        <w:tc>
          <w:tcPr>
            <w:tcW w:w="1304" w:type="dxa"/>
            <w:shd w:val="clear" w:color="auto" w:fill="FFFFFF" w:themeFill="background1"/>
          </w:tcPr>
          <w:p w14:paraId="320E39D1" w14:textId="77777777" w:rsidR="00B7262D" w:rsidRPr="00B7262D" w:rsidRDefault="00B7262D" w:rsidP="00B7262D">
            <w:pPr>
              <w:keepNext/>
              <w:spacing w:after="0"/>
              <w:ind w:left="0"/>
              <w:jc w:val="center"/>
              <w:rPr>
                <w:rFonts w:ascii="Arial Narrow" w:eastAsia="Times New Roman" w:hAnsi="Arial Narrow" w:cs="Arial"/>
                <w:b/>
                <w:sz w:val="20"/>
                <w:szCs w:val="20"/>
              </w:rPr>
            </w:pPr>
            <w:r w:rsidRPr="00B7262D">
              <w:rPr>
                <w:rFonts w:ascii="Arial Narrow" w:eastAsia="Times New Roman" w:hAnsi="Arial Narrow" w:cs="Arial"/>
                <w:b/>
                <w:sz w:val="20"/>
                <w:szCs w:val="20"/>
              </w:rPr>
              <w:t>TN</w:t>
            </w:r>
          </w:p>
        </w:tc>
        <w:tc>
          <w:tcPr>
            <w:tcW w:w="1305" w:type="dxa"/>
            <w:shd w:val="clear" w:color="auto" w:fill="FFFFFF" w:themeFill="background1"/>
          </w:tcPr>
          <w:p w14:paraId="66CCC50A" w14:textId="77777777" w:rsidR="00B7262D" w:rsidRPr="00B7262D" w:rsidRDefault="00B7262D" w:rsidP="00B7262D">
            <w:pPr>
              <w:keepNext/>
              <w:spacing w:after="0"/>
              <w:ind w:left="0"/>
              <w:jc w:val="center"/>
              <w:rPr>
                <w:rFonts w:ascii="Arial Narrow" w:eastAsia="Times New Roman" w:hAnsi="Arial Narrow" w:cs="Arial"/>
                <w:b/>
                <w:sz w:val="20"/>
                <w:szCs w:val="20"/>
              </w:rPr>
            </w:pPr>
            <w:r w:rsidRPr="00B7262D">
              <w:rPr>
                <w:rFonts w:ascii="Arial Narrow" w:eastAsia="Times New Roman" w:hAnsi="Arial Narrow" w:cs="Arial"/>
                <w:b/>
                <w:sz w:val="20"/>
                <w:szCs w:val="20"/>
              </w:rPr>
              <w:t>Total</w:t>
            </w:r>
          </w:p>
        </w:tc>
      </w:tr>
      <w:tr w:rsidR="00B7262D" w:rsidRPr="00B7262D" w14:paraId="29AB0D3C" w14:textId="77777777" w:rsidTr="00B7262D">
        <w:tc>
          <w:tcPr>
            <w:tcW w:w="1685" w:type="dxa"/>
            <w:shd w:val="clear" w:color="auto" w:fill="D0CECE" w:themeFill="background2" w:themeFillShade="E6"/>
          </w:tcPr>
          <w:p w14:paraId="7318AF37"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FDG-PET</w:t>
            </w:r>
          </w:p>
        </w:tc>
        <w:tc>
          <w:tcPr>
            <w:tcW w:w="1304" w:type="dxa"/>
            <w:shd w:val="clear" w:color="auto" w:fill="D0CECE" w:themeFill="background2" w:themeFillShade="E6"/>
          </w:tcPr>
          <w:p w14:paraId="1506D468"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4" w:type="dxa"/>
            <w:shd w:val="clear" w:color="auto" w:fill="D0CECE" w:themeFill="background2" w:themeFillShade="E6"/>
          </w:tcPr>
          <w:p w14:paraId="420F6456"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4" w:type="dxa"/>
            <w:shd w:val="clear" w:color="auto" w:fill="D0CECE" w:themeFill="background2" w:themeFillShade="E6"/>
          </w:tcPr>
          <w:p w14:paraId="638906D0"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4" w:type="dxa"/>
            <w:shd w:val="clear" w:color="auto" w:fill="D0CECE" w:themeFill="background2" w:themeFillShade="E6"/>
          </w:tcPr>
          <w:p w14:paraId="1AD75605"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5" w:type="dxa"/>
            <w:shd w:val="clear" w:color="auto" w:fill="D0CECE" w:themeFill="background2" w:themeFillShade="E6"/>
          </w:tcPr>
          <w:p w14:paraId="520BCC57" w14:textId="77777777" w:rsidR="00B7262D" w:rsidRPr="00B7262D" w:rsidRDefault="00B7262D" w:rsidP="00B7262D">
            <w:pPr>
              <w:keepNext/>
              <w:spacing w:after="0"/>
              <w:ind w:left="0"/>
              <w:jc w:val="center"/>
              <w:rPr>
                <w:rFonts w:ascii="Arial Narrow" w:eastAsia="Times New Roman" w:hAnsi="Arial Narrow" w:cs="Times New Roman"/>
                <w:sz w:val="20"/>
                <w:szCs w:val="24"/>
              </w:rPr>
            </w:pPr>
          </w:p>
        </w:tc>
      </w:tr>
      <w:tr w:rsidR="00B7262D" w:rsidRPr="00B7262D" w14:paraId="6656037F" w14:textId="77777777" w:rsidTr="00B7262D">
        <w:tc>
          <w:tcPr>
            <w:tcW w:w="1685" w:type="dxa"/>
            <w:shd w:val="clear" w:color="auto" w:fill="FFFFFF" w:themeFill="background1"/>
          </w:tcPr>
          <w:p w14:paraId="2227724B"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Jagust (2007)</w:t>
            </w:r>
          </w:p>
        </w:tc>
        <w:tc>
          <w:tcPr>
            <w:tcW w:w="1304" w:type="dxa"/>
            <w:shd w:val="clear" w:color="auto" w:fill="FFFFFF" w:themeFill="background1"/>
            <w:vAlign w:val="center"/>
          </w:tcPr>
          <w:p w14:paraId="5E586343"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19</w:t>
            </w:r>
          </w:p>
        </w:tc>
        <w:tc>
          <w:tcPr>
            <w:tcW w:w="1304" w:type="dxa"/>
            <w:shd w:val="clear" w:color="auto" w:fill="FFFFFF" w:themeFill="background1"/>
          </w:tcPr>
          <w:p w14:paraId="7FE4EE22"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4</w:t>
            </w:r>
          </w:p>
        </w:tc>
        <w:tc>
          <w:tcPr>
            <w:tcW w:w="1304" w:type="dxa"/>
            <w:shd w:val="clear" w:color="auto" w:fill="FFFFFF" w:themeFill="background1"/>
          </w:tcPr>
          <w:p w14:paraId="0C9084AB"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3</w:t>
            </w:r>
          </w:p>
        </w:tc>
        <w:tc>
          <w:tcPr>
            <w:tcW w:w="1304" w:type="dxa"/>
            <w:shd w:val="clear" w:color="auto" w:fill="FFFFFF" w:themeFill="background1"/>
            <w:vAlign w:val="center"/>
          </w:tcPr>
          <w:p w14:paraId="1F3E4068"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9</w:t>
            </w:r>
          </w:p>
        </w:tc>
        <w:tc>
          <w:tcPr>
            <w:tcW w:w="1305" w:type="dxa"/>
            <w:shd w:val="clear" w:color="auto" w:fill="FFFFFF" w:themeFill="background1"/>
            <w:vAlign w:val="center"/>
          </w:tcPr>
          <w:p w14:paraId="323996AC" w14:textId="77777777" w:rsidR="00B7262D" w:rsidRPr="00B7262D" w:rsidRDefault="00B7262D" w:rsidP="00B7262D">
            <w:pPr>
              <w:keepNext/>
              <w:spacing w:after="0"/>
              <w:ind w:left="0"/>
              <w:jc w:val="center"/>
              <w:rPr>
                <w:rFonts w:ascii="Arial Narrow" w:eastAsia="Times New Roman" w:hAnsi="Arial Narrow" w:cs="Times New Roman"/>
                <w:sz w:val="20"/>
                <w:szCs w:val="24"/>
                <w:highlight w:val="yellow"/>
              </w:rPr>
            </w:pPr>
            <w:r w:rsidRPr="00B7262D">
              <w:rPr>
                <w:rFonts w:ascii="Arial Narrow" w:eastAsia="Times New Roman" w:hAnsi="Arial Narrow" w:cs="Times New Roman"/>
                <w:sz w:val="20"/>
                <w:szCs w:val="24"/>
              </w:rPr>
              <w:t>35</w:t>
            </w:r>
          </w:p>
        </w:tc>
      </w:tr>
      <w:tr w:rsidR="00B7262D" w:rsidRPr="00B7262D" w14:paraId="4EF074BE" w14:textId="77777777" w:rsidTr="00B7262D">
        <w:tc>
          <w:tcPr>
            <w:tcW w:w="1685" w:type="dxa"/>
            <w:shd w:val="clear" w:color="auto" w:fill="FFFFFF" w:themeFill="background1"/>
          </w:tcPr>
          <w:p w14:paraId="0CD11620"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Jagust (2001)</w:t>
            </w:r>
          </w:p>
        </w:tc>
        <w:tc>
          <w:tcPr>
            <w:tcW w:w="1304" w:type="dxa"/>
            <w:shd w:val="clear" w:color="auto" w:fill="FFFFFF" w:themeFill="background1"/>
            <w:vAlign w:val="center"/>
          </w:tcPr>
          <w:p w14:paraId="4C4A8E2F"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29</w:t>
            </w:r>
          </w:p>
        </w:tc>
        <w:tc>
          <w:tcPr>
            <w:tcW w:w="1304" w:type="dxa"/>
            <w:shd w:val="clear" w:color="auto" w:fill="FFFFFF" w:themeFill="background1"/>
          </w:tcPr>
          <w:p w14:paraId="633D82A1"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6</w:t>
            </w:r>
          </w:p>
        </w:tc>
        <w:tc>
          <w:tcPr>
            <w:tcW w:w="1304" w:type="dxa"/>
            <w:shd w:val="clear" w:color="auto" w:fill="FFFFFF" w:themeFill="background1"/>
          </w:tcPr>
          <w:p w14:paraId="49C9475C"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17</w:t>
            </w:r>
          </w:p>
        </w:tc>
        <w:tc>
          <w:tcPr>
            <w:tcW w:w="1304" w:type="dxa"/>
            <w:shd w:val="clear" w:color="auto" w:fill="FFFFFF" w:themeFill="background1"/>
            <w:vAlign w:val="center"/>
          </w:tcPr>
          <w:p w14:paraId="49C36B57"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18</w:t>
            </w:r>
          </w:p>
        </w:tc>
        <w:tc>
          <w:tcPr>
            <w:tcW w:w="1305" w:type="dxa"/>
            <w:shd w:val="clear" w:color="auto" w:fill="FFFFFF" w:themeFill="background1"/>
            <w:vAlign w:val="center"/>
          </w:tcPr>
          <w:p w14:paraId="68F9B70E" w14:textId="77777777" w:rsidR="00B7262D" w:rsidRPr="00B7262D" w:rsidRDefault="00B7262D" w:rsidP="00B7262D">
            <w:pPr>
              <w:keepNext/>
              <w:spacing w:after="0"/>
              <w:ind w:left="0"/>
              <w:jc w:val="center"/>
              <w:rPr>
                <w:rFonts w:ascii="Arial Narrow" w:eastAsia="Times New Roman" w:hAnsi="Arial Narrow" w:cs="Times New Roman"/>
                <w:sz w:val="20"/>
                <w:szCs w:val="24"/>
                <w:highlight w:val="yellow"/>
              </w:rPr>
            </w:pPr>
            <w:r w:rsidRPr="00B7262D">
              <w:rPr>
                <w:rFonts w:ascii="Arial Narrow" w:eastAsia="Times New Roman" w:hAnsi="Arial Narrow" w:cs="Times New Roman"/>
                <w:color w:val="000000"/>
                <w:sz w:val="20"/>
                <w:szCs w:val="20"/>
              </w:rPr>
              <w:t>70</w:t>
            </w:r>
          </w:p>
        </w:tc>
      </w:tr>
      <w:tr w:rsidR="00B7262D" w:rsidRPr="00B7262D" w14:paraId="1FA7CCDA" w14:textId="77777777" w:rsidTr="00B7262D">
        <w:tc>
          <w:tcPr>
            <w:tcW w:w="1685" w:type="dxa"/>
            <w:shd w:val="clear" w:color="auto" w:fill="FFFFFF" w:themeFill="background1"/>
          </w:tcPr>
          <w:p w14:paraId="79BB82FF"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Silverman (2001)</w:t>
            </w:r>
          </w:p>
        </w:tc>
        <w:tc>
          <w:tcPr>
            <w:tcW w:w="1304" w:type="dxa"/>
            <w:shd w:val="clear" w:color="auto" w:fill="FFFFFF" w:themeFill="background1"/>
            <w:vAlign w:val="center"/>
          </w:tcPr>
          <w:p w14:paraId="299D7902"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91</w:t>
            </w:r>
          </w:p>
        </w:tc>
        <w:tc>
          <w:tcPr>
            <w:tcW w:w="1304" w:type="dxa"/>
            <w:shd w:val="clear" w:color="auto" w:fill="FFFFFF" w:themeFill="background1"/>
          </w:tcPr>
          <w:p w14:paraId="19380BAF"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11</w:t>
            </w:r>
          </w:p>
        </w:tc>
        <w:tc>
          <w:tcPr>
            <w:tcW w:w="1304" w:type="dxa"/>
            <w:shd w:val="clear" w:color="auto" w:fill="FFFFFF" w:themeFill="background1"/>
          </w:tcPr>
          <w:p w14:paraId="1624F6C5"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6</w:t>
            </w:r>
          </w:p>
        </w:tc>
        <w:tc>
          <w:tcPr>
            <w:tcW w:w="1304" w:type="dxa"/>
            <w:shd w:val="clear" w:color="auto" w:fill="FFFFFF" w:themeFill="background1"/>
            <w:vAlign w:val="center"/>
          </w:tcPr>
          <w:p w14:paraId="231B8DE7"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30</w:t>
            </w:r>
          </w:p>
        </w:tc>
        <w:tc>
          <w:tcPr>
            <w:tcW w:w="1305" w:type="dxa"/>
            <w:shd w:val="clear" w:color="auto" w:fill="FFFFFF" w:themeFill="background1"/>
            <w:vAlign w:val="center"/>
          </w:tcPr>
          <w:p w14:paraId="731FA271"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138</w:t>
            </w:r>
          </w:p>
        </w:tc>
      </w:tr>
      <w:tr w:rsidR="00B7262D" w:rsidRPr="00B7262D" w14:paraId="54C6637F" w14:textId="77777777" w:rsidTr="00B7262D">
        <w:tc>
          <w:tcPr>
            <w:tcW w:w="1685" w:type="dxa"/>
            <w:shd w:val="clear" w:color="auto" w:fill="FFFFFF" w:themeFill="background1"/>
          </w:tcPr>
          <w:p w14:paraId="036A8E28"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Hoffman (2000)</w:t>
            </w:r>
          </w:p>
        </w:tc>
        <w:tc>
          <w:tcPr>
            <w:tcW w:w="1304" w:type="dxa"/>
            <w:shd w:val="clear" w:color="auto" w:fill="FFFFFF" w:themeFill="background1"/>
            <w:vAlign w:val="center"/>
          </w:tcPr>
          <w:p w14:paraId="29DC4888"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14</w:t>
            </w:r>
          </w:p>
        </w:tc>
        <w:tc>
          <w:tcPr>
            <w:tcW w:w="1304" w:type="dxa"/>
            <w:shd w:val="clear" w:color="auto" w:fill="FFFFFF" w:themeFill="background1"/>
          </w:tcPr>
          <w:p w14:paraId="02D7657F"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2</w:t>
            </w:r>
          </w:p>
        </w:tc>
        <w:tc>
          <w:tcPr>
            <w:tcW w:w="1304" w:type="dxa"/>
            <w:shd w:val="clear" w:color="auto" w:fill="FFFFFF" w:themeFill="background1"/>
          </w:tcPr>
          <w:p w14:paraId="1C5D75AE"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2</w:t>
            </w:r>
          </w:p>
        </w:tc>
        <w:tc>
          <w:tcPr>
            <w:tcW w:w="1304" w:type="dxa"/>
            <w:shd w:val="clear" w:color="auto" w:fill="FFFFFF" w:themeFill="background1"/>
            <w:vAlign w:val="center"/>
          </w:tcPr>
          <w:p w14:paraId="48786510"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4</w:t>
            </w:r>
          </w:p>
        </w:tc>
        <w:tc>
          <w:tcPr>
            <w:tcW w:w="1305" w:type="dxa"/>
            <w:shd w:val="clear" w:color="auto" w:fill="FFFFFF" w:themeFill="background1"/>
            <w:vAlign w:val="center"/>
          </w:tcPr>
          <w:p w14:paraId="4DC9E0EB" w14:textId="77777777" w:rsidR="00B7262D" w:rsidRPr="00B7262D" w:rsidRDefault="00B7262D" w:rsidP="00B7262D">
            <w:pPr>
              <w:keepNext/>
              <w:spacing w:after="0"/>
              <w:ind w:left="0"/>
              <w:jc w:val="center"/>
              <w:rPr>
                <w:rFonts w:ascii="Arial Narrow" w:eastAsia="Times New Roman" w:hAnsi="Arial Narrow" w:cs="Times New Roman"/>
                <w:sz w:val="20"/>
                <w:szCs w:val="24"/>
                <w:vertAlign w:val="superscript"/>
              </w:rPr>
            </w:pPr>
            <w:r w:rsidRPr="00B7262D">
              <w:rPr>
                <w:rFonts w:ascii="Arial Narrow" w:eastAsia="Times New Roman" w:hAnsi="Arial Narrow" w:cs="Times New Roman"/>
                <w:color w:val="000000"/>
                <w:sz w:val="20"/>
                <w:szCs w:val="20"/>
              </w:rPr>
              <w:t>22</w:t>
            </w:r>
          </w:p>
        </w:tc>
      </w:tr>
      <w:tr w:rsidR="00B7262D" w:rsidRPr="00B7262D" w14:paraId="2764FC48" w14:textId="77777777" w:rsidTr="00B7262D">
        <w:tc>
          <w:tcPr>
            <w:tcW w:w="1685" w:type="dxa"/>
            <w:shd w:val="clear" w:color="auto" w:fill="FFFFFF" w:themeFill="background1"/>
          </w:tcPr>
          <w:p w14:paraId="59E3EDF4" w14:textId="77777777" w:rsidR="00B7262D" w:rsidRPr="00B7262D" w:rsidRDefault="00B7262D" w:rsidP="00B7262D">
            <w:pPr>
              <w:keepNext/>
              <w:spacing w:after="0"/>
              <w:ind w:left="0"/>
              <w:rPr>
                <w:rFonts w:ascii="Arial Narrow" w:eastAsia="Times New Roman" w:hAnsi="Arial Narrow" w:cs="Times New Roman"/>
                <w:b/>
                <w:sz w:val="20"/>
                <w:szCs w:val="24"/>
              </w:rPr>
            </w:pPr>
            <w:r w:rsidRPr="00B7262D">
              <w:rPr>
                <w:rFonts w:ascii="Arial Narrow" w:eastAsia="Times New Roman" w:hAnsi="Arial Narrow" w:cs="Times New Roman"/>
                <w:b/>
                <w:sz w:val="20"/>
                <w:szCs w:val="24"/>
              </w:rPr>
              <w:t>Total</w:t>
            </w:r>
          </w:p>
        </w:tc>
        <w:tc>
          <w:tcPr>
            <w:tcW w:w="1304" w:type="dxa"/>
            <w:shd w:val="clear" w:color="auto" w:fill="FFFFFF" w:themeFill="background1"/>
            <w:vAlign w:val="bottom"/>
          </w:tcPr>
          <w:p w14:paraId="182C9C49" w14:textId="77777777" w:rsidR="00B7262D" w:rsidRPr="00B7262D" w:rsidRDefault="00B7262D" w:rsidP="00B7262D">
            <w:pPr>
              <w:keepNext/>
              <w:spacing w:after="0"/>
              <w:ind w:left="0"/>
              <w:jc w:val="center"/>
              <w:rPr>
                <w:rFonts w:ascii="Arial Narrow" w:eastAsia="Times New Roman" w:hAnsi="Arial Narrow" w:cs="Times New Roman"/>
                <w:b/>
                <w:sz w:val="20"/>
                <w:szCs w:val="20"/>
              </w:rPr>
            </w:pPr>
            <w:r w:rsidRPr="00B7262D">
              <w:rPr>
                <w:rFonts w:ascii="Arial Narrow" w:eastAsia="Times New Roman" w:hAnsi="Arial Narrow" w:cs="Times New Roman"/>
                <w:b/>
                <w:color w:val="000000"/>
                <w:sz w:val="20"/>
                <w:szCs w:val="20"/>
              </w:rPr>
              <w:t>153</w:t>
            </w:r>
          </w:p>
        </w:tc>
        <w:tc>
          <w:tcPr>
            <w:tcW w:w="1304" w:type="dxa"/>
            <w:shd w:val="clear" w:color="auto" w:fill="FFFFFF" w:themeFill="background1"/>
          </w:tcPr>
          <w:p w14:paraId="02744C8D" w14:textId="77777777" w:rsidR="00B7262D" w:rsidRPr="00B7262D" w:rsidRDefault="00B7262D" w:rsidP="00B7262D">
            <w:pPr>
              <w:keepNext/>
              <w:spacing w:after="0"/>
              <w:ind w:left="0"/>
              <w:jc w:val="center"/>
              <w:rPr>
                <w:rFonts w:ascii="Arial Narrow" w:eastAsia="Times New Roman" w:hAnsi="Arial Narrow" w:cs="Times New Roman"/>
                <w:b/>
                <w:color w:val="000000"/>
                <w:sz w:val="20"/>
                <w:szCs w:val="20"/>
              </w:rPr>
            </w:pPr>
            <w:r w:rsidRPr="00B7262D">
              <w:rPr>
                <w:rFonts w:ascii="Arial Narrow" w:eastAsia="Times New Roman" w:hAnsi="Arial Narrow" w:cs="Times New Roman"/>
                <w:b/>
                <w:color w:val="000000"/>
                <w:sz w:val="20"/>
                <w:szCs w:val="20"/>
              </w:rPr>
              <w:t>23</w:t>
            </w:r>
          </w:p>
        </w:tc>
        <w:tc>
          <w:tcPr>
            <w:tcW w:w="1304" w:type="dxa"/>
            <w:shd w:val="clear" w:color="auto" w:fill="FFFFFF" w:themeFill="background1"/>
          </w:tcPr>
          <w:p w14:paraId="42A98142" w14:textId="77777777" w:rsidR="00B7262D" w:rsidRPr="00B7262D" w:rsidRDefault="00B7262D" w:rsidP="00B7262D">
            <w:pPr>
              <w:keepNext/>
              <w:spacing w:after="0"/>
              <w:ind w:left="0"/>
              <w:jc w:val="center"/>
              <w:rPr>
                <w:rFonts w:ascii="Arial Narrow" w:eastAsia="Times New Roman" w:hAnsi="Arial Narrow" w:cs="Times New Roman"/>
                <w:b/>
                <w:color w:val="000000"/>
                <w:sz w:val="20"/>
                <w:szCs w:val="20"/>
              </w:rPr>
            </w:pPr>
            <w:r w:rsidRPr="00B7262D">
              <w:rPr>
                <w:rFonts w:ascii="Arial Narrow" w:eastAsia="Times New Roman" w:hAnsi="Arial Narrow" w:cs="Times New Roman"/>
                <w:b/>
                <w:color w:val="000000"/>
                <w:sz w:val="20"/>
                <w:szCs w:val="20"/>
              </w:rPr>
              <w:t>28</w:t>
            </w:r>
          </w:p>
        </w:tc>
        <w:tc>
          <w:tcPr>
            <w:tcW w:w="1304" w:type="dxa"/>
            <w:shd w:val="clear" w:color="auto" w:fill="FFFFFF" w:themeFill="background1"/>
            <w:vAlign w:val="bottom"/>
          </w:tcPr>
          <w:p w14:paraId="7BD0981E" w14:textId="77777777" w:rsidR="00B7262D" w:rsidRPr="00B7262D" w:rsidRDefault="00B7262D" w:rsidP="00B7262D">
            <w:pPr>
              <w:keepNext/>
              <w:spacing w:after="0"/>
              <w:ind w:left="0"/>
              <w:jc w:val="center"/>
              <w:rPr>
                <w:rFonts w:ascii="Arial Narrow" w:eastAsia="Times New Roman" w:hAnsi="Arial Narrow" w:cs="Times New Roman"/>
                <w:b/>
                <w:sz w:val="20"/>
                <w:szCs w:val="20"/>
              </w:rPr>
            </w:pPr>
            <w:r w:rsidRPr="00B7262D">
              <w:rPr>
                <w:rFonts w:ascii="Arial Narrow" w:eastAsia="Times New Roman" w:hAnsi="Arial Narrow" w:cs="Times New Roman"/>
                <w:b/>
                <w:color w:val="000000"/>
                <w:sz w:val="20"/>
                <w:szCs w:val="20"/>
              </w:rPr>
              <w:t>61</w:t>
            </w:r>
          </w:p>
        </w:tc>
        <w:tc>
          <w:tcPr>
            <w:tcW w:w="1305" w:type="dxa"/>
            <w:shd w:val="clear" w:color="auto" w:fill="FFFFFF" w:themeFill="background1"/>
            <w:vAlign w:val="bottom"/>
          </w:tcPr>
          <w:p w14:paraId="0C68B143" w14:textId="77777777" w:rsidR="00B7262D" w:rsidRPr="00B7262D" w:rsidRDefault="00B7262D" w:rsidP="00B7262D">
            <w:pPr>
              <w:keepNext/>
              <w:spacing w:after="0"/>
              <w:ind w:left="0"/>
              <w:jc w:val="center"/>
              <w:rPr>
                <w:rFonts w:ascii="Arial Narrow" w:eastAsia="Times New Roman" w:hAnsi="Arial Narrow" w:cs="Times New Roman"/>
                <w:b/>
                <w:sz w:val="20"/>
                <w:szCs w:val="20"/>
              </w:rPr>
            </w:pPr>
            <w:r w:rsidRPr="00B7262D">
              <w:rPr>
                <w:rFonts w:ascii="Arial Narrow" w:eastAsia="Times New Roman" w:hAnsi="Arial Narrow" w:cs="Times New Roman"/>
                <w:b/>
                <w:sz w:val="20"/>
                <w:szCs w:val="20"/>
              </w:rPr>
              <w:t>265</w:t>
            </w:r>
          </w:p>
        </w:tc>
      </w:tr>
      <w:tr w:rsidR="00B7262D" w:rsidRPr="00B7262D" w14:paraId="49C824E0" w14:textId="77777777" w:rsidTr="00B7262D">
        <w:tc>
          <w:tcPr>
            <w:tcW w:w="1685" w:type="dxa"/>
            <w:shd w:val="clear" w:color="auto" w:fill="D0CECE" w:themeFill="background2" w:themeFillShade="E6"/>
          </w:tcPr>
          <w:p w14:paraId="682F1EAF"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SPECT</w:t>
            </w:r>
          </w:p>
        </w:tc>
        <w:tc>
          <w:tcPr>
            <w:tcW w:w="1304" w:type="dxa"/>
            <w:shd w:val="clear" w:color="auto" w:fill="D0CECE" w:themeFill="background2" w:themeFillShade="E6"/>
          </w:tcPr>
          <w:p w14:paraId="72B9192E"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4" w:type="dxa"/>
            <w:shd w:val="clear" w:color="auto" w:fill="D0CECE" w:themeFill="background2" w:themeFillShade="E6"/>
          </w:tcPr>
          <w:p w14:paraId="4207F258"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4" w:type="dxa"/>
            <w:shd w:val="clear" w:color="auto" w:fill="D0CECE" w:themeFill="background2" w:themeFillShade="E6"/>
          </w:tcPr>
          <w:p w14:paraId="45E904E4"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4" w:type="dxa"/>
            <w:shd w:val="clear" w:color="auto" w:fill="D0CECE" w:themeFill="background2" w:themeFillShade="E6"/>
          </w:tcPr>
          <w:p w14:paraId="176D8063"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c>
          <w:tcPr>
            <w:tcW w:w="1305" w:type="dxa"/>
            <w:shd w:val="clear" w:color="auto" w:fill="D0CECE" w:themeFill="background2" w:themeFillShade="E6"/>
          </w:tcPr>
          <w:p w14:paraId="5EE31C79"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sz w:val="20"/>
                <w:szCs w:val="24"/>
              </w:rPr>
              <w:t>-</w:t>
            </w:r>
          </w:p>
        </w:tc>
      </w:tr>
      <w:tr w:rsidR="00B7262D" w:rsidRPr="00B7262D" w14:paraId="51B28583" w14:textId="77777777" w:rsidTr="00B7262D">
        <w:tc>
          <w:tcPr>
            <w:tcW w:w="1685" w:type="dxa"/>
            <w:shd w:val="clear" w:color="auto" w:fill="FFFFFF" w:themeFill="background1"/>
          </w:tcPr>
          <w:p w14:paraId="1E3B73D4"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Bonte (2006)</w:t>
            </w:r>
          </w:p>
        </w:tc>
        <w:tc>
          <w:tcPr>
            <w:tcW w:w="1304" w:type="dxa"/>
            <w:shd w:val="clear" w:color="auto" w:fill="FFFFFF" w:themeFill="background1"/>
            <w:vAlign w:val="center"/>
          </w:tcPr>
          <w:p w14:paraId="69D7464F"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26</w:t>
            </w:r>
          </w:p>
        </w:tc>
        <w:tc>
          <w:tcPr>
            <w:tcW w:w="1304" w:type="dxa"/>
            <w:shd w:val="clear" w:color="auto" w:fill="FFFFFF" w:themeFill="background1"/>
          </w:tcPr>
          <w:p w14:paraId="02B12AAE"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2</w:t>
            </w:r>
          </w:p>
        </w:tc>
        <w:tc>
          <w:tcPr>
            <w:tcW w:w="1304" w:type="dxa"/>
            <w:shd w:val="clear" w:color="auto" w:fill="FFFFFF" w:themeFill="background1"/>
          </w:tcPr>
          <w:p w14:paraId="61BF10DA"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4</w:t>
            </w:r>
          </w:p>
        </w:tc>
        <w:tc>
          <w:tcPr>
            <w:tcW w:w="1304" w:type="dxa"/>
            <w:shd w:val="clear" w:color="auto" w:fill="FFFFFF" w:themeFill="background1"/>
            <w:vAlign w:val="center"/>
          </w:tcPr>
          <w:p w14:paraId="79F66B83"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17</w:t>
            </w:r>
          </w:p>
        </w:tc>
        <w:tc>
          <w:tcPr>
            <w:tcW w:w="1305" w:type="dxa"/>
            <w:shd w:val="clear" w:color="auto" w:fill="FFFFFF" w:themeFill="background1"/>
            <w:vAlign w:val="center"/>
          </w:tcPr>
          <w:p w14:paraId="7D877C25"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49</w:t>
            </w:r>
          </w:p>
        </w:tc>
      </w:tr>
      <w:tr w:rsidR="00B7262D" w:rsidRPr="00B7262D" w14:paraId="61B88BCC" w14:textId="77777777" w:rsidTr="00B7262D">
        <w:tc>
          <w:tcPr>
            <w:tcW w:w="1685" w:type="dxa"/>
            <w:shd w:val="clear" w:color="auto" w:fill="FFFFFF" w:themeFill="background1"/>
          </w:tcPr>
          <w:p w14:paraId="48B8C5FC"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Bonte (2004)</w:t>
            </w:r>
          </w:p>
        </w:tc>
        <w:tc>
          <w:tcPr>
            <w:tcW w:w="1304" w:type="dxa"/>
            <w:shd w:val="clear" w:color="auto" w:fill="FFFFFF" w:themeFill="background1"/>
            <w:vAlign w:val="center"/>
          </w:tcPr>
          <w:p w14:paraId="739034C1"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6</w:t>
            </w:r>
          </w:p>
        </w:tc>
        <w:tc>
          <w:tcPr>
            <w:tcW w:w="1304" w:type="dxa"/>
            <w:shd w:val="clear" w:color="auto" w:fill="FFFFFF" w:themeFill="background1"/>
          </w:tcPr>
          <w:p w14:paraId="7E44B2A4"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0</w:t>
            </w:r>
          </w:p>
        </w:tc>
        <w:tc>
          <w:tcPr>
            <w:tcW w:w="1304" w:type="dxa"/>
            <w:shd w:val="clear" w:color="auto" w:fill="FFFFFF" w:themeFill="background1"/>
          </w:tcPr>
          <w:p w14:paraId="2C863863"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4</w:t>
            </w:r>
          </w:p>
        </w:tc>
        <w:tc>
          <w:tcPr>
            <w:tcW w:w="1304" w:type="dxa"/>
            <w:shd w:val="clear" w:color="auto" w:fill="FFFFFF" w:themeFill="background1"/>
            <w:vAlign w:val="center"/>
          </w:tcPr>
          <w:p w14:paraId="342DFCB7"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7</w:t>
            </w:r>
          </w:p>
        </w:tc>
        <w:tc>
          <w:tcPr>
            <w:tcW w:w="1305" w:type="dxa"/>
            <w:shd w:val="clear" w:color="auto" w:fill="FFFFFF" w:themeFill="background1"/>
            <w:vAlign w:val="center"/>
          </w:tcPr>
          <w:p w14:paraId="6344CEA5"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17</w:t>
            </w:r>
          </w:p>
        </w:tc>
      </w:tr>
      <w:tr w:rsidR="00B7262D" w:rsidRPr="00B7262D" w14:paraId="57231545" w14:textId="77777777" w:rsidTr="00B7262D">
        <w:tc>
          <w:tcPr>
            <w:tcW w:w="1685" w:type="dxa"/>
            <w:shd w:val="clear" w:color="auto" w:fill="FFFFFF" w:themeFill="background1"/>
          </w:tcPr>
          <w:p w14:paraId="7FD7F49C"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Jobst (1998)</w:t>
            </w:r>
          </w:p>
        </w:tc>
        <w:tc>
          <w:tcPr>
            <w:tcW w:w="1304" w:type="dxa"/>
            <w:shd w:val="clear" w:color="auto" w:fill="FFFFFF" w:themeFill="background1"/>
            <w:vAlign w:val="center"/>
          </w:tcPr>
          <w:p w14:paraId="1AD00D45"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65</w:t>
            </w:r>
          </w:p>
        </w:tc>
        <w:tc>
          <w:tcPr>
            <w:tcW w:w="1304" w:type="dxa"/>
            <w:shd w:val="clear" w:color="auto" w:fill="FFFFFF" w:themeFill="background1"/>
          </w:tcPr>
          <w:p w14:paraId="3A99C8A3"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11</w:t>
            </w:r>
          </w:p>
        </w:tc>
        <w:tc>
          <w:tcPr>
            <w:tcW w:w="1304" w:type="dxa"/>
            <w:shd w:val="clear" w:color="auto" w:fill="FFFFFF" w:themeFill="background1"/>
          </w:tcPr>
          <w:p w14:paraId="38B2F460"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8</w:t>
            </w:r>
          </w:p>
        </w:tc>
        <w:tc>
          <w:tcPr>
            <w:tcW w:w="1304" w:type="dxa"/>
            <w:shd w:val="clear" w:color="auto" w:fill="FFFFFF" w:themeFill="background1"/>
            <w:vAlign w:val="center"/>
          </w:tcPr>
          <w:p w14:paraId="4455D493"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13</w:t>
            </w:r>
          </w:p>
        </w:tc>
        <w:tc>
          <w:tcPr>
            <w:tcW w:w="1305" w:type="dxa"/>
            <w:shd w:val="clear" w:color="auto" w:fill="FFFFFF" w:themeFill="background1"/>
            <w:vAlign w:val="center"/>
          </w:tcPr>
          <w:p w14:paraId="2BC8F31B" w14:textId="77777777" w:rsidR="00B7262D" w:rsidRPr="00B7262D" w:rsidRDefault="00B7262D" w:rsidP="00B7262D">
            <w:pPr>
              <w:keepNext/>
              <w:spacing w:after="0"/>
              <w:ind w:left="0"/>
              <w:jc w:val="center"/>
              <w:rPr>
                <w:rFonts w:ascii="Arial Narrow" w:eastAsia="Times New Roman" w:hAnsi="Arial Narrow" w:cs="Times New Roman"/>
                <w:sz w:val="20"/>
                <w:szCs w:val="24"/>
                <w:highlight w:val="yellow"/>
              </w:rPr>
            </w:pPr>
            <w:r w:rsidRPr="00B7262D">
              <w:rPr>
                <w:rFonts w:ascii="Arial Narrow" w:eastAsia="Times New Roman" w:hAnsi="Arial Narrow" w:cs="Times New Roman"/>
                <w:color w:val="000000"/>
                <w:sz w:val="20"/>
                <w:szCs w:val="20"/>
              </w:rPr>
              <w:t>97</w:t>
            </w:r>
          </w:p>
        </w:tc>
      </w:tr>
      <w:tr w:rsidR="00B7262D" w:rsidRPr="00B7262D" w14:paraId="4F202862" w14:textId="77777777" w:rsidTr="00B7262D">
        <w:tc>
          <w:tcPr>
            <w:tcW w:w="1685" w:type="dxa"/>
            <w:shd w:val="clear" w:color="auto" w:fill="FFFFFF" w:themeFill="background1"/>
          </w:tcPr>
          <w:p w14:paraId="77F3D653"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Bonte (1997)</w:t>
            </w:r>
          </w:p>
        </w:tc>
        <w:tc>
          <w:tcPr>
            <w:tcW w:w="1304" w:type="dxa"/>
            <w:shd w:val="clear" w:color="auto" w:fill="FFFFFF" w:themeFill="background1"/>
            <w:vAlign w:val="center"/>
          </w:tcPr>
          <w:p w14:paraId="60721B52"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37</w:t>
            </w:r>
          </w:p>
        </w:tc>
        <w:tc>
          <w:tcPr>
            <w:tcW w:w="1304" w:type="dxa"/>
            <w:shd w:val="clear" w:color="auto" w:fill="FFFFFF" w:themeFill="background1"/>
          </w:tcPr>
          <w:p w14:paraId="148F0BA8"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3</w:t>
            </w:r>
          </w:p>
        </w:tc>
        <w:tc>
          <w:tcPr>
            <w:tcW w:w="1304" w:type="dxa"/>
            <w:shd w:val="clear" w:color="auto" w:fill="FFFFFF" w:themeFill="background1"/>
          </w:tcPr>
          <w:p w14:paraId="4EBEF0F7"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6</w:t>
            </w:r>
          </w:p>
        </w:tc>
        <w:tc>
          <w:tcPr>
            <w:tcW w:w="1304" w:type="dxa"/>
            <w:shd w:val="clear" w:color="auto" w:fill="FFFFFF" w:themeFill="background1"/>
            <w:vAlign w:val="center"/>
          </w:tcPr>
          <w:p w14:paraId="0E2F11C5"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8</w:t>
            </w:r>
          </w:p>
        </w:tc>
        <w:tc>
          <w:tcPr>
            <w:tcW w:w="1305" w:type="dxa"/>
            <w:shd w:val="clear" w:color="auto" w:fill="FFFFFF" w:themeFill="background1"/>
            <w:vAlign w:val="center"/>
          </w:tcPr>
          <w:p w14:paraId="3EC96478"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54</w:t>
            </w:r>
          </w:p>
        </w:tc>
      </w:tr>
      <w:tr w:rsidR="00B7262D" w:rsidRPr="00B7262D" w14:paraId="28015F97" w14:textId="77777777" w:rsidTr="00B7262D">
        <w:tc>
          <w:tcPr>
            <w:tcW w:w="1685" w:type="dxa"/>
            <w:shd w:val="clear" w:color="auto" w:fill="FFFFFF" w:themeFill="background1"/>
          </w:tcPr>
          <w:p w14:paraId="1FBA1ACF" w14:textId="77777777" w:rsidR="00B7262D" w:rsidRPr="00B7262D" w:rsidRDefault="00B7262D" w:rsidP="00B7262D">
            <w:pPr>
              <w:keepNext/>
              <w:spacing w:after="0"/>
              <w:ind w:left="0"/>
              <w:rPr>
                <w:rFonts w:ascii="Arial Narrow" w:eastAsia="Times New Roman" w:hAnsi="Arial Narrow" w:cs="Times New Roman"/>
                <w:sz w:val="20"/>
                <w:szCs w:val="24"/>
              </w:rPr>
            </w:pPr>
            <w:r w:rsidRPr="00B7262D">
              <w:rPr>
                <w:rFonts w:ascii="Arial Narrow" w:eastAsia="Times New Roman" w:hAnsi="Arial Narrow" w:cs="Times New Roman"/>
                <w:sz w:val="20"/>
                <w:szCs w:val="24"/>
              </w:rPr>
              <w:t>Bonte (1993)</w:t>
            </w:r>
          </w:p>
        </w:tc>
        <w:tc>
          <w:tcPr>
            <w:tcW w:w="1304" w:type="dxa"/>
            <w:shd w:val="clear" w:color="auto" w:fill="FFFFFF" w:themeFill="background1"/>
            <w:vAlign w:val="center"/>
          </w:tcPr>
          <w:p w14:paraId="41A33D8F"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11</w:t>
            </w:r>
          </w:p>
        </w:tc>
        <w:tc>
          <w:tcPr>
            <w:tcW w:w="1304" w:type="dxa"/>
            <w:shd w:val="clear" w:color="auto" w:fill="FFFFFF" w:themeFill="background1"/>
          </w:tcPr>
          <w:p w14:paraId="2E7D5FEE"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2</w:t>
            </w:r>
          </w:p>
        </w:tc>
        <w:tc>
          <w:tcPr>
            <w:tcW w:w="1304" w:type="dxa"/>
            <w:shd w:val="clear" w:color="auto" w:fill="FFFFFF" w:themeFill="background1"/>
          </w:tcPr>
          <w:p w14:paraId="1AD60428" w14:textId="77777777" w:rsidR="00B7262D" w:rsidRPr="00B7262D" w:rsidRDefault="00B7262D" w:rsidP="00B7262D">
            <w:pPr>
              <w:keepNext/>
              <w:spacing w:after="0"/>
              <w:ind w:left="0"/>
              <w:jc w:val="center"/>
              <w:rPr>
                <w:rFonts w:ascii="Arial Narrow" w:eastAsia="Times New Roman" w:hAnsi="Arial Narrow" w:cs="Times New Roman"/>
                <w:color w:val="000000"/>
                <w:sz w:val="20"/>
                <w:szCs w:val="20"/>
              </w:rPr>
            </w:pPr>
            <w:r w:rsidRPr="00B7262D">
              <w:rPr>
                <w:rFonts w:ascii="Arial Narrow" w:eastAsia="Times New Roman" w:hAnsi="Arial Narrow" w:cs="Times New Roman"/>
                <w:color w:val="000000"/>
                <w:sz w:val="20"/>
                <w:szCs w:val="20"/>
              </w:rPr>
              <w:t>3</w:t>
            </w:r>
          </w:p>
        </w:tc>
        <w:tc>
          <w:tcPr>
            <w:tcW w:w="1304" w:type="dxa"/>
            <w:shd w:val="clear" w:color="auto" w:fill="FFFFFF" w:themeFill="background1"/>
            <w:vAlign w:val="center"/>
          </w:tcPr>
          <w:p w14:paraId="1F6A2C14"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2</w:t>
            </w:r>
          </w:p>
        </w:tc>
        <w:tc>
          <w:tcPr>
            <w:tcW w:w="1305" w:type="dxa"/>
            <w:shd w:val="clear" w:color="auto" w:fill="FFFFFF" w:themeFill="background1"/>
            <w:vAlign w:val="center"/>
          </w:tcPr>
          <w:p w14:paraId="4729C1EC" w14:textId="77777777" w:rsidR="00B7262D" w:rsidRPr="00B7262D" w:rsidRDefault="00B7262D" w:rsidP="00B7262D">
            <w:pPr>
              <w:keepNext/>
              <w:spacing w:after="0"/>
              <w:ind w:left="0"/>
              <w:jc w:val="center"/>
              <w:rPr>
                <w:rFonts w:ascii="Arial Narrow" w:eastAsia="Times New Roman" w:hAnsi="Arial Narrow" w:cs="Times New Roman"/>
                <w:sz w:val="20"/>
                <w:szCs w:val="24"/>
              </w:rPr>
            </w:pPr>
            <w:r w:rsidRPr="00B7262D">
              <w:rPr>
                <w:rFonts w:ascii="Arial Narrow" w:eastAsia="Times New Roman" w:hAnsi="Arial Narrow" w:cs="Times New Roman"/>
                <w:color w:val="000000"/>
                <w:sz w:val="20"/>
                <w:szCs w:val="20"/>
              </w:rPr>
              <w:t>18</w:t>
            </w:r>
          </w:p>
        </w:tc>
      </w:tr>
      <w:tr w:rsidR="00B7262D" w:rsidRPr="00B7262D" w14:paraId="79A5C628" w14:textId="77777777" w:rsidTr="00B7262D">
        <w:tc>
          <w:tcPr>
            <w:tcW w:w="1685" w:type="dxa"/>
            <w:shd w:val="clear" w:color="auto" w:fill="FFFFFF" w:themeFill="background1"/>
          </w:tcPr>
          <w:p w14:paraId="57BCEA10" w14:textId="77777777" w:rsidR="00B7262D" w:rsidRPr="00B7262D" w:rsidRDefault="00B7262D" w:rsidP="00B7262D">
            <w:pPr>
              <w:keepNext/>
              <w:spacing w:after="0"/>
              <w:ind w:left="0"/>
              <w:rPr>
                <w:rFonts w:ascii="Arial Narrow" w:eastAsia="Times New Roman" w:hAnsi="Arial Narrow" w:cs="Times New Roman"/>
                <w:b/>
                <w:sz w:val="20"/>
                <w:szCs w:val="24"/>
              </w:rPr>
            </w:pPr>
            <w:r w:rsidRPr="00B7262D">
              <w:rPr>
                <w:rFonts w:ascii="Arial Narrow" w:eastAsia="Times New Roman" w:hAnsi="Arial Narrow" w:cs="Times New Roman"/>
                <w:b/>
                <w:sz w:val="20"/>
                <w:szCs w:val="24"/>
              </w:rPr>
              <w:t>Total</w:t>
            </w:r>
          </w:p>
        </w:tc>
        <w:tc>
          <w:tcPr>
            <w:tcW w:w="1304" w:type="dxa"/>
            <w:shd w:val="clear" w:color="auto" w:fill="FFFFFF" w:themeFill="background1"/>
            <w:vAlign w:val="bottom"/>
          </w:tcPr>
          <w:p w14:paraId="056C4939" w14:textId="77777777" w:rsidR="00B7262D" w:rsidRPr="00B7262D" w:rsidRDefault="00B7262D" w:rsidP="00B7262D">
            <w:pPr>
              <w:keepNext/>
              <w:spacing w:after="0"/>
              <w:ind w:left="0"/>
              <w:jc w:val="center"/>
              <w:rPr>
                <w:rFonts w:ascii="Arial Narrow" w:eastAsia="Times New Roman" w:hAnsi="Arial Narrow" w:cs="Times New Roman"/>
                <w:b/>
                <w:sz w:val="20"/>
                <w:szCs w:val="20"/>
              </w:rPr>
            </w:pPr>
            <w:r w:rsidRPr="00B7262D">
              <w:rPr>
                <w:rFonts w:ascii="Arial Narrow" w:eastAsia="Times New Roman" w:hAnsi="Arial Narrow" w:cs="Times New Roman"/>
                <w:b/>
                <w:color w:val="000000"/>
                <w:sz w:val="20"/>
                <w:szCs w:val="20"/>
              </w:rPr>
              <w:t>145</w:t>
            </w:r>
          </w:p>
        </w:tc>
        <w:tc>
          <w:tcPr>
            <w:tcW w:w="1304" w:type="dxa"/>
            <w:shd w:val="clear" w:color="auto" w:fill="FFFFFF" w:themeFill="background1"/>
          </w:tcPr>
          <w:p w14:paraId="2641C848" w14:textId="77777777" w:rsidR="00B7262D" w:rsidRPr="00B7262D" w:rsidRDefault="00B7262D" w:rsidP="00B7262D">
            <w:pPr>
              <w:keepNext/>
              <w:spacing w:after="0"/>
              <w:ind w:left="0"/>
              <w:jc w:val="center"/>
              <w:rPr>
                <w:rFonts w:ascii="Arial Narrow" w:eastAsia="Times New Roman" w:hAnsi="Arial Narrow" w:cs="Times New Roman"/>
                <w:b/>
                <w:color w:val="000000"/>
                <w:sz w:val="20"/>
                <w:szCs w:val="20"/>
              </w:rPr>
            </w:pPr>
            <w:r w:rsidRPr="00B7262D">
              <w:rPr>
                <w:rFonts w:ascii="Arial Narrow" w:eastAsia="Times New Roman" w:hAnsi="Arial Narrow" w:cs="Times New Roman"/>
                <w:b/>
                <w:color w:val="000000"/>
                <w:sz w:val="20"/>
                <w:szCs w:val="20"/>
              </w:rPr>
              <w:t>18</w:t>
            </w:r>
          </w:p>
        </w:tc>
        <w:tc>
          <w:tcPr>
            <w:tcW w:w="1304" w:type="dxa"/>
            <w:shd w:val="clear" w:color="auto" w:fill="FFFFFF" w:themeFill="background1"/>
          </w:tcPr>
          <w:p w14:paraId="44AD2AF4" w14:textId="77777777" w:rsidR="00B7262D" w:rsidRPr="00B7262D" w:rsidRDefault="00B7262D" w:rsidP="00B7262D">
            <w:pPr>
              <w:keepNext/>
              <w:spacing w:after="0"/>
              <w:ind w:left="0"/>
              <w:jc w:val="center"/>
              <w:rPr>
                <w:rFonts w:ascii="Arial Narrow" w:eastAsia="Times New Roman" w:hAnsi="Arial Narrow" w:cs="Times New Roman"/>
                <w:b/>
                <w:color w:val="000000"/>
                <w:sz w:val="20"/>
                <w:szCs w:val="20"/>
              </w:rPr>
            </w:pPr>
            <w:r w:rsidRPr="00B7262D">
              <w:rPr>
                <w:rFonts w:ascii="Arial Narrow" w:eastAsia="Times New Roman" w:hAnsi="Arial Narrow" w:cs="Times New Roman"/>
                <w:b/>
                <w:color w:val="000000"/>
                <w:sz w:val="20"/>
                <w:szCs w:val="20"/>
              </w:rPr>
              <w:t>25</w:t>
            </w:r>
          </w:p>
        </w:tc>
        <w:tc>
          <w:tcPr>
            <w:tcW w:w="1304" w:type="dxa"/>
            <w:shd w:val="clear" w:color="auto" w:fill="FFFFFF" w:themeFill="background1"/>
            <w:vAlign w:val="bottom"/>
          </w:tcPr>
          <w:p w14:paraId="4255A057" w14:textId="77777777" w:rsidR="00B7262D" w:rsidRPr="00B7262D" w:rsidRDefault="00B7262D" w:rsidP="00B7262D">
            <w:pPr>
              <w:keepNext/>
              <w:spacing w:after="0"/>
              <w:ind w:left="0"/>
              <w:jc w:val="center"/>
              <w:rPr>
                <w:rFonts w:ascii="Arial Narrow" w:eastAsia="Times New Roman" w:hAnsi="Arial Narrow" w:cs="Times New Roman"/>
                <w:b/>
                <w:sz w:val="20"/>
                <w:szCs w:val="20"/>
              </w:rPr>
            </w:pPr>
            <w:r w:rsidRPr="00B7262D">
              <w:rPr>
                <w:rFonts w:ascii="Arial Narrow" w:eastAsia="Times New Roman" w:hAnsi="Arial Narrow" w:cs="Times New Roman"/>
                <w:b/>
                <w:color w:val="000000"/>
                <w:sz w:val="20"/>
                <w:szCs w:val="20"/>
              </w:rPr>
              <w:t>47</w:t>
            </w:r>
          </w:p>
        </w:tc>
        <w:tc>
          <w:tcPr>
            <w:tcW w:w="1305" w:type="dxa"/>
            <w:shd w:val="clear" w:color="auto" w:fill="FFFFFF" w:themeFill="background1"/>
            <w:vAlign w:val="bottom"/>
          </w:tcPr>
          <w:p w14:paraId="69F5114E" w14:textId="77777777" w:rsidR="00B7262D" w:rsidRPr="00B7262D" w:rsidRDefault="00B7262D" w:rsidP="00B7262D">
            <w:pPr>
              <w:keepNext/>
              <w:spacing w:after="0"/>
              <w:ind w:left="0"/>
              <w:jc w:val="center"/>
              <w:rPr>
                <w:rFonts w:ascii="Arial Narrow" w:eastAsia="Times New Roman" w:hAnsi="Arial Narrow" w:cs="Times New Roman"/>
                <w:sz w:val="20"/>
                <w:szCs w:val="20"/>
              </w:rPr>
            </w:pPr>
            <w:r w:rsidRPr="00B7262D">
              <w:rPr>
                <w:rFonts w:ascii="Arial Narrow" w:eastAsia="Times New Roman" w:hAnsi="Arial Narrow" w:cs="Times New Roman"/>
                <w:b/>
                <w:color w:val="000000"/>
                <w:sz w:val="20"/>
                <w:szCs w:val="20"/>
              </w:rPr>
              <w:t>235</w:t>
            </w:r>
          </w:p>
        </w:tc>
      </w:tr>
    </w:tbl>
    <w:p w14:paraId="3B93764F" w14:textId="7BCA964E" w:rsidR="007F6723" w:rsidRPr="00141A4C" w:rsidRDefault="007F6723" w:rsidP="007F6723">
      <w:pPr>
        <w:pStyle w:val="Tablefootnotes"/>
        <w:keepNext/>
      </w:pPr>
      <w:r>
        <w:t>Abbreviations: FDG-PET, flu</w:t>
      </w:r>
      <w:r w:rsidR="0038452F">
        <w:t>o</w:t>
      </w:r>
      <w:r>
        <w:t>rodeoxyglucose positron emission tomography; FN, false negative; FP, false positive; SPECT, single-photon emission tomography TN, tr</w:t>
      </w:r>
      <w:r w:rsidR="005569B0">
        <w:t>ue negative; TP, true positive.</w:t>
      </w:r>
    </w:p>
    <w:p w14:paraId="232E9AFA" w14:textId="31ACAF0B" w:rsidR="007F6723" w:rsidRDefault="007F6723" w:rsidP="007F6723">
      <w:pPr>
        <w:pStyle w:val="Caption"/>
      </w:pPr>
      <w:bookmarkStart w:id="278" w:name="_Ref279931959"/>
      <w:bookmarkStart w:id="279" w:name="_Toc406172497"/>
      <w:bookmarkStart w:id="280" w:name="_Toc408845252"/>
      <w:r>
        <w:t xml:space="preserve">Table </w:t>
      </w:r>
      <w:fldSimple w:instr=" STYLEREF 2 \s ">
        <w:r w:rsidR="00C67698">
          <w:rPr>
            <w:noProof/>
          </w:rPr>
          <w:t>D.6</w:t>
        </w:r>
      </w:fldSimple>
      <w:r w:rsidR="00524916">
        <w:noBreakHyphen/>
      </w:r>
      <w:fldSimple w:instr=" SEQ Table \* ARABIC \s 2 ">
        <w:r w:rsidR="00C67698">
          <w:rPr>
            <w:noProof/>
          </w:rPr>
          <w:t>6</w:t>
        </w:r>
      </w:fldSimple>
      <w:bookmarkEnd w:id="278"/>
      <w:r>
        <w:tab/>
        <w:t>Diagnostic accuracy rates applied to the sensitivity analysis, meta-analysis data</w:t>
      </w:r>
      <w:bookmarkEnd w:id="279"/>
      <w:bookmarkEnd w:id="280"/>
    </w:p>
    <w:tbl>
      <w:tblPr>
        <w:tblStyle w:val="TableGrid"/>
        <w:tblW w:w="4610" w:type="pct"/>
        <w:tblInd w:w="704" w:type="dxa"/>
        <w:tblLayout w:type="fixed"/>
        <w:tblCellMar>
          <w:left w:w="57" w:type="dxa"/>
          <w:right w:w="57" w:type="dxa"/>
        </w:tblCellMar>
        <w:tblLook w:val="04A0" w:firstRow="1" w:lastRow="0" w:firstColumn="1" w:lastColumn="0" w:noHBand="0" w:noVBand="1"/>
        <w:tblCaption w:val="the diagnostic accuracy results applied to the sensitivity analysis"/>
        <w:tblDescription w:val="diagnostic accuracy results for FDG-PET and SPECT as reported in Cure 2014"/>
      </w:tblPr>
      <w:tblGrid>
        <w:gridCol w:w="1581"/>
        <w:gridCol w:w="1141"/>
        <w:gridCol w:w="1141"/>
        <w:gridCol w:w="1141"/>
        <w:gridCol w:w="1141"/>
        <w:gridCol w:w="1141"/>
        <w:gridCol w:w="1141"/>
      </w:tblGrid>
      <w:tr w:rsidR="007F6723" w:rsidRPr="00C81B6E" w14:paraId="6A1A2BDA" w14:textId="77777777" w:rsidTr="00556738">
        <w:trPr>
          <w:tblHeader/>
        </w:trPr>
        <w:tc>
          <w:tcPr>
            <w:tcW w:w="938" w:type="pct"/>
            <w:shd w:val="clear" w:color="auto" w:fill="FFFFFF" w:themeFill="background1"/>
          </w:tcPr>
          <w:p w14:paraId="4DFC4056" w14:textId="77777777" w:rsidR="007F6723" w:rsidRPr="000B34F9" w:rsidRDefault="007F6723" w:rsidP="00181CF8">
            <w:pPr>
              <w:pStyle w:val="Tabletextboldleft"/>
            </w:pPr>
            <w:r w:rsidRPr="000B34F9">
              <w:t>Study ID</w:t>
            </w:r>
          </w:p>
        </w:tc>
        <w:tc>
          <w:tcPr>
            <w:tcW w:w="677" w:type="pct"/>
            <w:shd w:val="clear" w:color="auto" w:fill="FFFFFF" w:themeFill="background1"/>
          </w:tcPr>
          <w:p w14:paraId="613D0313" w14:textId="77777777" w:rsidR="007F6723" w:rsidRPr="000B34F9" w:rsidRDefault="007F6723" w:rsidP="00181CF8">
            <w:pPr>
              <w:pStyle w:val="Tabletextboldleft"/>
              <w:jc w:val="center"/>
            </w:pPr>
            <w:r w:rsidRPr="000B34F9">
              <w:t>Index test</w:t>
            </w:r>
          </w:p>
        </w:tc>
        <w:tc>
          <w:tcPr>
            <w:tcW w:w="677" w:type="pct"/>
            <w:shd w:val="clear" w:color="auto" w:fill="FFFFFF" w:themeFill="background1"/>
          </w:tcPr>
          <w:p w14:paraId="7CABD5F4" w14:textId="77777777" w:rsidR="007F6723" w:rsidRPr="000B34F9" w:rsidRDefault="007F6723" w:rsidP="00181CF8">
            <w:pPr>
              <w:pStyle w:val="Tabletextboldleft"/>
              <w:jc w:val="center"/>
            </w:pPr>
            <w:r w:rsidRPr="000B34F9">
              <w:t>No. of studies</w:t>
            </w:r>
          </w:p>
        </w:tc>
        <w:tc>
          <w:tcPr>
            <w:tcW w:w="677" w:type="pct"/>
            <w:shd w:val="clear" w:color="auto" w:fill="FFFFFF" w:themeFill="background1"/>
          </w:tcPr>
          <w:p w14:paraId="673BDA9D" w14:textId="77777777" w:rsidR="007F6723" w:rsidRPr="000B34F9" w:rsidRDefault="007F6723" w:rsidP="00181CF8">
            <w:pPr>
              <w:pStyle w:val="Tabletextboldleft"/>
              <w:jc w:val="center"/>
            </w:pPr>
            <w:r w:rsidRPr="000B34F9">
              <w:t>TP</w:t>
            </w:r>
          </w:p>
        </w:tc>
        <w:tc>
          <w:tcPr>
            <w:tcW w:w="677" w:type="pct"/>
            <w:shd w:val="clear" w:color="auto" w:fill="FFFFFF" w:themeFill="background1"/>
          </w:tcPr>
          <w:p w14:paraId="7E3EA54E" w14:textId="77777777" w:rsidR="007F6723" w:rsidRPr="000B34F9" w:rsidRDefault="007F6723" w:rsidP="00181CF8">
            <w:pPr>
              <w:pStyle w:val="Tabletextboldleft"/>
              <w:jc w:val="center"/>
            </w:pPr>
            <w:r w:rsidRPr="000B34F9">
              <w:t>FP</w:t>
            </w:r>
          </w:p>
        </w:tc>
        <w:tc>
          <w:tcPr>
            <w:tcW w:w="677" w:type="pct"/>
            <w:shd w:val="clear" w:color="auto" w:fill="FFFFFF" w:themeFill="background1"/>
          </w:tcPr>
          <w:p w14:paraId="44588D3C" w14:textId="77777777" w:rsidR="007F6723" w:rsidRPr="000B34F9" w:rsidRDefault="007F6723" w:rsidP="00181CF8">
            <w:pPr>
              <w:pStyle w:val="Tabletextboldleft"/>
              <w:jc w:val="center"/>
            </w:pPr>
            <w:r w:rsidRPr="000B34F9">
              <w:t>FN</w:t>
            </w:r>
          </w:p>
        </w:tc>
        <w:tc>
          <w:tcPr>
            <w:tcW w:w="677" w:type="pct"/>
            <w:shd w:val="clear" w:color="auto" w:fill="FFFFFF" w:themeFill="background1"/>
          </w:tcPr>
          <w:p w14:paraId="142EFFDB" w14:textId="77777777" w:rsidR="007F6723" w:rsidRPr="000B34F9" w:rsidRDefault="007F6723" w:rsidP="00181CF8">
            <w:pPr>
              <w:pStyle w:val="Tabletextboldleft"/>
              <w:jc w:val="center"/>
            </w:pPr>
            <w:r w:rsidRPr="000B34F9">
              <w:t>TN</w:t>
            </w:r>
          </w:p>
        </w:tc>
      </w:tr>
      <w:tr w:rsidR="007F6723" w:rsidRPr="00C81B6E" w14:paraId="0F1BE33D" w14:textId="77777777" w:rsidTr="00181CF8">
        <w:trPr>
          <w:trHeight w:val="320"/>
        </w:trPr>
        <w:tc>
          <w:tcPr>
            <w:tcW w:w="938" w:type="pct"/>
            <w:shd w:val="clear" w:color="auto" w:fill="FFFFFF" w:themeFill="background1"/>
          </w:tcPr>
          <w:p w14:paraId="09114C59" w14:textId="77777777" w:rsidR="007F6723" w:rsidRPr="000B34F9" w:rsidRDefault="007F6723" w:rsidP="00181CF8">
            <w:pPr>
              <w:pStyle w:val="Tabletextcentred"/>
              <w:keepNext/>
              <w:jc w:val="left"/>
              <w:rPr>
                <w:szCs w:val="20"/>
              </w:rPr>
            </w:pPr>
            <w:r w:rsidRPr="000B34F9">
              <w:t>Cure (2014)</w:t>
            </w:r>
          </w:p>
        </w:tc>
        <w:tc>
          <w:tcPr>
            <w:tcW w:w="677" w:type="pct"/>
            <w:shd w:val="clear" w:color="auto" w:fill="FFFFFF" w:themeFill="background1"/>
          </w:tcPr>
          <w:p w14:paraId="77AAB95C" w14:textId="77777777" w:rsidR="007F6723" w:rsidRPr="000B34F9" w:rsidRDefault="007F6723" w:rsidP="00181CF8">
            <w:pPr>
              <w:ind w:left="510" w:hanging="351"/>
              <w:rPr>
                <w:rFonts w:ascii="Arial Narrow" w:eastAsia="Times New Roman" w:hAnsi="Arial Narrow" w:cs="Times New Roman"/>
                <w:sz w:val="20"/>
                <w:szCs w:val="20"/>
              </w:rPr>
            </w:pPr>
            <w:r w:rsidRPr="000B34F9">
              <w:rPr>
                <w:rFonts w:ascii="Arial Narrow" w:eastAsia="Times New Roman" w:hAnsi="Arial Narrow" w:cs="Times New Roman"/>
                <w:sz w:val="20"/>
                <w:szCs w:val="24"/>
              </w:rPr>
              <w:t>FDG-PET</w:t>
            </w:r>
          </w:p>
        </w:tc>
        <w:tc>
          <w:tcPr>
            <w:tcW w:w="677" w:type="pct"/>
            <w:shd w:val="clear" w:color="auto" w:fill="FFFFFF" w:themeFill="background1"/>
          </w:tcPr>
          <w:p w14:paraId="6B96061D" w14:textId="77777777" w:rsidR="007F6723" w:rsidRPr="000B34F9" w:rsidRDefault="007F6723" w:rsidP="00181CF8">
            <w:pPr>
              <w:ind w:left="519"/>
              <w:rPr>
                <w:rFonts w:ascii="Arial Narrow" w:eastAsia="Times New Roman" w:hAnsi="Arial Narrow" w:cs="Times New Roman"/>
                <w:sz w:val="20"/>
                <w:szCs w:val="20"/>
              </w:rPr>
            </w:pPr>
            <w:r w:rsidRPr="000B34F9">
              <w:rPr>
                <w:rFonts w:ascii="Arial Narrow" w:eastAsia="Times New Roman" w:hAnsi="Arial Narrow" w:cs="Times New Roman"/>
                <w:sz w:val="20"/>
                <w:szCs w:val="24"/>
              </w:rPr>
              <w:t>5</w:t>
            </w:r>
          </w:p>
        </w:tc>
        <w:tc>
          <w:tcPr>
            <w:tcW w:w="677" w:type="pct"/>
            <w:shd w:val="clear" w:color="auto" w:fill="FFFFFF" w:themeFill="background1"/>
          </w:tcPr>
          <w:p w14:paraId="757584F0" w14:textId="77777777" w:rsidR="007F6723" w:rsidRPr="000B34F9" w:rsidRDefault="007F6723" w:rsidP="00181CF8">
            <w:pPr>
              <w:ind w:hanging="333"/>
              <w:rPr>
                <w:rFonts w:ascii="Arial Narrow" w:eastAsia="Times New Roman" w:hAnsi="Arial Narrow" w:cs="Times New Roman"/>
                <w:sz w:val="20"/>
                <w:szCs w:val="20"/>
              </w:rPr>
            </w:pPr>
            <w:r w:rsidRPr="000B34F9">
              <w:rPr>
                <w:rFonts w:ascii="Arial Narrow" w:eastAsia="Times New Roman" w:hAnsi="Arial Narrow" w:cs="Times New Roman"/>
                <w:sz w:val="20"/>
                <w:szCs w:val="24"/>
              </w:rPr>
              <w:t>182</w:t>
            </w:r>
          </w:p>
        </w:tc>
        <w:tc>
          <w:tcPr>
            <w:tcW w:w="677" w:type="pct"/>
            <w:shd w:val="clear" w:color="auto" w:fill="FFFFFF" w:themeFill="background1"/>
          </w:tcPr>
          <w:p w14:paraId="3879D583" w14:textId="77777777" w:rsidR="007F6723" w:rsidRPr="000B34F9" w:rsidRDefault="007F6723" w:rsidP="00181CF8">
            <w:pPr>
              <w:ind w:left="536" w:hanging="141"/>
              <w:rPr>
                <w:rFonts w:ascii="Arial Narrow" w:eastAsia="Times New Roman" w:hAnsi="Arial Narrow" w:cs="Times New Roman"/>
                <w:sz w:val="20"/>
                <w:szCs w:val="20"/>
              </w:rPr>
            </w:pPr>
            <w:r w:rsidRPr="000B34F9">
              <w:rPr>
                <w:rFonts w:ascii="Arial Narrow" w:eastAsia="Times New Roman" w:hAnsi="Arial Narrow" w:cs="Times New Roman"/>
                <w:sz w:val="20"/>
                <w:szCs w:val="24"/>
              </w:rPr>
              <w:t>29</w:t>
            </w:r>
          </w:p>
        </w:tc>
        <w:tc>
          <w:tcPr>
            <w:tcW w:w="677" w:type="pct"/>
            <w:shd w:val="clear" w:color="auto" w:fill="FFFFFF" w:themeFill="background1"/>
          </w:tcPr>
          <w:p w14:paraId="3500D2D7" w14:textId="77777777" w:rsidR="007F6723" w:rsidRPr="000B34F9" w:rsidRDefault="007F6723" w:rsidP="00181CF8">
            <w:pPr>
              <w:ind w:left="403"/>
              <w:rPr>
                <w:rFonts w:ascii="Arial Narrow" w:eastAsia="Times New Roman" w:hAnsi="Arial Narrow" w:cs="Times New Roman"/>
                <w:sz w:val="20"/>
                <w:szCs w:val="24"/>
              </w:rPr>
            </w:pPr>
            <w:r w:rsidRPr="000B34F9">
              <w:rPr>
                <w:rFonts w:ascii="Arial Narrow" w:eastAsia="Times New Roman" w:hAnsi="Arial Narrow" w:cs="Times New Roman"/>
                <w:sz w:val="20"/>
                <w:szCs w:val="24"/>
              </w:rPr>
              <w:t>13</w:t>
            </w:r>
          </w:p>
        </w:tc>
        <w:tc>
          <w:tcPr>
            <w:tcW w:w="677" w:type="pct"/>
            <w:shd w:val="clear" w:color="auto" w:fill="FFFFFF" w:themeFill="background1"/>
          </w:tcPr>
          <w:p w14:paraId="7BA54A2F" w14:textId="77777777" w:rsidR="007F6723" w:rsidRPr="000B34F9" w:rsidRDefault="007F6723" w:rsidP="00181CF8">
            <w:pPr>
              <w:ind w:hanging="309"/>
              <w:rPr>
                <w:rFonts w:ascii="Arial Narrow" w:eastAsia="Times New Roman" w:hAnsi="Arial Narrow" w:cs="Times New Roman"/>
                <w:sz w:val="20"/>
                <w:szCs w:val="20"/>
              </w:rPr>
            </w:pPr>
            <w:r w:rsidRPr="000B34F9">
              <w:rPr>
                <w:rFonts w:ascii="Arial Narrow" w:eastAsia="Times New Roman" w:hAnsi="Arial Narrow" w:cs="Times New Roman"/>
                <w:sz w:val="20"/>
                <w:szCs w:val="24"/>
              </w:rPr>
              <w:t>78</w:t>
            </w:r>
          </w:p>
        </w:tc>
      </w:tr>
      <w:tr w:rsidR="007F6723" w:rsidRPr="00726718" w14:paraId="51CF4B9D" w14:textId="77777777" w:rsidTr="00181CF8">
        <w:tc>
          <w:tcPr>
            <w:tcW w:w="938" w:type="pct"/>
            <w:shd w:val="clear" w:color="auto" w:fill="FFFFFF" w:themeFill="background1"/>
          </w:tcPr>
          <w:p w14:paraId="3BE95FDF" w14:textId="77777777" w:rsidR="007F6723" w:rsidRPr="000B34F9" w:rsidRDefault="007F6723" w:rsidP="00181CF8">
            <w:pPr>
              <w:pStyle w:val="Tabletextcentred"/>
              <w:keepNext/>
              <w:jc w:val="left"/>
              <w:rPr>
                <w:szCs w:val="20"/>
              </w:rPr>
            </w:pPr>
            <w:r w:rsidRPr="000B34F9">
              <w:t>Cure (2014)</w:t>
            </w:r>
          </w:p>
        </w:tc>
        <w:tc>
          <w:tcPr>
            <w:tcW w:w="677" w:type="pct"/>
            <w:shd w:val="clear" w:color="auto" w:fill="FFFFFF" w:themeFill="background1"/>
          </w:tcPr>
          <w:p w14:paraId="030FB725" w14:textId="77777777" w:rsidR="007F6723" w:rsidRPr="000B34F9" w:rsidRDefault="007F6723" w:rsidP="00181CF8">
            <w:pPr>
              <w:ind w:hanging="493"/>
              <w:rPr>
                <w:rFonts w:ascii="Arial Narrow" w:eastAsia="Times New Roman" w:hAnsi="Arial Narrow" w:cs="Times New Roman"/>
                <w:sz w:val="20"/>
                <w:szCs w:val="20"/>
              </w:rPr>
            </w:pPr>
            <w:r w:rsidRPr="000B34F9">
              <w:rPr>
                <w:rFonts w:ascii="Arial Narrow" w:eastAsia="Times New Roman" w:hAnsi="Arial Narrow" w:cs="Times New Roman"/>
                <w:sz w:val="20"/>
                <w:szCs w:val="24"/>
              </w:rPr>
              <w:t>SPECT</w:t>
            </w:r>
          </w:p>
        </w:tc>
        <w:tc>
          <w:tcPr>
            <w:tcW w:w="677" w:type="pct"/>
            <w:shd w:val="clear" w:color="auto" w:fill="FFFFFF" w:themeFill="background1"/>
          </w:tcPr>
          <w:p w14:paraId="0CF1C4B6" w14:textId="77777777" w:rsidR="007F6723" w:rsidRPr="000B34F9" w:rsidRDefault="007F6723" w:rsidP="00181CF8">
            <w:pPr>
              <w:ind w:left="519"/>
              <w:rPr>
                <w:rFonts w:ascii="Arial Narrow" w:eastAsia="Times New Roman" w:hAnsi="Arial Narrow" w:cs="Times New Roman"/>
                <w:sz w:val="20"/>
                <w:szCs w:val="20"/>
              </w:rPr>
            </w:pPr>
            <w:r w:rsidRPr="000B34F9">
              <w:rPr>
                <w:rFonts w:ascii="Arial Narrow" w:eastAsia="Times New Roman" w:hAnsi="Arial Narrow" w:cs="Times New Roman"/>
                <w:sz w:val="20"/>
                <w:szCs w:val="24"/>
              </w:rPr>
              <w:t>6</w:t>
            </w:r>
          </w:p>
        </w:tc>
        <w:tc>
          <w:tcPr>
            <w:tcW w:w="677" w:type="pct"/>
            <w:shd w:val="clear" w:color="auto" w:fill="FFFFFF" w:themeFill="background1"/>
          </w:tcPr>
          <w:p w14:paraId="32142B6C" w14:textId="77777777" w:rsidR="007F6723" w:rsidRPr="000B34F9" w:rsidRDefault="007F6723" w:rsidP="00181CF8">
            <w:pPr>
              <w:ind w:hanging="333"/>
              <w:rPr>
                <w:rFonts w:ascii="Arial Narrow" w:eastAsia="Times New Roman" w:hAnsi="Arial Narrow" w:cs="Times New Roman"/>
                <w:sz w:val="20"/>
                <w:szCs w:val="20"/>
              </w:rPr>
            </w:pPr>
            <w:r w:rsidRPr="000B34F9">
              <w:rPr>
                <w:rFonts w:ascii="Arial Narrow" w:eastAsia="Times New Roman" w:hAnsi="Arial Narrow" w:cs="Times New Roman"/>
                <w:sz w:val="20"/>
                <w:szCs w:val="24"/>
              </w:rPr>
              <w:t>207</w:t>
            </w:r>
          </w:p>
        </w:tc>
        <w:tc>
          <w:tcPr>
            <w:tcW w:w="677" w:type="pct"/>
            <w:shd w:val="clear" w:color="auto" w:fill="FFFFFF" w:themeFill="background1"/>
          </w:tcPr>
          <w:p w14:paraId="4AD2ACA2" w14:textId="77777777" w:rsidR="007F6723" w:rsidRPr="000B34F9" w:rsidRDefault="007F6723" w:rsidP="00181CF8">
            <w:pPr>
              <w:ind w:left="536" w:hanging="141"/>
              <w:rPr>
                <w:rFonts w:ascii="Arial Narrow" w:eastAsia="Times New Roman" w:hAnsi="Arial Narrow" w:cs="Times New Roman"/>
                <w:sz w:val="20"/>
                <w:szCs w:val="20"/>
              </w:rPr>
            </w:pPr>
            <w:r w:rsidRPr="000B34F9">
              <w:rPr>
                <w:rFonts w:ascii="Arial Narrow" w:eastAsia="Times New Roman" w:hAnsi="Arial Narrow" w:cs="Times New Roman"/>
                <w:sz w:val="20"/>
                <w:szCs w:val="24"/>
              </w:rPr>
              <w:t>30</w:t>
            </w:r>
          </w:p>
        </w:tc>
        <w:tc>
          <w:tcPr>
            <w:tcW w:w="677" w:type="pct"/>
            <w:shd w:val="clear" w:color="auto" w:fill="FFFFFF" w:themeFill="background1"/>
          </w:tcPr>
          <w:p w14:paraId="0F35AEB7" w14:textId="77777777" w:rsidR="007F6723" w:rsidRPr="000B34F9" w:rsidRDefault="007F6723" w:rsidP="00181CF8">
            <w:pPr>
              <w:ind w:left="403"/>
              <w:rPr>
                <w:rFonts w:ascii="Arial Narrow" w:eastAsia="Times New Roman" w:hAnsi="Arial Narrow" w:cs="Times New Roman"/>
                <w:sz w:val="20"/>
                <w:szCs w:val="24"/>
              </w:rPr>
            </w:pPr>
            <w:r w:rsidRPr="000B34F9">
              <w:rPr>
                <w:rFonts w:ascii="Arial Narrow" w:eastAsia="Times New Roman" w:hAnsi="Arial Narrow" w:cs="Times New Roman"/>
                <w:sz w:val="20"/>
                <w:szCs w:val="24"/>
              </w:rPr>
              <w:t>35</w:t>
            </w:r>
          </w:p>
        </w:tc>
        <w:tc>
          <w:tcPr>
            <w:tcW w:w="677" w:type="pct"/>
            <w:shd w:val="clear" w:color="auto" w:fill="FFFFFF" w:themeFill="background1"/>
          </w:tcPr>
          <w:p w14:paraId="197C54D6" w14:textId="77777777" w:rsidR="007F6723" w:rsidRPr="000B34F9" w:rsidRDefault="007F6723" w:rsidP="00181CF8">
            <w:pPr>
              <w:ind w:hanging="309"/>
              <w:rPr>
                <w:rFonts w:ascii="Arial Narrow" w:eastAsia="Times New Roman" w:hAnsi="Arial Narrow" w:cs="Times New Roman"/>
                <w:sz w:val="20"/>
                <w:szCs w:val="20"/>
              </w:rPr>
            </w:pPr>
            <w:r w:rsidRPr="000B34F9">
              <w:rPr>
                <w:rFonts w:ascii="Arial Narrow" w:eastAsia="Times New Roman" w:hAnsi="Arial Narrow" w:cs="Times New Roman"/>
                <w:sz w:val="20"/>
                <w:szCs w:val="24"/>
              </w:rPr>
              <w:t>163</w:t>
            </w:r>
          </w:p>
        </w:tc>
      </w:tr>
    </w:tbl>
    <w:p w14:paraId="1894B6E1" w14:textId="25F5385B" w:rsidR="007F6723" w:rsidRPr="00141A4C" w:rsidRDefault="007F6723" w:rsidP="007F6723">
      <w:pPr>
        <w:pStyle w:val="Tablefootnotes"/>
        <w:keepNext/>
      </w:pPr>
      <w:r>
        <w:t>Abbreviations: FDG-PET, flu</w:t>
      </w:r>
      <w:r w:rsidR="0038452F">
        <w:t>o</w:t>
      </w:r>
      <w:r>
        <w:t>rodeoxyglucose positron emission tomography; FN, false negative; FP, false positive; SPECT, single-photon emission tomography TN, true negative; TP, true positive</w:t>
      </w:r>
      <w:r w:rsidR="005569B0">
        <w:t>.</w:t>
      </w:r>
    </w:p>
    <w:p w14:paraId="1C389E59" w14:textId="77777777" w:rsidR="007F6723" w:rsidRDefault="007F6723" w:rsidP="007F6723">
      <w:r>
        <w:fldChar w:fldCharType="begin"/>
      </w:r>
      <w:r>
        <w:instrText xml:space="preserve"> REF _Ref279932005 \h </w:instrText>
      </w:r>
      <w:r>
        <w:fldChar w:fldCharType="separate"/>
      </w:r>
      <w:r w:rsidR="00C67698">
        <w:t xml:space="preserve">Table </w:t>
      </w:r>
      <w:r w:rsidR="00C67698">
        <w:rPr>
          <w:noProof/>
        </w:rPr>
        <w:t>D.6</w:t>
      </w:r>
      <w:r w:rsidR="00C67698">
        <w:noBreakHyphen/>
      </w:r>
      <w:r w:rsidR="00C67698">
        <w:rPr>
          <w:noProof/>
        </w:rPr>
        <w:t>7</w:t>
      </w:r>
      <w:r>
        <w:fldChar w:fldCharType="end"/>
      </w:r>
      <w:r>
        <w:t xml:space="preserve"> presents the results of these data being used in the model and highlight the model’s sensitivity to different diagnostic accuracy data. </w:t>
      </w:r>
    </w:p>
    <w:p w14:paraId="431F702F" w14:textId="53A599E5" w:rsidR="007F6723" w:rsidRDefault="007F6723" w:rsidP="007F6723">
      <w:pPr>
        <w:pStyle w:val="Caption"/>
      </w:pPr>
      <w:bookmarkStart w:id="281" w:name="_Ref279932005"/>
      <w:bookmarkStart w:id="282" w:name="_Toc406172498"/>
      <w:bookmarkStart w:id="283" w:name="_Toc408845253"/>
      <w:r>
        <w:lastRenderedPageBreak/>
        <w:t xml:space="preserve">Table </w:t>
      </w:r>
      <w:fldSimple w:instr=" STYLEREF 2 \s ">
        <w:r w:rsidR="00C67698">
          <w:rPr>
            <w:noProof/>
          </w:rPr>
          <w:t>D.6</w:t>
        </w:r>
      </w:fldSimple>
      <w:r w:rsidR="00524916">
        <w:noBreakHyphen/>
      </w:r>
      <w:fldSimple w:instr=" SEQ Table \* ARABIC \s 2 ">
        <w:r w:rsidR="00C67698">
          <w:rPr>
            <w:noProof/>
          </w:rPr>
          <w:t>7</w:t>
        </w:r>
      </w:fldSimple>
      <w:bookmarkEnd w:id="281"/>
      <w:r>
        <w:tab/>
        <w:t>Sensitivity analyses of diagnostic accuracy</w:t>
      </w:r>
      <w:bookmarkEnd w:id="282"/>
      <w:bookmarkEnd w:id="283"/>
    </w:p>
    <w:tbl>
      <w:tblPr>
        <w:tblStyle w:val="TableGrid"/>
        <w:tblW w:w="4610" w:type="pct"/>
        <w:tblInd w:w="704" w:type="dxa"/>
        <w:tblLook w:val="04A0" w:firstRow="1" w:lastRow="0" w:firstColumn="1" w:lastColumn="0" w:noHBand="0" w:noVBand="1"/>
        <w:tblCaption w:val="Sensitivity analyses of diagnostic accuracy"/>
        <w:tblDescription w:val="The incremented costs and QALYs associated with different diagnostic accuracy estimates."/>
      </w:tblPr>
      <w:tblGrid>
        <w:gridCol w:w="2562"/>
        <w:gridCol w:w="1987"/>
        <w:gridCol w:w="1987"/>
        <w:gridCol w:w="1985"/>
      </w:tblGrid>
      <w:tr w:rsidR="007F6723" w14:paraId="0F43CA2D" w14:textId="77777777" w:rsidTr="00181CF8">
        <w:trPr>
          <w:tblHeader/>
        </w:trPr>
        <w:tc>
          <w:tcPr>
            <w:tcW w:w="1503" w:type="pct"/>
          </w:tcPr>
          <w:p w14:paraId="281F893A" w14:textId="77777777" w:rsidR="007F6723" w:rsidRDefault="007F6723" w:rsidP="00181CF8">
            <w:pPr>
              <w:pStyle w:val="Tabletextboldleft"/>
              <w:tabs>
                <w:tab w:val="center" w:pos="1532"/>
              </w:tabs>
            </w:pPr>
            <w:r>
              <w:t>Analysis</w:t>
            </w:r>
          </w:p>
        </w:tc>
        <w:tc>
          <w:tcPr>
            <w:tcW w:w="1166" w:type="pct"/>
          </w:tcPr>
          <w:p w14:paraId="5CE03ADA" w14:textId="77777777" w:rsidR="007F6723" w:rsidRDefault="007F6723" w:rsidP="00181CF8">
            <w:pPr>
              <w:pStyle w:val="Tabletextboldleft"/>
              <w:jc w:val="right"/>
            </w:pPr>
            <w:r>
              <w:t>Incremental cost</w:t>
            </w:r>
          </w:p>
        </w:tc>
        <w:tc>
          <w:tcPr>
            <w:tcW w:w="1166" w:type="pct"/>
          </w:tcPr>
          <w:p w14:paraId="213EB3A9" w14:textId="77777777" w:rsidR="007F6723" w:rsidRDefault="007F6723" w:rsidP="00181CF8">
            <w:pPr>
              <w:pStyle w:val="Tabletextboldleft"/>
              <w:jc w:val="right"/>
            </w:pPr>
            <w:r>
              <w:t>Incremental QALY</w:t>
            </w:r>
          </w:p>
        </w:tc>
        <w:tc>
          <w:tcPr>
            <w:tcW w:w="1166" w:type="pct"/>
          </w:tcPr>
          <w:p w14:paraId="7D7F1489" w14:textId="77777777" w:rsidR="007F6723" w:rsidRDefault="007F6723" w:rsidP="00181CF8">
            <w:pPr>
              <w:pStyle w:val="Tabletextboldleft"/>
              <w:jc w:val="right"/>
            </w:pPr>
            <w:r>
              <w:t>Result</w:t>
            </w:r>
          </w:p>
        </w:tc>
      </w:tr>
      <w:tr w:rsidR="007F6723" w14:paraId="62333824" w14:textId="77777777" w:rsidTr="00181CF8">
        <w:tc>
          <w:tcPr>
            <w:tcW w:w="1503" w:type="pct"/>
          </w:tcPr>
          <w:p w14:paraId="36AFE44F" w14:textId="77777777" w:rsidR="007F6723" w:rsidRPr="006D4E9F" w:rsidRDefault="007F6723" w:rsidP="00181CF8">
            <w:pPr>
              <w:pStyle w:val="Tabletextcentred"/>
              <w:keepNext/>
              <w:jc w:val="left"/>
              <w:rPr>
                <w:i/>
              </w:rPr>
            </w:pPr>
            <w:r>
              <w:rPr>
                <w:i/>
              </w:rPr>
              <w:t>Base case</w:t>
            </w:r>
          </w:p>
        </w:tc>
        <w:tc>
          <w:tcPr>
            <w:tcW w:w="1166" w:type="pct"/>
          </w:tcPr>
          <w:p w14:paraId="14D67AE0" w14:textId="77777777" w:rsidR="007F6723" w:rsidRPr="006D4E9F" w:rsidRDefault="007F6723" w:rsidP="00181CF8">
            <w:pPr>
              <w:pStyle w:val="Tabletextcentred"/>
              <w:keepNext/>
              <w:jc w:val="right"/>
              <w:rPr>
                <w:i/>
              </w:rPr>
            </w:pPr>
            <w:r>
              <w:rPr>
                <w:i/>
              </w:rPr>
              <w:t>-$1160</w:t>
            </w:r>
          </w:p>
        </w:tc>
        <w:tc>
          <w:tcPr>
            <w:tcW w:w="1166" w:type="pct"/>
          </w:tcPr>
          <w:p w14:paraId="0334A47E" w14:textId="77777777" w:rsidR="007F6723" w:rsidRPr="006D4E9F" w:rsidRDefault="007F6723" w:rsidP="00181CF8">
            <w:pPr>
              <w:pStyle w:val="Tabletextcentred"/>
              <w:keepNext/>
              <w:jc w:val="right"/>
              <w:rPr>
                <w:i/>
              </w:rPr>
            </w:pPr>
            <w:r>
              <w:rPr>
                <w:i/>
              </w:rPr>
              <w:t>0.03</w:t>
            </w:r>
          </w:p>
        </w:tc>
        <w:tc>
          <w:tcPr>
            <w:tcW w:w="1166" w:type="pct"/>
          </w:tcPr>
          <w:p w14:paraId="15972355" w14:textId="77777777" w:rsidR="007F6723" w:rsidRPr="006D4E9F" w:rsidRDefault="007F6723" w:rsidP="00181CF8">
            <w:pPr>
              <w:pStyle w:val="Tabletextcentred"/>
              <w:keepNext/>
              <w:jc w:val="right"/>
              <w:rPr>
                <w:i/>
              </w:rPr>
            </w:pPr>
            <w:r>
              <w:rPr>
                <w:i/>
              </w:rPr>
              <w:t>FDG-PET leads to cost savings while improving QALYs</w:t>
            </w:r>
          </w:p>
        </w:tc>
      </w:tr>
      <w:tr w:rsidR="007F6723" w14:paraId="7ED50992" w14:textId="77777777" w:rsidTr="00181CF8">
        <w:tc>
          <w:tcPr>
            <w:tcW w:w="1503" w:type="pct"/>
          </w:tcPr>
          <w:p w14:paraId="61FD99C3" w14:textId="77777777" w:rsidR="007F6723" w:rsidRPr="008D6617" w:rsidRDefault="007F6723" w:rsidP="00181CF8">
            <w:pPr>
              <w:pStyle w:val="Tabletextcentred"/>
              <w:keepNext/>
              <w:jc w:val="left"/>
            </w:pPr>
            <w:r w:rsidRPr="008D6617">
              <w:t xml:space="preserve">Diagnostic accuracy rates from </w:t>
            </w:r>
            <w:r w:rsidRPr="008D6617">
              <w:fldChar w:fldCharType="begin"/>
            </w:r>
            <w:r w:rsidRPr="008D6617">
              <w:instrText xml:space="preserve"> REF _Ref279931952 \h  \* MERGEFORMAT </w:instrText>
            </w:r>
            <w:r w:rsidRPr="008D6617">
              <w:fldChar w:fldCharType="separate"/>
            </w:r>
            <w:r w:rsidR="00C67698">
              <w:t xml:space="preserve">Table </w:t>
            </w:r>
            <w:r w:rsidR="00C67698">
              <w:rPr>
                <w:noProof/>
              </w:rPr>
              <w:t>D.6</w:t>
            </w:r>
            <w:r w:rsidR="00C67698">
              <w:rPr>
                <w:noProof/>
              </w:rPr>
              <w:noBreakHyphen/>
              <w:t>5</w:t>
            </w:r>
            <w:r w:rsidRPr="008D6617">
              <w:fldChar w:fldCharType="end"/>
            </w:r>
          </w:p>
        </w:tc>
        <w:tc>
          <w:tcPr>
            <w:tcW w:w="1166" w:type="pct"/>
          </w:tcPr>
          <w:p w14:paraId="5900C221" w14:textId="77777777" w:rsidR="007F6723" w:rsidRPr="008D6617" w:rsidRDefault="007F6723" w:rsidP="00181CF8">
            <w:pPr>
              <w:pStyle w:val="Tabletextcentred"/>
              <w:keepNext/>
              <w:jc w:val="right"/>
            </w:pPr>
            <w:r w:rsidRPr="008D6617">
              <w:t>$242</w:t>
            </w:r>
          </w:p>
        </w:tc>
        <w:tc>
          <w:tcPr>
            <w:tcW w:w="1166" w:type="pct"/>
          </w:tcPr>
          <w:p w14:paraId="0D24423C" w14:textId="77777777" w:rsidR="007F6723" w:rsidRPr="008D6617" w:rsidRDefault="007F6723" w:rsidP="00181CF8">
            <w:pPr>
              <w:pStyle w:val="Tabletextcentred"/>
              <w:keepNext/>
              <w:jc w:val="right"/>
            </w:pPr>
            <w:r w:rsidRPr="008D6617">
              <w:t>&gt;0.00</w:t>
            </w:r>
          </w:p>
        </w:tc>
        <w:tc>
          <w:tcPr>
            <w:tcW w:w="1166" w:type="pct"/>
          </w:tcPr>
          <w:p w14:paraId="430DADE5" w14:textId="77777777" w:rsidR="007F6723" w:rsidRPr="008D6617" w:rsidRDefault="007F6723" w:rsidP="00181CF8">
            <w:pPr>
              <w:pStyle w:val="Tabletextcentred"/>
              <w:keepNext/>
              <w:jc w:val="right"/>
            </w:pPr>
            <w:r w:rsidRPr="008D6617">
              <w:t>$127,567</w:t>
            </w:r>
          </w:p>
        </w:tc>
      </w:tr>
      <w:tr w:rsidR="007F6723" w14:paraId="6A85E77C" w14:textId="77777777" w:rsidTr="00181CF8">
        <w:tc>
          <w:tcPr>
            <w:tcW w:w="1503" w:type="pct"/>
          </w:tcPr>
          <w:p w14:paraId="4DDD2F02" w14:textId="77777777" w:rsidR="007F6723" w:rsidRDefault="007F6723" w:rsidP="00181CF8">
            <w:pPr>
              <w:pStyle w:val="Tabletextcentred"/>
              <w:keepNext/>
              <w:jc w:val="left"/>
            </w:pPr>
            <w:r>
              <w:t xml:space="preserve">Diagnostic accuracy rates from </w:t>
            </w:r>
            <w:r>
              <w:fldChar w:fldCharType="begin"/>
            </w:r>
            <w:r>
              <w:instrText xml:space="preserve"> REF _Ref279931959 \h </w:instrText>
            </w:r>
            <w:r>
              <w:fldChar w:fldCharType="separate"/>
            </w:r>
            <w:r w:rsidR="00C67698">
              <w:t xml:space="preserve">Table </w:t>
            </w:r>
            <w:r w:rsidR="00C67698">
              <w:rPr>
                <w:noProof/>
              </w:rPr>
              <w:t>D.6</w:t>
            </w:r>
            <w:r w:rsidR="00C67698">
              <w:noBreakHyphen/>
            </w:r>
            <w:r w:rsidR="00C67698">
              <w:rPr>
                <w:noProof/>
              </w:rPr>
              <w:t>6</w:t>
            </w:r>
            <w:r>
              <w:fldChar w:fldCharType="end"/>
            </w:r>
          </w:p>
        </w:tc>
        <w:tc>
          <w:tcPr>
            <w:tcW w:w="1166" w:type="pct"/>
          </w:tcPr>
          <w:p w14:paraId="39613B11" w14:textId="77777777" w:rsidR="007F6723" w:rsidRPr="00336B03" w:rsidRDefault="007F6723" w:rsidP="00181CF8">
            <w:pPr>
              <w:pStyle w:val="Tabletextcentred"/>
              <w:keepNext/>
              <w:jc w:val="right"/>
            </w:pPr>
            <w:r>
              <w:t>$4390</w:t>
            </w:r>
          </w:p>
        </w:tc>
        <w:tc>
          <w:tcPr>
            <w:tcW w:w="1166" w:type="pct"/>
          </w:tcPr>
          <w:p w14:paraId="6223BEC2" w14:textId="77777777" w:rsidR="007F6723" w:rsidRPr="00336B03" w:rsidRDefault="007F6723" w:rsidP="00181CF8">
            <w:pPr>
              <w:pStyle w:val="Tabletextcentred"/>
              <w:keepNext/>
              <w:jc w:val="right"/>
            </w:pPr>
            <w:r>
              <w:t>-0.08</w:t>
            </w:r>
          </w:p>
        </w:tc>
        <w:tc>
          <w:tcPr>
            <w:tcW w:w="1166" w:type="pct"/>
          </w:tcPr>
          <w:p w14:paraId="105A128A" w14:textId="77777777" w:rsidR="007F6723" w:rsidRPr="00336B03" w:rsidRDefault="007F6723" w:rsidP="00181CF8">
            <w:pPr>
              <w:pStyle w:val="Tabletextcentred"/>
              <w:keepNext/>
              <w:jc w:val="right"/>
            </w:pPr>
            <w:r w:rsidRPr="00336B03">
              <w:t>FDG leads to additional costs but poorer QALY outcomes</w:t>
            </w:r>
          </w:p>
        </w:tc>
      </w:tr>
    </w:tbl>
    <w:p w14:paraId="2E0E7875" w14:textId="44888A4B" w:rsidR="007F6723" w:rsidRDefault="007F6723" w:rsidP="007F6723">
      <w:pPr>
        <w:pStyle w:val="Tablefootnotes"/>
        <w:keepNext/>
      </w:pPr>
      <w:r>
        <w:t>Abbreviations: FDG-PET, flu</w:t>
      </w:r>
      <w:r w:rsidR="0038452F">
        <w:t>o</w:t>
      </w:r>
      <w:r>
        <w:t>rodeoxyglucose positron emission tomography; QALY, quality</w:t>
      </w:r>
      <w:r w:rsidR="0064732B">
        <w:t>-</w:t>
      </w:r>
      <w:r>
        <w:t>adjusted life year</w:t>
      </w:r>
    </w:p>
    <w:p w14:paraId="7C2FF65E" w14:textId="77777777" w:rsidR="007F6723" w:rsidRDefault="007F6723" w:rsidP="007F6723">
      <w:r>
        <w:t xml:space="preserve">In the case of the indirect evidence, the </w:t>
      </w:r>
      <w:r w:rsidRPr="008D6617">
        <w:t>data markedly reduce the diagnostic benefit offered by FDG-PET relative to SPECT with the incremental probability of correctly diagnosing AD in disease positive patients reduced to just 0.008 and the incremental probability of a correct negative diagnosis falling to 0.014. The consequence is a watering down of the benefit in terms of both QALYs and downstream costs such that there is a positive net cost and an associated ICER of approximately $128,000 per</w:t>
      </w:r>
      <w:r>
        <w:t xml:space="preserve"> QALY.</w:t>
      </w:r>
    </w:p>
    <w:p w14:paraId="570B7A7E" w14:textId="77777777" w:rsidR="007F6723" w:rsidRDefault="007F6723" w:rsidP="007F6723">
      <w:r>
        <w:t xml:space="preserve">In the case of the data taken from the meta-analysis reported in </w:t>
      </w:r>
      <w:r>
        <w:fldChar w:fldCharType="begin"/>
      </w:r>
      <w:r>
        <w:instrText xml:space="preserve"> REF _Ref279931959 \h </w:instrText>
      </w:r>
      <w:r>
        <w:fldChar w:fldCharType="separate"/>
      </w:r>
      <w:r w:rsidR="00C67698">
        <w:t xml:space="preserve">Table </w:t>
      </w:r>
      <w:r w:rsidR="00C67698">
        <w:rPr>
          <w:noProof/>
        </w:rPr>
        <w:t>D.6</w:t>
      </w:r>
      <w:r w:rsidR="00C67698">
        <w:noBreakHyphen/>
      </w:r>
      <w:r w:rsidR="00C67698">
        <w:rPr>
          <w:noProof/>
        </w:rPr>
        <w:t>6</w:t>
      </w:r>
      <w:r>
        <w:fldChar w:fldCharType="end"/>
      </w:r>
      <w:r>
        <w:t>, the data bring about a reversal in the results relative to the base case. The incremental cost becomes positive and the benefit negative, indicating that FDG-PET would be a poor choice if these data were to be accepted. This is driven by these data translating to significantly poorer ability for FDG-PET to correctly diagnose cases in which individuals do not have AD.</w:t>
      </w:r>
    </w:p>
    <w:p w14:paraId="6E6727D6" w14:textId="636A7880" w:rsidR="007F6723" w:rsidRPr="00506E1C" w:rsidRDefault="007F6723" w:rsidP="007F6723">
      <w:r>
        <w:t>While the results shown here serve to highlight the complex relationship between diagnostic accuracy and cost-effectiveness, they also highlight the sensitivity of the base case results to the assumptions therein. If the data used in the base case can be accepted, it would appear that FDG-PET is a cost-effective alternative to SPECT in the diagnosis of AD. If, however, there is doubt regarding the acceptability of these data, it is clear that the conclusions of the base case may not be valid and particular caution should be taken to ensure that the impact of alternative data are well understood. In cases such as the present, where the incremental cost and QALY results are so close to zero, the conclusions are particularly sensitive and this should be accounted for in the decision</w:t>
      </w:r>
      <w:r w:rsidR="000E05F2">
        <w:t>-</w:t>
      </w:r>
      <w:r>
        <w:t xml:space="preserve">making process. </w:t>
      </w:r>
    </w:p>
    <w:p w14:paraId="23F638A4" w14:textId="77777777" w:rsidR="00506E1C" w:rsidRPr="00506E1C" w:rsidRDefault="00506E1C" w:rsidP="00506E1C"/>
    <w:p w14:paraId="03030111" w14:textId="363B2661" w:rsidR="00506E1C" w:rsidRDefault="00506E1C" w:rsidP="00F710E2">
      <w:pPr>
        <w:pStyle w:val="Heading1"/>
      </w:pPr>
      <w:bookmarkStart w:id="284" w:name="_Toc408845186"/>
      <w:r w:rsidRPr="00F710E2">
        <w:lastRenderedPageBreak/>
        <w:t>Estimated</w:t>
      </w:r>
      <w:r>
        <w:t xml:space="preserve"> utilisation and financial implications</w:t>
      </w:r>
      <w:bookmarkEnd w:id="284"/>
    </w:p>
    <w:p w14:paraId="71944AA0" w14:textId="109C4ECF" w:rsidR="00414562" w:rsidRDefault="00506E1C" w:rsidP="00414562">
      <w:pPr>
        <w:pStyle w:val="Heading2"/>
      </w:pPr>
      <w:bookmarkStart w:id="285" w:name="_Toc408845187"/>
      <w:r>
        <w:t>Justification of the selection of sources of data</w:t>
      </w:r>
      <w:bookmarkEnd w:id="285"/>
    </w:p>
    <w:p w14:paraId="4C9512B0" w14:textId="77777777" w:rsidR="007F6723" w:rsidRDefault="007F6723" w:rsidP="007F6723">
      <w:r>
        <w:t>The estimated financial implications of a successful listing of FDG-PET on the MBS would ideally rely on either robust data relating to the availability of FDG-PET facilities throughout Australia (both now and in the next five years) and/or accurate data describing the incidence of AD across Australia and how diagnosis is achieved using functional imaging.</w:t>
      </w:r>
    </w:p>
    <w:p w14:paraId="0DFACA13" w14:textId="4B7FC503" w:rsidR="007F6723" w:rsidRDefault="007F6723" w:rsidP="007F6723">
      <w:r>
        <w:t>Unfortunately, a scarcity of data of either type instead meant that the following analysis was undertaken using more general data derived from</w:t>
      </w:r>
      <w:r w:rsidR="005569B0">
        <w:t xml:space="preserve"> the</w:t>
      </w:r>
      <w:r>
        <w:t xml:space="preserve"> incidence of dementia and associated estimates of how this is made up, in part, from individuals with AD.</w:t>
      </w:r>
    </w:p>
    <w:p w14:paraId="6926F019" w14:textId="77777777" w:rsidR="007F6723" w:rsidRDefault="007F6723" w:rsidP="007F6723">
      <w:r>
        <w:t>That is, the following analysis follows an epidemiological approach that aimed to estimate the current use of SPECT in identifying AD from estimates of projected dementia incidence (Access Economics, 2009) and estimates of the proportion of dementia cases which are due to AD (Alzheimer’s Disease International, 2014). These data were used in conjunction with assumptions regarding the rate at which SPECT is used to diagnose AD and how FDG-PET would be used to substitute for SPECT in the event of a successful MBS listing. Assumptions regarding the possibility of increased use of functional imaging in the event of an MBS listing for FDG-PET were also applied.</w:t>
      </w:r>
    </w:p>
    <w:p w14:paraId="15D5EDF0" w14:textId="0F58BE30" w:rsidR="007F6723" w:rsidRDefault="007F6723" w:rsidP="007F6723">
      <w:r>
        <w:t>Note that, while SPECT was assumed to be the relevant comparator for this analysis, the MBS item fee for SPECT is shared with other diseases/indications. That is, while SPECT may be used under the MBS for diagnosing AD, it is also used for epilepsy, stoke, acute brain injury, etc. Consequently, it was not possible to derive estimates from MBS usage statistics, as there is no way to estimate what proportion of use relates to dementia/AD diagnosis.</w:t>
      </w:r>
    </w:p>
    <w:p w14:paraId="4B15D785" w14:textId="5DDDC3E5" w:rsidR="007F6723" w:rsidRDefault="007F6723" w:rsidP="007F6723">
      <w:r>
        <w:t>In addition to these data and assumptions to estimate the use of FDG-PET for diagnosis of AD, the analysis also considered the possibility of increased expenditure on PBS</w:t>
      </w:r>
      <w:r w:rsidR="00F2342C">
        <w:t>-</w:t>
      </w:r>
      <w:r>
        <w:t>listed medications to treat AD. That is, with the increased use of FDG-PET, it is anticipated that more positive diagnoses would be made (both true positives and false positives). Since this will lead to greater use of PBS-listed medication, the financial impact of this has been accounted for. This part of the analysis relied on data considered in Section C (i.e. daily treatment costs and treatment duration estimates). These were described previously and are referred to again in detail below.</w:t>
      </w:r>
    </w:p>
    <w:p w14:paraId="1FF9E029" w14:textId="0D34D99D" w:rsidR="007F6723" w:rsidRDefault="007F6723" w:rsidP="007F6723">
      <w:r>
        <w:fldChar w:fldCharType="begin"/>
      </w:r>
      <w:r>
        <w:instrText xml:space="preserve"> REF _Ref279754776 \h </w:instrText>
      </w:r>
      <w:r>
        <w:fldChar w:fldCharType="separate"/>
      </w:r>
      <w:r w:rsidR="00C67698">
        <w:t xml:space="preserve">Table </w:t>
      </w:r>
      <w:r w:rsidR="00C67698">
        <w:rPr>
          <w:noProof/>
        </w:rPr>
        <w:t>E.1</w:t>
      </w:r>
      <w:r w:rsidR="00C67698">
        <w:noBreakHyphen/>
      </w:r>
      <w:r w:rsidR="00C67698">
        <w:rPr>
          <w:noProof/>
        </w:rPr>
        <w:t>1</w:t>
      </w:r>
      <w:r>
        <w:fldChar w:fldCharType="end"/>
      </w:r>
      <w:r>
        <w:t>below summarises the data used in the analysis of the financial implications of an MBS listing for FDG-PET to diagnosis AD.</w:t>
      </w:r>
      <w:r w:rsidRPr="008D47D6">
        <w:t xml:space="preserve"> </w:t>
      </w:r>
      <w:r>
        <w:t>It is acknowledged that the approach taken is inherently uncertain due to the lack of robust data. This, however, was considered insurmountable and sensitivity analyses were undertak</w:t>
      </w:r>
      <w:r w:rsidR="00823EDE">
        <w:t>en</w:t>
      </w:r>
      <w:r>
        <w:t xml:space="preserve"> in recognition of this fact.</w:t>
      </w:r>
    </w:p>
    <w:p w14:paraId="50194C60" w14:textId="2342833C" w:rsidR="007F6723" w:rsidRDefault="007F6723" w:rsidP="007F6723">
      <w:pPr>
        <w:pStyle w:val="Caption"/>
      </w:pPr>
      <w:bookmarkStart w:id="286" w:name="_Ref279754776"/>
      <w:bookmarkStart w:id="287" w:name="_Toc406172499"/>
      <w:bookmarkStart w:id="288" w:name="_Toc408845254"/>
      <w:r>
        <w:lastRenderedPageBreak/>
        <w:t xml:space="preserve">Table </w:t>
      </w:r>
      <w:fldSimple w:instr=" STYLEREF 2 \s ">
        <w:r w:rsidR="00C67698">
          <w:rPr>
            <w:noProof/>
          </w:rPr>
          <w:t>E.1</w:t>
        </w:r>
      </w:fldSimple>
      <w:r w:rsidR="00524916">
        <w:noBreakHyphen/>
      </w:r>
      <w:fldSimple w:instr=" SEQ Table \* ARABIC \s 2 ">
        <w:r w:rsidR="00C67698">
          <w:rPr>
            <w:noProof/>
          </w:rPr>
          <w:t>1</w:t>
        </w:r>
      </w:fldSimple>
      <w:bookmarkEnd w:id="286"/>
      <w:r>
        <w:tab/>
        <w:t>Data sources used for the financial estimates</w:t>
      </w:r>
      <w:bookmarkEnd w:id="287"/>
      <w:bookmarkEnd w:id="288"/>
    </w:p>
    <w:tbl>
      <w:tblPr>
        <w:tblStyle w:val="TableGrid"/>
        <w:tblW w:w="4610" w:type="pct"/>
        <w:tblInd w:w="704" w:type="dxa"/>
        <w:tblLook w:val="04A0" w:firstRow="1" w:lastRow="0" w:firstColumn="1" w:lastColumn="0" w:noHBand="0" w:noVBand="1"/>
        <w:tblCaption w:val="A list of data sources used for the financial estimates"/>
        <w:tblDescription w:val="Data sources and justification for the use of each source."/>
      </w:tblPr>
      <w:tblGrid>
        <w:gridCol w:w="2761"/>
        <w:gridCol w:w="2471"/>
        <w:gridCol w:w="3289"/>
      </w:tblGrid>
      <w:tr w:rsidR="007F6723" w14:paraId="37BA2CC7" w14:textId="77777777" w:rsidTr="00181CF8">
        <w:trPr>
          <w:tblHeader/>
        </w:trPr>
        <w:tc>
          <w:tcPr>
            <w:tcW w:w="1620" w:type="pct"/>
          </w:tcPr>
          <w:p w14:paraId="7593E3A7" w14:textId="77777777" w:rsidR="007F6723" w:rsidRDefault="007F6723" w:rsidP="00181CF8">
            <w:pPr>
              <w:pStyle w:val="Tabletextboldleft"/>
              <w:tabs>
                <w:tab w:val="left" w:pos="1093"/>
              </w:tabs>
            </w:pPr>
            <w:r>
              <w:t>Data retrieved</w:t>
            </w:r>
          </w:p>
        </w:tc>
        <w:tc>
          <w:tcPr>
            <w:tcW w:w="1450" w:type="pct"/>
          </w:tcPr>
          <w:p w14:paraId="45916345" w14:textId="77777777" w:rsidR="007F6723" w:rsidRDefault="007F6723" w:rsidP="00181CF8">
            <w:pPr>
              <w:pStyle w:val="Tabletextboldleft"/>
            </w:pPr>
            <w:r>
              <w:t>Reference</w:t>
            </w:r>
          </w:p>
        </w:tc>
        <w:tc>
          <w:tcPr>
            <w:tcW w:w="1931" w:type="pct"/>
          </w:tcPr>
          <w:p w14:paraId="759A3397" w14:textId="77777777" w:rsidR="007F6723" w:rsidRDefault="007F6723" w:rsidP="00181CF8">
            <w:pPr>
              <w:pStyle w:val="Tabletextboldleft"/>
            </w:pPr>
            <w:r>
              <w:t>Justification</w:t>
            </w:r>
          </w:p>
        </w:tc>
      </w:tr>
      <w:tr w:rsidR="007F6723" w14:paraId="1F006C57" w14:textId="77777777" w:rsidTr="00181CF8">
        <w:tc>
          <w:tcPr>
            <w:tcW w:w="1620" w:type="pct"/>
          </w:tcPr>
          <w:p w14:paraId="7C54B11F" w14:textId="77777777" w:rsidR="007F6723" w:rsidRPr="00DE33B2" w:rsidRDefault="007F6723" w:rsidP="00181CF8">
            <w:pPr>
              <w:pStyle w:val="Tabletextcentred"/>
              <w:keepNext/>
              <w:jc w:val="left"/>
            </w:pPr>
            <w:r w:rsidRPr="00DE33B2">
              <w:t>Dementia incidence</w:t>
            </w:r>
          </w:p>
        </w:tc>
        <w:tc>
          <w:tcPr>
            <w:tcW w:w="1450" w:type="pct"/>
          </w:tcPr>
          <w:p w14:paraId="581BE281" w14:textId="77777777" w:rsidR="007F6723" w:rsidRPr="00DE33B2" w:rsidRDefault="007F6723" w:rsidP="00181CF8">
            <w:pPr>
              <w:pStyle w:val="Tabletextcentred"/>
              <w:keepNext/>
              <w:jc w:val="left"/>
            </w:pPr>
            <w:r w:rsidRPr="00DE33B2">
              <w:t>Access Economics, 2009 (Table 2.10)</w:t>
            </w:r>
          </w:p>
        </w:tc>
        <w:tc>
          <w:tcPr>
            <w:tcW w:w="1931" w:type="pct"/>
          </w:tcPr>
          <w:p w14:paraId="40CD4C99" w14:textId="77777777" w:rsidR="007F6723" w:rsidRPr="00DE33B2" w:rsidRDefault="007F6723" w:rsidP="00181CF8">
            <w:pPr>
              <w:pStyle w:val="Tabletextcentred"/>
              <w:keepNext/>
              <w:jc w:val="left"/>
            </w:pPr>
            <w:r>
              <w:t>Best available source of Australia-specific dementia incidence data, including projections for the years of interest in the analysis.</w:t>
            </w:r>
          </w:p>
        </w:tc>
      </w:tr>
      <w:tr w:rsidR="007F6723" w14:paraId="6FEA0AC8" w14:textId="77777777" w:rsidTr="00181CF8">
        <w:tc>
          <w:tcPr>
            <w:tcW w:w="1620" w:type="pct"/>
          </w:tcPr>
          <w:p w14:paraId="6E490884" w14:textId="77777777" w:rsidR="007F6723" w:rsidRPr="00462B7F" w:rsidRDefault="007F6723" w:rsidP="00181CF8">
            <w:pPr>
              <w:pStyle w:val="Tabletextcentred"/>
              <w:keepNext/>
              <w:jc w:val="left"/>
            </w:pPr>
            <w:r>
              <w:t>Proportion of dementia cases due to AD</w:t>
            </w:r>
          </w:p>
        </w:tc>
        <w:tc>
          <w:tcPr>
            <w:tcW w:w="1450" w:type="pct"/>
          </w:tcPr>
          <w:p w14:paraId="02D891AA" w14:textId="77777777" w:rsidR="007F6723" w:rsidRPr="00462B7F" w:rsidRDefault="007F6723" w:rsidP="00181CF8">
            <w:pPr>
              <w:pStyle w:val="Tabletextcentred"/>
              <w:keepNext/>
              <w:jc w:val="left"/>
            </w:pPr>
            <w:r>
              <w:t>Alzheimer’s Disease International (2014); supported by Kukull (2003)</w:t>
            </w:r>
          </w:p>
        </w:tc>
        <w:tc>
          <w:tcPr>
            <w:tcW w:w="1931" w:type="pct"/>
          </w:tcPr>
          <w:p w14:paraId="4958D4D7" w14:textId="77777777" w:rsidR="007F6723" w:rsidRPr="00462B7F" w:rsidRDefault="007F6723" w:rsidP="00181CF8">
            <w:pPr>
              <w:pStyle w:val="Tabletextcentred"/>
              <w:keepNext/>
              <w:jc w:val="left"/>
            </w:pPr>
            <w:r>
              <w:t>No Australia-specific estimate available. Best available source describing the proportion of dementia cases attributable to AD.</w:t>
            </w:r>
          </w:p>
        </w:tc>
      </w:tr>
      <w:tr w:rsidR="007F6723" w14:paraId="2D6B7714" w14:textId="77777777" w:rsidTr="00181CF8">
        <w:tc>
          <w:tcPr>
            <w:tcW w:w="1620" w:type="pct"/>
          </w:tcPr>
          <w:p w14:paraId="00AC80DD" w14:textId="77777777" w:rsidR="007F6723" w:rsidRDefault="007F6723" w:rsidP="00181CF8">
            <w:pPr>
              <w:pStyle w:val="Tabletextcentred"/>
              <w:keepNext/>
              <w:jc w:val="left"/>
            </w:pPr>
            <w:r>
              <w:t>Proportion of AD diagnoses made in Australia using SPECT</w:t>
            </w:r>
          </w:p>
        </w:tc>
        <w:tc>
          <w:tcPr>
            <w:tcW w:w="1450" w:type="pct"/>
          </w:tcPr>
          <w:p w14:paraId="74D84878" w14:textId="77777777" w:rsidR="007F6723" w:rsidRPr="00462B7F" w:rsidRDefault="007F6723" w:rsidP="00181CF8">
            <w:pPr>
              <w:pStyle w:val="Tabletextcentred"/>
              <w:keepNext/>
              <w:jc w:val="left"/>
            </w:pPr>
            <w:r>
              <w:t>Assumption</w:t>
            </w:r>
          </w:p>
        </w:tc>
        <w:tc>
          <w:tcPr>
            <w:tcW w:w="1931" w:type="pct"/>
          </w:tcPr>
          <w:p w14:paraId="2861078D" w14:textId="5CD2E867" w:rsidR="007F6723" w:rsidRPr="00462B7F" w:rsidRDefault="007F6723" w:rsidP="00181CF8">
            <w:pPr>
              <w:pStyle w:val="Tabletextcentred"/>
              <w:keepNext/>
              <w:jc w:val="left"/>
            </w:pPr>
            <w:r>
              <w:t>No data available</w:t>
            </w:r>
            <w:r w:rsidR="00550781">
              <w:t>.</w:t>
            </w:r>
          </w:p>
        </w:tc>
      </w:tr>
      <w:tr w:rsidR="007F6723" w14:paraId="1464EFF7" w14:textId="77777777" w:rsidTr="00181CF8">
        <w:tc>
          <w:tcPr>
            <w:tcW w:w="1620" w:type="pct"/>
          </w:tcPr>
          <w:p w14:paraId="0EC3FF5A" w14:textId="77777777" w:rsidR="007F6723" w:rsidRPr="00462B7F" w:rsidRDefault="007F6723" w:rsidP="00181CF8">
            <w:pPr>
              <w:pStyle w:val="Tabletextcentred"/>
              <w:keepNext/>
              <w:jc w:val="left"/>
            </w:pPr>
            <w:r>
              <w:t xml:space="preserve">Proportion of functional imaging in private hospitals </w:t>
            </w:r>
          </w:p>
        </w:tc>
        <w:tc>
          <w:tcPr>
            <w:tcW w:w="1450" w:type="pct"/>
          </w:tcPr>
          <w:p w14:paraId="1027E54F" w14:textId="77777777" w:rsidR="007F6723" w:rsidRPr="00462B7F" w:rsidRDefault="007F6723" w:rsidP="00181CF8">
            <w:pPr>
              <w:pStyle w:val="Tabletextcentred"/>
              <w:keepNext/>
              <w:jc w:val="left"/>
            </w:pPr>
            <w:r>
              <w:t>Assumption</w:t>
            </w:r>
          </w:p>
        </w:tc>
        <w:tc>
          <w:tcPr>
            <w:tcW w:w="1931" w:type="pct"/>
          </w:tcPr>
          <w:p w14:paraId="6594B15B" w14:textId="42E03D82" w:rsidR="007F6723" w:rsidRPr="00462B7F" w:rsidRDefault="007F6723" w:rsidP="00181CF8">
            <w:pPr>
              <w:pStyle w:val="Tabletextcentred"/>
              <w:keepNext/>
              <w:jc w:val="left"/>
            </w:pPr>
            <w:r>
              <w:t>No data available</w:t>
            </w:r>
            <w:r w:rsidR="00550781">
              <w:t>.</w:t>
            </w:r>
          </w:p>
        </w:tc>
      </w:tr>
      <w:tr w:rsidR="007F6723" w14:paraId="3AC6ECCB" w14:textId="77777777" w:rsidTr="00181CF8">
        <w:tc>
          <w:tcPr>
            <w:tcW w:w="1620" w:type="pct"/>
          </w:tcPr>
          <w:p w14:paraId="7F568C87" w14:textId="77777777" w:rsidR="007F6723" w:rsidRPr="00462B7F" w:rsidRDefault="007F6723" w:rsidP="00181CF8">
            <w:pPr>
              <w:pStyle w:val="Tabletextcentred"/>
              <w:keepNext/>
              <w:jc w:val="left"/>
            </w:pPr>
            <w:r>
              <w:t>Substitution from SPECT to FDG-PET over five-year period</w:t>
            </w:r>
          </w:p>
        </w:tc>
        <w:tc>
          <w:tcPr>
            <w:tcW w:w="1450" w:type="pct"/>
          </w:tcPr>
          <w:p w14:paraId="365A00EB" w14:textId="77777777" w:rsidR="007F6723" w:rsidRPr="00462B7F" w:rsidRDefault="007F6723" w:rsidP="00181CF8">
            <w:pPr>
              <w:pStyle w:val="Tabletextcentred"/>
              <w:keepNext/>
              <w:jc w:val="left"/>
            </w:pPr>
            <w:r>
              <w:t>Assumption</w:t>
            </w:r>
          </w:p>
        </w:tc>
        <w:tc>
          <w:tcPr>
            <w:tcW w:w="1931" w:type="pct"/>
          </w:tcPr>
          <w:p w14:paraId="35E2042C" w14:textId="656911FD" w:rsidR="007F6723" w:rsidRPr="00462B7F" w:rsidRDefault="007F6723" w:rsidP="00181CF8">
            <w:pPr>
              <w:pStyle w:val="Tabletextcentred"/>
              <w:keepNext/>
              <w:jc w:val="left"/>
            </w:pPr>
            <w:r>
              <w:t>No data available</w:t>
            </w:r>
            <w:r w:rsidR="00550781">
              <w:t>.</w:t>
            </w:r>
          </w:p>
        </w:tc>
      </w:tr>
      <w:tr w:rsidR="007F6723" w14:paraId="7781D217" w14:textId="77777777" w:rsidTr="00181CF8">
        <w:tc>
          <w:tcPr>
            <w:tcW w:w="1620" w:type="pct"/>
          </w:tcPr>
          <w:p w14:paraId="7C76F54B" w14:textId="77777777" w:rsidR="007F6723" w:rsidRDefault="007F6723" w:rsidP="00181CF8">
            <w:pPr>
              <w:pStyle w:val="Tabletextcentred"/>
              <w:keepNext/>
              <w:jc w:val="left"/>
            </w:pPr>
            <w:r>
              <w:t>Additional use of FDG-PET over use of SPECT in the event of a successful MBS listing</w:t>
            </w:r>
          </w:p>
        </w:tc>
        <w:tc>
          <w:tcPr>
            <w:tcW w:w="1450" w:type="pct"/>
          </w:tcPr>
          <w:p w14:paraId="7AAD3E5F" w14:textId="77777777" w:rsidR="007F6723" w:rsidRPr="00462B7F" w:rsidRDefault="007F6723" w:rsidP="00181CF8">
            <w:pPr>
              <w:pStyle w:val="Tabletextcentred"/>
              <w:keepNext/>
              <w:jc w:val="left"/>
            </w:pPr>
            <w:r>
              <w:t>Assumption</w:t>
            </w:r>
          </w:p>
        </w:tc>
        <w:tc>
          <w:tcPr>
            <w:tcW w:w="1931" w:type="pct"/>
          </w:tcPr>
          <w:p w14:paraId="633EB3BA" w14:textId="1609B1D4" w:rsidR="007F6723" w:rsidRPr="00462B7F" w:rsidRDefault="007F6723" w:rsidP="00181CF8">
            <w:pPr>
              <w:pStyle w:val="Tabletextcentred"/>
              <w:keepNext/>
              <w:jc w:val="left"/>
            </w:pPr>
            <w:r>
              <w:t>No data available</w:t>
            </w:r>
            <w:r w:rsidR="00550781">
              <w:t>.</w:t>
            </w:r>
          </w:p>
        </w:tc>
      </w:tr>
      <w:tr w:rsidR="007F6723" w14:paraId="78200248" w14:textId="77777777" w:rsidTr="00181CF8">
        <w:tc>
          <w:tcPr>
            <w:tcW w:w="1620" w:type="pct"/>
          </w:tcPr>
          <w:p w14:paraId="4A65AF4C" w14:textId="77777777" w:rsidR="007F6723" w:rsidRDefault="007F6723" w:rsidP="00181CF8">
            <w:pPr>
              <w:pStyle w:val="Tabletextcentred"/>
              <w:keepNext/>
              <w:jc w:val="left"/>
            </w:pPr>
            <w:r>
              <w:t>Additional positive diagnoses made with FDG-PET relative to SPECT</w:t>
            </w:r>
          </w:p>
        </w:tc>
        <w:tc>
          <w:tcPr>
            <w:tcW w:w="1450" w:type="pct"/>
          </w:tcPr>
          <w:p w14:paraId="3A02C2AA" w14:textId="77777777" w:rsidR="007F6723" w:rsidRDefault="007F6723" w:rsidP="00181CF8">
            <w:pPr>
              <w:pStyle w:val="Tabletextcentred"/>
              <w:keepNext/>
              <w:jc w:val="left"/>
            </w:pPr>
            <w:r>
              <w:t>Ito et al (2014) and D</w:t>
            </w:r>
            <w:r w:rsidRPr="008B1836">
              <w:rPr>
                <w:rFonts w:cs="Lucida Grande"/>
                <w:color w:val="000000"/>
              </w:rPr>
              <w:t>ö</w:t>
            </w:r>
            <w:r>
              <w:t>bert et al (2005)</w:t>
            </w:r>
          </w:p>
        </w:tc>
        <w:tc>
          <w:tcPr>
            <w:tcW w:w="1931" w:type="pct"/>
          </w:tcPr>
          <w:p w14:paraId="16F2B53F" w14:textId="77777777" w:rsidR="007F6723" w:rsidRDefault="007F6723" w:rsidP="00181CF8">
            <w:pPr>
              <w:pStyle w:val="Tabletextcentred"/>
              <w:keepNext/>
              <w:jc w:val="left"/>
            </w:pPr>
            <w:r>
              <w:t>Best available source of data, as described previously.</w:t>
            </w:r>
          </w:p>
        </w:tc>
      </w:tr>
      <w:tr w:rsidR="007F6723" w14:paraId="184E96EE" w14:textId="77777777" w:rsidTr="00181CF8">
        <w:tc>
          <w:tcPr>
            <w:tcW w:w="1620" w:type="pct"/>
          </w:tcPr>
          <w:p w14:paraId="7F048089" w14:textId="77777777" w:rsidR="007F6723" w:rsidRDefault="007F6723" w:rsidP="00181CF8">
            <w:pPr>
              <w:pStyle w:val="Tabletextcentred"/>
              <w:keepNext/>
              <w:jc w:val="left"/>
            </w:pPr>
            <w:r>
              <w:t>Daily cost of AChEIs (PBS) and memantine</w:t>
            </w:r>
          </w:p>
        </w:tc>
        <w:tc>
          <w:tcPr>
            <w:tcW w:w="1450" w:type="pct"/>
          </w:tcPr>
          <w:p w14:paraId="6AC3F5B0" w14:textId="77777777" w:rsidR="007F6723" w:rsidRDefault="007F6723" w:rsidP="00181CF8">
            <w:pPr>
              <w:pStyle w:val="Tabletextcentred"/>
              <w:keepNext/>
              <w:jc w:val="left"/>
            </w:pPr>
            <w:r>
              <w:t xml:space="preserve">Calculated (see Section </w:t>
            </w:r>
            <w:r>
              <w:fldChar w:fldCharType="begin"/>
            </w:r>
            <w:r>
              <w:instrText xml:space="preserve"> REF _Ref278641068 \n \h  \* MERGEFORMAT </w:instrText>
            </w:r>
            <w:r>
              <w:fldChar w:fldCharType="separate"/>
            </w:r>
            <w:r w:rsidR="00C67698">
              <w:t>C.7</w:t>
            </w:r>
            <w:r>
              <w:fldChar w:fldCharType="end"/>
            </w:r>
            <w:r>
              <w:t>)</w:t>
            </w:r>
          </w:p>
        </w:tc>
        <w:tc>
          <w:tcPr>
            <w:tcW w:w="1931" w:type="pct"/>
          </w:tcPr>
          <w:p w14:paraId="7AB54CC2" w14:textId="26162A72" w:rsidR="007F6723" w:rsidRDefault="007F6723" w:rsidP="00181CF8">
            <w:pPr>
              <w:pStyle w:val="Tabletextcentred"/>
              <w:keepNext/>
              <w:jc w:val="left"/>
            </w:pPr>
            <w:r>
              <w:t>Discussed in Section C</w:t>
            </w:r>
            <w:r w:rsidR="00550781">
              <w:t>.</w:t>
            </w:r>
          </w:p>
        </w:tc>
      </w:tr>
      <w:tr w:rsidR="007F6723" w14:paraId="6F06DD2F" w14:textId="77777777" w:rsidTr="00181CF8">
        <w:tc>
          <w:tcPr>
            <w:tcW w:w="1620" w:type="pct"/>
          </w:tcPr>
          <w:p w14:paraId="1A00E408" w14:textId="77777777" w:rsidR="007F6723" w:rsidRDefault="007F6723" w:rsidP="00181CF8">
            <w:pPr>
              <w:pStyle w:val="Tabletextcentred"/>
              <w:keepNext/>
              <w:jc w:val="left"/>
            </w:pPr>
            <w:r>
              <w:t>Average duration of AChEI treatment and memantine treatment</w:t>
            </w:r>
          </w:p>
        </w:tc>
        <w:tc>
          <w:tcPr>
            <w:tcW w:w="1450" w:type="pct"/>
          </w:tcPr>
          <w:p w14:paraId="2F38C9E5" w14:textId="77777777" w:rsidR="007F6723" w:rsidRDefault="007F6723" w:rsidP="00181CF8">
            <w:pPr>
              <w:pStyle w:val="Tabletextcentred"/>
              <w:keepNext/>
              <w:jc w:val="left"/>
            </w:pPr>
            <w:r>
              <w:t>Le Couteur (2011)</w:t>
            </w:r>
          </w:p>
        </w:tc>
        <w:tc>
          <w:tcPr>
            <w:tcW w:w="1931" w:type="pct"/>
          </w:tcPr>
          <w:p w14:paraId="30A61881" w14:textId="77777777" w:rsidR="007F6723" w:rsidRDefault="007F6723" w:rsidP="00181CF8">
            <w:pPr>
              <w:pStyle w:val="Tabletextcentred"/>
              <w:keepNext/>
              <w:jc w:val="left"/>
            </w:pPr>
            <w:r>
              <w:t>Only available source of Australia-specific data.</w:t>
            </w:r>
          </w:p>
        </w:tc>
      </w:tr>
    </w:tbl>
    <w:p w14:paraId="7560497C" w14:textId="452E29E0" w:rsidR="007F6723" w:rsidRPr="00414562" w:rsidRDefault="007F6723" w:rsidP="007F6723">
      <w:pPr>
        <w:pStyle w:val="Tablefootnotes"/>
      </w:pPr>
      <w:r w:rsidRPr="00F94D4D">
        <w:t>Abbreviations</w:t>
      </w:r>
      <w:r>
        <w:t>: AChEIs, acetylcholinesterase inhibitors; AD, Alzheimer’s disease; FDG-PET, flu</w:t>
      </w:r>
      <w:r w:rsidR="0038452F">
        <w:t>o</w:t>
      </w:r>
      <w:r>
        <w:t>rodeoxyglucose positron emission tomography; PBS, Pharmaceutical Benefits Schedule; SPECT, single-photon emission tomography</w:t>
      </w:r>
    </w:p>
    <w:p w14:paraId="09F00C2B" w14:textId="77777777" w:rsidR="007F6723" w:rsidRDefault="007F6723" w:rsidP="007F6723">
      <w:pPr>
        <w:pStyle w:val="Heading2"/>
      </w:pPr>
      <w:bookmarkStart w:id="289" w:name="_Toc406172444"/>
      <w:bookmarkStart w:id="290" w:name="_Toc408845188"/>
      <w:r>
        <w:t>Estimation of use and costs of the proposed medical service</w:t>
      </w:r>
      <w:bookmarkEnd w:id="289"/>
      <w:bookmarkEnd w:id="290"/>
    </w:p>
    <w:p w14:paraId="590F734F" w14:textId="77777777" w:rsidR="007F6723" w:rsidRDefault="007F6723" w:rsidP="007F6723">
      <w:r>
        <w:t>The estimated use of FDG-PET in the diagnosis of AD in the event of a successful listing on the MBS was estimated from the current use of SPECT for this purpose. Consequently, these are presented in turn below.</w:t>
      </w:r>
    </w:p>
    <w:p w14:paraId="40C7858D" w14:textId="7FB5E8A4" w:rsidR="007F6723" w:rsidRDefault="007F6723" w:rsidP="007F6723">
      <w:r>
        <w:t xml:space="preserve">As discussed previously, SPECT is currently available for reimbursement via the MBS for the diagnosis of AD. The MBS listing, however, is not confined to AD diagnosis, but is rather unlimited in scope (see the listing for MBS </w:t>
      </w:r>
      <w:r w:rsidR="00F67E7B">
        <w:t>i</w:t>
      </w:r>
      <w:r>
        <w:t>tem 61402 presented in Section A); it is used for diagnosis of AD but also for epilepsy, st</w:t>
      </w:r>
      <w:r w:rsidR="005569B0">
        <w:t>r</w:t>
      </w:r>
      <w:r>
        <w:t xml:space="preserve">oke, acute brain injury, etc. It was not possible, therefore, to estimate how many services are provided each year for the diagnosis of AD. </w:t>
      </w:r>
    </w:p>
    <w:p w14:paraId="415B429F" w14:textId="77777777" w:rsidR="007F6723" w:rsidRDefault="007F6723" w:rsidP="007F6723">
      <w:r>
        <w:t xml:space="preserve">Nonetheless, the use of MBS item 61402 is known (presented in </w:t>
      </w:r>
      <w:r>
        <w:fldChar w:fldCharType="begin"/>
      </w:r>
      <w:r>
        <w:instrText xml:space="preserve"> REF _Ref279755701 \h </w:instrText>
      </w:r>
      <w:r>
        <w:fldChar w:fldCharType="separate"/>
      </w:r>
      <w:r w:rsidR="00C67698">
        <w:t xml:space="preserve">Table </w:t>
      </w:r>
      <w:r w:rsidR="00C67698">
        <w:rPr>
          <w:noProof/>
        </w:rPr>
        <w:t>E.2</w:t>
      </w:r>
      <w:r w:rsidR="00C67698">
        <w:noBreakHyphen/>
      </w:r>
      <w:r w:rsidR="00C67698">
        <w:rPr>
          <w:noProof/>
        </w:rPr>
        <w:t>1</w:t>
      </w:r>
      <w:r>
        <w:fldChar w:fldCharType="end"/>
      </w:r>
      <w:r>
        <w:t>). This number serves as an absolute upper limit for the number of AD diagnoses made using SPECT and is referred to later in the analysis to ensure estimates derived are not outside the range of possibility.</w:t>
      </w:r>
    </w:p>
    <w:p w14:paraId="6517A3C7" w14:textId="4EAAA9B7" w:rsidR="007F6723" w:rsidRDefault="007F6723" w:rsidP="007F6723">
      <w:pPr>
        <w:pStyle w:val="Caption"/>
      </w:pPr>
      <w:bookmarkStart w:id="291" w:name="_Ref279755701"/>
      <w:bookmarkStart w:id="292" w:name="_Toc406172500"/>
      <w:bookmarkStart w:id="293" w:name="_Toc408845255"/>
      <w:r>
        <w:t xml:space="preserve">Table </w:t>
      </w:r>
      <w:fldSimple w:instr=" STYLEREF 2 \s ">
        <w:r w:rsidR="00C67698">
          <w:rPr>
            <w:noProof/>
          </w:rPr>
          <w:t>E.2</w:t>
        </w:r>
      </w:fldSimple>
      <w:r w:rsidR="00524916">
        <w:noBreakHyphen/>
      </w:r>
      <w:fldSimple w:instr=" SEQ Table \* ARABIC \s 2 ">
        <w:r w:rsidR="00C67698">
          <w:rPr>
            <w:noProof/>
          </w:rPr>
          <w:t>1</w:t>
        </w:r>
      </w:fldSimple>
      <w:bookmarkEnd w:id="291"/>
      <w:r>
        <w:tab/>
        <w:t>MBS SPECT use per calendar year</w:t>
      </w:r>
      <w:bookmarkEnd w:id="292"/>
      <w:bookmarkEnd w:id="293"/>
    </w:p>
    <w:tbl>
      <w:tblPr>
        <w:tblStyle w:val="TableGrid"/>
        <w:tblW w:w="4609" w:type="pct"/>
        <w:tblInd w:w="704" w:type="dxa"/>
        <w:tblLook w:val="04A0" w:firstRow="1" w:lastRow="0" w:firstColumn="1" w:lastColumn="0" w:noHBand="0" w:noVBand="1"/>
        <w:tblCaption w:val="MBS SPECT use per calendar year"/>
        <w:tblDescription w:val="The use of Medicare item 61402 from 2008 to 2013."/>
      </w:tblPr>
      <w:tblGrid>
        <w:gridCol w:w="1889"/>
        <w:gridCol w:w="1104"/>
        <w:gridCol w:w="1106"/>
        <w:gridCol w:w="1106"/>
        <w:gridCol w:w="1106"/>
        <w:gridCol w:w="1106"/>
        <w:gridCol w:w="1102"/>
      </w:tblGrid>
      <w:tr w:rsidR="007F6723" w14:paraId="07631455" w14:textId="77777777" w:rsidTr="00181CF8">
        <w:trPr>
          <w:tblHeader/>
        </w:trPr>
        <w:tc>
          <w:tcPr>
            <w:tcW w:w="1109" w:type="pct"/>
          </w:tcPr>
          <w:p w14:paraId="56F2F736" w14:textId="77777777" w:rsidR="007F6723" w:rsidRDefault="007F6723" w:rsidP="00181CF8">
            <w:pPr>
              <w:pStyle w:val="Tabletextboldleft"/>
              <w:tabs>
                <w:tab w:val="left" w:pos="1093"/>
              </w:tabs>
            </w:pPr>
          </w:p>
        </w:tc>
        <w:tc>
          <w:tcPr>
            <w:tcW w:w="648" w:type="pct"/>
          </w:tcPr>
          <w:p w14:paraId="4202BE5D" w14:textId="77777777" w:rsidR="007F6723" w:rsidRDefault="007F6723" w:rsidP="00181CF8">
            <w:pPr>
              <w:pStyle w:val="Tabletextboldleft"/>
              <w:jc w:val="right"/>
            </w:pPr>
            <w:r>
              <w:t>2008</w:t>
            </w:r>
          </w:p>
        </w:tc>
        <w:tc>
          <w:tcPr>
            <w:tcW w:w="649" w:type="pct"/>
          </w:tcPr>
          <w:p w14:paraId="7E4DD743" w14:textId="77777777" w:rsidR="007F6723" w:rsidRDefault="007F6723" w:rsidP="00181CF8">
            <w:pPr>
              <w:pStyle w:val="Tabletextboldleft"/>
              <w:jc w:val="right"/>
            </w:pPr>
            <w:r>
              <w:t>2009</w:t>
            </w:r>
          </w:p>
        </w:tc>
        <w:tc>
          <w:tcPr>
            <w:tcW w:w="649" w:type="pct"/>
          </w:tcPr>
          <w:p w14:paraId="0B48319C" w14:textId="77777777" w:rsidR="007F6723" w:rsidRDefault="007F6723" w:rsidP="00181CF8">
            <w:pPr>
              <w:pStyle w:val="Tabletextboldleft"/>
              <w:jc w:val="right"/>
            </w:pPr>
            <w:r>
              <w:t>2010</w:t>
            </w:r>
          </w:p>
        </w:tc>
        <w:tc>
          <w:tcPr>
            <w:tcW w:w="649" w:type="pct"/>
          </w:tcPr>
          <w:p w14:paraId="6BA3E258" w14:textId="77777777" w:rsidR="007F6723" w:rsidRDefault="007F6723" w:rsidP="00181CF8">
            <w:pPr>
              <w:pStyle w:val="Tabletextboldleft"/>
              <w:jc w:val="right"/>
            </w:pPr>
            <w:r>
              <w:t>2011</w:t>
            </w:r>
          </w:p>
        </w:tc>
        <w:tc>
          <w:tcPr>
            <w:tcW w:w="649" w:type="pct"/>
          </w:tcPr>
          <w:p w14:paraId="092F3E69" w14:textId="77777777" w:rsidR="007F6723" w:rsidRDefault="007F6723" w:rsidP="00181CF8">
            <w:pPr>
              <w:pStyle w:val="Tabletextboldleft"/>
              <w:jc w:val="right"/>
            </w:pPr>
            <w:r>
              <w:t>2012</w:t>
            </w:r>
          </w:p>
        </w:tc>
        <w:tc>
          <w:tcPr>
            <w:tcW w:w="649" w:type="pct"/>
          </w:tcPr>
          <w:p w14:paraId="747A001B" w14:textId="77777777" w:rsidR="007F6723" w:rsidRDefault="007F6723" w:rsidP="00181CF8">
            <w:pPr>
              <w:pStyle w:val="Tabletextboldleft"/>
              <w:jc w:val="right"/>
            </w:pPr>
            <w:r>
              <w:t>2013</w:t>
            </w:r>
          </w:p>
        </w:tc>
      </w:tr>
      <w:tr w:rsidR="007F6723" w14:paraId="66B65D9A" w14:textId="77777777" w:rsidTr="00181CF8">
        <w:tc>
          <w:tcPr>
            <w:tcW w:w="1109" w:type="pct"/>
          </w:tcPr>
          <w:p w14:paraId="7F0FB28E" w14:textId="77777777" w:rsidR="007F6723" w:rsidRPr="004D057E" w:rsidRDefault="007F6723" w:rsidP="00181CF8">
            <w:pPr>
              <w:pStyle w:val="Tabletextcentred"/>
              <w:keepNext/>
              <w:jc w:val="left"/>
            </w:pPr>
            <w:r>
              <w:t>Medicare items processed (MBS Item 61402)</w:t>
            </w:r>
          </w:p>
        </w:tc>
        <w:tc>
          <w:tcPr>
            <w:tcW w:w="648" w:type="pct"/>
            <w:vAlign w:val="center"/>
          </w:tcPr>
          <w:p w14:paraId="1841DBD6" w14:textId="77777777" w:rsidR="007F6723" w:rsidRPr="00DE33B2" w:rsidRDefault="007F6723" w:rsidP="00181CF8">
            <w:pPr>
              <w:pStyle w:val="Tabletextcentred"/>
              <w:keepNext/>
              <w:jc w:val="right"/>
            </w:pPr>
            <w:r>
              <w:t>2871</w:t>
            </w:r>
          </w:p>
        </w:tc>
        <w:tc>
          <w:tcPr>
            <w:tcW w:w="649" w:type="pct"/>
            <w:vAlign w:val="center"/>
          </w:tcPr>
          <w:p w14:paraId="319B6A19" w14:textId="77777777" w:rsidR="007F6723" w:rsidRDefault="007F6723" w:rsidP="00181CF8">
            <w:pPr>
              <w:pStyle w:val="Tabletextcentred"/>
              <w:keepNext/>
              <w:jc w:val="right"/>
            </w:pPr>
            <w:r>
              <w:t>3898</w:t>
            </w:r>
          </w:p>
        </w:tc>
        <w:tc>
          <w:tcPr>
            <w:tcW w:w="649" w:type="pct"/>
            <w:vAlign w:val="center"/>
          </w:tcPr>
          <w:p w14:paraId="32421441" w14:textId="77777777" w:rsidR="007F6723" w:rsidRDefault="007F6723" w:rsidP="00181CF8">
            <w:pPr>
              <w:pStyle w:val="Tabletextcentred"/>
              <w:keepNext/>
              <w:jc w:val="right"/>
            </w:pPr>
            <w:r>
              <w:t>3905</w:t>
            </w:r>
          </w:p>
        </w:tc>
        <w:tc>
          <w:tcPr>
            <w:tcW w:w="649" w:type="pct"/>
            <w:vAlign w:val="center"/>
          </w:tcPr>
          <w:p w14:paraId="2C0FCCEB" w14:textId="77777777" w:rsidR="007F6723" w:rsidRDefault="007F6723" w:rsidP="00181CF8">
            <w:pPr>
              <w:pStyle w:val="Tabletextcentred"/>
              <w:keepNext/>
              <w:jc w:val="right"/>
            </w:pPr>
            <w:r>
              <w:t>4043</w:t>
            </w:r>
          </w:p>
        </w:tc>
        <w:tc>
          <w:tcPr>
            <w:tcW w:w="649" w:type="pct"/>
            <w:vAlign w:val="center"/>
          </w:tcPr>
          <w:p w14:paraId="75351BE6" w14:textId="77777777" w:rsidR="007F6723" w:rsidRDefault="007F6723" w:rsidP="00181CF8">
            <w:pPr>
              <w:pStyle w:val="Tabletextcentred"/>
              <w:keepNext/>
              <w:jc w:val="right"/>
            </w:pPr>
            <w:r>
              <w:t>4685</w:t>
            </w:r>
          </w:p>
        </w:tc>
        <w:tc>
          <w:tcPr>
            <w:tcW w:w="649" w:type="pct"/>
            <w:vAlign w:val="center"/>
          </w:tcPr>
          <w:p w14:paraId="117C402B" w14:textId="77777777" w:rsidR="007F6723" w:rsidRPr="00DE33B2" w:rsidRDefault="007F6723" w:rsidP="00181CF8">
            <w:pPr>
              <w:pStyle w:val="Tabletextcentred"/>
              <w:keepNext/>
              <w:jc w:val="right"/>
            </w:pPr>
            <w:r>
              <w:t>5090</w:t>
            </w:r>
          </w:p>
        </w:tc>
      </w:tr>
    </w:tbl>
    <w:p w14:paraId="7D31CEAF" w14:textId="77777777" w:rsidR="007F6723" w:rsidRDefault="007F6723" w:rsidP="007F6723">
      <w:pPr>
        <w:pStyle w:val="Tablefootnotes"/>
        <w:keepNext/>
      </w:pPr>
      <w:r w:rsidRPr="00F94D4D">
        <w:t>Abbreviations</w:t>
      </w:r>
      <w:r>
        <w:t>: MBS, Medicare Benefits Schedule; SPECT, single-photon emission tomography</w:t>
      </w:r>
    </w:p>
    <w:p w14:paraId="7AD3056F" w14:textId="534F231A" w:rsidR="007F6723" w:rsidRDefault="007F6723" w:rsidP="007F6723">
      <w:pPr>
        <w:pStyle w:val="Tablefootnotes"/>
      </w:pPr>
      <w:r>
        <w:t xml:space="preserve">Source: </w:t>
      </w:r>
      <w:hyperlink r:id="rId34" w:history="1">
        <w:r w:rsidR="004A62A8">
          <w:rPr>
            <w:rStyle w:val="Hyperlink"/>
          </w:rPr>
          <w:t>Medicare Australia statistics</w:t>
        </w:r>
      </w:hyperlink>
      <w:r>
        <w:t xml:space="preserve"> (accessed December 6th, 2014)</w:t>
      </w:r>
    </w:p>
    <w:p w14:paraId="0C8468E4" w14:textId="5A84E5D1" w:rsidR="007F6723" w:rsidRDefault="007F6723" w:rsidP="007F6723">
      <w:r>
        <w:lastRenderedPageBreak/>
        <w:t>Access Economics (2009) provides projected estimates of Australian dementia incidence from 2009 to 2050. Data were estimated on the basis of gender, with base case projections provided alongside both a ‘low case’ and ‘high ca</w:t>
      </w:r>
      <w:r w:rsidR="005569B0">
        <w:t>s</w:t>
      </w:r>
      <w:r>
        <w:t xml:space="preserve">e’ projection. The (all persons) estimates for the five years from 2015 are presented in </w:t>
      </w:r>
      <w:r>
        <w:fldChar w:fldCharType="begin"/>
      </w:r>
      <w:r>
        <w:instrText xml:space="preserve"> REF _Ref279756327 \h </w:instrText>
      </w:r>
      <w:r>
        <w:fldChar w:fldCharType="separate"/>
      </w:r>
      <w:r w:rsidR="00C67698">
        <w:t xml:space="preserve">Table </w:t>
      </w:r>
      <w:r w:rsidR="00C67698">
        <w:rPr>
          <w:noProof/>
        </w:rPr>
        <w:t>E.2</w:t>
      </w:r>
      <w:r w:rsidR="00C67698">
        <w:noBreakHyphen/>
      </w:r>
      <w:r w:rsidR="00C67698">
        <w:rPr>
          <w:noProof/>
        </w:rPr>
        <w:t>2</w:t>
      </w:r>
      <w:r>
        <w:fldChar w:fldCharType="end"/>
      </w:r>
      <w:r>
        <w:t>. The base case projection is applied in the present analysis.</w:t>
      </w:r>
    </w:p>
    <w:p w14:paraId="4EB8A627" w14:textId="5AEC75E1" w:rsidR="007F6723" w:rsidRDefault="007F6723" w:rsidP="007F6723">
      <w:pPr>
        <w:pStyle w:val="Caption"/>
      </w:pPr>
      <w:bookmarkStart w:id="294" w:name="_Ref279756327"/>
      <w:bookmarkStart w:id="295" w:name="_Toc406172501"/>
      <w:bookmarkStart w:id="296" w:name="_Toc408845256"/>
      <w:r>
        <w:t xml:space="preserve">Table </w:t>
      </w:r>
      <w:fldSimple w:instr=" STYLEREF 2 \s ">
        <w:r w:rsidR="00C67698">
          <w:rPr>
            <w:noProof/>
          </w:rPr>
          <w:t>E.2</w:t>
        </w:r>
      </w:fldSimple>
      <w:r w:rsidR="00524916">
        <w:noBreakHyphen/>
      </w:r>
      <w:fldSimple w:instr=" SEQ Table \* ARABIC \s 2 ">
        <w:r w:rsidR="00C67698">
          <w:rPr>
            <w:noProof/>
          </w:rPr>
          <w:t>2</w:t>
        </w:r>
      </w:fldSimple>
      <w:bookmarkEnd w:id="294"/>
      <w:r>
        <w:tab/>
        <w:t>Total Australian dementia incidence projections by scenario</w:t>
      </w:r>
      <w:bookmarkEnd w:id="295"/>
      <w:bookmarkEnd w:id="296"/>
    </w:p>
    <w:tbl>
      <w:tblPr>
        <w:tblStyle w:val="TableGrid"/>
        <w:tblW w:w="4610" w:type="pct"/>
        <w:tblInd w:w="704" w:type="dxa"/>
        <w:tblLook w:val="04A0" w:firstRow="1" w:lastRow="0" w:firstColumn="1" w:lastColumn="0" w:noHBand="0" w:noVBand="1"/>
        <w:tblCaption w:val="The projected incidence of dementia in Australia"/>
        <w:tblDescription w:val="Three estimates (base case, low case, high case) of the projected incidence of dementia in Australia from 2015 to 2019. "/>
      </w:tblPr>
      <w:tblGrid>
        <w:gridCol w:w="1891"/>
        <w:gridCol w:w="1326"/>
        <w:gridCol w:w="1326"/>
        <w:gridCol w:w="1326"/>
        <w:gridCol w:w="1326"/>
        <w:gridCol w:w="1326"/>
      </w:tblGrid>
      <w:tr w:rsidR="007F6723" w14:paraId="594889F5" w14:textId="77777777" w:rsidTr="00181CF8">
        <w:trPr>
          <w:tblHeader/>
        </w:trPr>
        <w:tc>
          <w:tcPr>
            <w:tcW w:w="1109" w:type="pct"/>
          </w:tcPr>
          <w:p w14:paraId="1CCB1045" w14:textId="77777777" w:rsidR="007F6723" w:rsidRDefault="007F6723" w:rsidP="00181CF8">
            <w:pPr>
              <w:pStyle w:val="Tabletextboldleft"/>
              <w:jc w:val="right"/>
            </w:pPr>
          </w:p>
        </w:tc>
        <w:tc>
          <w:tcPr>
            <w:tcW w:w="778" w:type="pct"/>
          </w:tcPr>
          <w:p w14:paraId="353BE256" w14:textId="77777777" w:rsidR="007F6723" w:rsidRDefault="007F6723" w:rsidP="00181CF8">
            <w:pPr>
              <w:pStyle w:val="Tabletextboldleft"/>
              <w:jc w:val="right"/>
            </w:pPr>
            <w:r>
              <w:t>2015</w:t>
            </w:r>
          </w:p>
        </w:tc>
        <w:tc>
          <w:tcPr>
            <w:tcW w:w="778" w:type="pct"/>
          </w:tcPr>
          <w:p w14:paraId="5566CAB8" w14:textId="77777777" w:rsidR="007F6723" w:rsidRDefault="007F6723" w:rsidP="00181CF8">
            <w:pPr>
              <w:pStyle w:val="Tabletextboldleft"/>
              <w:jc w:val="right"/>
            </w:pPr>
            <w:r>
              <w:t>2016</w:t>
            </w:r>
          </w:p>
        </w:tc>
        <w:tc>
          <w:tcPr>
            <w:tcW w:w="778" w:type="pct"/>
          </w:tcPr>
          <w:p w14:paraId="637BC7A3" w14:textId="77777777" w:rsidR="007F6723" w:rsidRDefault="007F6723" w:rsidP="00181CF8">
            <w:pPr>
              <w:pStyle w:val="Tabletextboldleft"/>
              <w:jc w:val="right"/>
            </w:pPr>
            <w:r>
              <w:t>2017</w:t>
            </w:r>
          </w:p>
        </w:tc>
        <w:tc>
          <w:tcPr>
            <w:tcW w:w="778" w:type="pct"/>
          </w:tcPr>
          <w:p w14:paraId="1EA6AD68" w14:textId="77777777" w:rsidR="007F6723" w:rsidRDefault="007F6723" w:rsidP="00181CF8">
            <w:pPr>
              <w:pStyle w:val="Tabletextboldleft"/>
              <w:jc w:val="right"/>
            </w:pPr>
            <w:r>
              <w:t>2018</w:t>
            </w:r>
          </w:p>
        </w:tc>
        <w:tc>
          <w:tcPr>
            <w:tcW w:w="778" w:type="pct"/>
          </w:tcPr>
          <w:p w14:paraId="7B57258D" w14:textId="77777777" w:rsidR="007F6723" w:rsidRDefault="007F6723" w:rsidP="00181CF8">
            <w:pPr>
              <w:pStyle w:val="Tabletextboldleft"/>
              <w:jc w:val="right"/>
            </w:pPr>
            <w:r>
              <w:t>2019</w:t>
            </w:r>
          </w:p>
        </w:tc>
      </w:tr>
      <w:tr w:rsidR="007F6723" w14:paraId="11D1FF59" w14:textId="77777777" w:rsidTr="00181CF8">
        <w:tc>
          <w:tcPr>
            <w:tcW w:w="1109" w:type="pct"/>
          </w:tcPr>
          <w:p w14:paraId="4EE16008" w14:textId="77777777" w:rsidR="007F6723" w:rsidRPr="004D057E" w:rsidRDefault="007F6723" w:rsidP="00181CF8">
            <w:pPr>
              <w:pStyle w:val="Tabletextcentred"/>
              <w:keepNext/>
              <w:jc w:val="left"/>
            </w:pPr>
            <w:r>
              <w:t>Base case projection</w:t>
            </w:r>
          </w:p>
        </w:tc>
        <w:tc>
          <w:tcPr>
            <w:tcW w:w="778" w:type="pct"/>
          </w:tcPr>
          <w:p w14:paraId="372DFF8E" w14:textId="77777777" w:rsidR="007F6723" w:rsidRDefault="007F6723" w:rsidP="00181CF8">
            <w:pPr>
              <w:pStyle w:val="Tabletextcentred"/>
              <w:keepNext/>
              <w:jc w:val="right"/>
            </w:pPr>
            <w:r>
              <w:t>94,453</w:t>
            </w:r>
          </w:p>
        </w:tc>
        <w:tc>
          <w:tcPr>
            <w:tcW w:w="778" w:type="pct"/>
          </w:tcPr>
          <w:p w14:paraId="7AB1AC98" w14:textId="77777777" w:rsidR="007F6723" w:rsidRDefault="007F6723" w:rsidP="00181CF8">
            <w:pPr>
              <w:pStyle w:val="Tabletextcentred"/>
              <w:keepNext/>
              <w:jc w:val="right"/>
            </w:pPr>
            <w:r>
              <w:t>99,107</w:t>
            </w:r>
          </w:p>
        </w:tc>
        <w:tc>
          <w:tcPr>
            <w:tcW w:w="778" w:type="pct"/>
          </w:tcPr>
          <w:p w14:paraId="0D374466" w14:textId="77777777" w:rsidR="007F6723" w:rsidRDefault="007F6723" w:rsidP="00181CF8">
            <w:pPr>
              <w:pStyle w:val="Tabletextcentred"/>
              <w:keepNext/>
              <w:jc w:val="right"/>
            </w:pPr>
            <w:r>
              <w:t>103,932</w:t>
            </w:r>
          </w:p>
        </w:tc>
        <w:tc>
          <w:tcPr>
            <w:tcW w:w="778" w:type="pct"/>
          </w:tcPr>
          <w:p w14:paraId="1C47B63A" w14:textId="77777777" w:rsidR="007F6723" w:rsidRDefault="007F6723" w:rsidP="00181CF8">
            <w:pPr>
              <w:pStyle w:val="Tabletextcentred"/>
              <w:keepNext/>
              <w:jc w:val="right"/>
            </w:pPr>
            <w:r>
              <w:t>108,044</w:t>
            </w:r>
          </w:p>
        </w:tc>
        <w:tc>
          <w:tcPr>
            <w:tcW w:w="778" w:type="pct"/>
            <w:vAlign w:val="center"/>
          </w:tcPr>
          <w:p w14:paraId="06269941" w14:textId="77777777" w:rsidR="007F6723" w:rsidRPr="00DE33B2" w:rsidRDefault="007F6723" w:rsidP="00181CF8">
            <w:pPr>
              <w:pStyle w:val="Tabletextcentred"/>
              <w:keepNext/>
              <w:jc w:val="right"/>
            </w:pPr>
            <w:r>
              <w:t>112,896</w:t>
            </w:r>
          </w:p>
        </w:tc>
      </w:tr>
      <w:tr w:rsidR="007F6723" w14:paraId="7708FB36" w14:textId="77777777" w:rsidTr="00181CF8">
        <w:tc>
          <w:tcPr>
            <w:tcW w:w="1109" w:type="pct"/>
          </w:tcPr>
          <w:p w14:paraId="403DBDAB" w14:textId="77777777" w:rsidR="007F6723" w:rsidRDefault="007F6723" w:rsidP="00181CF8">
            <w:pPr>
              <w:pStyle w:val="Tabletextcentred"/>
              <w:keepNext/>
              <w:jc w:val="left"/>
            </w:pPr>
            <w:r>
              <w:t>Low case projection</w:t>
            </w:r>
          </w:p>
        </w:tc>
        <w:tc>
          <w:tcPr>
            <w:tcW w:w="778" w:type="pct"/>
          </w:tcPr>
          <w:p w14:paraId="1BA215C6" w14:textId="77777777" w:rsidR="007F6723" w:rsidRDefault="007F6723" w:rsidP="00181CF8">
            <w:pPr>
              <w:pStyle w:val="Tabletextcentred"/>
              <w:keepNext/>
              <w:jc w:val="right"/>
            </w:pPr>
            <w:r>
              <w:t>93,319</w:t>
            </w:r>
          </w:p>
        </w:tc>
        <w:tc>
          <w:tcPr>
            <w:tcW w:w="778" w:type="pct"/>
          </w:tcPr>
          <w:p w14:paraId="342A1FCD" w14:textId="77777777" w:rsidR="007F6723" w:rsidRDefault="007F6723" w:rsidP="00181CF8">
            <w:pPr>
              <w:pStyle w:val="Tabletextcentred"/>
              <w:keepNext/>
              <w:jc w:val="right"/>
            </w:pPr>
            <w:r>
              <w:t>97,683</w:t>
            </w:r>
          </w:p>
        </w:tc>
        <w:tc>
          <w:tcPr>
            <w:tcW w:w="778" w:type="pct"/>
          </w:tcPr>
          <w:p w14:paraId="4F12D144" w14:textId="77777777" w:rsidR="007F6723" w:rsidRDefault="007F6723" w:rsidP="00181CF8">
            <w:pPr>
              <w:pStyle w:val="Tabletextcentred"/>
              <w:keepNext/>
              <w:jc w:val="right"/>
            </w:pPr>
            <w:r>
              <w:t>102,294</w:t>
            </w:r>
          </w:p>
        </w:tc>
        <w:tc>
          <w:tcPr>
            <w:tcW w:w="778" w:type="pct"/>
          </w:tcPr>
          <w:p w14:paraId="1FF2F6B8" w14:textId="77777777" w:rsidR="007F6723" w:rsidRDefault="007F6723" w:rsidP="00181CF8">
            <w:pPr>
              <w:pStyle w:val="Tabletextcentred"/>
              <w:keepNext/>
              <w:jc w:val="right"/>
            </w:pPr>
            <w:r>
              <w:t>106,185</w:t>
            </w:r>
          </w:p>
        </w:tc>
        <w:tc>
          <w:tcPr>
            <w:tcW w:w="778" w:type="pct"/>
            <w:vAlign w:val="center"/>
          </w:tcPr>
          <w:p w14:paraId="46EFC297" w14:textId="77777777" w:rsidR="007F6723" w:rsidRDefault="007F6723" w:rsidP="00181CF8">
            <w:pPr>
              <w:pStyle w:val="Tabletextcentred"/>
              <w:keepNext/>
              <w:jc w:val="right"/>
            </w:pPr>
            <w:r>
              <w:t>110,795</w:t>
            </w:r>
          </w:p>
        </w:tc>
      </w:tr>
      <w:tr w:rsidR="007F6723" w14:paraId="06E9353A" w14:textId="77777777" w:rsidTr="00181CF8">
        <w:tc>
          <w:tcPr>
            <w:tcW w:w="1109" w:type="pct"/>
          </w:tcPr>
          <w:p w14:paraId="2E9A3716" w14:textId="77777777" w:rsidR="007F6723" w:rsidRDefault="007F6723" w:rsidP="00181CF8">
            <w:pPr>
              <w:pStyle w:val="Tabletextcentred"/>
              <w:keepNext/>
              <w:jc w:val="left"/>
            </w:pPr>
            <w:r>
              <w:t>High case projection</w:t>
            </w:r>
          </w:p>
        </w:tc>
        <w:tc>
          <w:tcPr>
            <w:tcW w:w="778" w:type="pct"/>
          </w:tcPr>
          <w:p w14:paraId="6D401331" w14:textId="77777777" w:rsidR="007F6723" w:rsidRDefault="007F6723" w:rsidP="00181CF8">
            <w:pPr>
              <w:pStyle w:val="Tabletextcentred"/>
              <w:keepNext/>
              <w:jc w:val="right"/>
            </w:pPr>
            <w:r>
              <w:t>98,269</w:t>
            </w:r>
          </w:p>
        </w:tc>
        <w:tc>
          <w:tcPr>
            <w:tcW w:w="778" w:type="pct"/>
          </w:tcPr>
          <w:p w14:paraId="4E2D3496" w14:textId="77777777" w:rsidR="007F6723" w:rsidRDefault="007F6723" w:rsidP="00181CF8">
            <w:pPr>
              <w:pStyle w:val="Tabletextcentred"/>
              <w:keepNext/>
              <w:jc w:val="right"/>
            </w:pPr>
            <w:r>
              <w:t>103,353</w:t>
            </w:r>
          </w:p>
        </w:tc>
        <w:tc>
          <w:tcPr>
            <w:tcW w:w="778" w:type="pct"/>
          </w:tcPr>
          <w:p w14:paraId="37474D03" w14:textId="77777777" w:rsidR="007F6723" w:rsidRDefault="007F6723" w:rsidP="00181CF8">
            <w:pPr>
              <w:pStyle w:val="Tabletextcentred"/>
              <w:keepNext/>
              <w:jc w:val="right"/>
            </w:pPr>
            <w:r>
              <w:t>108,725</w:t>
            </w:r>
          </w:p>
        </w:tc>
        <w:tc>
          <w:tcPr>
            <w:tcW w:w="778" w:type="pct"/>
          </w:tcPr>
          <w:p w14:paraId="456242DB" w14:textId="77777777" w:rsidR="007F6723" w:rsidRDefault="007F6723" w:rsidP="00181CF8">
            <w:pPr>
              <w:pStyle w:val="Tabletextcentred"/>
              <w:keepNext/>
              <w:jc w:val="right"/>
            </w:pPr>
            <w:r>
              <w:t>113,223</w:t>
            </w:r>
          </w:p>
        </w:tc>
        <w:tc>
          <w:tcPr>
            <w:tcW w:w="778" w:type="pct"/>
            <w:vAlign w:val="center"/>
          </w:tcPr>
          <w:p w14:paraId="65ABB26F" w14:textId="77777777" w:rsidR="007F6723" w:rsidRDefault="007F6723" w:rsidP="00181CF8">
            <w:pPr>
              <w:pStyle w:val="Tabletextcentred"/>
              <w:keepNext/>
              <w:jc w:val="right"/>
            </w:pPr>
            <w:r>
              <w:t>118,587</w:t>
            </w:r>
          </w:p>
        </w:tc>
      </w:tr>
    </w:tbl>
    <w:p w14:paraId="3BABB0F0" w14:textId="77777777" w:rsidR="007F6723" w:rsidRDefault="007F6723" w:rsidP="007F6723">
      <w:pPr>
        <w:pStyle w:val="Tablefootnotes"/>
      </w:pPr>
      <w:r>
        <w:t>Source: Access Economics (2009), Table 2.10</w:t>
      </w:r>
    </w:p>
    <w:p w14:paraId="44AFA9E0" w14:textId="77777777" w:rsidR="007F6723" w:rsidRDefault="007F6723" w:rsidP="007F6723">
      <w:r>
        <w:t xml:space="preserve">The data in </w:t>
      </w:r>
      <w:r>
        <w:fldChar w:fldCharType="begin"/>
      </w:r>
      <w:r>
        <w:instrText xml:space="preserve"> REF _Ref279756327 \h </w:instrText>
      </w:r>
      <w:r>
        <w:fldChar w:fldCharType="separate"/>
      </w:r>
      <w:r w:rsidR="00C67698">
        <w:t xml:space="preserve">Table </w:t>
      </w:r>
      <w:r w:rsidR="00C67698">
        <w:rPr>
          <w:noProof/>
        </w:rPr>
        <w:t>E.2</w:t>
      </w:r>
      <w:r w:rsidR="00C67698">
        <w:noBreakHyphen/>
      </w:r>
      <w:r w:rsidR="00C67698">
        <w:rPr>
          <w:noProof/>
        </w:rPr>
        <w:t>2</w:t>
      </w:r>
      <w:r>
        <w:fldChar w:fldCharType="end"/>
      </w:r>
      <w:r>
        <w:t xml:space="preserve">, relate to dementia rather than AD specifically. No Australian data relevant to the population of interest could be sourced to estimate the appropriate incidence of AD. It has been suggested, however, that 50%-75% of dementia is attributable to AD globally (Alzheimer’s Disease International, 2014). Examination of incidence and prevalence data would suggest that this might vary with age (see Waite et al, 2001, which shows increasing AD incidence with age). </w:t>
      </w:r>
    </w:p>
    <w:p w14:paraId="2214C32E" w14:textId="77777777" w:rsidR="007F6723" w:rsidRDefault="007F6723" w:rsidP="007F6723">
      <w:r>
        <w:t xml:space="preserve">Despite this, it is not possible to know where the eligible population is likely to fit within this 50%-75% range, as it is not possible to know at this stage whether SPECT (or FDG-PET) is likely to be used in younger or older individuals. Considering, in conjunction with the low incidence in younger individuals, that the mean start age applied to the economic model was 72.4 years (on the basis of Wood et al, 2010), it would be reasonable to expect that both SPECT and FDG-PET are more likely to be used in an older population. </w:t>
      </w:r>
    </w:p>
    <w:p w14:paraId="11907628" w14:textId="77777777" w:rsidR="007F6723" w:rsidRDefault="007F6723" w:rsidP="007F6723">
      <w:r>
        <w:t>For this reason, the analysis applied an assumption that 70% of dementia cases are due to AD. This assumption was based on the proportion observed in a population of individuals aged 65 years and above in a US study (Kukull et al, 2002).</w:t>
      </w:r>
    </w:p>
    <w:p w14:paraId="6E11AA14" w14:textId="3F8D16EE" w:rsidR="007F6723" w:rsidRDefault="007F6723" w:rsidP="007F6723">
      <w:r>
        <w:t>Additionally, it was acknowledged that the use of SPECT in diagnosis of AD is rare. As described previously, SPECT is used only in cases of suspected AD where other method</w:t>
      </w:r>
      <w:r w:rsidR="00823EDE">
        <w:t>s</w:t>
      </w:r>
      <w:r>
        <w:t xml:space="preserve"> of diagnosis have been inconclusive (including basic screening, blood tests, clinical evaluations, MRI, etc.). While there are no data available to suggest what proportion of attempted AD diagnoses are made on the basis of SPECT, it was assumed that SPECT is used in only 5% of cases.</w:t>
      </w:r>
    </w:p>
    <w:p w14:paraId="36B6C165" w14:textId="77777777" w:rsidR="007F6723" w:rsidRDefault="007F6723" w:rsidP="007F6723">
      <w:r>
        <w:t xml:space="preserve">On the basis of the approach described above, the base case expected use of SPECT in diagnosing AD (in the event of no listing for FDG-PET) for the five years from 2015 is presented in </w:t>
      </w: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r>
        <w:t xml:space="preserve">. Note that the 2015 estimate is well below the last available estimate from 2013 presented in </w:t>
      </w:r>
      <w:r>
        <w:fldChar w:fldCharType="begin"/>
      </w:r>
      <w:r>
        <w:instrText xml:space="preserve"> REF _Ref279755701 \h </w:instrText>
      </w:r>
      <w:r>
        <w:fldChar w:fldCharType="separate"/>
      </w:r>
      <w:r w:rsidR="00C67698">
        <w:t xml:space="preserve">Table </w:t>
      </w:r>
      <w:r w:rsidR="00C67698">
        <w:rPr>
          <w:noProof/>
        </w:rPr>
        <w:t>E.2</w:t>
      </w:r>
      <w:r w:rsidR="00C67698">
        <w:noBreakHyphen/>
      </w:r>
      <w:r w:rsidR="00C67698">
        <w:rPr>
          <w:noProof/>
        </w:rPr>
        <w:t>1</w:t>
      </w:r>
      <w:r>
        <w:fldChar w:fldCharType="end"/>
      </w:r>
      <w:r>
        <w:t>. Representing under one-third of all use of MBS item 61402, this would appear reasonable, given the availability of this MBS service for a broad range of use.</w:t>
      </w:r>
    </w:p>
    <w:p w14:paraId="1C260A8C" w14:textId="3495560B" w:rsidR="007F6723" w:rsidRDefault="007F6723" w:rsidP="007F6723">
      <w:pPr>
        <w:pStyle w:val="Caption"/>
      </w:pPr>
      <w:bookmarkStart w:id="297" w:name="_Ref279758611"/>
      <w:bookmarkStart w:id="298" w:name="_Toc406172502"/>
      <w:bookmarkStart w:id="299" w:name="_Toc408845257"/>
      <w:r>
        <w:lastRenderedPageBreak/>
        <w:t xml:space="preserve">Table </w:t>
      </w:r>
      <w:fldSimple w:instr=" STYLEREF 2 \s ">
        <w:r w:rsidR="00C67698">
          <w:rPr>
            <w:noProof/>
          </w:rPr>
          <w:t>E.2</w:t>
        </w:r>
      </w:fldSimple>
      <w:r w:rsidR="00524916">
        <w:noBreakHyphen/>
      </w:r>
      <w:fldSimple w:instr=" SEQ Table \* ARABIC \s 2 ">
        <w:r w:rsidR="00C67698">
          <w:rPr>
            <w:noProof/>
          </w:rPr>
          <w:t>3</w:t>
        </w:r>
      </w:fldSimple>
      <w:bookmarkEnd w:id="297"/>
      <w:r>
        <w:tab/>
        <w:t>Expected use of SPECT to diagnose AD in the event of no listing for FDG-PET</w:t>
      </w:r>
      <w:bookmarkEnd w:id="298"/>
      <w:bookmarkEnd w:id="299"/>
    </w:p>
    <w:tbl>
      <w:tblPr>
        <w:tblStyle w:val="TableGrid"/>
        <w:tblW w:w="4610" w:type="pct"/>
        <w:tblInd w:w="704" w:type="dxa"/>
        <w:tblLook w:val="04A0" w:firstRow="1" w:lastRow="0" w:firstColumn="1" w:lastColumn="0" w:noHBand="0" w:noVBand="1"/>
        <w:tblCaption w:val="The expected use of SPECT to diagnose AD in the event of no listing for FDG-PET"/>
        <w:tblDescription w:val="The use of SPECT in diagnosing AD if there is no change to the MBS to list FDG-PET for this purpose. The table shows estimates for 2015 to 2019."/>
      </w:tblPr>
      <w:tblGrid>
        <w:gridCol w:w="1743"/>
        <w:gridCol w:w="1075"/>
        <w:gridCol w:w="1075"/>
        <w:gridCol w:w="1075"/>
        <w:gridCol w:w="1075"/>
        <w:gridCol w:w="1077"/>
        <w:gridCol w:w="1401"/>
      </w:tblGrid>
      <w:tr w:rsidR="007F6723" w14:paraId="4DECB830" w14:textId="77777777" w:rsidTr="00181CF8">
        <w:trPr>
          <w:tblHeader/>
        </w:trPr>
        <w:tc>
          <w:tcPr>
            <w:tcW w:w="1022" w:type="pct"/>
          </w:tcPr>
          <w:p w14:paraId="7A6F61F1" w14:textId="77777777" w:rsidR="007F6723" w:rsidRDefault="007F6723" w:rsidP="00181CF8">
            <w:pPr>
              <w:pStyle w:val="Tabletextboldleft"/>
              <w:jc w:val="right"/>
            </w:pPr>
          </w:p>
        </w:tc>
        <w:tc>
          <w:tcPr>
            <w:tcW w:w="631" w:type="pct"/>
          </w:tcPr>
          <w:p w14:paraId="1E0D4686" w14:textId="77777777" w:rsidR="007F6723" w:rsidRDefault="007F6723" w:rsidP="00181CF8">
            <w:pPr>
              <w:pStyle w:val="Tabletextboldleft"/>
              <w:jc w:val="right"/>
            </w:pPr>
            <w:r>
              <w:t>2015</w:t>
            </w:r>
          </w:p>
        </w:tc>
        <w:tc>
          <w:tcPr>
            <w:tcW w:w="631" w:type="pct"/>
          </w:tcPr>
          <w:p w14:paraId="7E5752C6" w14:textId="77777777" w:rsidR="007F6723" w:rsidRDefault="007F6723" w:rsidP="00181CF8">
            <w:pPr>
              <w:pStyle w:val="Tabletextboldleft"/>
              <w:jc w:val="right"/>
            </w:pPr>
            <w:r>
              <w:t>2016</w:t>
            </w:r>
          </w:p>
        </w:tc>
        <w:tc>
          <w:tcPr>
            <w:tcW w:w="631" w:type="pct"/>
          </w:tcPr>
          <w:p w14:paraId="770F7CCC" w14:textId="77777777" w:rsidR="007F6723" w:rsidRDefault="007F6723" w:rsidP="00181CF8">
            <w:pPr>
              <w:pStyle w:val="Tabletextboldleft"/>
              <w:jc w:val="right"/>
            </w:pPr>
            <w:r>
              <w:t>2017</w:t>
            </w:r>
          </w:p>
        </w:tc>
        <w:tc>
          <w:tcPr>
            <w:tcW w:w="631" w:type="pct"/>
          </w:tcPr>
          <w:p w14:paraId="28339C84" w14:textId="77777777" w:rsidR="007F6723" w:rsidRDefault="007F6723" w:rsidP="00181CF8">
            <w:pPr>
              <w:pStyle w:val="Tabletextboldleft"/>
              <w:jc w:val="right"/>
            </w:pPr>
            <w:r>
              <w:t>2018</w:t>
            </w:r>
          </w:p>
        </w:tc>
        <w:tc>
          <w:tcPr>
            <w:tcW w:w="632" w:type="pct"/>
          </w:tcPr>
          <w:p w14:paraId="5F0837E9" w14:textId="77777777" w:rsidR="007F6723" w:rsidRDefault="007F6723" w:rsidP="00181CF8">
            <w:pPr>
              <w:pStyle w:val="Tabletextboldleft"/>
              <w:jc w:val="right"/>
            </w:pPr>
            <w:r>
              <w:t>2019</w:t>
            </w:r>
          </w:p>
        </w:tc>
        <w:tc>
          <w:tcPr>
            <w:tcW w:w="822" w:type="pct"/>
          </w:tcPr>
          <w:p w14:paraId="5955DC2E" w14:textId="77777777" w:rsidR="007F6723" w:rsidRDefault="007F6723" w:rsidP="00181CF8">
            <w:pPr>
              <w:pStyle w:val="Tabletextboldleft"/>
              <w:jc w:val="right"/>
            </w:pPr>
            <w:r>
              <w:t>Reference</w:t>
            </w:r>
          </w:p>
        </w:tc>
      </w:tr>
      <w:tr w:rsidR="007F6723" w14:paraId="4FD96CAE" w14:textId="77777777" w:rsidTr="00181CF8">
        <w:tc>
          <w:tcPr>
            <w:tcW w:w="1022" w:type="pct"/>
          </w:tcPr>
          <w:p w14:paraId="0D62DD5C" w14:textId="77777777" w:rsidR="007F6723" w:rsidRPr="004D057E" w:rsidRDefault="007F6723" w:rsidP="00181CF8">
            <w:pPr>
              <w:pStyle w:val="Tabletextcentred"/>
              <w:keepNext/>
              <w:jc w:val="left"/>
            </w:pPr>
            <w:r>
              <w:t>Dementia incidence</w:t>
            </w:r>
          </w:p>
        </w:tc>
        <w:tc>
          <w:tcPr>
            <w:tcW w:w="631" w:type="pct"/>
          </w:tcPr>
          <w:p w14:paraId="24D2D6AF" w14:textId="77777777" w:rsidR="007F6723" w:rsidRDefault="007F6723" w:rsidP="00181CF8">
            <w:pPr>
              <w:pStyle w:val="Tabletextcentred"/>
              <w:keepNext/>
              <w:jc w:val="right"/>
            </w:pPr>
            <w:r>
              <w:t>94,453</w:t>
            </w:r>
          </w:p>
        </w:tc>
        <w:tc>
          <w:tcPr>
            <w:tcW w:w="631" w:type="pct"/>
          </w:tcPr>
          <w:p w14:paraId="4782BD42" w14:textId="77777777" w:rsidR="007F6723" w:rsidRDefault="007F6723" w:rsidP="00181CF8">
            <w:pPr>
              <w:pStyle w:val="Tabletextcentred"/>
              <w:keepNext/>
              <w:jc w:val="right"/>
            </w:pPr>
            <w:r>
              <w:t>99,107</w:t>
            </w:r>
          </w:p>
        </w:tc>
        <w:tc>
          <w:tcPr>
            <w:tcW w:w="631" w:type="pct"/>
          </w:tcPr>
          <w:p w14:paraId="7DA363F7" w14:textId="77777777" w:rsidR="007F6723" w:rsidRDefault="007F6723" w:rsidP="00181CF8">
            <w:pPr>
              <w:pStyle w:val="Tabletextcentred"/>
              <w:keepNext/>
              <w:jc w:val="right"/>
            </w:pPr>
            <w:r>
              <w:t>103,932</w:t>
            </w:r>
          </w:p>
        </w:tc>
        <w:tc>
          <w:tcPr>
            <w:tcW w:w="631" w:type="pct"/>
          </w:tcPr>
          <w:p w14:paraId="003EF684" w14:textId="77777777" w:rsidR="007F6723" w:rsidRDefault="007F6723" w:rsidP="00181CF8">
            <w:pPr>
              <w:pStyle w:val="Tabletextcentred"/>
              <w:keepNext/>
              <w:jc w:val="right"/>
            </w:pPr>
            <w:r>
              <w:t>108,044</w:t>
            </w:r>
          </w:p>
        </w:tc>
        <w:tc>
          <w:tcPr>
            <w:tcW w:w="632" w:type="pct"/>
          </w:tcPr>
          <w:p w14:paraId="0A83DC21" w14:textId="77777777" w:rsidR="007F6723" w:rsidRDefault="007F6723" w:rsidP="00181CF8">
            <w:pPr>
              <w:pStyle w:val="Tabletextcentred"/>
              <w:keepNext/>
              <w:jc w:val="right"/>
            </w:pPr>
            <w:r>
              <w:t>112,896</w:t>
            </w:r>
          </w:p>
        </w:tc>
        <w:tc>
          <w:tcPr>
            <w:tcW w:w="822" w:type="pct"/>
          </w:tcPr>
          <w:p w14:paraId="7FA09DFA" w14:textId="77777777" w:rsidR="007F6723" w:rsidRDefault="007F6723" w:rsidP="00181CF8">
            <w:pPr>
              <w:pStyle w:val="Tabletextcentred"/>
              <w:keepNext/>
              <w:jc w:val="right"/>
            </w:pPr>
            <w:r>
              <w:t>Access Economics (2009)</w:t>
            </w:r>
          </w:p>
        </w:tc>
      </w:tr>
      <w:tr w:rsidR="007F6723" w14:paraId="142DEFCA" w14:textId="77777777" w:rsidTr="00181CF8">
        <w:tc>
          <w:tcPr>
            <w:tcW w:w="1022" w:type="pct"/>
          </w:tcPr>
          <w:p w14:paraId="632B3D47" w14:textId="77777777" w:rsidR="007F6723" w:rsidRDefault="007F6723" w:rsidP="00181CF8">
            <w:pPr>
              <w:pStyle w:val="Tabletextcentred"/>
              <w:keepNext/>
              <w:jc w:val="left"/>
            </w:pPr>
            <w:r>
              <w:t>Estimated AD incidence</w:t>
            </w:r>
          </w:p>
        </w:tc>
        <w:tc>
          <w:tcPr>
            <w:tcW w:w="631" w:type="pct"/>
          </w:tcPr>
          <w:p w14:paraId="0CDAC67B" w14:textId="77777777" w:rsidR="007F6723" w:rsidRDefault="007F6723" w:rsidP="00181CF8">
            <w:pPr>
              <w:pStyle w:val="Tabletextcentred"/>
              <w:keepNext/>
              <w:jc w:val="right"/>
            </w:pPr>
            <w:r>
              <w:t>66,180</w:t>
            </w:r>
          </w:p>
        </w:tc>
        <w:tc>
          <w:tcPr>
            <w:tcW w:w="631" w:type="pct"/>
          </w:tcPr>
          <w:p w14:paraId="3FFD0F8F" w14:textId="77777777" w:rsidR="007F6723" w:rsidRDefault="007F6723" w:rsidP="00181CF8">
            <w:pPr>
              <w:pStyle w:val="Tabletextcentred"/>
              <w:keepNext/>
              <w:jc w:val="right"/>
            </w:pPr>
            <w:r>
              <w:t>69,375</w:t>
            </w:r>
          </w:p>
        </w:tc>
        <w:tc>
          <w:tcPr>
            <w:tcW w:w="631" w:type="pct"/>
          </w:tcPr>
          <w:p w14:paraId="6A4AC799" w14:textId="77777777" w:rsidR="007F6723" w:rsidRDefault="007F6723" w:rsidP="00181CF8">
            <w:pPr>
              <w:pStyle w:val="Tabletextcentred"/>
              <w:keepNext/>
              <w:jc w:val="right"/>
            </w:pPr>
            <w:r>
              <w:t>72,752</w:t>
            </w:r>
          </w:p>
        </w:tc>
        <w:tc>
          <w:tcPr>
            <w:tcW w:w="631" w:type="pct"/>
          </w:tcPr>
          <w:p w14:paraId="51D832F0" w14:textId="77777777" w:rsidR="007F6723" w:rsidRDefault="007F6723" w:rsidP="00181CF8">
            <w:pPr>
              <w:pStyle w:val="Tabletextcentred"/>
              <w:keepNext/>
              <w:jc w:val="right"/>
            </w:pPr>
            <w:r>
              <w:t>75,631</w:t>
            </w:r>
          </w:p>
        </w:tc>
        <w:tc>
          <w:tcPr>
            <w:tcW w:w="632" w:type="pct"/>
          </w:tcPr>
          <w:p w14:paraId="6E2712C7" w14:textId="77777777" w:rsidR="007F6723" w:rsidRDefault="007F6723" w:rsidP="00181CF8">
            <w:pPr>
              <w:pStyle w:val="Tabletextcentred"/>
              <w:keepNext/>
              <w:jc w:val="right"/>
            </w:pPr>
            <w:r>
              <w:t>79,027</w:t>
            </w:r>
          </w:p>
        </w:tc>
        <w:tc>
          <w:tcPr>
            <w:tcW w:w="822" w:type="pct"/>
          </w:tcPr>
          <w:p w14:paraId="6C084437" w14:textId="77777777" w:rsidR="007F6723" w:rsidRDefault="007F6723" w:rsidP="00181CF8">
            <w:pPr>
              <w:pStyle w:val="Tabletextcentred"/>
              <w:keepNext/>
              <w:jc w:val="right"/>
            </w:pPr>
            <w:r>
              <w:t>Assume 70% of dementia on basis of ADI (2014) and Kukull et al (2002)</w:t>
            </w:r>
          </w:p>
        </w:tc>
      </w:tr>
      <w:tr w:rsidR="007F6723" w14:paraId="0FFED6F3" w14:textId="77777777" w:rsidTr="00181CF8">
        <w:tc>
          <w:tcPr>
            <w:tcW w:w="1022" w:type="pct"/>
          </w:tcPr>
          <w:p w14:paraId="4154CAF6" w14:textId="77777777" w:rsidR="007F6723" w:rsidRDefault="007F6723" w:rsidP="00181CF8">
            <w:pPr>
              <w:pStyle w:val="Tabletextcentred"/>
              <w:keepNext/>
              <w:jc w:val="left"/>
            </w:pPr>
            <w:r>
              <w:t>AD diagnoses attempted using SPECT</w:t>
            </w:r>
          </w:p>
        </w:tc>
        <w:tc>
          <w:tcPr>
            <w:tcW w:w="631" w:type="pct"/>
          </w:tcPr>
          <w:p w14:paraId="6CFB0A25" w14:textId="77777777" w:rsidR="007F6723" w:rsidRDefault="007F6723" w:rsidP="00181CF8">
            <w:pPr>
              <w:pStyle w:val="Tabletextcentred"/>
              <w:keepNext/>
              <w:jc w:val="right"/>
            </w:pPr>
            <w:r>
              <w:t>3309</w:t>
            </w:r>
          </w:p>
        </w:tc>
        <w:tc>
          <w:tcPr>
            <w:tcW w:w="631" w:type="pct"/>
          </w:tcPr>
          <w:p w14:paraId="75C111EB" w14:textId="77777777" w:rsidR="007F6723" w:rsidRDefault="007F6723" w:rsidP="00181CF8">
            <w:pPr>
              <w:pStyle w:val="Tabletextcentred"/>
              <w:keepNext/>
              <w:jc w:val="right"/>
            </w:pPr>
            <w:r>
              <w:t>3469</w:t>
            </w:r>
          </w:p>
        </w:tc>
        <w:tc>
          <w:tcPr>
            <w:tcW w:w="631" w:type="pct"/>
          </w:tcPr>
          <w:p w14:paraId="0AD9548B" w14:textId="77777777" w:rsidR="007F6723" w:rsidRDefault="007F6723" w:rsidP="00181CF8">
            <w:pPr>
              <w:pStyle w:val="Tabletextcentred"/>
              <w:keepNext/>
              <w:jc w:val="right"/>
            </w:pPr>
            <w:r>
              <w:t>3638</w:t>
            </w:r>
          </w:p>
        </w:tc>
        <w:tc>
          <w:tcPr>
            <w:tcW w:w="631" w:type="pct"/>
          </w:tcPr>
          <w:p w14:paraId="4E8D08D3" w14:textId="77777777" w:rsidR="007F6723" w:rsidRDefault="007F6723" w:rsidP="00181CF8">
            <w:pPr>
              <w:pStyle w:val="Tabletextcentred"/>
              <w:keepNext/>
              <w:jc w:val="right"/>
            </w:pPr>
            <w:r>
              <w:t>3782</w:t>
            </w:r>
          </w:p>
        </w:tc>
        <w:tc>
          <w:tcPr>
            <w:tcW w:w="632" w:type="pct"/>
          </w:tcPr>
          <w:p w14:paraId="13986690" w14:textId="77777777" w:rsidR="007F6723" w:rsidRDefault="007F6723" w:rsidP="00181CF8">
            <w:pPr>
              <w:pStyle w:val="Tabletextcentred"/>
              <w:keepNext/>
              <w:jc w:val="right"/>
            </w:pPr>
            <w:r>
              <w:t>3951</w:t>
            </w:r>
          </w:p>
        </w:tc>
        <w:tc>
          <w:tcPr>
            <w:tcW w:w="822" w:type="pct"/>
          </w:tcPr>
          <w:p w14:paraId="58A368F8" w14:textId="77777777" w:rsidR="007F6723" w:rsidRDefault="007F6723" w:rsidP="00181CF8">
            <w:pPr>
              <w:pStyle w:val="Tabletextcentred"/>
              <w:keepNext/>
              <w:jc w:val="right"/>
            </w:pPr>
            <w:r>
              <w:t>Assume 5%</w:t>
            </w:r>
          </w:p>
        </w:tc>
      </w:tr>
      <w:tr w:rsidR="007F6723" w14:paraId="4DC9A203" w14:textId="77777777" w:rsidTr="00181CF8">
        <w:tc>
          <w:tcPr>
            <w:tcW w:w="1022" w:type="pct"/>
          </w:tcPr>
          <w:p w14:paraId="3E88EE7C" w14:textId="77777777" w:rsidR="007F6723" w:rsidRDefault="007F6723" w:rsidP="00181CF8">
            <w:pPr>
              <w:pStyle w:val="Tabletextcentred"/>
              <w:keepNext/>
              <w:jc w:val="left"/>
            </w:pPr>
            <w:r>
              <w:t>AD diagnoses attempted using SPECT in private hospital setting</w:t>
            </w:r>
          </w:p>
        </w:tc>
        <w:tc>
          <w:tcPr>
            <w:tcW w:w="631" w:type="pct"/>
          </w:tcPr>
          <w:p w14:paraId="2631EC75" w14:textId="77777777" w:rsidR="007F6723" w:rsidRDefault="007F6723" w:rsidP="00181CF8">
            <w:pPr>
              <w:pStyle w:val="Tabletextcentred"/>
              <w:keepNext/>
              <w:jc w:val="right"/>
            </w:pPr>
            <w:r>
              <w:t>1324</w:t>
            </w:r>
          </w:p>
        </w:tc>
        <w:tc>
          <w:tcPr>
            <w:tcW w:w="631" w:type="pct"/>
          </w:tcPr>
          <w:p w14:paraId="6448FD13" w14:textId="77777777" w:rsidR="007F6723" w:rsidRDefault="007F6723" w:rsidP="00181CF8">
            <w:pPr>
              <w:pStyle w:val="Tabletextcentred"/>
              <w:keepNext/>
              <w:jc w:val="right"/>
            </w:pPr>
            <w:r>
              <w:t>1387</w:t>
            </w:r>
          </w:p>
        </w:tc>
        <w:tc>
          <w:tcPr>
            <w:tcW w:w="631" w:type="pct"/>
          </w:tcPr>
          <w:p w14:paraId="5F21A10F" w14:textId="77777777" w:rsidR="007F6723" w:rsidRDefault="007F6723" w:rsidP="00181CF8">
            <w:pPr>
              <w:pStyle w:val="Tabletextcentred"/>
              <w:keepNext/>
              <w:jc w:val="right"/>
            </w:pPr>
            <w:r>
              <w:t>1455</w:t>
            </w:r>
          </w:p>
        </w:tc>
        <w:tc>
          <w:tcPr>
            <w:tcW w:w="631" w:type="pct"/>
          </w:tcPr>
          <w:p w14:paraId="282CB084" w14:textId="77777777" w:rsidR="007F6723" w:rsidRDefault="007F6723" w:rsidP="00181CF8">
            <w:pPr>
              <w:pStyle w:val="Tabletextcentred"/>
              <w:keepNext/>
              <w:jc w:val="right"/>
            </w:pPr>
            <w:r>
              <w:t>1513</w:t>
            </w:r>
          </w:p>
        </w:tc>
        <w:tc>
          <w:tcPr>
            <w:tcW w:w="632" w:type="pct"/>
          </w:tcPr>
          <w:p w14:paraId="557C794A" w14:textId="77777777" w:rsidR="007F6723" w:rsidRDefault="007F6723" w:rsidP="00181CF8">
            <w:pPr>
              <w:pStyle w:val="Tabletextcentred"/>
              <w:keepNext/>
              <w:jc w:val="right"/>
            </w:pPr>
            <w:r>
              <w:t>1581</w:t>
            </w:r>
          </w:p>
        </w:tc>
        <w:tc>
          <w:tcPr>
            <w:tcW w:w="822" w:type="pct"/>
          </w:tcPr>
          <w:p w14:paraId="2345F4B6" w14:textId="77777777" w:rsidR="007F6723" w:rsidRDefault="007F6723" w:rsidP="00181CF8">
            <w:pPr>
              <w:pStyle w:val="Tabletextcentred"/>
              <w:keepNext/>
              <w:jc w:val="right"/>
            </w:pPr>
            <w:r>
              <w:t>Assumption of 40% use in private hospital setting</w:t>
            </w:r>
          </w:p>
        </w:tc>
      </w:tr>
    </w:tbl>
    <w:p w14:paraId="4B593A43" w14:textId="17094CEC" w:rsidR="007F6723" w:rsidRPr="00414562" w:rsidRDefault="007F6723" w:rsidP="007F6723">
      <w:pPr>
        <w:pStyle w:val="Tablefootnotes"/>
      </w:pPr>
      <w:r w:rsidRPr="00F94D4D">
        <w:t>Abbreviations</w:t>
      </w:r>
      <w:r>
        <w:t>: AD, Alzheimer’s disease; ADI, Alzheimer’s Disease International; FDG-PET, flu</w:t>
      </w:r>
      <w:r w:rsidR="0038452F">
        <w:t>o</w:t>
      </w:r>
      <w:r>
        <w:t>rodeoxyglucose positron emission tomography; MBS, Medicare Benefits Schedule; SPECT, single-photon emission tomography</w:t>
      </w:r>
    </w:p>
    <w:p w14:paraId="391CE8C4" w14:textId="77777777" w:rsidR="007F6723" w:rsidRDefault="007F6723" w:rsidP="007F6723">
      <w:r>
        <w:t xml:space="preserve">The estimates presented in </w:t>
      </w: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r>
        <w:t xml:space="preserve"> represent the use of SPECT in diagnosing AD if there is no change to the MBS to list FDG-PET for this purpose. In the event of a successful listing of FDG-PET, however, some substitution away from SPECT is anticipated.</w:t>
      </w:r>
    </w:p>
    <w:p w14:paraId="251A8B89" w14:textId="77777777" w:rsidR="007F6723" w:rsidRDefault="007F6723" w:rsidP="007F6723">
      <w:r>
        <w:t xml:space="preserve">It was assumed that over a five-year period, 75% of SPECT for AD diagnosis would be replaced with FDG-PET. It was assumed that this would start at 15% in the first year, increasing linearly over the five-year period. Some residual SPECT use would remain on the basis of FDG-PET being unavailable in some areas (e.g. regional areas without the facilities, even after a successful MBS listing). FDG-PET use to replace SPECT is summarised in </w:t>
      </w:r>
      <w:r>
        <w:fldChar w:fldCharType="begin"/>
      </w:r>
      <w:r>
        <w:instrText xml:space="preserve"> REF _Ref279759508 \h </w:instrText>
      </w:r>
      <w:r>
        <w:fldChar w:fldCharType="separate"/>
      </w:r>
      <w:r w:rsidR="00C67698">
        <w:t xml:space="preserve">Table </w:t>
      </w:r>
      <w:r w:rsidR="00C67698">
        <w:rPr>
          <w:noProof/>
        </w:rPr>
        <w:t>E.2</w:t>
      </w:r>
      <w:r w:rsidR="00C67698">
        <w:noBreakHyphen/>
      </w:r>
      <w:r w:rsidR="00C67698">
        <w:rPr>
          <w:noProof/>
        </w:rPr>
        <w:t>4</w:t>
      </w:r>
      <w:r>
        <w:fldChar w:fldCharType="end"/>
      </w:r>
      <w:r>
        <w:t>.</w:t>
      </w:r>
    </w:p>
    <w:p w14:paraId="0667C291" w14:textId="5F1E5983" w:rsidR="007F6723" w:rsidRDefault="007F6723" w:rsidP="007F6723">
      <w:pPr>
        <w:pStyle w:val="Caption"/>
      </w:pPr>
      <w:bookmarkStart w:id="300" w:name="_Ref279759508"/>
      <w:bookmarkStart w:id="301" w:name="_Toc406172503"/>
      <w:bookmarkStart w:id="302" w:name="_Toc408845258"/>
      <w:r>
        <w:t xml:space="preserve">Table </w:t>
      </w:r>
      <w:fldSimple w:instr=" STYLEREF 2 \s ">
        <w:r w:rsidR="00C67698">
          <w:rPr>
            <w:noProof/>
          </w:rPr>
          <w:t>E.2</w:t>
        </w:r>
      </w:fldSimple>
      <w:r w:rsidR="00524916">
        <w:noBreakHyphen/>
      </w:r>
      <w:fldSimple w:instr=" SEQ Table \* ARABIC \s 2 ">
        <w:r w:rsidR="00C67698">
          <w:rPr>
            <w:noProof/>
          </w:rPr>
          <w:t>4</w:t>
        </w:r>
      </w:fldSimple>
      <w:bookmarkEnd w:id="300"/>
      <w:r>
        <w:tab/>
      </w:r>
      <w:r w:rsidRPr="007857D1">
        <w:t>Expected use of FDG-PET to replace diagnosis of AD using SPECT, in the event of a successful MBS listing</w:t>
      </w:r>
      <w:bookmarkEnd w:id="301"/>
      <w:bookmarkEnd w:id="302"/>
    </w:p>
    <w:tbl>
      <w:tblPr>
        <w:tblStyle w:val="TableGrid"/>
        <w:tblW w:w="4610" w:type="pct"/>
        <w:tblInd w:w="704" w:type="dxa"/>
        <w:tblLook w:val="04A0" w:firstRow="1" w:lastRow="0" w:firstColumn="1" w:lastColumn="0" w:noHBand="0" w:noVBand="1"/>
        <w:tblCaption w:val="The expected use of FDG-PET and SPECT, in the event of a successful MBS listing"/>
        <w:tblDescription w:val="The number of AD diagnoses attempted using FDG-PET and SPECT in private hospital setting from 2015 to 2019, in the event of a successful MBS listing."/>
      </w:tblPr>
      <w:tblGrid>
        <w:gridCol w:w="1743"/>
        <w:gridCol w:w="1075"/>
        <w:gridCol w:w="1075"/>
        <w:gridCol w:w="1075"/>
        <w:gridCol w:w="1075"/>
        <w:gridCol w:w="1077"/>
        <w:gridCol w:w="1401"/>
      </w:tblGrid>
      <w:tr w:rsidR="007F6723" w14:paraId="723E68D7" w14:textId="77777777" w:rsidTr="00181CF8">
        <w:trPr>
          <w:tblHeader/>
        </w:trPr>
        <w:tc>
          <w:tcPr>
            <w:tcW w:w="1022" w:type="pct"/>
          </w:tcPr>
          <w:p w14:paraId="559FE634" w14:textId="77777777" w:rsidR="007F6723" w:rsidRDefault="007F6723" w:rsidP="00181CF8">
            <w:pPr>
              <w:pStyle w:val="Tabletextboldleft"/>
              <w:jc w:val="right"/>
            </w:pPr>
          </w:p>
        </w:tc>
        <w:tc>
          <w:tcPr>
            <w:tcW w:w="631" w:type="pct"/>
          </w:tcPr>
          <w:p w14:paraId="724F3533" w14:textId="77777777" w:rsidR="007F6723" w:rsidRDefault="007F6723" w:rsidP="00181CF8">
            <w:pPr>
              <w:pStyle w:val="Tabletextboldleft"/>
              <w:jc w:val="right"/>
            </w:pPr>
            <w:r>
              <w:t>2015</w:t>
            </w:r>
          </w:p>
        </w:tc>
        <w:tc>
          <w:tcPr>
            <w:tcW w:w="631" w:type="pct"/>
          </w:tcPr>
          <w:p w14:paraId="63B8DD56" w14:textId="77777777" w:rsidR="007F6723" w:rsidRDefault="007F6723" w:rsidP="00181CF8">
            <w:pPr>
              <w:pStyle w:val="Tabletextboldleft"/>
              <w:jc w:val="right"/>
            </w:pPr>
            <w:r>
              <w:t>2016</w:t>
            </w:r>
          </w:p>
        </w:tc>
        <w:tc>
          <w:tcPr>
            <w:tcW w:w="631" w:type="pct"/>
          </w:tcPr>
          <w:p w14:paraId="4610172A" w14:textId="77777777" w:rsidR="007F6723" w:rsidRDefault="007F6723" w:rsidP="00181CF8">
            <w:pPr>
              <w:pStyle w:val="Tabletextboldleft"/>
              <w:jc w:val="right"/>
            </w:pPr>
            <w:r>
              <w:t>2017</w:t>
            </w:r>
          </w:p>
        </w:tc>
        <w:tc>
          <w:tcPr>
            <w:tcW w:w="631" w:type="pct"/>
          </w:tcPr>
          <w:p w14:paraId="725587D0" w14:textId="77777777" w:rsidR="007F6723" w:rsidRDefault="007F6723" w:rsidP="00181CF8">
            <w:pPr>
              <w:pStyle w:val="Tabletextboldleft"/>
              <w:jc w:val="right"/>
            </w:pPr>
            <w:r>
              <w:t>2018</w:t>
            </w:r>
          </w:p>
        </w:tc>
        <w:tc>
          <w:tcPr>
            <w:tcW w:w="632" w:type="pct"/>
          </w:tcPr>
          <w:p w14:paraId="5648236F" w14:textId="77777777" w:rsidR="007F6723" w:rsidRDefault="007F6723" w:rsidP="00181CF8">
            <w:pPr>
              <w:pStyle w:val="Tabletextboldleft"/>
              <w:jc w:val="right"/>
            </w:pPr>
            <w:r>
              <w:t>2019</w:t>
            </w:r>
          </w:p>
        </w:tc>
        <w:tc>
          <w:tcPr>
            <w:tcW w:w="822" w:type="pct"/>
          </w:tcPr>
          <w:p w14:paraId="28843051" w14:textId="77777777" w:rsidR="007F6723" w:rsidRDefault="007F6723" w:rsidP="00181CF8">
            <w:pPr>
              <w:pStyle w:val="Tabletextboldleft"/>
              <w:jc w:val="right"/>
            </w:pPr>
            <w:r>
              <w:t>Reference</w:t>
            </w:r>
          </w:p>
        </w:tc>
      </w:tr>
      <w:tr w:rsidR="007F6723" w14:paraId="09CEA647" w14:textId="77777777" w:rsidTr="00181CF8">
        <w:tc>
          <w:tcPr>
            <w:tcW w:w="1022" w:type="pct"/>
          </w:tcPr>
          <w:p w14:paraId="5F490301" w14:textId="77777777" w:rsidR="007F6723" w:rsidRPr="004D057E" w:rsidRDefault="007F6723" w:rsidP="00181CF8">
            <w:pPr>
              <w:pStyle w:val="Tabletextcentred"/>
              <w:keepNext/>
              <w:jc w:val="left"/>
            </w:pPr>
            <w:r>
              <w:t>AD diagnoses attempted using SPECT in private hospital setting</w:t>
            </w:r>
          </w:p>
        </w:tc>
        <w:tc>
          <w:tcPr>
            <w:tcW w:w="631" w:type="pct"/>
          </w:tcPr>
          <w:p w14:paraId="0F0523CB" w14:textId="77777777" w:rsidR="007F6723" w:rsidRDefault="007F6723" w:rsidP="00181CF8">
            <w:pPr>
              <w:pStyle w:val="Tabletextcentred"/>
              <w:keepNext/>
              <w:jc w:val="right"/>
            </w:pPr>
            <w:r>
              <w:t>1324</w:t>
            </w:r>
          </w:p>
        </w:tc>
        <w:tc>
          <w:tcPr>
            <w:tcW w:w="631" w:type="pct"/>
          </w:tcPr>
          <w:p w14:paraId="533AE1D6" w14:textId="77777777" w:rsidR="007F6723" w:rsidRDefault="007F6723" w:rsidP="00181CF8">
            <w:pPr>
              <w:pStyle w:val="Tabletextcentred"/>
              <w:keepNext/>
              <w:jc w:val="right"/>
            </w:pPr>
            <w:r>
              <w:t>1387</w:t>
            </w:r>
          </w:p>
        </w:tc>
        <w:tc>
          <w:tcPr>
            <w:tcW w:w="631" w:type="pct"/>
          </w:tcPr>
          <w:p w14:paraId="14F6A656" w14:textId="77777777" w:rsidR="007F6723" w:rsidRDefault="007F6723" w:rsidP="00181CF8">
            <w:pPr>
              <w:pStyle w:val="Tabletextcentred"/>
              <w:keepNext/>
              <w:jc w:val="right"/>
            </w:pPr>
            <w:r>
              <w:t>1455</w:t>
            </w:r>
          </w:p>
        </w:tc>
        <w:tc>
          <w:tcPr>
            <w:tcW w:w="631" w:type="pct"/>
          </w:tcPr>
          <w:p w14:paraId="5557F1AE" w14:textId="77777777" w:rsidR="007F6723" w:rsidRDefault="007F6723" w:rsidP="00181CF8">
            <w:pPr>
              <w:pStyle w:val="Tabletextcentred"/>
              <w:keepNext/>
              <w:jc w:val="right"/>
            </w:pPr>
            <w:r>
              <w:t>1513</w:t>
            </w:r>
          </w:p>
        </w:tc>
        <w:tc>
          <w:tcPr>
            <w:tcW w:w="632" w:type="pct"/>
          </w:tcPr>
          <w:p w14:paraId="29DF8225" w14:textId="77777777" w:rsidR="007F6723" w:rsidRDefault="007F6723" w:rsidP="00181CF8">
            <w:pPr>
              <w:pStyle w:val="Tabletextcentred"/>
              <w:keepNext/>
              <w:jc w:val="right"/>
            </w:pPr>
            <w:r>
              <w:t>1581</w:t>
            </w:r>
          </w:p>
        </w:tc>
        <w:tc>
          <w:tcPr>
            <w:tcW w:w="822" w:type="pct"/>
          </w:tcPr>
          <w:p w14:paraId="7E90886C" w14:textId="77777777" w:rsidR="007F6723" w:rsidRDefault="007F6723" w:rsidP="00181CF8">
            <w:pPr>
              <w:pStyle w:val="Tabletextcentred"/>
              <w:keepNext/>
              <w:jc w:val="right"/>
            </w:pP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p>
        </w:tc>
      </w:tr>
      <w:tr w:rsidR="007F6723" w14:paraId="48308B29" w14:textId="77777777" w:rsidTr="00181CF8">
        <w:tc>
          <w:tcPr>
            <w:tcW w:w="1022" w:type="pct"/>
          </w:tcPr>
          <w:p w14:paraId="57CD9BD4" w14:textId="77777777" w:rsidR="007F6723" w:rsidRDefault="007F6723" w:rsidP="00181CF8">
            <w:pPr>
              <w:pStyle w:val="Tabletextcentred"/>
              <w:keepNext/>
              <w:jc w:val="left"/>
            </w:pPr>
            <w:r>
              <w:t>Substitution from SPECT to FDG-PET</w:t>
            </w:r>
          </w:p>
        </w:tc>
        <w:tc>
          <w:tcPr>
            <w:tcW w:w="631" w:type="pct"/>
          </w:tcPr>
          <w:p w14:paraId="05DFEA0A" w14:textId="77777777" w:rsidR="007F6723" w:rsidRDefault="007F6723" w:rsidP="00181CF8">
            <w:pPr>
              <w:pStyle w:val="Tabletextcentred"/>
              <w:keepNext/>
              <w:jc w:val="right"/>
            </w:pPr>
            <w:r>
              <w:t>15%</w:t>
            </w:r>
          </w:p>
        </w:tc>
        <w:tc>
          <w:tcPr>
            <w:tcW w:w="631" w:type="pct"/>
          </w:tcPr>
          <w:p w14:paraId="7A2222D3" w14:textId="77777777" w:rsidR="007F6723" w:rsidRDefault="007F6723" w:rsidP="00181CF8">
            <w:pPr>
              <w:pStyle w:val="Tabletextcentred"/>
              <w:keepNext/>
              <w:jc w:val="right"/>
            </w:pPr>
            <w:r>
              <w:t>30%</w:t>
            </w:r>
          </w:p>
        </w:tc>
        <w:tc>
          <w:tcPr>
            <w:tcW w:w="631" w:type="pct"/>
          </w:tcPr>
          <w:p w14:paraId="0A9EE467" w14:textId="77777777" w:rsidR="007F6723" w:rsidRDefault="007F6723" w:rsidP="00181CF8">
            <w:pPr>
              <w:pStyle w:val="Tabletextcentred"/>
              <w:keepNext/>
              <w:jc w:val="right"/>
            </w:pPr>
            <w:r>
              <w:t>45%</w:t>
            </w:r>
          </w:p>
        </w:tc>
        <w:tc>
          <w:tcPr>
            <w:tcW w:w="631" w:type="pct"/>
          </w:tcPr>
          <w:p w14:paraId="0CACFEB1" w14:textId="77777777" w:rsidR="007F6723" w:rsidRDefault="007F6723" w:rsidP="00181CF8">
            <w:pPr>
              <w:pStyle w:val="Tabletextcentred"/>
              <w:keepNext/>
              <w:jc w:val="right"/>
            </w:pPr>
            <w:r>
              <w:t>60%</w:t>
            </w:r>
          </w:p>
        </w:tc>
        <w:tc>
          <w:tcPr>
            <w:tcW w:w="632" w:type="pct"/>
          </w:tcPr>
          <w:p w14:paraId="63B37369" w14:textId="77777777" w:rsidR="007F6723" w:rsidRDefault="007F6723" w:rsidP="00181CF8">
            <w:pPr>
              <w:pStyle w:val="Tabletextcentred"/>
              <w:keepNext/>
              <w:jc w:val="right"/>
            </w:pPr>
            <w:r>
              <w:t>75%</w:t>
            </w:r>
          </w:p>
        </w:tc>
        <w:tc>
          <w:tcPr>
            <w:tcW w:w="822" w:type="pct"/>
          </w:tcPr>
          <w:p w14:paraId="765F7C4D" w14:textId="77777777" w:rsidR="007F6723" w:rsidRDefault="007F6723" w:rsidP="00181CF8">
            <w:pPr>
              <w:pStyle w:val="Tabletextcentred"/>
              <w:keepNext/>
              <w:jc w:val="right"/>
            </w:pPr>
            <w:r>
              <w:t>Assumption</w:t>
            </w:r>
          </w:p>
        </w:tc>
      </w:tr>
      <w:tr w:rsidR="007F6723" w14:paraId="053D11D1" w14:textId="77777777" w:rsidTr="00181CF8">
        <w:tc>
          <w:tcPr>
            <w:tcW w:w="1022" w:type="pct"/>
          </w:tcPr>
          <w:p w14:paraId="09578109" w14:textId="77777777" w:rsidR="007F6723" w:rsidRDefault="007F6723" w:rsidP="00181CF8">
            <w:pPr>
              <w:pStyle w:val="Tabletextcentred"/>
              <w:keepNext/>
              <w:jc w:val="left"/>
            </w:pPr>
            <w:r>
              <w:t>AD diagnoses attempted using FDG-PET in private hospital setting</w:t>
            </w:r>
          </w:p>
        </w:tc>
        <w:tc>
          <w:tcPr>
            <w:tcW w:w="631" w:type="pct"/>
          </w:tcPr>
          <w:p w14:paraId="7CFDE146" w14:textId="77777777" w:rsidR="007F6723" w:rsidRDefault="007F6723" w:rsidP="00181CF8">
            <w:pPr>
              <w:pStyle w:val="Tabletextcentred"/>
              <w:keepNext/>
              <w:jc w:val="right"/>
            </w:pPr>
            <w:r w:rsidRPr="00094FA1">
              <w:t>199</w:t>
            </w:r>
          </w:p>
        </w:tc>
        <w:tc>
          <w:tcPr>
            <w:tcW w:w="631" w:type="pct"/>
          </w:tcPr>
          <w:p w14:paraId="32B844AC" w14:textId="77777777" w:rsidR="007F6723" w:rsidRDefault="007F6723" w:rsidP="00181CF8">
            <w:pPr>
              <w:pStyle w:val="Tabletextcentred"/>
              <w:keepNext/>
              <w:jc w:val="right"/>
            </w:pPr>
            <w:r w:rsidRPr="00094FA1">
              <w:t>416</w:t>
            </w:r>
          </w:p>
        </w:tc>
        <w:tc>
          <w:tcPr>
            <w:tcW w:w="631" w:type="pct"/>
          </w:tcPr>
          <w:p w14:paraId="622F5944" w14:textId="77777777" w:rsidR="007F6723" w:rsidRDefault="007F6723" w:rsidP="00181CF8">
            <w:pPr>
              <w:pStyle w:val="Tabletextcentred"/>
              <w:keepNext/>
              <w:jc w:val="right"/>
            </w:pPr>
            <w:r w:rsidRPr="00094FA1">
              <w:t>655</w:t>
            </w:r>
          </w:p>
        </w:tc>
        <w:tc>
          <w:tcPr>
            <w:tcW w:w="631" w:type="pct"/>
          </w:tcPr>
          <w:p w14:paraId="4D807D4A" w14:textId="77777777" w:rsidR="007F6723" w:rsidRDefault="007F6723" w:rsidP="00181CF8">
            <w:pPr>
              <w:pStyle w:val="Tabletextcentred"/>
              <w:keepNext/>
              <w:jc w:val="right"/>
            </w:pPr>
            <w:r w:rsidRPr="00094FA1">
              <w:t>908</w:t>
            </w:r>
          </w:p>
        </w:tc>
        <w:tc>
          <w:tcPr>
            <w:tcW w:w="632" w:type="pct"/>
          </w:tcPr>
          <w:p w14:paraId="555355D3" w14:textId="77777777" w:rsidR="007F6723" w:rsidRDefault="007F6723" w:rsidP="00181CF8">
            <w:pPr>
              <w:pStyle w:val="Tabletextcentred"/>
              <w:keepNext/>
              <w:jc w:val="right"/>
            </w:pPr>
            <w:r w:rsidRPr="00094FA1">
              <w:t>1106</w:t>
            </w:r>
          </w:p>
        </w:tc>
        <w:tc>
          <w:tcPr>
            <w:tcW w:w="822" w:type="pct"/>
          </w:tcPr>
          <w:p w14:paraId="7910669A" w14:textId="77777777" w:rsidR="007F6723" w:rsidRDefault="007F6723" w:rsidP="00181CF8">
            <w:pPr>
              <w:pStyle w:val="Tabletextcentred"/>
              <w:keepNext/>
              <w:jc w:val="right"/>
            </w:pPr>
            <w:r>
              <w:t>Calculated</w:t>
            </w:r>
          </w:p>
        </w:tc>
      </w:tr>
    </w:tbl>
    <w:p w14:paraId="12E139BF" w14:textId="5AD8A557" w:rsidR="007F6723" w:rsidRPr="00414562" w:rsidRDefault="007F6723" w:rsidP="007F6723">
      <w:pPr>
        <w:pStyle w:val="Tablefootnotes"/>
      </w:pPr>
      <w:r w:rsidRPr="00F94D4D">
        <w:t>Abbreviations</w:t>
      </w:r>
      <w:r>
        <w:t>: AD, Alzheimer’s disease; ADI, Alzheimer’s Disease International; FDG-PET, flu</w:t>
      </w:r>
      <w:r w:rsidR="0038452F">
        <w:t>o</w:t>
      </w:r>
      <w:r>
        <w:t>rodeoxyglucose positron emission tomography; MBS, Medicare Benefits Schedule; SPECT, single-photon emission tomography</w:t>
      </w:r>
    </w:p>
    <w:p w14:paraId="65711E6A" w14:textId="76F72E04" w:rsidR="007F6723" w:rsidRDefault="007F6723" w:rsidP="007F6723">
      <w:r>
        <w:t xml:space="preserve">On the basis of the estimates presented in </w:t>
      </w: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r>
        <w:t xml:space="preserve"> and </w:t>
      </w:r>
      <w:r>
        <w:fldChar w:fldCharType="begin"/>
      </w:r>
      <w:r>
        <w:instrText xml:space="preserve"> REF _Ref279759508 \h </w:instrText>
      </w:r>
      <w:r>
        <w:fldChar w:fldCharType="separate"/>
      </w:r>
      <w:r w:rsidR="00C67698">
        <w:t xml:space="preserve">Table </w:t>
      </w:r>
      <w:r w:rsidR="00C67698">
        <w:rPr>
          <w:noProof/>
        </w:rPr>
        <w:t>E.2</w:t>
      </w:r>
      <w:r w:rsidR="00C67698">
        <w:noBreakHyphen/>
      </w:r>
      <w:r w:rsidR="00C67698">
        <w:rPr>
          <w:noProof/>
        </w:rPr>
        <w:t>4</w:t>
      </w:r>
      <w:r>
        <w:fldChar w:fldCharType="end"/>
      </w:r>
      <w:r>
        <w:t xml:space="preserve">, the associated MBS costs are provided in </w:t>
      </w:r>
      <w:r>
        <w:fldChar w:fldCharType="begin"/>
      </w:r>
      <w:r>
        <w:instrText xml:space="preserve"> REF _Ref279760874 \h </w:instrText>
      </w:r>
      <w:r>
        <w:fldChar w:fldCharType="separate"/>
      </w:r>
      <w:r w:rsidR="00C67698">
        <w:t xml:space="preserve">Table </w:t>
      </w:r>
      <w:r w:rsidR="00C67698">
        <w:rPr>
          <w:noProof/>
        </w:rPr>
        <w:t>E.2</w:t>
      </w:r>
      <w:r w:rsidR="00C67698">
        <w:noBreakHyphen/>
      </w:r>
      <w:r w:rsidR="00C67698">
        <w:rPr>
          <w:noProof/>
        </w:rPr>
        <w:t>5</w:t>
      </w:r>
      <w:r>
        <w:fldChar w:fldCharType="end"/>
      </w:r>
      <w:r>
        <w:t xml:space="preserve">. These were calculated on the basis of the current MBS fee for SPECT and the proposed fee for FDG-PET applied throughout this </w:t>
      </w:r>
      <w:r w:rsidR="00B16778">
        <w:t>A</w:t>
      </w:r>
      <w:r>
        <w:t xml:space="preserve">ssessment </w:t>
      </w:r>
      <w:r w:rsidR="00B16778">
        <w:t>R</w:t>
      </w:r>
      <w:r>
        <w:t>eport. Additionally, since both SPECT and FDG-PET are provided as an outpatient service, the 85% MBS benefit was applied.</w:t>
      </w:r>
    </w:p>
    <w:p w14:paraId="3FA8B408" w14:textId="225ED730" w:rsidR="007F6723" w:rsidRDefault="007F6723" w:rsidP="007F6723">
      <w:pPr>
        <w:pStyle w:val="Caption"/>
      </w:pPr>
      <w:bookmarkStart w:id="303" w:name="_Ref279760874"/>
      <w:bookmarkStart w:id="304" w:name="_Toc406172504"/>
      <w:bookmarkStart w:id="305" w:name="_Toc408845259"/>
      <w:r>
        <w:lastRenderedPageBreak/>
        <w:t xml:space="preserve">Table </w:t>
      </w:r>
      <w:fldSimple w:instr=" STYLEREF 2 \s ">
        <w:r w:rsidR="00C67698">
          <w:rPr>
            <w:noProof/>
          </w:rPr>
          <w:t>E.2</w:t>
        </w:r>
      </w:fldSimple>
      <w:r w:rsidR="00524916">
        <w:noBreakHyphen/>
      </w:r>
      <w:fldSimple w:instr=" SEQ Table \* ARABIC \s 2 ">
        <w:r w:rsidR="00C67698">
          <w:rPr>
            <w:noProof/>
          </w:rPr>
          <w:t>5</w:t>
        </w:r>
      </w:fldSimple>
      <w:bookmarkEnd w:id="303"/>
      <w:r>
        <w:tab/>
        <w:t>Estimated cost of diagnosis with SPECT and FDG-PET</w:t>
      </w:r>
      <w:bookmarkEnd w:id="304"/>
      <w:bookmarkEnd w:id="305"/>
    </w:p>
    <w:tbl>
      <w:tblPr>
        <w:tblStyle w:val="TableGrid"/>
        <w:tblW w:w="4610" w:type="pct"/>
        <w:tblInd w:w="704" w:type="dxa"/>
        <w:tblLayout w:type="fixed"/>
        <w:tblLook w:val="04A0" w:firstRow="1" w:lastRow="0" w:firstColumn="1" w:lastColumn="0" w:noHBand="0" w:noVBand="1"/>
        <w:tblCaption w:val="The estimated cost of diagnosis with FDG-PET and SPECT"/>
        <w:tblDescription w:val="The cost to the MBS for FDG-PET instead of SPECT in a private hospital setting in the event of a successful listing on the MBS. The estimated costs are shown from 2015 to 2019."/>
      </w:tblPr>
      <w:tblGrid>
        <w:gridCol w:w="1743"/>
        <w:gridCol w:w="1075"/>
        <w:gridCol w:w="1075"/>
        <w:gridCol w:w="1075"/>
        <w:gridCol w:w="1075"/>
        <w:gridCol w:w="1077"/>
        <w:gridCol w:w="1401"/>
      </w:tblGrid>
      <w:tr w:rsidR="007F6723" w14:paraId="6DA8CEAF" w14:textId="77777777" w:rsidTr="00181CF8">
        <w:trPr>
          <w:tblHeader/>
        </w:trPr>
        <w:tc>
          <w:tcPr>
            <w:tcW w:w="1022" w:type="pct"/>
          </w:tcPr>
          <w:p w14:paraId="460F637C" w14:textId="77777777" w:rsidR="007F6723" w:rsidRDefault="007F6723" w:rsidP="00181CF8">
            <w:pPr>
              <w:pStyle w:val="Tabletextboldleft"/>
              <w:jc w:val="right"/>
            </w:pPr>
          </w:p>
        </w:tc>
        <w:tc>
          <w:tcPr>
            <w:tcW w:w="631" w:type="pct"/>
          </w:tcPr>
          <w:p w14:paraId="576857F3" w14:textId="77777777" w:rsidR="007F6723" w:rsidRDefault="007F6723" w:rsidP="00181CF8">
            <w:pPr>
              <w:pStyle w:val="Tabletextboldleft"/>
              <w:jc w:val="right"/>
            </w:pPr>
            <w:r>
              <w:t>2015</w:t>
            </w:r>
          </w:p>
        </w:tc>
        <w:tc>
          <w:tcPr>
            <w:tcW w:w="631" w:type="pct"/>
          </w:tcPr>
          <w:p w14:paraId="5902DF31" w14:textId="77777777" w:rsidR="007F6723" w:rsidRDefault="007F6723" w:rsidP="00181CF8">
            <w:pPr>
              <w:pStyle w:val="Tabletextboldleft"/>
              <w:jc w:val="right"/>
            </w:pPr>
            <w:r>
              <w:t>2016</w:t>
            </w:r>
          </w:p>
        </w:tc>
        <w:tc>
          <w:tcPr>
            <w:tcW w:w="631" w:type="pct"/>
          </w:tcPr>
          <w:p w14:paraId="5E393370" w14:textId="77777777" w:rsidR="007F6723" w:rsidRDefault="007F6723" w:rsidP="00181CF8">
            <w:pPr>
              <w:pStyle w:val="Tabletextboldleft"/>
              <w:jc w:val="right"/>
            </w:pPr>
            <w:r>
              <w:t>2017</w:t>
            </w:r>
          </w:p>
        </w:tc>
        <w:tc>
          <w:tcPr>
            <w:tcW w:w="631" w:type="pct"/>
          </w:tcPr>
          <w:p w14:paraId="53774B51" w14:textId="77777777" w:rsidR="007F6723" w:rsidRDefault="007F6723" w:rsidP="00181CF8">
            <w:pPr>
              <w:pStyle w:val="Tabletextboldleft"/>
              <w:jc w:val="right"/>
            </w:pPr>
            <w:r>
              <w:t>2018</w:t>
            </w:r>
          </w:p>
        </w:tc>
        <w:tc>
          <w:tcPr>
            <w:tcW w:w="632" w:type="pct"/>
          </w:tcPr>
          <w:p w14:paraId="22915764" w14:textId="77777777" w:rsidR="007F6723" w:rsidRDefault="007F6723" w:rsidP="00181CF8">
            <w:pPr>
              <w:pStyle w:val="Tabletextboldleft"/>
              <w:jc w:val="right"/>
            </w:pPr>
            <w:r>
              <w:t>2019</w:t>
            </w:r>
          </w:p>
        </w:tc>
        <w:tc>
          <w:tcPr>
            <w:tcW w:w="822" w:type="pct"/>
          </w:tcPr>
          <w:p w14:paraId="3CD25F8F" w14:textId="77777777" w:rsidR="007F6723" w:rsidRDefault="007F6723" w:rsidP="00181CF8">
            <w:pPr>
              <w:pStyle w:val="Tabletextboldleft"/>
              <w:jc w:val="right"/>
            </w:pPr>
            <w:r>
              <w:t>Reference</w:t>
            </w:r>
          </w:p>
        </w:tc>
      </w:tr>
      <w:tr w:rsidR="007F6723" w14:paraId="4274DC33" w14:textId="77777777" w:rsidTr="00181CF8">
        <w:tc>
          <w:tcPr>
            <w:tcW w:w="1022" w:type="pct"/>
          </w:tcPr>
          <w:p w14:paraId="000DF255" w14:textId="77777777" w:rsidR="007F6723" w:rsidRPr="004D057E" w:rsidRDefault="007F6723" w:rsidP="00181CF8">
            <w:pPr>
              <w:pStyle w:val="Tabletextcentred"/>
              <w:keepNext/>
              <w:jc w:val="left"/>
            </w:pPr>
            <w:r>
              <w:t>AD diagnoses attempted using SPECT in private hospital setting</w:t>
            </w:r>
          </w:p>
        </w:tc>
        <w:tc>
          <w:tcPr>
            <w:tcW w:w="631" w:type="pct"/>
          </w:tcPr>
          <w:p w14:paraId="321669F1" w14:textId="77777777" w:rsidR="007F6723" w:rsidRDefault="007F6723" w:rsidP="00181CF8">
            <w:pPr>
              <w:pStyle w:val="Tabletextcentred"/>
              <w:keepNext/>
              <w:jc w:val="right"/>
            </w:pPr>
            <w:r w:rsidRPr="0061791F">
              <w:t>1324</w:t>
            </w:r>
          </w:p>
        </w:tc>
        <w:tc>
          <w:tcPr>
            <w:tcW w:w="631" w:type="pct"/>
          </w:tcPr>
          <w:p w14:paraId="20EB0BD6" w14:textId="77777777" w:rsidR="007F6723" w:rsidRDefault="007F6723" w:rsidP="00181CF8">
            <w:pPr>
              <w:pStyle w:val="Tabletextcentred"/>
              <w:keepNext/>
              <w:jc w:val="right"/>
            </w:pPr>
            <w:r w:rsidRPr="0061791F">
              <w:t>1387</w:t>
            </w:r>
          </w:p>
        </w:tc>
        <w:tc>
          <w:tcPr>
            <w:tcW w:w="631" w:type="pct"/>
          </w:tcPr>
          <w:p w14:paraId="7431C437" w14:textId="77777777" w:rsidR="007F6723" w:rsidRDefault="007F6723" w:rsidP="00181CF8">
            <w:pPr>
              <w:pStyle w:val="Tabletextcentred"/>
              <w:keepNext/>
              <w:jc w:val="right"/>
            </w:pPr>
            <w:r w:rsidRPr="0061791F">
              <w:t>1455</w:t>
            </w:r>
          </w:p>
        </w:tc>
        <w:tc>
          <w:tcPr>
            <w:tcW w:w="631" w:type="pct"/>
          </w:tcPr>
          <w:p w14:paraId="34416A04" w14:textId="77777777" w:rsidR="007F6723" w:rsidRDefault="007F6723" w:rsidP="00181CF8">
            <w:pPr>
              <w:pStyle w:val="Tabletextcentred"/>
              <w:keepNext/>
              <w:jc w:val="right"/>
            </w:pPr>
            <w:r w:rsidRPr="0061791F">
              <w:t>1513</w:t>
            </w:r>
          </w:p>
        </w:tc>
        <w:tc>
          <w:tcPr>
            <w:tcW w:w="632" w:type="pct"/>
          </w:tcPr>
          <w:p w14:paraId="4C8CF4FE" w14:textId="77777777" w:rsidR="007F6723" w:rsidRDefault="007F6723" w:rsidP="00181CF8">
            <w:pPr>
              <w:pStyle w:val="Tabletextcentred"/>
              <w:keepNext/>
              <w:jc w:val="right"/>
            </w:pPr>
            <w:r w:rsidRPr="0061791F">
              <w:t>1581</w:t>
            </w:r>
          </w:p>
        </w:tc>
        <w:tc>
          <w:tcPr>
            <w:tcW w:w="822" w:type="pct"/>
          </w:tcPr>
          <w:p w14:paraId="569F906F" w14:textId="77777777" w:rsidR="007F6723" w:rsidRDefault="007F6723" w:rsidP="00181CF8">
            <w:pPr>
              <w:pStyle w:val="Tabletextcentred"/>
              <w:keepNext/>
              <w:jc w:val="right"/>
            </w:pP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p>
        </w:tc>
      </w:tr>
      <w:tr w:rsidR="007F6723" w14:paraId="3404B3B9" w14:textId="77777777" w:rsidTr="00181CF8">
        <w:tc>
          <w:tcPr>
            <w:tcW w:w="1022" w:type="pct"/>
          </w:tcPr>
          <w:p w14:paraId="18305D42" w14:textId="77777777" w:rsidR="007F6723" w:rsidRDefault="007F6723" w:rsidP="00181CF8">
            <w:pPr>
              <w:pStyle w:val="Tabletextcentred"/>
              <w:keepNext/>
              <w:jc w:val="left"/>
            </w:pPr>
            <w:r>
              <w:t>MBS cost per service</w:t>
            </w:r>
          </w:p>
        </w:tc>
        <w:tc>
          <w:tcPr>
            <w:tcW w:w="631" w:type="pct"/>
          </w:tcPr>
          <w:p w14:paraId="12766075" w14:textId="77777777" w:rsidR="007F6723" w:rsidRDefault="007F6723" w:rsidP="00181CF8">
            <w:pPr>
              <w:pStyle w:val="Tabletextcentred"/>
              <w:keepNext/>
              <w:jc w:val="right"/>
            </w:pPr>
            <w:r>
              <w:t>$526.65</w:t>
            </w:r>
          </w:p>
        </w:tc>
        <w:tc>
          <w:tcPr>
            <w:tcW w:w="631" w:type="pct"/>
          </w:tcPr>
          <w:p w14:paraId="625F13D0" w14:textId="77777777" w:rsidR="007F6723" w:rsidRDefault="007F6723" w:rsidP="00181CF8">
            <w:pPr>
              <w:pStyle w:val="Tabletextcentred"/>
              <w:keepNext/>
              <w:jc w:val="right"/>
            </w:pPr>
            <w:r w:rsidRPr="00062401">
              <w:t>$526.65</w:t>
            </w:r>
          </w:p>
        </w:tc>
        <w:tc>
          <w:tcPr>
            <w:tcW w:w="631" w:type="pct"/>
          </w:tcPr>
          <w:p w14:paraId="7487EBF3" w14:textId="77777777" w:rsidR="007F6723" w:rsidRDefault="007F6723" w:rsidP="00181CF8">
            <w:pPr>
              <w:pStyle w:val="Tabletextcentred"/>
              <w:keepNext/>
              <w:jc w:val="right"/>
            </w:pPr>
            <w:r w:rsidRPr="00062401">
              <w:t>$526.65</w:t>
            </w:r>
          </w:p>
        </w:tc>
        <w:tc>
          <w:tcPr>
            <w:tcW w:w="631" w:type="pct"/>
          </w:tcPr>
          <w:p w14:paraId="1D73BDDE" w14:textId="77777777" w:rsidR="007F6723" w:rsidRDefault="007F6723" w:rsidP="00181CF8">
            <w:pPr>
              <w:pStyle w:val="Tabletextcentred"/>
              <w:keepNext/>
              <w:jc w:val="right"/>
            </w:pPr>
            <w:r w:rsidRPr="00062401">
              <w:t>$526.65</w:t>
            </w:r>
          </w:p>
        </w:tc>
        <w:tc>
          <w:tcPr>
            <w:tcW w:w="632" w:type="pct"/>
          </w:tcPr>
          <w:p w14:paraId="7C47B966" w14:textId="77777777" w:rsidR="007F6723" w:rsidRDefault="007F6723" w:rsidP="00181CF8">
            <w:pPr>
              <w:pStyle w:val="Tabletextcentred"/>
              <w:keepNext/>
              <w:jc w:val="right"/>
            </w:pPr>
            <w:r w:rsidRPr="00062401">
              <w:t>$526.65</w:t>
            </w:r>
          </w:p>
        </w:tc>
        <w:tc>
          <w:tcPr>
            <w:tcW w:w="822" w:type="pct"/>
          </w:tcPr>
          <w:p w14:paraId="66A07065" w14:textId="6F5C5D26" w:rsidR="007F6723" w:rsidRDefault="007F6723" w:rsidP="00181CF8">
            <w:pPr>
              <w:pStyle w:val="Tabletextcentred"/>
              <w:keepNext/>
              <w:jc w:val="right"/>
            </w:pPr>
            <w:r>
              <w:t xml:space="preserve">MBS </w:t>
            </w:r>
            <w:r w:rsidR="00F67E7B">
              <w:t>i</w:t>
            </w:r>
            <w:r>
              <w:t>tem 61402 (85% benefit)</w:t>
            </w:r>
          </w:p>
        </w:tc>
      </w:tr>
      <w:tr w:rsidR="007F6723" w14:paraId="2CAC328C" w14:textId="77777777" w:rsidTr="00181CF8">
        <w:tc>
          <w:tcPr>
            <w:tcW w:w="1022" w:type="pct"/>
          </w:tcPr>
          <w:p w14:paraId="336FA2AA" w14:textId="77777777" w:rsidR="007F6723" w:rsidRDefault="007F6723" w:rsidP="00181CF8">
            <w:pPr>
              <w:pStyle w:val="Tabletextcentred"/>
              <w:keepNext/>
              <w:jc w:val="left"/>
            </w:pPr>
            <w:r>
              <w:t>Cost to the MBS for SPECT in the event of no listing for FDG-PET</w:t>
            </w:r>
          </w:p>
        </w:tc>
        <w:tc>
          <w:tcPr>
            <w:tcW w:w="631" w:type="pct"/>
          </w:tcPr>
          <w:p w14:paraId="5CC02128" w14:textId="77777777" w:rsidR="007F6723" w:rsidRDefault="007F6723" w:rsidP="00181CF8">
            <w:pPr>
              <w:pStyle w:val="Tabletextcentred"/>
              <w:keepNext/>
              <w:jc w:val="right"/>
            </w:pPr>
            <w:r w:rsidRPr="00C03E16">
              <w:t>$697,075</w:t>
            </w:r>
          </w:p>
        </w:tc>
        <w:tc>
          <w:tcPr>
            <w:tcW w:w="631" w:type="pct"/>
          </w:tcPr>
          <w:p w14:paraId="51C4EDB9" w14:textId="77777777" w:rsidR="007F6723" w:rsidRDefault="007F6723" w:rsidP="00181CF8">
            <w:pPr>
              <w:pStyle w:val="Tabletextcentred"/>
              <w:keepNext/>
              <w:jc w:val="right"/>
            </w:pPr>
            <w:r w:rsidRPr="00C03E16">
              <w:t>$730,726</w:t>
            </w:r>
          </w:p>
        </w:tc>
        <w:tc>
          <w:tcPr>
            <w:tcW w:w="631" w:type="pct"/>
          </w:tcPr>
          <w:p w14:paraId="0AE0A528" w14:textId="77777777" w:rsidR="007F6723" w:rsidRDefault="007F6723" w:rsidP="00181CF8">
            <w:pPr>
              <w:pStyle w:val="Tabletextcentred"/>
              <w:keepNext/>
              <w:jc w:val="right"/>
            </w:pPr>
            <w:r w:rsidRPr="00C03E16">
              <w:t>$766,301</w:t>
            </w:r>
          </w:p>
        </w:tc>
        <w:tc>
          <w:tcPr>
            <w:tcW w:w="631" w:type="pct"/>
          </w:tcPr>
          <w:p w14:paraId="672CA5ED" w14:textId="77777777" w:rsidR="007F6723" w:rsidRDefault="007F6723" w:rsidP="00181CF8">
            <w:pPr>
              <w:pStyle w:val="Tabletextcentred"/>
              <w:keepNext/>
              <w:jc w:val="right"/>
            </w:pPr>
            <w:r w:rsidRPr="00C03E16">
              <w:t>$796,619</w:t>
            </w:r>
          </w:p>
        </w:tc>
        <w:tc>
          <w:tcPr>
            <w:tcW w:w="632" w:type="pct"/>
          </w:tcPr>
          <w:p w14:paraId="36E6705B" w14:textId="77777777" w:rsidR="007F6723" w:rsidRDefault="007F6723" w:rsidP="00181CF8">
            <w:pPr>
              <w:pStyle w:val="Tabletextcentred"/>
              <w:keepNext/>
              <w:jc w:val="right"/>
            </w:pPr>
            <w:r w:rsidRPr="00C03E16">
              <w:t>$832,393</w:t>
            </w:r>
          </w:p>
        </w:tc>
        <w:tc>
          <w:tcPr>
            <w:tcW w:w="822" w:type="pct"/>
          </w:tcPr>
          <w:p w14:paraId="4171252E" w14:textId="77777777" w:rsidR="007F6723" w:rsidRDefault="007F6723" w:rsidP="00181CF8">
            <w:pPr>
              <w:pStyle w:val="Tabletextcentred"/>
              <w:keepNext/>
              <w:jc w:val="right"/>
            </w:pPr>
            <w:r>
              <w:t>Calculated</w:t>
            </w:r>
          </w:p>
        </w:tc>
      </w:tr>
      <w:tr w:rsidR="007F6723" w14:paraId="37FC8C04" w14:textId="77777777" w:rsidTr="00181CF8">
        <w:tc>
          <w:tcPr>
            <w:tcW w:w="1022" w:type="pct"/>
          </w:tcPr>
          <w:p w14:paraId="651C00B8" w14:textId="77777777" w:rsidR="007F6723" w:rsidRDefault="007F6723" w:rsidP="00181CF8">
            <w:pPr>
              <w:pStyle w:val="Tabletextcentred"/>
              <w:keepNext/>
              <w:jc w:val="left"/>
            </w:pPr>
            <w:r>
              <w:t>AD diagnoses attempted using FDG-PET instead of SPECT in private hospital setting in the event of a successful listing on the MBS</w:t>
            </w:r>
          </w:p>
        </w:tc>
        <w:tc>
          <w:tcPr>
            <w:tcW w:w="631" w:type="pct"/>
          </w:tcPr>
          <w:p w14:paraId="7E548734" w14:textId="77777777" w:rsidR="007F6723" w:rsidRPr="00A91AB1" w:rsidRDefault="007F6723" w:rsidP="00181CF8">
            <w:pPr>
              <w:pStyle w:val="Tabletextcentred"/>
              <w:keepNext/>
              <w:jc w:val="right"/>
            </w:pPr>
            <w:r w:rsidRPr="00094FA1">
              <w:t>199</w:t>
            </w:r>
          </w:p>
        </w:tc>
        <w:tc>
          <w:tcPr>
            <w:tcW w:w="631" w:type="pct"/>
          </w:tcPr>
          <w:p w14:paraId="0BD3D978" w14:textId="77777777" w:rsidR="007F6723" w:rsidRPr="00A91AB1" w:rsidRDefault="007F6723" w:rsidP="00181CF8">
            <w:pPr>
              <w:pStyle w:val="Tabletextcentred"/>
              <w:keepNext/>
              <w:jc w:val="right"/>
            </w:pPr>
            <w:r w:rsidRPr="00094FA1">
              <w:t>416</w:t>
            </w:r>
          </w:p>
        </w:tc>
        <w:tc>
          <w:tcPr>
            <w:tcW w:w="631" w:type="pct"/>
          </w:tcPr>
          <w:p w14:paraId="594A8292" w14:textId="77777777" w:rsidR="007F6723" w:rsidRPr="00A91AB1" w:rsidRDefault="007F6723" w:rsidP="00181CF8">
            <w:pPr>
              <w:pStyle w:val="Tabletextcentred"/>
              <w:keepNext/>
              <w:jc w:val="right"/>
            </w:pPr>
            <w:r w:rsidRPr="00094FA1">
              <w:t>655</w:t>
            </w:r>
          </w:p>
        </w:tc>
        <w:tc>
          <w:tcPr>
            <w:tcW w:w="631" w:type="pct"/>
          </w:tcPr>
          <w:p w14:paraId="1A7FFACD" w14:textId="77777777" w:rsidR="007F6723" w:rsidRPr="00A91AB1" w:rsidRDefault="007F6723" w:rsidP="00181CF8">
            <w:pPr>
              <w:pStyle w:val="Tabletextcentred"/>
              <w:keepNext/>
              <w:jc w:val="right"/>
            </w:pPr>
            <w:r w:rsidRPr="00094FA1">
              <w:t>908</w:t>
            </w:r>
          </w:p>
        </w:tc>
        <w:tc>
          <w:tcPr>
            <w:tcW w:w="632" w:type="pct"/>
          </w:tcPr>
          <w:p w14:paraId="3AC54332" w14:textId="77777777" w:rsidR="007F6723" w:rsidRPr="00A91AB1" w:rsidRDefault="007F6723" w:rsidP="00181CF8">
            <w:pPr>
              <w:pStyle w:val="Tabletextcentred"/>
              <w:keepNext/>
              <w:jc w:val="right"/>
            </w:pPr>
            <w:r w:rsidRPr="00094FA1">
              <w:t>1106</w:t>
            </w:r>
          </w:p>
        </w:tc>
        <w:tc>
          <w:tcPr>
            <w:tcW w:w="822" w:type="pct"/>
          </w:tcPr>
          <w:p w14:paraId="3CAF9BE6" w14:textId="77777777" w:rsidR="007F6723" w:rsidRDefault="007F6723" w:rsidP="00181CF8">
            <w:pPr>
              <w:pStyle w:val="Tabletextcentred"/>
              <w:keepNext/>
              <w:jc w:val="right"/>
            </w:pPr>
            <w:r>
              <w:fldChar w:fldCharType="begin"/>
            </w:r>
            <w:r>
              <w:instrText xml:space="preserve"> REF _Ref279759508 \h </w:instrText>
            </w:r>
            <w:r>
              <w:fldChar w:fldCharType="separate"/>
            </w:r>
            <w:r w:rsidR="00C67698">
              <w:t xml:space="preserve">Table </w:t>
            </w:r>
            <w:r w:rsidR="00C67698">
              <w:rPr>
                <w:noProof/>
              </w:rPr>
              <w:t>E.2</w:t>
            </w:r>
            <w:r w:rsidR="00C67698">
              <w:noBreakHyphen/>
            </w:r>
            <w:r w:rsidR="00C67698">
              <w:rPr>
                <w:noProof/>
              </w:rPr>
              <w:t>4</w:t>
            </w:r>
            <w:r>
              <w:fldChar w:fldCharType="end"/>
            </w:r>
          </w:p>
        </w:tc>
      </w:tr>
      <w:tr w:rsidR="007F6723" w14:paraId="2F0FF5EB" w14:textId="77777777" w:rsidTr="00181CF8">
        <w:tc>
          <w:tcPr>
            <w:tcW w:w="1022" w:type="pct"/>
          </w:tcPr>
          <w:p w14:paraId="6E94378A" w14:textId="77777777" w:rsidR="007F6723" w:rsidRPr="00A45238" w:rsidRDefault="007F6723" w:rsidP="00181CF8">
            <w:pPr>
              <w:pStyle w:val="Tabletextcentred"/>
              <w:keepNext/>
              <w:jc w:val="left"/>
              <w:rPr>
                <w:vertAlign w:val="superscript"/>
              </w:rPr>
            </w:pPr>
            <w:r>
              <w:t>MBS cost per service</w:t>
            </w:r>
            <w:r>
              <w:rPr>
                <w:vertAlign w:val="superscript"/>
              </w:rPr>
              <w:t>a</w:t>
            </w:r>
          </w:p>
        </w:tc>
        <w:tc>
          <w:tcPr>
            <w:tcW w:w="631" w:type="pct"/>
          </w:tcPr>
          <w:p w14:paraId="47238AEA" w14:textId="77777777" w:rsidR="007F6723" w:rsidRPr="00A91AB1" w:rsidRDefault="007F6723" w:rsidP="00181CF8">
            <w:pPr>
              <w:pStyle w:val="Tabletextcentred"/>
              <w:keepNext/>
              <w:jc w:val="right"/>
            </w:pPr>
            <w:r>
              <w:t>$839.60</w:t>
            </w:r>
          </w:p>
        </w:tc>
        <w:tc>
          <w:tcPr>
            <w:tcW w:w="631" w:type="pct"/>
          </w:tcPr>
          <w:p w14:paraId="39950E7F" w14:textId="77777777" w:rsidR="007F6723" w:rsidRPr="002B244F" w:rsidRDefault="007F6723" w:rsidP="00181CF8">
            <w:pPr>
              <w:pStyle w:val="Tabletextcentred"/>
              <w:keepNext/>
              <w:jc w:val="right"/>
              <w:rPr>
                <w:highlight w:val="yellow"/>
              </w:rPr>
            </w:pPr>
            <w:r w:rsidRPr="00FE00CC">
              <w:t>$839.60</w:t>
            </w:r>
          </w:p>
        </w:tc>
        <w:tc>
          <w:tcPr>
            <w:tcW w:w="631" w:type="pct"/>
          </w:tcPr>
          <w:p w14:paraId="2659EFA9" w14:textId="77777777" w:rsidR="007F6723" w:rsidRPr="002B244F" w:rsidRDefault="007F6723" w:rsidP="00181CF8">
            <w:pPr>
              <w:pStyle w:val="Tabletextcentred"/>
              <w:keepNext/>
              <w:jc w:val="right"/>
              <w:rPr>
                <w:highlight w:val="yellow"/>
              </w:rPr>
            </w:pPr>
            <w:r w:rsidRPr="00FE00CC">
              <w:t>$839.60</w:t>
            </w:r>
          </w:p>
        </w:tc>
        <w:tc>
          <w:tcPr>
            <w:tcW w:w="631" w:type="pct"/>
          </w:tcPr>
          <w:p w14:paraId="634BF1D8" w14:textId="77777777" w:rsidR="007F6723" w:rsidRPr="002B244F" w:rsidRDefault="007F6723" w:rsidP="00181CF8">
            <w:pPr>
              <w:pStyle w:val="Tabletextcentred"/>
              <w:keepNext/>
              <w:jc w:val="right"/>
              <w:rPr>
                <w:highlight w:val="yellow"/>
              </w:rPr>
            </w:pPr>
            <w:r w:rsidRPr="00FE00CC">
              <w:t>$839.60</w:t>
            </w:r>
          </w:p>
        </w:tc>
        <w:tc>
          <w:tcPr>
            <w:tcW w:w="632" w:type="pct"/>
          </w:tcPr>
          <w:p w14:paraId="7389E84C" w14:textId="77777777" w:rsidR="007F6723" w:rsidRPr="002B244F" w:rsidRDefault="007F6723" w:rsidP="00181CF8">
            <w:pPr>
              <w:pStyle w:val="Tabletextcentred"/>
              <w:keepNext/>
              <w:jc w:val="right"/>
              <w:rPr>
                <w:highlight w:val="yellow"/>
              </w:rPr>
            </w:pPr>
            <w:r w:rsidRPr="00FE00CC">
              <w:t>$839.60</w:t>
            </w:r>
          </w:p>
        </w:tc>
        <w:tc>
          <w:tcPr>
            <w:tcW w:w="822" w:type="pct"/>
          </w:tcPr>
          <w:p w14:paraId="0CA19CFB" w14:textId="77777777" w:rsidR="007F6723" w:rsidRDefault="007F6723" w:rsidP="00181CF8">
            <w:pPr>
              <w:pStyle w:val="Tabletextcentred"/>
              <w:keepNext/>
              <w:jc w:val="right"/>
            </w:pPr>
            <w:r>
              <w:t>On the basis of the listing applied to this Assessment Report</w:t>
            </w:r>
          </w:p>
        </w:tc>
      </w:tr>
      <w:tr w:rsidR="00823EDE" w14:paraId="415F790E" w14:textId="77777777" w:rsidTr="00181CF8">
        <w:tc>
          <w:tcPr>
            <w:tcW w:w="1022" w:type="pct"/>
          </w:tcPr>
          <w:p w14:paraId="1259FCB5" w14:textId="6FF16BA2" w:rsidR="00823EDE" w:rsidRDefault="00823EDE" w:rsidP="00823EDE">
            <w:pPr>
              <w:pStyle w:val="Tabletextcentred"/>
              <w:keepNext/>
              <w:jc w:val="left"/>
            </w:pPr>
            <w:r>
              <w:t>Cost to the MBS for FDG-PET instead of SPECT in private hospital setting in the event of a successful listing on the MBS</w:t>
            </w:r>
            <w:r w:rsidRPr="00823EDE">
              <w:rPr>
                <w:vertAlign w:val="superscript"/>
              </w:rPr>
              <w:t>b</w:t>
            </w:r>
          </w:p>
        </w:tc>
        <w:tc>
          <w:tcPr>
            <w:tcW w:w="631" w:type="pct"/>
          </w:tcPr>
          <w:p w14:paraId="21407868" w14:textId="63694700" w:rsidR="00823EDE" w:rsidRPr="008A1CCA" w:rsidRDefault="00823EDE" w:rsidP="00823EDE">
            <w:pPr>
              <w:pStyle w:val="Tabletextcentred"/>
              <w:keepNext/>
              <w:jc w:val="right"/>
            </w:pPr>
            <w:r>
              <w:t>$166,694</w:t>
            </w:r>
          </w:p>
        </w:tc>
        <w:tc>
          <w:tcPr>
            <w:tcW w:w="631" w:type="pct"/>
          </w:tcPr>
          <w:p w14:paraId="415800A7" w14:textId="1818D2A8" w:rsidR="00823EDE" w:rsidRPr="008A1CCA" w:rsidRDefault="00823EDE" w:rsidP="00823EDE">
            <w:pPr>
              <w:pStyle w:val="Tabletextcentred"/>
              <w:keepNext/>
              <w:jc w:val="right"/>
            </w:pPr>
            <w:r>
              <w:t>$349,483</w:t>
            </w:r>
          </w:p>
        </w:tc>
        <w:tc>
          <w:tcPr>
            <w:tcW w:w="631" w:type="pct"/>
          </w:tcPr>
          <w:p w14:paraId="681DDC75" w14:textId="07F95D3E" w:rsidR="00823EDE" w:rsidRPr="008A1CCA" w:rsidRDefault="00823EDE" w:rsidP="00823EDE">
            <w:pPr>
              <w:pStyle w:val="Tabletextcentred"/>
              <w:keepNext/>
              <w:jc w:val="right"/>
            </w:pPr>
            <w:r>
              <w:t>$549,746</w:t>
            </w:r>
          </w:p>
        </w:tc>
        <w:tc>
          <w:tcPr>
            <w:tcW w:w="631" w:type="pct"/>
          </w:tcPr>
          <w:p w14:paraId="5C9F73E1" w14:textId="73AFEE00" w:rsidR="00823EDE" w:rsidRPr="008A1CCA" w:rsidRDefault="00823EDE" w:rsidP="00823EDE">
            <w:pPr>
              <w:pStyle w:val="Tabletextcentred"/>
              <w:keepNext/>
              <w:jc w:val="right"/>
            </w:pPr>
            <w:r>
              <w:t>$61,995</w:t>
            </w:r>
          </w:p>
        </w:tc>
        <w:tc>
          <w:tcPr>
            <w:tcW w:w="632" w:type="pct"/>
          </w:tcPr>
          <w:p w14:paraId="6C2D76D9" w14:textId="23192382" w:rsidR="00823EDE" w:rsidRPr="008A1CCA" w:rsidRDefault="00823EDE" w:rsidP="00823EDE">
            <w:pPr>
              <w:pStyle w:val="Tabletextcentred"/>
              <w:keepNext/>
              <w:jc w:val="right"/>
            </w:pPr>
            <w:r>
              <w:t>$928,917</w:t>
            </w:r>
          </w:p>
        </w:tc>
        <w:tc>
          <w:tcPr>
            <w:tcW w:w="822" w:type="pct"/>
          </w:tcPr>
          <w:p w14:paraId="27354331" w14:textId="77777777" w:rsidR="00823EDE" w:rsidRDefault="00823EDE" w:rsidP="00823EDE">
            <w:pPr>
              <w:pStyle w:val="Tabletextcentred"/>
              <w:keepNext/>
              <w:jc w:val="right"/>
            </w:pPr>
            <w:r>
              <w:t>Calculated</w:t>
            </w:r>
          </w:p>
        </w:tc>
      </w:tr>
    </w:tbl>
    <w:p w14:paraId="06B3E827" w14:textId="444BEFDE" w:rsidR="007F6723" w:rsidRDefault="007F6723" w:rsidP="007F6723">
      <w:pPr>
        <w:pStyle w:val="Tablefootnotes"/>
      </w:pPr>
      <w:r w:rsidRPr="00F94D4D">
        <w:t>Abbreviations</w:t>
      </w:r>
      <w:r>
        <w:t>: AD, Alzheimer’s disease; FDG-PET, flu</w:t>
      </w:r>
      <w:r w:rsidR="0038452F">
        <w:t>o</w:t>
      </w:r>
      <w:r>
        <w:t>rodeoxyglucose positron emission tomography; MBS, Medicare Benefits Schedule; SPECT, single-photon emission tomography</w:t>
      </w:r>
    </w:p>
    <w:p w14:paraId="3EDDE062" w14:textId="77777777" w:rsidR="007F6723" w:rsidRDefault="007F6723" w:rsidP="007F6723">
      <w:pPr>
        <w:pStyle w:val="Tablefootnotes"/>
      </w:pPr>
      <w:r w:rsidRPr="00A10DCF">
        <w:rPr>
          <w:vertAlign w:val="superscript"/>
        </w:rPr>
        <w:t>a</w:t>
      </w:r>
      <w:r>
        <w:t xml:space="preserve"> 85% MBS benefit</w:t>
      </w:r>
    </w:p>
    <w:p w14:paraId="56F032C0" w14:textId="2C12FFF0" w:rsidR="00823EDE" w:rsidRPr="004D057E" w:rsidRDefault="00823EDE" w:rsidP="00823EDE">
      <w:pPr>
        <w:pStyle w:val="Tablefootnotes"/>
      </w:pPr>
      <w:r w:rsidRPr="00967BB0">
        <w:rPr>
          <w:vertAlign w:val="superscript"/>
        </w:rPr>
        <w:t>b</w:t>
      </w:r>
      <w:r>
        <w:t xml:space="preserve"> Calculated using non-rounded figures in financial impact model</w:t>
      </w:r>
    </w:p>
    <w:p w14:paraId="60F5DCA0" w14:textId="77777777" w:rsidR="007F6723" w:rsidRDefault="007F6723" w:rsidP="007F6723">
      <w:pPr>
        <w:pStyle w:val="Heading2"/>
      </w:pPr>
      <w:bookmarkStart w:id="306" w:name="_Toc406172445"/>
      <w:bookmarkStart w:id="307" w:name="_Toc408845189"/>
      <w:r>
        <w:t>Estimation of changes in use and cost of other medical services</w:t>
      </w:r>
      <w:bookmarkEnd w:id="306"/>
      <w:bookmarkEnd w:id="307"/>
    </w:p>
    <w:p w14:paraId="531DDBD6" w14:textId="77777777" w:rsidR="007F6723" w:rsidRDefault="007F6723" w:rsidP="007F6723">
      <w:r>
        <w:t xml:space="preserve">In the event of a successful listing on the MBS for FDG-PET, the total cost of SPECT for the same use would decrease. </w:t>
      </w:r>
      <w:r>
        <w:fldChar w:fldCharType="begin"/>
      </w:r>
      <w:r>
        <w:instrText xml:space="preserve"> REF _Ref279759508 \h </w:instrText>
      </w:r>
      <w:r>
        <w:fldChar w:fldCharType="separate"/>
      </w:r>
      <w:r w:rsidR="00C67698">
        <w:t xml:space="preserve">Table </w:t>
      </w:r>
      <w:r w:rsidR="00C67698">
        <w:rPr>
          <w:noProof/>
        </w:rPr>
        <w:t>E.2</w:t>
      </w:r>
      <w:r w:rsidR="00C67698">
        <w:noBreakHyphen/>
      </w:r>
      <w:r w:rsidR="00C67698">
        <w:rPr>
          <w:noProof/>
        </w:rPr>
        <w:t>4</w:t>
      </w:r>
      <w:r>
        <w:fldChar w:fldCharType="end"/>
      </w:r>
      <w:r>
        <w:t xml:space="preserve"> describes how FDG-PET would be used in place of SPECT in the diagnosis of AD. A consequence of this is a reduction in the cost of SPECT to the MBS. In the first year of a listing for FDG-PET, it is anticipated that the use of SPECT would fall by 199 services per year, falling further to a reduction of 1,106 in the fifth year as diagnosis relies more heavily on FDG-PET. The impact of this is presented in </w:t>
      </w:r>
      <w:r>
        <w:fldChar w:fldCharType="begin"/>
      </w:r>
      <w:r>
        <w:instrText xml:space="preserve"> REF _Ref279763057 \h </w:instrText>
      </w:r>
      <w:r>
        <w:fldChar w:fldCharType="separate"/>
      </w:r>
      <w:r w:rsidR="00C67698">
        <w:t xml:space="preserve">Table </w:t>
      </w:r>
      <w:r w:rsidR="00C67698">
        <w:rPr>
          <w:noProof/>
        </w:rPr>
        <w:t>E.3</w:t>
      </w:r>
      <w:r w:rsidR="00C67698">
        <w:noBreakHyphen/>
      </w:r>
      <w:r w:rsidR="00C67698">
        <w:rPr>
          <w:noProof/>
        </w:rPr>
        <w:t>1</w:t>
      </w:r>
      <w:r>
        <w:fldChar w:fldCharType="end"/>
      </w:r>
      <w:r>
        <w:t>.</w:t>
      </w:r>
    </w:p>
    <w:p w14:paraId="3B87884B" w14:textId="2EA8E35E" w:rsidR="007F6723" w:rsidRDefault="007F6723" w:rsidP="007F6723">
      <w:pPr>
        <w:pStyle w:val="Caption"/>
      </w:pPr>
      <w:bookmarkStart w:id="308" w:name="_Ref279763057"/>
      <w:bookmarkStart w:id="309" w:name="_Toc406172505"/>
      <w:bookmarkStart w:id="310" w:name="_Toc408845260"/>
      <w:r>
        <w:lastRenderedPageBreak/>
        <w:t xml:space="preserve">Table </w:t>
      </w:r>
      <w:fldSimple w:instr=" STYLEREF 2 \s ">
        <w:r w:rsidR="00C67698">
          <w:rPr>
            <w:noProof/>
          </w:rPr>
          <w:t>E.3</w:t>
        </w:r>
      </w:fldSimple>
      <w:r w:rsidR="00524916">
        <w:noBreakHyphen/>
      </w:r>
      <w:fldSimple w:instr=" SEQ Table \* ARABIC \s 2 ">
        <w:r w:rsidR="00C67698">
          <w:rPr>
            <w:noProof/>
          </w:rPr>
          <w:t>1</w:t>
        </w:r>
      </w:fldSimple>
      <w:bookmarkEnd w:id="308"/>
      <w:r>
        <w:tab/>
        <w:t>Estimated cost of diagnosis with SPECT in the event of a successful listing on the MBS for FDG-PET</w:t>
      </w:r>
      <w:bookmarkEnd w:id="309"/>
      <w:bookmarkEnd w:id="310"/>
    </w:p>
    <w:tbl>
      <w:tblPr>
        <w:tblStyle w:val="TableGrid"/>
        <w:tblW w:w="4610" w:type="pct"/>
        <w:tblInd w:w="704" w:type="dxa"/>
        <w:tblLayout w:type="fixed"/>
        <w:tblLook w:val="04A0" w:firstRow="1" w:lastRow="0" w:firstColumn="1" w:lastColumn="0" w:noHBand="0" w:noVBand="1"/>
        <w:tblCaption w:val="The estimated cost of diagnosis with SPECT in the event of a successful listing on the MBS for FDG-PET"/>
        <w:tblDescription w:val="The estimated cost to the MBS for AD diagnosis with SPECT, if there is an MBS listing for FDG-PET. The estimated costs are shown from 2015 to 2019."/>
      </w:tblPr>
      <w:tblGrid>
        <w:gridCol w:w="1749"/>
        <w:gridCol w:w="1114"/>
        <w:gridCol w:w="1115"/>
        <w:gridCol w:w="1115"/>
        <w:gridCol w:w="1115"/>
        <w:gridCol w:w="1115"/>
        <w:gridCol w:w="1198"/>
      </w:tblGrid>
      <w:tr w:rsidR="007F6723" w14:paraId="40E1D936" w14:textId="77777777" w:rsidTr="00823EDE">
        <w:trPr>
          <w:tblHeader/>
        </w:trPr>
        <w:tc>
          <w:tcPr>
            <w:tcW w:w="1027" w:type="pct"/>
          </w:tcPr>
          <w:p w14:paraId="59848022" w14:textId="77777777" w:rsidR="007F6723" w:rsidRDefault="007F6723" w:rsidP="00181CF8">
            <w:pPr>
              <w:pStyle w:val="Tabletextboldleft"/>
              <w:jc w:val="right"/>
            </w:pPr>
          </w:p>
        </w:tc>
        <w:tc>
          <w:tcPr>
            <w:tcW w:w="654" w:type="pct"/>
          </w:tcPr>
          <w:p w14:paraId="4B347EDA" w14:textId="77777777" w:rsidR="007F6723" w:rsidRDefault="007F6723" w:rsidP="00181CF8">
            <w:pPr>
              <w:pStyle w:val="Tabletextboldleft"/>
              <w:jc w:val="right"/>
            </w:pPr>
            <w:r>
              <w:t>2015</w:t>
            </w:r>
          </w:p>
        </w:tc>
        <w:tc>
          <w:tcPr>
            <w:tcW w:w="654" w:type="pct"/>
          </w:tcPr>
          <w:p w14:paraId="37F35D9E" w14:textId="77777777" w:rsidR="007F6723" w:rsidRDefault="007F6723" w:rsidP="00181CF8">
            <w:pPr>
              <w:pStyle w:val="Tabletextboldleft"/>
              <w:jc w:val="right"/>
            </w:pPr>
            <w:r>
              <w:t>2016</w:t>
            </w:r>
          </w:p>
        </w:tc>
        <w:tc>
          <w:tcPr>
            <w:tcW w:w="654" w:type="pct"/>
          </w:tcPr>
          <w:p w14:paraId="0E5B49DF" w14:textId="77777777" w:rsidR="007F6723" w:rsidRDefault="007F6723" w:rsidP="00181CF8">
            <w:pPr>
              <w:pStyle w:val="Tabletextboldleft"/>
              <w:jc w:val="right"/>
            </w:pPr>
            <w:r>
              <w:t>2017</w:t>
            </w:r>
          </w:p>
        </w:tc>
        <w:tc>
          <w:tcPr>
            <w:tcW w:w="654" w:type="pct"/>
          </w:tcPr>
          <w:p w14:paraId="5F2DB0D3" w14:textId="77777777" w:rsidR="007F6723" w:rsidRDefault="007F6723" w:rsidP="00181CF8">
            <w:pPr>
              <w:pStyle w:val="Tabletextboldleft"/>
              <w:jc w:val="right"/>
            </w:pPr>
            <w:r>
              <w:t>2018</w:t>
            </w:r>
          </w:p>
        </w:tc>
        <w:tc>
          <w:tcPr>
            <w:tcW w:w="654" w:type="pct"/>
          </w:tcPr>
          <w:p w14:paraId="76E56D0F" w14:textId="77777777" w:rsidR="007F6723" w:rsidRDefault="007F6723" w:rsidP="00181CF8">
            <w:pPr>
              <w:pStyle w:val="Tabletextboldleft"/>
              <w:jc w:val="right"/>
            </w:pPr>
            <w:r>
              <w:t>2019</w:t>
            </w:r>
          </w:p>
        </w:tc>
        <w:tc>
          <w:tcPr>
            <w:tcW w:w="703" w:type="pct"/>
          </w:tcPr>
          <w:p w14:paraId="5A95D38E" w14:textId="77777777" w:rsidR="007F6723" w:rsidRDefault="007F6723" w:rsidP="00181CF8">
            <w:pPr>
              <w:pStyle w:val="Tabletextboldleft"/>
              <w:jc w:val="right"/>
            </w:pPr>
            <w:r>
              <w:t>Reference</w:t>
            </w:r>
          </w:p>
        </w:tc>
      </w:tr>
      <w:tr w:rsidR="007F6723" w14:paraId="6F56BB8F" w14:textId="77777777" w:rsidTr="00823EDE">
        <w:tc>
          <w:tcPr>
            <w:tcW w:w="1027" w:type="pct"/>
          </w:tcPr>
          <w:p w14:paraId="3356B24D" w14:textId="77777777" w:rsidR="007F6723" w:rsidRPr="004D057E" w:rsidRDefault="007F6723" w:rsidP="00181CF8">
            <w:pPr>
              <w:pStyle w:val="Tabletextcentred"/>
              <w:keepNext/>
              <w:jc w:val="left"/>
            </w:pPr>
            <w:r>
              <w:t>AD diagnoses attempted using SPECT in private hospital setting, no MBS listing for FDG-PET</w:t>
            </w:r>
          </w:p>
        </w:tc>
        <w:tc>
          <w:tcPr>
            <w:tcW w:w="654" w:type="pct"/>
          </w:tcPr>
          <w:p w14:paraId="20030AF7" w14:textId="77777777" w:rsidR="007F6723" w:rsidRPr="002B244F" w:rsidRDefault="007F6723" w:rsidP="00181CF8">
            <w:pPr>
              <w:pStyle w:val="Tabletextcentred"/>
              <w:keepNext/>
              <w:jc w:val="right"/>
            </w:pPr>
            <w:r w:rsidRPr="002B244F">
              <w:t>1324</w:t>
            </w:r>
          </w:p>
        </w:tc>
        <w:tc>
          <w:tcPr>
            <w:tcW w:w="654" w:type="pct"/>
          </w:tcPr>
          <w:p w14:paraId="2FC87B26" w14:textId="77777777" w:rsidR="007F6723" w:rsidRPr="002B244F" w:rsidRDefault="007F6723" w:rsidP="00181CF8">
            <w:pPr>
              <w:pStyle w:val="Tabletextcentred"/>
              <w:keepNext/>
              <w:jc w:val="right"/>
            </w:pPr>
            <w:r w:rsidRPr="002B244F">
              <w:t>1387</w:t>
            </w:r>
          </w:p>
        </w:tc>
        <w:tc>
          <w:tcPr>
            <w:tcW w:w="654" w:type="pct"/>
          </w:tcPr>
          <w:p w14:paraId="39293D58" w14:textId="77777777" w:rsidR="007F6723" w:rsidRPr="002B244F" w:rsidRDefault="007F6723" w:rsidP="00181CF8">
            <w:pPr>
              <w:pStyle w:val="Tabletextcentred"/>
              <w:keepNext/>
              <w:jc w:val="right"/>
            </w:pPr>
            <w:r w:rsidRPr="002B244F">
              <w:t>1455</w:t>
            </w:r>
          </w:p>
        </w:tc>
        <w:tc>
          <w:tcPr>
            <w:tcW w:w="654" w:type="pct"/>
          </w:tcPr>
          <w:p w14:paraId="7E2318F4" w14:textId="77777777" w:rsidR="007F6723" w:rsidRPr="002B244F" w:rsidRDefault="007F6723" w:rsidP="00181CF8">
            <w:pPr>
              <w:pStyle w:val="Tabletextcentred"/>
              <w:keepNext/>
              <w:jc w:val="right"/>
            </w:pPr>
            <w:r w:rsidRPr="002B244F">
              <w:t>1513</w:t>
            </w:r>
          </w:p>
        </w:tc>
        <w:tc>
          <w:tcPr>
            <w:tcW w:w="654" w:type="pct"/>
          </w:tcPr>
          <w:p w14:paraId="23814D7E" w14:textId="77777777" w:rsidR="007F6723" w:rsidRPr="002B244F" w:rsidRDefault="007F6723" w:rsidP="00181CF8">
            <w:pPr>
              <w:pStyle w:val="Tabletextcentred"/>
              <w:keepNext/>
              <w:jc w:val="right"/>
            </w:pPr>
            <w:r w:rsidRPr="002B244F">
              <w:t>1581</w:t>
            </w:r>
          </w:p>
        </w:tc>
        <w:tc>
          <w:tcPr>
            <w:tcW w:w="703" w:type="pct"/>
          </w:tcPr>
          <w:p w14:paraId="32869033" w14:textId="77777777" w:rsidR="007F6723" w:rsidRDefault="007F6723" w:rsidP="00181CF8">
            <w:pPr>
              <w:pStyle w:val="Tabletextcentred"/>
              <w:keepNext/>
              <w:jc w:val="right"/>
            </w:pP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p>
        </w:tc>
      </w:tr>
      <w:tr w:rsidR="007F6723" w14:paraId="32D59159" w14:textId="77777777" w:rsidTr="00823EDE">
        <w:tc>
          <w:tcPr>
            <w:tcW w:w="1027" w:type="pct"/>
          </w:tcPr>
          <w:p w14:paraId="6D663E47" w14:textId="77777777" w:rsidR="007F6723" w:rsidRDefault="007F6723" w:rsidP="00181CF8">
            <w:pPr>
              <w:pStyle w:val="Tabletextcentred"/>
              <w:keepNext/>
              <w:jc w:val="left"/>
            </w:pPr>
            <w:r>
              <w:t>SPECT services replaced with FDG-PET</w:t>
            </w:r>
          </w:p>
        </w:tc>
        <w:tc>
          <w:tcPr>
            <w:tcW w:w="654" w:type="pct"/>
          </w:tcPr>
          <w:p w14:paraId="06702833" w14:textId="77777777" w:rsidR="007F6723" w:rsidRPr="002B244F" w:rsidRDefault="007F6723" w:rsidP="00181CF8">
            <w:pPr>
              <w:pStyle w:val="Tabletextcentred"/>
              <w:keepNext/>
              <w:jc w:val="right"/>
            </w:pPr>
            <w:r w:rsidRPr="002B244F">
              <w:t>199</w:t>
            </w:r>
          </w:p>
        </w:tc>
        <w:tc>
          <w:tcPr>
            <w:tcW w:w="654" w:type="pct"/>
          </w:tcPr>
          <w:p w14:paraId="17C2F07D" w14:textId="77777777" w:rsidR="007F6723" w:rsidRPr="002B244F" w:rsidRDefault="007F6723" w:rsidP="00181CF8">
            <w:pPr>
              <w:pStyle w:val="Tabletextcentred"/>
              <w:keepNext/>
              <w:jc w:val="right"/>
            </w:pPr>
            <w:r w:rsidRPr="002B244F">
              <w:t>416</w:t>
            </w:r>
          </w:p>
        </w:tc>
        <w:tc>
          <w:tcPr>
            <w:tcW w:w="654" w:type="pct"/>
          </w:tcPr>
          <w:p w14:paraId="2C90BB96" w14:textId="77777777" w:rsidR="007F6723" w:rsidRPr="002B244F" w:rsidRDefault="007F6723" w:rsidP="00181CF8">
            <w:pPr>
              <w:pStyle w:val="Tabletextcentred"/>
              <w:keepNext/>
              <w:jc w:val="right"/>
            </w:pPr>
            <w:r w:rsidRPr="002B244F">
              <w:t>655</w:t>
            </w:r>
          </w:p>
        </w:tc>
        <w:tc>
          <w:tcPr>
            <w:tcW w:w="654" w:type="pct"/>
          </w:tcPr>
          <w:p w14:paraId="47792A9B" w14:textId="77777777" w:rsidR="007F6723" w:rsidRPr="002B244F" w:rsidRDefault="007F6723" w:rsidP="00181CF8">
            <w:pPr>
              <w:pStyle w:val="Tabletextcentred"/>
              <w:keepNext/>
              <w:jc w:val="right"/>
            </w:pPr>
            <w:r w:rsidRPr="002B244F">
              <w:t>908</w:t>
            </w:r>
          </w:p>
        </w:tc>
        <w:tc>
          <w:tcPr>
            <w:tcW w:w="654" w:type="pct"/>
          </w:tcPr>
          <w:p w14:paraId="0E64503B" w14:textId="77777777" w:rsidR="007F6723" w:rsidRPr="002B244F" w:rsidRDefault="007F6723" w:rsidP="00181CF8">
            <w:pPr>
              <w:pStyle w:val="Tabletextcentred"/>
              <w:keepNext/>
              <w:jc w:val="right"/>
            </w:pPr>
            <w:r w:rsidRPr="002B244F">
              <w:t>1106</w:t>
            </w:r>
          </w:p>
        </w:tc>
        <w:tc>
          <w:tcPr>
            <w:tcW w:w="703" w:type="pct"/>
          </w:tcPr>
          <w:p w14:paraId="3966ABB2" w14:textId="77777777" w:rsidR="007F6723" w:rsidRDefault="007F6723" w:rsidP="00181CF8">
            <w:pPr>
              <w:pStyle w:val="Tabletextcentred"/>
              <w:keepNext/>
              <w:jc w:val="right"/>
            </w:pPr>
            <w:r>
              <w:fldChar w:fldCharType="begin"/>
            </w:r>
            <w:r>
              <w:instrText xml:space="preserve"> REF _Ref279759508 \h </w:instrText>
            </w:r>
            <w:r>
              <w:fldChar w:fldCharType="separate"/>
            </w:r>
            <w:r w:rsidR="00C67698">
              <w:t xml:space="preserve">Table </w:t>
            </w:r>
            <w:r w:rsidR="00C67698">
              <w:rPr>
                <w:noProof/>
              </w:rPr>
              <w:t>E.2</w:t>
            </w:r>
            <w:r w:rsidR="00C67698">
              <w:noBreakHyphen/>
            </w:r>
            <w:r w:rsidR="00C67698">
              <w:rPr>
                <w:noProof/>
              </w:rPr>
              <w:t>4</w:t>
            </w:r>
            <w:r>
              <w:fldChar w:fldCharType="end"/>
            </w:r>
          </w:p>
        </w:tc>
      </w:tr>
      <w:tr w:rsidR="007F6723" w14:paraId="39483AF0" w14:textId="77777777" w:rsidTr="00823EDE">
        <w:tc>
          <w:tcPr>
            <w:tcW w:w="1027" w:type="pct"/>
          </w:tcPr>
          <w:p w14:paraId="4635DA53" w14:textId="77777777" w:rsidR="007F6723" w:rsidRDefault="007F6723" w:rsidP="00181CF8">
            <w:pPr>
              <w:pStyle w:val="Tabletextcentred"/>
              <w:keepNext/>
              <w:jc w:val="left"/>
            </w:pPr>
            <w:r>
              <w:t>Net AD diagnoses attempted using SPECT in private hospital setting, with MBS listing for FDG-PET</w:t>
            </w:r>
          </w:p>
        </w:tc>
        <w:tc>
          <w:tcPr>
            <w:tcW w:w="654" w:type="pct"/>
          </w:tcPr>
          <w:p w14:paraId="1B057793" w14:textId="77777777" w:rsidR="007F6723" w:rsidRPr="002B244F" w:rsidRDefault="007F6723" w:rsidP="00181CF8">
            <w:pPr>
              <w:pStyle w:val="Tabletextcentred"/>
              <w:keepNext/>
              <w:jc w:val="right"/>
            </w:pPr>
            <w:r w:rsidRPr="002B244F">
              <w:t>1125</w:t>
            </w:r>
          </w:p>
        </w:tc>
        <w:tc>
          <w:tcPr>
            <w:tcW w:w="654" w:type="pct"/>
          </w:tcPr>
          <w:p w14:paraId="3BC8F893" w14:textId="77777777" w:rsidR="007F6723" w:rsidRPr="002B244F" w:rsidRDefault="007F6723" w:rsidP="00181CF8">
            <w:pPr>
              <w:pStyle w:val="Tabletextcentred"/>
              <w:keepNext/>
              <w:jc w:val="right"/>
            </w:pPr>
            <w:r w:rsidRPr="002B244F">
              <w:t>971</w:t>
            </w:r>
          </w:p>
        </w:tc>
        <w:tc>
          <w:tcPr>
            <w:tcW w:w="654" w:type="pct"/>
          </w:tcPr>
          <w:p w14:paraId="27F505C2" w14:textId="77777777" w:rsidR="007F6723" w:rsidRPr="002B244F" w:rsidRDefault="007F6723" w:rsidP="00181CF8">
            <w:pPr>
              <w:pStyle w:val="Tabletextcentred"/>
              <w:keepNext/>
              <w:jc w:val="right"/>
            </w:pPr>
            <w:r w:rsidRPr="002B244F">
              <w:t>800</w:t>
            </w:r>
          </w:p>
        </w:tc>
        <w:tc>
          <w:tcPr>
            <w:tcW w:w="654" w:type="pct"/>
          </w:tcPr>
          <w:p w14:paraId="7DEA9B98" w14:textId="77777777" w:rsidR="007F6723" w:rsidRPr="002B244F" w:rsidRDefault="007F6723" w:rsidP="00181CF8">
            <w:pPr>
              <w:pStyle w:val="Tabletextcentred"/>
              <w:keepNext/>
              <w:jc w:val="right"/>
            </w:pPr>
            <w:r w:rsidRPr="002B244F">
              <w:t>605</w:t>
            </w:r>
          </w:p>
        </w:tc>
        <w:tc>
          <w:tcPr>
            <w:tcW w:w="654" w:type="pct"/>
          </w:tcPr>
          <w:p w14:paraId="2C60184C" w14:textId="77777777" w:rsidR="007F6723" w:rsidRPr="002B244F" w:rsidRDefault="007F6723" w:rsidP="00181CF8">
            <w:pPr>
              <w:pStyle w:val="Tabletextcentred"/>
              <w:keepNext/>
              <w:jc w:val="right"/>
            </w:pPr>
            <w:r w:rsidRPr="002B244F">
              <w:t>474</w:t>
            </w:r>
          </w:p>
        </w:tc>
        <w:tc>
          <w:tcPr>
            <w:tcW w:w="703" w:type="pct"/>
          </w:tcPr>
          <w:p w14:paraId="7D90DBAB" w14:textId="77777777" w:rsidR="007F6723" w:rsidRDefault="007F6723" w:rsidP="00181CF8">
            <w:pPr>
              <w:pStyle w:val="Tabletextcentred"/>
              <w:keepNext/>
              <w:jc w:val="right"/>
            </w:pPr>
            <w:r>
              <w:t>Calculated</w:t>
            </w:r>
          </w:p>
        </w:tc>
      </w:tr>
      <w:tr w:rsidR="007F6723" w14:paraId="33980C22" w14:textId="77777777" w:rsidTr="00823EDE">
        <w:tc>
          <w:tcPr>
            <w:tcW w:w="1027" w:type="pct"/>
          </w:tcPr>
          <w:p w14:paraId="2309E0EE" w14:textId="77777777" w:rsidR="007F6723" w:rsidRDefault="007F6723" w:rsidP="00181CF8">
            <w:pPr>
              <w:pStyle w:val="Tabletextcentred"/>
              <w:keepNext/>
              <w:jc w:val="left"/>
            </w:pPr>
            <w:r>
              <w:t>MBS cost per service</w:t>
            </w:r>
          </w:p>
        </w:tc>
        <w:tc>
          <w:tcPr>
            <w:tcW w:w="654" w:type="pct"/>
          </w:tcPr>
          <w:p w14:paraId="4D06D8D6" w14:textId="77777777" w:rsidR="007F6723" w:rsidRPr="002B244F" w:rsidRDefault="007F6723" w:rsidP="00181CF8">
            <w:pPr>
              <w:pStyle w:val="Tabletextcentred"/>
              <w:keepNext/>
              <w:jc w:val="right"/>
              <w:rPr>
                <w:highlight w:val="yellow"/>
              </w:rPr>
            </w:pPr>
            <w:r w:rsidRPr="002B244F">
              <w:t>$526.65</w:t>
            </w:r>
          </w:p>
        </w:tc>
        <w:tc>
          <w:tcPr>
            <w:tcW w:w="654" w:type="pct"/>
          </w:tcPr>
          <w:p w14:paraId="1AB9636F" w14:textId="77777777" w:rsidR="007F6723" w:rsidRPr="002B244F" w:rsidRDefault="007F6723" w:rsidP="00181CF8">
            <w:pPr>
              <w:pStyle w:val="Tabletextcentred"/>
              <w:keepNext/>
              <w:jc w:val="right"/>
              <w:rPr>
                <w:highlight w:val="yellow"/>
              </w:rPr>
            </w:pPr>
            <w:r w:rsidRPr="00DC4F68">
              <w:t>$526.65</w:t>
            </w:r>
          </w:p>
        </w:tc>
        <w:tc>
          <w:tcPr>
            <w:tcW w:w="654" w:type="pct"/>
          </w:tcPr>
          <w:p w14:paraId="55285D0F" w14:textId="77777777" w:rsidR="007F6723" w:rsidRPr="002B244F" w:rsidRDefault="007F6723" w:rsidP="00181CF8">
            <w:pPr>
              <w:pStyle w:val="Tabletextcentred"/>
              <w:keepNext/>
              <w:jc w:val="right"/>
              <w:rPr>
                <w:highlight w:val="yellow"/>
              </w:rPr>
            </w:pPr>
            <w:r w:rsidRPr="00DC4F68">
              <w:t>$526.65</w:t>
            </w:r>
          </w:p>
        </w:tc>
        <w:tc>
          <w:tcPr>
            <w:tcW w:w="654" w:type="pct"/>
          </w:tcPr>
          <w:p w14:paraId="0886EA16" w14:textId="77777777" w:rsidR="007F6723" w:rsidRPr="002B244F" w:rsidRDefault="007F6723" w:rsidP="00181CF8">
            <w:pPr>
              <w:pStyle w:val="Tabletextcentred"/>
              <w:keepNext/>
              <w:jc w:val="right"/>
              <w:rPr>
                <w:highlight w:val="yellow"/>
              </w:rPr>
            </w:pPr>
            <w:r w:rsidRPr="00DC4F68">
              <w:t>$526.65</w:t>
            </w:r>
          </w:p>
        </w:tc>
        <w:tc>
          <w:tcPr>
            <w:tcW w:w="654" w:type="pct"/>
          </w:tcPr>
          <w:p w14:paraId="3ACEF51B" w14:textId="77777777" w:rsidR="007F6723" w:rsidRPr="002B244F" w:rsidRDefault="007F6723" w:rsidP="00181CF8">
            <w:pPr>
              <w:pStyle w:val="Tabletextcentred"/>
              <w:keepNext/>
              <w:jc w:val="right"/>
              <w:rPr>
                <w:highlight w:val="yellow"/>
              </w:rPr>
            </w:pPr>
            <w:r w:rsidRPr="00DC4F68">
              <w:t>$526.65</w:t>
            </w:r>
          </w:p>
        </w:tc>
        <w:tc>
          <w:tcPr>
            <w:tcW w:w="703" w:type="pct"/>
          </w:tcPr>
          <w:p w14:paraId="309DDF9B" w14:textId="44E36410" w:rsidR="007F6723" w:rsidRDefault="007F6723" w:rsidP="00181CF8">
            <w:pPr>
              <w:pStyle w:val="Tabletextcentred"/>
              <w:keepNext/>
              <w:jc w:val="right"/>
            </w:pPr>
            <w:r>
              <w:t xml:space="preserve">MBS </w:t>
            </w:r>
            <w:r w:rsidR="00F67E7B">
              <w:t>i</w:t>
            </w:r>
            <w:r>
              <w:t>tem 61402 (85% benefit)</w:t>
            </w:r>
          </w:p>
        </w:tc>
      </w:tr>
      <w:tr w:rsidR="00823EDE" w14:paraId="6DE3F4ED" w14:textId="77777777" w:rsidTr="00823EDE">
        <w:tc>
          <w:tcPr>
            <w:tcW w:w="1027" w:type="pct"/>
          </w:tcPr>
          <w:p w14:paraId="6B16517C" w14:textId="77777777" w:rsidR="00823EDE" w:rsidRPr="00A45238" w:rsidRDefault="00823EDE" w:rsidP="00823EDE">
            <w:pPr>
              <w:pStyle w:val="Tabletextcentred"/>
              <w:keepNext/>
              <w:jc w:val="left"/>
              <w:rPr>
                <w:vertAlign w:val="superscript"/>
              </w:rPr>
            </w:pPr>
            <w:r>
              <w:t>Cost to the MBS for AD diagnosis with SPECT, with MBS listing for FDG-PET</w:t>
            </w:r>
          </w:p>
        </w:tc>
        <w:tc>
          <w:tcPr>
            <w:tcW w:w="654" w:type="pct"/>
          </w:tcPr>
          <w:p w14:paraId="5240F9C8" w14:textId="75AEDBBC" w:rsidR="00823EDE" w:rsidRPr="006C31A5" w:rsidRDefault="00823EDE" w:rsidP="00823EDE">
            <w:pPr>
              <w:pStyle w:val="Tabletextcentred"/>
              <w:keepNext/>
              <w:jc w:val="right"/>
            </w:pPr>
            <w:r>
              <w:t>$592,514</w:t>
            </w:r>
          </w:p>
        </w:tc>
        <w:tc>
          <w:tcPr>
            <w:tcW w:w="654" w:type="pct"/>
          </w:tcPr>
          <w:p w14:paraId="21BB51B0" w14:textId="75E9CE06" w:rsidR="00823EDE" w:rsidRPr="006C31A5" w:rsidRDefault="00823EDE" w:rsidP="00823EDE">
            <w:pPr>
              <w:pStyle w:val="Tabletextcentred"/>
              <w:keepNext/>
              <w:jc w:val="right"/>
            </w:pPr>
            <w:r>
              <w:t>$511,508</w:t>
            </w:r>
          </w:p>
        </w:tc>
        <w:tc>
          <w:tcPr>
            <w:tcW w:w="654" w:type="pct"/>
          </w:tcPr>
          <w:p w14:paraId="2A399339" w14:textId="6170BEBB" w:rsidR="00823EDE" w:rsidRPr="006C31A5" w:rsidRDefault="00823EDE" w:rsidP="00823EDE">
            <w:pPr>
              <w:pStyle w:val="Tabletextcentred"/>
              <w:keepNext/>
              <w:jc w:val="right"/>
            </w:pPr>
            <w:r>
              <w:t>$421,466</w:t>
            </w:r>
          </w:p>
        </w:tc>
        <w:tc>
          <w:tcPr>
            <w:tcW w:w="654" w:type="pct"/>
          </w:tcPr>
          <w:p w14:paraId="7DD1B3B7" w14:textId="0CBA2E25" w:rsidR="00823EDE" w:rsidRPr="006C31A5" w:rsidRDefault="00823EDE" w:rsidP="00823EDE">
            <w:pPr>
              <w:pStyle w:val="Tabletextcentred"/>
              <w:keepNext/>
              <w:jc w:val="right"/>
            </w:pPr>
            <w:r>
              <w:t>$318,648</w:t>
            </w:r>
          </w:p>
        </w:tc>
        <w:tc>
          <w:tcPr>
            <w:tcW w:w="654" w:type="pct"/>
          </w:tcPr>
          <w:p w14:paraId="70E874A7" w14:textId="6A4E0B5C" w:rsidR="00823EDE" w:rsidRPr="006C31A5" w:rsidRDefault="00823EDE" w:rsidP="00823EDE">
            <w:pPr>
              <w:pStyle w:val="Tabletextcentred"/>
              <w:keepNext/>
              <w:jc w:val="right"/>
            </w:pPr>
            <w:r>
              <w:t>$249,718</w:t>
            </w:r>
          </w:p>
        </w:tc>
        <w:tc>
          <w:tcPr>
            <w:tcW w:w="703" w:type="pct"/>
          </w:tcPr>
          <w:p w14:paraId="20D03091" w14:textId="77777777" w:rsidR="00823EDE" w:rsidRDefault="00823EDE" w:rsidP="00823EDE">
            <w:pPr>
              <w:pStyle w:val="Tabletextcentred"/>
              <w:keepNext/>
              <w:jc w:val="right"/>
            </w:pPr>
            <w:r>
              <w:t>Calculated</w:t>
            </w:r>
          </w:p>
        </w:tc>
      </w:tr>
    </w:tbl>
    <w:p w14:paraId="5D382886" w14:textId="303DFBC1" w:rsidR="007F6723" w:rsidRDefault="007F6723" w:rsidP="007F6723">
      <w:pPr>
        <w:pStyle w:val="Tablefootnotes"/>
      </w:pPr>
      <w:r w:rsidRPr="00F94D4D">
        <w:t>Abbreviations</w:t>
      </w:r>
      <w:r>
        <w:t>: AD, Alzheimer’s disease; FDG-PET, flu</w:t>
      </w:r>
      <w:r w:rsidR="0038452F">
        <w:t>o</w:t>
      </w:r>
      <w:r>
        <w:t>rodeoxyglucose positron emission tomography; MBS, Medicare Benefits Schedule; SPECT, single-photon emission tomography</w:t>
      </w:r>
    </w:p>
    <w:p w14:paraId="35C2AED4" w14:textId="5756A534" w:rsidR="00823EDE" w:rsidRPr="003F1CBA" w:rsidRDefault="00823EDE" w:rsidP="007F6723">
      <w:pPr>
        <w:pStyle w:val="Tablefootnotes"/>
      </w:pPr>
      <w:r w:rsidRPr="00823EDE">
        <w:t>Note:</w:t>
      </w:r>
      <w:r w:rsidRPr="00054BA7">
        <w:rPr>
          <w:b/>
        </w:rPr>
        <w:t xml:space="preserve"> </w:t>
      </w:r>
      <w:r>
        <w:t>Figures calculated using non-rounded figures in financial impact model</w:t>
      </w:r>
    </w:p>
    <w:p w14:paraId="4E778368" w14:textId="77777777" w:rsidR="007F6723" w:rsidRDefault="007F6723" w:rsidP="007F6723">
      <w:r>
        <w:t xml:space="preserve">While </w:t>
      </w:r>
      <w:r>
        <w:fldChar w:fldCharType="begin"/>
      </w:r>
      <w:r>
        <w:instrText xml:space="preserve"> REF _Ref279760874 \h </w:instrText>
      </w:r>
      <w:r>
        <w:fldChar w:fldCharType="separate"/>
      </w:r>
      <w:r w:rsidR="00C67698">
        <w:t xml:space="preserve">Table </w:t>
      </w:r>
      <w:r w:rsidR="00C67698">
        <w:rPr>
          <w:noProof/>
        </w:rPr>
        <w:t>E.2</w:t>
      </w:r>
      <w:r w:rsidR="00C67698">
        <w:noBreakHyphen/>
      </w:r>
      <w:r w:rsidR="00C67698">
        <w:rPr>
          <w:noProof/>
        </w:rPr>
        <w:t>5</w:t>
      </w:r>
      <w:r>
        <w:fldChar w:fldCharType="end"/>
      </w:r>
      <w:r>
        <w:t xml:space="preserve"> shows that the cost to the MBS for diagnostic testing for AD is expected to increase in the event of a successful listing for FDG-PET, this represents a partial analysis. Specifically, it accounts for substitution only. It is expected, however, that there will be an increase in the use of functional imaging for this purpose if FDG-PET is listed on the MBS. Although this increase is expected to be small, omitting it from the analysis could understate the true cost to the MBS.</w:t>
      </w:r>
    </w:p>
    <w:p w14:paraId="59F907BE" w14:textId="77777777" w:rsidR="007F6723" w:rsidRDefault="007F6723" w:rsidP="007F6723">
      <w:r>
        <w:t xml:space="preserve">No data are currently available to inform any assumptions made in this regard. As such, the associated estimates are highly uncertain. It was assumed, however, that there would be a 10% increase in imaging for this purpose over a five-year period. A linear increase was assumed. The impact this has on the use of FDG-PET and the cost impact to the MBS is presented in </w:t>
      </w:r>
      <w:r>
        <w:fldChar w:fldCharType="begin"/>
      </w:r>
      <w:r>
        <w:instrText xml:space="preserve"> REF _Ref279761176 \h </w:instrText>
      </w:r>
      <w:r>
        <w:fldChar w:fldCharType="separate"/>
      </w:r>
      <w:r w:rsidR="00C67698">
        <w:t xml:space="preserve">Table </w:t>
      </w:r>
      <w:r w:rsidR="00C67698">
        <w:rPr>
          <w:noProof/>
        </w:rPr>
        <w:t>E.3</w:t>
      </w:r>
      <w:r w:rsidR="00C67698">
        <w:noBreakHyphen/>
      </w:r>
      <w:r w:rsidR="00C67698">
        <w:rPr>
          <w:noProof/>
        </w:rPr>
        <w:t>2</w:t>
      </w:r>
      <w:r>
        <w:fldChar w:fldCharType="end"/>
      </w:r>
      <w:r>
        <w:t>.</w:t>
      </w:r>
    </w:p>
    <w:p w14:paraId="41AAF17E" w14:textId="43DE6104" w:rsidR="007F6723" w:rsidRDefault="007F6723" w:rsidP="007F6723">
      <w:pPr>
        <w:pStyle w:val="Caption"/>
      </w:pPr>
      <w:bookmarkStart w:id="311" w:name="_Ref279761176"/>
      <w:bookmarkStart w:id="312" w:name="_Toc406172506"/>
      <w:bookmarkStart w:id="313" w:name="_Toc408845261"/>
      <w:r>
        <w:lastRenderedPageBreak/>
        <w:t xml:space="preserve">Table </w:t>
      </w:r>
      <w:fldSimple w:instr=" STYLEREF 2 \s ">
        <w:r w:rsidR="00C67698">
          <w:rPr>
            <w:noProof/>
          </w:rPr>
          <w:t>E.3</w:t>
        </w:r>
      </w:fldSimple>
      <w:r w:rsidR="00524916">
        <w:noBreakHyphen/>
      </w:r>
      <w:fldSimple w:instr=" SEQ Table \* ARABIC \s 2 ">
        <w:r w:rsidR="00C67698">
          <w:rPr>
            <w:noProof/>
          </w:rPr>
          <w:t>2</w:t>
        </w:r>
      </w:fldSimple>
      <w:bookmarkEnd w:id="311"/>
      <w:r>
        <w:tab/>
        <w:t>Estimated cost of diagnosis with FDG-PET, accounting for increased use in functional imaging in the event of a successful MBS listing</w:t>
      </w:r>
      <w:bookmarkEnd w:id="312"/>
      <w:bookmarkEnd w:id="313"/>
    </w:p>
    <w:tbl>
      <w:tblPr>
        <w:tblStyle w:val="TableGrid"/>
        <w:tblW w:w="4610" w:type="pct"/>
        <w:tblInd w:w="704" w:type="dxa"/>
        <w:tblLayout w:type="fixed"/>
        <w:tblLook w:val="04A0" w:firstRow="1" w:lastRow="0" w:firstColumn="1" w:lastColumn="0" w:noHBand="0" w:noVBand="1"/>
        <w:tblCaption w:val="The estimated cost of diagnosis with FDG-PET, accounting for increased use in functional imaging in the event of a successful MBS listing"/>
        <w:tblDescription w:val="The estimated costs are shown from 2015 to 2019."/>
      </w:tblPr>
      <w:tblGrid>
        <w:gridCol w:w="1748"/>
        <w:gridCol w:w="1114"/>
        <w:gridCol w:w="1114"/>
        <w:gridCol w:w="1115"/>
        <w:gridCol w:w="1115"/>
        <w:gridCol w:w="1115"/>
        <w:gridCol w:w="1200"/>
      </w:tblGrid>
      <w:tr w:rsidR="007F6723" w14:paraId="399AF372" w14:textId="77777777" w:rsidTr="00181CF8">
        <w:trPr>
          <w:tblHeader/>
        </w:trPr>
        <w:tc>
          <w:tcPr>
            <w:tcW w:w="1026" w:type="pct"/>
          </w:tcPr>
          <w:p w14:paraId="55FF5713" w14:textId="77777777" w:rsidR="007F6723" w:rsidRDefault="007F6723" w:rsidP="00181CF8">
            <w:pPr>
              <w:pStyle w:val="Tabletextboldleft"/>
              <w:jc w:val="right"/>
            </w:pPr>
          </w:p>
        </w:tc>
        <w:tc>
          <w:tcPr>
            <w:tcW w:w="654" w:type="pct"/>
          </w:tcPr>
          <w:p w14:paraId="3FBC47BF" w14:textId="77777777" w:rsidR="007F6723" w:rsidRDefault="007F6723" w:rsidP="00181CF8">
            <w:pPr>
              <w:pStyle w:val="Tabletextboldleft"/>
              <w:jc w:val="right"/>
            </w:pPr>
            <w:r>
              <w:t>2015</w:t>
            </w:r>
          </w:p>
        </w:tc>
        <w:tc>
          <w:tcPr>
            <w:tcW w:w="654" w:type="pct"/>
          </w:tcPr>
          <w:p w14:paraId="35194E0B" w14:textId="77777777" w:rsidR="007F6723" w:rsidRDefault="007F6723" w:rsidP="00181CF8">
            <w:pPr>
              <w:pStyle w:val="Tabletextboldleft"/>
              <w:jc w:val="right"/>
            </w:pPr>
            <w:r>
              <w:t>2016</w:t>
            </w:r>
          </w:p>
        </w:tc>
        <w:tc>
          <w:tcPr>
            <w:tcW w:w="654" w:type="pct"/>
          </w:tcPr>
          <w:p w14:paraId="26D3C5CD" w14:textId="77777777" w:rsidR="007F6723" w:rsidRDefault="007F6723" w:rsidP="00181CF8">
            <w:pPr>
              <w:pStyle w:val="Tabletextboldleft"/>
              <w:jc w:val="right"/>
            </w:pPr>
            <w:r>
              <w:t>2017</w:t>
            </w:r>
          </w:p>
        </w:tc>
        <w:tc>
          <w:tcPr>
            <w:tcW w:w="654" w:type="pct"/>
          </w:tcPr>
          <w:p w14:paraId="25582017" w14:textId="77777777" w:rsidR="007F6723" w:rsidRDefault="007F6723" w:rsidP="00181CF8">
            <w:pPr>
              <w:pStyle w:val="Tabletextboldleft"/>
              <w:jc w:val="right"/>
            </w:pPr>
            <w:r>
              <w:t>2018</w:t>
            </w:r>
          </w:p>
        </w:tc>
        <w:tc>
          <w:tcPr>
            <w:tcW w:w="654" w:type="pct"/>
          </w:tcPr>
          <w:p w14:paraId="40D3EB4C" w14:textId="77777777" w:rsidR="007F6723" w:rsidRDefault="007F6723" w:rsidP="00181CF8">
            <w:pPr>
              <w:pStyle w:val="Tabletextboldleft"/>
              <w:jc w:val="right"/>
            </w:pPr>
            <w:r>
              <w:t>2019</w:t>
            </w:r>
          </w:p>
        </w:tc>
        <w:tc>
          <w:tcPr>
            <w:tcW w:w="705" w:type="pct"/>
          </w:tcPr>
          <w:p w14:paraId="1CF68D64" w14:textId="77777777" w:rsidR="007F6723" w:rsidRDefault="007F6723" w:rsidP="00181CF8">
            <w:pPr>
              <w:pStyle w:val="Tabletextboldleft"/>
              <w:jc w:val="right"/>
            </w:pPr>
            <w:r>
              <w:t>Reference</w:t>
            </w:r>
          </w:p>
        </w:tc>
      </w:tr>
      <w:tr w:rsidR="007F6723" w14:paraId="420A7545" w14:textId="77777777" w:rsidTr="00181CF8">
        <w:tc>
          <w:tcPr>
            <w:tcW w:w="1026" w:type="pct"/>
          </w:tcPr>
          <w:p w14:paraId="087A2626" w14:textId="77777777" w:rsidR="007F6723" w:rsidRPr="004D057E" w:rsidRDefault="007F6723" w:rsidP="00181CF8">
            <w:pPr>
              <w:pStyle w:val="Tabletextcentred"/>
              <w:keepNext/>
              <w:jc w:val="left"/>
            </w:pPr>
            <w:r>
              <w:t>AD diagnoses attempted using FDG-PET in place of SPECT in private hospital setting</w:t>
            </w:r>
          </w:p>
        </w:tc>
        <w:tc>
          <w:tcPr>
            <w:tcW w:w="654" w:type="pct"/>
          </w:tcPr>
          <w:p w14:paraId="51162917" w14:textId="77777777" w:rsidR="007F6723" w:rsidRPr="002B244F" w:rsidRDefault="007F6723" w:rsidP="00181CF8">
            <w:pPr>
              <w:pStyle w:val="Tabletextcentred"/>
              <w:keepNext/>
              <w:jc w:val="right"/>
            </w:pPr>
            <w:r w:rsidRPr="002B244F">
              <w:t>199</w:t>
            </w:r>
          </w:p>
        </w:tc>
        <w:tc>
          <w:tcPr>
            <w:tcW w:w="654" w:type="pct"/>
          </w:tcPr>
          <w:p w14:paraId="5A33346A" w14:textId="77777777" w:rsidR="007F6723" w:rsidRPr="002B244F" w:rsidRDefault="007F6723" w:rsidP="00181CF8">
            <w:pPr>
              <w:pStyle w:val="Tabletextcentred"/>
              <w:keepNext/>
              <w:jc w:val="right"/>
            </w:pPr>
            <w:r w:rsidRPr="002B244F">
              <w:t>416</w:t>
            </w:r>
          </w:p>
        </w:tc>
        <w:tc>
          <w:tcPr>
            <w:tcW w:w="654" w:type="pct"/>
          </w:tcPr>
          <w:p w14:paraId="796EB746" w14:textId="77777777" w:rsidR="007F6723" w:rsidRPr="002B244F" w:rsidRDefault="007F6723" w:rsidP="00181CF8">
            <w:pPr>
              <w:pStyle w:val="Tabletextcentred"/>
              <w:keepNext/>
              <w:jc w:val="right"/>
            </w:pPr>
            <w:r w:rsidRPr="002B244F">
              <w:t>655</w:t>
            </w:r>
          </w:p>
        </w:tc>
        <w:tc>
          <w:tcPr>
            <w:tcW w:w="654" w:type="pct"/>
          </w:tcPr>
          <w:p w14:paraId="2779E06F" w14:textId="77777777" w:rsidR="007F6723" w:rsidRPr="002B244F" w:rsidRDefault="007F6723" w:rsidP="00181CF8">
            <w:pPr>
              <w:pStyle w:val="Tabletextcentred"/>
              <w:keepNext/>
              <w:jc w:val="right"/>
            </w:pPr>
            <w:r w:rsidRPr="002B244F">
              <w:t>908</w:t>
            </w:r>
          </w:p>
        </w:tc>
        <w:tc>
          <w:tcPr>
            <w:tcW w:w="654" w:type="pct"/>
          </w:tcPr>
          <w:p w14:paraId="09A3BA4D" w14:textId="77777777" w:rsidR="007F6723" w:rsidRPr="002B244F" w:rsidRDefault="007F6723" w:rsidP="00181CF8">
            <w:pPr>
              <w:pStyle w:val="Tabletextcentred"/>
              <w:keepNext/>
              <w:jc w:val="right"/>
            </w:pPr>
            <w:r w:rsidRPr="002B244F">
              <w:t>1106</w:t>
            </w:r>
          </w:p>
        </w:tc>
        <w:tc>
          <w:tcPr>
            <w:tcW w:w="705" w:type="pct"/>
          </w:tcPr>
          <w:p w14:paraId="692EC362" w14:textId="77777777" w:rsidR="007F6723" w:rsidRDefault="007F6723" w:rsidP="00181CF8">
            <w:pPr>
              <w:pStyle w:val="Tabletextcentred"/>
              <w:keepNext/>
              <w:jc w:val="right"/>
            </w:pPr>
            <w:r>
              <w:fldChar w:fldCharType="begin"/>
            </w:r>
            <w:r>
              <w:instrText xml:space="preserve"> REF _Ref279759508 \h </w:instrText>
            </w:r>
            <w:r>
              <w:fldChar w:fldCharType="separate"/>
            </w:r>
            <w:r w:rsidR="00C67698">
              <w:t xml:space="preserve">Table </w:t>
            </w:r>
            <w:r w:rsidR="00C67698">
              <w:rPr>
                <w:noProof/>
              </w:rPr>
              <w:t>E.2</w:t>
            </w:r>
            <w:r w:rsidR="00C67698">
              <w:noBreakHyphen/>
            </w:r>
            <w:r w:rsidR="00C67698">
              <w:rPr>
                <w:noProof/>
              </w:rPr>
              <w:t>4</w:t>
            </w:r>
            <w:r>
              <w:fldChar w:fldCharType="end"/>
            </w:r>
          </w:p>
        </w:tc>
      </w:tr>
      <w:tr w:rsidR="007F6723" w14:paraId="631E2F28" w14:textId="77777777" w:rsidTr="00181CF8">
        <w:tc>
          <w:tcPr>
            <w:tcW w:w="1026" w:type="pct"/>
          </w:tcPr>
          <w:p w14:paraId="2641BCC6" w14:textId="77777777" w:rsidR="007F6723" w:rsidRPr="008D012B" w:rsidRDefault="007F6723" w:rsidP="00181CF8">
            <w:pPr>
              <w:pStyle w:val="Tabletextcentred"/>
              <w:keepNext/>
              <w:jc w:val="left"/>
              <w:rPr>
                <w:vertAlign w:val="superscript"/>
              </w:rPr>
            </w:pPr>
            <w:r>
              <w:t xml:space="preserve">Proportionate increase in FDG-PET due to successful listing on MBS </w:t>
            </w:r>
            <w:r>
              <w:rPr>
                <w:vertAlign w:val="superscript"/>
              </w:rPr>
              <w:t>a</w:t>
            </w:r>
          </w:p>
        </w:tc>
        <w:tc>
          <w:tcPr>
            <w:tcW w:w="654" w:type="pct"/>
          </w:tcPr>
          <w:p w14:paraId="42F3B033" w14:textId="77777777" w:rsidR="007F6723" w:rsidRPr="002B244F" w:rsidRDefault="007F6723" w:rsidP="00181CF8">
            <w:pPr>
              <w:pStyle w:val="Tabletextcentred"/>
              <w:keepNext/>
              <w:jc w:val="right"/>
            </w:pPr>
            <w:r w:rsidRPr="002B244F">
              <w:t>0.0%</w:t>
            </w:r>
          </w:p>
        </w:tc>
        <w:tc>
          <w:tcPr>
            <w:tcW w:w="654" w:type="pct"/>
          </w:tcPr>
          <w:p w14:paraId="19BB7E2E" w14:textId="77777777" w:rsidR="007F6723" w:rsidRPr="002B244F" w:rsidRDefault="007F6723" w:rsidP="00181CF8">
            <w:pPr>
              <w:pStyle w:val="Tabletextcentred"/>
              <w:keepNext/>
              <w:jc w:val="right"/>
            </w:pPr>
            <w:r w:rsidRPr="002B244F">
              <w:t>2.5%</w:t>
            </w:r>
          </w:p>
        </w:tc>
        <w:tc>
          <w:tcPr>
            <w:tcW w:w="654" w:type="pct"/>
          </w:tcPr>
          <w:p w14:paraId="48E46288" w14:textId="77777777" w:rsidR="007F6723" w:rsidRPr="002B244F" w:rsidRDefault="007F6723" w:rsidP="00181CF8">
            <w:pPr>
              <w:pStyle w:val="Tabletextcentred"/>
              <w:keepNext/>
              <w:jc w:val="right"/>
            </w:pPr>
            <w:r w:rsidRPr="002B244F">
              <w:t>5.0%</w:t>
            </w:r>
          </w:p>
        </w:tc>
        <w:tc>
          <w:tcPr>
            <w:tcW w:w="654" w:type="pct"/>
          </w:tcPr>
          <w:p w14:paraId="7CA4E19B" w14:textId="77777777" w:rsidR="007F6723" w:rsidRPr="002B244F" w:rsidRDefault="007F6723" w:rsidP="00181CF8">
            <w:pPr>
              <w:pStyle w:val="Tabletextcentred"/>
              <w:keepNext/>
              <w:jc w:val="right"/>
            </w:pPr>
            <w:r w:rsidRPr="002B244F">
              <w:t>7.5%</w:t>
            </w:r>
          </w:p>
        </w:tc>
        <w:tc>
          <w:tcPr>
            <w:tcW w:w="654" w:type="pct"/>
          </w:tcPr>
          <w:p w14:paraId="5C6FEE38" w14:textId="77777777" w:rsidR="007F6723" w:rsidRPr="002B244F" w:rsidRDefault="007F6723" w:rsidP="00181CF8">
            <w:pPr>
              <w:pStyle w:val="Tabletextcentred"/>
              <w:keepNext/>
              <w:jc w:val="right"/>
            </w:pPr>
            <w:r w:rsidRPr="002B244F">
              <w:t>10.0%</w:t>
            </w:r>
          </w:p>
        </w:tc>
        <w:tc>
          <w:tcPr>
            <w:tcW w:w="705" w:type="pct"/>
          </w:tcPr>
          <w:p w14:paraId="4D12BE5F" w14:textId="77777777" w:rsidR="007F6723" w:rsidRDefault="007F6723" w:rsidP="00181CF8">
            <w:pPr>
              <w:pStyle w:val="Tabletextcentred"/>
              <w:keepNext/>
              <w:jc w:val="right"/>
            </w:pPr>
            <w:r>
              <w:t>Assumption</w:t>
            </w:r>
          </w:p>
        </w:tc>
      </w:tr>
      <w:tr w:rsidR="007F6723" w14:paraId="56E6AFA6" w14:textId="77777777" w:rsidTr="00181CF8">
        <w:tc>
          <w:tcPr>
            <w:tcW w:w="1026" w:type="pct"/>
          </w:tcPr>
          <w:p w14:paraId="1803F9E9" w14:textId="77777777" w:rsidR="007F6723" w:rsidRDefault="007F6723" w:rsidP="00181CF8">
            <w:pPr>
              <w:pStyle w:val="Tabletextcentred"/>
              <w:keepNext/>
              <w:jc w:val="left"/>
            </w:pPr>
            <w:r>
              <w:t>Total AD diagnoses attempted using FDG-PET in private hospital setting</w:t>
            </w:r>
          </w:p>
        </w:tc>
        <w:tc>
          <w:tcPr>
            <w:tcW w:w="654" w:type="pct"/>
          </w:tcPr>
          <w:p w14:paraId="6B971418" w14:textId="77777777" w:rsidR="007F6723" w:rsidRPr="002B244F" w:rsidRDefault="007F6723" w:rsidP="00181CF8">
            <w:pPr>
              <w:pStyle w:val="Tabletextcentred"/>
              <w:keepNext/>
              <w:jc w:val="right"/>
            </w:pPr>
            <w:r w:rsidRPr="002B244F">
              <w:t>199</w:t>
            </w:r>
          </w:p>
        </w:tc>
        <w:tc>
          <w:tcPr>
            <w:tcW w:w="654" w:type="pct"/>
          </w:tcPr>
          <w:p w14:paraId="1DEABC41" w14:textId="77777777" w:rsidR="007F6723" w:rsidRPr="002B244F" w:rsidRDefault="007F6723" w:rsidP="00181CF8">
            <w:pPr>
              <w:pStyle w:val="Tabletextcentred"/>
              <w:keepNext/>
              <w:jc w:val="right"/>
            </w:pPr>
            <w:r w:rsidRPr="002B244F">
              <w:t>451</w:t>
            </w:r>
          </w:p>
        </w:tc>
        <w:tc>
          <w:tcPr>
            <w:tcW w:w="654" w:type="pct"/>
          </w:tcPr>
          <w:p w14:paraId="5144D3DE" w14:textId="77777777" w:rsidR="007F6723" w:rsidRPr="002B244F" w:rsidRDefault="007F6723" w:rsidP="00181CF8">
            <w:pPr>
              <w:pStyle w:val="Tabletextcentred"/>
              <w:keepNext/>
              <w:jc w:val="right"/>
            </w:pPr>
            <w:r w:rsidRPr="002B244F">
              <w:t>728</w:t>
            </w:r>
          </w:p>
        </w:tc>
        <w:tc>
          <w:tcPr>
            <w:tcW w:w="654" w:type="pct"/>
          </w:tcPr>
          <w:p w14:paraId="5880C5B6" w14:textId="77777777" w:rsidR="007F6723" w:rsidRPr="002B244F" w:rsidRDefault="007F6723" w:rsidP="00181CF8">
            <w:pPr>
              <w:pStyle w:val="Tabletextcentred"/>
              <w:keepNext/>
              <w:jc w:val="right"/>
            </w:pPr>
            <w:r w:rsidRPr="002B244F">
              <w:t>1021</w:t>
            </w:r>
          </w:p>
        </w:tc>
        <w:tc>
          <w:tcPr>
            <w:tcW w:w="654" w:type="pct"/>
          </w:tcPr>
          <w:p w14:paraId="5F2DBDB1" w14:textId="77777777" w:rsidR="007F6723" w:rsidRPr="002B244F" w:rsidRDefault="007F6723" w:rsidP="00181CF8">
            <w:pPr>
              <w:pStyle w:val="Tabletextcentred"/>
              <w:keepNext/>
              <w:jc w:val="right"/>
            </w:pPr>
            <w:r w:rsidRPr="002B244F">
              <w:t>1264</w:t>
            </w:r>
          </w:p>
        </w:tc>
        <w:tc>
          <w:tcPr>
            <w:tcW w:w="705" w:type="pct"/>
          </w:tcPr>
          <w:p w14:paraId="78D322B0" w14:textId="77777777" w:rsidR="007F6723" w:rsidRDefault="007F6723" w:rsidP="00181CF8">
            <w:pPr>
              <w:pStyle w:val="Tabletextcentred"/>
              <w:keepNext/>
              <w:jc w:val="right"/>
            </w:pPr>
            <w:r>
              <w:t xml:space="preserve">Calculated </w:t>
            </w:r>
            <w:r w:rsidRPr="008D012B">
              <w:rPr>
                <w:vertAlign w:val="superscript"/>
              </w:rPr>
              <w:t>b</w:t>
            </w:r>
          </w:p>
        </w:tc>
      </w:tr>
      <w:tr w:rsidR="007F6723" w14:paraId="5F816830" w14:textId="77777777" w:rsidTr="00181CF8">
        <w:tc>
          <w:tcPr>
            <w:tcW w:w="1026" w:type="pct"/>
          </w:tcPr>
          <w:p w14:paraId="6AED5AEE" w14:textId="77777777" w:rsidR="007F6723" w:rsidRPr="00A45238" w:rsidRDefault="007F6723" w:rsidP="00181CF8">
            <w:pPr>
              <w:pStyle w:val="Tabletextcentred"/>
              <w:keepNext/>
              <w:jc w:val="left"/>
              <w:rPr>
                <w:vertAlign w:val="superscript"/>
              </w:rPr>
            </w:pPr>
            <w:r>
              <w:t>MBS cost per service</w:t>
            </w:r>
            <w:r>
              <w:rPr>
                <w:vertAlign w:val="superscript"/>
              </w:rPr>
              <w:t>a</w:t>
            </w:r>
          </w:p>
        </w:tc>
        <w:tc>
          <w:tcPr>
            <w:tcW w:w="654" w:type="pct"/>
          </w:tcPr>
          <w:p w14:paraId="2EC63E52" w14:textId="77777777" w:rsidR="007F6723" w:rsidRPr="00A91AB1" w:rsidRDefault="007F6723" w:rsidP="00181CF8">
            <w:pPr>
              <w:pStyle w:val="Tabletextcentred"/>
              <w:keepNext/>
              <w:jc w:val="right"/>
            </w:pPr>
            <w:r>
              <w:t>$839.60</w:t>
            </w:r>
          </w:p>
        </w:tc>
        <w:tc>
          <w:tcPr>
            <w:tcW w:w="654" w:type="pct"/>
          </w:tcPr>
          <w:p w14:paraId="06518BF6" w14:textId="77777777" w:rsidR="007F6723" w:rsidRPr="002B244F" w:rsidRDefault="007F6723" w:rsidP="00181CF8">
            <w:pPr>
              <w:pStyle w:val="Tabletextcentred"/>
              <w:keepNext/>
              <w:jc w:val="right"/>
              <w:rPr>
                <w:highlight w:val="yellow"/>
              </w:rPr>
            </w:pPr>
            <w:r w:rsidRPr="0093670B">
              <w:t>$839.60</w:t>
            </w:r>
          </w:p>
        </w:tc>
        <w:tc>
          <w:tcPr>
            <w:tcW w:w="654" w:type="pct"/>
          </w:tcPr>
          <w:p w14:paraId="01730A61" w14:textId="77777777" w:rsidR="007F6723" w:rsidRPr="002B244F" w:rsidRDefault="007F6723" w:rsidP="00181CF8">
            <w:pPr>
              <w:pStyle w:val="Tabletextcentred"/>
              <w:keepNext/>
              <w:jc w:val="right"/>
              <w:rPr>
                <w:highlight w:val="yellow"/>
              </w:rPr>
            </w:pPr>
            <w:r w:rsidRPr="0093670B">
              <w:t>$839.60</w:t>
            </w:r>
          </w:p>
        </w:tc>
        <w:tc>
          <w:tcPr>
            <w:tcW w:w="654" w:type="pct"/>
          </w:tcPr>
          <w:p w14:paraId="3561CC95" w14:textId="77777777" w:rsidR="007F6723" w:rsidRPr="002B244F" w:rsidRDefault="007F6723" w:rsidP="00181CF8">
            <w:pPr>
              <w:pStyle w:val="Tabletextcentred"/>
              <w:keepNext/>
              <w:jc w:val="right"/>
              <w:rPr>
                <w:highlight w:val="yellow"/>
              </w:rPr>
            </w:pPr>
            <w:r w:rsidRPr="0093670B">
              <w:t>$839.60</w:t>
            </w:r>
          </w:p>
        </w:tc>
        <w:tc>
          <w:tcPr>
            <w:tcW w:w="654" w:type="pct"/>
          </w:tcPr>
          <w:p w14:paraId="03F24374" w14:textId="77777777" w:rsidR="007F6723" w:rsidRPr="002B244F" w:rsidRDefault="007F6723" w:rsidP="00181CF8">
            <w:pPr>
              <w:pStyle w:val="Tabletextcentred"/>
              <w:keepNext/>
              <w:jc w:val="right"/>
              <w:rPr>
                <w:highlight w:val="yellow"/>
              </w:rPr>
            </w:pPr>
            <w:r w:rsidRPr="0093670B">
              <w:t>$839.60</w:t>
            </w:r>
          </w:p>
        </w:tc>
        <w:tc>
          <w:tcPr>
            <w:tcW w:w="705" w:type="pct"/>
          </w:tcPr>
          <w:p w14:paraId="0012778F" w14:textId="7AC941FC" w:rsidR="007F6723" w:rsidRDefault="007F6723" w:rsidP="00181CF8">
            <w:pPr>
              <w:pStyle w:val="Tabletextcentred"/>
              <w:keepNext/>
              <w:jc w:val="right"/>
            </w:pPr>
            <w:r>
              <w:t xml:space="preserve">On the basis of the listing applied to this </w:t>
            </w:r>
            <w:r w:rsidR="00B16778">
              <w:t>A</w:t>
            </w:r>
            <w:r>
              <w:t xml:space="preserve">ssessment </w:t>
            </w:r>
            <w:r w:rsidR="00B16778">
              <w:t>R</w:t>
            </w:r>
            <w:r>
              <w:t>eport</w:t>
            </w:r>
          </w:p>
        </w:tc>
      </w:tr>
      <w:tr w:rsidR="007F6723" w14:paraId="4D781CC5" w14:textId="77777777" w:rsidTr="00181CF8">
        <w:tc>
          <w:tcPr>
            <w:tcW w:w="1026" w:type="pct"/>
          </w:tcPr>
          <w:p w14:paraId="0286DEF9" w14:textId="77777777" w:rsidR="007F6723" w:rsidRDefault="007F6723" w:rsidP="00181CF8">
            <w:pPr>
              <w:pStyle w:val="Tabletextcentred"/>
              <w:keepNext/>
              <w:jc w:val="left"/>
            </w:pPr>
            <w:r>
              <w:t>Total cost of FDG-PET to the MBS in the event of a successful listing</w:t>
            </w:r>
          </w:p>
        </w:tc>
        <w:tc>
          <w:tcPr>
            <w:tcW w:w="654" w:type="pct"/>
          </w:tcPr>
          <w:p w14:paraId="0B2495EE" w14:textId="77777777" w:rsidR="007F6723" w:rsidRPr="002B244F" w:rsidRDefault="007F6723" w:rsidP="00181CF8">
            <w:pPr>
              <w:pStyle w:val="Tabletextcentred"/>
              <w:keepNext/>
              <w:jc w:val="right"/>
              <w:rPr>
                <w:highlight w:val="yellow"/>
              </w:rPr>
            </w:pPr>
            <w:r w:rsidRPr="00042617">
              <w:t>$166,694</w:t>
            </w:r>
          </w:p>
        </w:tc>
        <w:tc>
          <w:tcPr>
            <w:tcW w:w="654" w:type="pct"/>
          </w:tcPr>
          <w:p w14:paraId="15988A08" w14:textId="77777777" w:rsidR="007F6723" w:rsidRPr="002B244F" w:rsidRDefault="007F6723" w:rsidP="00181CF8">
            <w:pPr>
              <w:pStyle w:val="Tabletextcentred"/>
              <w:keepNext/>
              <w:jc w:val="right"/>
              <w:rPr>
                <w:highlight w:val="yellow"/>
              </w:rPr>
            </w:pPr>
            <w:r w:rsidRPr="00042617">
              <w:t>$378,607</w:t>
            </w:r>
          </w:p>
        </w:tc>
        <w:tc>
          <w:tcPr>
            <w:tcW w:w="654" w:type="pct"/>
          </w:tcPr>
          <w:p w14:paraId="17F412B7" w14:textId="77777777" w:rsidR="007F6723" w:rsidRPr="002B244F" w:rsidRDefault="007F6723" w:rsidP="00181CF8">
            <w:pPr>
              <w:pStyle w:val="Tabletextcentred"/>
              <w:keepNext/>
              <w:jc w:val="right"/>
              <w:rPr>
                <w:highlight w:val="yellow"/>
              </w:rPr>
            </w:pPr>
            <w:r w:rsidRPr="00042617">
              <w:t>$610,829</w:t>
            </w:r>
          </w:p>
        </w:tc>
        <w:tc>
          <w:tcPr>
            <w:tcW w:w="654" w:type="pct"/>
          </w:tcPr>
          <w:p w14:paraId="097EBB75" w14:textId="77777777" w:rsidR="007F6723" w:rsidRPr="002B244F" w:rsidRDefault="007F6723" w:rsidP="00181CF8">
            <w:pPr>
              <w:pStyle w:val="Tabletextcentred"/>
              <w:keepNext/>
              <w:jc w:val="right"/>
              <w:rPr>
                <w:highlight w:val="yellow"/>
              </w:rPr>
            </w:pPr>
            <w:r w:rsidRPr="00042617">
              <w:t>$857,245</w:t>
            </w:r>
          </w:p>
        </w:tc>
        <w:tc>
          <w:tcPr>
            <w:tcW w:w="654" w:type="pct"/>
          </w:tcPr>
          <w:p w14:paraId="5DEA1F7A" w14:textId="77777777" w:rsidR="007F6723" w:rsidRPr="002B244F" w:rsidRDefault="007F6723" w:rsidP="00181CF8">
            <w:pPr>
              <w:pStyle w:val="Tabletextcentred"/>
              <w:keepNext/>
              <w:jc w:val="right"/>
              <w:rPr>
                <w:highlight w:val="yellow"/>
              </w:rPr>
            </w:pPr>
            <w:r w:rsidRPr="00042617">
              <w:t>$1,061,620</w:t>
            </w:r>
          </w:p>
        </w:tc>
        <w:tc>
          <w:tcPr>
            <w:tcW w:w="705" w:type="pct"/>
          </w:tcPr>
          <w:p w14:paraId="79C674B4" w14:textId="77777777" w:rsidR="007F6723" w:rsidRDefault="007F6723" w:rsidP="00181CF8">
            <w:pPr>
              <w:pStyle w:val="Tabletextcentred"/>
              <w:keepNext/>
              <w:jc w:val="right"/>
            </w:pPr>
            <w:r>
              <w:t>Calculated</w:t>
            </w:r>
          </w:p>
        </w:tc>
      </w:tr>
    </w:tbl>
    <w:p w14:paraId="13F48351" w14:textId="54EFE85D" w:rsidR="007F6723" w:rsidRDefault="007F6723" w:rsidP="007F6723">
      <w:pPr>
        <w:pStyle w:val="Tablefootnotes"/>
      </w:pPr>
      <w:r w:rsidRPr="00F94D4D">
        <w:t>Abbreviations</w:t>
      </w:r>
      <w:r>
        <w:t>: AD, Alzheimer’s disease; FDG-PET, flu</w:t>
      </w:r>
      <w:r w:rsidR="0038452F">
        <w:t>o</w:t>
      </w:r>
      <w:r>
        <w:t>rodeoxyglucose positron emission tomography; MBS, Medicare Benefits Schedule; SPECT, single-photon emission tomography</w:t>
      </w:r>
    </w:p>
    <w:p w14:paraId="06EBD59B" w14:textId="43CB5B71" w:rsidR="00823EDE" w:rsidRDefault="00823EDE" w:rsidP="00823EDE">
      <w:pPr>
        <w:pStyle w:val="Tablefootnotes"/>
      </w:pPr>
      <w:r w:rsidRPr="00823EDE">
        <w:t>Note:</w:t>
      </w:r>
      <w:r w:rsidRPr="00054BA7">
        <w:rPr>
          <w:b/>
        </w:rPr>
        <w:t xml:space="preserve"> </w:t>
      </w:r>
      <w:r>
        <w:t>Figures calculated using non-rounded figures in financial impact model</w:t>
      </w:r>
    </w:p>
    <w:p w14:paraId="265E746C" w14:textId="77777777" w:rsidR="007F6723" w:rsidRDefault="007F6723" w:rsidP="007F6723">
      <w:pPr>
        <w:pStyle w:val="Tablefootnotes"/>
      </w:pPr>
      <w:r w:rsidRPr="002B244F">
        <w:rPr>
          <w:vertAlign w:val="superscript"/>
        </w:rPr>
        <w:t>a</w:t>
      </w:r>
      <w:r>
        <w:t xml:space="preserve"> Increase relative to SPECT in the case of no listing for FDG-PET on the MBS</w:t>
      </w:r>
    </w:p>
    <w:p w14:paraId="10A51D57" w14:textId="77777777" w:rsidR="007F6723" w:rsidRDefault="007F6723" w:rsidP="007F6723">
      <w:pPr>
        <w:pStyle w:val="Tablefootnotes"/>
      </w:pPr>
      <w:r w:rsidRPr="002B244F">
        <w:rPr>
          <w:vertAlign w:val="superscript"/>
        </w:rPr>
        <w:t>b</w:t>
      </w:r>
      <w:r>
        <w:t xml:space="preserve"> Product of proportion in row above and the SPECT numbers presented in </w:t>
      </w: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r>
        <w:t>, added to the FDG-PET estimates in the first row</w:t>
      </w:r>
    </w:p>
    <w:p w14:paraId="29635EBC" w14:textId="77777777" w:rsidR="007F6723" w:rsidRDefault="007F6723" w:rsidP="007F6723">
      <w:r>
        <w:t xml:space="preserve">In addition to the direct cost of diagnostic testing, both SPECT and FDG-PET will incur associated costs for consultations. In both cases, it was assumed that individuals undergoing diagnostic testing would require an initial specialist consultation to refer the individual (MBS item 110) for testing as well as a follow-up consultation (MBS item 116). The total cost associated with these is presented in </w:t>
      </w:r>
      <w:r>
        <w:fldChar w:fldCharType="begin"/>
      </w:r>
      <w:r>
        <w:instrText xml:space="preserve"> REF _Ref279763435 \h </w:instrText>
      </w:r>
      <w:r>
        <w:fldChar w:fldCharType="separate"/>
      </w:r>
      <w:r w:rsidR="00C67698">
        <w:t xml:space="preserve">Table </w:t>
      </w:r>
      <w:r w:rsidR="00C67698">
        <w:rPr>
          <w:noProof/>
        </w:rPr>
        <w:t>E.3</w:t>
      </w:r>
      <w:r w:rsidR="00C67698">
        <w:noBreakHyphen/>
      </w:r>
      <w:r w:rsidR="00C67698">
        <w:rPr>
          <w:noProof/>
        </w:rPr>
        <w:t>3</w:t>
      </w:r>
      <w:r>
        <w:fldChar w:fldCharType="end"/>
      </w:r>
      <w:r>
        <w:t xml:space="preserve"> (applying the 85% benefit).</w:t>
      </w:r>
    </w:p>
    <w:p w14:paraId="64361AC0" w14:textId="6DDD55CE" w:rsidR="007F6723" w:rsidRDefault="007F6723" w:rsidP="007F6723">
      <w:pPr>
        <w:pStyle w:val="Caption"/>
      </w:pPr>
      <w:bookmarkStart w:id="314" w:name="_Ref279763435"/>
      <w:bookmarkStart w:id="315" w:name="_Toc406172507"/>
      <w:bookmarkStart w:id="316" w:name="_Toc408845262"/>
      <w:r>
        <w:lastRenderedPageBreak/>
        <w:t xml:space="preserve">Table </w:t>
      </w:r>
      <w:fldSimple w:instr=" STYLEREF 2 \s ">
        <w:r w:rsidR="00C67698">
          <w:rPr>
            <w:noProof/>
          </w:rPr>
          <w:t>E.3</w:t>
        </w:r>
      </w:fldSimple>
      <w:r w:rsidR="00524916">
        <w:noBreakHyphen/>
      </w:r>
      <w:fldSimple w:instr=" SEQ Table \* ARABIC \s 2 ">
        <w:r w:rsidR="00C67698">
          <w:rPr>
            <w:noProof/>
          </w:rPr>
          <w:t>3</w:t>
        </w:r>
      </w:fldSimple>
      <w:bookmarkEnd w:id="314"/>
      <w:r>
        <w:tab/>
        <w:t>Estimated cost of consultations associated with diagnostic testing</w:t>
      </w:r>
      <w:bookmarkEnd w:id="315"/>
      <w:bookmarkEnd w:id="316"/>
    </w:p>
    <w:tbl>
      <w:tblPr>
        <w:tblStyle w:val="TableGrid"/>
        <w:tblW w:w="4610" w:type="pct"/>
        <w:tblInd w:w="704" w:type="dxa"/>
        <w:tblLayout w:type="fixed"/>
        <w:tblLook w:val="04A0" w:firstRow="1" w:lastRow="0" w:firstColumn="1" w:lastColumn="0" w:noHBand="0" w:noVBand="1"/>
        <w:tblCaption w:val="The estimated cost of consultations associated with diagnostic testing"/>
        <w:tblDescription w:val="The estimated costs with and without an MBS listing for FDG-PET. The table shows estimates from 2015 to 2019."/>
      </w:tblPr>
      <w:tblGrid>
        <w:gridCol w:w="1893"/>
        <w:gridCol w:w="1075"/>
        <w:gridCol w:w="1075"/>
        <w:gridCol w:w="1075"/>
        <w:gridCol w:w="1075"/>
        <w:gridCol w:w="1074"/>
        <w:gridCol w:w="1254"/>
      </w:tblGrid>
      <w:tr w:rsidR="007F6723" w14:paraId="2A54CD57" w14:textId="77777777" w:rsidTr="00181CF8">
        <w:trPr>
          <w:tblHeader/>
        </w:trPr>
        <w:tc>
          <w:tcPr>
            <w:tcW w:w="1110" w:type="pct"/>
          </w:tcPr>
          <w:p w14:paraId="0AAD2A65" w14:textId="77777777" w:rsidR="007F6723" w:rsidRDefault="007F6723" w:rsidP="00181CF8">
            <w:pPr>
              <w:pStyle w:val="Tabletextboldleft"/>
              <w:jc w:val="right"/>
            </w:pPr>
          </w:p>
        </w:tc>
        <w:tc>
          <w:tcPr>
            <w:tcW w:w="631" w:type="pct"/>
          </w:tcPr>
          <w:p w14:paraId="304014B9" w14:textId="77777777" w:rsidR="007F6723" w:rsidRDefault="007F6723" w:rsidP="00181CF8">
            <w:pPr>
              <w:pStyle w:val="Tabletextboldleft"/>
              <w:jc w:val="right"/>
            </w:pPr>
            <w:r>
              <w:t>2015</w:t>
            </w:r>
          </w:p>
        </w:tc>
        <w:tc>
          <w:tcPr>
            <w:tcW w:w="631" w:type="pct"/>
          </w:tcPr>
          <w:p w14:paraId="2567C13E" w14:textId="77777777" w:rsidR="007F6723" w:rsidRDefault="007F6723" w:rsidP="00181CF8">
            <w:pPr>
              <w:pStyle w:val="Tabletextboldleft"/>
              <w:jc w:val="right"/>
            </w:pPr>
            <w:r>
              <w:t>2016</w:t>
            </w:r>
          </w:p>
        </w:tc>
        <w:tc>
          <w:tcPr>
            <w:tcW w:w="631" w:type="pct"/>
          </w:tcPr>
          <w:p w14:paraId="186D3EAB" w14:textId="77777777" w:rsidR="007F6723" w:rsidRDefault="007F6723" w:rsidP="00181CF8">
            <w:pPr>
              <w:pStyle w:val="Tabletextboldleft"/>
              <w:jc w:val="right"/>
            </w:pPr>
            <w:r>
              <w:t>2017</w:t>
            </w:r>
          </w:p>
        </w:tc>
        <w:tc>
          <w:tcPr>
            <w:tcW w:w="631" w:type="pct"/>
          </w:tcPr>
          <w:p w14:paraId="3209E31D" w14:textId="77777777" w:rsidR="007F6723" w:rsidRDefault="007F6723" w:rsidP="00181CF8">
            <w:pPr>
              <w:pStyle w:val="Tabletextboldleft"/>
              <w:jc w:val="right"/>
            </w:pPr>
            <w:r>
              <w:t>2018</w:t>
            </w:r>
          </w:p>
        </w:tc>
        <w:tc>
          <w:tcPr>
            <w:tcW w:w="630" w:type="pct"/>
          </w:tcPr>
          <w:p w14:paraId="405AA3D4" w14:textId="77777777" w:rsidR="007F6723" w:rsidRDefault="007F6723" w:rsidP="00181CF8">
            <w:pPr>
              <w:pStyle w:val="Tabletextboldleft"/>
              <w:jc w:val="right"/>
            </w:pPr>
            <w:r>
              <w:t>2019</w:t>
            </w:r>
          </w:p>
        </w:tc>
        <w:tc>
          <w:tcPr>
            <w:tcW w:w="736" w:type="pct"/>
          </w:tcPr>
          <w:p w14:paraId="704BE31D" w14:textId="77777777" w:rsidR="007F6723" w:rsidRDefault="007F6723" w:rsidP="00181CF8">
            <w:pPr>
              <w:pStyle w:val="Tabletextboldleft"/>
              <w:jc w:val="right"/>
            </w:pPr>
            <w:r>
              <w:t>Reference</w:t>
            </w:r>
          </w:p>
        </w:tc>
      </w:tr>
      <w:tr w:rsidR="007F6723" w14:paraId="77D6956B" w14:textId="77777777" w:rsidTr="00181CF8">
        <w:trPr>
          <w:tblHeader/>
        </w:trPr>
        <w:tc>
          <w:tcPr>
            <w:tcW w:w="1110" w:type="pct"/>
          </w:tcPr>
          <w:p w14:paraId="12565B8C" w14:textId="77777777" w:rsidR="007F6723" w:rsidRPr="00405358" w:rsidRDefault="007F6723" w:rsidP="00181CF8">
            <w:pPr>
              <w:pStyle w:val="Tabletextboldleft"/>
              <w:rPr>
                <w:b w:val="0"/>
              </w:rPr>
            </w:pPr>
            <w:r>
              <w:rPr>
                <w:b w:val="0"/>
              </w:rPr>
              <w:t>Unit cost of initial specialist consultation (85% benefit)</w:t>
            </w:r>
          </w:p>
        </w:tc>
        <w:tc>
          <w:tcPr>
            <w:tcW w:w="631" w:type="pct"/>
          </w:tcPr>
          <w:p w14:paraId="1602D4A4" w14:textId="77777777" w:rsidR="007F6723" w:rsidRPr="00405358" w:rsidRDefault="007F6723" w:rsidP="00181CF8">
            <w:pPr>
              <w:pStyle w:val="Tabletextboldleft"/>
              <w:jc w:val="right"/>
              <w:rPr>
                <w:b w:val="0"/>
              </w:rPr>
            </w:pPr>
            <w:r>
              <w:rPr>
                <w:b w:val="0"/>
              </w:rPr>
              <w:t>$128.30</w:t>
            </w:r>
          </w:p>
        </w:tc>
        <w:tc>
          <w:tcPr>
            <w:tcW w:w="631" w:type="pct"/>
          </w:tcPr>
          <w:p w14:paraId="05A455B3" w14:textId="77777777" w:rsidR="007F6723" w:rsidRPr="00405358" w:rsidRDefault="007F6723" w:rsidP="00181CF8">
            <w:pPr>
              <w:pStyle w:val="Tabletextboldleft"/>
              <w:jc w:val="right"/>
              <w:rPr>
                <w:b w:val="0"/>
              </w:rPr>
            </w:pPr>
            <w:r>
              <w:rPr>
                <w:b w:val="0"/>
              </w:rPr>
              <w:t>$128.30</w:t>
            </w:r>
          </w:p>
        </w:tc>
        <w:tc>
          <w:tcPr>
            <w:tcW w:w="631" w:type="pct"/>
          </w:tcPr>
          <w:p w14:paraId="0C785766" w14:textId="77777777" w:rsidR="007F6723" w:rsidRPr="00405358" w:rsidRDefault="007F6723" w:rsidP="00181CF8">
            <w:pPr>
              <w:pStyle w:val="Tabletextboldleft"/>
              <w:jc w:val="right"/>
              <w:rPr>
                <w:b w:val="0"/>
              </w:rPr>
            </w:pPr>
            <w:r>
              <w:rPr>
                <w:b w:val="0"/>
              </w:rPr>
              <w:t>$128.30</w:t>
            </w:r>
          </w:p>
        </w:tc>
        <w:tc>
          <w:tcPr>
            <w:tcW w:w="631" w:type="pct"/>
          </w:tcPr>
          <w:p w14:paraId="7FBD8D56" w14:textId="77777777" w:rsidR="007F6723" w:rsidRPr="00405358" w:rsidRDefault="007F6723" w:rsidP="00181CF8">
            <w:pPr>
              <w:pStyle w:val="Tabletextboldleft"/>
              <w:jc w:val="right"/>
              <w:rPr>
                <w:b w:val="0"/>
              </w:rPr>
            </w:pPr>
            <w:r>
              <w:rPr>
                <w:b w:val="0"/>
              </w:rPr>
              <w:t>$128.30</w:t>
            </w:r>
          </w:p>
        </w:tc>
        <w:tc>
          <w:tcPr>
            <w:tcW w:w="630" w:type="pct"/>
          </w:tcPr>
          <w:p w14:paraId="25E41FAB" w14:textId="77777777" w:rsidR="007F6723" w:rsidRPr="00405358" w:rsidRDefault="007F6723" w:rsidP="00181CF8">
            <w:pPr>
              <w:pStyle w:val="Tabletextboldleft"/>
              <w:jc w:val="right"/>
              <w:rPr>
                <w:b w:val="0"/>
              </w:rPr>
            </w:pPr>
            <w:r>
              <w:rPr>
                <w:b w:val="0"/>
              </w:rPr>
              <w:t>$128.30</w:t>
            </w:r>
          </w:p>
        </w:tc>
        <w:tc>
          <w:tcPr>
            <w:tcW w:w="736" w:type="pct"/>
          </w:tcPr>
          <w:p w14:paraId="3B9FADAD" w14:textId="4B013CB6" w:rsidR="007F6723" w:rsidRPr="00405358" w:rsidRDefault="007F6723" w:rsidP="00181CF8">
            <w:pPr>
              <w:pStyle w:val="Tabletextboldleft"/>
              <w:jc w:val="right"/>
              <w:rPr>
                <w:b w:val="0"/>
              </w:rPr>
            </w:pPr>
            <w:r>
              <w:rPr>
                <w:b w:val="0"/>
              </w:rPr>
              <w:t xml:space="preserve">MBS </w:t>
            </w:r>
            <w:r w:rsidR="00F67E7B">
              <w:rPr>
                <w:b w:val="0"/>
              </w:rPr>
              <w:t>i</w:t>
            </w:r>
            <w:r>
              <w:rPr>
                <w:b w:val="0"/>
              </w:rPr>
              <w:t>tem 110</w:t>
            </w:r>
          </w:p>
        </w:tc>
      </w:tr>
      <w:tr w:rsidR="007F6723" w14:paraId="7C5AAEA7" w14:textId="77777777" w:rsidTr="00181CF8">
        <w:trPr>
          <w:tblHeader/>
        </w:trPr>
        <w:tc>
          <w:tcPr>
            <w:tcW w:w="1110" w:type="pct"/>
            <w:tcBorders>
              <w:bottom w:val="single" w:sz="4" w:space="0" w:color="auto"/>
            </w:tcBorders>
          </w:tcPr>
          <w:p w14:paraId="7E2F2653" w14:textId="77777777" w:rsidR="007F6723" w:rsidRDefault="007F6723" w:rsidP="00181CF8">
            <w:pPr>
              <w:pStyle w:val="Tabletextboldleft"/>
              <w:rPr>
                <w:b w:val="0"/>
              </w:rPr>
            </w:pPr>
            <w:r>
              <w:rPr>
                <w:b w:val="0"/>
              </w:rPr>
              <w:t>Unit cost of follow-up specialist consultation (85% benefit)</w:t>
            </w:r>
          </w:p>
        </w:tc>
        <w:tc>
          <w:tcPr>
            <w:tcW w:w="631" w:type="pct"/>
            <w:tcBorders>
              <w:bottom w:val="single" w:sz="4" w:space="0" w:color="auto"/>
            </w:tcBorders>
          </w:tcPr>
          <w:p w14:paraId="71DE331D" w14:textId="77777777" w:rsidR="007F6723" w:rsidRPr="00405358" w:rsidRDefault="007F6723" w:rsidP="00181CF8">
            <w:pPr>
              <w:pStyle w:val="Tabletextboldleft"/>
              <w:jc w:val="right"/>
              <w:rPr>
                <w:b w:val="0"/>
              </w:rPr>
            </w:pPr>
            <w:r>
              <w:rPr>
                <w:b w:val="0"/>
              </w:rPr>
              <w:t>$64.20</w:t>
            </w:r>
          </w:p>
        </w:tc>
        <w:tc>
          <w:tcPr>
            <w:tcW w:w="631" w:type="pct"/>
            <w:tcBorders>
              <w:bottom w:val="single" w:sz="4" w:space="0" w:color="auto"/>
            </w:tcBorders>
          </w:tcPr>
          <w:p w14:paraId="745BCE34" w14:textId="77777777" w:rsidR="007F6723" w:rsidRPr="00405358" w:rsidRDefault="007F6723" w:rsidP="00181CF8">
            <w:pPr>
              <w:pStyle w:val="Tabletextboldleft"/>
              <w:jc w:val="right"/>
              <w:rPr>
                <w:b w:val="0"/>
              </w:rPr>
            </w:pPr>
            <w:r>
              <w:rPr>
                <w:b w:val="0"/>
              </w:rPr>
              <w:t>$64.20</w:t>
            </w:r>
          </w:p>
        </w:tc>
        <w:tc>
          <w:tcPr>
            <w:tcW w:w="631" w:type="pct"/>
            <w:tcBorders>
              <w:bottom w:val="single" w:sz="4" w:space="0" w:color="auto"/>
            </w:tcBorders>
          </w:tcPr>
          <w:p w14:paraId="010285AC" w14:textId="77777777" w:rsidR="007F6723" w:rsidRPr="00405358" w:rsidRDefault="007F6723" w:rsidP="00181CF8">
            <w:pPr>
              <w:pStyle w:val="Tabletextboldleft"/>
              <w:jc w:val="right"/>
              <w:rPr>
                <w:b w:val="0"/>
              </w:rPr>
            </w:pPr>
            <w:r>
              <w:rPr>
                <w:b w:val="0"/>
              </w:rPr>
              <w:t>$64.20</w:t>
            </w:r>
          </w:p>
        </w:tc>
        <w:tc>
          <w:tcPr>
            <w:tcW w:w="631" w:type="pct"/>
            <w:tcBorders>
              <w:bottom w:val="single" w:sz="4" w:space="0" w:color="auto"/>
            </w:tcBorders>
          </w:tcPr>
          <w:p w14:paraId="58CED6CC" w14:textId="77777777" w:rsidR="007F6723" w:rsidRPr="00405358" w:rsidRDefault="007F6723" w:rsidP="00181CF8">
            <w:pPr>
              <w:pStyle w:val="Tabletextboldleft"/>
              <w:jc w:val="right"/>
              <w:rPr>
                <w:b w:val="0"/>
              </w:rPr>
            </w:pPr>
            <w:r>
              <w:rPr>
                <w:b w:val="0"/>
              </w:rPr>
              <w:t>$64.20</w:t>
            </w:r>
          </w:p>
        </w:tc>
        <w:tc>
          <w:tcPr>
            <w:tcW w:w="630" w:type="pct"/>
            <w:tcBorders>
              <w:bottom w:val="single" w:sz="4" w:space="0" w:color="auto"/>
            </w:tcBorders>
          </w:tcPr>
          <w:p w14:paraId="12133C9C" w14:textId="77777777" w:rsidR="007F6723" w:rsidRPr="00405358" w:rsidRDefault="007F6723" w:rsidP="00181CF8">
            <w:pPr>
              <w:pStyle w:val="Tabletextboldleft"/>
              <w:jc w:val="right"/>
              <w:rPr>
                <w:b w:val="0"/>
              </w:rPr>
            </w:pPr>
            <w:r>
              <w:rPr>
                <w:b w:val="0"/>
              </w:rPr>
              <w:t>$64.20</w:t>
            </w:r>
          </w:p>
        </w:tc>
        <w:tc>
          <w:tcPr>
            <w:tcW w:w="736" w:type="pct"/>
          </w:tcPr>
          <w:p w14:paraId="0708EC37" w14:textId="0009ADC8" w:rsidR="007F6723" w:rsidRPr="00405358" w:rsidRDefault="007F6723" w:rsidP="00181CF8">
            <w:pPr>
              <w:pStyle w:val="Tabletextboldleft"/>
              <w:jc w:val="right"/>
              <w:rPr>
                <w:b w:val="0"/>
              </w:rPr>
            </w:pPr>
            <w:r>
              <w:rPr>
                <w:b w:val="0"/>
              </w:rPr>
              <w:t xml:space="preserve">MBS </w:t>
            </w:r>
            <w:r w:rsidR="00F67E7B">
              <w:rPr>
                <w:b w:val="0"/>
              </w:rPr>
              <w:t>i</w:t>
            </w:r>
            <w:r>
              <w:rPr>
                <w:b w:val="0"/>
              </w:rPr>
              <w:t>tem 116</w:t>
            </w:r>
          </w:p>
        </w:tc>
      </w:tr>
      <w:tr w:rsidR="007F6723" w14:paraId="0E959E55" w14:textId="77777777" w:rsidTr="00537C67">
        <w:trPr>
          <w:tblHeader/>
        </w:trPr>
        <w:tc>
          <w:tcPr>
            <w:tcW w:w="1110" w:type="pct"/>
            <w:tcBorders>
              <w:right w:val="nil"/>
            </w:tcBorders>
            <w:shd w:val="clear" w:color="auto" w:fill="BFBFBF" w:themeFill="background1" w:themeFillShade="BF"/>
          </w:tcPr>
          <w:p w14:paraId="3DEB311B" w14:textId="77777777" w:rsidR="007F6723" w:rsidRPr="00537C67" w:rsidRDefault="007F6723" w:rsidP="00181CF8">
            <w:pPr>
              <w:pStyle w:val="Tabletextboldleft"/>
              <w:rPr>
                <w:b w:val="0"/>
              </w:rPr>
            </w:pPr>
            <w:r w:rsidRPr="00537C67">
              <w:rPr>
                <w:b w:val="0"/>
              </w:rPr>
              <w:t>No MBS listing for FDG-PET</w:t>
            </w:r>
          </w:p>
        </w:tc>
        <w:tc>
          <w:tcPr>
            <w:tcW w:w="631" w:type="pct"/>
            <w:tcBorders>
              <w:left w:val="nil"/>
              <w:right w:val="nil"/>
            </w:tcBorders>
            <w:shd w:val="clear" w:color="auto" w:fill="BFBFBF" w:themeFill="background1" w:themeFillShade="BF"/>
          </w:tcPr>
          <w:p w14:paraId="02C7BD24" w14:textId="77777777" w:rsidR="007F6723" w:rsidRPr="00537C67" w:rsidRDefault="007F6723" w:rsidP="00181CF8">
            <w:pPr>
              <w:pStyle w:val="Tabletextboldleft"/>
              <w:jc w:val="right"/>
              <w:rPr>
                <w:b w:val="0"/>
              </w:rPr>
            </w:pPr>
            <w:r w:rsidRPr="00537C67">
              <w:rPr>
                <w:b w:val="0"/>
              </w:rPr>
              <w:t>-</w:t>
            </w:r>
          </w:p>
        </w:tc>
        <w:tc>
          <w:tcPr>
            <w:tcW w:w="631" w:type="pct"/>
            <w:tcBorders>
              <w:left w:val="nil"/>
              <w:right w:val="nil"/>
            </w:tcBorders>
            <w:shd w:val="clear" w:color="auto" w:fill="BFBFBF" w:themeFill="background1" w:themeFillShade="BF"/>
          </w:tcPr>
          <w:p w14:paraId="43AFC9DF" w14:textId="77777777" w:rsidR="007F6723" w:rsidRPr="00537C67" w:rsidRDefault="007F6723" w:rsidP="00181CF8">
            <w:pPr>
              <w:pStyle w:val="Tabletextboldleft"/>
              <w:jc w:val="right"/>
              <w:rPr>
                <w:b w:val="0"/>
              </w:rPr>
            </w:pPr>
            <w:r w:rsidRPr="00537C67">
              <w:rPr>
                <w:b w:val="0"/>
              </w:rPr>
              <w:t>-</w:t>
            </w:r>
          </w:p>
        </w:tc>
        <w:tc>
          <w:tcPr>
            <w:tcW w:w="631" w:type="pct"/>
            <w:tcBorders>
              <w:left w:val="nil"/>
              <w:right w:val="nil"/>
            </w:tcBorders>
            <w:shd w:val="clear" w:color="auto" w:fill="BFBFBF" w:themeFill="background1" w:themeFillShade="BF"/>
          </w:tcPr>
          <w:p w14:paraId="49E047E8" w14:textId="77777777" w:rsidR="007F6723" w:rsidRPr="00537C67" w:rsidRDefault="007F6723" w:rsidP="00181CF8">
            <w:pPr>
              <w:pStyle w:val="Tabletextboldleft"/>
              <w:jc w:val="right"/>
              <w:rPr>
                <w:b w:val="0"/>
              </w:rPr>
            </w:pPr>
            <w:r w:rsidRPr="00537C67">
              <w:rPr>
                <w:b w:val="0"/>
              </w:rPr>
              <w:t>-</w:t>
            </w:r>
          </w:p>
        </w:tc>
        <w:tc>
          <w:tcPr>
            <w:tcW w:w="631" w:type="pct"/>
            <w:tcBorders>
              <w:left w:val="nil"/>
              <w:right w:val="nil"/>
            </w:tcBorders>
            <w:shd w:val="clear" w:color="auto" w:fill="BFBFBF" w:themeFill="background1" w:themeFillShade="BF"/>
          </w:tcPr>
          <w:p w14:paraId="3C335C3C" w14:textId="77777777" w:rsidR="007F6723" w:rsidRPr="00537C67" w:rsidRDefault="007F6723" w:rsidP="00181CF8">
            <w:pPr>
              <w:pStyle w:val="Tabletextboldleft"/>
              <w:jc w:val="right"/>
              <w:rPr>
                <w:b w:val="0"/>
              </w:rPr>
            </w:pPr>
            <w:r w:rsidRPr="00537C67">
              <w:rPr>
                <w:b w:val="0"/>
              </w:rPr>
              <w:t>-</w:t>
            </w:r>
          </w:p>
        </w:tc>
        <w:tc>
          <w:tcPr>
            <w:tcW w:w="630" w:type="pct"/>
            <w:tcBorders>
              <w:left w:val="nil"/>
              <w:right w:val="nil"/>
            </w:tcBorders>
            <w:shd w:val="clear" w:color="auto" w:fill="BFBFBF" w:themeFill="background1" w:themeFillShade="BF"/>
          </w:tcPr>
          <w:p w14:paraId="1966322E" w14:textId="77777777" w:rsidR="007F6723" w:rsidRPr="00537C67" w:rsidRDefault="007F6723" w:rsidP="00181CF8">
            <w:pPr>
              <w:pStyle w:val="Tabletextboldleft"/>
              <w:jc w:val="right"/>
              <w:rPr>
                <w:b w:val="0"/>
              </w:rPr>
            </w:pPr>
            <w:r w:rsidRPr="00537C67">
              <w:rPr>
                <w:b w:val="0"/>
              </w:rPr>
              <w:t>-</w:t>
            </w:r>
          </w:p>
        </w:tc>
        <w:tc>
          <w:tcPr>
            <w:tcW w:w="736" w:type="pct"/>
            <w:tcBorders>
              <w:left w:val="nil"/>
            </w:tcBorders>
            <w:shd w:val="clear" w:color="auto" w:fill="BFBFBF" w:themeFill="background1" w:themeFillShade="BF"/>
          </w:tcPr>
          <w:p w14:paraId="009FD406" w14:textId="77777777" w:rsidR="007F6723" w:rsidRPr="00537C67" w:rsidRDefault="007F6723" w:rsidP="00181CF8">
            <w:pPr>
              <w:pStyle w:val="Tabletextboldleft"/>
              <w:jc w:val="right"/>
              <w:rPr>
                <w:b w:val="0"/>
              </w:rPr>
            </w:pPr>
            <w:r w:rsidRPr="00537C67">
              <w:rPr>
                <w:b w:val="0"/>
              </w:rPr>
              <w:t>-</w:t>
            </w:r>
          </w:p>
        </w:tc>
      </w:tr>
      <w:tr w:rsidR="007F6723" w14:paraId="686C1F12" w14:textId="77777777" w:rsidTr="00181CF8">
        <w:tc>
          <w:tcPr>
            <w:tcW w:w="1110" w:type="pct"/>
          </w:tcPr>
          <w:p w14:paraId="1CE7E68B" w14:textId="77777777" w:rsidR="007F6723" w:rsidRPr="004D057E" w:rsidRDefault="007F6723" w:rsidP="00181CF8">
            <w:pPr>
              <w:pStyle w:val="Tabletextcentred"/>
              <w:keepNext/>
              <w:jc w:val="left"/>
            </w:pPr>
            <w:r>
              <w:t>Initial specialist consultations</w:t>
            </w:r>
          </w:p>
        </w:tc>
        <w:tc>
          <w:tcPr>
            <w:tcW w:w="631" w:type="pct"/>
          </w:tcPr>
          <w:p w14:paraId="0784224D" w14:textId="77777777" w:rsidR="007F6723" w:rsidRDefault="007F6723" w:rsidP="00181CF8">
            <w:pPr>
              <w:pStyle w:val="Tabletextcentred"/>
              <w:keepNext/>
              <w:jc w:val="right"/>
            </w:pPr>
            <w:r w:rsidRPr="00622503">
              <w:t>1324</w:t>
            </w:r>
          </w:p>
        </w:tc>
        <w:tc>
          <w:tcPr>
            <w:tcW w:w="631" w:type="pct"/>
          </w:tcPr>
          <w:p w14:paraId="73249DDA" w14:textId="77777777" w:rsidR="007F6723" w:rsidRDefault="007F6723" w:rsidP="00181CF8">
            <w:pPr>
              <w:pStyle w:val="Tabletextcentred"/>
              <w:keepNext/>
              <w:jc w:val="right"/>
            </w:pPr>
            <w:r w:rsidRPr="00622503">
              <w:t>1387</w:t>
            </w:r>
          </w:p>
        </w:tc>
        <w:tc>
          <w:tcPr>
            <w:tcW w:w="631" w:type="pct"/>
          </w:tcPr>
          <w:p w14:paraId="5EC8AD64" w14:textId="77777777" w:rsidR="007F6723" w:rsidRDefault="007F6723" w:rsidP="00181CF8">
            <w:pPr>
              <w:pStyle w:val="Tabletextcentred"/>
              <w:keepNext/>
              <w:jc w:val="right"/>
            </w:pPr>
            <w:r w:rsidRPr="00622503">
              <w:t>1455</w:t>
            </w:r>
          </w:p>
        </w:tc>
        <w:tc>
          <w:tcPr>
            <w:tcW w:w="631" w:type="pct"/>
          </w:tcPr>
          <w:p w14:paraId="53B0BADB" w14:textId="77777777" w:rsidR="007F6723" w:rsidRDefault="007F6723" w:rsidP="00181CF8">
            <w:pPr>
              <w:pStyle w:val="Tabletextcentred"/>
              <w:keepNext/>
              <w:jc w:val="right"/>
            </w:pPr>
            <w:r w:rsidRPr="00622503">
              <w:t>1513</w:t>
            </w:r>
          </w:p>
        </w:tc>
        <w:tc>
          <w:tcPr>
            <w:tcW w:w="630" w:type="pct"/>
          </w:tcPr>
          <w:p w14:paraId="3DFD421E" w14:textId="77777777" w:rsidR="007F6723" w:rsidRDefault="007F6723" w:rsidP="00181CF8">
            <w:pPr>
              <w:pStyle w:val="Tabletextcentred"/>
              <w:keepNext/>
              <w:jc w:val="right"/>
            </w:pPr>
            <w:r w:rsidRPr="00622503">
              <w:t>1581</w:t>
            </w:r>
          </w:p>
        </w:tc>
        <w:tc>
          <w:tcPr>
            <w:tcW w:w="736" w:type="pct"/>
          </w:tcPr>
          <w:p w14:paraId="37DE5B94" w14:textId="77777777" w:rsidR="007F6723" w:rsidRDefault="007F6723" w:rsidP="00181CF8">
            <w:pPr>
              <w:pStyle w:val="Tabletextcentred"/>
              <w:keepNext/>
              <w:jc w:val="right"/>
            </w:pP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r>
              <w:t xml:space="preserve"> and assumption</w:t>
            </w:r>
          </w:p>
        </w:tc>
      </w:tr>
      <w:tr w:rsidR="007F6723" w14:paraId="1D429CF4" w14:textId="77777777" w:rsidTr="00181CF8">
        <w:tc>
          <w:tcPr>
            <w:tcW w:w="1110" w:type="pct"/>
          </w:tcPr>
          <w:p w14:paraId="16F0DB5F" w14:textId="77777777" w:rsidR="007F6723" w:rsidRPr="008D012B" w:rsidRDefault="007F6723" w:rsidP="00181CF8">
            <w:pPr>
              <w:pStyle w:val="Tabletextcentred"/>
              <w:keepNext/>
              <w:jc w:val="left"/>
              <w:rPr>
                <w:vertAlign w:val="superscript"/>
              </w:rPr>
            </w:pPr>
            <w:r>
              <w:t>Follow-up specialist consultations</w:t>
            </w:r>
          </w:p>
        </w:tc>
        <w:tc>
          <w:tcPr>
            <w:tcW w:w="631" w:type="pct"/>
          </w:tcPr>
          <w:p w14:paraId="311C7938" w14:textId="77777777" w:rsidR="007F6723" w:rsidRDefault="007F6723" w:rsidP="00181CF8">
            <w:pPr>
              <w:pStyle w:val="Tabletextcentred"/>
              <w:keepNext/>
              <w:jc w:val="right"/>
            </w:pPr>
            <w:r w:rsidRPr="00622503">
              <w:t>1324</w:t>
            </w:r>
          </w:p>
        </w:tc>
        <w:tc>
          <w:tcPr>
            <w:tcW w:w="631" w:type="pct"/>
          </w:tcPr>
          <w:p w14:paraId="2C632B8B" w14:textId="77777777" w:rsidR="007F6723" w:rsidRDefault="007F6723" w:rsidP="00181CF8">
            <w:pPr>
              <w:pStyle w:val="Tabletextcentred"/>
              <w:keepNext/>
              <w:jc w:val="right"/>
            </w:pPr>
            <w:r w:rsidRPr="00622503">
              <w:t>1387</w:t>
            </w:r>
          </w:p>
        </w:tc>
        <w:tc>
          <w:tcPr>
            <w:tcW w:w="631" w:type="pct"/>
          </w:tcPr>
          <w:p w14:paraId="738A30EF" w14:textId="77777777" w:rsidR="007F6723" w:rsidRDefault="007F6723" w:rsidP="00181CF8">
            <w:pPr>
              <w:pStyle w:val="Tabletextcentred"/>
              <w:keepNext/>
              <w:jc w:val="right"/>
            </w:pPr>
            <w:r w:rsidRPr="00622503">
              <w:t>1455</w:t>
            </w:r>
          </w:p>
        </w:tc>
        <w:tc>
          <w:tcPr>
            <w:tcW w:w="631" w:type="pct"/>
          </w:tcPr>
          <w:p w14:paraId="17843EEE" w14:textId="77777777" w:rsidR="007F6723" w:rsidRDefault="007F6723" w:rsidP="00181CF8">
            <w:pPr>
              <w:pStyle w:val="Tabletextcentred"/>
              <w:keepNext/>
              <w:jc w:val="right"/>
            </w:pPr>
            <w:r w:rsidRPr="00622503">
              <w:t>1513</w:t>
            </w:r>
          </w:p>
        </w:tc>
        <w:tc>
          <w:tcPr>
            <w:tcW w:w="630" w:type="pct"/>
          </w:tcPr>
          <w:p w14:paraId="476EFEE9" w14:textId="77777777" w:rsidR="007F6723" w:rsidRDefault="007F6723" w:rsidP="00181CF8">
            <w:pPr>
              <w:pStyle w:val="Tabletextcentred"/>
              <w:keepNext/>
              <w:jc w:val="right"/>
            </w:pPr>
            <w:r w:rsidRPr="00622503">
              <w:t>1581</w:t>
            </w:r>
          </w:p>
        </w:tc>
        <w:tc>
          <w:tcPr>
            <w:tcW w:w="736" w:type="pct"/>
          </w:tcPr>
          <w:p w14:paraId="0836114E" w14:textId="77777777" w:rsidR="007F6723" w:rsidRDefault="007F6723" w:rsidP="00181CF8">
            <w:pPr>
              <w:pStyle w:val="Tabletextcentred"/>
              <w:keepNext/>
              <w:jc w:val="right"/>
            </w:pPr>
            <w:r>
              <w:fldChar w:fldCharType="begin"/>
            </w:r>
            <w:r>
              <w:instrText xml:space="preserve"> REF _Ref279758611 \h </w:instrText>
            </w:r>
            <w:r>
              <w:fldChar w:fldCharType="separate"/>
            </w:r>
            <w:r w:rsidR="00C67698">
              <w:t xml:space="preserve">Table </w:t>
            </w:r>
            <w:r w:rsidR="00C67698">
              <w:rPr>
                <w:noProof/>
              </w:rPr>
              <w:t>E.2</w:t>
            </w:r>
            <w:r w:rsidR="00C67698">
              <w:noBreakHyphen/>
            </w:r>
            <w:r w:rsidR="00C67698">
              <w:rPr>
                <w:noProof/>
              </w:rPr>
              <w:t>3</w:t>
            </w:r>
            <w:r>
              <w:fldChar w:fldCharType="end"/>
            </w:r>
            <w:r>
              <w:t xml:space="preserve"> and assumption</w:t>
            </w:r>
          </w:p>
        </w:tc>
      </w:tr>
      <w:tr w:rsidR="007F6723" w14:paraId="7230C2A2" w14:textId="77777777" w:rsidTr="00181CF8">
        <w:tc>
          <w:tcPr>
            <w:tcW w:w="1110" w:type="pct"/>
          </w:tcPr>
          <w:p w14:paraId="1F8BF849" w14:textId="77777777" w:rsidR="007F6723" w:rsidRDefault="007F6723" w:rsidP="00181CF8">
            <w:pPr>
              <w:pStyle w:val="Tabletextcentred"/>
              <w:keepNext/>
              <w:jc w:val="left"/>
            </w:pPr>
            <w:r>
              <w:t>Cost of initial specialist consultations</w:t>
            </w:r>
          </w:p>
        </w:tc>
        <w:tc>
          <w:tcPr>
            <w:tcW w:w="631" w:type="pct"/>
          </w:tcPr>
          <w:p w14:paraId="57C0D279" w14:textId="77777777" w:rsidR="007F6723" w:rsidRDefault="007F6723" w:rsidP="00181CF8">
            <w:pPr>
              <w:pStyle w:val="Tabletextcentred"/>
              <w:keepNext/>
              <w:jc w:val="right"/>
            </w:pPr>
            <w:r w:rsidRPr="006E762D">
              <w:t>$169,818</w:t>
            </w:r>
          </w:p>
        </w:tc>
        <w:tc>
          <w:tcPr>
            <w:tcW w:w="631" w:type="pct"/>
          </w:tcPr>
          <w:p w14:paraId="1B575083" w14:textId="77777777" w:rsidR="007F6723" w:rsidRDefault="007F6723" w:rsidP="00181CF8">
            <w:pPr>
              <w:pStyle w:val="Tabletextcentred"/>
              <w:keepNext/>
              <w:jc w:val="right"/>
            </w:pPr>
            <w:r w:rsidRPr="006E762D">
              <w:t>$178,016</w:t>
            </w:r>
          </w:p>
        </w:tc>
        <w:tc>
          <w:tcPr>
            <w:tcW w:w="631" w:type="pct"/>
          </w:tcPr>
          <w:p w14:paraId="7FB88249" w14:textId="77777777" w:rsidR="007F6723" w:rsidRDefault="007F6723" w:rsidP="00181CF8">
            <w:pPr>
              <w:pStyle w:val="Tabletextcentred"/>
              <w:keepNext/>
              <w:jc w:val="right"/>
            </w:pPr>
            <w:r w:rsidRPr="006E762D">
              <w:t>$186,683</w:t>
            </w:r>
          </w:p>
        </w:tc>
        <w:tc>
          <w:tcPr>
            <w:tcW w:w="631" w:type="pct"/>
          </w:tcPr>
          <w:p w14:paraId="646B1C69" w14:textId="77777777" w:rsidR="007F6723" w:rsidRDefault="007F6723" w:rsidP="00181CF8">
            <w:pPr>
              <w:pStyle w:val="Tabletextcentred"/>
              <w:keepNext/>
              <w:jc w:val="right"/>
            </w:pPr>
            <w:r w:rsidRPr="006E762D">
              <w:t>$194,069</w:t>
            </w:r>
          </w:p>
        </w:tc>
        <w:tc>
          <w:tcPr>
            <w:tcW w:w="630" w:type="pct"/>
          </w:tcPr>
          <w:p w14:paraId="7C2DC594" w14:textId="77777777" w:rsidR="007F6723" w:rsidRDefault="007F6723" w:rsidP="00181CF8">
            <w:pPr>
              <w:pStyle w:val="Tabletextcentred"/>
              <w:keepNext/>
              <w:jc w:val="right"/>
            </w:pPr>
            <w:r w:rsidRPr="006E762D">
              <w:t>$202,784</w:t>
            </w:r>
          </w:p>
        </w:tc>
        <w:tc>
          <w:tcPr>
            <w:tcW w:w="736" w:type="pct"/>
          </w:tcPr>
          <w:p w14:paraId="0301AC04" w14:textId="77777777" w:rsidR="007F6723" w:rsidRDefault="007F6723" w:rsidP="00181CF8">
            <w:pPr>
              <w:pStyle w:val="Tabletextcentred"/>
              <w:keepNext/>
              <w:jc w:val="right"/>
            </w:pPr>
            <w:r>
              <w:t>Calculated</w:t>
            </w:r>
          </w:p>
        </w:tc>
      </w:tr>
      <w:tr w:rsidR="007F6723" w14:paraId="2B7BBAA9" w14:textId="77777777" w:rsidTr="00181CF8">
        <w:tc>
          <w:tcPr>
            <w:tcW w:w="1110" w:type="pct"/>
          </w:tcPr>
          <w:p w14:paraId="53A7AEFF" w14:textId="77777777" w:rsidR="007F6723" w:rsidRPr="00405358" w:rsidRDefault="007F6723" w:rsidP="00181CF8">
            <w:pPr>
              <w:pStyle w:val="Tabletext"/>
              <w:keepNext/>
              <w:ind w:left="0"/>
              <w:jc w:val="left"/>
              <w:rPr>
                <w:rFonts w:ascii="Arial Narrow" w:hAnsi="Arial Narrow"/>
                <w:sz w:val="20"/>
                <w:szCs w:val="20"/>
              </w:rPr>
            </w:pPr>
            <w:r>
              <w:rPr>
                <w:rFonts w:ascii="Arial Narrow" w:hAnsi="Arial Narrow"/>
                <w:sz w:val="20"/>
                <w:szCs w:val="20"/>
              </w:rPr>
              <w:t>Cost of follow-up specialist consultations</w:t>
            </w:r>
          </w:p>
        </w:tc>
        <w:tc>
          <w:tcPr>
            <w:tcW w:w="631" w:type="pct"/>
          </w:tcPr>
          <w:p w14:paraId="62F15E00" w14:textId="77777777" w:rsidR="007F6723" w:rsidRPr="00A91AB1" w:rsidRDefault="007F6723" w:rsidP="00181CF8">
            <w:pPr>
              <w:pStyle w:val="Tabletextcentred"/>
              <w:keepNext/>
              <w:jc w:val="right"/>
            </w:pPr>
            <w:r w:rsidRPr="006F1D88">
              <w:t>$84,975</w:t>
            </w:r>
          </w:p>
        </w:tc>
        <w:tc>
          <w:tcPr>
            <w:tcW w:w="631" w:type="pct"/>
          </w:tcPr>
          <w:p w14:paraId="60B01F62" w14:textId="77777777" w:rsidR="007F6723" w:rsidRPr="00A91AB1" w:rsidRDefault="007F6723" w:rsidP="00181CF8">
            <w:pPr>
              <w:pStyle w:val="Tabletextcentred"/>
              <w:keepNext/>
              <w:jc w:val="right"/>
            </w:pPr>
            <w:r w:rsidRPr="006F1D88">
              <w:t>$89,077</w:t>
            </w:r>
          </w:p>
        </w:tc>
        <w:tc>
          <w:tcPr>
            <w:tcW w:w="631" w:type="pct"/>
          </w:tcPr>
          <w:p w14:paraId="5FB0D654" w14:textId="77777777" w:rsidR="007F6723" w:rsidRPr="00A91AB1" w:rsidRDefault="007F6723" w:rsidP="00181CF8">
            <w:pPr>
              <w:pStyle w:val="Tabletextcentred"/>
              <w:keepNext/>
              <w:jc w:val="right"/>
            </w:pPr>
            <w:r w:rsidRPr="006F1D88">
              <w:t>$93,414</w:t>
            </w:r>
          </w:p>
        </w:tc>
        <w:tc>
          <w:tcPr>
            <w:tcW w:w="631" w:type="pct"/>
          </w:tcPr>
          <w:p w14:paraId="1E1B4BA7" w14:textId="77777777" w:rsidR="007F6723" w:rsidRPr="00A91AB1" w:rsidRDefault="007F6723" w:rsidP="00181CF8">
            <w:pPr>
              <w:pStyle w:val="Tabletextcentred"/>
              <w:keepNext/>
              <w:jc w:val="right"/>
            </w:pPr>
            <w:r w:rsidRPr="006F1D88">
              <w:t>$97,110</w:t>
            </w:r>
          </w:p>
        </w:tc>
        <w:tc>
          <w:tcPr>
            <w:tcW w:w="630" w:type="pct"/>
          </w:tcPr>
          <w:p w14:paraId="1832182B" w14:textId="77777777" w:rsidR="007F6723" w:rsidRPr="00A91AB1" w:rsidRDefault="007F6723" w:rsidP="00181CF8">
            <w:pPr>
              <w:pStyle w:val="Tabletextcentred"/>
              <w:keepNext/>
              <w:jc w:val="right"/>
            </w:pPr>
            <w:r w:rsidRPr="006F1D88">
              <w:t>$101,471</w:t>
            </w:r>
          </w:p>
        </w:tc>
        <w:tc>
          <w:tcPr>
            <w:tcW w:w="736" w:type="pct"/>
          </w:tcPr>
          <w:p w14:paraId="54D5DC92" w14:textId="77777777" w:rsidR="007F6723" w:rsidRDefault="007F6723" w:rsidP="00181CF8">
            <w:pPr>
              <w:pStyle w:val="Tabletextcentred"/>
              <w:keepNext/>
              <w:jc w:val="right"/>
            </w:pPr>
            <w:r>
              <w:t>Calculated</w:t>
            </w:r>
          </w:p>
        </w:tc>
      </w:tr>
      <w:tr w:rsidR="007F6723" w14:paraId="7EA28A8D" w14:textId="77777777" w:rsidTr="00181CF8">
        <w:tc>
          <w:tcPr>
            <w:tcW w:w="1110" w:type="pct"/>
            <w:tcBorders>
              <w:bottom w:val="single" w:sz="4" w:space="0" w:color="auto"/>
            </w:tcBorders>
          </w:tcPr>
          <w:p w14:paraId="44B4B545" w14:textId="77777777" w:rsidR="007F6723" w:rsidRDefault="007F6723" w:rsidP="00181CF8">
            <w:pPr>
              <w:pStyle w:val="Tabletext"/>
              <w:keepNext/>
              <w:ind w:left="0"/>
              <w:jc w:val="left"/>
              <w:rPr>
                <w:rFonts w:ascii="Arial Narrow" w:hAnsi="Arial Narrow"/>
                <w:sz w:val="20"/>
                <w:szCs w:val="20"/>
              </w:rPr>
            </w:pPr>
            <w:r>
              <w:rPr>
                <w:rFonts w:ascii="Arial Narrow" w:hAnsi="Arial Narrow"/>
                <w:sz w:val="20"/>
                <w:szCs w:val="20"/>
              </w:rPr>
              <w:t>Total cost of specialist consultations</w:t>
            </w:r>
          </w:p>
        </w:tc>
        <w:tc>
          <w:tcPr>
            <w:tcW w:w="631" w:type="pct"/>
            <w:tcBorders>
              <w:bottom w:val="single" w:sz="4" w:space="0" w:color="auto"/>
            </w:tcBorders>
          </w:tcPr>
          <w:p w14:paraId="639AE3AB" w14:textId="77777777" w:rsidR="007F6723" w:rsidRPr="006F1D88" w:rsidRDefault="007F6723" w:rsidP="00181CF8">
            <w:pPr>
              <w:pStyle w:val="Tabletextcentred"/>
              <w:keepNext/>
              <w:jc w:val="right"/>
            </w:pPr>
            <w:r w:rsidRPr="0053199B">
              <w:t>$254,793</w:t>
            </w:r>
          </w:p>
        </w:tc>
        <w:tc>
          <w:tcPr>
            <w:tcW w:w="631" w:type="pct"/>
            <w:tcBorders>
              <w:bottom w:val="single" w:sz="4" w:space="0" w:color="auto"/>
            </w:tcBorders>
          </w:tcPr>
          <w:p w14:paraId="481CFB86" w14:textId="77777777" w:rsidR="007F6723" w:rsidRPr="006F1D88" w:rsidRDefault="007F6723" w:rsidP="00181CF8">
            <w:pPr>
              <w:pStyle w:val="Tabletextcentred"/>
              <w:keepNext/>
              <w:jc w:val="right"/>
            </w:pPr>
            <w:r w:rsidRPr="0053199B">
              <w:t>$267,093</w:t>
            </w:r>
          </w:p>
        </w:tc>
        <w:tc>
          <w:tcPr>
            <w:tcW w:w="631" w:type="pct"/>
            <w:tcBorders>
              <w:bottom w:val="single" w:sz="4" w:space="0" w:color="auto"/>
            </w:tcBorders>
          </w:tcPr>
          <w:p w14:paraId="1AEA2CCF" w14:textId="77777777" w:rsidR="007F6723" w:rsidRPr="006F1D88" w:rsidRDefault="007F6723" w:rsidP="00181CF8">
            <w:pPr>
              <w:pStyle w:val="Tabletextcentred"/>
              <w:keepNext/>
              <w:jc w:val="right"/>
            </w:pPr>
            <w:r w:rsidRPr="0053199B">
              <w:t>$280,097</w:t>
            </w:r>
          </w:p>
        </w:tc>
        <w:tc>
          <w:tcPr>
            <w:tcW w:w="631" w:type="pct"/>
            <w:tcBorders>
              <w:bottom w:val="single" w:sz="4" w:space="0" w:color="auto"/>
            </w:tcBorders>
          </w:tcPr>
          <w:p w14:paraId="24C5AE9C" w14:textId="77777777" w:rsidR="007F6723" w:rsidRPr="006F1D88" w:rsidRDefault="007F6723" w:rsidP="00181CF8">
            <w:pPr>
              <w:pStyle w:val="Tabletextcentred"/>
              <w:keepNext/>
              <w:jc w:val="right"/>
            </w:pPr>
            <w:r w:rsidRPr="0053199B">
              <w:t>$291,179</w:t>
            </w:r>
          </w:p>
        </w:tc>
        <w:tc>
          <w:tcPr>
            <w:tcW w:w="630" w:type="pct"/>
            <w:tcBorders>
              <w:bottom w:val="single" w:sz="4" w:space="0" w:color="auto"/>
            </w:tcBorders>
          </w:tcPr>
          <w:p w14:paraId="4EC84CFF" w14:textId="77777777" w:rsidR="007F6723" w:rsidRPr="006F1D88" w:rsidRDefault="007F6723" w:rsidP="00181CF8">
            <w:pPr>
              <w:pStyle w:val="Tabletextcentred"/>
              <w:keepNext/>
              <w:jc w:val="right"/>
            </w:pPr>
            <w:r w:rsidRPr="0053199B">
              <w:t>$304,255</w:t>
            </w:r>
          </w:p>
        </w:tc>
        <w:tc>
          <w:tcPr>
            <w:tcW w:w="736" w:type="pct"/>
          </w:tcPr>
          <w:p w14:paraId="753EA08F" w14:textId="77777777" w:rsidR="007F6723" w:rsidRDefault="007F6723" w:rsidP="00181CF8">
            <w:pPr>
              <w:pStyle w:val="Tabletextcentred"/>
              <w:keepNext/>
              <w:jc w:val="right"/>
            </w:pPr>
            <w:r>
              <w:t>Calculated</w:t>
            </w:r>
          </w:p>
        </w:tc>
      </w:tr>
      <w:tr w:rsidR="007F6723" w14:paraId="20C3F858" w14:textId="77777777" w:rsidTr="00537C67">
        <w:tc>
          <w:tcPr>
            <w:tcW w:w="1110" w:type="pct"/>
            <w:tcBorders>
              <w:right w:val="nil"/>
            </w:tcBorders>
            <w:shd w:val="clear" w:color="auto" w:fill="BFBFBF" w:themeFill="background1" w:themeFillShade="BF"/>
          </w:tcPr>
          <w:p w14:paraId="3CAA461F" w14:textId="77777777" w:rsidR="007F6723" w:rsidRPr="00537C67" w:rsidRDefault="007F6723" w:rsidP="00181CF8">
            <w:pPr>
              <w:pStyle w:val="Tabletext"/>
              <w:keepNext/>
              <w:ind w:left="0"/>
              <w:jc w:val="left"/>
              <w:rPr>
                <w:rFonts w:ascii="Arial Narrow" w:hAnsi="Arial Narrow"/>
                <w:sz w:val="20"/>
                <w:szCs w:val="20"/>
              </w:rPr>
            </w:pPr>
            <w:r w:rsidRPr="00537C67">
              <w:rPr>
                <w:rFonts w:ascii="Arial Narrow" w:hAnsi="Arial Narrow"/>
                <w:sz w:val="20"/>
                <w:szCs w:val="20"/>
              </w:rPr>
              <w:t>With MBS listing for FDG-PET</w:t>
            </w:r>
          </w:p>
        </w:tc>
        <w:tc>
          <w:tcPr>
            <w:tcW w:w="631" w:type="pct"/>
            <w:tcBorders>
              <w:left w:val="nil"/>
              <w:right w:val="nil"/>
            </w:tcBorders>
            <w:shd w:val="clear" w:color="auto" w:fill="BFBFBF" w:themeFill="background1" w:themeFillShade="BF"/>
          </w:tcPr>
          <w:p w14:paraId="6B50F9B0" w14:textId="77777777" w:rsidR="007F6723" w:rsidRPr="00537C67" w:rsidRDefault="007F6723" w:rsidP="00181CF8">
            <w:pPr>
              <w:pStyle w:val="Tabletextcentred"/>
              <w:keepNext/>
              <w:jc w:val="right"/>
            </w:pPr>
            <w:r w:rsidRPr="00537C67">
              <w:t>-</w:t>
            </w:r>
          </w:p>
        </w:tc>
        <w:tc>
          <w:tcPr>
            <w:tcW w:w="631" w:type="pct"/>
            <w:tcBorders>
              <w:left w:val="nil"/>
              <w:right w:val="nil"/>
            </w:tcBorders>
            <w:shd w:val="clear" w:color="auto" w:fill="BFBFBF" w:themeFill="background1" w:themeFillShade="BF"/>
          </w:tcPr>
          <w:p w14:paraId="1C87BA65" w14:textId="77777777" w:rsidR="007F6723" w:rsidRPr="00537C67" w:rsidRDefault="007F6723" w:rsidP="00181CF8">
            <w:pPr>
              <w:pStyle w:val="Tabletextcentred"/>
              <w:keepNext/>
              <w:jc w:val="right"/>
            </w:pPr>
            <w:r w:rsidRPr="00537C67">
              <w:t>-</w:t>
            </w:r>
          </w:p>
        </w:tc>
        <w:tc>
          <w:tcPr>
            <w:tcW w:w="631" w:type="pct"/>
            <w:tcBorders>
              <w:left w:val="nil"/>
              <w:right w:val="nil"/>
            </w:tcBorders>
            <w:shd w:val="clear" w:color="auto" w:fill="BFBFBF" w:themeFill="background1" w:themeFillShade="BF"/>
          </w:tcPr>
          <w:p w14:paraId="1E066612" w14:textId="77777777" w:rsidR="007F6723" w:rsidRPr="00537C67" w:rsidRDefault="007F6723" w:rsidP="00181CF8">
            <w:pPr>
              <w:pStyle w:val="Tabletextcentred"/>
              <w:keepNext/>
              <w:jc w:val="right"/>
            </w:pPr>
            <w:r w:rsidRPr="00537C67">
              <w:t>-</w:t>
            </w:r>
          </w:p>
        </w:tc>
        <w:tc>
          <w:tcPr>
            <w:tcW w:w="631" w:type="pct"/>
            <w:tcBorders>
              <w:left w:val="nil"/>
              <w:right w:val="nil"/>
            </w:tcBorders>
            <w:shd w:val="clear" w:color="auto" w:fill="BFBFBF" w:themeFill="background1" w:themeFillShade="BF"/>
          </w:tcPr>
          <w:p w14:paraId="76868EE9" w14:textId="77777777" w:rsidR="007F6723" w:rsidRPr="00537C67" w:rsidRDefault="007F6723" w:rsidP="00181CF8">
            <w:pPr>
              <w:pStyle w:val="Tabletextcentred"/>
              <w:keepNext/>
              <w:jc w:val="right"/>
            </w:pPr>
            <w:r w:rsidRPr="00537C67">
              <w:t>-</w:t>
            </w:r>
          </w:p>
        </w:tc>
        <w:tc>
          <w:tcPr>
            <w:tcW w:w="630" w:type="pct"/>
            <w:tcBorders>
              <w:left w:val="nil"/>
              <w:right w:val="nil"/>
            </w:tcBorders>
            <w:shd w:val="clear" w:color="auto" w:fill="BFBFBF" w:themeFill="background1" w:themeFillShade="BF"/>
          </w:tcPr>
          <w:p w14:paraId="232580B3" w14:textId="77777777" w:rsidR="007F6723" w:rsidRPr="00537C67" w:rsidRDefault="007F6723" w:rsidP="00181CF8">
            <w:pPr>
              <w:pStyle w:val="Tabletextcentred"/>
              <w:keepNext/>
              <w:jc w:val="right"/>
            </w:pPr>
            <w:r w:rsidRPr="00537C67">
              <w:t>-</w:t>
            </w:r>
          </w:p>
        </w:tc>
        <w:tc>
          <w:tcPr>
            <w:tcW w:w="736" w:type="pct"/>
            <w:tcBorders>
              <w:left w:val="nil"/>
            </w:tcBorders>
            <w:shd w:val="clear" w:color="auto" w:fill="BFBFBF" w:themeFill="background1" w:themeFillShade="BF"/>
          </w:tcPr>
          <w:p w14:paraId="70C716D6" w14:textId="77777777" w:rsidR="007F6723" w:rsidRPr="00537C67" w:rsidRDefault="007F6723" w:rsidP="00181CF8">
            <w:pPr>
              <w:pStyle w:val="Tabletextcentred"/>
              <w:keepNext/>
              <w:jc w:val="right"/>
            </w:pPr>
            <w:r w:rsidRPr="00537C67">
              <w:t>-</w:t>
            </w:r>
          </w:p>
        </w:tc>
      </w:tr>
      <w:tr w:rsidR="007F6723" w14:paraId="55A0394D" w14:textId="77777777" w:rsidTr="00181CF8">
        <w:tc>
          <w:tcPr>
            <w:tcW w:w="1110" w:type="pct"/>
          </w:tcPr>
          <w:p w14:paraId="191B1154" w14:textId="77777777" w:rsidR="007F6723" w:rsidRPr="00250784" w:rsidRDefault="007F6723" w:rsidP="00181CF8">
            <w:pPr>
              <w:pStyle w:val="Tabletextcentred"/>
              <w:keepNext/>
              <w:jc w:val="left"/>
              <w:rPr>
                <w:i/>
              </w:rPr>
            </w:pPr>
            <w:r>
              <w:t>Initial specialist consultations</w:t>
            </w:r>
          </w:p>
        </w:tc>
        <w:tc>
          <w:tcPr>
            <w:tcW w:w="631" w:type="pct"/>
          </w:tcPr>
          <w:p w14:paraId="3E747053" w14:textId="77777777" w:rsidR="007F6723" w:rsidRPr="00250784" w:rsidRDefault="007F6723" w:rsidP="00181CF8">
            <w:pPr>
              <w:pStyle w:val="Tabletextcentred"/>
              <w:keepNext/>
              <w:jc w:val="right"/>
              <w:rPr>
                <w:i/>
              </w:rPr>
            </w:pPr>
            <w:r w:rsidRPr="0045146B">
              <w:t>1324</w:t>
            </w:r>
          </w:p>
        </w:tc>
        <w:tc>
          <w:tcPr>
            <w:tcW w:w="631" w:type="pct"/>
          </w:tcPr>
          <w:p w14:paraId="1405EB75" w14:textId="77777777" w:rsidR="007F6723" w:rsidRPr="00250784" w:rsidRDefault="007F6723" w:rsidP="00181CF8">
            <w:pPr>
              <w:pStyle w:val="Tabletextcentred"/>
              <w:keepNext/>
              <w:jc w:val="right"/>
              <w:rPr>
                <w:i/>
              </w:rPr>
            </w:pPr>
            <w:r w:rsidRPr="0045146B">
              <w:t>1422</w:t>
            </w:r>
          </w:p>
        </w:tc>
        <w:tc>
          <w:tcPr>
            <w:tcW w:w="631" w:type="pct"/>
          </w:tcPr>
          <w:p w14:paraId="4226B009" w14:textId="77777777" w:rsidR="007F6723" w:rsidRPr="00250784" w:rsidRDefault="007F6723" w:rsidP="00181CF8">
            <w:pPr>
              <w:pStyle w:val="Tabletextcentred"/>
              <w:keepNext/>
              <w:jc w:val="right"/>
              <w:rPr>
                <w:i/>
              </w:rPr>
            </w:pPr>
            <w:r w:rsidRPr="0045146B">
              <w:t>1528</w:t>
            </w:r>
          </w:p>
        </w:tc>
        <w:tc>
          <w:tcPr>
            <w:tcW w:w="631" w:type="pct"/>
          </w:tcPr>
          <w:p w14:paraId="613C1C83" w14:textId="77777777" w:rsidR="007F6723" w:rsidRPr="00250784" w:rsidRDefault="007F6723" w:rsidP="00181CF8">
            <w:pPr>
              <w:pStyle w:val="Tabletextcentred"/>
              <w:keepNext/>
              <w:jc w:val="right"/>
              <w:rPr>
                <w:i/>
              </w:rPr>
            </w:pPr>
            <w:r w:rsidRPr="0045146B">
              <w:t>1626</w:t>
            </w:r>
          </w:p>
        </w:tc>
        <w:tc>
          <w:tcPr>
            <w:tcW w:w="630" w:type="pct"/>
          </w:tcPr>
          <w:p w14:paraId="5A1EC639" w14:textId="77777777" w:rsidR="007F6723" w:rsidRPr="00250784" w:rsidRDefault="007F6723" w:rsidP="00181CF8">
            <w:pPr>
              <w:pStyle w:val="Tabletextcentred"/>
              <w:keepNext/>
              <w:jc w:val="right"/>
              <w:rPr>
                <w:i/>
              </w:rPr>
            </w:pPr>
            <w:r w:rsidRPr="0045146B">
              <w:t>1739</w:t>
            </w:r>
          </w:p>
        </w:tc>
        <w:tc>
          <w:tcPr>
            <w:tcW w:w="736" w:type="pct"/>
          </w:tcPr>
          <w:p w14:paraId="69A7637A" w14:textId="77777777" w:rsidR="007F6723" w:rsidRPr="004931DF" w:rsidRDefault="007F6723" w:rsidP="00181CF8">
            <w:pPr>
              <w:pStyle w:val="Tabletextcentred"/>
              <w:keepNext/>
              <w:jc w:val="left"/>
              <w:rPr>
                <w:i/>
                <w:vertAlign w:val="superscript"/>
              </w:rPr>
            </w:pPr>
            <w:r>
              <w:t xml:space="preserve">Calculated from </w:t>
            </w:r>
            <w:r>
              <w:fldChar w:fldCharType="begin"/>
            </w:r>
            <w:r>
              <w:instrText xml:space="preserve"> REF _Ref279763057 \h </w:instrText>
            </w:r>
            <w:r>
              <w:fldChar w:fldCharType="separate"/>
            </w:r>
            <w:r w:rsidR="00C67698">
              <w:t xml:space="preserve">Table </w:t>
            </w:r>
            <w:r w:rsidR="00C67698">
              <w:rPr>
                <w:noProof/>
              </w:rPr>
              <w:t>E.3</w:t>
            </w:r>
            <w:r w:rsidR="00C67698">
              <w:noBreakHyphen/>
            </w:r>
            <w:r w:rsidR="00C67698">
              <w:rPr>
                <w:noProof/>
              </w:rPr>
              <w:t>1</w:t>
            </w:r>
            <w:r>
              <w:fldChar w:fldCharType="end"/>
            </w:r>
            <w:r>
              <w:t xml:space="preserve">, </w:t>
            </w:r>
            <w:r>
              <w:fldChar w:fldCharType="begin"/>
            </w:r>
            <w:r>
              <w:instrText xml:space="preserve"> REF _Ref279761176 \h </w:instrText>
            </w:r>
            <w:r>
              <w:fldChar w:fldCharType="separate"/>
            </w:r>
            <w:r w:rsidR="00C67698">
              <w:t xml:space="preserve">Table </w:t>
            </w:r>
            <w:r w:rsidR="00C67698">
              <w:rPr>
                <w:noProof/>
              </w:rPr>
              <w:t>E.3</w:t>
            </w:r>
            <w:r w:rsidR="00C67698">
              <w:noBreakHyphen/>
            </w:r>
            <w:r w:rsidR="00C67698">
              <w:rPr>
                <w:noProof/>
              </w:rPr>
              <w:t>2</w:t>
            </w:r>
            <w:r>
              <w:fldChar w:fldCharType="end"/>
            </w:r>
            <w:r>
              <w:t xml:space="preserve"> and assumption </w:t>
            </w:r>
            <w:r>
              <w:rPr>
                <w:vertAlign w:val="superscript"/>
              </w:rPr>
              <w:t>a</w:t>
            </w:r>
          </w:p>
        </w:tc>
      </w:tr>
      <w:tr w:rsidR="007F6723" w14:paraId="77AFCC4A" w14:textId="77777777" w:rsidTr="00181CF8">
        <w:tc>
          <w:tcPr>
            <w:tcW w:w="1110" w:type="pct"/>
          </w:tcPr>
          <w:p w14:paraId="7EC33415" w14:textId="77777777" w:rsidR="007F6723" w:rsidRPr="00250784" w:rsidRDefault="007F6723" w:rsidP="00181CF8">
            <w:pPr>
              <w:pStyle w:val="Tabletextcentred"/>
              <w:keepNext/>
              <w:jc w:val="left"/>
              <w:rPr>
                <w:i/>
              </w:rPr>
            </w:pPr>
            <w:r>
              <w:t>Follow-up specialist consultations</w:t>
            </w:r>
          </w:p>
        </w:tc>
        <w:tc>
          <w:tcPr>
            <w:tcW w:w="631" w:type="pct"/>
          </w:tcPr>
          <w:p w14:paraId="21B20629" w14:textId="77777777" w:rsidR="007F6723" w:rsidRPr="00250784" w:rsidRDefault="007F6723" w:rsidP="00181CF8">
            <w:pPr>
              <w:pStyle w:val="Tabletextcentred"/>
              <w:keepNext/>
              <w:jc w:val="right"/>
              <w:rPr>
                <w:i/>
              </w:rPr>
            </w:pPr>
            <w:r w:rsidRPr="0045146B">
              <w:t>1324</w:t>
            </w:r>
          </w:p>
        </w:tc>
        <w:tc>
          <w:tcPr>
            <w:tcW w:w="631" w:type="pct"/>
          </w:tcPr>
          <w:p w14:paraId="45A3288A" w14:textId="77777777" w:rsidR="007F6723" w:rsidRPr="00250784" w:rsidRDefault="007F6723" w:rsidP="00181CF8">
            <w:pPr>
              <w:pStyle w:val="Tabletextcentred"/>
              <w:keepNext/>
              <w:jc w:val="right"/>
              <w:rPr>
                <w:i/>
              </w:rPr>
            </w:pPr>
            <w:r w:rsidRPr="0045146B">
              <w:t>1422</w:t>
            </w:r>
          </w:p>
        </w:tc>
        <w:tc>
          <w:tcPr>
            <w:tcW w:w="631" w:type="pct"/>
          </w:tcPr>
          <w:p w14:paraId="1F570137" w14:textId="77777777" w:rsidR="007F6723" w:rsidRPr="00250784" w:rsidRDefault="007F6723" w:rsidP="00181CF8">
            <w:pPr>
              <w:pStyle w:val="Tabletextcentred"/>
              <w:keepNext/>
              <w:jc w:val="right"/>
              <w:rPr>
                <w:i/>
              </w:rPr>
            </w:pPr>
            <w:r w:rsidRPr="0045146B">
              <w:t>1528</w:t>
            </w:r>
          </w:p>
        </w:tc>
        <w:tc>
          <w:tcPr>
            <w:tcW w:w="631" w:type="pct"/>
          </w:tcPr>
          <w:p w14:paraId="67D64E9B" w14:textId="77777777" w:rsidR="007F6723" w:rsidRPr="00250784" w:rsidRDefault="007F6723" w:rsidP="00181CF8">
            <w:pPr>
              <w:pStyle w:val="Tabletextcentred"/>
              <w:keepNext/>
              <w:jc w:val="right"/>
              <w:rPr>
                <w:i/>
              </w:rPr>
            </w:pPr>
            <w:r w:rsidRPr="0045146B">
              <w:t>1626</w:t>
            </w:r>
          </w:p>
        </w:tc>
        <w:tc>
          <w:tcPr>
            <w:tcW w:w="630" w:type="pct"/>
          </w:tcPr>
          <w:p w14:paraId="23926FEB" w14:textId="77777777" w:rsidR="007F6723" w:rsidRPr="00250784" w:rsidRDefault="007F6723" w:rsidP="00181CF8">
            <w:pPr>
              <w:pStyle w:val="Tabletextcentred"/>
              <w:keepNext/>
              <w:jc w:val="right"/>
              <w:rPr>
                <w:i/>
              </w:rPr>
            </w:pPr>
            <w:r w:rsidRPr="0045146B">
              <w:t>1739</w:t>
            </w:r>
          </w:p>
        </w:tc>
        <w:tc>
          <w:tcPr>
            <w:tcW w:w="736" w:type="pct"/>
          </w:tcPr>
          <w:p w14:paraId="43DC5B85" w14:textId="77777777" w:rsidR="007F6723" w:rsidRPr="004931DF" w:rsidRDefault="007F6723" w:rsidP="00181CF8">
            <w:pPr>
              <w:pStyle w:val="Tabletextcentred"/>
              <w:keepNext/>
              <w:jc w:val="left"/>
              <w:rPr>
                <w:i/>
                <w:vertAlign w:val="superscript"/>
              </w:rPr>
            </w:pPr>
            <w:r>
              <w:t xml:space="preserve">Calculated from </w:t>
            </w:r>
            <w:r>
              <w:fldChar w:fldCharType="begin"/>
            </w:r>
            <w:r>
              <w:instrText xml:space="preserve"> REF _Ref279763057 \h </w:instrText>
            </w:r>
            <w:r>
              <w:fldChar w:fldCharType="separate"/>
            </w:r>
            <w:r w:rsidR="00C67698">
              <w:t xml:space="preserve">Table </w:t>
            </w:r>
            <w:r w:rsidR="00C67698">
              <w:rPr>
                <w:noProof/>
              </w:rPr>
              <w:t>E.3</w:t>
            </w:r>
            <w:r w:rsidR="00C67698">
              <w:noBreakHyphen/>
            </w:r>
            <w:r w:rsidR="00C67698">
              <w:rPr>
                <w:noProof/>
              </w:rPr>
              <w:t>1</w:t>
            </w:r>
            <w:r>
              <w:fldChar w:fldCharType="end"/>
            </w:r>
            <w:r>
              <w:t xml:space="preserve">, </w:t>
            </w:r>
            <w:r>
              <w:fldChar w:fldCharType="begin"/>
            </w:r>
            <w:r>
              <w:instrText xml:space="preserve"> REF _Ref279761176 \h </w:instrText>
            </w:r>
            <w:r>
              <w:fldChar w:fldCharType="separate"/>
            </w:r>
            <w:r w:rsidR="00C67698">
              <w:t xml:space="preserve">Table </w:t>
            </w:r>
            <w:r w:rsidR="00C67698">
              <w:rPr>
                <w:noProof/>
              </w:rPr>
              <w:t>E.3</w:t>
            </w:r>
            <w:r w:rsidR="00C67698">
              <w:noBreakHyphen/>
            </w:r>
            <w:r w:rsidR="00C67698">
              <w:rPr>
                <w:noProof/>
              </w:rPr>
              <w:t>2</w:t>
            </w:r>
            <w:r>
              <w:fldChar w:fldCharType="end"/>
            </w:r>
            <w:r>
              <w:t xml:space="preserve"> and assumption </w:t>
            </w:r>
            <w:r>
              <w:rPr>
                <w:vertAlign w:val="superscript"/>
              </w:rPr>
              <w:t>a</w:t>
            </w:r>
          </w:p>
        </w:tc>
      </w:tr>
      <w:tr w:rsidR="007F6723" w14:paraId="41163FD5" w14:textId="77777777" w:rsidTr="00181CF8">
        <w:tc>
          <w:tcPr>
            <w:tcW w:w="1110" w:type="pct"/>
          </w:tcPr>
          <w:p w14:paraId="2E3D1DF5" w14:textId="77777777" w:rsidR="007F6723" w:rsidRPr="00250784" w:rsidRDefault="007F6723" w:rsidP="00181CF8">
            <w:pPr>
              <w:pStyle w:val="Tabletextcentred"/>
              <w:keepNext/>
              <w:jc w:val="left"/>
              <w:rPr>
                <w:i/>
              </w:rPr>
            </w:pPr>
            <w:r>
              <w:t>Cost of initial specialist consultations</w:t>
            </w:r>
          </w:p>
        </w:tc>
        <w:tc>
          <w:tcPr>
            <w:tcW w:w="631" w:type="pct"/>
          </w:tcPr>
          <w:p w14:paraId="79B30935" w14:textId="77777777" w:rsidR="007F6723" w:rsidRPr="00250784" w:rsidRDefault="007F6723" w:rsidP="00181CF8">
            <w:pPr>
              <w:pStyle w:val="Tabletextcentred"/>
              <w:keepNext/>
              <w:jc w:val="right"/>
              <w:rPr>
                <w:i/>
              </w:rPr>
            </w:pPr>
            <w:r w:rsidRPr="00754040">
              <w:t>$169,818</w:t>
            </w:r>
          </w:p>
        </w:tc>
        <w:tc>
          <w:tcPr>
            <w:tcW w:w="631" w:type="pct"/>
          </w:tcPr>
          <w:p w14:paraId="647521D9" w14:textId="77777777" w:rsidR="007F6723" w:rsidRPr="00250784" w:rsidRDefault="007F6723" w:rsidP="00181CF8">
            <w:pPr>
              <w:pStyle w:val="Tabletextcentred"/>
              <w:keepNext/>
              <w:jc w:val="right"/>
              <w:rPr>
                <w:i/>
              </w:rPr>
            </w:pPr>
            <w:r w:rsidRPr="00754040">
              <w:t>$182,466</w:t>
            </w:r>
          </w:p>
        </w:tc>
        <w:tc>
          <w:tcPr>
            <w:tcW w:w="631" w:type="pct"/>
          </w:tcPr>
          <w:p w14:paraId="7CA07BBD" w14:textId="77777777" w:rsidR="007F6723" w:rsidRPr="00250784" w:rsidRDefault="007F6723" w:rsidP="00181CF8">
            <w:pPr>
              <w:pStyle w:val="Tabletextcentred"/>
              <w:keepNext/>
              <w:jc w:val="right"/>
              <w:rPr>
                <w:i/>
              </w:rPr>
            </w:pPr>
            <w:r w:rsidRPr="00754040">
              <w:t>$196,017</w:t>
            </w:r>
          </w:p>
        </w:tc>
        <w:tc>
          <w:tcPr>
            <w:tcW w:w="631" w:type="pct"/>
          </w:tcPr>
          <w:p w14:paraId="33B7EFCE" w14:textId="77777777" w:rsidR="007F6723" w:rsidRPr="00250784" w:rsidRDefault="007F6723" w:rsidP="00181CF8">
            <w:pPr>
              <w:pStyle w:val="Tabletextcentred"/>
              <w:keepNext/>
              <w:jc w:val="right"/>
              <w:rPr>
                <w:i/>
              </w:rPr>
            </w:pPr>
            <w:r w:rsidRPr="00754040">
              <w:t>$208,624</w:t>
            </w:r>
          </w:p>
        </w:tc>
        <w:tc>
          <w:tcPr>
            <w:tcW w:w="630" w:type="pct"/>
          </w:tcPr>
          <w:p w14:paraId="32778C47" w14:textId="77777777" w:rsidR="007F6723" w:rsidRPr="00250784" w:rsidRDefault="007F6723" w:rsidP="00181CF8">
            <w:pPr>
              <w:pStyle w:val="Tabletextcentred"/>
              <w:keepNext/>
              <w:jc w:val="right"/>
              <w:rPr>
                <w:i/>
              </w:rPr>
            </w:pPr>
            <w:r w:rsidRPr="00754040">
              <w:t>$223,062</w:t>
            </w:r>
          </w:p>
        </w:tc>
        <w:tc>
          <w:tcPr>
            <w:tcW w:w="736" w:type="pct"/>
          </w:tcPr>
          <w:p w14:paraId="2F4D3C7C" w14:textId="77777777" w:rsidR="007F6723" w:rsidRPr="00250784" w:rsidRDefault="007F6723" w:rsidP="00181CF8">
            <w:pPr>
              <w:pStyle w:val="Tabletextcentred"/>
              <w:keepNext/>
              <w:jc w:val="left"/>
              <w:rPr>
                <w:i/>
              </w:rPr>
            </w:pPr>
            <w:r>
              <w:t>Calculated</w:t>
            </w:r>
          </w:p>
        </w:tc>
      </w:tr>
      <w:tr w:rsidR="007F6723" w14:paraId="7E6ED926" w14:textId="77777777" w:rsidTr="00181CF8">
        <w:tc>
          <w:tcPr>
            <w:tcW w:w="1110" w:type="pct"/>
          </w:tcPr>
          <w:p w14:paraId="0D9B9F9B" w14:textId="77777777" w:rsidR="007F6723" w:rsidRPr="00250784" w:rsidRDefault="007F6723" w:rsidP="00181CF8">
            <w:pPr>
              <w:pStyle w:val="Tabletextcentred"/>
              <w:keepNext/>
              <w:jc w:val="left"/>
              <w:rPr>
                <w:i/>
              </w:rPr>
            </w:pPr>
            <w:r>
              <w:rPr>
                <w:szCs w:val="20"/>
              </w:rPr>
              <w:t>Cost of follow-up specialist consultations</w:t>
            </w:r>
          </w:p>
        </w:tc>
        <w:tc>
          <w:tcPr>
            <w:tcW w:w="631" w:type="pct"/>
          </w:tcPr>
          <w:p w14:paraId="2646ACE4" w14:textId="77777777" w:rsidR="007F6723" w:rsidRPr="00250784" w:rsidRDefault="007F6723" w:rsidP="00181CF8">
            <w:pPr>
              <w:pStyle w:val="Tabletextcentred"/>
              <w:keepNext/>
              <w:jc w:val="right"/>
              <w:rPr>
                <w:i/>
              </w:rPr>
            </w:pPr>
            <w:r w:rsidRPr="000E04B1">
              <w:t>$84,975</w:t>
            </w:r>
          </w:p>
        </w:tc>
        <w:tc>
          <w:tcPr>
            <w:tcW w:w="631" w:type="pct"/>
          </w:tcPr>
          <w:p w14:paraId="0063676C" w14:textId="77777777" w:rsidR="007F6723" w:rsidRPr="00250784" w:rsidRDefault="007F6723" w:rsidP="00181CF8">
            <w:pPr>
              <w:pStyle w:val="Tabletextcentred"/>
              <w:keepNext/>
              <w:jc w:val="right"/>
              <w:rPr>
                <w:i/>
              </w:rPr>
            </w:pPr>
            <w:r w:rsidRPr="000E04B1">
              <w:t>$91,304</w:t>
            </w:r>
          </w:p>
        </w:tc>
        <w:tc>
          <w:tcPr>
            <w:tcW w:w="631" w:type="pct"/>
          </w:tcPr>
          <w:p w14:paraId="00833D61" w14:textId="77777777" w:rsidR="007F6723" w:rsidRPr="00250784" w:rsidRDefault="007F6723" w:rsidP="00181CF8">
            <w:pPr>
              <w:pStyle w:val="Tabletextcentred"/>
              <w:keepNext/>
              <w:jc w:val="right"/>
              <w:rPr>
                <w:i/>
              </w:rPr>
            </w:pPr>
            <w:r w:rsidRPr="000E04B1">
              <w:t>$98,085</w:t>
            </w:r>
          </w:p>
        </w:tc>
        <w:tc>
          <w:tcPr>
            <w:tcW w:w="631" w:type="pct"/>
          </w:tcPr>
          <w:p w14:paraId="45D66CFC" w14:textId="77777777" w:rsidR="007F6723" w:rsidRPr="00250784" w:rsidRDefault="007F6723" w:rsidP="00181CF8">
            <w:pPr>
              <w:pStyle w:val="Tabletextcentred"/>
              <w:keepNext/>
              <w:jc w:val="right"/>
              <w:rPr>
                <w:i/>
              </w:rPr>
            </w:pPr>
            <w:r w:rsidRPr="000E04B1">
              <w:t>$104,393</w:t>
            </w:r>
          </w:p>
        </w:tc>
        <w:tc>
          <w:tcPr>
            <w:tcW w:w="630" w:type="pct"/>
          </w:tcPr>
          <w:p w14:paraId="4E1FD0FB" w14:textId="77777777" w:rsidR="007F6723" w:rsidRPr="00250784" w:rsidRDefault="007F6723" w:rsidP="00181CF8">
            <w:pPr>
              <w:pStyle w:val="Tabletextcentred"/>
              <w:keepNext/>
              <w:jc w:val="right"/>
              <w:rPr>
                <w:i/>
              </w:rPr>
            </w:pPr>
            <w:r w:rsidRPr="000E04B1">
              <w:t>$111,618</w:t>
            </w:r>
          </w:p>
        </w:tc>
        <w:tc>
          <w:tcPr>
            <w:tcW w:w="736" w:type="pct"/>
          </w:tcPr>
          <w:p w14:paraId="35A10CA5" w14:textId="77777777" w:rsidR="007F6723" w:rsidRPr="00250784" w:rsidRDefault="007F6723" w:rsidP="00181CF8">
            <w:pPr>
              <w:pStyle w:val="Tabletextcentred"/>
              <w:keepNext/>
              <w:jc w:val="left"/>
              <w:rPr>
                <w:i/>
              </w:rPr>
            </w:pPr>
            <w:r>
              <w:t>Calculated</w:t>
            </w:r>
          </w:p>
        </w:tc>
      </w:tr>
      <w:tr w:rsidR="007F6723" w14:paraId="2B777D3F" w14:textId="77777777" w:rsidTr="00181CF8">
        <w:tc>
          <w:tcPr>
            <w:tcW w:w="1110" w:type="pct"/>
          </w:tcPr>
          <w:p w14:paraId="7D8D8462" w14:textId="77777777" w:rsidR="007F6723" w:rsidRPr="00250784" w:rsidRDefault="007F6723" w:rsidP="00181CF8">
            <w:pPr>
              <w:pStyle w:val="Tabletextcentred"/>
              <w:keepNext/>
              <w:jc w:val="left"/>
              <w:rPr>
                <w:i/>
              </w:rPr>
            </w:pPr>
            <w:r>
              <w:rPr>
                <w:szCs w:val="20"/>
              </w:rPr>
              <w:t>Total cost of specialist consultations</w:t>
            </w:r>
          </w:p>
        </w:tc>
        <w:tc>
          <w:tcPr>
            <w:tcW w:w="631" w:type="pct"/>
          </w:tcPr>
          <w:p w14:paraId="391C8DED" w14:textId="77777777" w:rsidR="007F6723" w:rsidRPr="00250784" w:rsidRDefault="007F6723" w:rsidP="00181CF8">
            <w:pPr>
              <w:pStyle w:val="Tabletextcentred"/>
              <w:keepNext/>
              <w:jc w:val="right"/>
              <w:rPr>
                <w:i/>
              </w:rPr>
            </w:pPr>
            <w:r w:rsidRPr="00C22135">
              <w:t>$254,793</w:t>
            </w:r>
          </w:p>
        </w:tc>
        <w:tc>
          <w:tcPr>
            <w:tcW w:w="631" w:type="pct"/>
          </w:tcPr>
          <w:p w14:paraId="177D8D59" w14:textId="77777777" w:rsidR="007F6723" w:rsidRPr="00250784" w:rsidRDefault="007F6723" w:rsidP="00181CF8">
            <w:pPr>
              <w:pStyle w:val="Tabletextcentred"/>
              <w:keepNext/>
              <w:jc w:val="right"/>
              <w:rPr>
                <w:i/>
              </w:rPr>
            </w:pPr>
            <w:r w:rsidRPr="00C22135">
              <w:t>$273,771</w:t>
            </w:r>
          </w:p>
        </w:tc>
        <w:tc>
          <w:tcPr>
            <w:tcW w:w="631" w:type="pct"/>
          </w:tcPr>
          <w:p w14:paraId="46A4576A" w14:textId="77777777" w:rsidR="007F6723" w:rsidRPr="00250784" w:rsidRDefault="007F6723" w:rsidP="00181CF8">
            <w:pPr>
              <w:pStyle w:val="Tabletextcentred"/>
              <w:keepNext/>
              <w:jc w:val="right"/>
              <w:rPr>
                <w:i/>
              </w:rPr>
            </w:pPr>
            <w:r w:rsidRPr="00C22135">
              <w:t>$294,102</w:t>
            </w:r>
          </w:p>
        </w:tc>
        <w:tc>
          <w:tcPr>
            <w:tcW w:w="631" w:type="pct"/>
          </w:tcPr>
          <w:p w14:paraId="29BA4D4F" w14:textId="77777777" w:rsidR="007F6723" w:rsidRPr="00250784" w:rsidRDefault="007F6723" w:rsidP="00181CF8">
            <w:pPr>
              <w:pStyle w:val="Tabletextcentred"/>
              <w:keepNext/>
              <w:jc w:val="right"/>
              <w:rPr>
                <w:i/>
              </w:rPr>
            </w:pPr>
            <w:r w:rsidRPr="00C22135">
              <w:t>$313,017</w:t>
            </w:r>
          </w:p>
        </w:tc>
        <w:tc>
          <w:tcPr>
            <w:tcW w:w="630" w:type="pct"/>
          </w:tcPr>
          <w:p w14:paraId="6B349455" w14:textId="77777777" w:rsidR="007F6723" w:rsidRPr="00250784" w:rsidRDefault="007F6723" w:rsidP="00181CF8">
            <w:pPr>
              <w:pStyle w:val="Tabletextcentred"/>
              <w:keepNext/>
              <w:jc w:val="right"/>
              <w:rPr>
                <w:i/>
              </w:rPr>
            </w:pPr>
            <w:r w:rsidRPr="00C22135">
              <w:t>$334,680</w:t>
            </w:r>
          </w:p>
        </w:tc>
        <w:tc>
          <w:tcPr>
            <w:tcW w:w="736" w:type="pct"/>
          </w:tcPr>
          <w:p w14:paraId="5B2B6967" w14:textId="77777777" w:rsidR="007F6723" w:rsidRPr="00250784" w:rsidRDefault="007F6723" w:rsidP="00181CF8">
            <w:pPr>
              <w:pStyle w:val="Tabletextcentred"/>
              <w:keepNext/>
              <w:jc w:val="left"/>
              <w:rPr>
                <w:i/>
              </w:rPr>
            </w:pPr>
            <w:r>
              <w:t>Calculated</w:t>
            </w:r>
          </w:p>
        </w:tc>
      </w:tr>
    </w:tbl>
    <w:p w14:paraId="220C91C9" w14:textId="12B21C0B" w:rsidR="007F6723" w:rsidRDefault="007F6723" w:rsidP="007F6723">
      <w:pPr>
        <w:pStyle w:val="Tablefootnotes"/>
        <w:keepNext/>
      </w:pPr>
      <w:r w:rsidRPr="00F94D4D">
        <w:t>Abbreviations</w:t>
      </w:r>
      <w:r>
        <w:t>: AD, Alzheimer’s disease; FDG-PET, flu</w:t>
      </w:r>
      <w:r w:rsidR="0038452F">
        <w:t>o</w:t>
      </w:r>
      <w:r>
        <w:t>rodeoxyglucose positron emission tomography; MBS, Medicare Benefits Schedule</w:t>
      </w:r>
    </w:p>
    <w:p w14:paraId="574192D3" w14:textId="77777777" w:rsidR="007F6723" w:rsidRDefault="007F6723" w:rsidP="007F6723">
      <w:pPr>
        <w:pStyle w:val="Tablefootnotes"/>
      </w:pPr>
      <w:r w:rsidRPr="002B244F">
        <w:rPr>
          <w:vertAlign w:val="superscript"/>
        </w:rPr>
        <w:t>a</w:t>
      </w:r>
      <w:r>
        <w:t xml:space="preserve"> FDG-PET services + remaining SPECT services x one consultation per service</w:t>
      </w:r>
    </w:p>
    <w:p w14:paraId="207C0F2B" w14:textId="15B81DD2" w:rsidR="00823EDE" w:rsidRDefault="00823EDE" w:rsidP="00823EDE">
      <w:pPr>
        <w:pStyle w:val="Tablefootnotes"/>
      </w:pPr>
      <w:r w:rsidRPr="00823EDE">
        <w:t>Note:</w:t>
      </w:r>
      <w:r w:rsidRPr="00054BA7">
        <w:rPr>
          <w:b/>
        </w:rPr>
        <w:t xml:space="preserve"> </w:t>
      </w:r>
      <w:r>
        <w:t>Figures calculated using non-rounded figures in financial impact model</w:t>
      </w:r>
    </w:p>
    <w:p w14:paraId="357A9183" w14:textId="2D27A827" w:rsidR="00A12F21" w:rsidRPr="004D057E" w:rsidRDefault="007F6723" w:rsidP="00F4677F">
      <w:r>
        <w:t xml:space="preserve">The increase in the cost of consultations associated with functional imaging diagnoses presented in </w:t>
      </w:r>
      <w:r>
        <w:fldChar w:fldCharType="begin"/>
      </w:r>
      <w:r>
        <w:instrText xml:space="preserve"> REF _Ref279763435 \h </w:instrText>
      </w:r>
      <w:r>
        <w:fldChar w:fldCharType="separate"/>
      </w:r>
      <w:r w:rsidR="00C67698">
        <w:t xml:space="preserve">Table </w:t>
      </w:r>
      <w:r w:rsidR="00C67698">
        <w:rPr>
          <w:noProof/>
        </w:rPr>
        <w:t>E.3</w:t>
      </w:r>
      <w:r w:rsidR="00C67698">
        <w:noBreakHyphen/>
      </w:r>
      <w:r w:rsidR="00C67698">
        <w:rPr>
          <w:noProof/>
        </w:rPr>
        <w:t>3</w:t>
      </w:r>
      <w:r>
        <w:fldChar w:fldCharType="end"/>
      </w:r>
      <w:r>
        <w:t xml:space="preserve"> is a consequence of the shift toward greater use of functional imaging in the event of a success</w:t>
      </w:r>
      <w:r w:rsidR="00F4677F">
        <w:t>ful FDG-PET listing on the MBS.</w:t>
      </w:r>
    </w:p>
    <w:p w14:paraId="711A2261" w14:textId="77777777" w:rsidR="007F6723" w:rsidRDefault="007F6723" w:rsidP="007F6723">
      <w:pPr>
        <w:pStyle w:val="Heading2"/>
      </w:pPr>
      <w:bookmarkStart w:id="317" w:name="_Toc406172446"/>
      <w:bookmarkStart w:id="318" w:name="_Toc408845190"/>
      <w:r>
        <w:t>Estimated financial implications on the MBS</w:t>
      </w:r>
      <w:bookmarkEnd w:id="317"/>
      <w:bookmarkEnd w:id="318"/>
    </w:p>
    <w:p w14:paraId="12A5C566" w14:textId="77777777" w:rsidR="007F6723" w:rsidRDefault="007F6723" w:rsidP="00823EDE">
      <w:pPr>
        <w:keepNext/>
      </w:pPr>
      <w:r>
        <w:t xml:space="preserve">As shown in </w:t>
      </w:r>
      <w:r>
        <w:fldChar w:fldCharType="begin"/>
      </w:r>
      <w:r>
        <w:instrText xml:space="preserve"> REF _Ref279766055 \h </w:instrText>
      </w:r>
      <w:r>
        <w:fldChar w:fldCharType="separate"/>
      </w:r>
      <w:r w:rsidR="00C67698">
        <w:t xml:space="preserve">Table </w:t>
      </w:r>
      <w:r w:rsidR="00C67698">
        <w:rPr>
          <w:noProof/>
        </w:rPr>
        <w:t>E.4</w:t>
      </w:r>
      <w:r w:rsidR="00C67698">
        <w:noBreakHyphen/>
      </w:r>
      <w:r w:rsidR="00C67698">
        <w:rPr>
          <w:noProof/>
        </w:rPr>
        <w:t>1</w:t>
      </w:r>
      <w:r>
        <w:fldChar w:fldCharType="end"/>
      </w:r>
      <w:r>
        <w:t>, a listing for the use of FDG-PET in the diagnosis of AD will lead to an increase in costs to the MBS. This is a consequence of two factors: the higher fee relative to SPECT and the possible increase in the use of functional imaging if FDG-</w:t>
      </w:r>
      <w:r>
        <w:lastRenderedPageBreak/>
        <w:t>PET is available to clinicians. The latter of these has an impact on the cost of the diagnostic test as well as the associated consultations required for diagnosis.</w:t>
      </w:r>
    </w:p>
    <w:p w14:paraId="7C928BBB" w14:textId="77777777" w:rsidR="007F6723" w:rsidRDefault="007F6723" w:rsidP="007F6723">
      <w:r>
        <w:t xml:space="preserve">The cost to the MBS is expected to </w:t>
      </w:r>
      <w:r w:rsidRPr="00D850F5">
        <w:t>increase by $62,133 in the first year of a listing for FDG-PET, increasing further to $509,370 in the</w:t>
      </w:r>
      <w:r>
        <w:t xml:space="preserve"> fifth year of the listing.</w:t>
      </w:r>
    </w:p>
    <w:p w14:paraId="1D076F2F" w14:textId="5D6C05E1" w:rsidR="007F6723" w:rsidRDefault="007F6723" w:rsidP="007F6723">
      <w:pPr>
        <w:pStyle w:val="Caption"/>
      </w:pPr>
      <w:bookmarkStart w:id="319" w:name="_Ref279766055"/>
      <w:bookmarkStart w:id="320" w:name="_Toc406172508"/>
      <w:bookmarkStart w:id="321" w:name="_Toc408845263"/>
      <w:r>
        <w:t xml:space="preserve">Table </w:t>
      </w:r>
      <w:fldSimple w:instr=" STYLEREF 2 \s ">
        <w:r w:rsidR="00C67698">
          <w:rPr>
            <w:noProof/>
          </w:rPr>
          <w:t>E.4</w:t>
        </w:r>
      </w:fldSimple>
      <w:r w:rsidR="00524916">
        <w:noBreakHyphen/>
      </w:r>
      <w:fldSimple w:instr=" SEQ Table \* ARABIC \s 2 ">
        <w:r w:rsidR="00C67698">
          <w:rPr>
            <w:noProof/>
          </w:rPr>
          <w:t>1</w:t>
        </w:r>
      </w:fldSimple>
      <w:bookmarkEnd w:id="319"/>
      <w:r>
        <w:tab/>
        <w:t>Total MBS costs with and without a successful FDG-PET listing on the MBS</w:t>
      </w:r>
      <w:bookmarkEnd w:id="320"/>
      <w:bookmarkEnd w:id="321"/>
    </w:p>
    <w:tbl>
      <w:tblPr>
        <w:tblStyle w:val="TableGrid"/>
        <w:tblW w:w="4610" w:type="pct"/>
        <w:tblInd w:w="704" w:type="dxa"/>
        <w:tblLayout w:type="fixed"/>
        <w:tblLook w:val="04A0" w:firstRow="1" w:lastRow="0" w:firstColumn="1" w:lastColumn="0" w:noHBand="0" w:noVBand="1"/>
        <w:tblCaption w:val="The total MBS costs with and without a successful FDG-PET listing on the MBS"/>
        <w:tblDescription w:val="The total MBS costs including total cost of SPECT for AD diagnosis, total cost of FDG-PET for AD diagnosis and total cost of associated specialist consultations"/>
      </w:tblPr>
      <w:tblGrid>
        <w:gridCol w:w="1891"/>
        <w:gridCol w:w="1088"/>
        <w:gridCol w:w="1088"/>
        <w:gridCol w:w="1087"/>
        <w:gridCol w:w="1087"/>
        <w:gridCol w:w="1087"/>
        <w:gridCol w:w="1193"/>
      </w:tblGrid>
      <w:tr w:rsidR="007F6723" w14:paraId="48B335E3" w14:textId="77777777" w:rsidTr="00A12F21">
        <w:trPr>
          <w:tblHeader/>
        </w:trPr>
        <w:tc>
          <w:tcPr>
            <w:tcW w:w="1109" w:type="pct"/>
            <w:tcBorders>
              <w:bottom w:val="single" w:sz="4" w:space="0" w:color="auto"/>
            </w:tcBorders>
          </w:tcPr>
          <w:p w14:paraId="4141276E" w14:textId="77777777" w:rsidR="007F6723" w:rsidRDefault="007F6723" w:rsidP="00181CF8">
            <w:pPr>
              <w:pStyle w:val="Tabletextboldleft"/>
              <w:jc w:val="right"/>
            </w:pPr>
          </w:p>
        </w:tc>
        <w:tc>
          <w:tcPr>
            <w:tcW w:w="638" w:type="pct"/>
            <w:tcBorders>
              <w:bottom w:val="single" w:sz="4" w:space="0" w:color="auto"/>
            </w:tcBorders>
          </w:tcPr>
          <w:p w14:paraId="7B927A21" w14:textId="77777777" w:rsidR="007F6723" w:rsidRDefault="007F6723" w:rsidP="00181CF8">
            <w:pPr>
              <w:pStyle w:val="Tabletextboldleft"/>
              <w:jc w:val="right"/>
            </w:pPr>
            <w:r>
              <w:t>2015</w:t>
            </w:r>
          </w:p>
        </w:tc>
        <w:tc>
          <w:tcPr>
            <w:tcW w:w="638" w:type="pct"/>
            <w:tcBorders>
              <w:bottom w:val="single" w:sz="4" w:space="0" w:color="auto"/>
            </w:tcBorders>
          </w:tcPr>
          <w:p w14:paraId="3D6435A8" w14:textId="77777777" w:rsidR="007F6723" w:rsidRDefault="007F6723" w:rsidP="00181CF8">
            <w:pPr>
              <w:pStyle w:val="Tabletextboldleft"/>
              <w:jc w:val="right"/>
            </w:pPr>
            <w:r>
              <w:t>2016</w:t>
            </w:r>
          </w:p>
        </w:tc>
        <w:tc>
          <w:tcPr>
            <w:tcW w:w="638" w:type="pct"/>
            <w:tcBorders>
              <w:bottom w:val="single" w:sz="4" w:space="0" w:color="auto"/>
            </w:tcBorders>
          </w:tcPr>
          <w:p w14:paraId="486B36A3" w14:textId="77777777" w:rsidR="007F6723" w:rsidRDefault="007F6723" w:rsidP="00181CF8">
            <w:pPr>
              <w:pStyle w:val="Tabletextboldleft"/>
              <w:jc w:val="right"/>
            </w:pPr>
            <w:r>
              <w:t>2017</w:t>
            </w:r>
          </w:p>
        </w:tc>
        <w:tc>
          <w:tcPr>
            <w:tcW w:w="638" w:type="pct"/>
            <w:tcBorders>
              <w:bottom w:val="single" w:sz="4" w:space="0" w:color="auto"/>
            </w:tcBorders>
          </w:tcPr>
          <w:p w14:paraId="541BE56D" w14:textId="77777777" w:rsidR="007F6723" w:rsidRDefault="007F6723" w:rsidP="00181CF8">
            <w:pPr>
              <w:pStyle w:val="Tabletextboldleft"/>
              <w:jc w:val="right"/>
            </w:pPr>
            <w:r>
              <w:t>2018</w:t>
            </w:r>
          </w:p>
        </w:tc>
        <w:tc>
          <w:tcPr>
            <w:tcW w:w="638" w:type="pct"/>
            <w:tcBorders>
              <w:bottom w:val="single" w:sz="4" w:space="0" w:color="auto"/>
            </w:tcBorders>
          </w:tcPr>
          <w:p w14:paraId="4D3D7B1C" w14:textId="77777777" w:rsidR="007F6723" w:rsidRDefault="007F6723" w:rsidP="00181CF8">
            <w:pPr>
              <w:pStyle w:val="Tabletextboldleft"/>
              <w:jc w:val="right"/>
            </w:pPr>
            <w:r>
              <w:t>2019</w:t>
            </w:r>
          </w:p>
        </w:tc>
        <w:tc>
          <w:tcPr>
            <w:tcW w:w="700" w:type="pct"/>
          </w:tcPr>
          <w:p w14:paraId="4AA8CC52" w14:textId="77777777" w:rsidR="007F6723" w:rsidRDefault="007F6723" w:rsidP="00181CF8">
            <w:pPr>
              <w:pStyle w:val="Tabletextboldleft"/>
              <w:jc w:val="right"/>
            </w:pPr>
            <w:r>
              <w:t>Reference</w:t>
            </w:r>
          </w:p>
        </w:tc>
      </w:tr>
      <w:tr w:rsidR="007F6723" w14:paraId="2341EEF6" w14:textId="77777777" w:rsidTr="00537C67">
        <w:tc>
          <w:tcPr>
            <w:tcW w:w="1109" w:type="pct"/>
            <w:tcBorders>
              <w:right w:val="nil"/>
            </w:tcBorders>
            <w:shd w:val="clear" w:color="auto" w:fill="BFBFBF" w:themeFill="background1" w:themeFillShade="BF"/>
          </w:tcPr>
          <w:p w14:paraId="1E2725FA" w14:textId="77777777" w:rsidR="007F6723" w:rsidRPr="00537C67" w:rsidRDefault="007F6723" w:rsidP="00181CF8">
            <w:pPr>
              <w:pStyle w:val="Tabletextcentred"/>
              <w:keepNext/>
              <w:jc w:val="left"/>
            </w:pPr>
            <w:r w:rsidRPr="00537C67">
              <w:t>No MBS listing for FDG-PET</w:t>
            </w:r>
          </w:p>
        </w:tc>
        <w:tc>
          <w:tcPr>
            <w:tcW w:w="638" w:type="pct"/>
            <w:tcBorders>
              <w:left w:val="nil"/>
              <w:right w:val="nil"/>
            </w:tcBorders>
            <w:shd w:val="clear" w:color="auto" w:fill="BFBFBF" w:themeFill="background1" w:themeFillShade="BF"/>
          </w:tcPr>
          <w:p w14:paraId="5EE8997F"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1C558763"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1837AA2C"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2A881F38"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43227AE4" w14:textId="77777777" w:rsidR="007F6723" w:rsidRPr="00537C67" w:rsidRDefault="007F6723" w:rsidP="00181CF8">
            <w:pPr>
              <w:pStyle w:val="Tabletextcentred"/>
              <w:keepNext/>
              <w:jc w:val="right"/>
            </w:pPr>
            <w:r w:rsidRPr="00537C67">
              <w:t>-</w:t>
            </w:r>
          </w:p>
        </w:tc>
        <w:tc>
          <w:tcPr>
            <w:tcW w:w="700" w:type="pct"/>
            <w:tcBorders>
              <w:left w:val="nil"/>
            </w:tcBorders>
            <w:shd w:val="clear" w:color="auto" w:fill="BFBFBF" w:themeFill="background1" w:themeFillShade="BF"/>
          </w:tcPr>
          <w:p w14:paraId="1CD1449D" w14:textId="77777777" w:rsidR="007F6723" w:rsidRPr="00537C67" w:rsidRDefault="007F6723" w:rsidP="00181CF8">
            <w:pPr>
              <w:pStyle w:val="Tabletextcentred"/>
              <w:keepNext/>
              <w:jc w:val="right"/>
            </w:pPr>
            <w:r w:rsidRPr="00537C67">
              <w:t>-</w:t>
            </w:r>
          </w:p>
        </w:tc>
      </w:tr>
      <w:tr w:rsidR="007F6723" w14:paraId="167B8F79" w14:textId="77777777" w:rsidTr="00A12F21">
        <w:tc>
          <w:tcPr>
            <w:tcW w:w="1109" w:type="pct"/>
          </w:tcPr>
          <w:p w14:paraId="3379287D" w14:textId="77777777" w:rsidR="007F6723" w:rsidRPr="004D057E" w:rsidRDefault="007F6723" w:rsidP="00181CF8">
            <w:pPr>
              <w:pStyle w:val="Tabletextcentred"/>
              <w:keepNext/>
              <w:jc w:val="left"/>
            </w:pPr>
            <w:r>
              <w:t>Total cost of SPECT for AD diagnosis</w:t>
            </w:r>
          </w:p>
        </w:tc>
        <w:tc>
          <w:tcPr>
            <w:tcW w:w="638" w:type="pct"/>
          </w:tcPr>
          <w:p w14:paraId="4A130413" w14:textId="77777777" w:rsidR="007F6723" w:rsidRPr="00487C30" w:rsidRDefault="007F6723" w:rsidP="00181CF8">
            <w:pPr>
              <w:pStyle w:val="Tabletextcentred"/>
              <w:keepNext/>
              <w:jc w:val="right"/>
              <w:rPr>
                <w:highlight w:val="yellow"/>
              </w:rPr>
            </w:pPr>
            <w:r w:rsidRPr="00DD197F">
              <w:t>$697,075</w:t>
            </w:r>
          </w:p>
        </w:tc>
        <w:tc>
          <w:tcPr>
            <w:tcW w:w="638" w:type="pct"/>
          </w:tcPr>
          <w:p w14:paraId="56901D60" w14:textId="77777777" w:rsidR="007F6723" w:rsidRPr="00487C30" w:rsidRDefault="007F6723" w:rsidP="00181CF8">
            <w:pPr>
              <w:pStyle w:val="Tabletextcentred"/>
              <w:keepNext/>
              <w:jc w:val="right"/>
              <w:rPr>
                <w:highlight w:val="yellow"/>
              </w:rPr>
            </w:pPr>
            <w:r w:rsidRPr="00DD197F">
              <w:t>$730,726</w:t>
            </w:r>
          </w:p>
        </w:tc>
        <w:tc>
          <w:tcPr>
            <w:tcW w:w="638" w:type="pct"/>
          </w:tcPr>
          <w:p w14:paraId="71C3C8DC" w14:textId="77777777" w:rsidR="007F6723" w:rsidRPr="00487C30" w:rsidRDefault="007F6723" w:rsidP="00181CF8">
            <w:pPr>
              <w:pStyle w:val="Tabletextcentred"/>
              <w:keepNext/>
              <w:jc w:val="right"/>
              <w:rPr>
                <w:highlight w:val="yellow"/>
              </w:rPr>
            </w:pPr>
            <w:r w:rsidRPr="00DD197F">
              <w:t>$766,301</w:t>
            </w:r>
          </w:p>
        </w:tc>
        <w:tc>
          <w:tcPr>
            <w:tcW w:w="638" w:type="pct"/>
          </w:tcPr>
          <w:p w14:paraId="7EFD89B8" w14:textId="77777777" w:rsidR="007F6723" w:rsidRPr="00487C30" w:rsidRDefault="007F6723" w:rsidP="00181CF8">
            <w:pPr>
              <w:pStyle w:val="Tabletextcentred"/>
              <w:keepNext/>
              <w:jc w:val="right"/>
              <w:rPr>
                <w:highlight w:val="yellow"/>
              </w:rPr>
            </w:pPr>
            <w:r w:rsidRPr="00DD197F">
              <w:t>$796,619</w:t>
            </w:r>
          </w:p>
        </w:tc>
        <w:tc>
          <w:tcPr>
            <w:tcW w:w="638" w:type="pct"/>
          </w:tcPr>
          <w:p w14:paraId="5F9943F7" w14:textId="77777777" w:rsidR="007F6723" w:rsidRPr="00487C30" w:rsidRDefault="007F6723" w:rsidP="00181CF8">
            <w:pPr>
              <w:pStyle w:val="Tabletextcentred"/>
              <w:keepNext/>
              <w:jc w:val="right"/>
              <w:rPr>
                <w:highlight w:val="yellow"/>
              </w:rPr>
            </w:pPr>
            <w:r w:rsidRPr="00DD197F">
              <w:t>$832,393</w:t>
            </w:r>
          </w:p>
        </w:tc>
        <w:tc>
          <w:tcPr>
            <w:tcW w:w="700" w:type="pct"/>
          </w:tcPr>
          <w:p w14:paraId="15D138C5" w14:textId="77777777" w:rsidR="007F6723" w:rsidRDefault="007F6723" w:rsidP="00181CF8">
            <w:pPr>
              <w:pStyle w:val="Tabletextcentred"/>
              <w:keepNext/>
              <w:jc w:val="right"/>
            </w:pPr>
            <w:r>
              <w:fldChar w:fldCharType="begin"/>
            </w:r>
            <w:r>
              <w:instrText xml:space="preserve"> REF _Ref279760874 \h </w:instrText>
            </w:r>
            <w:r>
              <w:fldChar w:fldCharType="separate"/>
            </w:r>
            <w:r w:rsidR="00C67698">
              <w:t xml:space="preserve">Table </w:t>
            </w:r>
            <w:r w:rsidR="00C67698">
              <w:rPr>
                <w:noProof/>
              </w:rPr>
              <w:t>E.2</w:t>
            </w:r>
            <w:r w:rsidR="00C67698">
              <w:noBreakHyphen/>
            </w:r>
            <w:r w:rsidR="00C67698">
              <w:rPr>
                <w:noProof/>
              </w:rPr>
              <w:t>5</w:t>
            </w:r>
            <w:r>
              <w:fldChar w:fldCharType="end"/>
            </w:r>
          </w:p>
        </w:tc>
      </w:tr>
      <w:tr w:rsidR="007F6723" w14:paraId="16566A97" w14:textId="77777777" w:rsidTr="00A12F21">
        <w:tc>
          <w:tcPr>
            <w:tcW w:w="1109" w:type="pct"/>
          </w:tcPr>
          <w:p w14:paraId="1D3BC763" w14:textId="77777777" w:rsidR="007F6723" w:rsidRPr="008D012B" w:rsidRDefault="007F6723" w:rsidP="00181CF8">
            <w:pPr>
              <w:pStyle w:val="Tabletextcentred"/>
              <w:keepNext/>
              <w:jc w:val="left"/>
              <w:rPr>
                <w:vertAlign w:val="superscript"/>
              </w:rPr>
            </w:pPr>
            <w:r>
              <w:t>Total cost of FDG-PET for AD diagnosis</w:t>
            </w:r>
          </w:p>
        </w:tc>
        <w:tc>
          <w:tcPr>
            <w:tcW w:w="638" w:type="pct"/>
          </w:tcPr>
          <w:p w14:paraId="195CDDCF" w14:textId="77777777" w:rsidR="007F6723" w:rsidRDefault="007F6723" w:rsidP="00181CF8">
            <w:pPr>
              <w:pStyle w:val="Tabletextcentred"/>
              <w:keepNext/>
              <w:jc w:val="right"/>
            </w:pPr>
            <w:r>
              <w:t>$0</w:t>
            </w:r>
          </w:p>
        </w:tc>
        <w:tc>
          <w:tcPr>
            <w:tcW w:w="638" w:type="pct"/>
          </w:tcPr>
          <w:p w14:paraId="1AB6148F" w14:textId="77777777" w:rsidR="007F6723" w:rsidRDefault="007F6723" w:rsidP="00181CF8">
            <w:pPr>
              <w:pStyle w:val="Tabletextcentred"/>
              <w:keepNext/>
              <w:jc w:val="right"/>
            </w:pPr>
            <w:r w:rsidRPr="000D664E">
              <w:t>$0</w:t>
            </w:r>
          </w:p>
        </w:tc>
        <w:tc>
          <w:tcPr>
            <w:tcW w:w="638" w:type="pct"/>
          </w:tcPr>
          <w:p w14:paraId="563F7AEE" w14:textId="77777777" w:rsidR="007F6723" w:rsidRDefault="007F6723" w:rsidP="00181CF8">
            <w:pPr>
              <w:pStyle w:val="Tabletextcentred"/>
              <w:keepNext/>
              <w:jc w:val="right"/>
            </w:pPr>
            <w:r w:rsidRPr="000D664E">
              <w:t>$0</w:t>
            </w:r>
          </w:p>
        </w:tc>
        <w:tc>
          <w:tcPr>
            <w:tcW w:w="638" w:type="pct"/>
          </w:tcPr>
          <w:p w14:paraId="5C5BD327" w14:textId="77777777" w:rsidR="007F6723" w:rsidRDefault="007F6723" w:rsidP="00181CF8">
            <w:pPr>
              <w:pStyle w:val="Tabletextcentred"/>
              <w:keepNext/>
              <w:jc w:val="right"/>
            </w:pPr>
            <w:r w:rsidRPr="000D664E">
              <w:t>$0</w:t>
            </w:r>
          </w:p>
        </w:tc>
        <w:tc>
          <w:tcPr>
            <w:tcW w:w="638" w:type="pct"/>
          </w:tcPr>
          <w:p w14:paraId="49C05F13" w14:textId="77777777" w:rsidR="007F6723" w:rsidRDefault="007F6723" w:rsidP="00181CF8">
            <w:pPr>
              <w:pStyle w:val="Tabletextcentred"/>
              <w:keepNext/>
              <w:jc w:val="right"/>
            </w:pPr>
            <w:r w:rsidRPr="000D664E">
              <w:t>$0</w:t>
            </w:r>
          </w:p>
        </w:tc>
        <w:tc>
          <w:tcPr>
            <w:tcW w:w="700" w:type="pct"/>
          </w:tcPr>
          <w:p w14:paraId="740C48EC" w14:textId="77777777" w:rsidR="007F6723" w:rsidRDefault="007F6723" w:rsidP="00181CF8">
            <w:pPr>
              <w:pStyle w:val="Tabletextcentred"/>
              <w:keepNext/>
              <w:jc w:val="right"/>
            </w:pPr>
            <w:r>
              <w:t>Assumption</w:t>
            </w:r>
          </w:p>
        </w:tc>
      </w:tr>
      <w:tr w:rsidR="007F6723" w14:paraId="63D99FE4" w14:textId="77777777" w:rsidTr="00A12F21">
        <w:tc>
          <w:tcPr>
            <w:tcW w:w="1109" w:type="pct"/>
          </w:tcPr>
          <w:p w14:paraId="0C43E937" w14:textId="77777777" w:rsidR="007F6723" w:rsidRDefault="007F6723" w:rsidP="00181CF8">
            <w:pPr>
              <w:pStyle w:val="Tabletextcentred"/>
              <w:keepNext/>
              <w:jc w:val="left"/>
            </w:pPr>
            <w:r>
              <w:t>Total cost of associated specialist consultations</w:t>
            </w:r>
          </w:p>
        </w:tc>
        <w:tc>
          <w:tcPr>
            <w:tcW w:w="638" w:type="pct"/>
          </w:tcPr>
          <w:p w14:paraId="2456ABF6" w14:textId="77777777" w:rsidR="007F6723" w:rsidRDefault="007F6723" w:rsidP="00181CF8">
            <w:pPr>
              <w:pStyle w:val="Tabletextcentred"/>
              <w:keepNext/>
              <w:jc w:val="right"/>
            </w:pPr>
            <w:r w:rsidRPr="0053199B">
              <w:t>$254,793</w:t>
            </w:r>
          </w:p>
        </w:tc>
        <w:tc>
          <w:tcPr>
            <w:tcW w:w="638" w:type="pct"/>
          </w:tcPr>
          <w:p w14:paraId="2C0FD310" w14:textId="77777777" w:rsidR="007F6723" w:rsidRDefault="007F6723" w:rsidP="00181CF8">
            <w:pPr>
              <w:pStyle w:val="Tabletextcentred"/>
              <w:keepNext/>
              <w:jc w:val="right"/>
            </w:pPr>
            <w:r w:rsidRPr="0053199B">
              <w:t>$267,093</w:t>
            </w:r>
          </w:p>
        </w:tc>
        <w:tc>
          <w:tcPr>
            <w:tcW w:w="638" w:type="pct"/>
          </w:tcPr>
          <w:p w14:paraId="7620C65B" w14:textId="77777777" w:rsidR="007F6723" w:rsidRDefault="007F6723" w:rsidP="00181CF8">
            <w:pPr>
              <w:pStyle w:val="Tabletextcentred"/>
              <w:keepNext/>
              <w:jc w:val="right"/>
            </w:pPr>
            <w:r w:rsidRPr="0053199B">
              <w:t>$280,097</w:t>
            </w:r>
          </w:p>
        </w:tc>
        <w:tc>
          <w:tcPr>
            <w:tcW w:w="638" w:type="pct"/>
          </w:tcPr>
          <w:p w14:paraId="62667E14" w14:textId="77777777" w:rsidR="007F6723" w:rsidRDefault="007F6723" w:rsidP="00181CF8">
            <w:pPr>
              <w:pStyle w:val="Tabletextcentred"/>
              <w:keepNext/>
              <w:jc w:val="right"/>
            </w:pPr>
            <w:r w:rsidRPr="0053199B">
              <w:t>$291,179</w:t>
            </w:r>
          </w:p>
        </w:tc>
        <w:tc>
          <w:tcPr>
            <w:tcW w:w="638" w:type="pct"/>
          </w:tcPr>
          <w:p w14:paraId="10FFAA32" w14:textId="77777777" w:rsidR="007F6723" w:rsidRDefault="007F6723" w:rsidP="00181CF8">
            <w:pPr>
              <w:pStyle w:val="Tabletextcentred"/>
              <w:keepNext/>
              <w:jc w:val="right"/>
            </w:pPr>
            <w:r w:rsidRPr="0053199B">
              <w:t>$304,255</w:t>
            </w:r>
          </w:p>
        </w:tc>
        <w:tc>
          <w:tcPr>
            <w:tcW w:w="700" w:type="pct"/>
          </w:tcPr>
          <w:p w14:paraId="3B310D57" w14:textId="77777777" w:rsidR="007F6723" w:rsidRDefault="007F6723" w:rsidP="00181CF8">
            <w:pPr>
              <w:pStyle w:val="Tabletextcentred"/>
              <w:keepNext/>
              <w:jc w:val="right"/>
            </w:pPr>
            <w:r>
              <w:fldChar w:fldCharType="begin"/>
            </w:r>
            <w:r>
              <w:instrText xml:space="preserve"> REF _Ref279763435 \h </w:instrText>
            </w:r>
            <w:r>
              <w:fldChar w:fldCharType="separate"/>
            </w:r>
            <w:r w:rsidR="00C67698">
              <w:t xml:space="preserve">Table </w:t>
            </w:r>
            <w:r w:rsidR="00C67698">
              <w:rPr>
                <w:noProof/>
              </w:rPr>
              <w:t>E.3</w:t>
            </w:r>
            <w:r w:rsidR="00C67698">
              <w:noBreakHyphen/>
            </w:r>
            <w:r w:rsidR="00C67698">
              <w:rPr>
                <w:noProof/>
              </w:rPr>
              <w:t>3</w:t>
            </w:r>
            <w:r>
              <w:fldChar w:fldCharType="end"/>
            </w:r>
          </w:p>
        </w:tc>
      </w:tr>
      <w:tr w:rsidR="007F6723" w14:paraId="6839A2F8" w14:textId="77777777" w:rsidTr="00A12F21">
        <w:tc>
          <w:tcPr>
            <w:tcW w:w="1109" w:type="pct"/>
            <w:tcBorders>
              <w:bottom w:val="single" w:sz="4" w:space="0" w:color="auto"/>
            </w:tcBorders>
          </w:tcPr>
          <w:p w14:paraId="2ED7CD23" w14:textId="77777777" w:rsidR="007F6723" w:rsidRPr="00405358" w:rsidRDefault="007F6723" w:rsidP="00181CF8">
            <w:pPr>
              <w:pStyle w:val="Tabletext"/>
              <w:keepNext/>
              <w:ind w:left="0"/>
              <w:jc w:val="left"/>
              <w:rPr>
                <w:rFonts w:ascii="Arial Narrow" w:hAnsi="Arial Narrow"/>
                <w:sz w:val="20"/>
                <w:szCs w:val="20"/>
              </w:rPr>
            </w:pPr>
            <w:r>
              <w:rPr>
                <w:rFonts w:ascii="Arial Narrow" w:hAnsi="Arial Narrow"/>
                <w:sz w:val="20"/>
                <w:szCs w:val="20"/>
              </w:rPr>
              <w:t>Total cost to the MBS</w:t>
            </w:r>
          </w:p>
        </w:tc>
        <w:tc>
          <w:tcPr>
            <w:tcW w:w="638" w:type="pct"/>
            <w:tcBorders>
              <w:bottom w:val="single" w:sz="4" w:space="0" w:color="auto"/>
            </w:tcBorders>
          </w:tcPr>
          <w:p w14:paraId="27E5935B" w14:textId="77777777" w:rsidR="007F6723" w:rsidRPr="00487C30" w:rsidRDefault="007F6723" w:rsidP="00181CF8">
            <w:pPr>
              <w:pStyle w:val="Tabletextcentred"/>
              <w:keepNext/>
              <w:jc w:val="right"/>
              <w:rPr>
                <w:highlight w:val="yellow"/>
              </w:rPr>
            </w:pPr>
            <w:r w:rsidRPr="00E4270C">
              <w:t>$951,868</w:t>
            </w:r>
          </w:p>
        </w:tc>
        <w:tc>
          <w:tcPr>
            <w:tcW w:w="638" w:type="pct"/>
            <w:tcBorders>
              <w:bottom w:val="single" w:sz="4" w:space="0" w:color="auto"/>
            </w:tcBorders>
          </w:tcPr>
          <w:p w14:paraId="2D52C328" w14:textId="77777777" w:rsidR="007F6723" w:rsidRPr="00487C30" w:rsidRDefault="007F6723" w:rsidP="00181CF8">
            <w:pPr>
              <w:pStyle w:val="Tabletextcentred"/>
              <w:keepNext/>
              <w:jc w:val="right"/>
              <w:rPr>
                <w:highlight w:val="yellow"/>
              </w:rPr>
            </w:pPr>
            <w:r w:rsidRPr="00E4270C">
              <w:t>$997,819</w:t>
            </w:r>
          </w:p>
        </w:tc>
        <w:tc>
          <w:tcPr>
            <w:tcW w:w="638" w:type="pct"/>
            <w:tcBorders>
              <w:bottom w:val="single" w:sz="4" w:space="0" w:color="auto"/>
            </w:tcBorders>
          </w:tcPr>
          <w:p w14:paraId="5B1598BE" w14:textId="77777777" w:rsidR="007F6723" w:rsidRPr="00487C30" w:rsidRDefault="007F6723" w:rsidP="00181CF8">
            <w:pPr>
              <w:pStyle w:val="Tabletextcentred"/>
              <w:keepNext/>
              <w:jc w:val="right"/>
              <w:rPr>
                <w:highlight w:val="yellow"/>
              </w:rPr>
            </w:pPr>
            <w:r w:rsidRPr="00E4270C">
              <w:t>$1,046,398</w:t>
            </w:r>
          </w:p>
        </w:tc>
        <w:tc>
          <w:tcPr>
            <w:tcW w:w="638" w:type="pct"/>
            <w:tcBorders>
              <w:bottom w:val="single" w:sz="4" w:space="0" w:color="auto"/>
            </w:tcBorders>
          </w:tcPr>
          <w:p w14:paraId="6691883D" w14:textId="77777777" w:rsidR="007F6723" w:rsidRPr="00487C30" w:rsidRDefault="007F6723" w:rsidP="00181CF8">
            <w:pPr>
              <w:pStyle w:val="Tabletextcentred"/>
              <w:keepNext/>
              <w:jc w:val="right"/>
              <w:rPr>
                <w:highlight w:val="yellow"/>
              </w:rPr>
            </w:pPr>
            <w:r w:rsidRPr="00E4270C">
              <w:t>$1,087,798</w:t>
            </w:r>
          </w:p>
        </w:tc>
        <w:tc>
          <w:tcPr>
            <w:tcW w:w="638" w:type="pct"/>
            <w:tcBorders>
              <w:bottom w:val="single" w:sz="4" w:space="0" w:color="auto"/>
            </w:tcBorders>
          </w:tcPr>
          <w:p w14:paraId="7824767B" w14:textId="77777777" w:rsidR="007F6723" w:rsidRPr="00487C30" w:rsidRDefault="007F6723" w:rsidP="00181CF8">
            <w:pPr>
              <w:pStyle w:val="Tabletextcentred"/>
              <w:keepNext/>
              <w:jc w:val="right"/>
              <w:rPr>
                <w:highlight w:val="yellow"/>
              </w:rPr>
            </w:pPr>
            <w:r w:rsidRPr="00E4270C">
              <w:t>$1,136,648</w:t>
            </w:r>
          </w:p>
        </w:tc>
        <w:tc>
          <w:tcPr>
            <w:tcW w:w="700" w:type="pct"/>
          </w:tcPr>
          <w:p w14:paraId="29E24339" w14:textId="77777777" w:rsidR="007F6723" w:rsidRDefault="007F6723" w:rsidP="00181CF8">
            <w:pPr>
              <w:pStyle w:val="Tabletextcentred"/>
              <w:keepNext/>
              <w:jc w:val="right"/>
            </w:pPr>
            <w:r>
              <w:t>Calculated</w:t>
            </w:r>
          </w:p>
        </w:tc>
      </w:tr>
      <w:tr w:rsidR="007F6723" w14:paraId="213D80CA" w14:textId="77777777" w:rsidTr="00537C67">
        <w:tc>
          <w:tcPr>
            <w:tcW w:w="1109" w:type="pct"/>
            <w:tcBorders>
              <w:right w:val="nil"/>
            </w:tcBorders>
            <w:shd w:val="clear" w:color="auto" w:fill="BFBFBF" w:themeFill="background1" w:themeFillShade="BF"/>
          </w:tcPr>
          <w:p w14:paraId="062DE5F4" w14:textId="77777777" w:rsidR="007F6723" w:rsidRPr="00537C67" w:rsidRDefault="007F6723" w:rsidP="00181CF8">
            <w:pPr>
              <w:pStyle w:val="Tabletextcentred"/>
              <w:keepNext/>
              <w:jc w:val="left"/>
            </w:pPr>
            <w:r w:rsidRPr="00537C67">
              <w:t>With MBS listing for FDG-PET</w:t>
            </w:r>
          </w:p>
        </w:tc>
        <w:tc>
          <w:tcPr>
            <w:tcW w:w="638" w:type="pct"/>
            <w:tcBorders>
              <w:left w:val="nil"/>
              <w:right w:val="nil"/>
            </w:tcBorders>
            <w:shd w:val="clear" w:color="auto" w:fill="BFBFBF" w:themeFill="background1" w:themeFillShade="BF"/>
          </w:tcPr>
          <w:p w14:paraId="29DB7DA9"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647082D3"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4B57CEF7"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02ABAC4E" w14:textId="77777777" w:rsidR="007F6723" w:rsidRPr="00537C67" w:rsidRDefault="007F6723" w:rsidP="00181CF8">
            <w:pPr>
              <w:pStyle w:val="Tabletextcentred"/>
              <w:keepNext/>
              <w:jc w:val="right"/>
            </w:pPr>
            <w:r w:rsidRPr="00537C67">
              <w:t>-</w:t>
            </w:r>
          </w:p>
        </w:tc>
        <w:tc>
          <w:tcPr>
            <w:tcW w:w="638" w:type="pct"/>
            <w:tcBorders>
              <w:left w:val="nil"/>
              <w:right w:val="nil"/>
            </w:tcBorders>
            <w:shd w:val="clear" w:color="auto" w:fill="BFBFBF" w:themeFill="background1" w:themeFillShade="BF"/>
          </w:tcPr>
          <w:p w14:paraId="0EFDE642" w14:textId="77777777" w:rsidR="007F6723" w:rsidRPr="00537C67" w:rsidRDefault="007F6723" w:rsidP="00181CF8">
            <w:pPr>
              <w:pStyle w:val="Tabletextcentred"/>
              <w:keepNext/>
              <w:jc w:val="right"/>
            </w:pPr>
            <w:r w:rsidRPr="00537C67">
              <w:t>-</w:t>
            </w:r>
          </w:p>
        </w:tc>
        <w:tc>
          <w:tcPr>
            <w:tcW w:w="700" w:type="pct"/>
            <w:tcBorders>
              <w:left w:val="nil"/>
            </w:tcBorders>
            <w:shd w:val="clear" w:color="auto" w:fill="BFBFBF" w:themeFill="background1" w:themeFillShade="BF"/>
          </w:tcPr>
          <w:p w14:paraId="3D77351D" w14:textId="77777777" w:rsidR="007F6723" w:rsidRPr="00537C67" w:rsidRDefault="007F6723" w:rsidP="00181CF8">
            <w:pPr>
              <w:pStyle w:val="Tabletextcentred"/>
              <w:keepNext/>
              <w:jc w:val="right"/>
            </w:pPr>
            <w:r w:rsidRPr="00537C67">
              <w:t>-</w:t>
            </w:r>
          </w:p>
        </w:tc>
      </w:tr>
      <w:tr w:rsidR="00A12F21" w14:paraId="745E019C" w14:textId="77777777" w:rsidTr="00A12F21">
        <w:tc>
          <w:tcPr>
            <w:tcW w:w="1109" w:type="pct"/>
          </w:tcPr>
          <w:p w14:paraId="4F828466" w14:textId="77777777" w:rsidR="00A12F21" w:rsidRPr="00250784" w:rsidRDefault="00A12F21" w:rsidP="00A12F21">
            <w:pPr>
              <w:pStyle w:val="Tabletextcentred"/>
              <w:keepNext/>
              <w:jc w:val="left"/>
              <w:rPr>
                <w:i/>
              </w:rPr>
            </w:pPr>
            <w:r>
              <w:t>Total cost of SPECT for AD diagnosis</w:t>
            </w:r>
          </w:p>
        </w:tc>
        <w:tc>
          <w:tcPr>
            <w:tcW w:w="638" w:type="pct"/>
          </w:tcPr>
          <w:p w14:paraId="5D1E0DAD" w14:textId="17F7CA0F" w:rsidR="00A12F21" w:rsidRPr="00487C30" w:rsidRDefault="00A12F21" w:rsidP="00A12F21">
            <w:pPr>
              <w:pStyle w:val="Tabletextcentred"/>
              <w:keepNext/>
              <w:jc w:val="right"/>
              <w:rPr>
                <w:i/>
                <w:highlight w:val="yellow"/>
              </w:rPr>
            </w:pPr>
            <w:r>
              <w:t>$592,514</w:t>
            </w:r>
          </w:p>
        </w:tc>
        <w:tc>
          <w:tcPr>
            <w:tcW w:w="638" w:type="pct"/>
          </w:tcPr>
          <w:p w14:paraId="64FF90C5" w14:textId="1F005C5C" w:rsidR="00A12F21" w:rsidRPr="00487C30" w:rsidRDefault="00A12F21" w:rsidP="00A12F21">
            <w:pPr>
              <w:pStyle w:val="Tabletextcentred"/>
              <w:keepNext/>
              <w:jc w:val="right"/>
              <w:rPr>
                <w:i/>
                <w:highlight w:val="yellow"/>
              </w:rPr>
            </w:pPr>
            <w:r>
              <w:t>$511,508</w:t>
            </w:r>
          </w:p>
        </w:tc>
        <w:tc>
          <w:tcPr>
            <w:tcW w:w="638" w:type="pct"/>
          </w:tcPr>
          <w:p w14:paraId="3B61B720" w14:textId="2233C82D" w:rsidR="00A12F21" w:rsidRPr="00487C30" w:rsidRDefault="00A12F21" w:rsidP="00A12F21">
            <w:pPr>
              <w:pStyle w:val="Tabletextcentred"/>
              <w:keepNext/>
              <w:jc w:val="right"/>
              <w:rPr>
                <w:i/>
                <w:highlight w:val="yellow"/>
              </w:rPr>
            </w:pPr>
            <w:r>
              <w:t>$421,466</w:t>
            </w:r>
          </w:p>
        </w:tc>
        <w:tc>
          <w:tcPr>
            <w:tcW w:w="638" w:type="pct"/>
          </w:tcPr>
          <w:p w14:paraId="2EBB0D22" w14:textId="2404664A" w:rsidR="00A12F21" w:rsidRPr="00487C30" w:rsidRDefault="00A12F21" w:rsidP="00A12F21">
            <w:pPr>
              <w:pStyle w:val="Tabletextcentred"/>
              <w:keepNext/>
              <w:jc w:val="right"/>
              <w:rPr>
                <w:i/>
                <w:highlight w:val="yellow"/>
              </w:rPr>
            </w:pPr>
            <w:r>
              <w:t>$318,648</w:t>
            </w:r>
          </w:p>
        </w:tc>
        <w:tc>
          <w:tcPr>
            <w:tcW w:w="638" w:type="pct"/>
          </w:tcPr>
          <w:p w14:paraId="58F3A844" w14:textId="1CADC563" w:rsidR="00A12F21" w:rsidRPr="00487C30" w:rsidRDefault="00A12F21" w:rsidP="00A12F21">
            <w:pPr>
              <w:pStyle w:val="Tabletextcentred"/>
              <w:keepNext/>
              <w:jc w:val="right"/>
              <w:rPr>
                <w:i/>
                <w:highlight w:val="yellow"/>
              </w:rPr>
            </w:pPr>
            <w:r>
              <w:t>$249,718</w:t>
            </w:r>
          </w:p>
        </w:tc>
        <w:tc>
          <w:tcPr>
            <w:tcW w:w="700" w:type="pct"/>
          </w:tcPr>
          <w:p w14:paraId="168B2D85" w14:textId="77777777" w:rsidR="00A12F21" w:rsidRPr="00250784" w:rsidRDefault="00A12F21" w:rsidP="00A12F21">
            <w:pPr>
              <w:pStyle w:val="Tabletextcentred"/>
              <w:keepNext/>
              <w:jc w:val="right"/>
              <w:rPr>
                <w:i/>
              </w:rPr>
            </w:pPr>
            <w:r>
              <w:fldChar w:fldCharType="begin"/>
            </w:r>
            <w:r>
              <w:rPr>
                <w:i/>
              </w:rPr>
              <w:instrText xml:space="preserve"> REF _Ref279763057 \h </w:instrText>
            </w:r>
            <w:r>
              <w:fldChar w:fldCharType="separate"/>
            </w:r>
            <w:r w:rsidR="00C67698">
              <w:t xml:space="preserve">Table </w:t>
            </w:r>
            <w:r w:rsidR="00C67698">
              <w:rPr>
                <w:noProof/>
              </w:rPr>
              <w:t>E.3</w:t>
            </w:r>
            <w:r w:rsidR="00C67698">
              <w:noBreakHyphen/>
            </w:r>
            <w:r w:rsidR="00C67698">
              <w:rPr>
                <w:noProof/>
              </w:rPr>
              <w:t>1</w:t>
            </w:r>
            <w:r>
              <w:fldChar w:fldCharType="end"/>
            </w:r>
          </w:p>
        </w:tc>
      </w:tr>
      <w:tr w:rsidR="007F6723" w14:paraId="57725244" w14:textId="77777777" w:rsidTr="00A12F21">
        <w:tc>
          <w:tcPr>
            <w:tcW w:w="1109" w:type="pct"/>
          </w:tcPr>
          <w:p w14:paraId="5570A3A6" w14:textId="77777777" w:rsidR="007F6723" w:rsidRPr="00250784" w:rsidRDefault="007F6723" w:rsidP="00181CF8">
            <w:pPr>
              <w:pStyle w:val="Tabletextcentred"/>
              <w:keepNext/>
              <w:jc w:val="left"/>
              <w:rPr>
                <w:i/>
              </w:rPr>
            </w:pPr>
            <w:r>
              <w:t>Total cost of FDG-PET for AD diagnosis</w:t>
            </w:r>
          </w:p>
        </w:tc>
        <w:tc>
          <w:tcPr>
            <w:tcW w:w="638" w:type="pct"/>
          </w:tcPr>
          <w:p w14:paraId="5D42F962" w14:textId="77777777" w:rsidR="007F6723" w:rsidRPr="00487C30" w:rsidRDefault="007F6723" w:rsidP="00181CF8">
            <w:pPr>
              <w:pStyle w:val="Tabletextcentred"/>
              <w:keepNext/>
              <w:jc w:val="right"/>
              <w:rPr>
                <w:i/>
                <w:highlight w:val="yellow"/>
              </w:rPr>
            </w:pPr>
            <w:r w:rsidRPr="00042617">
              <w:t>$166,694</w:t>
            </w:r>
          </w:p>
        </w:tc>
        <w:tc>
          <w:tcPr>
            <w:tcW w:w="638" w:type="pct"/>
          </w:tcPr>
          <w:p w14:paraId="6D661BE3" w14:textId="77777777" w:rsidR="007F6723" w:rsidRPr="00487C30" w:rsidRDefault="007F6723" w:rsidP="00181CF8">
            <w:pPr>
              <w:pStyle w:val="Tabletextcentred"/>
              <w:keepNext/>
              <w:jc w:val="right"/>
              <w:rPr>
                <w:i/>
                <w:highlight w:val="yellow"/>
              </w:rPr>
            </w:pPr>
            <w:r w:rsidRPr="00042617">
              <w:t>$378,607</w:t>
            </w:r>
          </w:p>
        </w:tc>
        <w:tc>
          <w:tcPr>
            <w:tcW w:w="638" w:type="pct"/>
          </w:tcPr>
          <w:p w14:paraId="0148B3E7" w14:textId="77777777" w:rsidR="007F6723" w:rsidRPr="00487C30" w:rsidRDefault="007F6723" w:rsidP="00181CF8">
            <w:pPr>
              <w:pStyle w:val="Tabletextcentred"/>
              <w:keepNext/>
              <w:jc w:val="right"/>
              <w:rPr>
                <w:i/>
                <w:highlight w:val="yellow"/>
              </w:rPr>
            </w:pPr>
            <w:r w:rsidRPr="00042617">
              <w:t>$610,829</w:t>
            </w:r>
          </w:p>
        </w:tc>
        <w:tc>
          <w:tcPr>
            <w:tcW w:w="638" w:type="pct"/>
          </w:tcPr>
          <w:p w14:paraId="5D2A4FB3" w14:textId="77777777" w:rsidR="007F6723" w:rsidRPr="00487C30" w:rsidRDefault="007F6723" w:rsidP="00181CF8">
            <w:pPr>
              <w:pStyle w:val="Tabletextcentred"/>
              <w:keepNext/>
              <w:jc w:val="right"/>
              <w:rPr>
                <w:i/>
                <w:highlight w:val="yellow"/>
              </w:rPr>
            </w:pPr>
            <w:r w:rsidRPr="00042617">
              <w:t>$857,245</w:t>
            </w:r>
          </w:p>
        </w:tc>
        <w:tc>
          <w:tcPr>
            <w:tcW w:w="638" w:type="pct"/>
          </w:tcPr>
          <w:p w14:paraId="3B407B5E" w14:textId="77777777" w:rsidR="007F6723" w:rsidRPr="00487C30" w:rsidRDefault="007F6723" w:rsidP="00181CF8">
            <w:pPr>
              <w:pStyle w:val="Tabletextcentred"/>
              <w:keepNext/>
              <w:jc w:val="right"/>
              <w:rPr>
                <w:i/>
                <w:highlight w:val="yellow"/>
              </w:rPr>
            </w:pPr>
            <w:r w:rsidRPr="00042617">
              <w:t>$1,061,620</w:t>
            </w:r>
          </w:p>
        </w:tc>
        <w:tc>
          <w:tcPr>
            <w:tcW w:w="700" w:type="pct"/>
          </w:tcPr>
          <w:p w14:paraId="33C99553" w14:textId="77777777" w:rsidR="007F6723" w:rsidRPr="00250784" w:rsidRDefault="007F6723" w:rsidP="00181CF8">
            <w:pPr>
              <w:pStyle w:val="Tabletextcentred"/>
              <w:keepNext/>
              <w:jc w:val="right"/>
              <w:rPr>
                <w:i/>
              </w:rPr>
            </w:pPr>
            <w:r>
              <w:rPr>
                <w:i/>
              </w:rPr>
              <w:fldChar w:fldCharType="begin"/>
            </w:r>
            <w:r>
              <w:rPr>
                <w:i/>
              </w:rPr>
              <w:instrText xml:space="preserve"> REF _Ref279761176 \h </w:instrText>
            </w:r>
            <w:r>
              <w:rPr>
                <w:i/>
              </w:rPr>
            </w:r>
            <w:r>
              <w:rPr>
                <w:i/>
              </w:rPr>
              <w:fldChar w:fldCharType="separate"/>
            </w:r>
            <w:r w:rsidR="00C67698">
              <w:t xml:space="preserve">Table </w:t>
            </w:r>
            <w:r w:rsidR="00C67698">
              <w:rPr>
                <w:noProof/>
              </w:rPr>
              <w:t>E.3</w:t>
            </w:r>
            <w:r w:rsidR="00C67698">
              <w:noBreakHyphen/>
            </w:r>
            <w:r w:rsidR="00C67698">
              <w:rPr>
                <w:noProof/>
              </w:rPr>
              <w:t>2</w:t>
            </w:r>
            <w:r>
              <w:rPr>
                <w:i/>
              </w:rPr>
              <w:fldChar w:fldCharType="end"/>
            </w:r>
          </w:p>
        </w:tc>
      </w:tr>
      <w:tr w:rsidR="007F6723" w14:paraId="03D424E4" w14:textId="77777777" w:rsidTr="00A12F21">
        <w:tc>
          <w:tcPr>
            <w:tcW w:w="1109" w:type="pct"/>
          </w:tcPr>
          <w:p w14:paraId="57CACE9F" w14:textId="77777777" w:rsidR="007F6723" w:rsidRPr="00250784" w:rsidRDefault="007F6723" w:rsidP="00181CF8">
            <w:pPr>
              <w:pStyle w:val="Tabletextcentred"/>
              <w:keepNext/>
              <w:jc w:val="left"/>
              <w:rPr>
                <w:i/>
              </w:rPr>
            </w:pPr>
            <w:r>
              <w:t>Total cost of associated specialist consultations</w:t>
            </w:r>
          </w:p>
        </w:tc>
        <w:tc>
          <w:tcPr>
            <w:tcW w:w="638" w:type="pct"/>
          </w:tcPr>
          <w:p w14:paraId="1A659463" w14:textId="77777777" w:rsidR="007F6723" w:rsidRPr="00250784" w:rsidRDefault="007F6723" w:rsidP="00181CF8">
            <w:pPr>
              <w:pStyle w:val="Tabletextcentred"/>
              <w:keepNext/>
              <w:jc w:val="right"/>
              <w:rPr>
                <w:i/>
              </w:rPr>
            </w:pPr>
            <w:r w:rsidRPr="00C22135">
              <w:t>$254,793</w:t>
            </w:r>
          </w:p>
        </w:tc>
        <w:tc>
          <w:tcPr>
            <w:tcW w:w="638" w:type="pct"/>
          </w:tcPr>
          <w:p w14:paraId="45FA5FA6" w14:textId="77777777" w:rsidR="007F6723" w:rsidRPr="00250784" w:rsidRDefault="007F6723" w:rsidP="00181CF8">
            <w:pPr>
              <w:pStyle w:val="Tabletextcentred"/>
              <w:keepNext/>
              <w:jc w:val="right"/>
              <w:rPr>
                <w:i/>
              </w:rPr>
            </w:pPr>
            <w:r w:rsidRPr="00C22135">
              <w:t>$273,771</w:t>
            </w:r>
          </w:p>
        </w:tc>
        <w:tc>
          <w:tcPr>
            <w:tcW w:w="638" w:type="pct"/>
          </w:tcPr>
          <w:p w14:paraId="31343A4C" w14:textId="77777777" w:rsidR="007F6723" w:rsidRPr="00250784" w:rsidRDefault="007F6723" w:rsidP="00181CF8">
            <w:pPr>
              <w:pStyle w:val="Tabletextcentred"/>
              <w:keepNext/>
              <w:jc w:val="right"/>
              <w:rPr>
                <w:i/>
              </w:rPr>
            </w:pPr>
            <w:r w:rsidRPr="00C22135">
              <w:t>$294,102</w:t>
            </w:r>
          </w:p>
        </w:tc>
        <w:tc>
          <w:tcPr>
            <w:tcW w:w="638" w:type="pct"/>
          </w:tcPr>
          <w:p w14:paraId="3BAD4B07" w14:textId="77777777" w:rsidR="007F6723" w:rsidRPr="00250784" w:rsidRDefault="007F6723" w:rsidP="00181CF8">
            <w:pPr>
              <w:pStyle w:val="Tabletextcentred"/>
              <w:keepNext/>
              <w:jc w:val="right"/>
              <w:rPr>
                <w:i/>
              </w:rPr>
            </w:pPr>
            <w:r w:rsidRPr="00C22135">
              <w:t>$313,017</w:t>
            </w:r>
          </w:p>
        </w:tc>
        <w:tc>
          <w:tcPr>
            <w:tcW w:w="638" w:type="pct"/>
          </w:tcPr>
          <w:p w14:paraId="02242815" w14:textId="77777777" w:rsidR="007F6723" w:rsidRPr="00250784" w:rsidRDefault="007F6723" w:rsidP="00181CF8">
            <w:pPr>
              <w:pStyle w:val="Tabletextcentred"/>
              <w:keepNext/>
              <w:jc w:val="right"/>
              <w:rPr>
                <w:i/>
              </w:rPr>
            </w:pPr>
            <w:r w:rsidRPr="00C22135">
              <w:t>$334,680</w:t>
            </w:r>
          </w:p>
        </w:tc>
        <w:tc>
          <w:tcPr>
            <w:tcW w:w="700" w:type="pct"/>
          </w:tcPr>
          <w:p w14:paraId="40226D9E" w14:textId="77777777" w:rsidR="007F6723" w:rsidRPr="00250784" w:rsidRDefault="007F6723" w:rsidP="00181CF8">
            <w:pPr>
              <w:pStyle w:val="Tabletextcentred"/>
              <w:keepNext/>
              <w:jc w:val="right"/>
              <w:rPr>
                <w:i/>
              </w:rPr>
            </w:pPr>
            <w:r>
              <w:fldChar w:fldCharType="begin"/>
            </w:r>
            <w:r>
              <w:instrText xml:space="preserve"> REF _Ref279763435 \h </w:instrText>
            </w:r>
            <w:r>
              <w:fldChar w:fldCharType="separate"/>
            </w:r>
            <w:r w:rsidR="00C67698">
              <w:t xml:space="preserve">Table </w:t>
            </w:r>
            <w:r w:rsidR="00C67698">
              <w:rPr>
                <w:noProof/>
              </w:rPr>
              <w:t>E.3</w:t>
            </w:r>
            <w:r w:rsidR="00C67698">
              <w:noBreakHyphen/>
            </w:r>
            <w:r w:rsidR="00C67698">
              <w:rPr>
                <w:noProof/>
              </w:rPr>
              <w:t>3</w:t>
            </w:r>
            <w:r>
              <w:fldChar w:fldCharType="end"/>
            </w:r>
          </w:p>
        </w:tc>
      </w:tr>
      <w:tr w:rsidR="007F6723" w14:paraId="64F40F75" w14:textId="77777777" w:rsidTr="00A12F21">
        <w:tc>
          <w:tcPr>
            <w:tcW w:w="1109" w:type="pct"/>
          </w:tcPr>
          <w:p w14:paraId="7C97E4D0" w14:textId="77777777" w:rsidR="007F6723" w:rsidRPr="00250784" w:rsidRDefault="007F6723" w:rsidP="00181CF8">
            <w:pPr>
              <w:pStyle w:val="Tabletextcentred"/>
              <w:keepNext/>
              <w:jc w:val="left"/>
              <w:rPr>
                <w:i/>
              </w:rPr>
            </w:pPr>
            <w:r>
              <w:rPr>
                <w:szCs w:val="20"/>
              </w:rPr>
              <w:t>Total cost to the MBS</w:t>
            </w:r>
          </w:p>
        </w:tc>
        <w:tc>
          <w:tcPr>
            <w:tcW w:w="638" w:type="pct"/>
          </w:tcPr>
          <w:p w14:paraId="6A320349" w14:textId="77777777" w:rsidR="007F6723" w:rsidRPr="00891625" w:rsidRDefault="007F6723" w:rsidP="00181CF8">
            <w:pPr>
              <w:pStyle w:val="Tabletextcentred"/>
              <w:keepNext/>
              <w:jc w:val="right"/>
            </w:pPr>
            <w:r w:rsidRPr="00891625">
              <w:t>$1,014,002</w:t>
            </w:r>
          </w:p>
        </w:tc>
        <w:tc>
          <w:tcPr>
            <w:tcW w:w="638" w:type="pct"/>
          </w:tcPr>
          <w:p w14:paraId="1BB4EDF3" w14:textId="77777777" w:rsidR="007F6723" w:rsidRPr="00891625" w:rsidRDefault="007F6723" w:rsidP="00181CF8">
            <w:pPr>
              <w:pStyle w:val="Tabletextcentred"/>
              <w:keepNext/>
              <w:jc w:val="right"/>
            </w:pPr>
            <w:r w:rsidRPr="00891625">
              <w:t>$1,163,885</w:t>
            </w:r>
          </w:p>
        </w:tc>
        <w:tc>
          <w:tcPr>
            <w:tcW w:w="638" w:type="pct"/>
          </w:tcPr>
          <w:p w14:paraId="0719425F" w14:textId="77777777" w:rsidR="007F6723" w:rsidRPr="00891625" w:rsidRDefault="007F6723" w:rsidP="00181CF8">
            <w:pPr>
              <w:pStyle w:val="Tabletextcentred"/>
              <w:keepNext/>
              <w:jc w:val="right"/>
            </w:pPr>
            <w:r w:rsidRPr="00891625">
              <w:t>$1,326,396</w:t>
            </w:r>
          </w:p>
        </w:tc>
        <w:tc>
          <w:tcPr>
            <w:tcW w:w="638" w:type="pct"/>
          </w:tcPr>
          <w:p w14:paraId="6F13E7BD" w14:textId="77777777" w:rsidR="007F6723" w:rsidRPr="00891625" w:rsidRDefault="007F6723" w:rsidP="00181CF8">
            <w:pPr>
              <w:pStyle w:val="Tabletextcentred"/>
              <w:keepNext/>
              <w:jc w:val="right"/>
            </w:pPr>
            <w:r w:rsidRPr="00891625">
              <w:t>$1,488,910</w:t>
            </w:r>
          </w:p>
        </w:tc>
        <w:tc>
          <w:tcPr>
            <w:tcW w:w="638" w:type="pct"/>
          </w:tcPr>
          <w:p w14:paraId="69AE2476" w14:textId="77777777" w:rsidR="007F6723" w:rsidRPr="00891625" w:rsidRDefault="007F6723" w:rsidP="00181CF8">
            <w:pPr>
              <w:pStyle w:val="Tabletextcentred"/>
              <w:keepNext/>
              <w:jc w:val="right"/>
            </w:pPr>
            <w:r w:rsidRPr="00891625">
              <w:t>$1,646,018</w:t>
            </w:r>
          </w:p>
        </w:tc>
        <w:tc>
          <w:tcPr>
            <w:tcW w:w="700" w:type="pct"/>
          </w:tcPr>
          <w:p w14:paraId="58B9A4CC" w14:textId="77777777" w:rsidR="007F6723" w:rsidRPr="0069138C" w:rsidRDefault="007F6723" w:rsidP="00181CF8">
            <w:pPr>
              <w:pStyle w:val="Tabletextcentred"/>
              <w:keepNext/>
              <w:jc w:val="right"/>
            </w:pPr>
            <w:r w:rsidRPr="0069138C">
              <w:t>Calculated</w:t>
            </w:r>
          </w:p>
        </w:tc>
      </w:tr>
      <w:tr w:rsidR="007F6723" w:rsidRPr="007C2DB2" w14:paraId="5D3B2AE2" w14:textId="77777777" w:rsidTr="00A12F21">
        <w:tc>
          <w:tcPr>
            <w:tcW w:w="1109" w:type="pct"/>
          </w:tcPr>
          <w:p w14:paraId="0201E42F" w14:textId="77777777" w:rsidR="007F6723" w:rsidRPr="007C2DB2" w:rsidRDefault="007F6723" w:rsidP="00181CF8">
            <w:pPr>
              <w:pStyle w:val="Tabletextcentred"/>
              <w:keepNext/>
              <w:jc w:val="left"/>
              <w:rPr>
                <w:i/>
                <w:szCs w:val="20"/>
              </w:rPr>
            </w:pPr>
            <w:r w:rsidRPr="007C2DB2">
              <w:rPr>
                <w:i/>
                <w:szCs w:val="20"/>
              </w:rPr>
              <w:t xml:space="preserve">Total net financial impact of a successful listing for </w:t>
            </w:r>
            <w:r>
              <w:rPr>
                <w:i/>
                <w:szCs w:val="20"/>
              </w:rPr>
              <w:t>FDG-PET</w:t>
            </w:r>
            <w:r w:rsidRPr="007C2DB2">
              <w:rPr>
                <w:i/>
                <w:szCs w:val="20"/>
              </w:rPr>
              <w:t xml:space="preserve"> on the MBS</w:t>
            </w:r>
          </w:p>
        </w:tc>
        <w:tc>
          <w:tcPr>
            <w:tcW w:w="638" w:type="pct"/>
          </w:tcPr>
          <w:p w14:paraId="1D9B8909" w14:textId="77777777" w:rsidR="007F6723" w:rsidRPr="00891625" w:rsidRDefault="007F6723" w:rsidP="00181CF8">
            <w:pPr>
              <w:pStyle w:val="Tabletextcentred"/>
              <w:keepNext/>
              <w:jc w:val="right"/>
            </w:pPr>
            <w:r>
              <w:t>$62,133</w:t>
            </w:r>
          </w:p>
        </w:tc>
        <w:tc>
          <w:tcPr>
            <w:tcW w:w="638" w:type="pct"/>
          </w:tcPr>
          <w:p w14:paraId="72E4ED52" w14:textId="77777777" w:rsidR="007F6723" w:rsidRPr="00891625" w:rsidRDefault="007F6723" w:rsidP="00181CF8">
            <w:pPr>
              <w:pStyle w:val="Tabletextcentred"/>
              <w:keepNext/>
              <w:jc w:val="right"/>
            </w:pPr>
            <w:r>
              <w:t>$166,066</w:t>
            </w:r>
          </w:p>
        </w:tc>
        <w:tc>
          <w:tcPr>
            <w:tcW w:w="638" w:type="pct"/>
          </w:tcPr>
          <w:p w14:paraId="53714578" w14:textId="77777777" w:rsidR="007F6723" w:rsidRPr="00891625" w:rsidRDefault="007F6723" w:rsidP="00181CF8">
            <w:pPr>
              <w:pStyle w:val="Tabletextcentred"/>
              <w:keepNext/>
              <w:jc w:val="right"/>
            </w:pPr>
            <w:r>
              <w:t>$279,999</w:t>
            </w:r>
          </w:p>
        </w:tc>
        <w:tc>
          <w:tcPr>
            <w:tcW w:w="638" w:type="pct"/>
          </w:tcPr>
          <w:p w14:paraId="3B82EEFA" w14:textId="77777777" w:rsidR="007F6723" w:rsidRPr="00891625" w:rsidRDefault="007F6723" w:rsidP="00181CF8">
            <w:pPr>
              <w:pStyle w:val="Tabletextcentred"/>
              <w:keepNext/>
              <w:jc w:val="right"/>
            </w:pPr>
            <w:r>
              <w:t>$401,112</w:t>
            </w:r>
          </w:p>
        </w:tc>
        <w:tc>
          <w:tcPr>
            <w:tcW w:w="638" w:type="pct"/>
          </w:tcPr>
          <w:p w14:paraId="2916B341" w14:textId="77777777" w:rsidR="007F6723" w:rsidRPr="00891625" w:rsidRDefault="007F6723" w:rsidP="00181CF8">
            <w:pPr>
              <w:pStyle w:val="Tabletextcentred"/>
              <w:keepNext/>
              <w:jc w:val="right"/>
            </w:pPr>
            <w:r>
              <w:t>$509,370</w:t>
            </w:r>
          </w:p>
        </w:tc>
        <w:tc>
          <w:tcPr>
            <w:tcW w:w="700" w:type="pct"/>
          </w:tcPr>
          <w:p w14:paraId="66E7948F" w14:textId="77777777" w:rsidR="007F6723" w:rsidRPr="007C2DB2" w:rsidRDefault="007F6723" w:rsidP="00181CF8">
            <w:pPr>
              <w:pStyle w:val="Tabletextcentred"/>
              <w:keepNext/>
              <w:jc w:val="right"/>
              <w:rPr>
                <w:i/>
              </w:rPr>
            </w:pPr>
            <w:r>
              <w:rPr>
                <w:i/>
              </w:rPr>
              <w:t>Calculated</w:t>
            </w:r>
          </w:p>
        </w:tc>
      </w:tr>
    </w:tbl>
    <w:p w14:paraId="41E90062" w14:textId="55EA86D2" w:rsidR="007F6723" w:rsidRDefault="007F6723" w:rsidP="007F6723">
      <w:pPr>
        <w:pStyle w:val="Tablefootnotes"/>
        <w:keepNext/>
      </w:pPr>
      <w:r w:rsidRPr="00F94D4D">
        <w:t>Abbreviations</w:t>
      </w:r>
      <w:r>
        <w:t>: AD, Alzheimer’s disease; FDG-PET, flu</w:t>
      </w:r>
      <w:r w:rsidR="0038452F">
        <w:t>o</w:t>
      </w:r>
      <w:r>
        <w:t>rodeoxyglucose positron emission tomography; MBS, Medicare Benefits Schedule</w:t>
      </w:r>
    </w:p>
    <w:p w14:paraId="77AF0933" w14:textId="4F6BE584" w:rsidR="00A12F21" w:rsidRDefault="00A12F21" w:rsidP="00A12F21">
      <w:pPr>
        <w:pStyle w:val="Tablefootnotes"/>
      </w:pPr>
      <w:r w:rsidRPr="00A12F21">
        <w:t>Note</w:t>
      </w:r>
      <w:r w:rsidRPr="00054BA7">
        <w:rPr>
          <w:b/>
        </w:rPr>
        <w:t xml:space="preserve">: </w:t>
      </w:r>
      <w:r>
        <w:t>Figures calculated using non-rounded figures in financial impact model</w:t>
      </w:r>
    </w:p>
    <w:p w14:paraId="22C0991A" w14:textId="77777777" w:rsidR="007F6723" w:rsidRDefault="007F6723" w:rsidP="007F6723">
      <w:pPr>
        <w:pStyle w:val="Heading2"/>
      </w:pPr>
      <w:bookmarkStart w:id="322" w:name="_Ref402771977"/>
      <w:bookmarkStart w:id="323" w:name="_Toc406172447"/>
      <w:bookmarkStart w:id="324" w:name="_Toc408845191"/>
      <w:r>
        <w:t>Estimated financial implications for Government health budgets</w:t>
      </w:r>
      <w:bookmarkEnd w:id="322"/>
      <w:bookmarkEnd w:id="323"/>
      <w:bookmarkEnd w:id="324"/>
    </w:p>
    <w:p w14:paraId="51BE4AB1" w14:textId="2A3E2009" w:rsidR="007F6723" w:rsidRDefault="007F6723" w:rsidP="007F6723">
      <w:r>
        <w:t>As discussed in Section</w:t>
      </w:r>
      <w:r w:rsidR="00A12F21">
        <w:t xml:space="preserve"> </w:t>
      </w:r>
      <w:r w:rsidR="00A12F21">
        <w:fldChar w:fldCharType="begin"/>
      </w:r>
      <w:r w:rsidR="00A12F21">
        <w:instrText xml:space="preserve"> REF _Ref406417315 \r \h </w:instrText>
      </w:r>
      <w:r w:rsidR="00A12F21">
        <w:fldChar w:fldCharType="separate"/>
      </w:r>
      <w:r w:rsidR="00C67698">
        <w:t>D.4.2</w:t>
      </w:r>
      <w:r w:rsidR="00A12F21">
        <w:fldChar w:fldCharType="end"/>
      </w:r>
      <w:r>
        <w:t xml:space="preserve">, it is anticipated that FDG-PET will lead to more positive test results than in the case of SPECT. A consequence of this is a greater proportion of individuals moving on to PBS-listed therapies to treat AD. This has obvious cost implications, further increasing the total financial impact to the total Government health budget. </w:t>
      </w:r>
    </w:p>
    <w:p w14:paraId="0C4456C0" w14:textId="77777777" w:rsidR="007F6723" w:rsidRDefault="007F6723" w:rsidP="007F6723">
      <w:r>
        <w:t xml:space="preserve">To estimate the increased cost to the PBS budget, it was necessary to account for the daily treatment cost associated with both AChEIs and memantine and the average duration of treatment of each of these. Additionally, it was necessary to account for the stage at which individuals are diagnosed with AD. This is an important consideration, as it impacts on whether patients receive memantine only (in the case of individuals diagnosed with moderate AD) or AChEIs followed by memantine (in the case of individuals diagnosed with mild AD). The values used in the analysis are presented in </w:t>
      </w:r>
      <w:r>
        <w:fldChar w:fldCharType="begin"/>
      </w:r>
      <w:r>
        <w:instrText xml:space="preserve"> REF _Ref279825048 \h </w:instrText>
      </w:r>
      <w:r>
        <w:fldChar w:fldCharType="separate"/>
      </w:r>
      <w:r w:rsidR="00C67698">
        <w:t xml:space="preserve">Table </w:t>
      </w:r>
      <w:r w:rsidR="00C67698">
        <w:rPr>
          <w:noProof/>
        </w:rPr>
        <w:t>E.5</w:t>
      </w:r>
      <w:r w:rsidR="00C67698">
        <w:noBreakHyphen/>
      </w:r>
      <w:r w:rsidR="00C67698">
        <w:rPr>
          <w:noProof/>
        </w:rPr>
        <w:t>1</w:t>
      </w:r>
      <w:r>
        <w:fldChar w:fldCharType="end"/>
      </w:r>
      <w:r>
        <w:t>.</w:t>
      </w:r>
    </w:p>
    <w:p w14:paraId="34C0AD30" w14:textId="1DBDB3AD" w:rsidR="007F6723" w:rsidRDefault="007F6723" w:rsidP="007F6723">
      <w:pPr>
        <w:pStyle w:val="Caption"/>
      </w:pPr>
      <w:bookmarkStart w:id="325" w:name="_Ref279825048"/>
      <w:bookmarkStart w:id="326" w:name="_Toc406172509"/>
      <w:bookmarkStart w:id="327" w:name="_Toc408845264"/>
      <w:r>
        <w:lastRenderedPageBreak/>
        <w:t xml:space="preserve">Table </w:t>
      </w:r>
      <w:fldSimple w:instr=" STYLEREF 2 \s ">
        <w:r w:rsidR="00C67698">
          <w:rPr>
            <w:noProof/>
          </w:rPr>
          <w:t>E.5</w:t>
        </w:r>
      </w:fldSimple>
      <w:r w:rsidR="00524916">
        <w:noBreakHyphen/>
      </w:r>
      <w:fldSimple w:instr=" SEQ Table \* ARABIC \s 2 ">
        <w:r w:rsidR="00C67698">
          <w:rPr>
            <w:noProof/>
          </w:rPr>
          <w:t>1</w:t>
        </w:r>
      </w:fldSimple>
      <w:bookmarkEnd w:id="325"/>
      <w:r>
        <w:tab/>
      </w:r>
      <w:r w:rsidRPr="00013FD2">
        <w:t>Data used in the estimation of PBS costs associated with increased AD diagnosis</w:t>
      </w:r>
      <w:bookmarkEnd w:id="326"/>
      <w:bookmarkEnd w:id="327"/>
    </w:p>
    <w:tbl>
      <w:tblPr>
        <w:tblStyle w:val="TableGrid"/>
        <w:tblW w:w="4610" w:type="pct"/>
        <w:tblInd w:w="704" w:type="dxa"/>
        <w:tblLook w:val="04A0" w:firstRow="1" w:lastRow="0" w:firstColumn="1" w:lastColumn="0" w:noHBand="0" w:noVBand="1"/>
        <w:tblCaption w:val="PBS cost estimates"/>
        <w:tblDescription w:val="Data used in the estimation of PBS costs including daily cost of drug and average duration of use."/>
      </w:tblPr>
      <w:tblGrid>
        <w:gridCol w:w="4795"/>
        <w:gridCol w:w="1195"/>
        <w:gridCol w:w="2531"/>
      </w:tblGrid>
      <w:tr w:rsidR="007F6723" w14:paraId="37717F9B" w14:textId="77777777" w:rsidTr="00181CF8">
        <w:trPr>
          <w:tblHeader/>
        </w:trPr>
        <w:tc>
          <w:tcPr>
            <w:tcW w:w="2814" w:type="pct"/>
          </w:tcPr>
          <w:p w14:paraId="5EC0CF12" w14:textId="77777777" w:rsidR="007F6723" w:rsidRDefault="007F6723" w:rsidP="00181CF8">
            <w:pPr>
              <w:pStyle w:val="Tabletextboldleft"/>
              <w:tabs>
                <w:tab w:val="left" w:pos="1000"/>
              </w:tabs>
            </w:pPr>
            <w:r>
              <w:t>Parameter</w:t>
            </w:r>
          </w:p>
        </w:tc>
        <w:tc>
          <w:tcPr>
            <w:tcW w:w="701" w:type="pct"/>
          </w:tcPr>
          <w:p w14:paraId="25D4CE11" w14:textId="77777777" w:rsidR="007F6723" w:rsidRDefault="007F6723" w:rsidP="00181CF8">
            <w:pPr>
              <w:pStyle w:val="Tabletextboldleft"/>
              <w:jc w:val="right"/>
            </w:pPr>
            <w:r>
              <w:t>Value</w:t>
            </w:r>
          </w:p>
        </w:tc>
        <w:tc>
          <w:tcPr>
            <w:tcW w:w="1485" w:type="pct"/>
          </w:tcPr>
          <w:p w14:paraId="6FF2248F" w14:textId="77777777" w:rsidR="007F6723" w:rsidRDefault="007F6723" w:rsidP="00181CF8">
            <w:pPr>
              <w:pStyle w:val="Tabletextboldleft"/>
              <w:jc w:val="right"/>
            </w:pPr>
            <w:r>
              <w:t>Reference</w:t>
            </w:r>
          </w:p>
        </w:tc>
      </w:tr>
      <w:tr w:rsidR="007F6723" w14:paraId="31ACF732" w14:textId="77777777" w:rsidTr="00181CF8">
        <w:tc>
          <w:tcPr>
            <w:tcW w:w="2814" w:type="pct"/>
          </w:tcPr>
          <w:p w14:paraId="18392851" w14:textId="77777777" w:rsidR="007F6723" w:rsidRPr="00DE33B2" w:rsidRDefault="007F6723" w:rsidP="00181CF8">
            <w:pPr>
              <w:pStyle w:val="Tabletextcentred"/>
              <w:keepNext/>
              <w:jc w:val="left"/>
            </w:pPr>
            <w:r>
              <w:t>Daily cost of AChEIs</w:t>
            </w:r>
          </w:p>
        </w:tc>
        <w:tc>
          <w:tcPr>
            <w:tcW w:w="701" w:type="pct"/>
          </w:tcPr>
          <w:p w14:paraId="63CC5815" w14:textId="77777777" w:rsidR="007F6723" w:rsidRPr="00DE33B2" w:rsidRDefault="007F6723" w:rsidP="00181CF8">
            <w:pPr>
              <w:pStyle w:val="Tabletextcentred"/>
              <w:keepNext/>
              <w:jc w:val="right"/>
            </w:pPr>
            <w:r>
              <w:t>$1.95</w:t>
            </w:r>
          </w:p>
        </w:tc>
        <w:tc>
          <w:tcPr>
            <w:tcW w:w="1485" w:type="pct"/>
          </w:tcPr>
          <w:p w14:paraId="315C015C" w14:textId="77777777" w:rsidR="007F6723" w:rsidRPr="00DE33B2" w:rsidRDefault="007F6723" w:rsidP="00181CF8">
            <w:pPr>
              <w:pStyle w:val="Tabletextcentred"/>
              <w:keepNext/>
              <w:jc w:val="right"/>
            </w:pPr>
            <w:r>
              <w:t xml:space="preserve">Section </w:t>
            </w:r>
            <w:r>
              <w:fldChar w:fldCharType="begin"/>
            </w:r>
            <w:r>
              <w:instrText xml:space="preserve"> REF _Ref278641068 \r \h </w:instrText>
            </w:r>
            <w:r>
              <w:fldChar w:fldCharType="separate"/>
            </w:r>
            <w:r w:rsidR="00C67698">
              <w:t>C.7</w:t>
            </w:r>
            <w:r>
              <w:fldChar w:fldCharType="end"/>
            </w:r>
          </w:p>
        </w:tc>
      </w:tr>
      <w:tr w:rsidR="007F6723" w14:paraId="1986AED3" w14:textId="77777777" w:rsidTr="00181CF8">
        <w:tc>
          <w:tcPr>
            <w:tcW w:w="2814" w:type="pct"/>
          </w:tcPr>
          <w:p w14:paraId="53940BA9" w14:textId="77777777" w:rsidR="007F6723" w:rsidRPr="00462B7F" w:rsidRDefault="007F6723" w:rsidP="00181CF8">
            <w:pPr>
              <w:pStyle w:val="Tabletextcentred"/>
              <w:keepNext/>
              <w:jc w:val="left"/>
            </w:pPr>
            <w:r>
              <w:t>Average duration of AChEI use (days)</w:t>
            </w:r>
          </w:p>
        </w:tc>
        <w:tc>
          <w:tcPr>
            <w:tcW w:w="701" w:type="pct"/>
          </w:tcPr>
          <w:p w14:paraId="71902BB5" w14:textId="77777777" w:rsidR="007F6723" w:rsidRPr="00462B7F" w:rsidRDefault="007F6723" w:rsidP="00181CF8">
            <w:pPr>
              <w:pStyle w:val="Tabletextcentred"/>
              <w:keepNext/>
              <w:jc w:val="right"/>
            </w:pPr>
            <w:r>
              <w:t>476</w:t>
            </w:r>
          </w:p>
        </w:tc>
        <w:tc>
          <w:tcPr>
            <w:tcW w:w="1485" w:type="pct"/>
          </w:tcPr>
          <w:p w14:paraId="42E9AC60" w14:textId="77777777" w:rsidR="007F6723" w:rsidRPr="007C2DB2" w:rsidRDefault="007F6723" w:rsidP="00181CF8">
            <w:pPr>
              <w:pStyle w:val="Tabletextcentred"/>
              <w:keepNext/>
              <w:jc w:val="right"/>
              <w:rPr>
                <w:vertAlign w:val="superscript"/>
              </w:rPr>
            </w:pPr>
            <w:r>
              <w:t>Le Couteur (2011)</w:t>
            </w:r>
            <w:r>
              <w:rPr>
                <w:vertAlign w:val="superscript"/>
              </w:rPr>
              <w:t>a</w:t>
            </w:r>
          </w:p>
        </w:tc>
      </w:tr>
      <w:tr w:rsidR="007F6723" w14:paraId="5B13B064" w14:textId="77777777" w:rsidTr="00181CF8">
        <w:tc>
          <w:tcPr>
            <w:tcW w:w="2814" w:type="pct"/>
          </w:tcPr>
          <w:p w14:paraId="5EEDA739" w14:textId="77777777" w:rsidR="007F6723" w:rsidRDefault="007F6723" w:rsidP="00181CF8">
            <w:pPr>
              <w:pStyle w:val="Tabletextcentred"/>
              <w:keepNext/>
              <w:jc w:val="left"/>
            </w:pPr>
            <w:r>
              <w:t>Daily cost of memantine</w:t>
            </w:r>
          </w:p>
        </w:tc>
        <w:tc>
          <w:tcPr>
            <w:tcW w:w="701" w:type="pct"/>
          </w:tcPr>
          <w:p w14:paraId="5E3515FD" w14:textId="77777777" w:rsidR="007F6723" w:rsidRPr="00462B7F" w:rsidRDefault="007F6723" w:rsidP="00181CF8">
            <w:pPr>
              <w:pStyle w:val="Tabletextcentred"/>
              <w:keepNext/>
              <w:jc w:val="right"/>
            </w:pPr>
            <w:r>
              <w:t>$2.40</w:t>
            </w:r>
          </w:p>
        </w:tc>
        <w:tc>
          <w:tcPr>
            <w:tcW w:w="1485" w:type="pct"/>
          </w:tcPr>
          <w:p w14:paraId="35997469" w14:textId="77777777" w:rsidR="007F6723" w:rsidRPr="00462B7F" w:rsidRDefault="007F6723" w:rsidP="00181CF8">
            <w:pPr>
              <w:pStyle w:val="Tabletextcentred"/>
              <w:keepNext/>
              <w:jc w:val="right"/>
            </w:pPr>
            <w:r>
              <w:t xml:space="preserve">Section </w:t>
            </w:r>
            <w:r>
              <w:fldChar w:fldCharType="begin"/>
            </w:r>
            <w:r>
              <w:instrText xml:space="preserve"> REF _Ref278641068 \r \h </w:instrText>
            </w:r>
            <w:r>
              <w:fldChar w:fldCharType="separate"/>
            </w:r>
            <w:r w:rsidR="00C67698">
              <w:t>C.7</w:t>
            </w:r>
            <w:r>
              <w:fldChar w:fldCharType="end"/>
            </w:r>
          </w:p>
        </w:tc>
      </w:tr>
      <w:tr w:rsidR="007F6723" w14:paraId="7857DA33" w14:textId="77777777" w:rsidTr="00181CF8">
        <w:tc>
          <w:tcPr>
            <w:tcW w:w="2814" w:type="pct"/>
          </w:tcPr>
          <w:p w14:paraId="1D62DAC6" w14:textId="77777777" w:rsidR="007F6723" w:rsidRPr="00462B7F" w:rsidRDefault="007F6723" w:rsidP="00181CF8">
            <w:pPr>
              <w:pStyle w:val="Tabletextcentred"/>
              <w:keepNext/>
              <w:jc w:val="left"/>
            </w:pPr>
            <w:r>
              <w:t>Average duration of memantine use (days)</w:t>
            </w:r>
          </w:p>
        </w:tc>
        <w:tc>
          <w:tcPr>
            <w:tcW w:w="701" w:type="pct"/>
          </w:tcPr>
          <w:p w14:paraId="746FADBA" w14:textId="77777777" w:rsidR="007F6723" w:rsidRPr="00462B7F" w:rsidRDefault="007F6723" w:rsidP="00181CF8">
            <w:pPr>
              <w:pStyle w:val="Tabletextcentred"/>
              <w:keepNext/>
              <w:jc w:val="right"/>
            </w:pPr>
            <w:r>
              <w:t>476</w:t>
            </w:r>
          </w:p>
        </w:tc>
        <w:tc>
          <w:tcPr>
            <w:tcW w:w="1485" w:type="pct"/>
          </w:tcPr>
          <w:p w14:paraId="7B68A391" w14:textId="77777777" w:rsidR="007F6723" w:rsidRPr="00462B7F" w:rsidRDefault="007F6723" w:rsidP="00181CF8">
            <w:pPr>
              <w:pStyle w:val="Tabletextcentred"/>
              <w:keepNext/>
              <w:jc w:val="right"/>
            </w:pPr>
            <w:r>
              <w:t>Assumption</w:t>
            </w:r>
          </w:p>
        </w:tc>
      </w:tr>
      <w:tr w:rsidR="007F6723" w14:paraId="4A1B3008" w14:textId="77777777" w:rsidTr="00181CF8">
        <w:tc>
          <w:tcPr>
            <w:tcW w:w="2814" w:type="pct"/>
          </w:tcPr>
          <w:p w14:paraId="5D5ABF5A" w14:textId="77777777" w:rsidR="007F6723" w:rsidRPr="00462B7F" w:rsidRDefault="007F6723" w:rsidP="00181CF8">
            <w:pPr>
              <w:pStyle w:val="Tabletextcentred"/>
              <w:keepNext/>
              <w:jc w:val="left"/>
            </w:pPr>
            <w:r>
              <w:t>Proportion of individuals diagnosed with AD who are diagnosed with mild AD</w:t>
            </w:r>
          </w:p>
        </w:tc>
        <w:tc>
          <w:tcPr>
            <w:tcW w:w="701" w:type="pct"/>
          </w:tcPr>
          <w:p w14:paraId="7D6BBE07" w14:textId="77777777" w:rsidR="007F6723" w:rsidRPr="00462B7F" w:rsidRDefault="007F6723" w:rsidP="00181CF8">
            <w:pPr>
              <w:pStyle w:val="Tabletextcentred"/>
              <w:keepNext/>
              <w:jc w:val="right"/>
            </w:pPr>
            <w:r>
              <w:t>0.33</w:t>
            </w:r>
          </w:p>
        </w:tc>
        <w:tc>
          <w:tcPr>
            <w:tcW w:w="1485" w:type="pct"/>
          </w:tcPr>
          <w:p w14:paraId="296606AF" w14:textId="77777777" w:rsidR="007F6723" w:rsidRPr="00462B7F" w:rsidRDefault="007F6723" w:rsidP="00181CF8">
            <w:pPr>
              <w:pStyle w:val="Tabletextcentred"/>
              <w:keepNext/>
              <w:jc w:val="right"/>
            </w:pPr>
            <w:r>
              <w:t>Assumption building on from McMahon (2000)</w:t>
            </w:r>
          </w:p>
        </w:tc>
      </w:tr>
      <w:tr w:rsidR="007F6723" w14:paraId="68632EA1" w14:textId="77777777" w:rsidTr="00181CF8">
        <w:tc>
          <w:tcPr>
            <w:tcW w:w="2814" w:type="pct"/>
          </w:tcPr>
          <w:p w14:paraId="100E6F30" w14:textId="77777777" w:rsidR="007F6723" w:rsidRDefault="007F6723" w:rsidP="00181CF8">
            <w:pPr>
              <w:pStyle w:val="Tabletextcentred"/>
              <w:keepNext/>
              <w:jc w:val="left"/>
            </w:pPr>
            <w:r>
              <w:t>Average PBS cost per positive test result</w:t>
            </w:r>
          </w:p>
        </w:tc>
        <w:tc>
          <w:tcPr>
            <w:tcW w:w="701" w:type="pct"/>
          </w:tcPr>
          <w:p w14:paraId="14CC3478" w14:textId="77777777" w:rsidR="007F6723" w:rsidRPr="00462B7F" w:rsidRDefault="007F6723" w:rsidP="00181CF8">
            <w:pPr>
              <w:pStyle w:val="Tabletextcentred"/>
              <w:keepNext/>
              <w:jc w:val="right"/>
            </w:pPr>
            <w:r>
              <w:t>$1449.38</w:t>
            </w:r>
          </w:p>
        </w:tc>
        <w:tc>
          <w:tcPr>
            <w:tcW w:w="1485" w:type="pct"/>
          </w:tcPr>
          <w:p w14:paraId="7905A3A0" w14:textId="77777777" w:rsidR="007F6723" w:rsidRPr="00462B7F" w:rsidRDefault="007F6723" w:rsidP="00181CF8">
            <w:pPr>
              <w:pStyle w:val="Tabletextcentred"/>
              <w:keepNext/>
              <w:jc w:val="right"/>
            </w:pPr>
            <w:r>
              <w:t>Calculated</w:t>
            </w:r>
          </w:p>
        </w:tc>
      </w:tr>
    </w:tbl>
    <w:p w14:paraId="4000B9EB" w14:textId="77777777" w:rsidR="007F6723" w:rsidRDefault="007F6723" w:rsidP="007F6723">
      <w:pPr>
        <w:pStyle w:val="Tablefootnotes"/>
        <w:keepNext/>
      </w:pPr>
      <w:r w:rsidRPr="00F94D4D">
        <w:t>Abbreviations</w:t>
      </w:r>
      <w:r>
        <w:t>: AChEIs, acetylcholinesterase inhibitors AD, Alzheimer’s disease; PBS, Pharmaceutical Benefits Schedule</w:t>
      </w:r>
    </w:p>
    <w:p w14:paraId="76E947A1" w14:textId="77777777" w:rsidR="007F6723" w:rsidRDefault="007F6723" w:rsidP="007F6723">
      <w:pPr>
        <w:pStyle w:val="Tablefootnotes"/>
      </w:pPr>
      <w:r w:rsidRPr="00487C30">
        <w:rPr>
          <w:vertAlign w:val="superscript"/>
        </w:rPr>
        <w:t>a</w:t>
      </w:r>
      <w:r>
        <w:t xml:space="preserve"> Median treatment duration estimated as 17 months. Consistent with typical pack sizes, one month was assumed to be equivalent to 28 days of treatment (or 476 days)</w:t>
      </w:r>
    </w:p>
    <w:p w14:paraId="6E6DF4D4" w14:textId="13FFEBF9" w:rsidR="007F6723" w:rsidRDefault="007F6723" w:rsidP="007F6723">
      <w:r>
        <w:t xml:space="preserve">Note that an absence of data relating to the average duration of treatment with memantine forced an assumption that this was the same as for patients treated with </w:t>
      </w:r>
      <w:r w:rsidR="00A12F21">
        <w:t>AChEIs</w:t>
      </w:r>
      <w:r>
        <w:t>. This is consistent with the approach applied in Section D (see justification in Section C).</w:t>
      </w:r>
    </w:p>
    <w:p w14:paraId="0B566746" w14:textId="46E2B6E3" w:rsidR="007F6723" w:rsidRDefault="007F6723" w:rsidP="007F6723">
      <w:r w:rsidRPr="009945B3">
        <w:t xml:space="preserve">From the diagnostic accuracy </w:t>
      </w:r>
      <w:r w:rsidR="005569B0">
        <w:t>data</w:t>
      </w:r>
      <w:r w:rsidRPr="009945B3">
        <w:t xml:space="preserve"> described </w:t>
      </w:r>
      <w:r w:rsidR="005569B0">
        <w:t xml:space="preserve">in Section </w:t>
      </w:r>
      <w:r w:rsidR="005569B0">
        <w:fldChar w:fldCharType="begin"/>
      </w:r>
      <w:r w:rsidR="005569B0">
        <w:instrText xml:space="preserve"> REF _Ref406172098 \r \h </w:instrText>
      </w:r>
      <w:r w:rsidR="005569B0">
        <w:fldChar w:fldCharType="separate"/>
      </w:r>
      <w:r w:rsidR="00C67698">
        <w:t>C.9.2</w:t>
      </w:r>
      <w:r w:rsidR="005569B0">
        <w:fldChar w:fldCharType="end"/>
      </w:r>
      <w:r w:rsidRPr="009945B3">
        <w:t xml:space="preserve">, it is expected that true positive diagnoses will increase with the use of FDG-PET, while false </w:t>
      </w:r>
      <w:r w:rsidR="005569B0">
        <w:t>negative</w:t>
      </w:r>
      <w:r w:rsidRPr="009945B3">
        <w:t xml:space="preserve"> diagnose</w:t>
      </w:r>
      <w:r>
        <w:t>s</w:t>
      </w:r>
      <w:r w:rsidRPr="009945B3">
        <w:t xml:space="preserve"> will fall</w:t>
      </w:r>
      <w:r w:rsidR="005569B0">
        <w:t>. T</w:t>
      </w:r>
      <w:r w:rsidR="00A12F21">
        <w:t xml:space="preserve">he combined effect is an increase of 2% in positive diagnoses. </w:t>
      </w:r>
      <w:r w:rsidRPr="009945B3">
        <w:t>Applying this to the number of FDG-PET services expected in the event of a positive</w:t>
      </w:r>
      <w:r>
        <w:t xml:space="preserve"> listing on the PBS, the number of additional positive diagnoses was estimated.</w:t>
      </w:r>
    </w:p>
    <w:p w14:paraId="0CC49E75" w14:textId="7B44EA61" w:rsidR="007F6723" w:rsidRDefault="007F6723" w:rsidP="007F6723">
      <w:pPr>
        <w:pStyle w:val="Caption"/>
      </w:pPr>
      <w:bookmarkStart w:id="328" w:name="_Ref279831380"/>
      <w:bookmarkStart w:id="329" w:name="_Toc406172510"/>
      <w:bookmarkStart w:id="330" w:name="_Toc408845265"/>
      <w:r>
        <w:t xml:space="preserve">Table </w:t>
      </w:r>
      <w:fldSimple w:instr=" STYLEREF 2 \s ">
        <w:r w:rsidR="00C67698">
          <w:rPr>
            <w:noProof/>
          </w:rPr>
          <w:t>E.5</w:t>
        </w:r>
      </w:fldSimple>
      <w:r w:rsidR="00524916">
        <w:noBreakHyphen/>
      </w:r>
      <w:fldSimple w:instr=" SEQ Table \* ARABIC \s 2 ">
        <w:r w:rsidR="00C67698">
          <w:rPr>
            <w:noProof/>
          </w:rPr>
          <w:t>2</w:t>
        </w:r>
      </w:fldSimple>
      <w:bookmarkEnd w:id="328"/>
      <w:r>
        <w:tab/>
        <w:t>Net cost to the PBS due to additional positive diagnoses with FDG-PET</w:t>
      </w:r>
      <w:bookmarkEnd w:id="329"/>
      <w:bookmarkEnd w:id="330"/>
    </w:p>
    <w:tbl>
      <w:tblPr>
        <w:tblStyle w:val="TableGrid"/>
        <w:tblW w:w="4610" w:type="pct"/>
        <w:tblInd w:w="704" w:type="dxa"/>
        <w:tblLayout w:type="fixed"/>
        <w:tblLook w:val="04A0" w:firstRow="1" w:lastRow="0" w:firstColumn="1" w:lastColumn="0" w:noHBand="0" w:noVBand="1"/>
        <w:tblCaption w:val="The net cost to the PBS"/>
        <w:tblDescription w:val="The net increase in PBS costs from 2015 to 2019. The estimates take into account the number of patients tested with FDG-PET in the event of MBS listing, the proportion of patients with AD, the proportionate increase of positive diagnoses, and increase in correct positive diagnoses."/>
      </w:tblPr>
      <w:tblGrid>
        <w:gridCol w:w="1891"/>
        <w:gridCol w:w="1085"/>
        <w:gridCol w:w="1086"/>
        <w:gridCol w:w="1086"/>
        <w:gridCol w:w="1086"/>
        <w:gridCol w:w="1087"/>
        <w:gridCol w:w="1200"/>
      </w:tblGrid>
      <w:tr w:rsidR="007F6723" w14:paraId="17A7BD10" w14:textId="77777777" w:rsidTr="00181CF8">
        <w:trPr>
          <w:tblHeader/>
        </w:trPr>
        <w:tc>
          <w:tcPr>
            <w:tcW w:w="1110" w:type="pct"/>
          </w:tcPr>
          <w:p w14:paraId="6DFFA08E" w14:textId="77777777" w:rsidR="007F6723" w:rsidRDefault="007F6723" w:rsidP="00181CF8">
            <w:pPr>
              <w:pStyle w:val="Tabletextboldleft"/>
              <w:jc w:val="right"/>
            </w:pPr>
          </w:p>
        </w:tc>
        <w:tc>
          <w:tcPr>
            <w:tcW w:w="637" w:type="pct"/>
          </w:tcPr>
          <w:p w14:paraId="02BF4E51" w14:textId="77777777" w:rsidR="007F6723" w:rsidRDefault="007F6723" w:rsidP="00181CF8">
            <w:pPr>
              <w:pStyle w:val="Tabletextboldleft"/>
              <w:jc w:val="right"/>
            </w:pPr>
            <w:r>
              <w:t>2015</w:t>
            </w:r>
          </w:p>
        </w:tc>
        <w:tc>
          <w:tcPr>
            <w:tcW w:w="637" w:type="pct"/>
          </w:tcPr>
          <w:p w14:paraId="002C2E1B" w14:textId="77777777" w:rsidR="007F6723" w:rsidRDefault="007F6723" w:rsidP="00181CF8">
            <w:pPr>
              <w:pStyle w:val="Tabletextboldleft"/>
              <w:jc w:val="right"/>
            </w:pPr>
            <w:r>
              <w:t>2016</w:t>
            </w:r>
          </w:p>
        </w:tc>
        <w:tc>
          <w:tcPr>
            <w:tcW w:w="637" w:type="pct"/>
          </w:tcPr>
          <w:p w14:paraId="39F16986" w14:textId="77777777" w:rsidR="007F6723" w:rsidRDefault="007F6723" w:rsidP="00181CF8">
            <w:pPr>
              <w:pStyle w:val="Tabletextboldleft"/>
              <w:jc w:val="right"/>
            </w:pPr>
            <w:r>
              <w:t>2017</w:t>
            </w:r>
          </w:p>
        </w:tc>
        <w:tc>
          <w:tcPr>
            <w:tcW w:w="637" w:type="pct"/>
          </w:tcPr>
          <w:p w14:paraId="7D6A0E7D" w14:textId="77777777" w:rsidR="007F6723" w:rsidRDefault="007F6723" w:rsidP="00181CF8">
            <w:pPr>
              <w:pStyle w:val="Tabletextboldleft"/>
              <w:jc w:val="right"/>
            </w:pPr>
            <w:r>
              <w:t>2018</w:t>
            </w:r>
          </w:p>
        </w:tc>
        <w:tc>
          <w:tcPr>
            <w:tcW w:w="638" w:type="pct"/>
          </w:tcPr>
          <w:p w14:paraId="68BAD907" w14:textId="77777777" w:rsidR="007F6723" w:rsidRDefault="007F6723" w:rsidP="00181CF8">
            <w:pPr>
              <w:pStyle w:val="Tabletextboldleft"/>
              <w:jc w:val="right"/>
            </w:pPr>
            <w:r>
              <w:t>2019</w:t>
            </w:r>
          </w:p>
        </w:tc>
        <w:tc>
          <w:tcPr>
            <w:tcW w:w="705" w:type="pct"/>
          </w:tcPr>
          <w:p w14:paraId="6324D90D" w14:textId="77777777" w:rsidR="007F6723" w:rsidRDefault="007F6723" w:rsidP="00181CF8">
            <w:pPr>
              <w:pStyle w:val="Tabletextboldleft"/>
              <w:jc w:val="right"/>
            </w:pPr>
            <w:r>
              <w:t>Reference</w:t>
            </w:r>
          </w:p>
        </w:tc>
      </w:tr>
      <w:tr w:rsidR="007F6723" w14:paraId="47064FCA" w14:textId="77777777" w:rsidTr="00181CF8">
        <w:tc>
          <w:tcPr>
            <w:tcW w:w="1110" w:type="pct"/>
          </w:tcPr>
          <w:p w14:paraId="190CD386" w14:textId="77777777" w:rsidR="007F6723" w:rsidRPr="004D057E" w:rsidRDefault="007F6723" w:rsidP="00181CF8">
            <w:pPr>
              <w:pStyle w:val="Tabletextcentred"/>
              <w:keepNext/>
              <w:jc w:val="left"/>
            </w:pPr>
            <w:r w:rsidRPr="00AB7F18">
              <w:t xml:space="preserve">Patients tested with </w:t>
            </w:r>
            <w:r>
              <w:t>FDG-PET</w:t>
            </w:r>
            <w:r w:rsidRPr="00AB7F18">
              <w:t xml:space="preserve"> in the event of MBS listing</w:t>
            </w:r>
          </w:p>
        </w:tc>
        <w:tc>
          <w:tcPr>
            <w:tcW w:w="637" w:type="pct"/>
          </w:tcPr>
          <w:p w14:paraId="1C1B84D0" w14:textId="77777777" w:rsidR="007F6723" w:rsidRDefault="007F6723" w:rsidP="00181CF8">
            <w:pPr>
              <w:pStyle w:val="Tabletextcentred"/>
              <w:keepNext/>
              <w:jc w:val="right"/>
            </w:pPr>
            <w:r w:rsidRPr="00410F5A">
              <w:t>199</w:t>
            </w:r>
          </w:p>
        </w:tc>
        <w:tc>
          <w:tcPr>
            <w:tcW w:w="637" w:type="pct"/>
          </w:tcPr>
          <w:p w14:paraId="66C2DDD3" w14:textId="77777777" w:rsidR="007F6723" w:rsidRDefault="007F6723" w:rsidP="00181CF8">
            <w:pPr>
              <w:pStyle w:val="Tabletextcentred"/>
              <w:keepNext/>
              <w:jc w:val="right"/>
            </w:pPr>
            <w:r w:rsidRPr="00410F5A">
              <w:t>451</w:t>
            </w:r>
          </w:p>
        </w:tc>
        <w:tc>
          <w:tcPr>
            <w:tcW w:w="637" w:type="pct"/>
          </w:tcPr>
          <w:p w14:paraId="5CC4E5AE" w14:textId="77777777" w:rsidR="007F6723" w:rsidRDefault="007F6723" w:rsidP="00181CF8">
            <w:pPr>
              <w:pStyle w:val="Tabletextcentred"/>
              <w:keepNext/>
              <w:jc w:val="right"/>
            </w:pPr>
            <w:r w:rsidRPr="00410F5A">
              <w:t>728</w:t>
            </w:r>
          </w:p>
        </w:tc>
        <w:tc>
          <w:tcPr>
            <w:tcW w:w="637" w:type="pct"/>
          </w:tcPr>
          <w:p w14:paraId="08AC31FC" w14:textId="77777777" w:rsidR="007F6723" w:rsidRDefault="007F6723" w:rsidP="00181CF8">
            <w:pPr>
              <w:pStyle w:val="Tabletextcentred"/>
              <w:keepNext/>
              <w:jc w:val="right"/>
            </w:pPr>
            <w:r w:rsidRPr="00410F5A">
              <w:t>1021</w:t>
            </w:r>
          </w:p>
        </w:tc>
        <w:tc>
          <w:tcPr>
            <w:tcW w:w="638" w:type="pct"/>
          </w:tcPr>
          <w:p w14:paraId="510647FE" w14:textId="77777777" w:rsidR="007F6723" w:rsidRDefault="007F6723" w:rsidP="00181CF8">
            <w:pPr>
              <w:pStyle w:val="Tabletextcentred"/>
              <w:keepNext/>
              <w:jc w:val="right"/>
            </w:pPr>
            <w:r w:rsidRPr="00410F5A">
              <w:t>1264</w:t>
            </w:r>
          </w:p>
        </w:tc>
        <w:tc>
          <w:tcPr>
            <w:tcW w:w="705" w:type="pct"/>
          </w:tcPr>
          <w:p w14:paraId="7904C4FE" w14:textId="77777777" w:rsidR="007F6723" w:rsidRDefault="007F6723" w:rsidP="00181CF8">
            <w:pPr>
              <w:pStyle w:val="Tabletextcentred"/>
              <w:keepNext/>
              <w:jc w:val="right"/>
            </w:pPr>
            <w:r>
              <w:fldChar w:fldCharType="begin"/>
            </w:r>
            <w:r>
              <w:instrText xml:space="preserve"> REF _Ref279761176 \h </w:instrText>
            </w:r>
            <w:r>
              <w:fldChar w:fldCharType="separate"/>
            </w:r>
            <w:r w:rsidR="00C67698">
              <w:t xml:space="preserve">Table </w:t>
            </w:r>
            <w:r w:rsidR="00C67698">
              <w:rPr>
                <w:noProof/>
              </w:rPr>
              <w:t>E.3</w:t>
            </w:r>
            <w:r w:rsidR="00C67698">
              <w:noBreakHyphen/>
            </w:r>
            <w:r w:rsidR="00C67698">
              <w:rPr>
                <w:noProof/>
              </w:rPr>
              <w:t>2</w:t>
            </w:r>
            <w:r>
              <w:fldChar w:fldCharType="end"/>
            </w:r>
          </w:p>
        </w:tc>
      </w:tr>
      <w:tr w:rsidR="007F6723" w14:paraId="6C1D6A35" w14:textId="77777777" w:rsidTr="00181CF8">
        <w:tc>
          <w:tcPr>
            <w:tcW w:w="1110" w:type="pct"/>
          </w:tcPr>
          <w:p w14:paraId="582FDA9D" w14:textId="77777777" w:rsidR="007F6723" w:rsidRDefault="007F6723" w:rsidP="00181CF8">
            <w:pPr>
              <w:pStyle w:val="Tabletextcentred"/>
              <w:keepNext/>
              <w:jc w:val="left"/>
            </w:pPr>
            <w:r w:rsidRPr="00AB7F18">
              <w:t>Proportion of patients with AD</w:t>
            </w:r>
          </w:p>
        </w:tc>
        <w:tc>
          <w:tcPr>
            <w:tcW w:w="637" w:type="pct"/>
          </w:tcPr>
          <w:p w14:paraId="3EE297E5" w14:textId="77777777" w:rsidR="007F6723" w:rsidRDefault="007F6723" w:rsidP="00181CF8">
            <w:pPr>
              <w:pStyle w:val="Tabletextcentred"/>
              <w:keepNext/>
              <w:jc w:val="right"/>
            </w:pPr>
            <w:r w:rsidRPr="00410F5A">
              <w:t>70%</w:t>
            </w:r>
          </w:p>
        </w:tc>
        <w:tc>
          <w:tcPr>
            <w:tcW w:w="637" w:type="pct"/>
          </w:tcPr>
          <w:p w14:paraId="15EA0463" w14:textId="77777777" w:rsidR="007F6723" w:rsidRDefault="007F6723" w:rsidP="00181CF8">
            <w:pPr>
              <w:pStyle w:val="Tabletextcentred"/>
              <w:keepNext/>
              <w:jc w:val="right"/>
            </w:pPr>
            <w:r w:rsidRPr="00410F5A">
              <w:t>70%</w:t>
            </w:r>
          </w:p>
        </w:tc>
        <w:tc>
          <w:tcPr>
            <w:tcW w:w="637" w:type="pct"/>
          </w:tcPr>
          <w:p w14:paraId="4DB6F56C" w14:textId="77777777" w:rsidR="007F6723" w:rsidRDefault="007F6723" w:rsidP="00181CF8">
            <w:pPr>
              <w:pStyle w:val="Tabletextcentred"/>
              <w:keepNext/>
              <w:jc w:val="right"/>
            </w:pPr>
            <w:r w:rsidRPr="00410F5A">
              <w:t>70%</w:t>
            </w:r>
          </w:p>
        </w:tc>
        <w:tc>
          <w:tcPr>
            <w:tcW w:w="637" w:type="pct"/>
          </w:tcPr>
          <w:p w14:paraId="7EF2178F" w14:textId="77777777" w:rsidR="007F6723" w:rsidRDefault="007F6723" w:rsidP="00181CF8">
            <w:pPr>
              <w:pStyle w:val="Tabletextcentred"/>
              <w:keepNext/>
              <w:jc w:val="right"/>
            </w:pPr>
            <w:r w:rsidRPr="00410F5A">
              <w:t>70%</w:t>
            </w:r>
          </w:p>
        </w:tc>
        <w:tc>
          <w:tcPr>
            <w:tcW w:w="638" w:type="pct"/>
          </w:tcPr>
          <w:p w14:paraId="287EB54C" w14:textId="77777777" w:rsidR="007F6723" w:rsidRDefault="007F6723" w:rsidP="00181CF8">
            <w:pPr>
              <w:pStyle w:val="Tabletextcentred"/>
              <w:keepNext/>
              <w:jc w:val="right"/>
            </w:pPr>
            <w:r w:rsidRPr="00410F5A">
              <w:t>70%</w:t>
            </w:r>
          </w:p>
        </w:tc>
        <w:tc>
          <w:tcPr>
            <w:tcW w:w="705" w:type="pct"/>
          </w:tcPr>
          <w:p w14:paraId="1FFDF143" w14:textId="77777777" w:rsidR="007F6723" w:rsidRDefault="007F6723" w:rsidP="00181CF8">
            <w:pPr>
              <w:pStyle w:val="Tabletextcentred"/>
              <w:keepNext/>
              <w:jc w:val="right"/>
            </w:pPr>
            <w:r>
              <w:t xml:space="preserve">McMahon (2000); Section </w:t>
            </w:r>
            <w:r>
              <w:fldChar w:fldCharType="begin"/>
            </w:r>
            <w:r>
              <w:instrText xml:space="preserve"> REF _Ref278804229 \r \h </w:instrText>
            </w:r>
            <w:r>
              <w:fldChar w:fldCharType="separate"/>
            </w:r>
            <w:r w:rsidR="00C67698">
              <w:t>D.3</w:t>
            </w:r>
            <w:r>
              <w:fldChar w:fldCharType="end"/>
            </w:r>
          </w:p>
        </w:tc>
      </w:tr>
      <w:tr w:rsidR="007F6723" w14:paraId="5061074F" w14:textId="77777777" w:rsidTr="00181CF8">
        <w:tc>
          <w:tcPr>
            <w:tcW w:w="1110" w:type="pct"/>
          </w:tcPr>
          <w:p w14:paraId="3F806F69" w14:textId="77777777" w:rsidR="007F6723" w:rsidRPr="00797438" w:rsidRDefault="007F6723" w:rsidP="00181CF8">
            <w:pPr>
              <w:pStyle w:val="Tabletextcentred"/>
              <w:keepNext/>
              <w:jc w:val="left"/>
            </w:pPr>
            <w:r w:rsidRPr="00797438">
              <w:t>Proportionate increase of positive diagnoses</w:t>
            </w:r>
          </w:p>
        </w:tc>
        <w:tc>
          <w:tcPr>
            <w:tcW w:w="637" w:type="pct"/>
          </w:tcPr>
          <w:p w14:paraId="3D3EE83C" w14:textId="77777777" w:rsidR="007F6723" w:rsidRPr="00797438" w:rsidRDefault="007F6723" w:rsidP="00181CF8">
            <w:pPr>
              <w:pStyle w:val="Tabletextcentred"/>
              <w:keepNext/>
              <w:jc w:val="right"/>
            </w:pPr>
            <w:r w:rsidRPr="00797438">
              <w:t>2%</w:t>
            </w:r>
          </w:p>
        </w:tc>
        <w:tc>
          <w:tcPr>
            <w:tcW w:w="637" w:type="pct"/>
          </w:tcPr>
          <w:p w14:paraId="31601E83" w14:textId="77777777" w:rsidR="007F6723" w:rsidRPr="00797438" w:rsidRDefault="007F6723" w:rsidP="00181CF8">
            <w:pPr>
              <w:pStyle w:val="Tabletextcentred"/>
              <w:keepNext/>
              <w:jc w:val="right"/>
            </w:pPr>
            <w:r w:rsidRPr="00797438">
              <w:t>2%</w:t>
            </w:r>
          </w:p>
        </w:tc>
        <w:tc>
          <w:tcPr>
            <w:tcW w:w="637" w:type="pct"/>
          </w:tcPr>
          <w:p w14:paraId="4F7F63D3" w14:textId="77777777" w:rsidR="007F6723" w:rsidRPr="00797438" w:rsidRDefault="007F6723" w:rsidP="00181CF8">
            <w:pPr>
              <w:pStyle w:val="Tabletextcentred"/>
              <w:keepNext/>
              <w:jc w:val="right"/>
            </w:pPr>
            <w:r w:rsidRPr="00797438">
              <w:t>2%</w:t>
            </w:r>
          </w:p>
        </w:tc>
        <w:tc>
          <w:tcPr>
            <w:tcW w:w="637" w:type="pct"/>
          </w:tcPr>
          <w:p w14:paraId="6525867E" w14:textId="77777777" w:rsidR="007F6723" w:rsidRPr="00797438" w:rsidRDefault="007F6723" w:rsidP="00181CF8">
            <w:pPr>
              <w:pStyle w:val="Tabletextcentred"/>
              <w:keepNext/>
              <w:jc w:val="right"/>
            </w:pPr>
            <w:r w:rsidRPr="00797438">
              <w:t>2%</w:t>
            </w:r>
          </w:p>
        </w:tc>
        <w:tc>
          <w:tcPr>
            <w:tcW w:w="638" w:type="pct"/>
          </w:tcPr>
          <w:p w14:paraId="6BA57EBD" w14:textId="77777777" w:rsidR="007F6723" w:rsidRPr="00797438" w:rsidRDefault="007F6723" w:rsidP="00181CF8">
            <w:pPr>
              <w:pStyle w:val="Tabletextcentred"/>
              <w:keepNext/>
              <w:jc w:val="right"/>
            </w:pPr>
            <w:r w:rsidRPr="00797438">
              <w:t>2%</w:t>
            </w:r>
          </w:p>
        </w:tc>
        <w:tc>
          <w:tcPr>
            <w:tcW w:w="705" w:type="pct"/>
          </w:tcPr>
          <w:p w14:paraId="46FC193D" w14:textId="77777777" w:rsidR="007F6723" w:rsidRPr="00797438" w:rsidRDefault="007F6723" w:rsidP="00181CF8">
            <w:pPr>
              <w:pStyle w:val="Tabletextcentred"/>
              <w:keepNext/>
              <w:jc w:val="right"/>
            </w:pPr>
            <w:r w:rsidRPr="00797438">
              <w:t xml:space="preserve">Calculated from </w:t>
            </w:r>
            <w:r w:rsidRPr="00797438">
              <w:fldChar w:fldCharType="begin"/>
            </w:r>
            <w:r w:rsidRPr="00797438">
              <w:instrText xml:space="preserve"> REF _Ref279912394 \h  \* MERGEFORMAT </w:instrText>
            </w:r>
            <w:r w:rsidRPr="00797438">
              <w:fldChar w:fldCharType="separate"/>
            </w:r>
            <w:r w:rsidR="00C67698">
              <w:t xml:space="preserve">Table </w:t>
            </w:r>
            <w:r w:rsidR="00C67698">
              <w:rPr>
                <w:noProof/>
              </w:rPr>
              <w:t>D.4</w:t>
            </w:r>
            <w:r w:rsidR="00C67698">
              <w:rPr>
                <w:noProof/>
              </w:rPr>
              <w:noBreakHyphen/>
              <w:t>3</w:t>
            </w:r>
            <w:r w:rsidRPr="00797438">
              <w:fldChar w:fldCharType="end"/>
            </w:r>
            <w:r w:rsidRPr="00797438">
              <w:t xml:space="preserve"> </w:t>
            </w:r>
          </w:p>
        </w:tc>
      </w:tr>
      <w:tr w:rsidR="007F6723" w14:paraId="2583AEF7" w14:textId="77777777" w:rsidTr="00181CF8">
        <w:trPr>
          <w:trHeight w:val="247"/>
        </w:trPr>
        <w:tc>
          <w:tcPr>
            <w:tcW w:w="1110" w:type="pct"/>
          </w:tcPr>
          <w:p w14:paraId="35624CD9" w14:textId="77777777" w:rsidR="007F6723" w:rsidRDefault="007F6723" w:rsidP="00181CF8">
            <w:pPr>
              <w:pStyle w:val="Tabletextcentred"/>
              <w:keepNext/>
              <w:jc w:val="left"/>
            </w:pPr>
            <w:r w:rsidRPr="00AB7F18">
              <w:t xml:space="preserve">Increase in </w:t>
            </w:r>
            <w:r>
              <w:t>correct positive</w:t>
            </w:r>
            <w:r w:rsidRPr="00AB7F18">
              <w:t xml:space="preserve"> diagnoses</w:t>
            </w:r>
          </w:p>
        </w:tc>
        <w:tc>
          <w:tcPr>
            <w:tcW w:w="637" w:type="pct"/>
          </w:tcPr>
          <w:p w14:paraId="172AF0EF" w14:textId="77777777" w:rsidR="007F6723" w:rsidRPr="00A91AB1" w:rsidRDefault="007F6723" w:rsidP="00181CF8">
            <w:pPr>
              <w:pStyle w:val="Tabletextcentred"/>
              <w:keepNext/>
              <w:jc w:val="right"/>
            </w:pPr>
            <w:r w:rsidRPr="00B439FF">
              <w:t>2.8</w:t>
            </w:r>
          </w:p>
        </w:tc>
        <w:tc>
          <w:tcPr>
            <w:tcW w:w="637" w:type="pct"/>
          </w:tcPr>
          <w:p w14:paraId="6569BAF7" w14:textId="77777777" w:rsidR="007F6723" w:rsidRPr="00A91AB1" w:rsidRDefault="007F6723" w:rsidP="00181CF8">
            <w:pPr>
              <w:pStyle w:val="Tabletextcentred"/>
              <w:keepNext/>
              <w:jc w:val="right"/>
            </w:pPr>
            <w:r w:rsidRPr="00B439FF">
              <w:t>6.4</w:t>
            </w:r>
          </w:p>
        </w:tc>
        <w:tc>
          <w:tcPr>
            <w:tcW w:w="637" w:type="pct"/>
          </w:tcPr>
          <w:p w14:paraId="24369423" w14:textId="77777777" w:rsidR="007F6723" w:rsidRPr="00A91AB1" w:rsidRDefault="007F6723" w:rsidP="00181CF8">
            <w:pPr>
              <w:pStyle w:val="Tabletextcentred"/>
              <w:keepNext/>
              <w:jc w:val="right"/>
            </w:pPr>
            <w:r w:rsidRPr="00B439FF">
              <w:t>10.4</w:t>
            </w:r>
          </w:p>
        </w:tc>
        <w:tc>
          <w:tcPr>
            <w:tcW w:w="637" w:type="pct"/>
          </w:tcPr>
          <w:p w14:paraId="5CDDC699" w14:textId="77777777" w:rsidR="007F6723" w:rsidRPr="00A91AB1" w:rsidRDefault="007F6723" w:rsidP="00181CF8">
            <w:pPr>
              <w:pStyle w:val="Tabletextcentred"/>
              <w:keepNext/>
              <w:jc w:val="right"/>
            </w:pPr>
            <w:r w:rsidRPr="00B439FF">
              <w:t>14.6</w:t>
            </w:r>
          </w:p>
        </w:tc>
        <w:tc>
          <w:tcPr>
            <w:tcW w:w="638" w:type="pct"/>
          </w:tcPr>
          <w:p w14:paraId="4318CB27" w14:textId="77777777" w:rsidR="007F6723" w:rsidRPr="00A91AB1" w:rsidRDefault="007F6723" w:rsidP="00181CF8">
            <w:pPr>
              <w:pStyle w:val="Tabletextcentred"/>
              <w:keepNext/>
              <w:jc w:val="right"/>
            </w:pPr>
            <w:r w:rsidRPr="00B439FF">
              <w:t>18.1</w:t>
            </w:r>
          </w:p>
        </w:tc>
        <w:tc>
          <w:tcPr>
            <w:tcW w:w="705" w:type="pct"/>
          </w:tcPr>
          <w:p w14:paraId="29365C67" w14:textId="77777777" w:rsidR="007F6723" w:rsidRDefault="007F6723" w:rsidP="00181CF8">
            <w:pPr>
              <w:pStyle w:val="Tabletextcentred"/>
              <w:keepNext/>
              <w:jc w:val="right"/>
            </w:pPr>
            <w:r>
              <w:t>Calculated</w:t>
            </w:r>
          </w:p>
        </w:tc>
      </w:tr>
      <w:tr w:rsidR="007F6723" w14:paraId="2A460BEB" w14:textId="77777777" w:rsidTr="00181CF8">
        <w:tc>
          <w:tcPr>
            <w:tcW w:w="1110" w:type="pct"/>
          </w:tcPr>
          <w:p w14:paraId="47DC0183" w14:textId="77777777" w:rsidR="007F6723" w:rsidRDefault="007F6723" w:rsidP="00181CF8">
            <w:pPr>
              <w:pStyle w:val="Tabletextcentred"/>
              <w:keepNext/>
              <w:jc w:val="left"/>
            </w:pPr>
            <w:r w:rsidRPr="00AB7F18">
              <w:t>Average cost to PBS per positive diagnosis</w:t>
            </w:r>
          </w:p>
        </w:tc>
        <w:tc>
          <w:tcPr>
            <w:tcW w:w="637" w:type="pct"/>
          </w:tcPr>
          <w:p w14:paraId="5E32D8E0" w14:textId="77777777" w:rsidR="007F6723" w:rsidRDefault="007F6723" w:rsidP="00181CF8">
            <w:pPr>
              <w:pStyle w:val="Tabletextcentred"/>
              <w:keepNext/>
              <w:jc w:val="right"/>
            </w:pPr>
            <w:r w:rsidRPr="00BA1889">
              <w:t>$1,449.38</w:t>
            </w:r>
          </w:p>
        </w:tc>
        <w:tc>
          <w:tcPr>
            <w:tcW w:w="637" w:type="pct"/>
          </w:tcPr>
          <w:p w14:paraId="5FB704DB" w14:textId="77777777" w:rsidR="007F6723" w:rsidRDefault="007F6723" w:rsidP="00181CF8">
            <w:pPr>
              <w:pStyle w:val="Tabletextcentred"/>
              <w:keepNext/>
              <w:jc w:val="right"/>
            </w:pPr>
            <w:r w:rsidRPr="00BA1889">
              <w:t>$1,449.38</w:t>
            </w:r>
          </w:p>
        </w:tc>
        <w:tc>
          <w:tcPr>
            <w:tcW w:w="637" w:type="pct"/>
          </w:tcPr>
          <w:p w14:paraId="0B422C97" w14:textId="77777777" w:rsidR="007F6723" w:rsidRDefault="007F6723" w:rsidP="00181CF8">
            <w:pPr>
              <w:pStyle w:val="Tabletextcentred"/>
              <w:keepNext/>
              <w:jc w:val="right"/>
            </w:pPr>
            <w:r w:rsidRPr="00BA1889">
              <w:t>$1,449.38</w:t>
            </w:r>
          </w:p>
        </w:tc>
        <w:tc>
          <w:tcPr>
            <w:tcW w:w="637" w:type="pct"/>
          </w:tcPr>
          <w:p w14:paraId="04B546F8" w14:textId="77777777" w:rsidR="007F6723" w:rsidRDefault="007F6723" w:rsidP="00181CF8">
            <w:pPr>
              <w:pStyle w:val="Tabletextcentred"/>
              <w:keepNext/>
              <w:jc w:val="right"/>
            </w:pPr>
            <w:r w:rsidRPr="00BA1889">
              <w:t>$1,449.38</w:t>
            </w:r>
          </w:p>
        </w:tc>
        <w:tc>
          <w:tcPr>
            <w:tcW w:w="638" w:type="pct"/>
          </w:tcPr>
          <w:p w14:paraId="39704EB8" w14:textId="77777777" w:rsidR="007F6723" w:rsidRDefault="007F6723" w:rsidP="00181CF8">
            <w:pPr>
              <w:pStyle w:val="Tabletextcentred"/>
              <w:keepNext/>
              <w:jc w:val="right"/>
            </w:pPr>
            <w:r w:rsidRPr="00BA1889">
              <w:t>$1,449.38</w:t>
            </w:r>
          </w:p>
        </w:tc>
        <w:tc>
          <w:tcPr>
            <w:tcW w:w="705" w:type="pct"/>
          </w:tcPr>
          <w:p w14:paraId="2488AC48" w14:textId="77777777" w:rsidR="007F6723" w:rsidRDefault="007F6723" w:rsidP="00181CF8">
            <w:pPr>
              <w:pStyle w:val="Tabletextcentred"/>
              <w:keepNext/>
              <w:jc w:val="right"/>
            </w:pPr>
            <w:r>
              <w:fldChar w:fldCharType="begin"/>
            </w:r>
            <w:r>
              <w:instrText xml:space="preserve"> REF _Ref279825048 \h </w:instrText>
            </w:r>
            <w:r>
              <w:fldChar w:fldCharType="separate"/>
            </w:r>
            <w:r w:rsidR="00C67698">
              <w:t xml:space="preserve">Table </w:t>
            </w:r>
            <w:r w:rsidR="00C67698">
              <w:rPr>
                <w:noProof/>
              </w:rPr>
              <w:t>E.5</w:t>
            </w:r>
            <w:r w:rsidR="00C67698">
              <w:noBreakHyphen/>
            </w:r>
            <w:r w:rsidR="00C67698">
              <w:rPr>
                <w:noProof/>
              </w:rPr>
              <w:t>1</w:t>
            </w:r>
            <w:r>
              <w:fldChar w:fldCharType="end"/>
            </w:r>
          </w:p>
        </w:tc>
      </w:tr>
      <w:tr w:rsidR="007F6723" w14:paraId="2E8A79FB" w14:textId="77777777" w:rsidTr="00181CF8">
        <w:tc>
          <w:tcPr>
            <w:tcW w:w="1110" w:type="pct"/>
          </w:tcPr>
          <w:p w14:paraId="5C43EDF7" w14:textId="77777777" w:rsidR="007F6723" w:rsidRPr="00AB7F18" w:rsidRDefault="007F6723" w:rsidP="00181CF8">
            <w:pPr>
              <w:pStyle w:val="Tabletextcentred"/>
              <w:keepNext/>
              <w:jc w:val="left"/>
            </w:pPr>
            <w:r w:rsidRPr="00403C80">
              <w:t>Net increase in PBS cost</w:t>
            </w:r>
          </w:p>
        </w:tc>
        <w:tc>
          <w:tcPr>
            <w:tcW w:w="637" w:type="pct"/>
          </w:tcPr>
          <w:p w14:paraId="350D1464" w14:textId="77777777" w:rsidR="007F6723" w:rsidRPr="00410F5A" w:rsidRDefault="007F6723" w:rsidP="00181CF8">
            <w:pPr>
              <w:pStyle w:val="Tabletextcentred"/>
              <w:keepNext/>
              <w:jc w:val="right"/>
            </w:pPr>
            <w:r w:rsidRPr="00A65882">
              <w:t>$4</w:t>
            </w:r>
            <w:r>
              <w:t>,</w:t>
            </w:r>
            <w:r w:rsidRPr="00A65882">
              <w:t>1</w:t>
            </w:r>
            <w:r>
              <w:t>10.85</w:t>
            </w:r>
          </w:p>
        </w:tc>
        <w:tc>
          <w:tcPr>
            <w:tcW w:w="637" w:type="pct"/>
          </w:tcPr>
          <w:p w14:paraId="51D41D3D" w14:textId="77777777" w:rsidR="007F6723" w:rsidRPr="00410F5A" w:rsidRDefault="007F6723" w:rsidP="00181CF8">
            <w:pPr>
              <w:pStyle w:val="Tabletextcentred"/>
              <w:keepNext/>
              <w:jc w:val="right"/>
            </w:pPr>
            <w:r>
              <w:t>$9,</w:t>
            </w:r>
            <w:r w:rsidRPr="00A65882">
              <w:t>3</w:t>
            </w:r>
            <w:r>
              <w:t>36.82</w:t>
            </w:r>
          </w:p>
        </w:tc>
        <w:tc>
          <w:tcPr>
            <w:tcW w:w="637" w:type="pct"/>
          </w:tcPr>
          <w:p w14:paraId="51728FFD" w14:textId="77777777" w:rsidR="007F6723" w:rsidRPr="00410F5A" w:rsidRDefault="007F6723" w:rsidP="00181CF8">
            <w:pPr>
              <w:pStyle w:val="Tabletextcentred"/>
              <w:keepNext/>
              <w:jc w:val="right"/>
            </w:pPr>
            <w:r w:rsidRPr="00A65882">
              <w:t>$15,0</w:t>
            </w:r>
            <w:r>
              <w:t>63</w:t>
            </w:r>
            <w:r w:rsidRPr="00A65882">
              <w:t>.67</w:t>
            </w:r>
          </w:p>
        </w:tc>
        <w:tc>
          <w:tcPr>
            <w:tcW w:w="637" w:type="pct"/>
          </w:tcPr>
          <w:p w14:paraId="330ACD27" w14:textId="77777777" w:rsidR="007F6723" w:rsidRPr="00410F5A" w:rsidRDefault="007F6723" w:rsidP="00181CF8">
            <w:pPr>
              <w:pStyle w:val="Tabletextcentred"/>
              <w:keepNext/>
              <w:jc w:val="right"/>
            </w:pPr>
            <w:r w:rsidRPr="00A65882">
              <w:t>$21,1</w:t>
            </w:r>
            <w:r>
              <w:t>40.53</w:t>
            </w:r>
          </w:p>
        </w:tc>
        <w:tc>
          <w:tcPr>
            <w:tcW w:w="638" w:type="pct"/>
          </w:tcPr>
          <w:p w14:paraId="406D2EC1" w14:textId="77777777" w:rsidR="007F6723" w:rsidRPr="00410F5A" w:rsidRDefault="007F6723" w:rsidP="00181CF8">
            <w:pPr>
              <w:pStyle w:val="Tabletextcentred"/>
              <w:keepNext/>
              <w:jc w:val="right"/>
            </w:pPr>
            <w:r w:rsidRPr="00A65882">
              <w:t>$26,1</w:t>
            </w:r>
            <w:r>
              <w:t>80.62</w:t>
            </w:r>
          </w:p>
        </w:tc>
        <w:tc>
          <w:tcPr>
            <w:tcW w:w="705" w:type="pct"/>
          </w:tcPr>
          <w:p w14:paraId="37A776EF" w14:textId="77777777" w:rsidR="007F6723" w:rsidRDefault="007F6723" w:rsidP="00181CF8">
            <w:pPr>
              <w:pStyle w:val="Tabletextcentred"/>
              <w:keepNext/>
              <w:jc w:val="right"/>
            </w:pPr>
            <w:r>
              <w:t>Calculated</w:t>
            </w:r>
          </w:p>
        </w:tc>
      </w:tr>
    </w:tbl>
    <w:p w14:paraId="11764CC8" w14:textId="2143024E" w:rsidR="007F6723" w:rsidRPr="003F1CBA" w:rsidRDefault="007F6723" w:rsidP="007F6723">
      <w:pPr>
        <w:pStyle w:val="Tablefootnotes"/>
      </w:pPr>
      <w:r w:rsidRPr="00F94D4D">
        <w:t>Abbreviations</w:t>
      </w:r>
      <w:r>
        <w:t>: AD, Alzheimer’s disease; FDG-PET, flu</w:t>
      </w:r>
      <w:r w:rsidR="0038452F">
        <w:t>o</w:t>
      </w:r>
      <w:r>
        <w:t>rodeoxyglucose positron emission tomography; FP, false positive; PBS, Pharmaceutical Benefits Schedule; TP, true positive</w:t>
      </w:r>
    </w:p>
    <w:p w14:paraId="026C49C9" w14:textId="60176A2F" w:rsidR="007F6723" w:rsidRDefault="007F6723" w:rsidP="007F6723">
      <w:r>
        <w:t xml:space="preserve">The net impact to the PBS shown in </w:t>
      </w:r>
      <w:r>
        <w:fldChar w:fldCharType="begin"/>
      </w:r>
      <w:r>
        <w:instrText xml:space="preserve"> REF _Ref279831380 \h </w:instrText>
      </w:r>
      <w:r>
        <w:fldChar w:fldCharType="separate"/>
      </w:r>
      <w:r w:rsidR="00C67698">
        <w:t xml:space="preserve">Table </w:t>
      </w:r>
      <w:r w:rsidR="00C67698">
        <w:rPr>
          <w:noProof/>
        </w:rPr>
        <w:t>E.5</w:t>
      </w:r>
      <w:r w:rsidR="00C67698">
        <w:noBreakHyphen/>
      </w:r>
      <w:r w:rsidR="00C67698">
        <w:rPr>
          <w:noProof/>
        </w:rPr>
        <w:t>2</w:t>
      </w:r>
      <w:r>
        <w:fldChar w:fldCharType="end"/>
      </w:r>
      <w:r>
        <w:t xml:space="preserve"> is modest. It is notable, however, that it may represent an overestimate as it does</w:t>
      </w:r>
      <w:r w:rsidR="00554627">
        <w:t xml:space="preserve"> not</w:t>
      </w:r>
      <w:r>
        <w:t xml:space="preserve"> explicitly account for the impact mortality may have on treatment duration. This is not expected to have a marked impact and this pragmatic approach is justified on that basis. </w:t>
      </w:r>
    </w:p>
    <w:p w14:paraId="0F574F2E" w14:textId="4315E6A3" w:rsidR="007F6723" w:rsidRDefault="007F6723" w:rsidP="007F6723">
      <w:r>
        <w:t xml:space="preserve">Furthermore, decreased false positive diagnoses with FDG-PET compared with SPECT could result in a reduction in the number of patients inappropriately placed on treatment. This has not been captured in the financial estimates in </w:t>
      </w:r>
      <w:r>
        <w:fldChar w:fldCharType="begin"/>
      </w:r>
      <w:r>
        <w:instrText xml:space="preserve"> REF _Ref279831380 \h </w:instrText>
      </w:r>
      <w:r>
        <w:fldChar w:fldCharType="separate"/>
      </w:r>
      <w:r w:rsidR="00C67698">
        <w:t xml:space="preserve">Table </w:t>
      </w:r>
      <w:r w:rsidR="00C67698">
        <w:rPr>
          <w:noProof/>
        </w:rPr>
        <w:t>E.5</w:t>
      </w:r>
      <w:r w:rsidR="00C67698">
        <w:noBreakHyphen/>
      </w:r>
      <w:r w:rsidR="00C67698">
        <w:rPr>
          <w:noProof/>
        </w:rPr>
        <w:t>2</w:t>
      </w:r>
      <w:r>
        <w:fldChar w:fldCharType="end"/>
      </w:r>
      <w:r>
        <w:t>, which could therefore represent an overestimate.</w:t>
      </w:r>
    </w:p>
    <w:p w14:paraId="2385632B" w14:textId="6122FA3B" w:rsidR="007F6723" w:rsidRDefault="0071474E" w:rsidP="007F6723">
      <w:r>
        <w:lastRenderedPageBreak/>
        <w:t>The net impact to the total G</w:t>
      </w:r>
      <w:r w:rsidR="007F6723">
        <w:t xml:space="preserve">overnment health budget (i.e. the MBS and PBS budget) is presented in </w:t>
      </w:r>
      <w:r w:rsidR="007F6723">
        <w:fldChar w:fldCharType="begin"/>
      </w:r>
      <w:r w:rsidR="007F6723">
        <w:instrText xml:space="preserve"> REF _Ref279831803 \h </w:instrText>
      </w:r>
      <w:r w:rsidR="007F6723">
        <w:fldChar w:fldCharType="separate"/>
      </w:r>
      <w:r w:rsidR="00C67698">
        <w:t xml:space="preserve">Table </w:t>
      </w:r>
      <w:r w:rsidR="00C67698">
        <w:rPr>
          <w:noProof/>
        </w:rPr>
        <w:t>E.5</w:t>
      </w:r>
      <w:r w:rsidR="00C67698">
        <w:noBreakHyphen/>
      </w:r>
      <w:r w:rsidR="00C67698">
        <w:rPr>
          <w:noProof/>
        </w:rPr>
        <w:t>3</w:t>
      </w:r>
      <w:r w:rsidR="007F6723">
        <w:fldChar w:fldCharType="end"/>
      </w:r>
      <w:r w:rsidR="007F6723">
        <w:t xml:space="preserve">. In the first year of a successful listing to the MBS, FDG-PET will be responsible for </w:t>
      </w:r>
      <w:r w:rsidR="007F6723" w:rsidRPr="00D850F5">
        <w:t>adding $66,244 to the</w:t>
      </w:r>
      <w:r w:rsidR="007F6723">
        <w:t xml:space="preserve"> total budget. This will increase </w:t>
      </w:r>
      <w:r w:rsidR="007F6723" w:rsidRPr="00D850F5">
        <w:t>by 808%</w:t>
      </w:r>
      <w:r w:rsidR="007F6723">
        <w:t xml:space="preserve"> over five </w:t>
      </w:r>
      <w:r w:rsidR="007F6723" w:rsidRPr="00D850F5">
        <w:t>years to $535,550,</w:t>
      </w:r>
      <w:r w:rsidR="007F6723">
        <w:t xml:space="preserve"> largely as a result of increased uptake over time leading to increases in the cost to the MBS for the diagnostic test itself. The impact of increased use of functional imaging is modest and the impact that different diagnostic accuracy has on the PBS budget is expected to be negligible.</w:t>
      </w:r>
    </w:p>
    <w:p w14:paraId="4F3A2FBA" w14:textId="487A7843" w:rsidR="007F6723" w:rsidRDefault="007F6723" w:rsidP="007F6723">
      <w:pPr>
        <w:pStyle w:val="Caption"/>
      </w:pPr>
      <w:bookmarkStart w:id="331" w:name="_Ref279831803"/>
      <w:bookmarkStart w:id="332" w:name="_Toc406172511"/>
      <w:bookmarkStart w:id="333" w:name="_Toc408845266"/>
      <w:r>
        <w:t xml:space="preserve">Table </w:t>
      </w:r>
      <w:fldSimple w:instr=" STYLEREF 2 \s ">
        <w:r w:rsidR="00C67698">
          <w:rPr>
            <w:noProof/>
          </w:rPr>
          <w:t>E.5</w:t>
        </w:r>
      </w:fldSimple>
      <w:r w:rsidR="00524916">
        <w:noBreakHyphen/>
      </w:r>
      <w:fldSimple w:instr=" SEQ Table \* ARABIC \s 2 ">
        <w:r w:rsidR="00C67698">
          <w:rPr>
            <w:noProof/>
          </w:rPr>
          <w:t>3</w:t>
        </w:r>
      </w:fldSimple>
      <w:bookmarkEnd w:id="331"/>
      <w:r w:rsidR="0071474E">
        <w:tab/>
        <w:t>Net financial impact to the G</w:t>
      </w:r>
      <w:r>
        <w:t>overnment health budget</w:t>
      </w:r>
      <w:bookmarkEnd w:id="332"/>
      <w:bookmarkEnd w:id="333"/>
    </w:p>
    <w:tbl>
      <w:tblPr>
        <w:tblStyle w:val="TableGrid"/>
        <w:tblW w:w="4610" w:type="pct"/>
        <w:tblInd w:w="704" w:type="dxa"/>
        <w:tblLayout w:type="fixed"/>
        <w:tblLook w:val="04A0" w:firstRow="1" w:lastRow="0" w:firstColumn="1" w:lastColumn="0" w:noHBand="0" w:noVBand="1"/>
        <w:tblCaption w:val="The net financial impact to the Government health budget"/>
        <w:tblDescription w:val="The net impact to the MBS, new impact to the PBS and total net impact. The table shows estimated costs from 2015 to 2019."/>
      </w:tblPr>
      <w:tblGrid>
        <w:gridCol w:w="2039"/>
        <w:gridCol w:w="1059"/>
        <w:gridCol w:w="1058"/>
        <w:gridCol w:w="1058"/>
        <w:gridCol w:w="1058"/>
        <w:gridCol w:w="1058"/>
        <w:gridCol w:w="1191"/>
      </w:tblGrid>
      <w:tr w:rsidR="007F6723" w14:paraId="075C0762" w14:textId="77777777" w:rsidTr="00181CF8">
        <w:trPr>
          <w:tblHeader/>
        </w:trPr>
        <w:tc>
          <w:tcPr>
            <w:tcW w:w="1196" w:type="pct"/>
          </w:tcPr>
          <w:p w14:paraId="0645DAE0" w14:textId="77777777" w:rsidR="007F6723" w:rsidRDefault="007F6723" w:rsidP="00181CF8">
            <w:pPr>
              <w:pStyle w:val="Tabletextboldleft"/>
              <w:jc w:val="right"/>
            </w:pPr>
          </w:p>
        </w:tc>
        <w:tc>
          <w:tcPr>
            <w:tcW w:w="621" w:type="pct"/>
          </w:tcPr>
          <w:p w14:paraId="40EA70DB" w14:textId="77777777" w:rsidR="007F6723" w:rsidRDefault="007F6723" w:rsidP="00181CF8">
            <w:pPr>
              <w:pStyle w:val="Tabletextboldleft"/>
              <w:jc w:val="right"/>
            </w:pPr>
            <w:r>
              <w:t>2015</w:t>
            </w:r>
          </w:p>
        </w:tc>
        <w:tc>
          <w:tcPr>
            <w:tcW w:w="621" w:type="pct"/>
          </w:tcPr>
          <w:p w14:paraId="7CF86536" w14:textId="77777777" w:rsidR="007F6723" w:rsidRDefault="007F6723" w:rsidP="00181CF8">
            <w:pPr>
              <w:pStyle w:val="Tabletextboldleft"/>
              <w:jc w:val="right"/>
            </w:pPr>
            <w:r>
              <w:t>2016</w:t>
            </w:r>
          </w:p>
        </w:tc>
        <w:tc>
          <w:tcPr>
            <w:tcW w:w="621" w:type="pct"/>
          </w:tcPr>
          <w:p w14:paraId="604FB8C8" w14:textId="77777777" w:rsidR="007F6723" w:rsidRDefault="007F6723" w:rsidP="00181CF8">
            <w:pPr>
              <w:pStyle w:val="Tabletextboldleft"/>
              <w:jc w:val="right"/>
            </w:pPr>
            <w:r>
              <w:t>2017</w:t>
            </w:r>
          </w:p>
        </w:tc>
        <w:tc>
          <w:tcPr>
            <w:tcW w:w="621" w:type="pct"/>
          </w:tcPr>
          <w:p w14:paraId="6D70CDB6" w14:textId="77777777" w:rsidR="007F6723" w:rsidRDefault="007F6723" w:rsidP="00181CF8">
            <w:pPr>
              <w:pStyle w:val="Tabletextboldleft"/>
              <w:jc w:val="right"/>
            </w:pPr>
            <w:r>
              <w:t>2018</w:t>
            </w:r>
          </w:p>
        </w:tc>
        <w:tc>
          <w:tcPr>
            <w:tcW w:w="621" w:type="pct"/>
          </w:tcPr>
          <w:p w14:paraId="1B909F07" w14:textId="77777777" w:rsidR="007F6723" w:rsidRDefault="007F6723" w:rsidP="00181CF8">
            <w:pPr>
              <w:pStyle w:val="Tabletextboldleft"/>
              <w:jc w:val="right"/>
            </w:pPr>
            <w:r>
              <w:t>2019</w:t>
            </w:r>
          </w:p>
        </w:tc>
        <w:tc>
          <w:tcPr>
            <w:tcW w:w="699" w:type="pct"/>
          </w:tcPr>
          <w:p w14:paraId="16319634" w14:textId="77777777" w:rsidR="007F6723" w:rsidRDefault="007F6723" w:rsidP="00181CF8">
            <w:pPr>
              <w:pStyle w:val="Tabletextboldleft"/>
              <w:jc w:val="right"/>
            </w:pPr>
            <w:r>
              <w:t>Reference</w:t>
            </w:r>
          </w:p>
        </w:tc>
      </w:tr>
      <w:tr w:rsidR="007F6723" w14:paraId="2B076AF9" w14:textId="77777777" w:rsidTr="00181CF8">
        <w:tc>
          <w:tcPr>
            <w:tcW w:w="1196" w:type="pct"/>
          </w:tcPr>
          <w:p w14:paraId="709400CF" w14:textId="77777777" w:rsidR="007F6723" w:rsidRPr="004D057E" w:rsidRDefault="007F6723" w:rsidP="00181CF8">
            <w:pPr>
              <w:pStyle w:val="Tabletextcentred"/>
              <w:keepNext/>
              <w:jc w:val="left"/>
            </w:pPr>
            <w:r>
              <w:t>Net impact to the MBS</w:t>
            </w:r>
          </w:p>
        </w:tc>
        <w:tc>
          <w:tcPr>
            <w:tcW w:w="621" w:type="pct"/>
          </w:tcPr>
          <w:p w14:paraId="78EFE69A" w14:textId="77777777" w:rsidR="007F6723" w:rsidRPr="00E52FAD" w:rsidRDefault="007F6723" w:rsidP="00181CF8">
            <w:pPr>
              <w:pStyle w:val="Tabletextcentred"/>
              <w:keepNext/>
              <w:jc w:val="right"/>
              <w:rPr>
                <w:highlight w:val="yellow"/>
              </w:rPr>
            </w:pPr>
            <w:r w:rsidRPr="00317821">
              <w:t>$62,133</w:t>
            </w:r>
          </w:p>
        </w:tc>
        <w:tc>
          <w:tcPr>
            <w:tcW w:w="621" w:type="pct"/>
          </w:tcPr>
          <w:p w14:paraId="266EA73F" w14:textId="77777777" w:rsidR="007F6723" w:rsidRPr="00E52FAD" w:rsidRDefault="007F6723" w:rsidP="00181CF8">
            <w:pPr>
              <w:pStyle w:val="Tabletextcentred"/>
              <w:keepNext/>
              <w:jc w:val="right"/>
              <w:rPr>
                <w:highlight w:val="yellow"/>
              </w:rPr>
            </w:pPr>
            <w:r w:rsidRPr="00317821">
              <w:t>$166,066</w:t>
            </w:r>
          </w:p>
        </w:tc>
        <w:tc>
          <w:tcPr>
            <w:tcW w:w="621" w:type="pct"/>
          </w:tcPr>
          <w:p w14:paraId="7E12D4C1" w14:textId="77777777" w:rsidR="007F6723" w:rsidRPr="00E52FAD" w:rsidRDefault="007F6723" w:rsidP="00181CF8">
            <w:pPr>
              <w:pStyle w:val="Tabletextcentred"/>
              <w:keepNext/>
              <w:jc w:val="right"/>
              <w:rPr>
                <w:highlight w:val="yellow"/>
              </w:rPr>
            </w:pPr>
            <w:r w:rsidRPr="00317821">
              <w:t>$279,999</w:t>
            </w:r>
          </w:p>
        </w:tc>
        <w:tc>
          <w:tcPr>
            <w:tcW w:w="621" w:type="pct"/>
          </w:tcPr>
          <w:p w14:paraId="3378EB26" w14:textId="77777777" w:rsidR="007F6723" w:rsidRPr="00E52FAD" w:rsidRDefault="007F6723" w:rsidP="00181CF8">
            <w:pPr>
              <w:pStyle w:val="Tabletextcentred"/>
              <w:keepNext/>
              <w:jc w:val="right"/>
              <w:rPr>
                <w:highlight w:val="yellow"/>
              </w:rPr>
            </w:pPr>
            <w:r w:rsidRPr="00317821">
              <w:t>$401,112</w:t>
            </w:r>
          </w:p>
        </w:tc>
        <w:tc>
          <w:tcPr>
            <w:tcW w:w="621" w:type="pct"/>
          </w:tcPr>
          <w:p w14:paraId="40E1CE2C" w14:textId="77777777" w:rsidR="007F6723" w:rsidRPr="00E52FAD" w:rsidRDefault="007F6723" w:rsidP="00181CF8">
            <w:pPr>
              <w:pStyle w:val="Tabletextcentred"/>
              <w:keepNext/>
              <w:jc w:val="right"/>
              <w:rPr>
                <w:highlight w:val="yellow"/>
              </w:rPr>
            </w:pPr>
            <w:r w:rsidRPr="00317821">
              <w:t>$509,370</w:t>
            </w:r>
          </w:p>
        </w:tc>
        <w:tc>
          <w:tcPr>
            <w:tcW w:w="699" w:type="pct"/>
          </w:tcPr>
          <w:p w14:paraId="31AF3EC2" w14:textId="77777777" w:rsidR="007F6723" w:rsidRDefault="007F6723" w:rsidP="00181CF8">
            <w:pPr>
              <w:pStyle w:val="Tabletextcentred"/>
              <w:keepNext/>
              <w:jc w:val="right"/>
            </w:pPr>
            <w:r>
              <w:fldChar w:fldCharType="begin"/>
            </w:r>
            <w:r>
              <w:instrText xml:space="preserve"> REF _Ref279766055 \h </w:instrText>
            </w:r>
            <w:r>
              <w:fldChar w:fldCharType="separate"/>
            </w:r>
            <w:r w:rsidR="00C67698">
              <w:t xml:space="preserve">Table </w:t>
            </w:r>
            <w:r w:rsidR="00C67698">
              <w:rPr>
                <w:noProof/>
              </w:rPr>
              <w:t>E.4</w:t>
            </w:r>
            <w:r w:rsidR="00C67698">
              <w:noBreakHyphen/>
            </w:r>
            <w:r w:rsidR="00C67698">
              <w:rPr>
                <w:noProof/>
              </w:rPr>
              <w:t>1</w:t>
            </w:r>
            <w:r>
              <w:fldChar w:fldCharType="end"/>
            </w:r>
          </w:p>
        </w:tc>
      </w:tr>
      <w:tr w:rsidR="007F6723" w14:paraId="7FC7092D" w14:textId="77777777" w:rsidTr="00181CF8">
        <w:tc>
          <w:tcPr>
            <w:tcW w:w="1196" w:type="pct"/>
          </w:tcPr>
          <w:p w14:paraId="569FABC5" w14:textId="77777777" w:rsidR="007F6723" w:rsidRDefault="007F6723" w:rsidP="00181CF8">
            <w:pPr>
              <w:pStyle w:val="Tabletextcentred"/>
              <w:keepNext/>
              <w:jc w:val="left"/>
            </w:pPr>
            <w:r>
              <w:t>Net impact to the PBS</w:t>
            </w:r>
          </w:p>
        </w:tc>
        <w:tc>
          <w:tcPr>
            <w:tcW w:w="621" w:type="pct"/>
          </w:tcPr>
          <w:p w14:paraId="468D9230" w14:textId="77777777" w:rsidR="007F6723" w:rsidRDefault="007F6723" w:rsidP="00181CF8">
            <w:pPr>
              <w:pStyle w:val="Tabletextcentred"/>
              <w:keepNext/>
              <w:jc w:val="right"/>
            </w:pPr>
            <w:r w:rsidRPr="009E0014">
              <w:t>$4,111</w:t>
            </w:r>
          </w:p>
        </w:tc>
        <w:tc>
          <w:tcPr>
            <w:tcW w:w="621" w:type="pct"/>
          </w:tcPr>
          <w:p w14:paraId="402E0B50" w14:textId="77777777" w:rsidR="007F6723" w:rsidRDefault="007F6723" w:rsidP="00181CF8">
            <w:pPr>
              <w:pStyle w:val="Tabletextcentred"/>
              <w:keepNext/>
              <w:jc w:val="right"/>
            </w:pPr>
            <w:r w:rsidRPr="009E0014">
              <w:t>$9,337</w:t>
            </w:r>
          </w:p>
        </w:tc>
        <w:tc>
          <w:tcPr>
            <w:tcW w:w="621" w:type="pct"/>
          </w:tcPr>
          <w:p w14:paraId="4174C7AA" w14:textId="77777777" w:rsidR="007F6723" w:rsidRDefault="007F6723" w:rsidP="00181CF8">
            <w:pPr>
              <w:pStyle w:val="Tabletextcentred"/>
              <w:keepNext/>
              <w:jc w:val="right"/>
            </w:pPr>
            <w:r w:rsidRPr="009E0014">
              <w:t>$15,064</w:t>
            </w:r>
          </w:p>
        </w:tc>
        <w:tc>
          <w:tcPr>
            <w:tcW w:w="621" w:type="pct"/>
          </w:tcPr>
          <w:p w14:paraId="381CA92A" w14:textId="77777777" w:rsidR="007F6723" w:rsidRDefault="007F6723" w:rsidP="00181CF8">
            <w:pPr>
              <w:pStyle w:val="Tabletextcentred"/>
              <w:keepNext/>
              <w:jc w:val="right"/>
            </w:pPr>
            <w:r w:rsidRPr="009E0014">
              <w:t>$21,141</w:t>
            </w:r>
          </w:p>
        </w:tc>
        <w:tc>
          <w:tcPr>
            <w:tcW w:w="621" w:type="pct"/>
          </w:tcPr>
          <w:p w14:paraId="3E927305" w14:textId="77777777" w:rsidR="007F6723" w:rsidRDefault="007F6723" w:rsidP="00181CF8">
            <w:pPr>
              <w:pStyle w:val="Tabletextcentred"/>
              <w:keepNext/>
              <w:jc w:val="right"/>
            </w:pPr>
            <w:r w:rsidRPr="009E0014">
              <w:t>$26,181</w:t>
            </w:r>
          </w:p>
        </w:tc>
        <w:tc>
          <w:tcPr>
            <w:tcW w:w="699" w:type="pct"/>
          </w:tcPr>
          <w:p w14:paraId="13535A97" w14:textId="77777777" w:rsidR="007F6723" w:rsidRDefault="007F6723" w:rsidP="00181CF8">
            <w:pPr>
              <w:pStyle w:val="Tabletextcentred"/>
              <w:keepNext/>
              <w:jc w:val="right"/>
            </w:pPr>
            <w:r>
              <w:fldChar w:fldCharType="begin"/>
            </w:r>
            <w:r>
              <w:instrText xml:space="preserve"> REF _Ref279831380 \h </w:instrText>
            </w:r>
            <w:r>
              <w:fldChar w:fldCharType="separate"/>
            </w:r>
            <w:r w:rsidR="00C67698">
              <w:t xml:space="preserve">Table </w:t>
            </w:r>
            <w:r w:rsidR="00C67698">
              <w:rPr>
                <w:noProof/>
              </w:rPr>
              <w:t>E.5</w:t>
            </w:r>
            <w:r w:rsidR="00C67698">
              <w:noBreakHyphen/>
            </w:r>
            <w:r w:rsidR="00C67698">
              <w:rPr>
                <w:noProof/>
              </w:rPr>
              <w:t>2</w:t>
            </w:r>
            <w:r>
              <w:fldChar w:fldCharType="end"/>
            </w:r>
          </w:p>
        </w:tc>
      </w:tr>
      <w:tr w:rsidR="007F6723" w14:paraId="53E77412" w14:textId="77777777" w:rsidTr="00181CF8">
        <w:tc>
          <w:tcPr>
            <w:tcW w:w="1196" w:type="pct"/>
          </w:tcPr>
          <w:p w14:paraId="11B7F7A4" w14:textId="77777777" w:rsidR="007F6723" w:rsidRDefault="007F6723" w:rsidP="00181CF8">
            <w:pPr>
              <w:pStyle w:val="Tabletextcentred"/>
              <w:keepNext/>
              <w:jc w:val="left"/>
            </w:pPr>
            <w:r>
              <w:t>Total net impact</w:t>
            </w:r>
          </w:p>
        </w:tc>
        <w:tc>
          <w:tcPr>
            <w:tcW w:w="621" w:type="pct"/>
          </w:tcPr>
          <w:p w14:paraId="59A3FE75" w14:textId="77777777" w:rsidR="007F6723" w:rsidRPr="00E52FAD" w:rsidRDefault="007F6723" w:rsidP="00181CF8">
            <w:pPr>
              <w:pStyle w:val="Tabletextcentred"/>
              <w:keepNext/>
              <w:jc w:val="right"/>
              <w:rPr>
                <w:highlight w:val="yellow"/>
              </w:rPr>
            </w:pPr>
            <w:r w:rsidRPr="00E277A3">
              <w:t>$66,244</w:t>
            </w:r>
          </w:p>
        </w:tc>
        <w:tc>
          <w:tcPr>
            <w:tcW w:w="621" w:type="pct"/>
          </w:tcPr>
          <w:p w14:paraId="0365AAF8" w14:textId="77777777" w:rsidR="007F6723" w:rsidRPr="00E52FAD" w:rsidRDefault="007F6723" w:rsidP="00181CF8">
            <w:pPr>
              <w:pStyle w:val="Tabletextcentred"/>
              <w:keepNext/>
              <w:jc w:val="right"/>
              <w:rPr>
                <w:highlight w:val="yellow"/>
              </w:rPr>
            </w:pPr>
            <w:r w:rsidRPr="00E277A3">
              <w:t>$175,403</w:t>
            </w:r>
          </w:p>
        </w:tc>
        <w:tc>
          <w:tcPr>
            <w:tcW w:w="621" w:type="pct"/>
          </w:tcPr>
          <w:p w14:paraId="6E5CA51D" w14:textId="77777777" w:rsidR="007F6723" w:rsidRPr="00E52FAD" w:rsidRDefault="007F6723" w:rsidP="00181CF8">
            <w:pPr>
              <w:pStyle w:val="Tabletextcentred"/>
              <w:keepNext/>
              <w:jc w:val="right"/>
              <w:rPr>
                <w:highlight w:val="yellow"/>
              </w:rPr>
            </w:pPr>
            <w:r w:rsidRPr="00E277A3">
              <w:t>$295,062</w:t>
            </w:r>
          </w:p>
        </w:tc>
        <w:tc>
          <w:tcPr>
            <w:tcW w:w="621" w:type="pct"/>
          </w:tcPr>
          <w:p w14:paraId="73372C23" w14:textId="77777777" w:rsidR="007F6723" w:rsidRPr="00E52FAD" w:rsidRDefault="007F6723" w:rsidP="00181CF8">
            <w:pPr>
              <w:pStyle w:val="Tabletextcentred"/>
              <w:keepNext/>
              <w:jc w:val="right"/>
              <w:rPr>
                <w:highlight w:val="yellow"/>
              </w:rPr>
            </w:pPr>
            <w:r w:rsidRPr="00E277A3">
              <w:t>$422,252</w:t>
            </w:r>
          </w:p>
        </w:tc>
        <w:tc>
          <w:tcPr>
            <w:tcW w:w="621" w:type="pct"/>
          </w:tcPr>
          <w:p w14:paraId="26A53C6B" w14:textId="77777777" w:rsidR="007F6723" w:rsidRPr="00E52FAD" w:rsidRDefault="007F6723" w:rsidP="00181CF8">
            <w:pPr>
              <w:pStyle w:val="Tabletextcentred"/>
              <w:keepNext/>
              <w:jc w:val="right"/>
              <w:rPr>
                <w:highlight w:val="yellow"/>
              </w:rPr>
            </w:pPr>
            <w:r w:rsidRPr="00E277A3">
              <w:t>$535,550</w:t>
            </w:r>
          </w:p>
        </w:tc>
        <w:tc>
          <w:tcPr>
            <w:tcW w:w="699" w:type="pct"/>
          </w:tcPr>
          <w:p w14:paraId="2C0B9888" w14:textId="77777777" w:rsidR="007F6723" w:rsidRDefault="007F6723" w:rsidP="00181CF8">
            <w:pPr>
              <w:pStyle w:val="Tabletextcentred"/>
              <w:keepNext/>
              <w:jc w:val="right"/>
            </w:pPr>
            <w:r>
              <w:t>Calculated</w:t>
            </w:r>
          </w:p>
        </w:tc>
      </w:tr>
    </w:tbl>
    <w:p w14:paraId="715CA822" w14:textId="77777777" w:rsidR="007F6723" w:rsidRDefault="007F6723" w:rsidP="007F6723">
      <w:pPr>
        <w:pStyle w:val="Tablefootnotes"/>
      </w:pPr>
      <w:r w:rsidRPr="00F94D4D">
        <w:t>Abbreviations</w:t>
      </w:r>
      <w:r>
        <w:t>: MBS, Medicare Benefits Schedule; PBS, Pharmaceutical Benefits Schedule</w:t>
      </w:r>
    </w:p>
    <w:p w14:paraId="0AAB1924" w14:textId="77777777" w:rsidR="007F6723" w:rsidRDefault="007F6723" w:rsidP="007F6723">
      <w:pPr>
        <w:pStyle w:val="Heading2"/>
      </w:pPr>
      <w:bookmarkStart w:id="334" w:name="_Toc406172448"/>
      <w:bookmarkStart w:id="335" w:name="_Toc408845192"/>
      <w:r>
        <w:t>Identification, estimation and reduction of uncertainty</w:t>
      </w:r>
      <w:bookmarkEnd w:id="334"/>
      <w:bookmarkEnd w:id="335"/>
    </w:p>
    <w:p w14:paraId="60F0260F" w14:textId="3A3DCFE3" w:rsidR="007F6723" w:rsidRDefault="007F6723" w:rsidP="007F6723">
      <w:r>
        <w:t xml:space="preserve">A series of one-way sensitivity analyses on the financial impact of a positive listing for FDG-PET in the detection of AD are reported in </w:t>
      </w:r>
      <w:r>
        <w:fldChar w:fldCharType="begin"/>
      </w:r>
      <w:r>
        <w:instrText xml:space="preserve"> REF _Ref279936124 \h </w:instrText>
      </w:r>
      <w:r>
        <w:fldChar w:fldCharType="separate"/>
      </w:r>
      <w:r w:rsidR="00C67698">
        <w:t xml:space="preserve">Table </w:t>
      </w:r>
      <w:r w:rsidR="00C67698">
        <w:rPr>
          <w:noProof/>
        </w:rPr>
        <w:t>E.6</w:t>
      </w:r>
      <w:r w:rsidR="00C67698">
        <w:noBreakHyphen/>
      </w:r>
      <w:r w:rsidR="00C67698">
        <w:rPr>
          <w:noProof/>
        </w:rPr>
        <w:t>1</w:t>
      </w:r>
      <w:r>
        <w:fldChar w:fldCharType="end"/>
      </w:r>
      <w:r>
        <w:t xml:space="preserve">. Note that since the additional cost to the PBS plays such a small </w:t>
      </w:r>
      <w:r w:rsidR="0071474E">
        <w:t>role in the estimates of total G</w:t>
      </w:r>
      <w:r>
        <w:t>overnment costs due to a listing of FDG-PET on the MBS, the sensitivity analyses focus</w:t>
      </w:r>
      <w:r w:rsidR="00D25339">
        <w:t>ed</w:t>
      </w:r>
      <w:r>
        <w:t xml:space="preserve"> on the number of individuals tested in the event of a positive listing. This represents the greatest source of uncertainty and the most likely source of differences from </w:t>
      </w:r>
      <w:r w:rsidR="00A12F21">
        <w:t>that</w:t>
      </w:r>
      <w:r>
        <w:t xml:space="preserve"> reported in the base case.</w:t>
      </w:r>
    </w:p>
    <w:p w14:paraId="77F0FF30" w14:textId="2E7CDBCD" w:rsidR="007F6723" w:rsidRDefault="007F6723" w:rsidP="007F6723">
      <w:pPr>
        <w:pStyle w:val="Caption"/>
      </w:pPr>
      <w:bookmarkStart w:id="336" w:name="_Ref279936124"/>
      <w:bookmarkStart w:id="337" w:name="_Toc406172512"/>
      <w:bookmarkStart w:id="338" w:name="_Toc408845267"/>
      <w:r>
        <w:lastRenderedPageBreak/>
        <w:t xml:space="preserve">Table </w:t>
      </w:r>
      <w:fldSimple w:instr=" STYLEREF 2 \s ">
        <w:r w:rsidR="00C67698">
          <w:rPr>
            <w:noProof/>
          </w:rPr>
          <w:t>E.6</w:t>
        </w:r>
      </w:fldSimple>
      <w:r w:rsidR="00524916">
        <w:noBreakHyphen/>
      </w:r>
      <w:fldSimple w:instr=" SEQ Table \* ARABIC \s 2 ">
        <w:r w:rsidR="00C67698">
          <w:rPr>
            <w:noProof/>
          </w:rPr>
          <w:t>1</w:t>
        </w:r>
      </w:fldSimple>
      <w:bookmarkEnd w:id="336"/>
      <w:r>
        <w:tab/>
        <w:t>Sensitivity analyses of t</w:t>
      </w:r>
      <w:r w:rsidR="0071474E">
        <w:t>he net financial impact to the G</w:t>
      </w:r>
      <w:r>
        <w:t>overnment health budget</w:t>
      </w:r>
      <w:bookmarkEnd w:id="337"/>
      <w:bookmarkEnd w:id="338"/>
    </w:p>
    <w:tbl>
      <w:tblPr>
        <w:tblStyle w:val="TableGrid"/>
        <w:tblW w:w="4610" w:type="pct"/>
        <w:tblInd w:w="704" w:type="dxa"/>
        <w:tblLayout w:type="fixed"/>
        <w:tblLook w:val="04A0" w:firstRow="1" w:lastRow="0" w:firstColumn="1" w:lastColumn="0" w:noHBand="0" w:noVBand="1"/>
        <w:tblCaption w:val="Sensitivity analyses of the net financial impact of a positive listing for FDG-PET"/>
        <w:tblDescription w:val="Sensitivity analyses with various estimates of incidence, substitution from SPECT to FDG-PET, and additional use of FDG-PET relative to SPECT."/>
      </w:tblPr>
      <w:tblGrid>
        <w:gridCol w:w="3053"/>
        <w:gridCol w:w="1094"/>
        <w:gridCol w:w="1094"/>
        <w:gridCol w:w="1094"/>
        <w:gridCol w:w="1094"/>
        <w:gridCol w:w="1092"/>
      </w:tblGrid>
      <w:tr w:rsidR="00A12F21" w14:paraId="5EA2915F" w14:textId="77777777" w:rsidTr="00A12F21">
        <w:trPr>
          <w:tblHeader/>
        </w:trPr>
        <w:tc>
          <w:tcPr>
            <w:tcW w:w="1791" w:type="pct"/>
          </w:tcPr>
          <w:p w14:paraId="737ACA4C" w14:textId="77777777" w:rsidR="007F6723" w:rsidRDefault="007F6723" w:rsidP="00181CF8">
            <w:pPr>
              <w:pStyle w:val="Tabletextboldleft"/>
              <w:jc w:val="right"/>
            </w:pPr>
          </w:p>
        </w:tc>
        <w:tc>
          <w:tcPr>
            <w:tcW w:w="642" w:type="pct"/>
          </w:tcPr>
          <w:p w14:paraId="48AFBB2C" w14:textId="77777777" w:rsidR="007F6723" w:rsidRDefault="007F6723" w:rsidP="00181CF8">
            <w:pPr>
              <w:pStyle w:val="Tabletextboldleft"/>
              <w:jc w:val="right"/>
            </w:pPr>
            <w:r>
              <w:t>2015</w:t>
            </w:r>
          </w:p>
        </w:tc>
        <w:tc>
          <w:tcPr>
            <w:tcW w:w="642" w:type="pct"/>
          </w:tcPr>
          <w:p w14:paraId="18AC60AD" w14:textId="77777777" w:rsidR="007F6723" w:rsidRDefault="007F6723" w:rsidP="00181CF8">
            <w:pPr>
              <w:pStyle w:val="Tabletextboldleft"/>
              <w:jc w:val="right"/>
            </w:pPr>
            <w:r>
              <w:t>2016</w:t>
            </w:r>
          </w:p>
        </w:tc>
        <w:tc>
          <w:tcPr>
            <w:tcW w:w="642" w:type="pct"/>
          </w:tcPr>
          <w:p w14:paraId="28059096" w14:textId="77777777" w:rsidR="007F6723" w:rsidRDefault="007F6723" w:rsidP="00181CF8">
            <w:pPr>
              <w:pStyle w:val="Tabletextboldleft"/>
              <w:jc w:val="right"/>
            </w:pPr>
            <w:r>
              <w:t>2017</w:t>
            </w:r>
          </w:p>
        </w:tc>
        <w:tc>
          <w:tcPr>
            <w:tcW w:w="642" w:type="pct"/>
          </w:tcPr>
          <w:p w14:paraId="788885C2" w14:textId="77777777" w:rsidR="007F6723" w:rsidRDefault="007F6723" w:rsidP="00181CF8">
            <w:pPr>
              <w:pStyle w:val="Tabletextboldleft"/>
              <w:jc w:val="right"/>
            </w:pPr>
            <w:r>
              <w:t>2018</w:t>
            </w:r>
          </w:p>
        </w:tc>
        <w:tc>
          <w:tcPr>
            <w:tcW w:w="642" w:type="pct"/>
          </w:tcPr>
          <w:p w14:paraId="28805751" w14:textId="77777777" w:rsidR="007F6723" w:rsidRDefault="007F6723" w:rsidP="00181CF8">
            <w:pPr>
              <w:pStyle w:val="Tabletextboldleft"/>
              <w:jc w:val="right"/>
            </w:pPr>
            <w:r>
              <w:t>2019</w:t>
            </w:r>
          </w:p>
        </w:tc>
      </w:tr>
      <w:tr w:rsidR="00A12F21" w14:paraId="56A741CC" w14:textId="77777777" w:rsidTr="00A12F21">
        <w:tc>
          <w:tcPr>
            <w:tcW w:w="1791" w:type="pct"/>
          </w:tcPr>
          <w:p w14:paraId="1DAFC646" w14:textId="77777777" w:rsidR="007F6723" w:rsidRPr="000A6A91" w:rsidRDefault="007F6723" w:rsidP="00181CF8">
            <w:pPr>
              <w:pStyle w:val="Tabletextcentred"/>
              <w:keepNext/>
              <w:jc w:val="left"/>
              <w:rPr>
                <w:i/>
              </w:rPr>
            </w:pPr>
            <w:r w:rsidRPr="000A6A91">
              <w:rPr>
                <w:i/>
              </w:rPr>
              <w:t>Base case analysis</w:t>
            </w:r>
          </w:p>
        </w:tc>
        <w:tc>
          <w:tcPr>
            <w:tcW w:w="642" w:type="pct"/>
          </w:tcPr>
          <w:p w14:paraId="7B564052" w14:textId="77777777" w:rsidR="007F6723" w:rsidRPr="00D850F5" w:rsidRDefault="007F6723" w:rsidP="00181CF8">
            <w:pPr>
              <w:pStyle w:val="Tabletextcentred"/>
              <w:keepNext/>
              <w:jc w:val="right"/>
              <w:rPr>
                <w:i/>
              </w:rPr>
            </w:pPr>
            <w:r w:rsidRPr="00D850F5">
              <w:rPr>
                <w:i/>
              </w:rPr>
              <w:t>$66,244</w:t>
            </w:r>
          </w:p>
        </w:tc>
        <w:tc>
          <w:tcPr>
            <w:tcW w:w="642" w:type="pct"/>
          </w:tcPr>
          <w:p w14:paraId="36EE8246" w14:textId="77777777" w:rsidR="007F6723" w:rsidRPr="00D850F5" w:rsidRDefault="007F6723" w:rsidP="00181CF8">
            <w:pPr>
              <w:pStyle w:val="Tabletextcentred"/>
              <w:keepNext/>
              <w:jc w:val="right"/>
              <w:rPr>
                <w:i/>
              </w:rPr>
            </w:pPr>
            <w:r w:rsidRPr="00D850F5">
              <w:rPr>
                <w:i/>
              </w:rPr>
              <w:t>$175,403</w:t>
            </w:r>
          </w:p>
        </w:tc>
        <w:tc>
          <w:tcPr>
            <w:tcW w:w="642" w:type="pct"/>
          </w:tcPr>
          <w:p w14:paraId="77089443" w14:textId="77777777" w:rsidR="007F6723" w:rsidRPr="00D850F5" w:rsidRDefault="007F6723" w:rsidP="00181CF8">
            <w:pPr>
              <w:pStyle w:val="Tabletextcentred"/>
              <w:keepNext/>
              <w:jc w:val="right"/>
              <w:rPr>
                <w:i/>
              </w:rPr>
            </w:pPr>
            <w:r w:rsidRPr="00D850F5">
              <w:rPr>
                <w:i/>
              </w:rPr>
              <w:t>$295,062</w:t>
            </w:r>
          </w:p>
        </w:tc>
        <w:tc>
          <w:tcPr>
            <w:tcW w:w="642" w:type="pct"/>
          </w:tcPr>
          <w:p w14:paraId="1F2CD091" w14:textId="77777777" w:rsidR="007F6723" w:rsidRPr="00D850F5" w:rsidRDefault="007F6723" w:rsidP="00181CF8">
            <w:pPr>
              <w:pStyle w:val="Tabletextcentred"/>
              <w:keepNext/>
              <w:jc w:val="right"/>
              <w:rPr>
                <w:i/>
              </w:rPr>
            </w:pPr>
            <w:r w:rsidRPr="00D850F5">
              <w:rPr>
                <w:i/>
              </w:rPr>
              <w:t>$422,252</w:t>
            </w:r>
          </w:p>
        </w:tc>
        <w:tc>
          <w:tcPr>
            <w:tcW w:w="642" w:type="pct"/>
          </w:tcPr>
          <w:p w14:paraId="154A18D4" w14:textId="77777777" w:rsidR="007F6723" w:rsidRPr="00D850F5" w:rsidRDefault="007F6723" w:rsidP="00181CF8">
            <w:pPr>
              <w:pStyle w:val="Tabletextcentred"/>
              <w:keepNext/>
              <w:jc w:val="right"/>
              <w:rPr>
                <w:i/>
              </w:rPr>
            </w:pPr>
            <w:r w:rsidRPr="00D850F5">
              <w:rPr>
                <w:i/>
              </w:rPr>
              <w:t>$535,550</w:t>
            </w:r>
          </w:p>
        </w:tc>
      </w:tr>
      <w:tr w:rsidR="00A12F21" w14:paraId="2755CD13" w14:textId="77777777" w:rsidTr="00A12F21">
        <w:tc>
          <w:tcPr>
            <w:tcW w:w="1791" w:type="pct"/>
          </w:tcPr>
          <w:p w14:paraId="69942592" w14:textId="27BDCDEF" w:rsidR="007F6723" w:rsidRDefault="007F6723" w:rsidP="00181CF8">
            <w:pPr>
              <w:pStyle w:val="Tabletextcentred"/>
              <w:keepNext/>
              <w:jc w:val="left"/>
            </w:pPr>
            <w:r>
              <w:t>Low</w:t>
            </w:r>
            <w:r w:rsidR="00617B67">
              <w:t xml:space="preserve"> </w:t>
            </w:r>
            <w:r>
              <w:t>case projection of dementia incidence data from Access Economics (2009)</w:t>
            </w:r>
          </w:p>
        </w:tc>
        <w:tc>
          <w:tcPr>
            <w:tcW w:w="642" w:type="pct"/>
          </w:tcPr>
          <w:p w14:paraId="7372328B" w14:textId="77777777" w:rsidR="007F6723" w:rsidRPr="00B365B5" w:rsidRDefault="007F6723" w:rsidP="00181CF8">
            <w:pPr>
              <w:pStyle w:val="Tabletextcentred"/>
              <w:keepNext/>
              <w:jc w:val="right"/>
            </w:pPr>
            <w:r w:rsidRPr="00B365B5">
              <w:t>$65,386</w:t>
            </w:r>
          </w:p>
        </w:tc>
        <w:tc>
          <w:tcPr>
            <w:tcW w:w="642" w:type="pct"/>
          </w:tcPr>
          <w:p w14:paraId="7F09FCE6" w14:textId="77777777" w:rsidR="007F6723" w:rsidRPr="00B365B5" w:rsidRDefault="007F6723" w:rsidP="00181CF8">
            <w:pPr>
              <w:pStyle w:val="Tabletextcentred"/>
              <w:keepNext/>
              <w:jc w:val="right"/>
            </w:pPr>
            <w:r w:rsidRPr="00B365B5">
              <w:t>$172,883</w:t>
            </w:r>
          </w:p>
        </w:tc>
        <w:tc>
          <w:tcPr>
            <w:tcW w:w="642" w:type="pct"/>
          </w:tcPr>
          <w:p w14:paraId="3D37EDE1" w14:textId="77777777" w:rsidR="007F6723" w:rsidRPr="00B365B5" w:rsidRDefault="007F6723" w:rsidP="00181CF8">
            <w:pPr>
              <w:pStyle w:val="Tabletextcentred"/>
              <w:keepNext/>
              <w:jc w:val="right"/>
            </w:pPr>
            <w:r w:rsidRPr="00B365B5">
              <w:t>$290,412</w:t>
            </w:r>
          </w:p>
        </w:tc>
        <w:tc>
          <w:tcPr>
            <w:tcW w:w="642" w:type="pct"/>
          </w:tcPr>
          <w:p w14:paraId="25ADA0FD" w14:textId="77777777" w:rsidR="007F6723" w:rsidRPr="00B365B5" w:rsidRDefault="007F6723" w:rsidP="00181CF8">
            <w:pPr>
              <w:pStyle w:val="Tabletextcentred"/>
              <w:keepNext/>
              <w:jc w:val="right"/>
            </w:pPr>
            <w:r w:rsidRPr="00B365B5">
              <w:t>$414,987</w:t>
            </w:r>
          </w:p>
        </w:tc>
        <w:tc>
          <w:tcPr>
            <w:tcW w:w="642" w:type="pct"/>
          </w:tcPr>
          <w:p w14:paraId="1105D1FF" w14:textId="77777777" w:rsidR="007F6723" w:rsidRPr="00B365B5" w:rsidRDefault="007F6723" w:rsidP="00181CF8">
            <w:pPr>
              <w:pStyle w:val="Tabletextcentred"/>
              <w:keepNext/>
              <w:jc w:val="right"/>
            </w:pPr>
            <w:r w:rsidRPr="00B365B5">
              <w:t>$525,584</w:t>
            </w:r>
          </w:p>
        </w:tc>
      </w:tr>
      <w:tr w:rsidR="00A12F21" w14:paraId="0146A251" w14:textId="77777777" w:rsidTr="00A12F21">
        <w:tc>
          <w:tcPr>
            <w:tcW w:w="1791" w:type="pct"/>
          </w:tcPr>
          <w:p w14:paraId="21A9168A" w14:textId="7E693C8C" w:rsidR="007F6723" w:rsidRDefault="007F6723" w:rsidP="00181CF8">
            <w:pPr>
              <w:pStyle w:val="Tabletextcentred"/>
              <w:keepNext/>
              <w:jc w:val="left"/>
            </w:pPr>
            <w:r>
              <w:t>High</w:t>
            </w:r>
            <w:r w:rsidR="00617B67">
              <w:t xml:space="preserve"> </w:t>
            </w:r>
            <w:r>
              <w:t>case projection of dementia incidence data from Access Economics (2009)</w:t>
            </w:r>
          </w:p>
        </w:tc>
        <w:tc>
          <w:tcPr>
            <w:tcW w:w="642" w:type="pct"/>
          </w:tcPr>
          <w:p w14:paraId="6ED26E4B" w14:textId="77777777" w:rsidR="007F6723" w:rsidRPr="00B365B5" w:rsidRDefault="007F6723" w:rsidP="00181CF8">
            <w:pPr>
              <w:pStyle w:val="Tabletextcentred"/>
              <w:keepNext/>
              <w:jc w:val="right"/>
            </w:pPr>
            <w:r w:rsidRPr="00B365B5">
              <w:t>$68,855</w:t>
            </w:r>
          </w:p>
        </w:tc>
        <w:tc>
          <w:tcPr>
            <w:tcW w:w="642" w:type="pct"/>
          </w:tcPr>
          <w:p w14:paraId="19DE1C00" w14:textId="77777777" w:rsidR="007F6723" w:rsidRPr="00B365B5" w:rsidRDefault="007F6723" w:rsidP="00181CF8">
            <w:pPr>
              <w:pStyle w:val="Tabletextcentred"/>
              <w:keepNext/>
              <w:jc w:val="right"/>
            </w:pPr>
            <w:r w:rsidRPr="00B365B5">
              <w:t>$182,918</w:t>
            </w:r>
          </w:p>
        </w:tc>
        <w:tc>
          <w:tcPr>
            <w:tcW w:w="642" w:type="pct"/>
          </w:tcPr>
          <w:p w14:paraId="78E4DD13" w14:textId="77777777" w:rsidR="007F6723" w:rsidRPr="00B365B5" w:rsidRDefault="007F6723" w:rsidP="00181CF8">
            <w:pPr>
              <w:pStyle w:val="Tabletextcentred"/>
              <w:keepNext/>
              <w:jc w:val="right"/>
            </w:pPr>
            <w:r w:rsidRPr="00B365B5">
              <w:t>$308,669</w:t>
            </w:r>
          </w:p>
        </w:tc>
        <w:tc>
          <w:tcPr>
            <w:tcW w:w="642" w:type="pct"/>
          </w:tcPr>
          <w:p w14:paraId="7F022121" w14:textId="77777777" w:rsidR="007F6723" w:rsidRPr="00B365B5" w:rsidRDefault="007F6723" w:rsidP="00181CF8">
            <w:pPr>
              <w:pStyle w:val="Tabletextcentred"/>
              <w:keepNext/>
              <w:jc w:val="right"/>
            </w:pPr>
            <w:r w:rsidRPr="00B365B5">
              <w:t>$442,493</w:t>
            </w:r>
          </w:p>
        </w:tc>
        <w:tc>
          <w:tcPr>
            <w:tcW w:w="642" w:type="pct"/>
          </w:tcPr>
          <w:p w14:paraId="0FBDD951" w14:textId="77777777" w:rsidR="007F6723" w:rsidRPr="00B365B5" w:rsidRDefault="007F6723" w:rsidP="00181CF8">
            <w:pPr>
              <w:pStyle w:val="Tabletextcentred"/>
              <w:keepNext/>
              <w:jc w:val="right"/>
            </w:pPr>
            <w:r w:rsidRPr="00B365B5">
              <w:t>$562,547</w:t>
            </w:r>
          </w:p>
        </w:tc>
      </w:tr>
      <w:tr w:rsidR="00A12F21" w14:paraId="4D4CDC2D" w14:textId="77777777" w:rsidTr="00A12F21">
        <w:tc>
          <w:tcPr>
            <w:tcW w:w="1791" w:type="pct"/>
          </w:tcPr>
          <w:p w14:paraId="0DCD9F26" w14:textId="77777777" w:rsidR="00A12F21" w:rsidRDefault="00A12F21" w:rsidP="00A12F21">
            <w:pPr>
              <w:pStyle w:val="Tabletextcentred"/>
              <w:keepNext/>
              <w:jc w:val="left"/>
            </w:pPr>
            <w:r>
              <w:t>Proportion of dementia incidence due to AD set to 50% (70% in the base case)</w:t>
            </w:r>
          </w:p>
        </w:tc>
        <w:tc>
          <w:tcPr>
            <w:tcW w:w="642" w:type="pct"/>
          </w:tcPr>
          <w:p w14:paraId="245F1E3E" w14:textId="0631DE4A" w:rsidR="00A12F21" w:rsidRPr="00B365B5" w:rsidRDefault="00A12F21" w:rsidP="00A12F21">
            <w:pPr>
              <w:pStyle w:val="Tabletextcentred"/>
              <w:keepNext/>
              <w:jc w:val="right"/>
            </w:pPr>
            <w:r w:rsidRPr="00B365B5">
              <w:t>$</w:t>
            </w:r>
            <w:r>
              <w:t>46,478</w:t>
            </w:r>
          </w:p>
        </w:tc>
        <w:tc>
          <w:tcPr>
            <w:tcW w:w="642" w:type="pct"/>
          </w:tcPr>
          <w:p w14:paraId="701800A8" w14:textId="49F95468" w:rsidR="00A12F21" w:rsidRPr="00B365B5" w:rsidRDefault="00A12F21" w:rsidP="00A12F21">
            <w:pPr>
              <w:pStyle w:val="Tabletextcentred"/>
              <w:keepNext/>
              <w:jc w:val="right"/>
            </w:pPr>
            <w:r w:rsidRPr="00B365B5">
              <w:t>$12</w:t>
            </w:r>
            <w:r>
              <w:t>3,382</w:t>
            </w:r>
          </w:p>
        </w:tc>
        <w:tc>
          <w:tcPr>
            <w:tcW w:w="642" w:type="pct"/>
          </w:tcPr>
          <w:p w14:paraId="63DE2434" w14:textId="7F21BECB" w:rsidR="00A12F21" w:rsidRPr="00B365B5" w:rsidRDefault="00A12F21" w:rsidP="00A12F21">
            <w:pPr>
              <w:pStyle w:val="Tabletextcentred"/>
              <w:keepNext/>
              <w:jc w:val="right"/>
            </w:pPr>
            <w:r w:rsidRPr="00B365B5">
              <w:t>$2</w:t>
            </w:r>
            <w:r>
              <w:t>07,684</w:t>
            </w:r>
          </w:p>
        </w:tc>
        <w:tc>
          <w:tcPr>
            <w:tcW w:w="642" w:type="pct"/>
          </w:tcPr>
          <w:p w14:paraId="5C1FC82A" w14:textId="6A01B8FC" w:rsidR="00A12F21" w:rsidRPr="00B365B5" w:rsidRDefault="00A12F21" w:rsidP="00A12F21">
            <w:pPr>
              <w:pStyle w:val="Tabletextcentred"/>
              <w:keepNext/>
              <w:jc w:val="right"/>
            </w:pPr>
            <w:r w:rsidRPr="00B365B5">
              <w:t>$</w:t>
            </w:r>
            <w:r>
              <w:t>297,294</w:t>
            </w:r>
          </w:p>
        </w:tc>
        <w:tc>
          <w:tcPr>
            <w:tcW w:w="642" w:type="pct"/>
          </w:tcPr>
          <w:p w14:paraId="4A4ED4F7" w14:textId="4CE09061" w:rsidR="00A12F21" w:rsidRPr="00B365B5" w:rsidRDefault="00A12F21" w:rsidP="00A12F21">
            <w:pPr>
              <w:pStyle w:val="Tabletextcentred"/>
              <w:keepNext/>
              <w:jc w:val="right"/>
            </w:pPr>
            <w:r w:rsidRPr="00B365B5">
              <w:t>$3</w:t>
            </w:r>
            <w:r>
              <w:t>77,193</w:t>
            </w:r>
          </w:p>
        </w:tc>
      </w:tr>
      <w:tr w:rsidR="00A12F21" w14:paraId="7977D9A8" w14:textId="77777777" w:rsidTr="00A12F21">
        <w:tc>
          <w:tcPr>
            <w:tcW w:w="1791" w:type="pct"/>
          </w:tcPr>
          <w:p w14:paraId="18A77906" w14:textId="77777777" w:rsidR="00A12F21" w:rsidRDefault="00A12F21" w:rsidP="00A12F21">
            <w:pPr>
              <w:pStyle w:val="Tabletextcentred"/>
              <w:keepNext/>
              <w:jc w:val="left"/>
            </w:pPr>
            <w:r>
              <w:t>Proportion of dementia incidence due to AD set to 75% (70% in the base case)</w:t>
            </w:r>
          </w:p>
        </w:tc>
        <w:tc>
          <w:tcPr>
            <w:tcW w:w="642" w:type="pct"/>
          </w:tcPr>
          <w:p w14:paraId="6BDAAA60" w14:textId="1CD426BD" w:rsidR="00A12F21" w:rsidRPr="00B365B5" w:rsidRDefault="00A12F21" w:rsidP="00A12F21">
            <w:pPr>
              <w:pStyle w:val="Tabletextcentred"/>
              <w:keepNext/>
              <w:jc w:val="right"/>
            </w:pPr>
            <w:r w:rsidRPr="00B365B5">
              <w:t>$7</w:t>
            </w:r>
            <w:r>
              <w:t>1,290</w:t>
            </w:r>
          </w:p>
        </w:tc>
        <w:tc>
          <w:tcPr>
            <w:tcW w:w="642" w:type="pct"/>
          </w:tcPr>
          <w:p w14:paraId="3EC724DA" w14:textId="308505F6" w:rsidR="00A12F21" w:rsidRPr="00B365B5" w:rsidRDefault="00A12F21" w:rsidP="00A12F21">
            <w:pPr>
              <w:pStyle w:val="Tabletextcentred"/>
              <w:keepNext/>
              <w:jc w:val="right"/>
            </w:pPr>
            <w:r w:rsidRPr="00B365B5">
              <w:t>$18</w:t>
            </w:r>
            <w:r>
              <w:t>8,646</w:t>
            </w:r>
          </w:p>
        </w:tc>
        <w:tc>
          <w:tcPr>
            <w:tcW w:w="642" w:type="pct"/>
          </w:tcPr>
          <w:p w14:paraId="78DDA253" w14:textId="62203113" w:rsidR="00A12F21" w:rsidRPr="00B365B5" w:rsidRDefault="00A12F21" w:rsidP="00A12F21">
            <w:pPr>
              <w:pStyle w:val="Tabletextcentred"/>
              <w:keepNext/>
              <w:jc w:val="right"/>
            </w:pPr>
            <w:r w:rsidRPr="00B365B5">
              <w:t>$31</w:t>
            </w:r>
            <w:r>
              <w:t>7,291</w:t>
            </w:r>
          </w:p>
        </w:tc>
        <w:tc>
          <w:tcPr>
            <w:tcW w:w="642" w:type="pct"/>
          </w:tcPr>
          <w:p w14:paraId="69A92FE7" w14:textId="26A4C0B1" w:rsidR="00A12F21" w:rsidRPr="00B365B5" w:rsidRDefault="00A12F21" w:rsidP="00A12F21">
            <w:pPr>
              <w:pStyle w:val="Tabletextcentred"/>
              <w:keepNext/>
              <w:jc w:val="right"/>
            </w:pPr>
            <w:r w:rsidRPr="00B365B5">
              <w:t>$45</w:t>
            </w:r>
            <w:r>
              <w:t>4,031</w:t>
            </w:r>
          </w:p>
        </w:tc>
        <w:tc>
          <w:tcPr>
            <w:tcW w:w="642" w:type="pct"/>
          </w:tcPr>
          <w:p w14:paraId="1A9FA489" w14:textId="077630E1" w:rsidR="00A12F21" w:rsidRPr="00B365B5" w:rsidRDefault="00A12F21" w:rsidP="00A12F21">
            <w:pPr>
              <w:pStyle w:val="Tabletextcentred"/>
              <w:keepNext/>
              <w:jc w:val="right"/>
            </w:pPr>
            <w:r w:rsidRPr="00B365B5">
              <w:t>$57</w:t>
            </w:r>
            <w:r>
              <w:t>5,808</w:t>
            </w:r>
          </w:p>
        </w:tc>
      </w:tr>
      <w:tr w:rsidR="00A12F21" w14:paraId="0A27859D" w14:textId="77777777" w:rsidTr="00A12F21">
        <w:tc>
          <w:tcPr>
            <w:tcW w:w="1791" w:type="pct"/>
          </w:tcPr>
          <w:p w14:paraId="05E60396" w14:textId="77777777" w:rsidR="007F6723" w:rsidRDefault="007F6723" w:rsidP="00181CF8">
            <w:pPr>
              <w:pStyle w:val="Tabletextcentred"/>
              <w:keepNext/>
              <w:jc w:val="left"/>
            </w:pPr>
            <w:r>
              <w:t>Proportion of current AD diagnoses attempted using SPECT set to 1% (5% in the base case)</w:t>
            </w:r>
          </w:p>
        </w:tc>
        <w:tc>
          <w:tcPr>
            <w:tcW w:w="642" w:type="pct"/>
          </w:tcPr>
          <w:p w14:paraId="64244737" w14:textId="77777777" w:rsidR="007F6723" w:rsidRPr="00B365B5" w:rsidRDefault="007F6723" w:rsidP="00181CF8">
            <w:pPr>
              <w:pStyle w:val="Tabletextcentred"/>
              <w:keepNext/>
              <w:jc w:val="right"/>
            </w:pPr>
            <w:r w:rsidRPr="00B365B5">
              <w:t>$13,249</w:t>
            </w:r>
          </w:p>
        </w:tc>
        <w:tc>
          <w:tcPr>
            <w:tcW w:w="642" w:type="pct"/>
          </w:tcPr>
          <w:p w14:paraId="5ECCEBE2" w14:textId="77777777" w:rsidR="007F6723" w:rsidRPr="00B365B5" w:rsidRDefault="007F6723" w:rsidP="00181CF8">
            <w:pPr>
              <w:pStyle w:val="Tabletextcentred"/>
              <w:keepNext/>
              <w:jc w:val="right"/>
            </w:pPr>
            <w:r w:rsidRPr="00B365B5">
              <w:t>$35,081</w:t>
            </w:r>
          </w:p>
        </w:tc>
        <w:tc>
          <w:tcPr>
            <w:tcW w:w="642" w:type="pct"/>
          </w:tcPr>
          <w:p w14:paraId="7682344F" w14:textId="77777777" w:rsidR="007F6723" w:rsidRPr="00B365B5" w:rsidRDefault="007F6723" w:rsidP="00181CF8">
            <w:pPr>
              <w:pStyle w:val="Tabletextcentred"/>
              <w:keepNext/>
              <w:jc w:val="right"/>
            </w:pPr>
            <w:r w:rsidRPr="00B365B5">
              <w:t>$59,012</w:t>
            </w:r>
          </w:p>
        </w:tc>
        <w:tc>
          <w:tcPr>
            <w:tcW w:w="642" w:type="pct"/>
          </w:tcPr>
          <w:p w14:paraId="7C1DBA86" w14:textId="77777777" w:rsidR="007F6723" w:rsidRPr="00B365B5" w:rsidRDefault="007F6723" w:rsidP="00181CF8">
            <w:pPr>
              <w:pStyle w:val="Tabletextcentred"/>
              <w:keepNext/>
              <w:jc w:val="right"/>
            </w:pPr>
            <w:r w:rsidRPr="00B365B5">
              <w:t>$84,450</w:t>
            </w:r>
          </w:p>
        </w:tc>
        <w:tc>
          <w:tcPr>
            <w:tcW w:w="642" w:type="pct"/>
          </w:tcPr>
          <w:p w14:paraId="1B89A264" w14:textId="77777777" w:rsidR="007F6723" w:rsidRPr="00B365B5" w:rsidRDefault="007F6723" w:rsidP="00181CF8">
            <w:pPr>
              <w:pStyle w:val="Tabletextcentred"/>
              <w:keepNext/>
              <w:jc w:val="right"/>
            </w:pPr>
            <w:r w:rsidRPr="00B365B5">
              <w:t>$107,110</w:t>
            </w:r>
          </w:p>
        </w:tc>
      </w:tr>
      <w:tr w:rsidR="00A12F21" w14:paraId="4A8DA3A7" w14:textId="77777777" w:rsidTr="00A12F21">
        <w:tc>
          <w:tcPr>
            <w:tcW w:w="1791" w:type="pct"/>
          </w:tcPr>
          <w:p w14:paraId="293D7CC0" w14:textId="77777777" w:rsidR="007F6723" w:rsidRDefault="007F6723" w:rsidP="00181CF8">
            <w:pPr>
              <w:pStyle w:val="Tabletextcentred"/>
              <w:keepNext/>
              <w:jc w:val="left"/>
            </w:pPr>
            <w:r>
              <w:t>Proportion of FDG-PET and SPECT attempts at diagnosis of AD made in private hospitals set to 100% (40% in the base case)</w:t>
            </w:r>
          </w:p>
        </w:tc>
        <w:tc>
          <w:tcPr>
            <w:tcW w:w="642" w:type="pct"/>
          </w:tcPr>
          <w:p w14:paraId="36E7ABBD" w14:textId="77777777" w:rsidR="007F6723" w:rsidRPr="00B365B5" w:rsidRDefault="007F6723" w:rsidP="00181CF8">
            <w:pPr>
              <w:pStyle w:val="Tabletextcentred"/>
              <w:keepNext/>
              <w:jc w:val="right"/>
            </w:pPr>
            <w:r w:rsidRPr="00B365B5">
              <w:t>$165,610</w:t>
            </w:r>
          </w:p>
        </w:tc>
        <w:tc>
          <w:tcPr>
            <w:tcW w:w="642" w:type="pct"/>
          </w:tcPr>
          <w:p w14:paraId="70B45144" w14:textId="77777777" w:rsidR="007F6723" w:rsidRPr="00B365B5" w:rsidRDefault="007F6723" w:rsidP="00181CF8">
            <w:pPr>
              <w:pStyle w:val="Tabletextcentred"/>
              <w:keepNext/>
              <w:jc w:val="right"/>
            </w:pPr>
            <w:r w:rsidRPr="00B365B5">
              <w:t>$438,507</w:t>
            </w:r>
          </w:p>
        </w:tc>
        <w:tc>
          <w:tcPr>
            <w:tcW w:w="642" w:type="pct"/>
          </w:tcPr>
          <w:p w14:paraId="509E9537" w14:textId="77777777" w:rsidR="007F6723" w:rsidRPr="00B365B5" w:rsidRDefault="007F6723" w:rsidP="00181CF8">
            <w:pPr>
              <w:pStyle w:val="Tabletextcentred"/>
              <w:keepNext/>
              <w:jc w:val="right"/>
            </w:pPr>
            <w:r w:rsidRPr="00B365B5">
              <w:t>$737,655</w:t>
            </w:r>
          </w:p>
        </w:tc>
        <w:tc>
          <w:tcPr>
            <w:tcW w:w="642" w:type="pct"/>
          </w:tcPr>
          <w:p w14:paraId="6ECF2E07" w14:textId="77777777" w:rsidR="007F6723" w:rsidRPr="00B365B5" w:rsidRDefault="007F6723" w:rsidP="00181CF8">
            <w:pPr>
              <w:pStyle w:val="Tabletextcentred"/>
              <w:keepNext/>
              <w:jc w:val="right"/>
            </w:pPr>
            <w:r w:rsidRPr="00B365B5">
              <w:t>$1,055,631</w:t>
            </w:r>
          </w:p>
        </w:tc>
        <w:tc>
          <w:tcPr>
            <w:tcW w:w="642" w:type="pct"/>
          </w:tcPr>
          <w:p w14:paraId="1D25B496" w14:textId="77777777" w:rsidR="007F6723" w:rsidRPr="00B365B5" w:rsidRDefault="007F6723" w:rsidP="00181CF8">
            <w:pPr>
              <w:pStyle w:val="Tabletextcentred"/>
              <w:keepNext/>
              <w:jc w:val="right"/>
            </w:pPr>
            <w:r w:rsidRPr="00B365B5">
              <w:t>$1,338,876</w:t>
            </w:r>
          </w:p>
        </w:tc>
      </w:tr>
      <w:tr w:rsidR="00A12F21" w14:paraId="0E0C189B" w14:textId="77777777" w:rsidTr="00A12F21">
        <w:tc>
          <w:tcPr>
            <w:tcW w:w="1791" w:type="pct"/>
          </w:tcPr>
          <w:p w14:paraId="36CC0A3F" w14:textId="77777777" w:rsidR="007F6723" w:rsidRDefault="007F6723" w:rsidP="00181CF8">
            <w:pPr>
              <w:pStyle w:val="Tabletextcentred"/>
              <w:keepNext/>
              <w:jc w:val="left"/>
            </w:pPr>
            <w:r>
              <w:t>Substitution from SPECT to FDG-PET set to increase linearly from 10% in the first year to 50% in the fifth year (linear increase from 15% to 70% in the base case)</w:t>
            </w:r>
          </w:p>
        </w:tc>
        <w:tc>
          <w:tcPr>
            <w:tcW w:w="642" w:type="pct"/>
          </w:tcPr>
          <w:p w14:paraId="4CB1DECA" w14:textId="77777777" w:rsidR="007F6723" w:rsidRPr="00B365B5" w:rsidRDefault="007F6723" w:rsidP="00181CF8">
            <w:pPr>
              <w:pStyle w:val="Tabletextcentred"/>
              <w:keepNext/>
              <w:jc w:val="right"/>
            </w:pPr>
            <w:r w:rsidRPr="00B365B5">
              <w:t>$44,163</w:t>
            </w:r>
          </w:p>
        </w:tc>
        <w:tc>
          <w:tcPr>
            <w:tcW w:w="642" w:type="pct"/>
          </w:tcPr>
          <w:p w14:paraId="5EBCC54C" w14:textId="77777777" w:rsidR="007F6723" w:rsidRPr="00B365B5" w:rsidRDefault="007F6723" w:rsidP="00181CF8">
            <w:pPr>
              <w:pStyle w:val="Tabletextcentred"/>
              <w:keepNext/>
              <w:jc w:val="right"/>
            </w:pPr>
            <w:r w:rsidRPr="00B365B5">
              <w:t>$129,108</w:t>
            </w:r>
          </w:p>
        </w:tc>
        <w:tc>
          <w:tcPr>
            <w:tcW w:w="642" w:type="pct"/>
          </w:tcPr>
          <w:p w14:paraId="0AE9CD41" w14:textId="77777777" w:rsidR="007F6723" w:rsidRPr="00B365B5" w:rsidRDefault="007F6723" w:rsidP="00181CF8">
            <w:pPr>
              <w:pStyle w:val="Tabletextcentred"/>
              <w:keepNext/>
              <w:jc w:val="right"/>
            </w:pPr>
            <w:r w:rsidRPr="00B365B5">
              <w:t>$222,239</w:t>
            </w:r>
          </w:p>
        </w:tc>
        <w:tc>
          <w:tcPr>
            <w:tcW w:w="642" w:type="pct"/>
          </w:tcPr>
          <w:p w14:paraId="4673E585" w14:textId="77777777" w:rsidR="007F6723" w:rsidRPr="00B365B5" w:rsidRDefault="007F6723" w:rsidP="00181CF8">
            <w:pPr>
              <w:pStyle w:val="Tabletextcentred"/>
              <w:keepNext/>
              <w:jc w:val="right"/>
            </w:pPr>
            <w:r w:rsidRPr="00B365B5">
              <w:t>$321,314</w:t>
            </w:r>
          </w:p>
        </w:tc>
        <w:tc>
          <w:tcPr>
            <w:tcW w:w="642" w:type="pct"/>
          </w:tcPr>
          <w:p w14:paraId="6738EDEA" w14:textId="77777777" w:rsidR="007F6723" w:rsidRPr="00B365B5" w:rsidRDefault="007F6723" w:rsidP="00181CF8">
            <w:pPr>
              <w:pStyle w:val="Tabletextcentred"/>
              <w:keepNext/>
              <w:jc w:val="right"/>
            </w:pPr>
            <w:r w:rsidRPr="00B365B5">
              <w:t>$430,079</w:t>
            </w:r>
          </w:p>
        </w:tc>
      </w:tr>
      <w:tr w:rsidR="00A12F21" w14:paraId="1EB17317" w14:textId="77777777" w:rsidTr="00A12F21">
        <w:tc>
          <w:tcPr>
            <w:tcW w:w="1791" w:type="pct"/>
          </w:tcPr>
          <w:p w14:paraId="0118A9AF" w14:textId="77777777" w:rsidR="007F6723" w:rsidRDefault="007F6723" w:rsidP="00181CF8">
            <w:pPr>
              <w:pStyle w:val="Tabletextcentred"/>
              <w:keepNext/>
              <w:jc w:val="left"/>
            </w:pPr>
            <w:r>
              <w:t>Substitution from SPECT to FDG-PET set to increase linearly from 20% in the first year to100% in the fifth year (linear increase from 15% to 70% in the base case)</w:t>
            </w:r>
          </w:p>
        </w:tc>
        <w:tc>
          <w:tcPr>
            <w:tcW w:w="642" w:type="pct"/>
          </w:tcPr>
          <w:p w14:paraId="2A325AF8" w14:textId="77777777" w:rsidR="007F6723" w:rsidRPr="00B365B5" w:rsidRDefault="007F6723" w:rsidP="00181CF8">
            <w:pPr>
              <w:pStyle w:val="Tabletextcentred"/>
              <w:keepNext/>
              <w:jc w:val="right"/>
            </w:pPr>
            <w:r w:rsidRPr="00B365B5">
              <w:t>$88,325</w:t>
            </w:r>
          </w:p>
        </w:tc>
        <w:tc>
          <w:tcPr>
            <w:tcW w:w="642" w:type="pct"/>
          </w:tcPr>
          <w:p w14:paraId="68D89F01" w14:textId="77777777" w:rsidR="007F6723" w:rsidRPr="00B365B5" w:rsidRDefault="007F6723" w:rsidP="00181CF8">
            <w:pPr>
              <w:pStyle w:val="Tabletextcentred"/>
              <w:keepNext/>
              <w:jc w:val="right"/>
            </w:pPr>
            <w:r w:rsidRPr="00B365B5">
              <w:t>$221,698</w:t>
            </w:r>
          </w:p>
        </w:tc>
        <w:tc>
          <w:tcPr>
            <w:tcW w:w="642" w:type="pct"/>
          </w:tcPr>
          <w:p w14:paraId="5958D692" w14:textId="77777777" w:rsidR="007F6723" w:rsidRPr="00B365B5" w:rsidRDefault="007F6723" w:rsidP="00181CF8">
            <w:pPr>
              <w:pStyle w:val="Tabletextcentred"/>
              <w:keepNext/>
              <w:jc w:val="right"/>
            </w:pPr>
            <w:r w:rsidRPr="00B365B5">
              <w:t>$367,885</w:t>
            </w:r>
          </w:p>
        </w:tc>
        <w:tc>
          <w:tcPr>
            <w:tcW w:w="642" w:type="pct"/>
          </w:tcPr>
          <w:p w14:paraId="402C8218" w14:textId="77777777" w:rsidR="007F6723" w:rsidRPr="00B365B5" w:rsidRDefault="007F6723" w:rsidP="00181CF8">
            <w:pPr>
              <w:pStyle w:val="Tabletextcentred"/>
              <w:keepNext/>
              <w:jc w:val="right"/>
            </w:pPr>
            <w:r w:rsidRPr="00B365B5">
              <w:t>$523,191</w:t>
            </w:r>
          </w:p>
        </w:tc>
        <w:tc>
          <w:tcPr>
            <w:tcW w:w="642" w:type="pct"/>
          </w:tcPr>
          <w:p w14:paraId="0687B182" w14:textId="77777777" w:rsidR="007F6723" w:rsidRPr="00B365B5" w:rsidRDefault="007F6723" w:rsidP="00181CF8">
            <w:pPr>
              <w:pStyle w:val="Tabletextcentred"/>
              <w:keepNext/>
              <w:jc w:val="right"/>
            </w:pPr>
            <w:r w:rsidRPr="00B365B5">
              <w:t>$693,758</w:t>
            </w:r>
          </w:p>
        </w:tc>
      </w:tr>
      <w:tr w:rsidR="00A12F21" w14:paraId="1D13A950" w14:textId="77777777" w:rsidTr="00A12F21">
        <w:tc>
          <w:tcPr>
            <w:tcW w:w="1791" w:type="pct"/>
          </w:tcPr>
          <w:p w14:paraId="1898E8F0" w14:textId="77777777" w:rsidR="007F6723" w:rsidRDefault="007F6723" w:rsidP="00181CF8">
            <w:pPr>
              <w:pStyle w:val="Tabletextcentred"/>
              <w:keepNext/>
              <w:jc w:val="left"/>
            </w:pPr>
            <w:r>
              <w:t>Additional use of FDG-PET relative to SPECT not included (linear increase from 0% in the first year to 10% in the fifth year in the base case)</w:t>
            </w:r>
          </w:p>
        </w:tc>
        <w:tc>
          <w:tcPr>
            <w:tcW w:w="642" w:type="pct"/>
          </w:tcPr>
          <w:p w14:paraId="3D2CFFC7" w14:textId="77777777" w:rsidR="007F6723" w:rsidRPr="00B365B5" w:rsidRDefault="007F6723" w:rsidP="00181CF8">
            <w:pPr>
              <w:pStyle w:val="Tabletextcentred"/>
              <w:keepNext/>
              <w:jc w:val="right"/>
            </w:pPr>
            <w:r w:rsidRPr="00B365B5">
              <w:t>$66,244</w:t>
            </w:r>
          </w:p>
        </w:tc>
        <w:tc>
          <w:tcPr>
            <w:tcW w:w="642" w:type="pct"/>
          </w:tcPr>
          <w:p w14:paraId="025D3ECD" w14:textId="77777777" w:rsidR="007F6723" w:rsidRPr="00B365B5" w:rsidRDefault="007F6723" w:rsidP="00181CF8">
            <w:pPr>
              <w:pStyle w:val="Tabletextcentred"/>
              <w:keepNext/>
              <w:jc w:val="right"/>
            </w:pPr>
            <w:r w:rsidRPr="00B365B5">
              <w:t>$138,884</w:t>
            </w:r>
          </w:p>
        </w:tc>
        <w:tc>
          <w:tcPr>
            <w:tcW w:w="642" w:type="pct"/>
          </w:tcPr>
          <w:p w14:paraId="4E3EF937" w14:textId="77777777" w:rsidR="007F6723" w:rsidRPr="00B365B5" w:rsidRDefault="007F6723" w:rsidP="00181CF8">
            <w:pPr>
              <w:pStyle w:val="Tabletextcentred"/>
              <w:keepNext/>
              <w:jc w:val="right"/>
            </w:pPr>
            <w:r w:rsidRPr="00B365B5">
              <w:t>$218,468</w:t>
            </w:r>
          </w:p>
        </w:tc>
        <w:tc>
          <w:tcPr>
            <w:tcW w:w="642" w:type="pct"/>
          </w:tcPr>
          <w:p w14:paraId="60EB9C68" w14:textId="77777777" w:rsidR="007F6723" w:rsidRPr="00B365B5" w:rsidRDefault="007F6723" w:rsidP="00181CF8">
            <w:pPr>
              <w:pStyle w:val="Tabletextcentred"/>
              <w:keepNext/>
              <w:jc w:val="right"/>
            </w:pPr>
            <w:r w:rsidRPr="00B365B5">
              <w:t>$302,815</w:t>
            </w:r>
          </w:p>
        </w:tc>
        <w:tc>
          <w:tcPr>
            <w:tcW w:w="642" w:type="pct"/>
          </w:tcPr>
          <w:p w14:paraId="49DC2210" w14:textId="77777777" w:rsidR="007F6723" w:rsidRPr="00B365B5" w:rsidRDefault="007F6723" w:rsidP="00181CF8">
            <w:pPr>
              <w:pStyle w:val="Tabletextcentred"/>
              <w:keepNext/>
              <w:jc w:val="right"/>
            </w:pPr>
            <w:r w:rsidRPr="00B365B5">
              <w:t>$369,150</w:t>
            </w:r>
          </w:p>
        </w:tc>
      </w:tr>
    </w:tbl>
    <w:p w14:paraId="16533250" w14:textId="22BC1FE9" w:rsidR="007F6723" w:rsidRDefault="007F6723" w:rsidP="007F6723">
      <w:pPr>
        <w:pStyle w:val="Tablefootnotes"/>
      </w:pPr>
      <w:r w:rsidRPr="00F94D4D">
        <w:t>Abbreviations</w:t>
      </w:r>
      <w:r>
        <w:t>: AD, Alzheimer’s disease; FDG-PET, flu</w:t>
      </w:r>
      <w:r w:rsidR="0038452F">
        <w:t>o</w:t>
      </w:r>
      <w:r>
        <w:t>rodeoxyglucose positron emission tomography; SPECT, single-photon emission tomography</w:t>
      </w:r>
    </w:p>
    <w:p w14:paraId="10BDEF26" w14:textId="77777777" w:rsidR="007F6723" w:rsidRDefault="007F6723" w:rsidP="007F6723">
      <w:r>
        <w:t>The greatest upside risk in the net financial impact of a positive listing on the MBS appears to be from the uncertainty around the proportion of diagnoses of this type attempted in the private hospital setting. In the base case, a proportion of 40% was assumed though, in truth, it is not possible to know an accurate figure for this. If it is the case that diagnoses of this type are rarely attempted in a public hospital setting, the net financial impact more than doubles by the fifth year of listing from approximately $536,000 to approximately $1.3m. While this remains a modest impact to the total health care budget, any improvements in certainty surrounding this proportion would minimise upside risk on the net financial impact.</w:t>
      </w:r>
    </w:p>
    <w:p w14:paraId="618C2E3D" w14:textId="77777777" w:rsidR="007F6723" w:rsidRDefault="007F6723" w:rsidP="007F6723">
      <w:r>
        <w:t>It would appear that none of the remaining uncertainty is likely to have a notable effect on the net financial impact of a positive listing. Moreover, it is anticipated that the financial impact when considering the MBS and PBS in sum is expected to be marginal over the first five years of a listing.</w:t>
      </w:r>
    </w:p>
    <w:p w14:paraId="3FFEB8F5" w14:textId="77777777" w:rsidR="00506E1C" w:rsidRPr="00506E1C" w:rsidRDefault="00506E1C" w:rsidP="00A12F21">
      <w:pPr>
        <w:ind w:left="0"/>
      </w:pPr>
    </w:p>
    <w:p w14:paraId="3C58C31E" w14:textId="63C8BE19" w:rsidR="007C6DA7" w:rsidRDefault="00E5076E" w:rsidP="00800722">
      <w:pPr>
        <w:pStyle w:val="Heading1"/>
        <w:numPr>
          <w:ilvl w:val="0"/>
          <w:numId w:val="8"/>
        </w:numPr>
      </w:pPr>
      <w:bookmarkStart w:id="339" w:name="_Toc408845193"/>
      <w:r>
        <w:lastRenderedPageBreak/>
        <w:t>Assessment Group</w:t>
      </w:r>
      <w:bookmarkEnd w:id="339"/>
    </w:p>
    <w:tbl>
      <w:tblPr>
        <w:tblStyle w:val="TableGrid"/>
        <w:tblW w:w="4610"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Assessment Group"/>
        <w:tblDescription w:val="A list of people who contributed to the Assessment Report"/>
      </w:tblPr>
      <w:tblGrid>
        <w:gridCol w:w="3657"/>
        <w:gridCol w:w="4864"/>
      </w:tblGrid>
      <w:tr w:rsidR="00A35B36" w14:paraId="102008F3" w14:textId="77777777" w:rsidTr="00A35B36">
        <w:trPr>
          <w:tblHeader/>
        </w:trPr>
        <w:tc>
          <w:tcPr>
            <w:tcW w:w="2146" w:type="pct"/>
          </w:tcPr>
          <w:p w14:paraId="0C455C7B" w14:textId="51D1CACE" w:rsidR="00A35B36" w:rsidRPr="00A35B36" w:rsidRDefault="00A35B36" w:rsidP="00A35B36">
            <w:pPr>
              <w:pStyle w:val="Tabletextboldleft"/>
              <w:spacing w:before="120" w:after="120"/>
              <w:rPr>
                <w:rFonts w:ascii="Garamond" w:hAnsi="Garamond"/>
                <w:sz w:val="24"/>
                <w:szCs w:val="24"/>
              </w:rPr>
            </w:pPr>
            <w:r>
              <w:rPr>
                <w:rFonts w:ascii="Garamond" w:hAnsi="Garamond"/>
                <w:sz w:val="24"/>
                <w:szCs w:val="24"/>
              </w:rPr>
              <w:t>Name</w:t>
            </w:r>
          </w:p>
        </w:tc>
        <w:tc>
          <w:tcPr>
            <w:tcW w:w="2854" w:type="pct"/>
          </w:tcPr>
          <w:p w14:paraId="5BF99042" w14:textId="785E28C2" w:rsidR="00A35B36" w:rsidRPr="00A35B36" w:rsidRDefault="00A35B36" w:rsidP="00A35B36">
            <w:pPr>
              <w:pStyle w:val="Tabletextboldleft"/>
              <w:spacing w:before="120" w:after="120"/>
              <w:rPr>
                <w:rFonts w:ascii="Garamond" w:hAnsi="Garamond"/>
                <w:sz w:val="24"/>
                <w:szCs w:val="24"/>
              </w:rPr>
            </w:pPr>
            <w:r w:rsidRPr="00A35B36">
              <w:rPr>
                <w:rFonts w:ascii="Garamond" w:hAnsi="Garamond"/>
                <w:sz w:val="24"/>
                <w:szCs w:val="24"/>
              </w:rPr>
              <w:t>Organisation</w:t>
            </w:r>
          </w:p>
        </w:tc>
      </w:tr>
      <w:tr w:rsidR="00A35B36" w:rsidRPr="00D850F5" w14:paraId="0A7B6B82" w14:textId="77777777" w:rsidTr="00A35B36">
        <w:tc>
          <w:tcPr>
            <w:tcW w:w="2146" w:type="pct"/>
          </w:tcPr>
          <w:p w14:paraId="38040501" w14:textId="1E050FF9"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Dr Suzanne Campbell</w:t>
            </w:r>
          </w:p>
        </w:tc>
        <w:tc>
          <w:tcPr>
            <w:tcW w:w="2854" w:type="pct"/>
          </w:tcPr>
          <w:p w14:paraId="0D40D015" w14:textId="56EFC07A"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HealthConsult Pty Ltd</w:t>
            </w:r>
          </w:p>
        </w:tc>
      </w:tr>
      <w:tr w:rsidR="00A35B36" w:rsidRPr="00B365B5" w14:paraId="437E679E" w14:textId="77777777" w:rsidTr="00A35B36">
        <w:tc>
          <w:tcPr>
            <w:tcW w:w="2146" w:type="pct"/>
          </w:tcPr>
          <w:p w14:paraId="3BD7FE58" w14:textId="0AB0CE20"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Ms Kate Applegarth</w:t>
            </w:r>
          </w:p>
        </w:tc>
        <w:tc>
          <w:tcPr>
            <w:tcW w:w="2854" w:type="pct"/>
          </w:tcPr>
          <w:p w14:paraId="68453E92" w14:textId="3DC3CB9F"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HealthConsult Pty Ltd</w:t>
            </w:r>
          </w:p>
        </w:tc>
      </w:tr>
      <w:tr w:rsidR="00A35B36" w:rsidRPr="00B365B5" w14:paraId="78E540D2" w14:textId="77777777" w:rsidTr="00A35B36">
        <w:tc>
          <w:tcPr>
            <w:tcW w:w="2146" w:type="pct"/>
          </w:tcPr>
          <w:p w14:paraId="6359E68C" w14:textId="5F34D15A"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Dr Lisa Fodero</w:t>
            </w:r>
          </w:p>
        </w:tc>
        <w:tc>
          <w:tcPr>
            <w:tcW w:w="2854" w:type="pct"/>
          </w:tcPr>
          <w:p w14:paraId="0AEE7403" w14:textId="3A1EBC0A"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HealthConsult Pty Ltd</w:t>
            </w:r>
          </w:p>
        </w:tc>
      </w:tr>
      <w:tr w:rsidR="00A35B36" w:rsidRPr="00B365B5" w14:paraId="69AB3E12" w14:textId="77777777" w:rsidTr="00A35B36">
        <w:tc>
          <w:tcPr>
            <w:tcW w:w="2146" w:type="pct"/>
          </w:tcPr>
          <w:p w14:paraId="0DF4BF2A" w14:textId="36ED8822"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Mr Joe Scuteri</w:t>
            </w:r>
          </w:p>
        </w:tc>
        <w:tc>
          <w:tcPr>
            <w:tcW w:w="2854" w:type="pct"/>
          </w:tcPr>
          <w:p w14:paraId="01565FF0" w14:textId="50C5D9CC"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HealthConsult Pty Ltd</w:t>
            </w:r>
          </w:p>
        </w:tc>
      </w:tr>
      <w:tr w:rsidR="00A35B36" w:rsidRPr="00B365B5" w14:paraId="1150588B" w14:textId="77777777" w:rsidTr="00A35B36">
        <w:tc>
          <w:tcPr>
            <w:tcW w:w="2146" w:type="pct"/>
          </w:tcPr>
          <w:p w14:paraId="6979281B" w14:textId="684F2ABB"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Mr Paul Mernagh</w:t>
            </w:r>
          </w:p>
        </w:tc>
        <w:tc>
          <w:tcPr>
            <w:tcW w:w="2854" w:type="pct"/>
          </w:tcPr>
          <w:p w14:paraId="68048ADE" w14:textId="427429CA" w:rsidR="00A35B36" w:rsidRPr="00A35B36" w:rsidRDefault="00A35B36" w:rsidP="00A35B36">
            <w:pPr>
              <w:pStyle w:val="Tabletextcentred"/>
              <w:keepNext/>
              <w:spacing w:before="120" w:after="120"/>
              <w:jc w:val="left"/>
              <w:rPr>
                <w:rFonts w:ascii="Garamond" w:hAnsi="Garamond"/>
                <w:sz w:val="24"/>
              </w:rPr>
            </w:pPr>
            <w:r w:rsidRPr="00A35B36">
              <w:rPr>
                <w:rFonts w:ascii="Garamond" w:hAnsi="Garamond"/>
                <w:sz w:val="24"/>
              </w:rPr>
              <w:t>Subcontractor for HealthConsult Pty Ltd</w:t>
            </w:r>
          </w:p>
        </w:tc>
      </w:tr>
    </w:tbl>
    <w:p w14:paraId="06ADB567" w14:textId="77777777" w:rsidR="00A35B36" w:rsidRDefault="00A35B36" w:rsidP="009936BA"/>
    <w:p w14:paraId="589357A3" w14:textId="4AF1EEE5" w:rsidR="009936BA" w:rsidRDefault="009936BA" w:rsidP="00800722">
      <w:pPr>
        <w:pStyle w:val="Heading1"/>
        <w:numPr>
          <w:ilvl w:val="0"/>
          <w:numId w:val="8"/>
        </w:numPr>
      </w:pPr>
      <w:bookmarkStart w:id="340" w:name="_Ref404854563"/>
      <w:bookmarkStart w:id="341" w:name="_Toc408845194"/>
      <w:r>
        <w:lastRenderedPageBreak/>
        <w:t>Search strategies</w:t>
      </w:r>
      <w:bookmarkEnd w:id="340"/>
      <w:bookmarkEnd w:id="341"/>
    </w:p>
    <w:p w14:paraId="5A52F521" w14:textId="0646E6B8" w:rsidR="001D2EF2" w:rsidRPr="00C620A9" w:rsidRDefault="007F6723" w:rsidP="00C620A9">
      <w:pPr>
        <w:pStyle w:val="aNormaltext"/>
        <w:numPr>
          <w:ilvl w:val="0"/>
          <w:numId w:val="0"/>
        </w:numPr>
        <w:ind w:left="720"/>
        <w:rPr>
          <w:rFonts w:ascii="Tahoma" w:hAnsi="Tahoma" w:cs="Tahoma"/>
          <w:b/>
          <w:sz w:val="28"/>
          <w:szCs w:val="28"/>
        </w:rPr>
      </w:pPr>
      <w:bookmarkStart w:id="342" w:name="_Toc406172455"/>
      <w:r w:rsidRPr="00C620A9">
        <w:rPr>
          <w:rFonts w:ascii="Tahoma" w:hAnsi="Tahoma" w:cs="Tahoma"/>
          <w:b/>
          <w:sz w:val="28"/>
          <w:szCs w:val="28"/>
        </w:rPr>
        <w:t>Literature searches to support the clinical evaluation</w:t>
      </w:r>
      <w:bookmarkEnd w:id="342"/>
    </w:p>
    <w:p w14:paraId="0B9F14F9" w14:textId="06D11523" w:rsidR="00D9049C" w:rsidRPr="00D9049C" w:rsidRDefault="00D9049C" w:rsidP="00244635">
      <w:r w:rsidRPr="00D9049C">
        <w:t xml:space="preserve">A literature search was conducted of EMBASE.com </w:t>
      </w:r>
      <w:r w:rsidR="00B3517E">
        <w:t xml:space="preserve">(which concurrently searches Medline and EMBASE) </w:t>
      </w:r>
      <w:r w:rsidRPr="00D9049C">
        <w:t>to identify studies of FDG-PET for the diagnosis of AD. The search terms are shown in Table A2.1.</w:t>
      </w:r>
      <w:r w:rsidR="00B3517E">
        <w:t xml:space="preserve"> </w:t>
      </w:r>
    </w:p>
    <w:p w14:paraId="49621E6F" w14:textId="7491655A" w:rsidR="00D9049C" w:rsidRPr="00D9049C" w:rsidRDefault="00B01635" w:rsidP="00D9049C">
      <w:pPr>
        <w:pStyle w:val="Caption"/>
      </w:pPr>
      <w:r>
        <w:t>Table A</w:t>
      </w:r>
      <w:r w:rsidR="00040904">
        <w:t>2.1</w:t>
      </w:r>
      <w:r w:rsidR="00040904">
        <w:tab/>
      </w:r>
      <w:r w:rsidR="00B3517E">
        <w:t>EMBASE.com search terms to identify clinical evidence for FDG-PET in AD</w:t>
      </w:r>
    </w:p>
    <w:tbl>
      <w:tblPr>
        <w:tblStyle w:val="TableGrid"/>
        <w:tblW w:w="0" w:type="auto"/>
        <w:tblInd w:w="720" w:type="dxa"/>
        <w:tblLook w:val="04A0" w:firstRow="1" w:lastRow="0" w:firstColumn="1" w:lastColumn="0" w:noHBand="0" w:noVBand="1"/>
        <w:tblCaption w:val="EMBASE.com search terms"/>
      </w:tblPr>
      <w:tblGrid>
        <w:gridCol w:w="693"/>
        <w:gridCol w:w="6095"/>
        <w:gridCol w:w="1508"/>
      </w:tblGrid>
      <w:tr w:rsidR="00DE74D5" w14:paraId="7FBC616F" w14:textId="77777777" w:rsidTr="00556738">
        <w:trPr>
          <w:tblHeader/>
        </w:trPr>
        <w:tc>
          <w:tcPr>
            <w:tcW w:w="693" w:type="dxa"/>
          </w:tcPr>
          <w:p w14:paraId="7AD29964" w14:textId="77777777" w:rsidR="00DE74D5" w:rsidRDefault="00DE74D5" w:rsidP="002549A6">
            <w:pPr>
              <w:pStyle w:val="Tabletextboldleft"/>
            </w:pPr>
            <w:r>
              <w:t>#</w:t>
            </w:r>
          </w:p>
        </w:tc>
        <w:tc>
          <w:tcPr>
            <w:tcW w:w="6095" w:type="dxa"/>
          </w:tcPr>
          <w:p w14:paraId="7C5397E5" w14:textId="77777777" w:rsidR="00DE74D5" w:rsidRDefault="00DE74D5" w:rsidP="002549A6">
            <w:pPr>
              <w:pStyle w:val="Tabletextboldleft"/>
            </w:pPr>
            <w:r>
              <w:t>Query</w:t>
            </w:r>
          </w:p>
        </w:tc>
        <w:tc>
          <w:tcPr>
            <w:tcW w:w="1508" w:type="dxa"/>
          </w:tcPr>
          <w:p w14:paraId="2DF73516" w14:textId="77777777" w:rsidR="00DE74D5" w:rsidRDefault="00DE74D5" w:rsidP="002549A6">
            <w:pPr>
              <w:pStyle w:val="Tabletextboldleft"/>
              <w:jc w:val="right"/>
            </w:pPr>
            <w:r>
              <w:t>No. of citations</w:t>
            </w:r>
          </w:p>
        </w:tc>
      </w:tr>
      <w:tr w:rsidR="00DE74D5" w14:paraId="72F716AD" w14:textId="77777777" w:rsidTr="002549A6">
        <w:tc>
          <w:tcPr>
            <w:tcW w:w="693" w:type="dxa"/>
          </w:tcPr>
          <w:p w14:paraId="78F2D45C" w14:textId="77777777" w:rsidR="00DE74D5" w:rsidRDefault="00DE74D5" w:rsidP="002549A6">
            <w:pPr>
              <w:pStyle w:val="Tabletextcentred"/>
              <w:keepNext/>
              <w:jc w:val="left"/>
            </w:pPr>
            <w:r>
              <w:t>#1</w:t>
            </w:r>
          </w:p>
        </w:tc>
        <w:tc>
          <w:tcPr>
            <w:tcW w:w="6095" w:type="dxa"/>
          </w:tcPr>
          <w:p w14:paraId="16C9C323" w14:textId="77777777" w:rsidR="00DE74D5" w:rsidRPr="00C26210" w:rsidRDefault="00DE74D5" w:rsidP="002549A6">
            <w:pPr>
              <w:pStyle w:val="Tabletextcentred"/>
              <w:keepNext/>
              <w:jc w:val="left"/>
            </w:pPr>
            <w:r>
              <w:t>‘alzheimer disease’/exp OR ‘alzheimer disease’</w:t>
            </w:r>
          </w:p>
        </w:tc>
        <w:tc>
          <w:tcPr>
            <w:tcW w:w="1508" w:type="dxa"/>
          </w:tcPr>
          <w:p w14:paraId="554FD6FA" w14:textId="77777777" w:rsidR="00DE74D5" w:rsidRDefault="00DE74D5" w:rsidP="002549A6">
            <w:pPr>
              <w:pStyle w:val="Tabletextcentred"/>
              <w:keepNext/>
              <w:jc w:val="right"/>
            </w:pPr>
            <w:r>
              <w:t>130,577</w:t>
            </w:r>
          </w:p>
        </w:tc>
      </w:tr>
      <w:tr w:rsidR="00DE74D5" w14:paraId="180DB40C" w14:textId="77777777" w:rsidTr="002549A6">
        <w:tc>
          <w:tcPr>
            <w:tcW w:w="693" w:type="dxa"/>
          </w:tcPr>
          <w:p w14:paraId="0C2DCD3B" w14:textId="77777777" w:rsidR="00DE74D5" w:rsidRDefault="00DE74D5" w:rsidP="002549A6">
            <w:pPr>
              <w:pStyle w:val="Tabletextcentred"/>
              <w:keepNext/>
              <w:jc w:val="left"/>
            </w:pPr>
            <w:r>
              <w:t>#2</w:t>
            </w:r>
          </w:p>
        </w:tc>
        <w:tc>
          <w:tcPr>
            <w:tcW w:w="6095" w:type="dxa"/>
          </w:tcPr>
          <w:p w14:paraId="542716F1" w14:textId="77777777" w:rsidR="00DE74D5" w:rsidRPr="00C26210" w:rsidRDefault="00DE74D5" w:rsidP="002549A6">
            <w:pPr>
              <w:pStyle w:val="Tabletextcentred"/>
              <w:keepNext/>
              <w:jc w:val="left"/>
            </w:pPr>
            <w:r>
              <w:t>‘dementia’/exp OR ‘dementia’</w:t>
            </w:r>
          </w:p>
        </w:tc>
        <w:tc>
          <w:tcPr>
            <w:tcW w:w="1508" w:type="dxa"/>
          </w:tcPr>
          <w:p w14:paraId="7AA7F277" w14:textId="77777777" w:rsidR="00DE74D5" w:rsidRPr="00C26210" w:rsidRDefault="00DE74D5" w:rsidP="002549A6">
            <w:pPr>
              <w:pStyle w:val="Tabletextcentred"/>
              <w:keepNext/>
              <w:jc w:val="right"/>
            </w:pPr>
            <w:r>
              <w:t>251,208</w:t>
            </w:r>
          </w:p>
        </w:tc>
      </w:tr>
      <w:tr w:rsidR="00DE74D5" w14:paraId="6CBFB16F" w14:textId="77777777" w:rsidTr="002549A6">
        <w:tc>
          <w:tcPr>
            <w:tcW w:w="693" w:type="dxa"/>
          </w:tcPr>
          <w:p w14:paraId="60C0EABA" w14:textId="77777777" w:rsidR="00DE74D5" w:rsidRDefault="00DE74D5" w:rsidP="002549A6">
            <w:pPr>
              <w:pStyle w:val="Tabletextcentred"/>
              <w:keepNext/>
              <w:jc w:val="left"/>
            </w:pPr>
            <w:r>
              <w:t>#3</w:t>
            </w:r>
          </w:p>
        </w:tc>
        <w:tc>
          <w:tcPr>
            <w:tcW w:w="6095" w:type="dxa"/>
          </w:tcPr>
          <w:p w14:paraId="63F9CE84" w14:textId="77777777" w:rsidR="00DE74D5" w:rsidRPr="00C26210" w:rsidRDefault="00DE74D5" w:rsidP="002549A6">
            <w:pPr>
              <w:pStyle w:val="Tabletextcentred"/>
              <w:keepNext/>
              <w:jc w:val="left"/>
            </w:pPr>
            <w:r>
              <w:t>‘mild cognitive impairment’/exp OR ‘mild cognitive impairment’ OR MCI</w:t>
            </w:r>
          </w:p>
        </w:tc>
        <w:tc>
          <w:tcPr>
            <w:tcW w:w="1508" w:type="dxa"/>
          </w:tcPr>
          <w:p w14:paraId="01747BD8" w14:textId="77777777" w:rsidR="00DE74D5" w:rsidRPr="00C26210" w:rsidRDefault="00DE74D5" w:rsidP="002549A6">
            <w:pPr>
              <w:pStyle w:val="Tabletextcentred"/>
              <w:keepNext/>
              <w:jc w:val="right"/>
            </w:pPr>
            <w:r>
              <w:t>25,652</w:t>
            </w:r>
          </w:p>
        </w:tc>
      </w:tr>
      <w:tr w:rsidR="00DE74D5" w14:paraId="3F5629F0" w14:textId="77777777" w:rsidTr="002549A6">
        <w:tc>
          <w:tcPr>
            <w:tcW w:w="693" w:type="dxa"/>
          </w:tcPr>
          <w:p w14:paraId="1106D05C" w14:textId="77777777" w:rsidR="00DE74D5" w:rsidRDefault="00DE74D5" w:rsidP="002549A6">
            <w:pPr>
              <w:pStyle w:val="Tabletextcentred"/>
              <w:keepNext/>
              <w:jc w:val="left"/>
            </w:pPr>
            <w:r>
              <w:t>#4</w:t>
            </w:r>
          </w:p>
        </w:tc>
        <w:tc>
          <w:tcPr>
            <w:tcW w:w="6095" w:type="dxa"/>
          </w:tcPr>
          <w:p w14:paraId="4D742121" w14:textId="77777777" w:rsidR="00DE74D5" w:rsidRPr="00C26210" w:rsidRDefault="00DE74D5" w:rsidP="002549A6">
            <w:pPr>
              <w:pStyle w:val="Tabletextcentred"/>
              <w:keepNext/>
              <w:jc w:val="left"/>
            </w:pPr>
            <w:r>
              <w:t>alzheimer* OR dement*</w:t>
            </w:r>
          </w:p>
        </w:tc>
        <w:tc>
          <w:tcPr>
            <w:tcW w:w="1508" w:type="dxa"/>
          </w:tcPr>
          <w:p w14:paraId="7B27C24E" w14:textId="77777777" w:rsidR="00DE74D5" w:rsidRPr="00C26210" w:rsidRDefault="00DE74D5" w:rsidP="002549A6">
            <w:pPr>
              <w:pStyle w:val="Tabletextcentred"/>
              <w:keepNext/>
              <w:jc w:val="right"/>
            </w:pPr>
            <w:r>
              <w:t>235,921</w:t>
            </w:r>
          </w:p>
        </w:tc>
      </w:tr>
      <w:tr w:rsidR="00DE74D5" w14:paraId="5550249D" w14:textId="77777777" w:rsidTr="002549A6">
        <w:tc>
          <w:tcPr>
            <w:tcW w:w="693" w:type="dxa"/>
          </w:tcPr>
          <w:p w14:paraId="6793C2E9" w14:textId="77777777" w:rsidR="00DE74D5" w:rsidRDefault="00DE74D5" w:rsidP="002549A6">
            <w:pPr>
              <w:pStyle w:val="Tabletextcentred"/>
              <w:keepNext/>
              <w:jc w:val="left"/>
            </w:pPr>
            <w:r>
              <w:t>#5</w:t>
            </w:r>
          </w:p>
        </w:tc>
        <w:tc>
          <w:tcPr>
            <w:tcW w:w="6095" w:type="dxa"/>
          </w:tcPr>
          <w:p w14:paraId="2AA965F9" w14:textId="77777777" w:rsidR="00DE74D5" w:rsidRPr="00C26210" w:rsidRDefault="00DE74D5" w:rsidP="002549A6">
            <w:pPr>
              <w:pStyle w:val="Tabletextcentred"/>
              <w:keepNext/>
              <w:jc w:val="left"/>
            </w:pPr>
            <w:r>
              <w:t>#1 OR #2 OR #3 OR #4</w:t>
            </w:r>
          </w:p>
        </w:tc>
        <w:tc>
          <w:tcPr>
            <w:tcW w:w="1508" w:type="dxa"/>
          </w:tcPr>
          <w:p w14:paraId="3FB9C890" w14:textId="77777777" w:rsidR="00DE74D5" w:rsidRPr="00C26210" w:rsidRDefault="00DE74D5" w:rsidP="002549A6">
            <w:pPr>
              <w:pStyle w:val="Tabletextcentred"/>
              <w:keepNext/>
              <w:jc w:val="right"/>
            </w:pPr>
            <w:r>
              <w:t>286,158</w:t>
            </w:r>
          </w:p>
        </w:tc>
      </w:tr>
      <w:tr w:rsidR="00DE74D5" w14:paraId="7F48337E" w14:textId="77777777" w:rsidTr="002549A6">
        <w:tc>
          <w:tcPr>
            <w:tcW w:w="693" w:type="dxa"/>
          </w:tcPr>
          <w:p w14:paraId="7E996EE0" w14:textId="77777777" w:rsidR="00DE74D5" w:rsidRDefault="00DE74D5" w:rsidP="002549A6">
            <w:pPr>
              <w:pStyle w:val="Tabletextcentred"/>
              <w:keepNext/>
              <w:jc w:val="left"/>
            </w:pPr>
            <w:r>
              <w:t>#6</w:t>
            </w:r>
          </w:p>
        </w:tc>
        <w:tc>
          <w:tcPr>
            <w:tcW w:w="6095" w:type="dxa"/>
          </w:tcPr>
          <w:p w14:paraId="5F3F9164" w14:textId="77777777" w:rsidR="00DE74D5" w:rsidRPr="00C26210" w:rsidRDefault="00DE74D5" w:rsidP="002549A6">
            <w:pPr>
              <w:pStyle w:val="Tabletextcentred"/>
              <w:keepNext/>
              <w:jc w:val="left"/>
            </w:pPr>
            <w:r>
              <w:t>‘positron emission tomography’/exp OR ‘positron emission tomography’ OR PET</w:t>
            </w:r>
          </w:p>
        </w:tc>
        <w:tc>
          <w:tcPr>
            <w:tcW w:w="1508" w:type="dxa"/>
          </w:tcPr>
          <w:p w14:paraId="24B999A6" w14:textId="77777777" w:rsidR="00DE74D5" w:rsidRPr="00C26210" w:rsidRDefault="00DE74D5" w:rsidP="002549A6">
            <w:pPr>
              <w:pStyle w:val="Tabletextcentred"/>
              <w:keepNext/>
              <w:jc w:val="right"/>
            </w:pPr>
            <w:r>
              <w:t>137,478</w:t>
            </w:r>
          </w:p>
        </w:tc>
      </w:tr>
      <w:tr w:rsidR="00DE74D5" w14:paraId="71C4C9A2" w14:textId="77777777" w:rsidTr="002549A6">
        <w:tc>
          <w:tcPr>
            <w:tcW w:w="693" w:type="dxa"/>
          </w:tcPr>
          <w:p w14:paraId="0FEC5FD6" w14:textId="77777777" w:rsidR="00DE74D5" w:rsidRDefault="00DE74D5" w:rsidP="002549A6">
            <w:pPr>
              <w:pStyle w:val="Tabletextcentred"/>
              <w:keepNext/>
              <w:jc w:val="left"/>
            </w:pPr>
            <w:r>
              <w:t>#7</w:t>
            </w:r>
          </w:p>
        </w:tc>
        <w:tc>
          <w:tcPr>
            <w:tcW w:w="6095" w:type="dxa"/>
          </w:tcPr>
          <w:p w14:paraId="7A256057" w14:textId="77777777" w:rsidR="00DE74D5" w:rsidRPr="00C26210" w:rsidRDefault="00DE74D5" w:rsidP="002549A6">
            <w:pPr>
              <w:pStyle w:val="Tabletextcentred"/>
              <w:keepNext/>
              <w:jc w:val="left"/>
            </w:pPr>
            <w:r>
              <w:t>#5 AND #6</w:t>
            </w:r>
          </w:p>
        </w:tc>
        <w:tc>
          <w:tcPr>
            <w:tcW w:w="1508" w:type="dxa"/>
          </w:tcPr>
          <w:p w14:paraId="06EDF460" w14:textId="77777777" w:rsidR="00DE74D5" w:rsidRPr="00C26210" w:rsidRDefault="00DE74D5" w:rsidP="002549A6">
            <w:pPr>
              <w:pStyle w:val="Tabletextcentred"/>
              <w:keepNext/>
              <w:jc w:val="right"/>
            </w:pPr>
            <w:r>
              <w:t>11,017</w:t>
            </w:r>
          </w:p>
        </w:tc>
      </w:tr>
      <w:tr w:rsidR="00DE74D5" w14:paraId="35E31B3B" w14:textId="77777777" w:rsidTr="002549A6">
        <w:tc>
          <w:tcPr>
            <w:tcW w:w="693" w:type="dxa"/>
          </w:tcPr>
          <w:p w14:paraId="257845FD" w14:textId="77777777" w:rsidR="00DE74D5" w:rsidRDefault="00DE74D5" w:rsidP="002549A6">
            <w:pPr>
              <w:pStyle w:val="Tabletextcentred"/>
              <w:keepNext/>
              <w:jc w:val="left"/>
            </w:pPr>
            <w:r>
              <w:t>#8</w:t>
            </w:r>
          </w:p>
        </w:tc>
        <w:tc>
          <w:tcPr>
            <w:tcW w:w="6095" w:type="dxa"/>
          </w:tcPr>
          <w:p w14:paraId="1221B163" w14:textId="77777777" w:rsidR="00DE74D5" w:rsidRPr="00C26210" w:rsidRDefault="00DE74D5" w:rsidP="002549A6">
            <w:pPr>
              <w:pStyle w:val="Tabletextcentred"/>
              <w:keepNext/>
              <w:jc w:val="left"/>
            </w:pPr>
            <w:r>
              <w:t>‘glucose metabolism’/exp OR ‘glucose metabolism’</w:t>
            </w:r>
          </w:p>
        </w:tc>
        <w:tc>
          <w:tcPr>
            <w:tcW w:w="1508" w:type="dxa"/>
          </w:tcPr>
          <w:p w14:paraId="319ED877" w14:textId="77777777" w:rsidR="00DE74D5" w:rsidRPr="00C26210" w:rsidRDefault="00DE74D5" w:rsidP="002549A6">
            <w:pPr>
              <w:pStyle w:val="Tabletextcentred"/>
              <w:keepNext/>
              <w:jc w:val="right"/>
            </w:pPr>
            <w:r>
              <w:t>120,210</w:t>
            </w:r>
          </w:p>
        </w:tc>
      </w:tr>
      <w:tr w:rsidR="00DE74D5" w14:paraId="077A8618" w14:textId="77777777" w:rsidTr="002549A6">
        <w:tc>
          <w:tcPr>
            <w:tcW w:w="693" w:type="dxa"/>
          </w:tcPr>
          <w:p w14:paraId="649883A4" w14:textId="77777777" w:rsidR="00DE74D5" w:rsidRDefault="00DE74D5" w:rsidP="002549A6">
            <w:pPr>
              <w:pStyle w:val="Tabletextcentred"/>
              <w:keepNext/>
              <w:jc w:val="left"/>
            </w:pPr>
            <w:r>
              <w:t>#9</w:t>
            </w:r>
          </w:p>
        </w:tc>
        <w:tc>
          <w:tcPr>
            <w:tcW w:w="6095" w:type="dxa"/>
          </w:tcPr>
          <w:p w14:paraId="49FF2948" w14:textId="77777777" w:rsidR="00DE74D5" w:rsidRPr="00C26210" w:rsidRDefault="00DE74D5" w:rsidP="002549A6">
            <w:pPr>
              <w:pStyle w:val="Tabletextcentred"/>
              <w:keepNext/>
              <w:jc w:val="left"/>
            </w:pPr>
            <w:r>
              <w:t>‘fluorodeoxyglucose f 18’/exp</w:t>
            </w:r>
          </w:p>
        </w:tc>
        <w:tc>
          <w:tcPr>
            <w:tcW w:w="1508" w:type="dxa"/>
          </w:tcPr>
          <w:p w14:paraId="5CDF8EEA" w14:textId="77777777" w:rsidR="00DE74D5" w:rsidRPr="00C26210" w:rsidRDefault="00DE74D5" w:rsidP="002549A6">
            <w:pPr>
              <w:pStyle w:val="Tabletextcentred"/>
              <w:keepNext/>
              <w:jc w:val="right"/>
            </w:pPr>
            <w:r>
              <w:t>34,457</w:t>
            </w:r>
          </w:p>
        </w:tc>
      </w:tr>
      <w:tr w:rsidR="00DE74D5" w14:paraId="34C9C9B1" w14:textId="77777777" w:rsidTr="002549A6">
        <w:tc>
          <w:tcPr>
            <w:tcW w:w="693" w:type="dxa"/>
          </w:tcPr>
          <w:p w14:paraId="02770D75" w14:textId="77777777" w:rsidR="00DE74D5" w:rsidRDefault="00DE74D5" w:rsidP="002549A6">
            <w:pPr>
              <w:pStyle w:val="Tabletextcentred"/>
              <w:keepNext/>
              <w:jc w:val="left"/>
            </w:pPr>
            <w:r>
              <w:t>#10</w:t>
            </w:r>
          </w:p>
        </w:tc>
        <w:tc>
          <w:tcPr>
            <w:tcW w:w="6095" w:type="dxa"/>
          </w:tcPr>
          <w:p w14:paraId="2C4BE09A" w14:textId="77777777" w:rsidR="00DE74D5" w:rsidRPr="00C26210" w:rsidRDefault="00DE74D5" w:rsidP="002549A6">
            <w:pPr>
              <w:pStyle w:val="Tabletextcentred"/>
              <w:keepNext/>
              <w:jc w:val="left"/>
            </w:pPr>
            <w:r>
              <w:t>‘fluorodeoxyglucose’/exp</w:t>
            </w:r>
          </w:p>
        </w:tc>
        <w:tc>
          <w:tcPr>
            <w:tcW w:w="1508" w:type="dxa"/>
          </w:tcPr>
          <w:p w14:paraId="75F43608" w14:textId="77777777" w:rsidR="00DE74D5" w:rsidRPr="00C26210" w:rsidRDefault="00DE74D5" w:rsidP="002549A6">
            <w:pPr>
              <w:pStyle w:val="Tabletextcentred"/>
              <w:keepNext/>
              <w:jc w:val="right"/>
            </w:pPr>
            <w:r>
              <w:t>6,414</w:t>
            </w:r>
          </w:p>
        </w:tc>
      </w:tr>
      <w:tr w:rsidR="00DE74D5" w14:paraId="2D870107" w14:textId="77777777" w:rsidTr="002549A6">
        <w:tc>
          <w:tcPr>
            <w:tcW w:w="693" w:type="dxa"/>
          </w:tcPr>
          <w:p w14:paraId="3C4B5DA6" w14:textId="77777777" w:rsidR="00DE74D5" w:rsidRDefault="00DE74D5" w:rsidP="002549A6">
            <w:pPr>
              <w:pStyle w:val="Tabletextcentred"/>
              <w:keepNext/>
              <w:jc w:val="left"/>
            </w:pPr>
            <w:r>
              <w:t>#11</w:t>
            </w:r>
          </w:p>
        </w:tc>
        <w:tc>
          <w:tcPr>
            <w:tcW w:w="6095" w:type="dxa"/>
          </w:tcPr>
          <w:p w14:paraId="325474AF" w14:textId="77777777" w:rsidR="00DE74D5" w:rsidRPr="00C26210" w:rsidRDefault="00DE74D5" w:rsidP="002549A6">
            <w:pPr>
              <w:pStyle w:val="Tabletextcentred"/>
              <w:keepNext/>
              <w:jc w:val="left"/>
            </w:pPr>
            <w:r>
              <w:t>fdg OR fludeoxyglucose OR ‘18f fdg’ OR 18fdg OR fdg18 OR flurodeoxyglucose</w:t>
            </w:r>
          </w:p>
        </w:tc>
        <w:tc>
          <w:tcPr>
            <w:tcW w:w="1508" w:type="dxa"/>
          </w:tcPr>
          <w:p w14:paraId="6D0D2D12" w14:textId="77777777" w:rsidR="00DE74D5" w:rsidRPr="00C26210" w:rsidRDefault="00DE74D5" w:rsidP="002549A6">
            <w:pPr>
              <w:pStyle w:val="Tabletextcentred"/>
              <w:keepNext/>
              <w:jc w:val="right"/>
            </w:pPr>
            <w:r>
              <w:t>31,819</w:t>
            </w:r>
          </w:p>
        </w:tc>
      </w:tr>
      <w:tr w:rsidR="00DE74D5" w14:paraId="1436090D" w14:textId="77777777" w:rsidTr="002549A6">
        <w:tc>
          <w:tcPr>
            <w:tcW w:w="693" w:type="dxa"/>
          </w:tcPr>
          <w:p w14:paraId="2F3F3C31" w14:textId="77777777" w:rsidR="00DE74D5" w:rsidRDefault="00DE74D5" w:rsidP="002549A6">
            <w:pPr>
              <w:pStyle w:val="Tabletextcentred"/>
              <w:keepNext/>
              <w:jc w:val="left"/>
            </w:pPr>
            <w:r>
              <w:t>#12</w:t>
            </w:r>
          </w:p>
        </w:tc>
        <w:tc>
          <w:tcPr>
            <w:tcW w:w="6095" w:type="dxa"/>
          </w:tcPr>
          <w:p w14:paraId="27F4E4B1" w14:textId="77777777" w:rsidR="00DE74D5" w:rsidRPr="00C26210" w:rsidRDefault="00DE74D5" w:rsidP="002549A6">
            <w:pPr>
              <w:pStyle w:val="Tabletextcentred"/>
              <w:keepNext/>
              <w:jc w:val="left"/>
            </w:pPr>
            <w:r>
              <w:t>‘cerebral metabolic rate’ OR cmrgl OR rcmrglu</w:t>
            </w:r>
          </w:p>
        </w:tc>
        <w:tc>
          <w:tcPr>
            <w:tcW w:w="1508" w:type="dxa"/>
          </w:tcPr>
          <w:p w14:paraId="78F61950" w14:textId="77777777" w:rsidR="00DE74D5" w:rsidRPr="00C26210" w:rsidRDefault="00DE74D5" w:rsidP="002549A6">
            <w:pPr>
              <w:pStyle w:val="Tabletextcentred"/>
              <w:keepNext/>
              <w:jc w:val="right"/>
            </w:pPr>
            <w:r>
              <w:t>2,096</w:t>
            </w:r>
          </w:p>
        </w:tc>
      </w:tr>
      <w:tr w:rsidR="00DE74D5" w14:paraId="7D10D991" w14:textId="77777777" w:rsidTr="002549A6">
        <w:tc>
          <w:tcPr>
            <w:tcW w:w="693" w:type="dxa"/>
          </w:tcPr>
          <w:p w14:paraId="7805FC47" w14:textId="77777777" w:rsidR="00DE74D5" w:rsidRDefault="00DE74D5" w:rsidP="002549A6">
            <w:pPr>
              <w:pStyle w:val="Tabletextcentred"/>
              <w:keepNext/>
              <w:jc w:val="left"/>
            </w:pPr>
            <w:r>
              <w:t>#13</w:t>
            </w:r>
          </w:p>
        </w:tc>
        <w:tc>
          <w:tcPr>
            <w:tcW w:w="6095" w:type="dxa"/>
          </w:tcPr>
          <w:p w14:paraId="18AC37B7" w14:textId="77777777" w:rsidR="00DE74D5" w:rsidRPr="00C26210" w:rsidRDefault="00DE74D5" w:rsidP="002549A6">
            <w:pPr>
              <w:pStyle w:val="Tabletextcentred"/>
              <w:keepNext/>
              <w:jc w:val="left"/>
            </w:pPr>
            <w:r>
              <w:t>#8 OR #9 OR #10 OR #11 OR #12</w:t>
            </w:r>
          </w:p>
        </w:tc>
        <w:tc>
          <w:tcPr>
            <w:tcW w:w="1508" w:type="dxa"/>
          </w:tcPr>
          <w:p w14:paraId="21E22E24" w14:textId="77777777" w:rsidR="00DE74D5" w:rsidRPr="00C26210" w:rsidRDefault="00DE74D5" w:rsidP="002549A6">
            <w:pPr>
              <w:pStyle w:val="Tabletextcentred"/>
              <w:keepNext/>
              <w:jc w:val="right"/>
            </w:pPr>
            <w:r>
              <w:t>164,028</w:t>
            </w:r>
          </w:p>
        </w:tc>
      </w:tr>
      <w:tr w:rsidR="00DE74D5" w14:paraId="238A27C3" w14:textId="77777777" w:rsidTr="002549A6">
        <w:tc>
          <w:tcPr>
            <w:tcW w:w="693" w:type="dxa"/>
          </w:tcPr>
          <w:p w14:paraId="0A777C40" w14:textId="77777777" w:rsidR="00DE74D5" w:rsidRDefault="00DE74D5" w:rsidP="002549A6">
            <w:pPr>
              <w:pStyle w:val="Tabletextcentred"/>
              <w:keepNext/>
              <w:jc w:val="left"/>
            </w:pPr>
            <w:r>
              <w:t>#14</w:t>
            </w:r>
          </w:p>
        </w:tc>
        <w:tc>
          <w:tcPr>
            <w:tcW w:w="6095" w:type="dxa"/>
          </w:tcPr>
          <w:p w14:paraId="24E65E5F" w14:textId="77777777" w:rsidR="00DE74D5" w:rsidRPr="00C26210" w:rsidRDefault="00DE74D5" w:rsidP="002549A6">
            <w:pPr>
              <w:pStyle w:val="Tabletextcentred"/>
              <w:keepNext/>
              <w:jc w:val="left"/>
            </w:pPr>
            <w:r>
              <w:t>#7 AND #13</w:t>
            </w:r>
          </w:p>
        </w:tc>
        <w:tc>
          <w:tcPr>
            <w:tcW w:w="1508" w:type="dxa"/>
          </w:tcPr>
          <w:p w14:paraId="34BF220D" w14:textId="77777777" w:rsidR="00DE74D5" w:rsidRPr="00C26210" w:rsidRDefault="00DE74D5" w:rsidP="002549A6">
            <w:pPr>
              <w:pStyle w:val="Tabletextcentred"/>
              <w:keepNext/>
              <w:jc w:val="right"/>
            </w:pPr>
            <w:r>
              <w:t>4,006</w:t>
            </w:r>
          </w:p>
        </w:tc>
      </w:tr>
      <w:tr w:rsidR="00DE74D5" w14:paraId="3DAF302A" w14:textId="77777777" w:rsidTr="002549A6">
        <w:tc>
          <w:tcPr>
            <w:tcW w:w="693" w:type="dxa"/>
          </w:tcPr>
          <w:p w14:paraId="062431EB" w14:textId="77777777" w:rsidR="00DE74D5" w:rsidRDefault="00DE74D5" w:rsidP="002549A6">
            <w:pPr>
              <w:pStyle w:val="Tabletextcentred"/>
              <w:keepNext/>
              <w:jc w:val="left"/>
            </w:pPr>
            <w:r>
              <w:t>#15</w:t>
            </w:r>
          </w:p>
        </w:tc>
        <w:tc>
          <w:tcPr>
            <w:tcW w:w="6095" w:type="dxa"/>
          </w:tcPr>
          <w:p w14:paraId="359BC230" w14:textId="77777777" w:rsidR="00DE74D5" w:rsidRPr="00C26210" w:rsidRDefault="00DE74D5" w:rsidP="002549A6">
            <w:pPr>
              <w:pStyle w:val="Tabletextcentred"/>
              <w:keepNext/>
              <w:jc w:val="left"/>
            </w:pPr>
            <w:r>
              <w:t>#14 AND [humans]/lim AND [english]/lim</w:t>
            </w:r>
          </w:p>
        </w:tc>
        <w:tc>
          <w:tcPr>
            <w:tcW w:w="1508" w:type="dxa"/>
          </w:tcPr>
          <w:p w14:paraId="33757FA8" w14:textId="77777777" w:rsidR="00DE74D5" w:rsidRPr="00C26210" w:rsidRDefault="00DE74D5" w:rsidP="002549A6">
            <w:pPr>
              <w:pStyle w:val="Tabletextcentred"/>
              <w:keepNext/>
              <w:jc w:val="right"/>
            </w:pPr>
            <w:r>
              <w:t>3,347</w:t>
            </w:r>
          </w:p>
        </w:tc>
      </w:tr>
      <w:tr w:rsidR="00DE74D5" w14:paraId="3654E1C1" w14:textId="77777777" w:rsidTr="002549A6">
        <w:tc>
          <w:tcPr>
            <w:tcW w:w="693" w:type="dxa"/>
          </w:tcPr>
          <w:p w14:paraId="04D796D3" w14:textId="77777777" w:rsidR="00DE74D5" w:rsidRDefault="00DE74D5" w:rsidP="002549A6">
            <w:pPr>
              <w:pStyle w:val="Tabletextcentred"/>
              <w:keepNext/>
              <w:jc w:val="left"/>
            </w:pPr>
            <w:r>
              <w:t>#16</w:t>
            </w:r>
          </w:p>
        </w:tc>
        <w:tc>
          <w:tcPr>
            <w:tcW w:w="6095" w:type="dxa"/>
          </w:tcPr>
          <w:p w14:paraId="5DC1CEC7" w14:textId="77777777" w:rsidR="00DE74D5" w:rsidRPr="00C26210" w:rsidRDefault="00DE74D5" w:rsidP="002549A6">
            <w:pPr>
              <w:pStyle w:val="Tabletextcentred"/>
              <w:keepNext/>
              <w:jc w:val="left"/>
            </w:pPr>
            <w:r>
              <w:t>#15 AND ‘case report’/de</w:t>
            </w:r>
          </w:p>
        </w:tc>
        <w:tc>
          <w:tcPr>
            <w:tcW w:w="1508" w:type="dxa"/>
          </w:tcPr>
          <w:p w14:paraId="6F2695FC" w14:textId="77777777" w:rsidR="00DE74D5" w:rsidRPr="00C26210" w:rsidRDefault="00DE74D5" w:rsidP="002549A6">
            <w:pPr>
              <w:pStyle w:val="Tabletextcentred"/>
              <w:keepNext/>
              <w:jc w:val="right"/>
            </w:pPr>
            <w:r>
              <w:t>346</w:t>
            </w:r>
          </w:p>
        </w:tc>
      </w:tr>
      <w:tr w:rsidR="00DE74D5" w14:paraId="15DCB8A3" w14:textId="77777777" w:rsidTr="002549A6">
        <w:tc>
          <w:tcPr>
            <w:tcW w:w="693" w:type="dxa"/>
          </w:tcPr>
          <w:p w14:paraId="716570AB" w14:textId="77777777" w:rsidR="00DE74D5" w:rsidRDefault="00DE74D5" w:rsidP="002549A6">
            <w:pPr>
              <w:pStyle w:val="Tabletextcentred"/>
              <w:keepNext/>
              <w:jc w:val="left"/>
            </w:pPr>
            <w:r>
              <w:t>#17</w:t>
            </w:r>
          </w:p>
        </w:tc>
        <w:tc>
          <w:tcPr>
            <w:tcW w:w="6095" w:type="dxa"/>
          </w:tcPr>
          <w:p w14:paraId="5BA03BDE" w14:textId="77777777" w:rsidR="00DE74D5" w:rsidRPr="00C26210" w:rsidRDefault="00DE74D5" w:rsidP="002549A6">
            <w:pPr>
              <w:pStyle w:val="Tabletextcentred"/>
              <w:keepNext/>
              <w:jc w:val="left"/>
            </w:pPr>
            <w:r>
              <w:t>#15 NOT #16</w:t>
            </w:r>
          </w:p>
        </w:tc>
        <w:tc>
          <w:tcPr>
            <w:tcW w:w="1508" w:type="dxa"/>
          </w:tcPr>
          <w:p w14:paraId="2D259548" w14:textId="77777777" w:rsidR="00DE74D5" w:rsidRPr="00C26210" w:rsidRDefault="00DE74D5" w:rsidP="002549A6">
            <w:pPr>
              <w:pStyle w:val="Tabletextcentred"/>
              <w:keepNext/>
              <w:jc w:val="right"/>
            </w:pPr>
            <w:r>
              <w:t>3,001</w:t>
            </w:r>
          </w:p>
        </w:tc>
      </w:tr>
      <w:tr w:rsidR="00DE74D5" w14:paraId="0E88EC00" w14:textId="77777777" w:rsidTr="002549A6">
        <w:tc>
          <w:tcPr>
            <w:tcW w:w="693" w:type="dxa"/>
          </w:tcPr>
          <w:p w14:paraId="4FA3F1A6" w14:textId="77777777" w:rsidR="00DE74D5" w:rsidRDefault="00DE74D5" w:rsidP="002549A6">
            <w:pPr>
              <w:pStyle w:val="Tabletextcentred"/>
              <w:keepNext/>
              <w:jc w:val="left"/>
            </w:pPr>
            <w:r>
              <w:t>#18</w:t>
            </w:r>
          </w:p>
        </w:tc>
        <w:tc>
          <w:tcPr>
            <w:tcW w:w="6095" w:type="dxa"/>
          </w:tcPr>
          <w:p w14:paraId="5F7A3C21" w14:textId="77777777" w:rsidR="00DE74D5" w:rsidRPr="00C26210" w:rsidRDefault="00DE74D5" w:rsidP="002549A6">
            <w:pPr>
              <w:pStyle w:val="Tabletextcentred"/>
              <w:keepNext/>
              <w:jc w:val="left"/>
            </w:pPr>
            <w:r>
              <w:t>#17 AND ‘conference abstract’/it</w:t>
            </w:r>
          </w:p>
        </w:tc>
        <w:tc>
          <w:tcPr>
            <w:tcW w:w="1508" w:type="dxa"/>
          </w:tcPr>
          <w:p w14:paraId="6F619B1F" w14:textId="77777777" w:rsidR="00DE74D5" w:rsidRPr="00C26210" w:rsidRDefault="00DE74D5" w:rsidP="002549A6">
            <w:pPr>
              <w:pStyle w:val="Tabletextcentred"/>
              <w:keepNext/>
              <w:jc w:val="right"/>
            </w:pPr>
            <w:r>
              <w:t>796</w:t>
            </w:r>
          </w:p>
        </w:tc>
      </w:tr>
      <w:tr w:rsidR="00DE74D5" w14:paraId="24795490" w14:textId="77777777" w:rsidTr="002549A6">
        <w:tc>
          <w:tcPr>
            <w:tcW w:w="693" w:type="dxa"/>
          </w:tcPr>
          <w:p w14:paraId="35D279AB" w14:textId="77777777" w:rsidR="00DE74D5" w:rsidRDefault="00DE74D5" w:rsidP="002549A6">
            <w:pPr>
              <w:pStyle w:val="Tabletextcentred"/>
              <w:keepNext/>
              <w:jc w:val="left"/>
            </w:pPr>
            <w:r>
              <w:t>#19</w:t>
            </w:r>
          </w:p>
        </w:tc>
        <w:tc>
          <w:tcPr>
            <w:tcW w:w="6095" w:type="dxa"/>
          </w:tcPr>
          <w:p w14:paraId="66925B67" w14:textId="77777777" w:rsidR="00DE74D5" w:rsidRPr="00C26210" w:rsidRDefault="00DE74D5" w:rsidP="002549A6">
            <w:pPr>
              <w:pStyle w:val="Tabletextcentred"/>
              <w:keepNext/>
              <w:jc w:val="left"/>
            </w:pPr>
            <w:r>
              <w:t>#17 NOT #18</w:t>
            </w:r>
          </w:p>
        </w:tc>
        <w:tc>
          <w:tcPr>
            <w:tcW w:w="1508" w:type="dxa"/>
          </w:tcPr>
          <w:p w14:paraId="17C966CC" w14:textId="77777777" w:rsidR="00DE74D5" w:rsidRPr="00C26210" w:rsidRDefault="00DE74D5" w:rsidP="002549A6">
            <w:pPr>
              <w:pStyle w:val="Tabletextcentred"/>
              <w:keepNext/>
              <w:jc w:val="right"/>
            </w:pPr>
            <w:r>
              <w:t>2,205</w:t>
            </w:r>
          </w:p>
        </w:tc>
      </w:tr>
    </w:tbl>
    <w:p w14:paraId="67DA1495" w14:textId="77777777" w:rsidR="00D9049C" w:rsidRPr="00D9049C" w:rsidRDefault="00D9049C" w:rsidP="00BE1D05">
      <w:pPr>
        <w:pStyle w:val="Tablefootnotes"/>
        <w:spacing w:after="240"/>
      </w:pPr>
    </w:p>
    <w:p w14:paraId="59290BE0" w14:textId="658FE6A6" w:rsidR="00BE1D05" w:rsidRPr="00BE1D05" w:rsidRDefault="00BE1D05" w:rsidP="00BE1D05">
      <w:r w:rsidRPr="00D9049C">
        <w:t xml:space="preserve">A literature search was </w:t>
      </w:r>
      <w:r>
        <w:t xml:space="preserve">also </w:t>
      </w:r>
      <w:r w:rsidRPr="00D9049C">
        <w:t xml:space="preserve">conducted of </w:t>
      </w:r>
      <w:r>
        <w:t xml:space="preserve">the </w:t>
      </w:r>
      <w:r w:rsidRPr="00BE1D05">
        <w:t>Cochrane Library</w:t>
      </w:r>
      <w:r>
        <w:t xml:space="preserve"> </w:t>
      </w:r>
      <w:r w:rsidRPr="00D9049C">
        <w:t>(Cochrane Reviews, Other Reviews, Technology Assessments</w:t>
      </w:r>
      <w:r>
        <w:t>, Economic Evaluations, Trials</w:t>
      </w:r>
      <w:r w:rsidRPr="00D9049C">
        <w:t>) to identify studies of FDG-PET for the diagnosis of AD</w:t>
      </w:r>
      <w:r w:rsidRPr="00BE1D05">
        <w:t xml:space="preserve">. The search terms are shown in </w:t>
      </w:r>
      <w:r>
        <w:t xml:space="preserve">Table </w:t>
      </w:r>
      <w:r w:rsidRPr="00BE1D05">
        <w:t>A2.2</w:t>
      </w:r>
    </w:p>
    <w:p w14:paraId="16B96A84" w14:textId="1788A96A" w:rsidR="00BE1D05" w:rsidRPr="00D9049C" w:rsidRDefault="00BE1D05" w:rsidP="00BE1D05">
      <w:pPr>
        <w:pStyle w:val="Caption"/>
      </w:pPr>
      <w:r>
        <w:t>Table A</w:t>
      </w:r>
      <w:r w:rsidRPr="00D9049C">
        <w:t>2.</w:t>
      </w:r>
      <w:r>
        <w:t>2</w:t>
      </w:r>
      <w:r w:rsidR="00040904">
        <w:tab/>
      </w:r>
      <w:r>
        <w:t>Cochrane Library search terms to identify clinical evidence for FDG-PET in AD</w:t>
      </w:r>
    </w:p>
    <w:tbl>
      <w:tblPr>
        <w:tblStyle w:val="TableGrid"/>
        <w:tblW w:w="0" w:type="auto"/>
        <w:tblInd w:w="720" w:type="dxa"/>
        <w:tblLook w:val="04A0" w:firstRow="1" w:lastRow="0" w:firstColumn="1" w:lastColumn="0" w:noHBand="0" w:noVBand="1"/>
        <w:tblCaption w:val="Cochrane Library search terms "/>
        <w:tblDescription w:val="Search terms used to identify clinical evidence for FDG-PET in AD"/>
      </w:tblPr>
      <w:tblGrid>
        <w:gridCol w:w="693"/>
        <w:gridCol w:w="6095"/>
        <w:gridCol w:w="1508"/>
      </w:tblGrid>
      <w:tr w:rsidR="00BE1D05" w14:paraId="6C538413" w14:textId="77777777" w:rsidTr="00BE1D05">
        <w:trPr>
          <w:tblHeader/>
        </w:trPr>
        <w:tc>
          <w:tcPr>
            <w:tcW w:w="693" w:type="dxa"/>
          </w:tcPr>
          <w:p w14:paraId="62381122" w14:textId="77777777" w:rsidR="00BE1D05" w:rsidRDefault="00BE1D05" w:rsidP="00BE1D05">
            <w:pPr>
              <w:pStyle w:val="Tabletextboldleft"/>
            </w:pPr>
            <w:r>
              <w:t>#</w:t>
            </w:r>
          </w:p>
        </w:tc>
        <w:tc>
          <w:tcPr>
            <w:tcW w:w="6095" w:type="dxa"/>
          </w:tcPr>
          <w:p w14:paraId="1BF6349F" w14:textId="77777777" w:rsidR="00BE1D05" w:rsidRDefault="00BE1D05" w:rsidP="00BE1D05">
            <w:pPr>
              <w:pStyle w:val="Tabletextboldleft"/>
            </w:pPr>
            <w:r>
              <w:t>Query</w:t>
            </w:r>
          </w:p>
        </w:tc>
        <w:tc>
          <w:tcPr>
            <w:tcW w:w="1508" w:type="dxa"/>
          </w:tcPr>
          <w:p w14:paraId="4F4D877C" w14:textId="77777777" w:rsidR="00BE1D05" w:rsidRDefault="00BE1D05" w:rsidP="00BE1D05">
            <w:pPr>
              <w:pStyle w:val="Tabletextboldleft"/>
              <w:jc w:val="right"/>
            </w:pPr>
            <w:r>
              <w:t>No. of citations</w:t>
            </w:r>
          </w:p>
        </w:tc>
      </w:tr>
      <w:tr w:rsidR="00BE1D05" w14:paraId="7E646422" w14:textId="77777777" w:rsidTr="00BE1D05">
        <w:tc>
          <w:tcPr>
            <w:tcW w:w="693" w:type="dxa"/>
          </w:tcPr>
          <w:p w14:paraId="5AFEB98C" w14:textId="77777777" w:rsidR="00BE1D05" w:rsidRDefault="00BE1D05" w:rsidP="00BE1D05">
            <w:pPr>
              <w:pStyle w:val="Tabletextcentred"/>
              <w:keepNext/>
              <w:jc w:val="left"/>
            </w:pPr>
            <w:r>
              <w:t>#1</w:t>
            </w:r>
          </w:p>
        </w:tc>
        <w:tc>
          <w:tcPr>
            <w:tcW w:w="6095" w:type="dxa"/>
          </w:tcPr>
          <w:p w14:paraId="79211862" w14:textId="77777777" w:rsidR="00BE1D05" w:rsidRPr="00C26210" w:rsidRDefault="00BE1D05" w:rsidP="00BE1D05">
            <w:pPr>
              <w:pStyle w:val="Tabletextcentred"/>
              <w:keepNext/>
              <w:jc w:val="left"/>
            </w:pPr>
            <w:r w:rsidRPr="008A1A32">
              <w:t>"Alzheimer's disease" or dementia or alzheimer or "mild cognitive impairment" or MCI</w:t>
            </w:r>
          </w:p>
        </w:tc>
        <w:tc>
          <w:tcPr>
            <w:tcW w:w="1508" w:type="dxa"/>
          </w:tcPr>
          <w:p w14:paraId="05B1505B" w14:textId="77777777" w:rsidR="00BE1D05" w:rsidRDefault="00BE1D05" w:rsidP="00BE1D05">
            <w:pPr>
              <w:pStyle w:val="Tabletextcentred"/>
              <w:keepNext/>
              <w:jc w:val="right"/>
            </w:pPr>
            <w:r>
              <w:t>-</w:t>
            </w:r>
          </w:p>
        </w:tc>
      </w:tr>
      <w:tr w:rsidR="00BE1D05" w14:paraId="2BA1EB64" w14:textId="77777777" w:rsidTr="00BE1D05">
        <w:tc>
          <w:tcPr>
            <w:tcW w:w="693" w:type="dxa"/>
          </w:tcPr>
          <w:p w14:paraId="6C626B94" w14:textId="77777777" w:rsidR="00BE1D05" w:rsidRDefault="00BE1D05" w:rsidP="00BE1D05">
            <w:pPr>
              <w:pStyle w:val="Tabletextcentred"/>
              <w:keepNext/>
              <w:jc w:val="left"/>
            </w:pPr>
            <w:r>
              <w:t>#2</w:t>
            </w:r>
          </w:p>
        </w:tc>
        <w:tc>
          <w:tcPr>
            <w:tcW w:w="6095" w:type="dxa"/>
          </w:tcPr>
          <w:p w14:paraId="16C5F717" w14:textId="71BE0B37" w:rsidR="00BE1D05" w:rsidRDefault="00BE1D05" w:rsidP="00BE1D05">
            <w:pPr>
              <w:pStyle w:val="Tabletextcentred"/>
              <w:keepNext/>
              <w:jc w:val="left"/>
            </w:pPr>
            <w:r w:rsidRPr="008A1A32">
              <w:t>PET or "positron emission tomography" or neuroimaging or "functional imaging"</w:t>
            </w:r>
            <w:r>
              <w:t xml:space="preserve"> </w:t>
            </w:r>
            <w:r>
              <w:rPr>
                <w:i/>
              </w:rPr>
              <w:t>[Title/Abstract/Keyword]</w:t>
            </w:r>
          </w:p>
        </w:tc>
        <w:tc>
          <w:tcPr>
            <w:tcW w:w="1508" w:type="dxa"/>
          </w:tcPr>
          <w:p w14:paraId="43A4FD9B" w14:textId="77777777" w:rsidR="00BE1D05" w:rsidRDefault="00BE1D05" w:rsidP="00BE1D05">
            <w:pPr>
              <w:pStyle w:val="Tabletextcentred"/>
              <w:keepNext/>
              <w:jc w:val="right"/>
            </w:pPr>
            <w:r>
              <w:t>-</w:t>
            </w:r>
          </w:p>
        </w:tc>
      </w:tr>
      <w:tr w:rsidR="00BE1D05" w14:paraId="1146E246" w14:textId="77777777" w:rsidTr="00BE1D05">
        <w:tc>
          <w:tcPr>
            <w:tcW w:w="693" w:type="dxa"/>
          </w:tcPr>
          <w:p w14:paraId="7DD02B20" w14:textId="77777777" w:rsidR="00BE1D05" w:rsidRDefault="00BE1D05" w:rsidP="00BE1D05">
            <w:pPr>
              <w:pStyle w:val="Tabletextcentred"/>
              <w:keepNext/>
              <w:jc w:val="left"/>
            </w:pPr>
            <w:r>
              <w:t>#3</w:t>
            </w:r>
          </w:p>
        </w:tc>
        <w:tc>
          <w:tcPr>
            <w:tcW w:w="6095" w:type="dxa"/>
          </w:tcPr>
          <w:p w14:paraId="361355A0" w14:textId="77777777" w:rsidR="00BE1D05" w:rsidRPr="008A1A32" w:rsidRDefault="00BE1D05" w:rsidP="00BE1D05">
            <w:pPr>
              <w:pStyle w:val="Tabletextcentred"/>
              <w:keepNext/>
              <w:jc w:val="left"/>
            </w:pPr>
            <w:r>
              <w:t>#1 AND #2</w:t>
            </w:r>
          </w:p>
        </w:tc>
        <w:tc>
          <w:tcPr>
            <w:tcW w:w="1508" w:type="dxa"/>
          </w:tcPr>
          <w:p w14:paraId="1EC89D4A" w14:textId="77777777" w:rsidR="00BE1D05" w:rsidRDefault="00BE1D05" w:rsidP="00BE1D05">
            <w:pPr>
              <w:pStyle w:val="Tabletextcentred"/>
              <w:keepNext/>
              <w:jc w:val="right"/>
            </w:pPr>
            <w:r>
              <w:t>284</w:t>
            </w:r>
          </w:p>
        </w:tc>
      </w:tr>
    </w:tbl>
    <w:p w14:paraId="6763485B" w14:textId="77777777" w:rsidR="00BE1D05" w:rsidRPr="00BE1D05" w:rsidRDefault="00BE1D05" w:rsidP="00BE1D05">
      <w:pPr>
        <w:pStyle w:val="Tablefootnotes"/>
        <w:spacing w:after="240"/>
      </w:pPr>
    </w:p>
    <w:p w14:paraId="0AC8B9F3" w14:textId="5C90691C" w:rsidR="00244635" w:rsidRPr="00D9049C" w:rsidRDefault="001D2EF2" w:rsidP="00244635">
      <w:r w:rsidRPr="00D9049C">
        <w:t xml:space="preserve">An additional </w:t>
      </w:r>
      <w:r w:rsidR="00244635" w:rsidRPr="00D9049C">
        <w:t xml:space="preserve">literature search was conducted of the Cochrane Library (Cochrane Reviews, Other Reviews, Technology Assessments) </w:t>
      </w:r>
      <w:r w:rsidR="00BE1D05">
        <w:t xml:space="preserve">on 17 November 2014 </w:t>
      </w:r>
      <w:r w:rsidR="00244635" w:rsidRPr="00D9049C">
        <w:t>to identify published systematic reviews of the effectiveness and safety of donepezil, galantamine, rivastigmine or memantine for the treatment of AD. The literature search was limited to recent evidence (2010 to November 2014). The search terms are shown below.</w:t>
      </w:r>
    </w:p>
    <w:p w14:paraId="4039F1E0" w14:textId="70D80F96" w:rsidR="00244635" w:rsidRPr="00D9049C" w:rsidRDefault="00B01635" w:rsidP="00244635">
      <w:pPr>
        <w:pStyle w:val="Caption"/>
      </w:pPr>
      <w:r>
        <w:lastRenderedPageBreak/>
        <w:t>Table A</w:t>
      </w:r>
      <w:r w:rsidR="00244635" w:rsidRPr="00D9049C">
        <w:t>2.</w:t>
      </w:r>
      <w:r w:rsidR="00BE1D05">
        <w:t>3</w:t>
      </w:r>
      <w:r w:rsidR="00D9049C" w:rsidRPr="00D9049C">
        <w:tab/>
      </w:r>
      <w:r w:rsidR="00BE1D05">
        <w:t>Cochrane Library search terms for treatment of AD</w:t>
      </w:r>
    </w:p>
    <w:tbl>
      <w:tblPr>
        <w:tblStyle w:val="TableGrid"/>
        <w:tblW w:w="0" w:type="auto"/>
        <w:tblInd w:w="720" w:type="dxa"/>
        <w:tblLook w:val="04A0" w:firstRow="1" w:lastRow="0" w:firstColumn="1" w:lastColumn="0" w:noHBand="0" w:noVBand="1"/>
        <w:tblCaption w:val="Search terms used to search Cochrane library, Cochrane reviews, and other Health Technology Assessments"/>
      </w:tblPr>
      <w:tblGrid>
        <w:gridCol w:w="664"/>
        <w:gridCol w:w="6095"/>
        <w:gridCol w:w="1537"/>
      </w:tblGrid>
      <w:tr w:rsidR="00244635" w:rsidRPr="00D9049C" w14:paraId="03C46507" w14:textId="77777777" w:rsidTr="00BE1D05">
        <w:trPr>
          <w:tblHeader/>
        </w:trPr>
        <w:tc>
          <w:tcPr>
            <w:tcW w:w="664" w:type="dxa"/>
            <w:tcBorders>
              <w:bottom w:val="single" w:sz="4" w:space="0" w:color="auto"/>
            </w:tcBorders>
          </w:tcPr>
          <w:p w14:paraId="0A010721" w14:textId="512F52BD" w:rsidR="00244635" w:rsidRPr="00D9049C" w:rsidRDefault="00BE1D05" w:rsidP="00BF2422">
            <w:pPr>
              <w:pStyle w:val="Tabletextboldleft"/>
            </w:pPr>
            <w:r>
              <w:t>#</w:t>
            </w:r>
          </w:p>
        </w:tc>
        <w:tc>
          <w:tcPr>
            <w:tcW w:w="6095" w:type="dxa"/>
          </w:tcPr>
          <w:p w14:paraId="647B2DEA" w14:textId="77777777" w:rsidR="00244635" w:rsidRPr="00D9049C" w:rsidRDefault="00244635" w:rsidP="00BF2422">
            <w:pPr>
              <w:pStyle w:val="Tabletextboldleft"/>
            </w:pPr>
            <w:r w:rsidRPr="00D9049C">
              <w:t>Query</w:t>
            </w:r>
          </w:p>
        </w:tc>
        <w:tc>
          <w:tcPr>
            <w:tcW w:w="1537" w:type="dxa"/>
          </w:tcPr>
          <w:p w14:paraId="649D5B4C" w14:textId="77777777" w:rsidR="00244635" w:rsidRPr="00D9049C" w:rsidRDefault="00244635" w:rsidP="00BF2422">
            <w:pPr>
              <w:pStyle w:val="Tabletextboldleft"/>
              <w:jc w:val="right"/>
            </w:pPr>
            <w:r w:rsidRPr="00D9049C">
              <w:t>No. of citations</w:t>
            </w:r>
          </w:p>
        </w:tc>
      </w:tr>
      <w:tr w:rsidR="00244635" w:rsidRPr="00D9049C" w14:paraId="54384067" w14:textId="77777777" w:rsidTr="00BE1D05">
        <w:tc>
          <w:tcPr>
            <w:tcW w:w="664" w:type="dxa"/>
          </w:tcPr>
          <w:p w14:paraId="25042E4F" w14:textId="736B67D1" w:rsidR="00244635" w:rsidRPr="00D9049C" w:rsidRDefault="00BE1D05" w:rsidP="00244635">
            <w:pPr>
              <w:pStyle w:val="Tabletextcentred"/>
              <w:keepNext/>
              <w:jc w:val="left"/>
            </w:pPr>
            <w:r>
              <w:t>#1</w:t>
            </w:r>
          </w:p>
        </w:tc>
        <w:tc>
          <w:tcPr>
            <w:tcW w:w="6095" w:type="dxa"/>
          </w:tcPr>
          <w:p w14:paraId="2C7156A8" w14:textId="59FA5863" w:rsidR="00244635" w:rsidRPr="00D9049C" w:rsidRDefault="00244635" w:rsidP="00BE1D05">
            <w:pPr>
              <w:pStyle w:val="Tabletextcentred"/>
              <w:keepNext/>
              <w:jc w:val="left"/>
            </w:pPr>
            <w:r w:rsidRPr="00D9049C">
              <w:t xml:space="preserve">(cholinesterase or acetylcholinesterase or memantine or donepezil or galantamine or rivastigmine) </w:t>
            </w:r>
          </w:p>
        </w:tc>
        <w:tc>
          <w:tcPr>
            <w:tcW w:w="1537" w:type="dxa"/>
          </w:tcPr>
          <w:p w14:paraId="1316293A" w14:textId="2783E35B" w:rsidR="00244635" w:rsidRPr="00D9049C" w:rsidRDefault="00BE1D05" w:rsidP="00BF2422">
            <w:pPr>
              <w:pStyle w:val="Tabletextcentred"/>
              <w:keepNext/>
              <w:jc w:val="right"/>
            </w:pPr>
            <w:r>
              <w:t>-</w:t>
            </w:r>
          </w:p>
        </w:tc>
      </w:tr>
      <w:tr w:rsidR="00BE1D05" w:rsidRPr="00D9049C" w14:paraId="3CAFC082" w14:textId="77777777" w:rsidTr="00BE1D05">
        <w:tc>
          <w:tcPr>
            <w:tcW w:w="664" w:type="dxa"/>
          </w:tcPr>
          <w:p w14:paraId="609E20E9" w14:textId="14FD79E0" w:rsidR="00BE1D05" w:rsidRDefault="00BE1D05" w:rsidP="00244635">
            <w:pPr>
              <w:pStyle w:val="Tabletextcentred"/>
              <w:keepNext/>
              <w:jc w:val="left"/>
            </w:pPr>
            <w:r>
              <w:t>#2</w:t>
            </w:r>
          </w:p>
        </w:tc>
        <w:tc>
          <w:tcPr>
            <w:tcW w:w="6095" w:type="dxa"/>
          </w:tcPr>
          <w:p w14:paraId="2D6174BF" w14:textId="5C8EAFA3" w:rsidR="00BE1D05" w:rsidRPr="00D9049C" w:rsidRDefault="00BE1D05" w:rsidP="00BF2422">
            <w:pPr>
              <w:pStyle w:val="Tabletextcentred"/>
              <w:keepNext/>
              <w:jc w:val="left"/>
            </w:pPr>
            <w:r w:rsidRPr="00D9049C">
              <w:t>demen</w:t>
            </w:r>
            <w:r>
              <w:t>tia or Alzheimer's or Alzheimer</w:t>
            </w:r>
            <w:r w:rsidRPr="00D9049C">
              <w:t xml:space="preserve"> </w:t>
            </w:r>
            <w:r w:rsidRPr="00BE1D05">
              <w:rPr>
                <w:i/>
              </w:rPr>
              <w:t>[Title/Abstract/Keyword]</w:t>
            </w:r>
          </w:p>
        </w:tc>
        <w:tc>
          <w:tcPr>
            <w:tcW w:w="1537" w:type="dxa"/>
          </w:tcPr>
          <w:p w14:paraId="0EC87EA9" w14:textId="77242E52" w:rsidR="00BE1D05" w:rsidRPr="00D9049C" w:rsidRDefault="00BE1D05" w:rsidP="00BF2422">
            <w:pPr>
              <w:pStyle w:val="Tabletextcentred"/>
              <w:keepNext/>
              <w:jc w:val="right"/>
            </w:pPr>
            <w:r>
              <w:t>-</w:t>
            </w:r>
          </w:p>
        </w:tc>
      </w:tr>
      <w:tr w:rsidR="00BE1D05" w:rsidRPr="00D9049C" w14:paraId="76114674" w14:textId="77777777" w:rsidTr="00BE1D05">
        <w:tc>
          <w:tcPr>
            <w:tcW w:w="664" w:type="dxa"/>
            <w:tcBorders>
              <w:bottom w:val="single" w:sz="4" w:space="0" w:color="auto"/>
            </w:tcBorders>
          </w:tcPr>
          <w:p w14:paraId="2138A69D" w14:textId="5961431C" w:rsidR="00BE1D05" w:rsidRDefault="00BE1D05" w:rsidP="00244635">
            <w:pPr>
              <w:pStyle w:val="Tabletextcentred"/>
              <w:keepNext/>
              <w:jc w:val="left"/>
            </w:pPr>
            <w:r>
              <w:t>#3</w:t>
            </w:r>
          </w:p>
        </w:tc>
        <w:tc>
          <w:tcPr>
            <w:tcW w:w="6095" w:type="dxa"/>
            <w:tcBorders>
              <w:bottom w:val="single" w:sz="4" w:space="0" w:color="auto"/>
            </w:tcBorders>
          </w:tcPr>
          <w:p w14:paraId="155C9926" w14:textId="03586291" w:rsidR="00BE1D05" w:rsidRPr="00D9049C" w:rsidRDefault="00BE1D05" w:rsidP="00BF2422">
            <w:pPr>
              <w:pStyle w:val="Tabletextcentred"/>
              <w:keepNext/>
              <w:jc w:val="left"/>
            </w:pPr>
            <w:r>
              <w:t>#1 AND #2</w:t>
            </w:r>
          </w:p>
        </w:tc>
        <w:tc>
          <w:tcPr>
            <w:tcW w:w="1537" w:type="dxa"/>
            <w:tcBorders>
              <w:bottom w:val="single" w:sz="4" w:space="0" w:color="auto"/>
            </w:tcBorders>
          </w:tcPr>
          <w:p w14:paraId="1C6BFE8E" w14:textId="70C9FC89" w:rsidR="00BE1D05" w:rsidRPr="00D9049C" w:rsidRDefault="00BE1D05" w:rsidP="00BF2422">
            <w:pPr>
              <w:pStyle w:val="Tabletextcentred"/>
              <w:keepNext/>
              <w:jc w:val="right"/>
            </w:pPr>
            <w:r>
              <w:t>92</w:t>
            </w:r>
          </w:p>
        </w:tc>
      </w:tr>
    </w:tbl>
    <w:p w14:paraId="0D0BA150" w14:textId="77777777" w:rsidR="00244635" w:rsidRPr="00D9049C" w:rsidRDefault="00244635" w:rsidP="00244635">
      <w:pPr>
        <w:pStyle w:val="Tablefootnotes"/>
      </w:pPr>
    </w:p>
    <w:p w14:paraId="3811BF79" w14:textId="77777777" w:rsidR="007F6723" w:rsidRPr="00C620A9" w:rsidRDefault="007F6723" w:rsidP="00C620A9">
      <w:pPr>
        <w:pStyle w:val="aNormaltext"/>
        <w:numPr>
          <w:ilvl w:val="0"/>
          <w:numId w:val="0"/>
        </w:numPr>
        <w:ind w:left="720"/>
        <w:rPr>
          <w:rFonts w:ascii="Tahoma" w:hAnsi="Tahoma" w:cs="Tahoma"/>
          <w:b/>
          <w:sz w:val="28"/>
          <w:szCs w:val="28"/>
        </w:rPr>
      </w:pPr>
      <w:bookmarkStart w:id="343" w:name="_Toc406172456"/>
      <w:r w:rsidRPr="00C620A9">
        <w:rPr>
          <w:rFonts w:ascii="Tahoma" w:hAnsi="Tahoma" w:cs="Tahoma"/>
          <w:b/>
          <w:sz w:val="28"/>
          <w:szCs w:val="28"/>
        </w:rPr>
        <w:t>Literature searches to support the economic evaluation</w:t>
      </w:r>
      <w:bookmarkEnd w:id="343"/>
    </w:p>
    <w:p w14:paraId="1BEB54E8" w14:textId="77777777" w:rsidR="007F6723" w:rsidRPr="00D9049C" w:rsidRDefault="007F6723" w:rsidP="007F6723">
      <w:pPr>
        <w:pStyle w:val="Heading3"/>
        <w:numPr>
          <w:ilvl w:val="0"/>
          <w:numId w:val="0"/>
        </w:numPr>
        <w:ind w:left="720"/>
      </w:pPr>
      <w:r w:rsidRPr="00D9049C">
        <w:t>Literature search for Australian data</w:t>
      </w:r>
    </w:p>
    <w:p w14:paraId="2E251ADB" w14:textId="77777777" w:rsidR="007F6723" w:rsidRPr="00D9049C" w:rsidRDefault="007F6723" w:rsidP="007F6723">
      <w:r w:rsidRPr="00D9049C">
        <w:t>A literature search was conducted to identify Australian studies that could provide inputs for the economic model. The search strategy is shown below.</w:t>
      </w:r>
    </w:p>
    <w:p w14:paraId="6083FD7A" w14:textId="2BDAE3A8" w:rsidR="007F6723" w:rsidRPr="00D9049C" w:rsidRDefault="00B01635" w:rsidP="007F6723">
      <w:pPr>
        <w:pStyle w:val="Caption"/>
      </w:pPr>
      <w:r w:rsidRPr="00BE1D05">
        <w:t>Table A</w:t>
      </w:r>
      <w:r w:rsidR="00D9049C" w:rsidRPr="00BE1D05">
        <w:t>2.</w:t>
      </w:r>
      <w:r w:rsidR="00C620A9" w:rsidRPr="00BE1D05">
        <w:t>4</w:t>
      </w:r>
      <w:r w:rsidR="00D9049C" w:rsidRPr="00D9049C">
        <w:tab/>
      </w:r>
      <w:r w:rsidR="007F6723" w:rsidRPr="00D9049C">
        <w:t>Australian AD literature search terms and results</w:t>
      </w:r>
    </w:p>
    <w:tbl>
      <w:tblPr>
        <w:tblStyle w:val="TableGrid"/>
        <w:tblW w:w="0" w:type="auto"/>
        <w:tblInd w:w="720" w:type="dxa"/>
        <w:tblLook w:val="04A0" w:firstRow="1" w:lastRow="0" w:firstColumn="1" w:lastColumn="0" w:noHBand="0" w:noVBand="1"/>
        <w:tblCaption w:val="Australian AD literature search terms and results"/>
      </w:tblPr>
      <w:tblGrid>
        <w:gridCol w:w="2394"/>
        <w:gridCol w:w="4988"/>
        <w:gridCol w:w="914"/>
      </w:tblGrid>
      <w:tr w:rsidR="007F6723" w:rsidRPr="00D9049C" w14:paraId="7C1DF5C7" w14:textId="77777777" w:rsidTr="00556738">
        <w:trPr>
          <w:tblHeader/>
        </w:trPr>
        <w:tc>
          <w:tcPr>
            <w:tcW w:w="2394" w:type="dxa"/>
            <w:tcBorders>
              <w:bottom w:val="single" w:sz="4" w:space="0" w:color="auto"/>
            </w:tcBorders>
          </w:tcPr>
          <w:p w14:paraId="42A01AD2" w14:textId="77777777" w:rsidR="007F6723" w:rsidRPr="00D9049C" w:rsidRDefault="007F6723" w:rsidP="00181CF8">
            <w:pPr>
              <w:pStyle w:val="Tabletextboldleft"/>
            </w:pPr>
            <w:r w:rsidRPr="00D9049C">
              <w:t>Database</w:t>
            </w:r>
          </w:p>
        </w:tc>
        <w:tc>
          <w:tcPr>
            <w:tcW w:w="4988" w:type="dxa"/>
          </w:tcPr>
          <w:p w14:paraId="1331BA8A" w14:textId="77777777" w:rsidR="007F6723" w:rsidRPr="00D9049C" w:rsidRDefault="007F6723" w:rsidP="00181CF8">
            <w:pPr>
              <w:pStyle w:val="Tabletextboldleft"/>
            </w:pPr>
            <w:r w:rsidRPr="00D9049C">
              <w:t>Query</w:t>
            </w:r>
          </w:p>
        </w:tc>
        <w:tc>
          <w:tcPr>
            <w:tcW w:w="914" w:type="dxa"/>
          </w:tcPr>
          <w:p w14:paraId="75CE0836" w14:textId="77777777" w:rsidR="007F6723" w:rsidRPr="00D9049C" w:rsidRDefault="007F6723" w:rsidP="00181CF8">
            <w:pPr>
              <w:pStyle w:val="Tabletextboldleft"/>
              <w:jc w:val="right"/>
            </w:pPr>
            <w:r w:rsidRPr="00D9049C">
              <w:t>No. of citations</w:t>
            </w:r>
          </w:p>
        </w:tc>
      </w:tr>
      <w:tr w:rsidR="007F6723" w:rsidRPr="00D9049C" w14:paraId="4CE02955" w14:textId="77777777" w:rsidTr="00181CF8">
        <w:tc>
          <w:tcPr>
            <w:tcW w:w="2394" w:type="dxa"/>
            <w:tcBorders>
              <w:bottom w:val="single" w:sz="4" w:space="0" w:color="auto"/>
            </w:tcBorders>
          </w:tcPr>
          <w:p w14:paraId="246ABE5E" w14:textId="77777777" w:rsidR="007F6723" w:rsidRPr="00D9049C" w:rsidRDefault="007F6723" w:rsidP="00181CF8">
            <w:pPr>
              <w:pStyle w:val="Tabletextcentred"/>
              <w:keepNext/>
              <w:jc w:val="left"/>
            </w:pPr>
            <w:r w:rsidRPr="00D9049C">
              <w:t>PubMed</w:t>
            </w:r>
          </w:p>
          <w:p w14:paraId="2E15E55B" w14:textId="77777777" w:rsidR="007F6723" w:rsidRPr="00D9049C" w:rsidRDefault="007F6723" w:rsidP="00181CF8">
            <w:pPr>
              <w:pStyle w:val="Tabletextcentred"/>
              <w:keepNext/>
              <w:jc w:val="left"/>
            </w:pPr>
            <w:r w:rsidRPr="00D9049C">
              <w:t>(searched 17 Nov 2014)</w:t>
            </w:r>
          </w:p>
        </w:tc>
        <w:tc>
          <w:tcPr>
            <w:tcW w:w="4988" w:type="dxa"/>
            <w:tcBorders>
              <w:bottom w:val="single" w:sz="4" w:space="0" w:color="auto"/>
            </w:tcBorders>
          </w:tcPr>
          <w:p w14:paraId="190C994C" w14:textId="77777777" w:rsidR="007F6723" w:rsidRPr="00D9049C" w:rsidRDefault="007F6723" w:rsidP="00181CF8">
            <w:pPr>
              <w:pStyle w:val="Tabletextcentred"/>
              <w:keepNext/>
              <w:jc w:val="left"/>
            </w:pPr>
            <w:r w:rsidRPr="00D9049C">
              <w:t>(Australia OR Australian) AND alzheimer[Title/Abstract] OR alzheimer's[Title/Abstract] OR dementia[Title/Abstract]</w:t>
            </w:r>
          </w:p>
          <w:p w14:paraId="1361A5CB" w14:textId="77777777" w:rsidR="007F6723" w:rsidRPr="00D9049C" w:rsidRDefault="007F6723" w:rsidP="00181CF8">
            <w:pPr>
              <w:pStyle w:val="Tabletextcentred"/>
              <w:keepNext/>
              <w:jc w:val="left"/>
            </w:pPr>
            <w:r w:rsidRPr="00D9049C">
              <w:t>Limit: English, Human</w:t>
            </w:r>
          </w:p>
        </w:tc>
        <w:tc>
          <w:tcPr>
            <w:tcW w:w="914" w:type="dxa"/>
            <w:tcBorders>
              <w:bottom w:val="single" w:sz="4" w:space="0" w:color="auto"/>
            </w:tcBorders>
          </w:tcPr>
          <w:p w14:paraId="24222488" w14:textId="77777777" w:rsidR="007F6723" w:rsidRPr="00D9049C" w:rsidRDefault="007F6723" w:rsidP="00181CF8">
            <w:pPr>
              <w:pStyle w:val="Tabletextcentred"/>
              <w:keepNext/>
              <w:jc w:val="right"/>
            </w:pPr>
            <w:r w:rsidRPr="00D9049C">
              <w:t>2772</w:t>
            </w:r>
          </w:p>
        </w:tc>
      </w:tr>
      <w:tr w:rsidR="007F6723" w:rsidRPr="00D9049C" w14:paraId="04E957AC" w14:textId="77777777" w:rsidTr="00181CF8">
        <w:tc>
          <w:tcPr>
            <w:tcW w:w="2394" w:type="dxa"/>
            <w:tcBorders>
              <w:bottom w:val="single" w:sz="4" w:space="0" w:color="auto"/>
            </w:tcBorders>
          </w:tcPr>
          <w:p w14:paraId="4E9E76FF" w14:textId="77777777" w:rsidR="007F6723" w:rsidRPr="00D9049C" w:rsidRDefault="007F6723" w:rsidP="00181CF8">
            <w:pPr>
              <w:pStyle w:val="Tabletextcentred"/>
              <w:keepNext/>
              <w:jc w:val="left"/>
            </w:pPr>
            <w:r w:rsidRPr="00D9049C">
              <w:t>Cochrane Library: Cochrane Reviews, Other Reviews, Technology Assessments, Trials, Economic evaluations</w:t>
            </w:r>
          </w:p>
          <w:p w14:paraId="3047FBAA" w14:textId="77777777" w:rsidR="007F6723" w:rsidRPr="00D9049C" w:rsidRDefault="007F6723" w:rsidP="00181CF8">
            <w:pPr>
              <w:pStyle w:val="Tabletextcentred"/>
              <w:keepNext/>
              <w:jc w:val="left"/>
            </w:pPr>
            <w:r w:rsidRPr="00D9049C">
              <w:t>(searched 17 Nov 2014)</w:t>
            </w:r>
          </w:p>
        </w:tc>
        <w:tc>
          <w:tcPr>
            <w:tcW w:w="4988" w:type="dxa"/>
            <w:tcBorders>
              <w:bottom w:val="single" w:sz="4" w:space="0" w:color="auto"/>
            </w:tcBorders>
          </w:tcPr>
          <w:p w14:paraId="548E793B" w14:textId="77777777" w:rsidR="007F6723" w:rsidRPr="00D9049C" w:rsidRDefault="007F6723" w:rsidP="00181CF8">
            <w:pPr>
              <w:pStyle w:val="Tabletextcentred"/>
              <w:keepNext/>
              <w:jc w:val="left"/>
            </w:pPr>
            <w:r w:rsidRPr="00D9049C">
              <w:t xml:space="preserve">(Australia or Australian) AND (Alzheimer or Alzheimer's or dementia) [Title/Abstract/Keyword] </w:t>
            </w:r>
          </w:p>
        </w:tc>
        <w:tc>
          <w:tcPr>
            <w:tcW w:w="914" w:type="dxa"/>
            <w:tcBorders>
              <w:bottom w:val="single" w:sz="4" w:space="0" w:color="auto"/>
            </w:tcBorders>
          </w:tcPr>
          <w:p w14:paraId="78CDA96B" w14:textId="77777777" w:rsidR="007F6723" w:rsidRPr="00D9049C" w:rsidRDefault="007F6723" w:rsidP="00181CF8">
            <w:pPr>
              <w:pStyle w:val="Tabletextcentred"/>
              <w:keepNext/>
              <w:jc w:val="right"/>
            </w:pPr>
            <w:r w:rsidRPr="00D9049C">
              <w:t>145</w:t>
            </w:r>
          </w:p>
        </w:tc>
      </w:tr>
    </w:tbl>
    <w:p w14:paraId="06D5273F" w14:textId="77777777" w:rsidR="007F6723" w:rsidRPr="00D9049C" w:rsidRDefault="007F6723" w:rsidP="007F6723">
      <w:pPr>
        <w:pStyle w:val="Tablefootnotes"/>
      </w:pPr>
    </w:p>
    <w:p w14:paraId="3A4F537C" w14:textId="637C8BB0" w:rsidR="007F6723" w:rsidRPr="00D9049C" w:rsidRDefault="007F6723" w:rsidP="007F6723">
      <w:pPr>
        <w:spacing w:after="120"/>
      </w:pPr>
      <w:r w:rsidRPr="00D9049C">
        <w:t>To be eligible for inclusion, studies had t</w:t>
      </w:r>
      <w:r w:rsidR="001D2EF2" w:rsidRPr="00D9049C">
        <w:t>o fulfil the requirements below:</w:t>
      </w:r>
    </w:p>
    <w:p w14:paraId="10428D59" w14:textId="77777777" w:rsidR="007F6723" w:rsidRPr="00D9049C" w:rsidRDefault="007F6723" w:rsidP="003140D6">
      <w:pPr>
        <w:pStyle w:val="ListParagraph"/>
        <w:numPr>
          <w:ilvl w:val="0"/>
          <w:numId w:val="24"/>
        </w:numPr>
      </w:pPr>
      <w:r w:rsidRPr="00D9049C">
        <w:t>report on Australian patients with AD;</w:t>
      </w:r>
    </w:p>
    <w:p w14:paraId="643545E1" w14:textId="77777777" w:rsidR="007F6723" w:rsidRPr="00D9049C" w:rsidRDefault="007F6723" w:rsidP="003140D6">
      <w:pPr>
        <w:pStyle w:val="ListParagraph"/>
        <w:numPr>
          <w:ilvl w:val="0"/>
          <w:numId w:val="24"/>
        </w:numPr>
      </w:pPr>
      <w:r w:rsidRPr="00D9049C">
        <w:t>report results in a form that is appropriate for the health states in the economic model (i.e. by disease severity mild/moderate/severe); and</w:t>
      </w:r>
    </w:p>
    <w:p w14:paraId="6AC6AB91" w14:textId="77777777" w:rsidR="007F6723" w:rsidRPr="00D9049C" w:rsidRDefault="007F6723" w:rsidP="003140D6">
      <w:pPr>
        <w:pStyle w:val="ListParagraph"/>
        <w:numPr>
          <w:ilvl w:val="0"/>
          <w:numId w:val="24"/>
        </w:numPr>
      </w:pPr>
      <w:r w:rsidRPr="00D9049C">
        <w:t>report any of the following:</w:t>
      </w:r>
    </w:p>
    <w:p w14:paraId="62B0C9EB" w14:textId="377EAB13" w:rsidR="007F6723" w:rsidRPr="00D9049C" w:rsidRDefault="00C618D4" w:rsidP="003140D6">
      <w:pPr>
        <w:pStyle w:val="ListParagraph"/>
        <w:numPr>
          <w:ilvl w:val="1"/>
          <w:numId w:val="24"/>
        </w:numPr>
      </w:pPr>
      <w:r>
        <w:t>costs;</w:t>
      </w:r>
      <w:r w:rsidR="007F6723" w:rsidRPr="00D9049C">
        <w:t xml:space="preserve"> </w:t>
      </w:r>
    </w:p>
    <w:p w14:paraId="333F1A1C" w14:textId="0B14FC75" w:rsidR="007F6723" w:rsidRPr="00D9049C" w:rsidRDefault="007F6723" w:rsidP="003140D6">
      <w:pPr>
        <w:pStyle w:val="ListParagraph"/>
        <w:numPr>
          <w:ilvl w:val="1"/>
          <w:numId w:val="24"/>
        </w:numPr>
      </w:pPr>
      <w:r w:rsidRPr="00D9049C">
        <w:t xml:space="preserve">utility </w:t>
      </w:r>
      <w:r w:rsidR="00C618D4">
        <w:t>weights;</w:t>
      </w:r>
    </w:p>
    <w:p w14:paraId="16D96091" w14:textId="77777777" w:rsidR="007F6723" w:rsidRPr="00D9049C" w:rsidRDefault="007F6723" w:rsidP="003140D6">
      <w:pPr>
        <w:pStyle w:val="ListParagraph"/>
        <w:numPr>
          <w:ilvl w:val="1"/>
          <w:numId w:val="24"/>
        </w:numPr>
      </w:pPr>
      <w:r w:rsidRPr="00D9049C">
        <w:t xml:space="preserve">patient distribution at diagnosis with FDG-PET; </w:t>
      </w:r>
    </w:p>
    <w:p w14:paraId="2C5A5D97" w14:textId="436525D1" w:rsidR="007F6723" w:rsidRPr="00D9049C" w:rsidRDefault="007F6723" w:rsidP="003140D6">
      <w:pPr>
        <w:pStyle w:val="ListParagraph"/>
        <w:numPr>
          <w:ilvl w:val="1"/>
          <w:numId w:val="24"/>
        </w:numPr>
      </w:pPr>
      <w:r w:rsidRPr="00D9049C">
        <w:t xml:space="preserve">disease progression </w:t>
      </w:r>
      <w:r w:rsidR="00C618D4">
        <w:t>rates;</w:t>
      </w:r>
      <w:r w:rsidRPr="00D9049C">
        <w:t xml:space="preserve"> </w:t>
      </w:r>
    </w:p>
    <w:p w14:paraId="21C52533" w14:textId="29E82717" w:rsidR="007F6723" w:rsidRPr="00D9049C" w:rsidRDefault="007F6723" w:rsidP="003140D6">
      <w:pPr>
        <w:pStyle w:val="ListParagraph"/>
        <w:numPr>
          <w:ilvl w:val="1"/>
          <w:numId w:val="24"/>
        </w:numPr>
      </w:pPr>
      <w:r w:rsidRPr="00D9049C">
        <w:t xml:space="preserve">hospitalisation </w:t>
      </w:r>
      <w:r w:rsidR="00C618D4">
        <w:t>rates;</w:t>
      </w:r>
      <w:r w:rsidRPr="00D9049C">
        <w:t xml:space="preserve"> </w:t>
      </w:r>
    </w:p>
    <w:p w14:paraId="2330E9F9" w14:textId="6838C9B6" w:rsidR="007F6723" w:rsidRPr="00D9049C" w:rsidRDefault="007F6723" w:rsidP="003140D6">
      <w:pPr>
        <w:pStyle w:val="ListParagraph"/>
        <w:numPr>
          <w:ilvl w:val="1"/>
          <w:numId w:val="24"/>
        </w:numPr>
      </w:pPr>
      <w:r w:rsidRPr="00D9049C">
        <w:t xml:space="preserve">treatment </w:t>
      </w:r>
      <w:r w:rsidR="00C618D4">
        <w:t>effect;</w:t>
      </w:r>
      <w:r w:rsidRPr="00D9049C">
        <w:t xml:space="preserve"> </w:t>
      </w:r>
    </w:p>
    <w:p w14:paraId="268CC422" w14:textId="46B52F0E" w:rsidR="007F6723" w:rsidRPr="00D9049C" w:rsidRDefault="007F6723" w:rsidP="003140D6">
      <w:pPr>
        <w:pStyle w:val="ListParagraph"/>
        <w:numPr>
          <w:ilvl w:val="1"/>
          <w:numId w:val="24"/>
        </w:numPr>
      </w:pPr>
      <w:r w:rsidRPr="00D9049C">
        <w:t>treatment continuation/discontinuation rates</w:t>
      </w:r>
      <w:r w:rsidR="00550781">
        <w:t>; or</w:t>
      </w:r>
    </w:p>
    <w:p w14:paraId="014D1B8E" w14:textId="77777777" w:rsidR="007F6723" w:rsidRPr="00D9049C" w:rsidRDefault="007F6723" w:rsidP="003140D6">
      <w:pPr>
        <w:pStyle w:val="ListParagraph"/>
        <w:numPr>
          <w:ilvl w:val="1"/>
          <w:numId w:val="24"/>
        </w:numPr>
      </w:pPr>
      <w:r w:rsidRPr="00D9049C">
        <w:t>treatment-related adverse events.</w:t>
      </w:r>
    </w:p>
    <w:p w14:paraId="0626C9D7" w14:textId="77777777" w:rsidR="007F6723" w:rsidRPr="00D9049C" w:rsidRDefault="007F6723" w:rsidP="007F6723">
      <w:r w:rsidRPr="00D9049C">
        <w:t>This search was utilised to identify potentially relevant data for a number of subsections of Section C.</w:t>
      </w:r>
    </w:p>
    <w:p w14:paraId="1919F9E0" w14:textId="170C4DA5" w:rsidR="007F6723" w:rsidRPr="00D9049C" w:rsidRDefault="007F6723" w:rsidP="007F6723">
      <w:r w:rsidRPr="00D9049C">
        <w:t>The literature search yielded very few studies that fulfilled the requirements above. Citation details for those studies that were considered potentially appropriate for inclusion in the base case economic evaluation or a sensitivity analysis are shown below.</w:t>
      </w:r>
    </w:p>
    <w:p w14:paraId="1493D144" w14:textId="075C68BF" w:rsidR="007F6723" w:rsidRPr="00D9049C" w:rsidRDefault="00B01635" w:rsidP="007F6723">
      <w:pPr>
        <w:pStyle w:val="Caption"/>
      </w:pPr>
      <w:bookmarkStart w:id="344" w:name="_Toc406172470"/>
      <w:r>
        <w:lastRenderedPageBreak/>
        <w:t>Table A</w:t>
      </w:r>
      <w:r w:rsidR="00D9049C" w:rsidRPr="00D9049C">
        <w:t>2.</w:t>
      </w:r>
      <w:r w:rsidR="00C620A9">
        <w:t>5</w:t>
      </w:r>
      <w:r w:rsidR="00D9049C" w:rsidRPr="00D9049C">
        <w:tab/>
      </w:r>
      <w:r w:rsidR="007F6723" w:rsidRPr="00D9049C">
        <w:t xml:space="preserve">Australian </w:t>
      </w:r>
      <w:bookmarkEnd w:id="344"/>
      <w:r w:rsidR="007F6723" w:rsidRPr="00D9049C">
        <w:t>publications considered for use in the economic model</w:t>
      </w:r>
    </w:p>
    <w:tbl>
      <w:tblPr>
        <w:tblStyle w:val="TableGrid"/>
        <w:tblW w:w="4610" w:type="pct"/>
        <w:tblInd w:w="704" w:type="dxa"/>
        <w:tblLook w:val="04A0" w:firstRow="1" w:lastRow="0" w:firstColumn="1" w:lastColumn="0" w:noHBand="0" w:noVBand="1"/>
        <w:tblCaption w:val="Australian publications considered for use in the economic model"/>
        <w:tblDescription w:val="Citation details for the publications considered for use in the economic model"/>
      </w:tblPr>
      <w:tblGrid>
        <w:gridCol w:w="6827"/>
        <w:gridCol w:w="1694"/>
      </w:tblGrid>
      <w:tr w:rsidR="007F6723" w:rsidRPr="00D9049C" w14:paraId="7247B5D3" w14:textId="77777777" w:rsidTr="00556738">
        <w:trPr>
          <w:tblHeader/>
        </w:trPr>
        <w:tc>
          <w:tcPr>
            <w:tcW w:w="4006" w:type="pct"/>
          </w:tcPr>
          <w:p w14:paraId="05CFCB78" w14:textId="77777777" w:rsidR="007F6723" w:rsidRPr="00D9049C" w:rsidRDefault="007F6723" w:rsidP="00181CF8">
            <w:pPr>
              <w:pStyle w:val="Tabletextboldleft"/>
            </w:pPr>
            <w:r w:rsidRPr="00D9049C">
              <w:t>Citation</w:t>
            </w:r>
          </w:p>
        </w:tc>
        <w:tc>
          <w:tcPr>
            <w:tcW w:w="994" w:type="pct"/>
          </w:tcPr>
          <w:p w14:paraId="0FBD753F" w14:textId="77777777" w:rsidR="007F6723" w:rsidRPr="00D9049C" w:rsidRDefault="007F6723" w:rsidP="00181CF8">
            <w:pPr>
              <w:pStyle w:val="Tabletextboldleft"/>
            </w:pPr>
            <w:r w:rsidRPr="00D9049C">
              <w:t>Potential use in economic model</w:t>
            </w:r>
          </w:p>
        </w:tc>
      </w:tr>
      <w:tr w:rsidR="007F6723" w:rsidRPr="00D9049C" w14:paraId="672DAEF1" w14:textId="77777777" w:rsidTr="00181CF8">
        <w:tc>
          <w:tcPr>
            <w:tcW w:w="4006" w:type="pct"/>
            <w:tcBorders>
              <w:bottom w:val="single" w:sz="4" w:space="0" w:color="auto"/>
            </w:tcBorders>
          </w:tcPr>
          <w:p w14:paraId="44175E0A" w14:textId="77777777" w:rsidR="007F6723" w:rsidRPr="00D9049C" w:rsidRDefault="007F6723" w:rsidP="00181CF8">
            <w:pPr>
              <w:pStyle w:val="Tabletextcentred"/>
              <w:keepNext/>
              <w:jc w:val="left"/>
            </w:pPr>
            <w:r w:rsidRPr="00D9049C">
              <w:t>Brodaty H, McGilchrist C, Harris L, Peters KE. Time until institutionalization and death in patients with dementia. Role of caregiver training and risk factors. Arch Neurol. 1993;50(6):643-650.</w:t>
            </w:r>
          </w:p>
        </w:tc>
        <w:tc>
          <w:tcPr>
            <w:tcW w:w="994" w:type="pct"/>
            <w:tcBorders>
              <w:bottom w:val="single" w:sz="4" w:space="0" w:color="auto"/>
            </w:tcBorders>
          </w:tcPr>
          <w:p w14:paraId="4F7F7162" w14:textId="77777777" w:rsidR="007F6723" w:rsidRPr="00D9049C" w:rsidRDefault="007F6723" w:rsidP="00181CF8">
            <w:pPr>
              <w:pStyle w:val="Tabletextcentred"/>
              <w:keepNext/>
              <w:jc w:val="left"/>
            </w:pPr>
            <w:r w:rsidRPr="00D9049C">
              <w:t>Transition probabilities</w:t>
            </w:r>
          </w:p>
        </w:tc>
      </w:tr>
      <w:tr w:rsidR="007F6723" w:rsidRPr="00D9049C" w14:paraId="7936E61C" w14:textId="77777777" w:rsidTr="00181CF8">
        <w:tc>
          <w:tcPr>
            <w:tcW w:w="4006" w:type="pct"/>
            <w:tcBorders>
              <w:bottom w:val="single" w:sz="4" w:space="0" w:color="auto"/>
            </w:tcBorders>
          </w:tcPr>
          <w:p w14:paraId="5E9D346E" w14:textId="77777777" w:rsidR="007F6723" w:rsidRPr="00D9049C" w:rsidRDefault="007F6723" w:rsidP="00181CF8">
            <w:pPr>
              <w:pStyle w:val="Tabletextcentred"/>
              <w:keepNext/>
              <w:jc w:val="left"/>
            </w:pPr>
            <w:r w:rsidRPr="00D9049C">
              <w:t>Brodaty H, Woodward M, Boundy K, Ames D, Balshaw R. Patients in Australian Memory Clinics: baseline characteristics and predictors of decline at six months. Int Psychogeriatr. 2011;23(7):1086-1096.</w:t>
            </w:r>
          </w:p>
        </w:tc>
        <w:tc>
          <w:tcPr>
            <w:tcW w:w="994" w:type="pct"/>
            <w:tcBorders>
              <w:bottom w:val="single" w:sz="4" w:space="0" w:color="auto"/>
            </w:tcBorders>
          </w:tcPr>
          <w:p w14:paraId="4FF15AD8" w14:textId="77777777" w:rsidR="007F6723" w:rsidRPr="00D9049C" w:rsidRDefault="007F6723" w:rsidP="00181CF8">
            <w:pPr>
              <w:pStyle w:val="Tabletextcentred"/>
              <w:keepNext/>
              <w:jc w:val="left"/>
            </w:pPr>
            <w:r w:rsidRPr="00D9049C">
              <w:t>Transition probabilities</w:t>
            </w:r>
          </w:p>
        </w:tc>
      </w:tr>
      <w:tr w:rsidR="007F6723" w:rsidRPr="00D9049C" w14:paraId="35BEBB88" w14:textId="77777777" w:rsidTr="00181CF8">
        <w:tc>
          <w:tcPr>
            <w:tcW w:w="4006" w:type="pct"/>
            <w:tcBorders>
              <w:bottom w:val="single" w:sz="4" w:space="0" w:color="auto"/>
            </w:tcBorders>
          </w:tcPr>
          <w:p w14:paraId="4A26B19D" w14:textId="77777777" w:rsidR="007F6723" w:rsidRPr="00D9049C" w:rsidRDefault="007F6723" w:rsidP="00181CF8">
            <w:pPr>
              <w:pStyle w:val="Tabletextcentred"/>
              <w:keepNext/>
              <w:jc w:val="left"/>
            </w:pPr>
            <w:r w:rsidRPr="00D9049C">
              <w:t>Brodaty H, Connors MH, Xu J, Woodward M, Ames D; PRIME study group. Predictors of institutionalization in dementia: a three year longitudinal study. J Alzheimers Dis. 2014;40(1):221-226.</w:t>
            </w:r>
          </w:p>
        </w:tc>
        <w:tc>
          <w:tcPr>
            <w:tcW w:w="994" w:type="pct"/>
            <w:tcBorders>
              <w:bottom w:val="single" w:sz="4" w:space="0" w:color="auto"/>
            </w:tcBorders>
          </w:tcPr>
          <w:p w14:paraId="4978AE2C" w14:textId="77777777" w:rsidR="007F6723" w:rsidRPr="00D9049C" w:rsidRDefault="007F6723" w:rsidP="00181CF8">
            <w:pPr>
              <w:pStyle w:val="Tabletextcentred"/>
              <w:keepNext/>
              <w:jc w:val="left"/>
            </w:pPr>
            <w:r w:rsidRPr="00D9049C">
              <w:t>Transition probabilities</w:t>
            </w:r>
          </w:p>
        </w:tc>
      </w:tr>
      <w:tr w:rsidR="007F6723" w:rsidRPr="00D9049C" w14:paraId="7052C00C" w14:textId="77777777" w:rsidTr="00181CF8">
        <w:tc>
          <w:tcPr>
            <w:tcW w:w="4006" w:type="pct"/>
            <w:tcBorders>
              <w:bottom w:val="single" w:sz="4" w:space="0" w:color="auto"/>
            </w:tcBorders>
          </w:tcPr>
          <w:p w14:paraId="712D194F" w14:textId="77777777" w:rsidR="007F6723" w:rsidRPr="00D9049C" w:rsidRDefault="007F6723" w:rsidP="00181CF8">
            <w:pPr>
              <w:pStyle w:val="Tabletextcentred"/>
              <w:keepNext/>
              <w:jc w:val="left"/>
            </w:pPr>
            <w:r w:rsidRPr="00D9049C">
              <w:t>Le Couteur DG, Robinson M, Leverton A, Creasey H, Waite L, Atkins K, McLachlan AJ. Adherence, persistence and continuation with cholinesterase inhibitors in Alzheimer's disease. Australas J Ageing. 2012;31(3):164-169.</w:t>
            </w:r>
          </w:p>
        </w:tc>
        <w:tc>
          <w:tcPr>
            <w:tcW w:w="994" w:type="pct"/>
            <w:tcBorders>
              <w:bottom w:val="single" w:sz="4" w:space="0" w:color="auto"/>
            </w:tcBorders>
          </w:tcPr>
          <w:p w14:paraId="6A30E1C9" w14:textId="77777777" w:rsidR="007F6723" w:rsidRPr="00D9049C" w:rsidRDefault="007F6723" w:rsidP="00181CF8">
            <w:pPr>
              <w:pStyle w:val="Tabletextcentred"/>
              <w:keepNext/>
              <w:jc w:val="left"/>
            </w:pPr>
            <w:r w:rsidRPr="00D9049C">
              <w:t>Treatment duration</w:t>
            </w:r>
          </w:p>
        </w:tc>
      </w:tr>
      <w:tr w:rsidR="007F6723" w:rsidRPr="00D9049C" w14:paraId="1AC30438" w14:textId="77777777" w:rsidTr="00181CF8">
        <w:tc>
          <w:tcPr>
            <w:tcW w:w="4006" w:type="pct"/>
            <w:tcBorders>
              <w:bottom w:val="single" w:sz="4" w:space="0" w:color="auto"/>
            </w:tcBorders>
          </w:tcPr>
          <w:p w14:paraId="319E7902" w14:textId="77777777" w:rsidR="007F6723" w:rsidRPr="00D9049C" w:rsidRDefault="007F6723" w:rsidP="00181CF8">
            <w:pPr>
              <w:pStyle w:val="Tabletextcentred"/>
              <w:keepNext/>
              <w:jc w:val="left"/>
            </w:pPr>
            <w:r w:rsidRPr="00D9049C">
              <w:t>Nikmat AW, Hawthorne G, Al-Mashoor SH. Quality of life in dementia patients: nursing home versus home care. Int Psychogeriatr. 2011;23(10):1692-1700.</w:t>
            </w:r>
          </w:p>
        </w:tc>
        <w:tc>
          <w:tcPr>
            <w:tcW w:w="994" w:type="pct"/>
            <w:tcBorders>
              <w:bottom w:val="single" w:sz="4" w:space="0" w:color="auto"/>
            </w:tcBorders>
          </w:tcPr>
          <w:p w14:paraId="279503E4" w14:textId="77777777" w:rsidR="007F6723" w:rsidRPr="00D9049C" w:rsidRDefault="007F6723" w:rsidP="00181CF8">
            <w:pPr>
              <w:pStyle w:val="Tabletextcentred"/>
              <w:keepNext/>
              <w:jc w:val="left"/>
            </w:pPr>
            <w:r w:rsidRPr="00D9049C">
              <w:t>Utility weights</w:t>
            </w:r>
          </w:p>
        </w:tc>
      </w:tr>
      <w:tr w:rsidR="007F6723" w:rsidRPr="00D9049C" w14:paraId="133D4E7A" w14:textId="77777777" w:rsidTr="00181CF8">
        <w:tc>
          <w:tcPr>
            <w:tcW w:w="4006" w:type="pct"/>
            <w:tcBorders>
              <w:bottom w:val="single" w:sz="4" w:space="0" w:color="auto"/>
            </w:tcBorders>
          </w:tcPr>
          <w:p w14:paraId="46858946" w14:textId="77777777" w:rsidR="007F6723" w:rsidRPr="00D9049C" w:rsidRDefault="007F6723" w:rsidP="00181CF8">
            <w:pPr>
              <w:pStyle w:val="Tabletextcentred"/>
              <w:keepNext/>
              <w:jc w:val="left"/>
            </w:pPr>
            <w:r w:rsidRPr="00D9049C">
              <w:t>Wlodarczyk JH, Brodaty H, Hawthorne G. The relationship between quality of life, Mini-Mental State Examination, and the Instrumental Activities of Daily Living in patients with Alzheimer's disease. Arch Gerontol Geriatr. 2004;39(1):25-33.</w:t>
            </w:r>
          </w:p>
        </w:tc>
        <w:tc>
          <w:tcPr>
            <w:tcW w:w="994" w:type="pct"/>
            <w:tcBorders>
              <w:bottom w:val="single" w:sz="4" w:space="0" w:color="auto"/>
            </w:tcBorders>
          </w:tcPr>
          <w:p w14:paraId="0BF00D5D" w14:textId="77777777" w:rsidR="007F6723" w:rsidRPr="00D9049C" w:rsidRDefault="007F6723" w:rsidP="00181CF8">
            <w:pPr>
              <w:pStyle w:val="Tabletextcentred"/>
              <w:keepNext/>
              <w:jc w:val="left"/>
            </w:pPr>
            <w:r w:rsidRPr="00D9049C">
              <w:t>Utility weights</w:t>
            </w:r>
          </w:p>
        </w:tc>
      </w:tr>
      <w:tr w:rsidR="007F6723" w:rsidRPr="00D9049C" w14:paraId="76D3BB99" w14:textId="77777777" w:rsidTr="00181CF8">
        <w:tc>
          <w:tcPr>
            <w:tcW w:w="4006" w:type="pct"/>
            <w:tcBorders>
              <w:bottom w:val="single" w:sz="4" w:space="0" w:color="auto"/>
            </w:tcBorders>
          </w:tcPr>
          <w:p w14:paraId="31F85FCF" w14:textId="77777777" w:rsidR="007F6723" w:rsidRPr="00D9049C" w:rsidRDefault="007F6723" w:rsidP="00181CF8">
            <w:pPr>
              <w:pStyle w:val="Tabletextcentred"/>
              <w:keepNext/>
              <w:jc w:val="left"/>
            </w:pPr>
            <w:r w:rsidRPr="00D9049C">
              <w:t>Wood MJ, Berlangieri SU, Rowe CC. Can brain SPECT be used to cost-effectively triage which patients require PET for the investigation of dementia? ANZ Nuclear Medicine. 2010;41:1-4.</w:t>
            </w:r>
          </w:p>
        </w:tc>
        <w:tc>
          <w:tcPr>
            <w:tcW w:w="994" w:type="pct"/>
            <w:tcBorders>
              <w:bottom w:val="single" w:sz="4" w:space="0" w:color="auto"/>
            </w:tcBorders>
          </w:tcPr>
          <w:p w14:paraId="20805899" w14:textId="77777777" w:rsidR="007F6723" w:rsidRPr="00D9049C" w:rsidRDefault="007F6723" w:rsidP="00181CF8">
            <w:pPr>
              <w:pStyle w:val="Tabletextcentred"/>
              <w:keepNext/>
              <w:jc w:val="left"/>
            </w:pPr>
            <w:r w:rsidRPr="00D9049C">
              <w:t>Baseline characteristics</w:t>
            </w:r>
          </w:p>
        </w:tc>
      </w:tr>
      <w:tr w:rsidR="007F6723" w:rsidRPr="00D9049C" w14:paraId="43AF3E3D" w14:textId="77777777" w:rsidTr="00181CF8">
        <w:tc>
          <w:tcPr>
            <w:tcW w:w="4006" w:type="pct"/>
          </w:tcPr>
          <w:p w14:paraId="33D0CA81" w14:textId="77777777" w:rsidR="007F6723" w:rsidRPr="00D9049C" w:rsidRDefault="007F6723" w:rsidP="00181CF8">
            <w:pPr>
              <w:pStyle w:val="Tabletextcentred"/>
              <w:keepNext/>
              <w:jc w:val="left"/>
            </w:pPr>
            <w:r w:rsidRPr="00D9049C">
              <w:t>You E, Dunt DR, White V, Vander Hoorn S, Doyle C. Risk of death or hospital admission among community-dwelling older adults living with dementia in Australia. BMC Geriatrics. 2014;14:71.</w:t>
            </w:r>
          </w:p>
        </w:tc>
        <w:tc>
          <w:tcPr>
            <w:tcW w:w="994" w:type="pct"/>
          </w:tcPr>
          <w:p w14:paraId="6BF57C52" w14:textId="77777777" w:rsidR="007F6723" w:rsidRPr="00D9049C" w:rsidRDefault="007F6723" w:rsidP="00181CF8">
            <w:pPr>
              <w:pStyle w:val="Tabletextcentred"/>
              <w:keepNext/>
              <w:jc w:val="left"/>
            </w:pPr>
            <w:r w:rsidRPr="00D9049C">
              <w:t>Transition probabilities</w:t>
            </w:r>
          </w:p>
        </w:tc>
      </w:tr>
      <w:tr w:rsidR="007F6723" w:rsidRPr="00D9049C" w14:paraId="332FDD11" w14:textId="77777777" w:rsidTr="00181CF8">
        <w:tc>
          <w:tcPr>
            <w:tcW w:w="4006" w:type="pct"/>
            <w:tcBorders>
              <w:bottom w:val="single" w:sz="4" w:space="0" w:color="auto"/>
            </w:tcBorders>
          </w:tcPr>
          <w:p w14:paraId="34F38C18" w14:textId="77777777" w:rsidR="007F6723" w:rsidRPr="00D9049C" w:rsidRDefault="007F6723" w:rsidP="00181CF8">
            <w:pPr>
              <w:pStyle w:val="Tabletextcentred"/>
              <w:keepNext/>
              <w:jc w:val="left"/>
            </w:pPr>
            <w:r w:rsidRPr="00D9049C">
              <w:t>Zilkens RR, Spilsbury K, Bruce DG, Semmens JB. Linkage of hospital and death records increased identification of dementia cases and death rate estimates. Neuroepidemiology. 2009;32(1):61-69.</w:t>
            </w:r>
          </w:p>
        </w:tc>
        <w:tc>
          <w:tcPr>
            <w:tcW w:w="994" w:type="pct"/>
            <w:tcBorders>
              <w:bottom w:val="single" w:sz="4" w:space="0" w:color="auto"/>
            </w:tcBorders>
          </w:tcPr>
          <w:p w14:paraId="7E5237B3" w14:textId="77777777" w:rsidR="007F6723" w:rsidRPr="00D9049C" w:rsidRDefault="007F6723" w:rsidP="00181CF8">
            <w:pPr>
              <w:pStyle w:val="Tabletextcentred"/>
              <w:keepNext/>
              <w:jc w:val="left"/>
            </w:pPr>
            <w:r w:rsidRPr="00D9049C">
              <w:t>Mortality rates</w:t>
            </w:r>
          </w:p>
        </w:tc>
      </w:tr>
    </w:tbl>
    <w:p w14:paraId="4E40A593" w14:textId="77777777" w:rsidR="007F6723" w:rsidRPr="00D9049C" w:rsidRDefault="007F6723" w:rsidP="007F6723">
      <w:pPr>
        <w:pStyle w:val="Tablefootnotes"/>
      </w:pPr>
    </w:p>
    <w:p w14:paraId="211CCE6C" w14:textId="77777777" w:rsidR="007F6723" w:rsidRPr="00D9049C" w:rsidRDefault="007F6723" w:rsidP="007F6723">
      <w:pPr>
        <w:pStyle w:val="Heading3"/>
        <w:numPr>
          <w:ilvl w:val="0"/>
          <w:numId w:val="0"/>
        </w:numPr>
        <w:ind w:left="720"/>
      </w:pPr>
      <w:r w:rsidRPr="00D9049C">
        <w:t>Literature search for utility weights</w:t>
      </w:r>
    </w:p>
    <w:p w14:paraId="5E6C3D61" w14:textId="77777777" w:rsidR="00D843F0" w:rsidRDefault="007F6723" w:rsidP="00D843F0">
      <w:r w:rsidRPr="00D9049C">
        <w:t>A literature search was conducted to identify primary studies eliciting utility weights relevant to the health states in the economic model. The search strategy is shown below.</w:t>
      </w:r>
    </w:p>
    <w:p w14:paraId="16742D84" w14:textId="77777777" w:rsidR="00D843F0" w:rsidRDefault="00D843F0">
      <w:pPr>
        <w:spacing w:after="160" w:line="259" w:lineRule="auto"/>
        <w:ind w:left="0"/>
      </w:pPr>
      <w:r>
        <w:br w:type="page"/>
      </w:r>
    </w:p>
    <w:p w14:paraId="7CF26C8C" w14:textId="797B9E48" w:rsidR="007F6723" w:rsidRPr="00C612E3" w:rsidRDefault="00D843F0" w:rsidP="00D843F0">
      <w:r w:rsidRPr="00C612E3">
        <w:lastRenderedPageBreak/>
        <w:t xml:space="preserve"> </w:t>
      </w:r>
    </w:p>
    <w:p w14:paraId="36E84D21" w14:textId="7F2B0A26" w:rsidR="007F6723" w:rsidRPr="00D9049C" w:rsidRDefault="00B01635" w:rsidP="007F6723">
      <w:pPr>
        <w:pStyle w:val="Caption"/>
      </w:pPr>
      <w:r>
        <w:t>Table A</w:t>
      </w:r>
      <w:r w:rsidR="00D9049C" w:rsidRPr="00D9049C">
        <w:t>2.</w:t>
      </w:r>
      <w:r w:rsidR="00C620A9">
        <w:t>6</w:t>
      </w:r>
      <w:r w:rsidR="00C620A9">
        <w:tab/>
      </w:r>
      <w:r w:rsidR="007F6723" w:rsidRPr="00D9049C">
        <w:t>Utility weight literature search terms and results (searched on 15 November 2014)</w:t>
      </w:r>
    </w:p>
    <w:tbl>
      <w:tblPr>
        <w:tblStyle w:val="TableGrid"/>
        <w:tblW w:w="0" w:type="auto"/>
        <w:tblInd w:w="720" w:type="dxa"/>
        <w:tblLook w:val="04A0" w:firstRow="1" w:lastRow="0" w:firstColumn="1" w:lastColumn="0" w:noHBand="0" w:noVBand="1"/>
        <w:tblCaption w:val="Utility weight literature search terms and results"/>
        <w:tblDescription w:val="Literature search terms and results for searches conducted in PubMed and the Cochrane Library"/>
      </w:tblPr>
      <w:tblGrid>
        <w:gridCol w:w="2394"/>
        <w:gridCol w:w="4988"/>
        <w:gridCol w:w="914"/>
      </w:tblGrid>
      <w:tr w:rsidR="007F6723" w:rsidRPr="00D9049C" w14:paraId="6F89A86C" w14:textId="77777777" w:rsidTr="00556738">
        <w:trPr>
          <w:tblHeader/>
        </w:trPr>
        <w:tc>
          <w:tcPr>
            <w:tcW w:w="2394" w:type="dxa"/>
            <w:tcBorders>
              <w:bottom w:val="single" w:sz="4" w:space="0" w:color="auto"/>
            </w:tcBorders>
          </w:tcPr>
          <w:p w14:paraId="08E3CC79" w14:textId="77777777" w:rsidR="007F6723" w:rsidRPr="00D9049C" w:rsidRDefault="007F6723" w:rsidP="00181CF8">
            <w:pPr>
              <w:pStyle w:val="Tabletextboldleft"/>
            </w:pPr>
            <w:r w:rsidRPr="00D9049C">
              <w:t>Database</w:t>
            </w:r>
          </w:p>
        </w:tc>
        <w:tc>
          <w:tcPr>
            <w:tcW w:w="4988" w:type="dxa"/>
          </w:tcPr>
          <w:p w14:paraId="2627FD80" w14:textId="77777777" w:rsidR="007F6723" w:rsidRPr="00D9049C" w:rsidRDefault="007F6723" w:rsidP="00181CF8">
            <w:pPr>
              <w:pStyle w:val="Tabletextboldleft"/>
            </w:pPr>
            <w:r w:rsidRPr="00D9049C">
              <w:t>Query</w:t>
            </w:r>
          </w:p>
        </w:tc>
        <w:tc>
          <w:tcPr>
            <w:tcW w:w="914" w:type="dxa"/>
          </w:tcPr>
          <w:p w14:paraId="6734CC2C" w14:textId="77777777" w:rsidR="007F6723" w:rsidRPr="00D9049C" w:rsidRDefault="007F6723" w:rsidP="00181CF8">
            <w:pPr>
              <w:pStyle w:val="Tabletextboldleft"/>
              <w:jc w:val="right"/>
            </w:pPr>
            <w:r w:rsidRPr="00D9049C">
              <w:t>No. of citations</w:t>
            </w:r>
          </w:p>
        </w:tc>
      </w:tr>
      <w:tr w:rsidR="007F6723" w:rsidRPr="00D9049C" w14:paraId="05604D56" w14:textId="77777777" w:rsidTr="00181CF8">
        <w:tc>
          <w:tcPr>
            <w:tcW w:w="2394" w:type="dxa"/>
            <w:tcBorders>
              <w:bottom w:val="nil"/>
            </w:tcBorders>
          </w:tcPr>
          <w:p w14:paraId="0F0F1B6B" w14:textId="77777777" w:rsidR="007F6723" w:rsidRPr="00D9049C" w:rsidRDefault="007F6723" w:rsidP="00181CF8">
            <w:pPr>
              <w:pStyle w:val="Tabletextcentred"/>
              <w:keepNext/>
              <w:jc w:val="left"/>
            </w:pPr>
            <w:r w:rsidRPr="00D9049C">
              <w:t>PubMed</w:t>
            </w:r>
          </w:p>
          <w:p w14:paraId="519B85CD" w14:textId="77777777" w:rsidR="007F6723" w:rsidRPr="00D9049C" w:rsidRDefault="007F6723" w:rsidP="00181CF8">
            <w:pPr>
              <w:pStyle w:val="Tabletextcentred"/>
              <w:keepNext/>
              <w:jc w:val="left"/>
            </w:pPr>
            <w:r w:rsidRPr="00D9049C">
              <w:t>(searched 15 Nov 2014)</w:t>
            </w:r>
          </w:p>
        </w:tc>
        <w:tc>
          <w:tcPr>
            <w:tcW w:w="4988" w:type="dxa"/>
          </w:tcPr>
          <w:p w14:paraId="5668F093" w14:textId="77777777" w:rsidR="007F6723" w:rsidRPr="00D9049C" w:rsidRDefault="007F6723" w:rsidP="00181CF8">
            <w:pPr>
              <w:pStyle w:val="Tabletextcentred"/>
              <w:keepNext/>
              <w:jc w:val="left"/>
            </w:pPr>
            <w:r w:rsidRPr="00D9049C">
              <w:t>#1: "alzheimer's disease"[Title] OR "alzheimer disease"[Title] OR dementia[Title]</w:t>
            </w:r>
          </w:p>
        </w:tc>
        <w:tc>
          <w:tcPr>
            <w:tcW w:w="914" w:type="dxa"/>
          </w:tcPr>
          <w:p w14:paraId="12E20ED9" w14:textId="77777777" w:rsidR="007F6723" w:rsidRPr="00D9049C" w:rsidRDefault="007F6723" w:rsidP="00181CF8">
            <w:pPr>
              <w:pStyle w:val="Tabletextcentred"/>
              <w:keepNext/>
              <w:jc w:val="right"/>
            </w:pPr>
            <w:r w:rsidRPr="00D9049C">
              <w:t>69508</w:t>
            </w:r>
          </w:p>
        </w:tc>
      </w:tr>
      <w:tr w:rsidR="007F6723" w:rsidRPr="00D9049C" w14:paraId="46AB1666" w14:textId="77777777" w:rsidTr="00181CF8">
        <w:tc>
          <w:tcPr>
            <w:tcW w:w="2394" w:type="dxa"/>
            <w:tcBorders>
              <w:top w:val="nil"/>
              <w:bottom w:val="nil"/>
            </w:tcBorders>
          </w:tcPr>
          <w:p w14:paraId="5A83A00D" w14:textId="77777777" w:rsidR="007F6723" w:rsidRPr="00D9049C" w:rsidRDefault="007F6723" w:rsidP="00181CF8">
            <w:pPr>
              <w:pStyle w:val="Tabletextcentred"/>
              <w:keepNext/>
              <w:jc w:val="left"/>
            </w:pPr>
            <w:r w:rsidRPr="00D9049C">
              <w:t>-</w:t>
            </w:r>
          </w:p>
        </w:tc>
        <w:tc>
          <w:tcPr>
            <w:tcW w:w="4988" w:type="dxa"/>
          </w:tcPr>
          <w:p w14:paraId="069FFB54" w14:textId="77777777" w:rsidR="007F6723" w:rsidRPr="00D9049C" w:rsidRDefault="007F6723" w:rsidP="00181CF8">
            <w:pPr>
              <w:pStyle w:val="Tabletextcentred"/>
              <w:keepNext/>
              <w:jc w:val="left"/>
            </w:pPr>
            <w:r w:rsidRPr="00D9049C">
              <w:t>#2: utility[Title/Abstract] OR utilities[Title/Abstract] OR HUI[Title/Abstract] OR AQOL[Title/Abstract] OR EuroQol[Title/Abstract] OR SF-6D[Title/Abstract] OR EQ-5D[Title/Abstract]</w:t>
            </w:r>
          </w:p>
        </w:tc>
        <w:tc>
          <w:tcPr>
            <w:tcW w:w="914" w:type="dxa"/>
          </w:tcPr>
          <w:p w14:paraId="42796882" w14:textId="77777777" w:rsidR="007F6723" w:rsidRPr="00D9049C" w:rsidRDefault="007F6723" w:rsidP="00181CF8">
            <w:pPr>
              <w:pStyle w:val="Tabletextcentred"/>
              <w:keepNext/>
              <w:jc w:val="right"/>
            </w:pPr>
            <w:r w:rsidRPr="00D9049C">
              <w:t>129799</w:t>
            </w:r>
          </w:p>
        </w:tc>
      </w:tr>
      <w:tr w:rsidR="007F6723" w:rsidRPr="00D9049C" w14:paraId="1F6E00BD" w14:textId="77777777" w:rsidTr="00181CF8">
        <w:tc>
          <w:tcPr>
            <w:tcW w:w="2394" w:type="dxa"/>
            <w:tcBorders>
              <w:top w:val="nil"/>
            </w:tcBorders>
          </w:tcPr>
          <w:p w14:paraId="2C87125C" w14:textId="77777777" w:rsidR="007F6723" w:rsidRPr="00D9049C" w:rsidRDefault="007F6723" w:rsidP="00181CF8">
            <w:pPr>
              <w:pStyle w:val="Tabletextcentred"/>
              <w:keepNext/>
              <w:jc w:val="left"/>
            </w:pPr>
            <w:r w:rsidRPr="00D9049C">
              <w:t>-</w:t>
            </w:r>
          </w:p>
        </w:tc>
        <w:tc>
          <w:tcPr>
            <w:tcW w:w="4988" w:type="dxa"/>
          </w:tcPr>
          <w:p w14:paraId="54D81BF4" w14:textId="77777777" w:rsidR="007F6723" w:rsidRPr="00D9049C" w:rsidRDefault="007F6723" w:rsidP="00181CF8">
            <w:pPr>
              <w:pStyle w:val="Tabletextcentred"/>
              <w:keepNext/>
              <w:jc w:val="left"/>
            </w:pPr>
            <w:r w:rsidRPr="00D9049C">
              <w:t>#3: #1 AND #2</w:t>
            </w:r>
          </w:p>
        </w:tc>
        <w:tc>
          <w:tcPr>
            <w:tcW w:w="914" w:type="dxa"/>
          </w:tcPr>
          <w:p w14:paraId="01B532E4" w14:textId="77777777" w:rsidR="007F6723" w:rsidRPr="00D9049C" w:rsidRDefault="007F6723" w:rsidP="00181CF8">
            <w:pPr>
              <w:pStyle w:val="Tabletextcentred"/>
              <w:keepNext/>
              <w:jc w:val="right"/>
            </w:pPr>
            <w:r w:rsidRPr="00D9049C">
              <w:t>1029</w:t>
            </w:r>
          </w:p>
        </w:tc>
      </w:tr>
      <w:tr w:rsidR="007F6723" w:rsidRPr="00D9049C" w14:paraId="1B8875A9" w14:textId="77777777" w:rsidTr="00181CF8">
        <w:tc>
          <w:tcPr>
            <w:tcW w:w="2394" w:type="dxa"/>
          </w:tcPr>
          <w:p w14:paraId="5A1F1712" w14:textId="77777777" w:rsidR="007F6723" w:rsidRPr="00D9049C" w:rsidRDefault="007F6723" w:rsidP="00181CF8">
            <w:pPr>
              <w:pStyle w:val="Tabletextcentred"/>
              <w:keepNext/>
              <w:jc w:val="left"/>
            </w:pPr>
            <w:r w:rsidRPr="00D9049C">
              <w:t>Cochrane Library: Economic Evaluations</w:t>
            </w:r>
          </w:p>
          <w:p w14:paraId="75C4F829" w14:textId="77777777" w:rsidR="007F6723" w:rsidRPr="00D9049C" w:rsidRDefault="007F6723" w:rsidP="00181CF8">
            <w:pPr>
              <w:pStyle w:val="Tabletextcentred"/>
              <w:keepNext/>
              <w:jc w:val="left"/>
            </w:pPr>
            <w:r w:rsidRPr="00D9049C">
              <w:t>(searched 16 Nov 2014)</w:t>
            </w:r>
          </w:p>
        </w:tc>
        <w:tc>
          <w:tcPr>
            <w:tcW w:w="4988" w:type="dxa"/>
          </w:tcPr>
          <w:p w14:paraId="207128F2" w14:textId="77777777" w:rsidR="007F6723" w:rsidRPr="00D9049C" w:rsidRDefault="007F6723" w:rsidP="00181CF8">
            <w:pPr>
              <w:pStyle w:val="Tabletextcentred"/>
              <w:keepNext/>
              <w:jc w:val="left"/>
            </w:pPr>
            <w:r w:rsidRPr="00D9049C">
              <w:t>(Alzheimer or Alzheimer’s or dementia) [Title/Abstract/Keyword]</w:t>
            </w:r>
          </w:p>
        </w:tc>
        <w:tc>
          <w:tcPr>
            <w:tcW w:w="914" w:type="dxa"/>
          </w:tcPr>
          <w:p w14:paraId="303C7CB2" w14:textId="77777777" w:rsidR="007F6723" w:rsidRPr="00D9049C" w:rsidRDefault="007F6723" w:rsidP="00181CF8">
            <w:pPr>
              <w:pStyle w:val="Tabletextcentred"/>
              <w:keepNext/>
              <w:jc w:val="right"/>
            </w:pPr>
            <w:r w:rsidRPr="00D9049C">
              <w:t>90</w:t>
            </w:r>
          </w:p>
        </w:tc>
      </w:tr>
      <w:tr w:rsidR="007F6723" w:rsidRPr="00D9049C" w14:paraId="1945B374" w14:textId="77777777" w:rsidTr="00181CF8">
        <w:tc>
          <w:tcPr>
            <w:tcW w:w="2394" w:type="dxa"/>
          </w:tcPr>
          <w:p w14:paraId="5D168253" w14:textId="77777777" w:rsidR="007F6723" w:rsidRPr="00D9049C" w:rsidRDefault="007F6723" w:rsidP="00181CF8">
            <w:pPr>
              <w:pStyle w:val="Tabletextcentred"/>
              <w:keepNext/>
              <w:jc w:val="left"/>
            </w:pPr>
            <w:r w:rsidRPr="00D9049C">
              <w:t>Cochrane Library: Cochrane Reviews, Other Reviews, Technology Assessments, Trials</w:t>
            </w:r>
          </w:p>
          <w:p w14:paraId="43929141" w14:textId="77777777" w:rsidR="007F6723" w:rsidRPr="00D9049C" w:rsidRDefault="007F6723" w:rsidP="00181CF8">
            <w:pPr>
              <w:pStyle w:val="Tabletextcentred"/>
              <w:keepNext/>
              <w:jc w:val="left"/>
            </w:pPr>
            <w:r w:rsidRPr="00D9049C">
              <w:t>(searched 16 Nov 2014)</w:t>
            </w:r>
          </w:p>
        </w:tc>
        <w:tc>
          <w:tcPr>
            <w:tcW w:w="4988" w:type="dxa"/>
          </w:tcPr>
          <w:p w14:paraId="68DB420D" w14:textId="77777777" w:rsidR="007F6723" w:rsidRPr="00D9049C" w:rsidRDefault="007F6723" w:rsidP="00181CF8">
            <w:pPr>
              <w:pStyle w:val="Tabletextcentred"/>
              <w:keepNext/>
              <w:jc w:val="left"/>
            </w:pPr>
            <w:r w:rsidRPr="00D9049C">
              <w:t>(Alzheimer or Alzheimer's or dementia) AND (utility or utilities or HUI or AQOL or EuroQOL or SF-6D or EQ-5D) [Title/Abstract/Keyword]</w:t>
            </w:r>
          </w:p>
        </w:tc>
        <w:tc>
          <w:tcPr>
            <w:tcW w:w="914" w:type="dxa"/>
          </w:tcPr>
          <w:p w14:paraId="3E81EBF4" w14:textId="77777777" w:rsidR="007F6723" w:rsidRPr="00D9049C" w:rsidRDefault="007F6723" w:rsidP="00181CF8">
            <w:pPr>
              <w:pStyle w:val="Tabletextcentred"/>
              <w:keepNext/>
              <w:jc w:val="right"/>
            </w:pPr>
            <w:r w:rsidRPr="00D9049C">
              <w:t>111</w:t>
            </w:r>
          </w:p>
        </w:tc>
      </w:tr>
    </w:tbl>
    <w:p w14:paraId="22022B61" w14:textId="77777777" w:rsidR="007F6723" w:rsidRPr="00D9049C" w:rsidRDefault="007F6723" w:rsidP="007F6723">
      <w:pPr>
        <w:pStyle w:val="Tablefootnotes"/>
      </w:pPr>
    </w:p>
    <w:p w14:paraId="4846F198" w14:textId="77777777" w:rsidR="007F6723" w:rsidRPr="00D9049C" w:rsidRDefault="007F6723" w:rsidP="007F6723">
      <w:pPr>
        <w:spacing w:after="120"/>
      </w:pPr>
      <w:r w:rsidRPr="00D9049C">
        <w:t>Following the identification of potentially useful citations, the abstracts for each publication was reviewed. Studies were excluded at this stage if:</w:t>
      </w:r>
    </w:p>
    <w:p w14:paraId="64AF2763" w14:textId="77777777" w:rsidR="007F6723" w:rsidRPr="00D9049C" w:rsidRDefault="007F6723" w:rsidP="007F6723">
      <w:pPr>
        <w:pStyle w:val="Bulletpoints"/>
        <w:spacing w:before="120" w:line="240" w:lineRule="auto"/>
        <w:ind w:left="1434" w:hanging="357"/>
      </w:pPr>
      <w:r w:rsidRPr="00D9049C">
        <w:t>the study was not an original study aimed at generating utility weights (</w:t>
      </w:r>
      <w:r w:rsidRPr="00D9049C">
        <w:rPr>
          <w:i/>
        </w:rPr>
        <w:t>exclusion criterion 1</w:t>
      </w:r>
      <w:r w:rsidRPr="00D9049C">
        <w:t>)</w:t>
      </w:r>
    </w:p>
    <w:p w14:paraId="2E86F2A2" w14:textId="77777777" w:rsidR="007F6723" w:rsidRPr="00D9049C" w:rsidRDefault="007F6723" w:rsidP="007F6723">
      <w:pPr>
        <w:pStyle w:val="Bulletpoints"/>
        <w:spacing w:before="120" w:line="240" w:lineRule="auto"/>
        <w:ind w:left="1434" w:hanging="357"/>
      </w:pPr>
      <w:r w:rsidRPr="00D9049C">
        <w:t>the patient population was incorrect (i.e. not in AD patients, or in a subpopulation that compromised the generalisability of the results) (</w:t>
      </w:r>
      <w:r w:rsidRPr="00D9049C">
        <w:rPr>
          <w:i/>
        </w:rPr>
        <w:t>exclusion criterion 2</w:t>
      </w:r>
      <w:r w:rsidRPr="00D9049C">
        <w:t>)</w:t>
      </w:r>
    </w:p>
    <w:p w14:paraId="0A16F963" w14:textId="77777777" w:rsidR="007F6723" w:rsidRPr="00D9049C" w:rsidRDefault="007F6723" w:rsidP="007F6723">
      <w:pPr>
        <w:pStyle w:val="Bulletpoints"/>
        <w:spacing w:before="120" w:line="240" w:lineRule="auto"/>
        <w:ind w:left="1434" w:hanging="357"/>
      </w:pPr>
      <w:r w:rsidRPr="00D9049C">
        <w:t>the study did not disaggregate utility weights to all levels of disease severity considered in the model, or otherwise presented inadequate health states for consideration in the economic model (</w:t>
      </w:r>
      <w:r w:rsidRPr="00D9049C">
        <w:rPr>
          <w:i/>
        </w:rPr>
        <w:t>exclusion criterion 3</w:t>
      </w:r>
      <w:r w:rsidRPr="00D9049C">
        <w:t>)</w:t>
      </w:r>
    </w:p>
    <w:p w14:paraId="2E69F7D9" w14:textId="77777777" w:rsidR="007F6723" w:rsidRPr="00D9049C" w:rsidRDefault="007F6723" w:rsidP="007F6723">
      <w:r w:rsidRPr="00D9049C">
        <w:t>Any studies not excluded at this stage were reviewed in full to determine the suitability, with the same exclusion criteria applied.</w:t>
      </w:r>
    </w:p>
    <w:p w14:paraId="3256121B" w14:textId="77777777" w:rsidR="007F6723" w:rsidRPr="00D9049C" w:rsidRDefault="007F6723" w:rsidP="007F6723">
      <w:r w:rsidRPr="00D9049C">
        <w:t>Of the 90 identified studies reviewed in full, 75 were excluded from further consideration on the basis of the full text review. Fifteen papers were subsequently considered further as potential sources of utility weights to be applied to the model.</w:t>
      </w:r>
    </w:p>
    <w:p w14:paraId="2B015A38" w14:textId="6999BACB" w:rsidR="007F6723" w:rsidRPr="00D9049C" w:rsidRDefault="00040904" w:rsidP="00040904">
      <w:pPr>
        <w:pStyle w:val="Caption"/>
        <w:ind w:left="1843" w:hanging="1123"/>
      </w:pPr>
      <w:bookmarkStart w:id="345" w:name="_Toc406172473"/>
      <w:r>
        <w:lastRenderedPageBreak/>
        <w:t>Table A</w:t>
      </w:r>
      <w:r w:rsidRPr="00D9049C">
        <w:t>2.</w:t>
      </w:r>
      <w:r>
        <w:t>7</w:t>
      </w:r>
      <w:r>
        <w:tab/>
      </w:r>
      <w:r w:rsidR="007F6723" w:rsidRPr="00D9049C">
        <w:t xml:space="preserve">Summary of the process used to identify relevant </w:t>
      </w:r>
      <w:r w:rsidR="00B3517E">
        <w:t xml:space="preserve">utility </w:t>
      </w:r>
      <w:r w:rsidR="007F6723" w:rsidRPr="00D9049C">
        <w:t>studies</w:t>
      </w:r>
      <w:bookmarkEnd w:id="345"/>
    </w:p>
    <w:tbl>
      <w:tblPr>
        <w:tblStyle w:val="TableGrid"/>
        <w:tblW w:w="0" w:type="auto"/>
        <w:tblInd w:w="720" w:type="dxa"/>
        <w:tblLook w:val="04A0" w:firstRow="1" w:lastRow="0" w:firstColumn="1" w:lastColumn="0" w:noHBand="0" w:noVBand="1"/>
        <w:tblCaption w:val="Summary of the process used to identify relevant studies"/>
        <w:tblDescription w:val="Reasons for exclusion and the number of studies removed at each stage of the eligibility screening"/>
      </w:tblPr>
      <w:tblGrid>
        <w:gridCol w:w="5087"/>
        <w:gridCol w:w="1559"/>
        <w:gridCol w:w="1650"/>
      </w:tblGrid>
      <w:tr w:rsidR="007F6723" w:rsidRPr="00D9049C" w14:paraId="407E8390" w14:textId="77777777" w:rsidTr="00181CF8">
        <w:trPr>
          <w:tblHeader/>
        </w:trPr>
        <w:tc>
          <w:tcPr>
            <w:tcW w:w="5087" w:type="dxa"/>
          </w:tcPr>
          <w:p w14:paraId="6DEEE9F6" w14:textId="77777777" w:rsidR="007F6723" w:rsidRPr="00D9049C" w:rsidRDefault="007F6723" w:rsidP="00181CF8">
            <w:pPr>
              <w:pStyle w:val="Tabletextboldleft"/>
            </w:pPr>
          </w:p>
        </w:tc>
        <w:tc>
          <w:tcPr>
            <w:tcW w:w="1559" w:type="dxa"/>
          </w:tcPr>
          <w:p w14:paraId="0192777C" w14:textId="77777777" w:rsidR="007F6723" w:rsidRPr="00D9049C" w:rsidRDefault="007F6723" w:rsidP="00181CF8">
            <w:pPr>
              <w:pStyle w:val="Tabletextboldleft"/>
              <w:jc w:val="center"/>
            </w:pPr>
            <w:r w:rsidRPr="00D9049C">
              <w:t>Embase.com</w:t>
            </w:r>
          </w:p>
        </w:tc>
        <w:tc>
          <w:tcPr>
            <w:tcW w:w="1650" w:type="dxa"/>
          </w:tcPr>
          <w:p w14:paraId="6AFE7FEC" w14:textId="77777777" w:rsidR="007F6723" w:rsidRPr="00D9049C" w:rsidRDefault="007F6723" w:rsidP="00181CF8">
            <w:pPr>
              <w:pStyle w:val="Tabletextboldleft"/>
              <w:jc w:val="center"/>
            </w:pPr>
            <w:r w:rsidRPr="00D9049C">
              <w:t>Cochrane Library</w:t>
            </w:r>
          </w:p>
        </w:tc>
      </w:tr>
      <w:tr w:rsidR="007F6723" w:rsidRPr="00D9049C" w14:paraId="2761D3C7" w14:textId="77777777" w:rsidTr="00181CF8">
        <w:tc>
          <w:tcPr>
            <w:tcW w:w="5087" w:type="dxa"/>
          </w:tcPr>
          <w:p w14:paraId="5089EFDF" w14:textId="77777777" w:rsidR="007F6723" w:rsidRPr="00D9049C" w:rsidRDefault="007F6723" w:rsidP="00181CF8">
            <w:pPr>
              <w:pStyle w:val="Tabletextcentred"/>
              <w:keepNext/>
              <w:jc w:val="left"/>
            </w:pPr>
            <w:r w:rsidRPr="00D9049C">
              <w:t>Number of citations retrieved by search</w:t>
            </w:r>
          </w:p>
        </w:tc>
        <w:tc>
          <w:tcPr>
            <w:tcW w:w="1559" w:type="dxa"/>
          </w:tcPr>
          <w:p w14:paraId="56C41F91" w14:textId="77777777" w:rsidR="007F6723" w:rsidRPr="00D9049C" w:rsidRDefault="007F6723" w:rsidP="00181CF8">
            <w:pPr>
              <w:pStyle w:val="Tabletextcentred"/>
              <w:keepNext/>
            </w:pPr>
            <w:r w:rsidRPr="00D9049C">
              <w:t>1029</w:t>
            </w:r>
          </w:p>
        </w:tc>
        <w:tc>
          <w:tcPr>
            <w:tcW w:w="1650" w:type="dxa"/>
          </w:tcPr>
          <w:p w14:paraId="3CFBEA8C" w14:textId="77777777" w:rsidR="007F6723" w:rsidRPr="00D9049C" w:rsidRDefault="007F6723" w:rsidP="00181CF8">
            <w:pPr>
              <w:pStyle w:val="Tabletextcentred"/>
              <w:keepNext/>
            </w:pPr>
            <w:r w:rsidRPr="00D9049C">
              <w:t>201</w:t>
            </w:r>
          </w:p>
        </w:tc>
      </w:tr>
      <w:tr w:rsidR="007F6723" w:rsidRPr="00D9049C" w14:paraId="19FB8C30" w14:textId="77777777" w:rsidTr="00181CF8">
        <w:tc>
          <w:tcPr>
            <w:tcW w:w="5087" w:type="dxa"/>
            <w:tcBorders>
              <w:bottom w:val="nil"/>
            </w:tcBorders>
          </w:tcPr>
          <w:p w14:paraId="6F0647BE" w14:textId="77777777" w:rsidR="007F6723" w:rsidRPr="00D9049C" w:rsidRDefault="007F6723" w:rsidP="00181CF8">
            <w:pPr>
              <w:pStyle w:val="Tabletextcentred"/>
              <w:keepNext/>
              <w:jc w:val="left"/>
              <w:rPr>
                <w:b/>
              </w:rPr>
            </w:pPr>
            <w:r w:rsidRPr="00D9049C">
              <w:rPr>
                <w:b/>
              </w:rPr>
              <w:t>Number of citations excluded after title/abstract review:</w:t>
            </w:r>
          </w:p>
        </w:tc>
        <w:tc>
          <w:tcPr>
            <w:tcW w:w="1559" w:type="dxa"/>
            <w:tcBorders>
              <w:bottom w:val="nil"/>
            </w:tcBorders>
          </w:tcPr>
          <w:p w14:paraId="5EFB24AE" w14:textId="77777777" w:rsidR="007F6723" w:rsidRPr="00D9049C" w:rsidRDefault="007F6723" w:rsidP="00181CF8">
            <w:pPr>
              <w:pStyle w:val="Tabletextcentred"/>
              <w:keepNext/>
            </w:pPr>
            <w:r w:rsidRPr="00D9049C">
              <w:t>-</w:t>
            </w:r>
          </w:p>
        </w:tc>
        <w:tc>
          <w:tcPr>
            <w:tcW w:w="1650" w:type="dxa"/>
            <w:tcBorders>
              <w:bottom w:val="nil"/>
            </w:tcBorders>
          </w:tcPr>
          <w:p w14:paraId="63BB0D56" w14:textId="77777777" w:rsidR="007F6723" w:rsidRPr="00D9049C" w:rsidRDefault="007F6723" w:rsidP="00181CF8">
            <w:pPr>
              <w:pStyle w:val="Tabletextcentred"/>
              <w:keepNext/>
            </w:pPr>
            <w:r w:rsidRPr="00D9049C">
              <w:t>-</w:t>
            </w:r>
          </w:p>
        </w:tc>
      </w:tr>
      <w:tr w:rsidR="007F6723" w:rsidRPr="00D9049C" w14:paraId="6B9A56C5" w14:textId="77777777" w:rsidTr="00181CF8">
        <w:tc>
          <w:tcPr>
            <w:tcW w:w="5087" w:type="dxa"/>
            <w:tcBorders>
              <w:top w:val="nil"/>
              <w:bottom w:val="nil"/>
            </w:tcBorders>
          </w:tcPr>
          <w:p w14:paraId="623DCF26" w14:textId="77777777" w:rsidR="007F6723" w:rsidRPr="00D9049C" w:rsidRDefault="007F6723" w:rsidP="003140D6">
            <w:pPr>
              <w:pStyle w:val="Tabletextcentred"/>
              <w:keepNext/>
              <w:numPr>
                <w:ilvl w:val="0"/>
                <w:numId w:val="22"/>
              </w:numPr>
              <w:ind w:left="301" w:hanging="283"/>
              <w:jc w:val="left"/>
            </w:pPr>
            <w:r w:rsidRPr="00D9049C">
              <w:t>Wrong study type: not a systematic review or primary utility study</w:t>
            </w:r>
          </w:p>
        </w:tc>
        <w:tc>
          <w:tcPr>
            <w:tcW w:w="1559" w:type="dxa"/>
            <w:tcBorders>
              <w:top w:val="nil"/>
              <w:bottom w:val="nil"/>
            </w:tcBorders>
          </w:tcPr>
          <w:p w14:paraId="7840CA1B" w14:textId="77777777" w:rsidR="007F6723" w:rsidRPr="00D9049C" w:rsidRDefault="007F6723" w:rsidP="00181CF8">
            <w:pPr>
              <w:pStyle w:val="Tabletextcentred"/>
              <w:keepNext/>
            </w:pPr>
            <w:r w:rsidRPr="00D9049C">
              <w:t>951</w:t>
            </w:r>
          </w:p>
        </w:tc>
        <w:tc>
          <w:tcPr>
            <w:tcW w:w="1650" w:type="dxa"/>
            <w:tcBorders>
              <w:top w:val="nil"/>
              <w:bottom w:val="nil"/>
            </w:tcBorders>
          </w:tcPr>
          <w:p w14:paraId="68965DD3" w14:textId="77777777" w:rsidR="007F6723" w:rsidRPr="00D9049C" w:rsidRDefault="007F6723" w:rsidP="00181CF8">
            <w:pPr>
              <w:pStyle w:val="Tabletextcentred"/>
              <w:keepNext/>
            </w:pPr>
            <w:r w:rsidRPr="00D9049C">
              <w:t>176</w:t>
            </w:r>
          </w:p>
        </w:tc>
      </w:tr>
      <w:tr w:rsidR="007F6723" w:rsidRPr="00D9049C" w14:paraId="7F593923" w14:textId="77777777" w:rsidTr="00181CF8">
        <w:tc>
          <w:tcPr>
            <w:tcW w:w="5087" w:type="dxa"/>
            <w:tcBorders>
              <w:top w:val="nil"/>
              <w:bottom w:val="nil"/>
            </w:tcBorders>
          </w:tcPr>
          <w:p w14:paraId="1AFFABB8" w14:textId="77777777" w:rsidR="007F6723" w:rsidRPr="00D9049C" w:rsidRDefault="007F6723" w:rsidP="003140D6">
            <w:pPr>
              <w:pStyle w:val="Tabletextcentred"/>
              <w:keepNext/>
              <w:numPr>
                <w:ilvl w:val="0"/>
                <w:numId w:val="22"/>
              </w:numPr>
              <w:ind w:left="301" w:hanging="283"/>
              <w:jc w:val="left"/>
            </w:pPr>
            <w:r w:rsidRPr="00D9049C">
              <w:t xml:space="preserve">Wrong indication: not AD </w:t>
            </w:r>
          </w:p>
        </w:tc>
        <w:tc>
          <w:tcPr>
            <w:tcW w:w="1559" w:type="dxa"/>
            <w:tcBorders>
              <w:top w:val="nil"/>
              <w:bottom w:val="nil"/>
            </w:tcBorders>
          </w:tcPr>
          <w:p w14:paraId="5D6B77E6" w14:textId="77777777" w:rsidR="007F6723" w:rsidRPr="00D9049C" w:rsidRDefault="007F6723" w:rsidP="00181CF8">
            <w:pPr>
              <w:pStyle w:val="Tabletextcentred"/>
              <w:keepNext/>
            </w:pPr>
            <w:r w:rsidRPr="00D9049C">
              <w:t>44</w:t>
            </w:r>
          </w:p>
        </w:tc>
        <w:tc>
          <w:tcPr>
            <w:tcW w:w="1650" w:type="dxa"/>
            <w:tcBorders>
              <w:top w:val="nil"/>
              <w:bottom w:val="nil"/>
            </w:tcBorders>
          </w:tcPr>
          <w:p w14:paraId="7EE3AC62" w14:textId="77777777" w:rsidR="007F6723" w:rsidRPr="00D9049C" w:rsidRDefault="007F6723" w:rsidP="00181CF8">
            <w:pPr>
              <w:pStyle w:val="Tabletextcentred"/>
              <w:keepNext/>
            </w:pPr>
            <w:r w:rsidRPr="00D9049C">
              <w:t>21</w:t>
            </w:r>
          </w:p>
        </w:tc>
      </w:tr>
      <w:tr w:rsidR="007F6723" w:rsidRPr="00D9049C" w14:paraId="36E96DA7" w14:textId="77777777" w:rsidTr="00181CF8">
        <w:tc>
          <w:tcPr>
            <w:tcW w:w="5087" w:type="dxa"/>
            <w:tcBorders>
              <w:top w:val="nil"/>
              <w:bottom w:val="nil"/>
            </w:tcBorders>
          </w:tcPr>
          <w:p w14:paraId="1CF1F891" w14:textId="77777777" w:rsidR="007F6723" w:rsidRPr="00D9049C" w:rsidRDefault="007F6723" w:rsidP="003140D6">
            <w:pPr>
              <w:pStyle w:val="Tabletextcentred"/>
              <w:keepNext/>
              <w:numPr>
                <w:ilvl w:val="0"/>
                <w:numId w:val="22"/>
              </w:numPr>
              <w:ind w:left="301" w:hanging="283"/>
              <w:jc w:val="left"/>
            </w:pPr>
            <w:r w:rsidRPr="00D9049C">
              <w:t>Incorrect disease severity states/inadequate health states</w:t>
            </w:r>
          </w:p>
        </w:tc>
        <w:tc>
          <w:tcPr>
            <w:tcW w:w="1559" w:type="dxa"/>
            <w:tcBorders>
              <w:top w:val="nil"/>
              <w:bottom w:val="nil"/>
            </w:tcBorders>
          </w:tcPr>
          <w:p w14:paraId="09D9881A" w14:textId="77777777" w:rsidR="007F6723" w:rsidRPr="00D9049C" w:rsidRDefault="007F6723" w:rsidP="00181CF8">
            <w:pPr>
              <w:pStyle w:val="Tabletextcentred"/>
              <w:keepNext/>
            </w:pPr>
            <w:r w:rsidRPr="00D9049C">
              <w:t>17</w:t>
            </w:r>
          </w:p>
        </w:tc>
        <w:tc>
          <w:tcPr>
            <w:tcW w:w="1650" w:type="dxa"/>
            <w:tcBorders>
              <w:top w:val="nil"/>
              <w:bottom w:val="nil"/>
            </w:tcBorders>
          </w:tcPr>
          <w:p w14:paraId="79471479" w14:textId="77777777" w:rsidR="007F6723" w:rsidRPr="00D9049C" w:rsidRDefault="007F6723" w:rsidP="00181CF8">
            <w:pPr>
              <w:pStyle w:val="Tabletextcentred"/>
              <w:keepNext/>
            </w:pPr>
            <w:r w:rsidRPr="00D9049C">
              <w:t>0</w:t>
            </w:r>
          </w:p>
        </w:tc>
      </w:tr>
      <w:tr w:rsidR="007F6723" w:rsidRPr="00D9049C" w14:paraId="28BBA646" w14:textId="77777777" w:rsidTr="00181CF8">
        <w:tc>
          <w:tcPr>
            <w:tcW w:w="5087" w:type="dxa"/>
            <w:tcBorders>
              <w:top w:val="single" w:sz="4" w:space="0" w:color="auto"/>
            </w:tcBorders>
          </w:tcPr>
          <w:p w14:paraId="342077B6" w14:textId="77777777" w:rsidR="007F6723" w:rsidRPr="00D9049C" w:rsidRDefault="007F6723" w:rsidP="00181CF8">
            <w:pPr>
              <w:pStyle w:val="Tabletextcentred"/>
              <w:keepNext/>
              <w:jc w:val="right"/>
            </w:pPr>
            <w:r w:rsidRPr="00D9049C">
              <w:rPr>
                <w:b/>
              </w:rPr>
              <w:t>Total excluded</w:t>
            </w:r>
            <w:r w:rsidRPr="00D9049C">
              <w:t xml:space="preserve"> </w:t>
            </w:r>
          </w:p>
        </w:tc>
        <w:tc>
          <w:tcPr>
            <w:tcW w:w="1559" w:type="dxa"/>
            <w:tcBorders>
              <w:top w:val="single" w:sz="4" w:space="0" w:color="auto"/>
            </w:tcBorders>
          </w:tcPr>
          <w:p w14:paraId="5C9D4500" w14:textId="77777777" w:rsidR="007F6723" w:rsidRPr="00D9049C" w:rsidRDefault="007F6723" w:rsidP="00181CF8">
            <w:pPr>
              <w:pStyle w:val="Tabletextcentred"/>
              <w:keepNext/>
            </w:pPr>
            <w:r w:rsidRPr="00D9049C">
              <w:t>1012</w:t>
            </w:r>
          </w:p>
        </w:tc>
        <w:tc>
          <w:tcPr>
            <w:tcW w:w="1650" w:type="dxa"/>
            <w:tcBorders>
              <w:top w:val="single" w:sz="4" w:space="0" w:color="auto"/>
            </w:tcBorders>
          </w:tcPr>
          <w:p w14:paraId="186D0092" w14:textId="77777777" w:rsidR="007F6723" w:rsidRPr="00D9049C" w:rsidRDefault="007F6723" w:rsidP="00181CF8">
            <w:pPr>
              <w:pStyle w:val="Tabletextcentred"/>
              <w:keepNext/>
            </w:pPr>
            <w:r w:rsidRPr="00D9049C">
              <w:t>197</w:t>
            </w:r>
          </w:p>
        </w:tc>
      </w:tr>
      <w:tr w:rsidR="007F6723" w:rsidRPr="00D9049C" w14:paraId="2FA10CEB" w14:textId="77777777" w:rsidTr="00181CF8">
        <w:tc>
          <w:tcPr>
            <w:tcW w:w="5087" w:type="dxa"/>
            <w:tcBorders>
              <w:bottom w:val="single" w:sz="4" w:space="0" w:color="auto"/>
            </w:tcBorders>
          </w:tcPr>
          <w:p w14:paraId="41E69EFA" w14:textId="77777777" w:rsidR="007F6723" w:rsidRPr="00D9049C" w:rsidRDefault="007F6723" w:rsidP="00181CF8">
            <w:pPr>
              <w:pStyle w:val="Tabletextcentred"/>
              <w:keepNext/>
              <w:jc w:val="left"/>
            </w:pPr>
            <w:r w:rsidRPr="00D9049C">
              <w:t>Number of citations screened by full text review</w:t>
            </w:r>
          </w:p>
        </w:tc>
        <w:tc>
          <w:tcPr>
            <w:tcW w:w="1559" w:type="dxa"/>
            <w:tcBorders>
              <w:bottom w:val="single" w:sz="4" w:space="0" w:color="auto"/>
            </w:tcBorders>
          </w:tcPr>
          <w:p w14:paraId="476DA49A" w14:textId="77777777" w:rsidR="007F6723" w:rsidRPr="00D9049C" w:rsidRDefault="007F6723" w:rsidP="00181CF8">
            <w:pPr>
              <w:pStyle w:val="Tabletextcentred"/>
              <w:keepNext/>
            </w:pPr>
            <w:r w:rsidRPr="00D9049C">
              <w:t>17</w:t>
            </w:r>
          </w:p>
        </w:tc>
        <w:tc>
          <w:tcPr>
            <w:tcW w:w="1650" w:type="dxa"/>
            <w:tcBorders>
              <w:bottom w:val="single" w:sz="4" w:space="0" w:color="auto"/>
            </w:tcBorders>
          </w:tcPr>
          <w:p w14:paraId="5450823C" w14:textId="77777777" w:rsidR="007F6723" w:rsidRPr="00D9049C" w:rsidRDefault="007F6723" w:rsidP="00181CF8">
            <w:pPr>
              <w:pStyle w:val="Tabletextcentred"/>
              <w:keepNext/>
            </w:pPr>
            <w:r w:rsidRPr="00D9049C">
              <w:t>4</w:t>
            </w:r>
          </w:p>
        </w:tc>
      </w:tr>
      <w:tr w:rsidR="007F6723" w:rsidRPr="00D9049C" w14:paraId="7D374986" w14:textId="77777777" w:rsidTr="00181CF8">
        <w:tc>
          <w:tcPr>
            <w:tcW w:w="5087" w:type="dxa"/>
            <w:tcBorders>
              <w:bottom w:val="single" w:sz="4" w:space="0" w:color="auto"/>
            </w:tcBorders>
          </w:tcPr>
          <w:p w14:paraId="50795409" w14:textId="77777777" w:rsidR="007F6723" w:rsidRPr="00D9049C" w:rsidRDefault="007F6723" w:rsidP="00181CF8">
            <w:pPr>
              <w:pStyle w:val="Tabletextcentred"/>
              <w:keepNext/>
              <w:jc w:val="left"/>
            </w:pPr>
            <w:r w:rsidRPr="00D9049C">
              <w:t>Duplicates removed</w:t>
            </w:r>
          </w:p>
        </w:tc>
        <w:tc>
          <w:tcPr>
            <w:tcW w:w="1559" w:type="dxa"/>
            <w:tcBorders>
              <w:bottom w:val="single" w:sz="4" w:space="0" w:color="auto"/>
              <w:right w:val="nil"/>
            </w:tcBorders>
          </w:tcPr>
          <w:p w14:paraId="5999ADBE" w14:textId="77777777" w:rsidR="007F6723" w:rsidRPr="00D9049C" w:rsidRDefault="007F6723" w:rsidP="00181CF8">
            <w:pPr>
              <w:pStyle w:val="Tabletextcentred"/>
              <w:keepNext/>
              <w:jc w:val="right"/>
            </w:pPr>
            <w:r w:rsidRPr="00D9049C">
              <w:t>4</w:t>
            </w:r>
          </w:p>
        </w:tc>
        <w:tc>
          <w:tcPr>
            <w:tcW w:w="1650" w:type="dxa"/>
            <w:tcBorders>
              <w:left w:val="nil"/>
              <w:bottom w:val="single" w:sz="4" w:space="0" w:color="auto"/>
            </w:tcBorders>
          </w:tcPr>
          <w:p w14:paraId="77AB2F02" w14:textId="77777777" w:rsidR="007F6723" w:rsidRPr="00D9049C" w:rsidRDefault="007F6723" w:rsidP="00181CF8">
            <w:pPr>
              <w:pStyle w:val="Tabletextcentred"/>
              <w:keepNext/>
            </w:pPr>
            <w:r w:rsidRPr="00D9049C">
              <w:t>-</w:t>
            </w:r>
          </w:p>
        </w:tc>
      </w:tr>
      <w:tr w:rsidR="007F6723" w:rsidRPr="00D9049C" w14:paraId="174D40B7" w14:textId="77777777" w:rsidTr="00181CF8">
        <w:tc>
          <w:tcPr>
            <w:tcW w:w="5087" w:type="dxa"/>
            <w:tcBorders>
              <w:bottom w:val="nil"/>
            </w:tcBorders>
          </w:tcPr>
          <w:p w14:paraId="4D0C85CD" w14:textId="77777777" w:rsidR="007F6723" w:rsidRPr="00D9049C" w:rsidRDefault="007F6723" w:rsidP="00181CF8">
            <w:pPr>
              <w:pStyle w:val="Tabletextcentred"/>
              <w:keepNext/>
              <w:jc w:val="left"/>
              <w:rPr>
                <w:b/>
              </w:rPr>
            </w:pPr>
            <w:r w:rsidRPr="00D9049C">
              <w:rPr>
                <w:b/>
              </w:rPr>
              <w:t>Number of citations excluded after full text review:</w:t>
            </w:r>
          </w:p>
        </w:tc>
        <w:tc>
          <w:tcPr>
            <w:tcW w:w="1559" w:type="dxa"/>
            <w:tcBorders>
              <w:bottom w:val="nil"/>
              <w:right w:val="nil"/>
            </w:tcBorders>
          </w:tcPr>
          <w:p w14:paraId="7475E781" w14:textId="77777777" w:rsidR="007F6723" w:rsidRPr="00D9049C" w:rsidRDefault="007F6723" w:rsidP="00181CF8">
            <w:pPr>
              <w:pStyle w:val="Tabletextcentred"/>
              <w:keepNext/>
              <w:jc w:val="right"/>
            </w:pPr>
            <w:r w:rsidRPr="00D9049C">
              <w:t>-</w:t>
            </w:r>
          </w:p>
        </w:tc>
        <w:tc>
          <w:tcPr>
            <w:tcW w:w="1650" w:type="dxa"/>
            <w:tcBorders>
              <w:left w:val="nil"/>
              <w:bottom w:val="nil"/>
            </w:tcBorders>
          </w:tcPr>
          <w:p w14:paraId="6A3F3E7D" w14:textId="77777777" w:rsidR="007F6723" w:rsidRPr="00D9049C" w:rsidRDefault="007F6723" w:rsidP="00181CF8">
            <w:pPr>
              <w:pStyle w:val="Tabletextcentred"/>
              <w:keepNext/>
            </w:pPr>
            <w:r w:rsidRPr="00D9049C">
              <w:t>-</w:t>
            </w:r>
          </w:p>
        </w:tc>
      </w:tr>
      <w:tr w:rsidR="007F6723" w:rsidRPr="00D9049C" w14:paraId="2662F273" w14:textId="77777777" w:rsidTr="00181CF8">
        <w:tc>
          <w:tcPr>
            <w:tcW w:w="5087" w:type="dxa"/>
            <w:tcBorders>
              <w:top w:val="nil"/>
              <w:bottom w:val="nil"/>
            </w:tcBorders>
          </w:tcPr>
          <w:p w14:paraId="09B87743" w14:textId="77777777" w:rsidR="007F6723" w:rsidRPr="00D9049C" w:rsidRDefault="007F6723" w:rsidP="003140D6">
            <w:pPr>
              <w:pStyle w:val="Tabletextcentred"/>
              <w:keepNext/>
              <w:numPr>
                <w:ilvl w:val="0"/>
                <w:numId w:val="22"/>
              </w:numPr>
              <w:ind w:left="301" w:hanging="283"/>
              <w:jc w:val="left"/>
            </w:pPr>
            <w:r w:rsidRPr="00D9049C">
              <w:t>Wrong study type: not a systematic review or primary utility study</w:t>
            </w:r>
          </w:p>
        </w:tc>
        <w:tc>
          <w:tcPr>
            <w:tcW w:w="1559" w:type="dxa"/>
            <w:tcBorders>
              <w:top w:val="nil"/>
              <w:bottom w:val="nil"/>
              <w:right w:val="nil"/>
            </w:tcBorders>
          </w:tcPr>
          <w:p w14:paraId="04C40376" w14:textId="77777777" w:rsidR="007F6723" w:rsidRPr="00D9049C" w:rsidRDefault="007F6723" w:rsidP="00181CF8">
            <w:pPr>
              <w:pStyle w:val="Tabletextcentred"/>
              <w:keepNext/>
              <w:jc w:val="right"/>
            </w:pPr>
            <w:r w:rsidRPr="00D9049C">
              <w:t>0</w:t>
            </w:r>
          </w:p>
        </w:tc>
        <w:tc>
          <w:tcPr>
            <w:tcW w:w="1650" w:type="dxa"/>
            <w:tcBorders>
              <w:top w:val="nil"/>
              <w:left w:val="nil"/>
              <w:bottom w:val="nil"/>
            </w:tcBorders>
          </w:tcPr>
          <w:p w14:paraId="6EC5693B" w14:textId="77777777" w:rsidR="007F6723" w:rsidRPr="00D9049C" w:rsidRDefault="007F6723" w:rsidP="00181CF8">
            <w:pPr>
              <w:pStyle w:val="Tabletextcentred"/>
              <w:keepNext/>
            </w:pPr>
            <w:r w:rsidRPr="00D9049C">
              <w:t>-</w:t>
            </w:r>
          </w:p>
        </w:tc>
      </w:tr>
      <w:tr w:rsidR="007F6723" w:rsidRPr="00D9049C" w14:paraId="76840ACA" w14:textId="77777777" w:rsidTr="00181CF8">
        <w:tc>
          <w:tcPr>
            <w:tcW w:w="5087" w:type="dxa"/>
            <w:tcBorders>
              <w:top w:val="nil"/>
              <w:bottom w:val="nil"/>
            </w:tcBorders>
          </w:tcPr>
          <w:p w14:paraId="3CFBDC8D" w14:textId="77777777" w:rsidR="007F6723" w:rsidRPr="00D9049C" w:rsidRDefault="007F6723" w:rsidP="003140D6">
            <w:pPr>
              <w:pStyle w:val="Tabletextcentred"/>
              <w:keepNext/>
              <w:numPr>
                <w:ilvl w:val="0"/>
                <w:numId w:val="22"/>
              </w:numPr>
              <w:ind w:left="301" w:hanging="283"/>
              <w:jc w:val="left"/>
            </w:pPr>
            <w:r w:rsidRPr="00D9049C">
              <w:t xml:space="preserve">Wrong indication: not AD </w:t>
            </w:r>
          </w:p>
        </w:tc>
        <w:tc>
          <w:tcPr>
            <w:tcW w:w="1559" w:type="dxa"/>
            <w:tcBorders>
              <w:top w:val="nil"/>
              <w:bottom w:val="nil"/>
              <w:right w:val="nil"/>
            </w:tcBorders>
          </w:tcPr>
          <w:p w14:paraId="2548DE99" w14:textId="77777777" w:rsidR="007F6723" w:rsidRPr="00D9049C" w:rsidRDefault="007F6723" w:rsidP="00181CF8">
            <w:pPr>
              <w:pStyle w:val="Tabletextcentred"/>
              <w:keepNext/>
              <w:jc w:val="right"/>
            </w:pPr>
            <w:r w:rsidRPr="00D9049C">
              <w:t>0</w:t>
            </w:r>
          </w:p>
        </w:tc>
        <w:tc>
          <w:tcPr>
            <w:tcW w:w="1650" w:type="dxa"/>
            <w:tcBorders>
              <w:top w:val="nil"/>
              <w:left w:val="nil"/>
              <w:bottom w:val="nil"/>
            </w:tcBorders>
          </w:tcPr>
          <w:p w14:paraId="77905118" w14:textId="77777777" w:rsidR="007F6723" w:rsidRPr="00D9049C" w:rsidRDefault="007F6723" w:rsidP="00181CF8">
            <w:pPr>
              <w:pStyle w:val="Tabletextcentred"/>
              <w:keepNext/>
            </w:pPr>
            <w:r w:rsidRPr="00D9049C">
              <w:t>-</w:t>
            </w:r>
          </w:p>
        </w:tc>
      </w:tr>
      <w:tr w:rsidR="007F6723" w:rsidRPr="00D9049C" w14:paraId="711C313E" w14:textId="77777777" w:rsidTr="00181CF8">
        <w:tc>
          <w:tcPr>
            <w:tcW w:w="5087" w:type="dxa"/>
            <w:tcBorders>
              <w:top w:val="nil"/>
              <w:bottom w:val="nil"/>
            </w:tcBorders>
          </w:tcPr>
          <w:p w14:paraId="429ED800" w14:textId="77777777" w:rsidR="007F6723" w:rsidRPr="00D9049C" w:rsidRDefault="007F6723" w:rsidP="003140D6">
            <w:pPr>
              <w:pStyle w:val="Tabletextcentred"/>
              <w:keepNext/>
              <w:numPr>
                <w:ilvl w:val="0"/>
                <w:numId w:val="22"/>
              </w:numPr>
              <w:ind w:left="301" w:hanging="283"/>
              <w:jc w:val="left"/>
            </w:pPr>
            <w:r w:rsidRPr="00D9049C">
              <w:t>Incorrect disease severity states/inadequate health states</w:t>
            </w:r>
          </w:p>
        </w:tc>
        <w:tc>
          <w:tcPr>
            <w:tcW w:w="1559" w:type="dxa"/>
            <w:tcBorders>
              <w:top w:val="nil"/>
              <w:bottom w:val="single" w:sz="4" w:space="0" w:color="auto"/>
              <w:right w:val="nil"/>
            </w:tcBorders>
          </w:tcPr>
          <w:p w14:paraId="62D15223" w14:textId="77777777" w:rsidR="007F6723" w:rsidRPr="00D9049C" w:rsidRDefault="007F6723" w:rsidP="00181CF8">
            <w:pPr>
              <w:pStyle w:val="Tabletextcentred"/>
              <w:keepNext/>
              <w:jc w:val="right"/>
            </w:pPr>
            <w:r w:rsidRPr="00D9049C">
              <w:t>2</w:t>
            </w:r>
          </w:p>
        </w:tc>
        <w:tc>
          <w:tcPr>
            <w:tcW w:w="1650" w:type="dxa"/>
            <w:tcBorders>
              <w:top w:val="nil"/>
              <w:left w:val="nil"/>
              <w:bottom w:val="nil"/>
            </w:tcBorders>
          </w:tcPr>
          <w:p w14:paraId="1348F643" w14:textId="77777777" w:rsidR="007F6723" w:rsidRPr="00D9049C" w:rsidRDefault="007F6723" w:rsidP="00181CF8">
            <w:pPr>
              <w:pStyle w:val="Tabletextcentred"/>
              <w:keepNext/>
            </w:pPr>
            <w:r w:rsidRPr="00D9049C">
              <w:t>-</w:t>
            </w:r>
          </w:p>
        </w:tc>
      </w:tr>
      <w:tr w:rsidR="007F6723" w:rsidRPr="00D9049C" w14:paraId="29C8B703" w14:textId="77777777" w:rsidTr="00181CF8">
        <w:tc>
          <w:tcPr>
            <w:tcW w:w="5087" w:type="dxa"/>
            <w:tcBorders>
              <w:top w:val="single" w:sz="4" w:space="0" w:color="auto"/>
            </w:tcBorders>
          </w:tcPr>
          <w:p w14:paraId="619A0D9C" w14:textId="77777777" w:rsidR="007F6723" w:rsidRPr="00D9049C" w:rsidRDefault="007F6723" w:rsidP="00181CF8">
            <w:pPr>
              <w:pStyle w:val="Tabletextcentred"/>
              <w:keepNext/>
              <w:jc w:val="right"/>
            </w:pPr>
            <w:r w:rsidRPr="00D9049C">
              <w:rPr>
                <w:b/>
              </w:rPr>
              <w:t>Total excluded</w:t>
            </w:r>
          </w:p>
        </w:tc>
        <w:tc>
          <w:tcPr>
            <w:tcW w:w="1559" w:type="dxa"/>
            <w:tcBorders>
              <w:top w:val="single" w:sz="4" w:space="0" w:color="auto"/>
              <w:bottom w:val="single" w:sz="4" w:space="0" w:color="auto"/>
              <w:right w:val="nil"/>
            </w:tcBorders>
          </w:tcPr>
          <w:p w14:paraId="6E08FDB3" w14:textId="77777777" w:rsidR="007F6723" w:rsidRPr="00D9049C" w:rsidRDefault="007F6723" w:rsidP="00181CF8">
            <w:pPr>
              <w:pStyle w:val="Tabletextcentred"/>
              <w:keepNext/>
              <w:jc w:val="right"/>
            </w:pPr>
            <w:r w:rsidRPr="00D9049C">
              <w:t>2</w:t>
            </w:r>
          </w:p>
        </w:tc>
        <w:tc>
          <w:tcPr>
            <w:tcW w:w="1650" w:type="dxa"/>
            <w:tcBorders>
              <w:top w:val="single" w:sz="4" w:space="0" w:color="auto"/>
              <w:left w:val="nil"/>
            </w:tcBorders>
          </w:tcPr>
          <w:p w14:paraId="69F9A8AC" w14:textId="77777777" w:rsidR="007F6723" w:rsidRPr="00D9049C" w:rsidRDefault="007F6723" w:rsidP="00181CF8">
            <w:pPr>
              <w:pStyle w:val="Tabletextcentred"/>
              <w:keepNext/>
            </w:pPr>
            <w:r w:rsidRPr="00D9049C">
              <w:t>-</w:t>
            </w:r>
          </w:p>
        </w:tc>
      </w:tr>
      <w:tr w:rsidR="007F6723" w:rsidRPr="00D9049C" w14:paraId="07E403C9" w14:textId="77777777" w:rsidTr="00181CF8">
        <w:tc>
          <w:tcPr>
            <w:tcW w:w="5087" w:type="dxa"/>
          </w:tcPr>
          <w:p w14:paraId="1421B07B" w14:textId="77777777" w:rsidR="007F6723" w:rsidRPr="00D9049C" w:rsidRDefault="007F6723" w:rsidP="00181CF8">
            <w:pPr>
              <w:pStyle w:val="Tabletextcentred"/>
              <w:keepNext/>
              <w:jc w:val="left"/>
            </w:pPr>
            <w:r w:rsidRPr="00D9049C">
              <w:t>Total number of citations included for further consideration</w:t>
            </w:r>
          </w:p>
        </w:tc>
        <w:tc>
          <w:tcPr>
            <w:tcW w:w="1559" w:type="dxa"/>
            <w:tcBorders>
              <w:right w:val="nil"/>
            </w:tcBorders>
          </w:tcPr>
          <w:p w14:paraId="6B7C0F9C" w14:textId="77777777" w:rsidR="007F6723" w:rsidRPr="00D9049C" w:rsidRDefault="007F6723" w:rsidP="00181CF8">
            <w:pPr>
              <w:pStyle w:val="Tabletextcentred"/>
              <w:keepNext/>
              <w:jc w:val="right"/>
            </w:pPr>
            <w:r w:rsidRPr="00D9049C">
              <w:t>15</w:t>
            </w:r>
          </w:p>
        </w:tc>
        <w:tc>
          <w:tcPr>
            <w:tcW w:w="1650" w:type="dxa"/>
            <w:tcBorders>
              <w:left w:val="nil"/>
            </w:tcBorders>
          </w:tcPr>
          <w:p w14:paraId="116FC4F7" w14:textId="77777777" w:rsidR="007F6723" w:rsidRPr="00D9049C" w:rsidRDefault="007F6723" w:rsidP="00181CF8">
            <w:pPr>
              <w:pStyle w:val="Tabletextcentred"/>
              <w:keepNext/>
            </w:pPr>
            <w:r w:rsidRPr="00D9049C">
              <w:t>-</w:t>
            </w:r>
          </w:p>
        </w:tc>
      </w:tr>
    </w:tbl>
    <w:p w14:paraId="5171F782" w14:textId="77777777" w:rsidR="007F6723" w:rsidRDefault="007F6723" w:rsidP="007F6723">
      <w:pPr>
        <w:pStyle w:val="Tablefootnotes"/>
      </w:pPr>
      <w:r w:rsidRPr="00D9049C">
        <w:t>Abbreviations: AD,</w:t>
      </w:r>
      <w:r>
        <w:t xml:space="preserve"> Alzheimer’s disease</w:t>
      </w:r>
    </w:p>
    <w:p w14:paraId="66636C3F" w14:textId="77777777" w:rsidR="009502E6" w:rsidRDefault="009502E6" w:rsidP="009502E6"/>
    <w:p w14:paraId="596D1317" w14:textId="77777777" w:rsidR="009502E6" w:rsidRDefault="009502E6" w:rsidP="009502E6">
      <w:pPr>
        <w:sectPr w:rsidR="009502E6" w:rsidSect="00F710E2">
          <w:footerReference w:type="default" r:id="rId35"/>
          <w:pgSz w:w="11906" w:h="16838" w:code="9"/>
          <w:pgMar w:top="1440" w:right="1440" w:bottom="1440" w:left="1440" w:header="680" w:footer="1021" w:gutter="0"/>
          <w:cols w:space="708"/>
          <w:docGrid w:linePitch="360"/>
        </w:sectPr>
      </w:pPr>
    </w:p>
    <w:p w14:paraId="3E66B590" w14:textId="6983F578" w:rsidR="009936BA" w:rsidRDefault="006A6C31" w:rsidP="00800722">
      <w:pPr>
        <w:pStyle w:val="Heading1"/>
        <w:numPr>
          <w:ilvl w:val="0"/>
          <w:numId w:val="8"/>
        </w:numPr>
      </w:pPr>
      <w:bookmarkStart w:id="346" w:name="_Ref406416234"/>
      <w:bookmarkStart w:id="347" w:name="_Toc408845195"/>
      <w:r>
        <w:lastRenderedPageBreak/>
        <w:t>Indirect evidence – as presented in the literature</w:t>
      </w:r>
      <w:bookmarkEnd w:id="346"/>
      <w:bookmarkEnd w:id="347"/>
    </w:p>
    <w:p w14:paraId="19822DE8" w14:textId="29E8F32C" w:rsidR="00B01635" w:rsidRPr="00C620A9" w:rsidRDefault="00B01635" w:rsidP="00B01635">
      <w:pPr>
        <w:pStyle w:val="Caption"/>
      </w:pPr>
      <w:r>
        <w:t>Table A3.1</w:t>
      </w:r>
      <w:r>
        <w:tab/>
        <w:t xml:space="preserve">Test results </w:t>
      </w:r>
      <w:r w:rsidRPr="00B01635">
        <w:t>and performance characteristics of FDG-PET and SPECT alone in the diagnosis of AD, in studies which report having autopsy controls</w:t>
      </w:r>
    </w:p>
    <w:tbl>
      <w:tblPr>
        <w:tblStyle w:val="TableGrid"/>
        <w:tblW w:w="0" w:type="auto"/>
        <w:tblInd w:w="720" w:type="dxa"/>
        <w:tblLook w:val="04A0" w:firstRow="1" w:lastRow="0" w:firstColumn="1" w:lastColumn="0" w:noHBand="0" w:noVBand="1"/>
        <w:tblCaption w:val="Test results and performance characteristics"/>
        <w:tblDescription w:val="Test results and performance characteristics of FDG-PET and SPECT alone in the diagnosis of AD, in studies which report having autopsy controls"/>
      </w:tblPr>
      <w:tblGrid>
        <w:gridCol w:w="1969"/>
        <w:gridCol w:w="1134"/>
        <w:gridCol w:w="744"/>
        <w:gridCol w:w="744"/>
        <w:gridCol w:w="744"/>
        <w:gridCol w:w="744"/>
        <w:gridCol w:w="1984"/>
        <w:gridCol w:w="1985"/>
        <w:gridCol w:w="3119"/>
      </w:tblGrid>
      <w:tr w:rsidR="006A6C31" w14:paraId="21E8F290" w14:textId="77777777" w:rsidTr="00556738">
        <w:trPr>
          <w:tblHeader/>
        </w:trPr>
        <w:tc>
          <w:tcPr>
            <w:tcW w:w="1969" w:type="dxa"/>
            <w:shd w:val="clear" w:color="auto" w:fill="FFFFFF" w:themeFill="background1"/>
          </w:tcPr>
          <w:p w14:paraId="238A9D70" w14:textId="77777777" w:rsidR="006A6C31" w:rsidRDefault="006A6C31" w:rsidP="00246C7A">
            <w:pPr>
              <w:pStyle w:val="Tabletextboldleft"/>
            </w:pPr>
            <w:r>
              <w:t xml:space="preserve">Study ID </w:t>
            </w:r>
          </w:p>
        </w:tc>
        <w:tc>
          <w:tcPr>
            <w:tcW w:w="1134" w:type="dxa"/>
            <w:shd w:val="clear" w:color="auto" w:fill="FFFFFF" w:themeFill="background1"/>
          </w:tcPr>
          <w:p w14:paraId="17C693A1" w14:textId="77777777" w:rsidR="006A6C31" w:rsidRDefault="006A6C31" w:rsidP="00246C7A">
            <w:pPr>
              <w:pStyle w:val="Tabletextboldleft"/>
            </w:pPr>
            <w:r>
              <w:t>Index  test</w:t>
            </w:r>
          </w:p>
        </w:tc>
        <w:tc>
          <w:tcPr>
            <w:tcW w:w="744" w:type="dxa"/>
            <w:shd w:val="clear" w:color="auto" w:fill="FFFFFF" w:themeFill="background1"/>
          </w:tcPr>
          <w:p w14:paraId="381A34F8" w14:textId="77777777" w:rsidR="006A6C31" w:rsidRPr="004B7590" w:rsidRDefault="006A6C31" w:rsidP="00246C7A">
            <w:pPr>
              <w:pStyle w:val="Tabletextboldleft"/>
              <w:jc w:val="center"/>
            </w:pPr>
            <w:r>
              <w:t>TP</w:t>
            </w:r>
          </w:p>
        </w:tc>
        <w:tc>
          <w:tcPr>
            <w:tcW w:w="744" w:type="dxa"/>
            <w:shd w:val="clear" w:color="auto" w:fill="FFFFFF" w:themeFill="background1"/>
          </w:tcPr>
          <w:p w14:paraId="606EF1BF" w14:textId="77777777" w:rsidR="006A6C31" w:rsidRPr="004B7590" w:rsidRDefault="006A6C31" w:rsidP="00246C7A">
            <w:pPr>
              <w:pStyle w:val="Tabletextboldleft"/>
              <w:jc w:val="center"/>
            </w:pPr>
            <w:r>
              <w:t>TN</w:t>
            </w:r>
          </w:p>
        </w:tc>
        <w:tc>
          <w:tcPr>
            <w:tcW w:w="744" w:type="dxa"/>
            <w:shd w:val="clear" w:color="auto" w:fill="FFFFFF" w:themeFill="background1"/>
          </w:tcPr>
          <w:p w14:paraId="1B3D1C8F" w14:textId="77777777" w:rsidR="006A6C31" w:rsidRPr="004B7590" w:rsidRDefault="006A6C31" w:rsidP="00246C7A">
            <w:pPr>
              <w:pStyle w:val="Tabletextboldleft"/>
              <w:jc w:val="center"/>
            </w:pPr>
            <w:r>
              <w:t>FP</w:t>
            </w:r>
          </w:p>
        </w:tc>
        <w:tc>
          <w:tcPr>
            <w:tcW w:w="744" w:type="dxa"/>
            <w:shd w:val="clear" w:color="auto" w:fill="FFFFFF" w:themeFill="background1"/>
          </w:tcPr>
          <w:p w14:paraId="127D4A35" w14:textId="77777777" w:rsidR="006A6C31" w:rsidRPr="004B7590" w:rsidRDefault="006A6C31" w:rsidP="00246C7A">
            <w:pPr>
              <w:pStyle w:val="Tabletextboldleft"/>
              <w:jc w:val="center"/>
            </w:pPr>
            <w:r>
              <w:t>FN</w:t>
            </w:r>
          </w:p>
        </w:tc>
        <w:tc>
          <w:tcPr>
            <w:tcW w:w="1984" w:type="dxa"/>
            <w:shd w:val="clear" w:color="auto" w:fill="FFFFFF" w:themeFill="background1"/>
          </w:tcPr>
          <w:p w14:paraId="6B9485D4" w14:textId="77777777" w:rsidR="006A6C31" w:rsidRPr="004B7590" w:rsidRDefault="006A6C31" w:rsidP="00246C7A">
            <w:pPr>
              <w:pStyle w:val="Tabletextboldleft"/>
              <w:jc w:val="center"/>
            </w:pPr>
            <w:r>
              <w:t xml:space="preserve">Sensitivity </w:t>
            </w:r>
            <w:r w:rsidRPr="004B7590">
              <w:t>[95% CI]</w:t>
            </w:r>
          </w:p>
        </w:tc>
        <w:tc>
          <w:tcPr>
            <w:tcW w:w="1985" w:type="dxa"/>
            <w:shd w:val="clear" w:color="auto" w:fill="FFFFFF" w:themeFill="background1"/>
          </w:tcPr>
          <w:p w14:paraId="3BDF0728" w14:textId="77777777" w:rsidR="006A6C31" w:rsidRPr="004B7590" w:rsidRDefault="006A6C31" w:rsidP="00246C7A">
            <w:pPr>
              <w:pStyle w:val="Tabletextboldleft"/>
              <w:jc w:val="center"/>
            </w:pPr>
            <w:r>
              <w:t xml:space="preserve">Specificity </w:t>
            </w:r>
            <w:r w:rsidRPr="004B7590">
              <w:t>[95% CI]</w:t>
            </w:r>
          </w:p>
        </w:tc>
        <w:tc>
          <w:tcPr>
            <w:tcW w:w="3119" w:type="dxa"/>
            <w:shd w:val="clear" w:color="auto" w:fill="FFFFFF" w:themeFill="background1"/>
          </w:tcPr>
          <w:p w14:paraId="76226E28" w14:textId="77777777" w:rsidR="006A6C31" w:rsidRDefault="006A6C31" w:rsidP="00246C7A">
            <w:pPr>
              <w:pStyle w:val="Tabletextboldleft"/>
              <w:jc w:val="center"/>
            </w:pPr>
            <w:r>
              <w:t>Source</w:t>
            </w:r>
          </w:p>
        </w:tc>
      </w:tr>
      <w:tr w:rsidR="006A6C31" w14:paraId="724DC1A1" w14:textId="77777777" w:rsidTr="00246C7A">
        <w:tc>
          <w:tcPr>
            <w:tcW w:w="1969" w:type="dxa"/>
            <w:shd w:val="clear" w:color="auto" w:fill="D0CECE" w:themeFill="background2" w:themeFillShade="E6"/>
          </w:tcPr>
          <w:p w14:paraId="00AE45E0" w14:textId="77777777" w:rsidR="006A6C31" w:rsidRDefault="006A6C31" w:rsidP="00246C7A">
            <w:pPr>
              <w:pStyle w:val="Tabletextcentred"/>
              <w:keepNext/>
              <w:jc w:val="left"/>
            </w:pPr>
            <w:r>
              <w:t>Non-demented controls</w:t>
            </w:r>
          </w:p>
        </w:tc>
        <w:tc>
          <w:tcPr>
            <w:tcW w:w="1134" w:type="dxa"/>
            <w:shd w:val="clear" w:color="auto" w:fill="D0CECE" w:themeFill="background2" w:themeFillShade="E6"/>
          </w:tcPr>
          <w:p w14:paraId="38BB4165" w14:textId="77777777" w:rsidR="006A6C31" w:rsidRDefault="006A6C31" w:rsidP="00246C7A">
            <w:pPr>
              <w:pStyle w:val="Tabletextcentred"/>
              <w:keepNext/>
              <w:jc w:val="left"/>
            </w:pPr>
            <w:r>
              <w:t>-</w:t>
            </w:r>
          </w:p>
        </w:tc>
        <w:tc>
          <w:tcPr>
            <w:tcW w:w="744" w:type="dxa"/>
            <w:shd w:val="clear" w:color="auto" w:fill="D0CECE" w:themeFill="background2" w:themeFillShade="E6"/>
          </w:tcPr>
          <w:p w14:paraId="02C8A12E" w14:textId="77777777" w:rsidR="006A6C31" w:rsidRDefault="006A6C31" w:rsidP="00246C7A">
            <w:pPr>
              <w:pStyle w:val="Tabletextcentred"/>
              <w:keepNext/>
            </w:pPr>
            <w:r>
              <w:t>-</w:t>
            </w:r>
          </w:p>
        </w:tc>
        <w:tc>
          <w:tcPr>
            <w:tcW w:w="744" w:type="dxa"/>
            <w:shd w:val="clear" w:color="auto" w:fill="D0CECE" w:themeFill="background2" w:themeFillShade="E6"/>
          </w:tcPr>
          <w:p w14:paraId="65DC0659" w14:textId="77777777" w:rsidR="006A6C31" w:rsidRDefault="006A6C31" w:rsidP="00246C7A">
            <w:pPr>
              <w:pStyle w:val="Tabletextcentred"/>
              <w:keepNext/>
            </w:pPr>
            <w:r>
              <w:t>-</w:t>
            </w:r>
          </w:p>
        </w:tc>
        <w:tc>
          <w:tcPr>
            <w:tcW w:w="744" w:type="dxa"/>
            <w:shd w:val="clear" w:color="auto" w:fill="D0CECE" w:themeFill="background2" w:themeFillShade="E6"/>
          </w:tcPr>
          <w:p w14:paraId="44EC7DB8" w14:textId="77777777" w:rsidR="006A6C31" w:rsidRDefault="006A6C31" w:rsidP="00246C7A">
            <w:pPr>
              <w:pStyle w:val="Tabletextcentred"/>
              <w:keepNext/>
            </w:pPr>
            <w:r>
              <w:t>-</w:t>
            </w:r>
          </w:p>
        </w:tc>
        <w:tc>
          <w:tcPr>
            <w:tcW w:w="744" w:type="dxa"/>
            <w:shd w:val="clear" w:color="auto" w:fill="D0CECE" w:themeFill="background2" w:themeFillShade="E6"/>
          </w:tcPr>
          <w:p w14:paraId="3F9FD037" w14:textId="77777777" w:rsidR="006A6C31" w:rsidRDefault="006A6C31" w:rsidP="00246C7A">
            <w:pPr>
              <w:pStyle w:val="Tabletextcentred"/>
              <w:keepNext/>
            </w:pPr>
            <w:r>
              <w:t>-</w:t>
            </w:r>
          </w:p>
        </w:tc>
        <w:tc>
          <w:tcPr>
            <w:tcW w:w="1984" w:type="dxa"/>
            <w:shd w:val="clear" w:color="auto" w:fill="D0CECE" w:themeFill="background2" w:themeFillShade="E6"/>
          </w:tcPr>
          <w:p w14:paraId="710395AF" w14:textId="77777777" w:rsidR="006A6C31" w:rsidRDefault="006A6C31" w:rsidP="00246C7A">
            <w:pPr>
              <w:pStyle w:val="Tabletextcentred"/>
              <w:keepNext/>
            </w:pPr>
            <w:r>
              <w:t>-</w:t>
            </w:r>
          </w:p>
        </w:tc>
        <w:tc>
          <w:tcPr>
            <w:tcW w:w="1985" w:type="dxa"/>
            <w:shd w:val="clear" w:color="auto" w:fill="D0CECE" w:themeFill="background2" w:themeFillShade="E6"/>
          </w:tcPr>
          <w:p w14:paraId="31925442" w14:textId="77777777" w:rsidR="006A6C31" w:rsidRDefault="006A6C31" w:rsidP="00246C7A">
            <w:pPr>
              <w:pStyle w:val="Tabletextcentred"/>
              <w:keepNext/>
            </w:pPr>
            <w:r>
              <w:t>-</w:t>
            </w:r>
          </w:p>
        </w:tc>
        <w:tc>
          <w:tcPr>
            <w:tcW w:w="3119" w:type="dxa"/>
            <w:shd w:val="clear" w:color="auto" w:fill="D0CECE" w:themeFill="background2" w:themeFillShade="E6"/>
          </w:tcPr>
          <w:p w14:paraId="55B74137" w14:textId="77777777" w:rsidR="006A6C31" w:rsidRDefault="006A6C31" w:rsidP="00246C7A">
            <w:pPr>
              <w:pStyle w:val="Tabletextcentred"/>
              <w:keepNext/>
            </w:pPr>
            <w:r>
              <w:t>-</w:t>
            </w:r>
          </w:p>
        </w:tc>
      </w:tr>
      <w:tr w:rsidR="006A6C31" w14:paraId="437F24F8" w14:textId="77777777" w:rsidTr="00246C7A">
        <w:tc>
          <w:tcPr>
            <w:tcW w:w="1969" w:type="dxa"/>
            <w:shd w:val="clear" w:color="auto" w:fill="FFFFFF" w:themeFill="background1"/>
          </w:tcPr>
          <w:p w14:paraId="2C0A37D9" w14:textId="77777777" w:rsidR="006A6C31" w:rsidRPr="00C52AE7" w:rsidRDefault="006A6C31" w:rsidP="00246C7A">
            <w:pPr>
              <w:pStyle w:val="Tabletextcentred"/>
              <w:keepNext/>
              <w:jc w:val="left"/>
              <w:rPr>
                <w:vertAlign w:val="superscript"/>
              </w:rPr>
            </w:pPr>
            <w:r>
              <w:t>Rusina (2010)</w:t>
            </w:r>
          </w:p>
        </w:tc>
        <w:tc>
          <w:tcPr>
            <w:tcW w:w="1134" w:type="dxa"/>
            <w:shd w:val="clear" w:color="auto" w:fill="FFFFFF" w:themeFill="background1"/>
          </w:tcPr>
          <w:p w14:paraId="1F0D4B23" w14:textId="77777777" w:rsidR="006A6C31" w:rsidRDefault="006A6C31" w:rsidP="00246C7A">
            <w:pPr>
              <w:pStyle w:val="Tabletextcentred"/>
              <w:keepNext/>
              <w:jc w:val="left"/>
            </w:pPr>
            <w:r>
              <w:t>SPECT</w:t>
            </w:r>
          </w:p>
        </w:tc>
        <w:tc>
          <w:tcPr>
            <w:tcW w:w="744" w:type="dxa"/>
            <w:shd w:val="clear" w:color="auto" w:fill="FFFFFF" w:themeFill="background1"/>
          </w:tcPr>
          <w:p w14:paraId="5C08463E" w14:textId="77777777" w:rsidR="006A6C31" w:rsidRDefault="006A6C31" w:rsidP="00246C7A">
            <w:pPr>
              <w:pStyle w:val="Tabletextcentred"/>
              <w:keepNext/>
            </w:pPr>
            <w:r>
              <w:t>16</w:t>
            </w:r>
          </w:p>
        </w:tc>
        <w:tc>
          <w:tcPr>
            <w:tcW w:w="744" w:type="dxa"/>
            <w:shd w:val="clear" w:color="auto" w:fill="FFFFFF" w:themeFill="background1"/>
          </w:tcPr>
          <w:p w14:paraId="447BB222" w14:textId="77777777" w:rsidR="006A6C31" w:rsidRDefault="006A6C31" w:rsidP="00246C7A">
            <w:pPr>
              <w:pStyle w:val="Tabletextcentred"/>
              <w:keepNext/>
            </w:pPr>
            <w:r>
              <w:t>8</w:t>
            </w:r>
          </w:p>
        </w:tc>
        <w:tc>
          <w:tcPr>
            <w:tcW w:w="744" w:type="dxa"/>
            <w:shd w:val="clear" w:color="auto" w:fill="FFFFFF" w:themeFill="background1"/>
          </w:tcPr>
          <w:p w14:paraId="586D949F" w14:textId="77777777" w:rsidR="006A6C31" w:rsidRDefault="006A6C31" w:rsidP="00246C7A">
            <w:pPr>
              <w:pStyle w:val="Tabletextcentred"/>
              <w:keepNext/>
            </w:pPr>
            <w:r>
              <w:t>2</w:t>
            </w:r>
          </w:p>
        </w:tc>
        <w:tc>
          <w:tcPr>
            <w:tcW w:w="744" w:type="dxa"/>
            <w:shd w:val="clear" w:color="auto" w:fill="FFFFFF" w:themeFill="background1"/>
          </w:tcPr>
          <w:p w14:paraId="7EEB8288" w14:textId="77777777" w:rsidR="006A6C31" w:rsidRDefault="006A6C31" w:rsidP="00246C7A">
            <w:pPr>
              <w:pStyle w:val="Tabletextcentred"/>
              <w:keepNext/>
            </w:pPr>
            <w:r>
              <w:t>1</w:t>
            </w:r>
          </w:p>
        </w:tc>
        <w:tc>
          <w:tcPr>
            <w:tcW w:w="1984" w:type="dxa"/>
            <w:shd w:val="clear" w:color="auto" w:fill="FFFFFF" w:themeFill="background1"/>
          </w:tcPr>
          <w:p w14:paraId="2BFB9564" w14:textId="77777777" w:rsidR="006A6C31" w:rsidRDefault="006A6C31" w:rsidP="00246C7A">
            <w:pPr>
              <w:pStyle w:val="Tabletextcentred"/>
              <w:keepNext/>
              <w:tabs>
                <w:tab w:val="left" w:pos="1236"/>
              </w:tabs>
            </w:pPr>
            <w:r>
              <w:t>94 [71%-100%]</w:t>
            </w:r>
          </w:p>
        </w:tc>
        <w:tc>
          <w:tcPr>
            <w:tcW w:w="1985" w:type="dxa"/>
            <w:shd w:val="clear" w:color="auto" w:fill="FFFFFF" w:themeFill="background1"/>
          </w:tcPr>
          <w:p w14:paraId="6D9EEC13" w14:textId="77777777" w:rsidR="006A6C31" w:rsidRDefault="006A6C31" w:rsidP="00246C7A">
            <w:pPr>
              <w:pStyle w:val="Tabletextcentred"/>
              <w:keepNext/>
            </w:pPr>
            <w:r>
              <w:t>80 [44%-97%]</w:t>
            </w:r>
          </w:p>
        </w:tc>
        <w:tc>
          <w:tcPr>
            <w:tcW w:w="3119" w:type="dxa"/>
            <w:shd w:val="clear" w:color="auto" w:fill="FFFFFF" w:themeFill="background1"/>
          </w:tcPr>
          <w:p w14:paraId="04D39170" w14:textId="77777777" w:rsidR="006A6C31" w:rsidRDefault="006A6C31" w:rsidP="00246C7A">
            <w:pPr>
              <w:pStyle w:val="Tabletextcentred"/>
              <w:keepNext/>
              <w:jc w:val="left"/>
            </w:pPr>
            <w:r>
              <w:t>Cure (2014), p.175, Figure 2</w:t>
            </w:r>
          </w:p>
        </w:tc>
      </w:tr>
      <w:tr w:rsidR="006A6C31" w14:paraId="753AE00B" w14:textId="77777777" w:rsidTr="00246C7A">
        <w:tc>
          <w:tcPr>
            <w:tcW w:w="1969" w:type="dxa"/>
            <w:shd w:val="clear" w:color="auto" w:fill="FFFFFF" w:themeFill="background1"/>
          </w:tcPr>
          <w:p w14:paraId="7FBA092B" w14:textId="77777777" w:rsidR="006A6C31" w:rsidRPr="00B36BFD" w:rsidRDefault="006A6C31" w:rsidP="00246C7A">
            <w:pPr>
              <w:pStyle w:val="Tabletextcentred"/>
              <w:keepNext/>
              <w:jc w:val="left"/>
              <w:rPr>
                <w:vertAlign w:val="superscript"/>
              </w:rPr>
            </w:pPr>
            <w:r>
              <w:t>Jobst (1998)</w:t>
            </w:r>
          </w:p>
        </w:tc>
        <w:tc>
          <w:tcPr>
            <w:tcW w:w="1134" w:type="dxa"/>
            <w:shd w:val="clear" w:color="auto" w:fill="FFFFFF" w:themeFill="background1"/>
          </w:tcPr>
          <w:p w14:paraId="1EFEB6FA" w14:textId="77777777" w:rsidR="006A6C31" w:rsidRDefault="006A6C31" w:rsidP="00246C7A">
            <w:pPr>
              <w:pStyle w:val="Tabletextcentred"/>
              <w:keepNext/>
              <w:jc w:val="left"/>
            </w:pPr>
            <w:r>
              <w:t>SPECT</w:t>
            </w:r>
          </w:p>
        </w:tc>
        <w:tc>
          <w:tcPr>
            <w:tcW w:w="744" w:type="dxa"/>
            <w:shd w:val="clear" w:color="auto" w:fill="FFFFFF" w:themeFill="background1"/>
          </w:tcPr>
          <w:p w14:paraId="2CBE4E24" w14:textId="77777777" w:rsidR="006A6C31" w:rsidRDefault="006A6C31" w:rsidP="00246C7A">
            <w:pPr>
              <w:pStyle w:val="Tabletextcentred"/>
              <w:keepNext/>
            </w:pPr>
            <w:r>
              <w:t>65</w:t>
            </w:r>
          </w:p>
        </w:tc>
        <w:tc>
          <w:tcPr>
            <w:tcW w:w="744" w:type="dxa"/>
            <w:shd w:val="clear" w:color="auto" w:fill="FFFFFF" w:themeFill="background1"/>
          </w:tcPr>
          <w:p w14:paraId="1BC89332" w14:textId="77777777" w:rsidR="006A6C31" w:rsidRDefault="006A6C31" w:rsidP="00246C7A">
            <w:pPr>
              <w:pStyle w:val="Tabletextcentred"/>
              <w:keepNext/>
            </w:pPr>
            <w:r>
              <w:t>102</w:t>
            </w:r>
          </w:p>
        </w:tc>
        <w:tc>
          <w:tcPr>
            <w:tcW w:w="744" w:type="dxa"/>
            <w:shd w:val="clear" w:color="auto" w:fill="FFFFFF" w:themeFill="background1"/>
          </w:tcPr>
          <w:p w14:paraId="78C3B004" w14:textId="77777777" w:rsidR="006A6C31" w:rsidRDefault="006A6C31" w:rsidP="00246C7A">
            <w:pPr>
              <w:pStyle w:val="Tabletextcentred"/>
              <w:keepNext/>
            </w:pPr>
            <w:r>
              <w:t>17</w:t>
            </w:r>
          </w:p>
        </w:tc>
        <w:tc>
          <w:tcPr>
            <w:tcW w:w="744" w:type="dxa"/>
            <w:shd w:val="clear" w:color="auto" w:fill="FFFFFF" w:themeFill="background1"/>
          </w:tcPr>
          <w:p w14:paraId="064474E7" w14:textId="77777777" w:rsidR="006A6C31" w:rsidRDefault="006A6C31" w:rsidP="00246C7A">
            <w:pPr>
              <w:pStyle w:val="Tabletextcentred"/>
              <w:keepNext/>
            </w:pPr>
            <w:r>
              <w:t>8</w:t>
            </w:r>
          </w:p>
        </w:tc>
        <w:tc>
          <w:tcPr>
            <w:tcW w:w="1984" w:type="dxa"/>
            <w:shd w:val="clear" w:color="auto" w:fill="FFFFFF" w:themeFill="background1"/>
          </w:tcPr>
          <w:p w14:paraId="0B4587AE" w14:textId="77777777" w:rsidR="006A6C31" w:rsidRDefault="006A6C31" w:rsidP="00246C7A">
            <w:pPr>
              <w:pStyle w:val="Tabletextcentred"/>
              <w:keepNext/>
            </w:pPr>
            <w:r>
              <w:t>89% [80%-95%]</w:t>
            </w:r>
          </w:p>
        </w:tc>
        <w:tc>
          <w:tcPr>
            <w:tcW w:w="1985" w:type="dxa"/>
            <w:shd w:val="clear" w:color="auto" w:fill="FFFFFF" w:themeFill="background1"/>
          </w:tcPr>
          <w:p w14:paraId="0572D5D0" w14:textId="77777777" w:rsidR="006A6C31" w:rsidRDefault="006A6C31" w:rsidP="00246C7A">
            <w:pPr>
              <w:pStyle w:val="Tabletextcentred"/>
              <w:keepNext/>
            </w:pPr>
            <w:r>
              <w:t>86% [78%-91%]</w:t>
            </w:r>
          </w:p>
        </w:tc>
        <w:tc>
          <w:tcPr>
            <w:tcW w:w="3119" w:type="dxa"/>
            <w:shd w:val="clear" w:color="auto" w:fill="FFFFFF" w:themeFill="background1"/>
          </w:tcPr>
          <w:p w14:paraId="21813780" w14:textId="77777777" w:rsidR="006A6C31" w:rsidRDefault="006A6C31" w:rsidP="00246C7A">
            <w:pPr>
              <w:pStyle w:val="Tabletextcentred"/>
              <w:keepNext/>
              <w:jc w:val="left"/>
            </w:pPr>
            <w:r>
              <w:t>Cure (2014), p.175, Figure 2</w:t>
            </w:r>
          </w:p>
        </w:tc>
      </w:tr>
      <w:tr w:rsidR="006A6C31" w14:paraId="776B9528" w14:textId="77777777" w:rsidTr="00246C7A">
        <w:tc>
          <w:tcPr>
            <w:tcW w:w="1969" w:type="dxa"/>
            <w:shd w:val="clear" w:color="auto" w:fill="D0CECE" w:themeFill="background2" w:themeFillShade="E6"/>
          </w:tcPr>
          <w:p w14:paraId="6EB20F30" w14:textId="77777777" w:rsidR="006A6C31" w:rsidRDefault="006A6C31" w:rsidP="00246C7A">
            <w:pPr>
              <w:pStyle w:val="Tabletextcentred"/>
              <w:keepNext/>
              <w:jc w:val="left"/>
            </w:pPr>
            <w:r>
              <w:t>Demented controls</w:t>
            </w:r>
          </w:p>
        </w:tc>
        <w:tc>
          <w:tcPr>
            <w:tcW w:w="1134" w:type="dxa"/>
            <w:shd w:val="clear" w:color="auto" w:fill="D0CECE" w:themeFill="background2" w:themeFillShade="E6"/>
          </w:tcPr>
          <w:p w14:paraId="3FFD94C1" w14:textId="77777777" w:rsidR="006A6C31" w:rsidRDefault="006A6C31" w:rsidP="00246C7A">
            <w:pPr>
              <w:pStyle w:val="Tabletextcentred"/>
              <w:keepNext/>
              <w:jc w:val="left"/>
            </w:pPr>
            <w:r>
              <w:t>-</w:t>
            </w:r>
          </w:p>
        </w:tc>
        <w:tc>
          <w:tcPr>
            <w:tcW w:w="744" w:type="dxa"/>
            <w:shd w:val="clear" w:color="auto" w:fill="D0CECE" w:themeFill="background2" w:themeFillShade="E6"/>
          </w:tcPr>
          <w:p w14:paraId="7E4094BD" w14:textId="77777777" w:rsidR="006A6C31" w:rsidRDefault="006A6C31" w:rsidP="00246C7A">
            <w:pPr>
              <w:pStyle w:val="Tabletextcentred"/>
              <w:keepNext/>
            </w:pPr>
            <w:r>
              <w:t>-</w:t>
            </w:r>
          </w:p>
        </w:tc>
        <w:tc>
          <w:tcPr>
            <w:tcW w:w="744" w:type="dxa"/>
            <w:shd w:val="clear" w:color="auto" w:fill="D0CECE" w:themeFill="background2" w:themeFillShade="E6"/>
          </w:tcPr>
          <w:p w14:paraId="0E9714B1" w14:textId="77777777" w:rsidR="006A6C31" w:rsidRDefault="006A6C31" w:rsidP="00246C7A">
            <w:pPr>
              <w:pStyle w:val="Tabletextcentred"/>
              <w:keepNext/>
            </w:pPr>
            <w:r>
              <w:t>-</w:t>
            </w:r>
          </w:p>
        </w:tc>
        <w:tc>
          <w:tcPr>
            <w:tcW w:w="744" w:type="dxa"/>
            <w:shd w:val="clear" w:color="auto" w:fill="D0CECE" w:themeFill="background2" w:themeFillShade="E6"/>
          </w:tcPr>
          <w:p w14:paraId="550191DB" w14:textId="77777777" w:rsidR="006A6C31" w:rsidRDefault="006A6C31" w:rsidP="00246C7A">
            <w:pPr>
              <w:pStyle w:val="Tabletextcentred"/>
              <w:keepNext/>
            </w:pPr>
            <w:r>
              <w:t>-</w:t>
            </w:r>
          </w:p>
        </w:tc>
        <w:tc>
          <w:tcPr>
            <w:tcW w:w="744" w:type="dxa"/>
            <w:shd w:val="clear" w:color="auto" w:fill="D0CECE" w:themeFill="background2" w:themeFillShade="E6"/>
          </w:tcPr>
          <w:p w14:paraId="38456A4E" w14:textId="77777777" w:rsidR="006A6C31" w:rsidRDefault="006A6C31" w:rsidP="00246C7A">
            <w:pPr>
              <w:pStyle w:val="Tabletextcentred"/>
              <w:keepNext/>
            </w:pPr>
            <w:r>
              <w:t>-</w:t>
            </w:r>
          </w:p>
        </w:tc>
        <w:tc>
          <w:tcPr>
            <w:tcW w:w="1984" w:type="dxa"/>
            <w:shd w:val="clear" w:color="auto" w:fill="D0CECE" w:themeFill="background2" w:themeFillShade="E6"/>
          </w:tcPr>
          <w:p w14:paraId="5A0C13D1" w14:textId="77777777" w:rsidR="006A6C31" w:rsidRDefault="006A6C31" w:rsidP="00246C7A">
            <w:pPr>
              <w:pStyle w:val="Tabletextcentred"/>
              <w:keepNext/>
              <w:tabs>
                <w:tab w:val="left" w:pos="1236"/>
              </w:tabs>
            </w:pPr>
            <w:r>
              <w:t>-</w:t>
            </w:r>
          </w:p>
        </w:tc>
        <w:tc>
          <w:tcPr>
            <w:tcW w:w="1985" w:type="dxa"/>
            <w:shd w:val="clear" w:color="auto" w:fill="D0CECE" w:themeFill="background2" w:themeFillShade="E6"/>
          </w:tcPr>
          <w:p w14:paraId="1C611ED5" w14:textId="77777777" w:rsidR="006A6C31" w:rsidRDefault="006A6C31" w:rsidP="00246C7A">
            <w:pPr>
              <w:pStyle w:val="Tabletextcentred"/>
              <w:keepNext/>
            </w:pPr>
            <w:r>
              <w:t>-</w:t>
            </w:r>
          </w:p>
        </w:tc>
        <w:tc>
          <w:tcPr>
            <w:tcW w:w="3119" w:type="dxa"/>
            <w:shd w:val="clear" w:color="auto" w:fill="D0CECE" w:themeFill="background2" w:themeFillShade="E6"/>
          </w:tcPr>
          <w:p w14:paraId="54E8860D" w14:textId="77777777" w:rsidR="006A6C31" w:rsidRDefault="006A6C31" w:rsidP="00246C7A">
            <w:pPr>
              <w:pStyle w:val="Tabletextcentred"/>
              <w:keepNext/>
            </w:pPr>
            <w:r>
              <w:t>-</w:t>
            </w:r>
          </w:p>
        </w:tc>
      </w:tr>
      <w:tr w:rsidR="006A6C31" w14:paraId="773EF23E" w14:textId="77777777" w:rsidTr="00246C7A">
        <w:tc>
          <w:tcPr>
            <w:tcW w:w="1969" w:type="dxa"/>
            <w:shd w:val="clear" w:color="auto" w:fill="FFFFFF" w:themeFill="background1"/>
          </w:tcPr>
          <w:p w14:paraId="75462A12" w14:textId="77777777" w:rsidR="006A6C31" w:rsidRPr="002D2E17" w:rsidRDefault="006A6C31" w:rsidP="00246C7A">
            <w:pPr>
              <w:pStyle w:val="Tabletextcentred"/>
              <w:keepNext/>
              <w:jc w:val="left"/>
            </w:pPr>
            <w:r>
              <w:t>Foster (2007)</w:t>
            </w:r>
          </w:p>
        </w:tc>
        <w:tc>
          <w:tcPr>
            <w:tcW w:w="1134" w:type="dxa"/>
            <w:shd w:val="clear" w:color="auto" w:fill="FFFFFF" w:themeFill="background1"/>
          </w:tcPr>
          <w:p w14:paraId="1FC8EF33" w14:textId="77777777" w:rsidR="006A6C31" w:rsidRPr="003A49D0" w:rsidRDefault="006A6C31" w:rsidP="00246C7A">
            <w:pPr>
              <w:pStyle w:val="Tabletextcentred"/>
              <w:keepNext/>
              <w:jc w:val="left"/>
              <w:rPr>
                <w:vertAlign w:val="superscript"/>
              </w:rPr>
            </w:pPr>
            <w:r>
              <w:t>FDG-PET</w:t>
            </w:r>
            <w:r>
              <w:rPr>
                <w:vertAlign w:val="superscript"/>
              </w:rPr>
              <w:t>a</w:t>
            </w:r>
          </w:p>
          <w:p w14:paraId="7A8D3856" w14:textId="77777777" w:rsidR="006A6C31" w:rsidRPr="003A49D0" w:rsidRDefault="006A6C31" w:rsidP="00246C7A">
            <w:pPr>
              <w:pStyle w:val="Tabletextcentred"/>
              <w:keepNext/>
              <w:jc w:val="left"/>
              <w:rPr>
                <w:vertAlign w:val="superscript"/>
              </w:rPr>
            </w:pPr>
            <w:r>
              <w:t>FDG-PET</w:t>
            </w:r>
            <w:r>
              <w:rPr>
                <w:vertAlign w:val="superscript"/>
              </w:rPr>
              <w:t>b</w:t>
            </w:r>
          </w:p>
        </w:tc>
        <w:tc>
          <w:tcPr>
            <w:tcW w:w="744" w:type="dxa"/>
            <w:shd w:val="clear" w:color="auto" w:fill="FFFFFF" w:themeFill="background1"/>
          </w:tcPr>
          <w:p w14:paraId="16B74005" w14:textId="77777777" w:rsidR="006A6C31" w:rsidRDefault="006A6C31" w:rsidP="00246C7A">
            <w:pPr>
              <w:pStyle w:val="Tabletextcentred"/>
              <w:keepNext/>
            </w:pPr>
            <w:r>
              <w:t>NR</w:t>
            </w:r>
          </w:p>
          <w:p w14:paraId="0F1FAE33" w14:textId="77777777" w:rsidR="006A6C31" w:rsidRPr="002D2E17" w:rsidRDefault="006A6C31" w:rsidP="00246C7A">
            <w:pPr>
              <w:pStyle w:val="Tabletextcentred"/>
              <w:keepNext/>
            </w:pPr>
            <w:r>
              <w:t>NR</w:t>
            </w:r>
          </w:p>
        </w:tc>
        <w:tc>
          <w:tcPr>
            <w:tcW w:w="744" w:type="dxa"/>
            <w:shd w:val="clear" w:color="auto" w:fill="FFFFFF" w:themeFill="background1"/>
          </w:tcPr>
          <w:p w14:paraId="4D6A9EB6" w14:textId="77777777" w:rsidR="006A6C31" w:rsidRDefault="006A6C31" w:rsidP="00246C7A">
            <w:pPr>
              <w:pStyle w:val="Tabletextcentred"/>
              <w:keepNext/>
            </w:pPr>
            <w:r>
              <w:t>NR</w:t>
            </w:r>
          </w:p>
          <w:p w14:paraId="0E579133" w14:textId="77777777" w:rsidR="006A6C31" w:rsidRPr="002D2E17" w:rsidRDefault="006A6C31" w:rsidP="00246C7A">
            <w:pPr>
              <w:pStyle w:val="Tabletextcentred"/>
              <w:keepNext/>
            </w:pPr>
            <w:r>
              <w:t>NR</w:t>
            </w:r>
          </w:p>
        </w:tc>
        <w:tc>
          <w:tcPr>
            <w:tcW w:w="744" w:type="dxa"/>
            <w:shd w:val="clear" w:color="auto" w:fill="FFFFFF" w:themeFill="background1"/>
          </w:tcPr>
          <w:p w14:paraId="506A0647" w14:textId="77777777" w:rsidR="006A6C31" w:rsidRDefault="006A6C31" w:rsidP="00246C7A">
            <w:pPr>
              <w:pStyle w:val="Tabletextcentred"/>
              <w:keepNext/>
            </w:pPr>
            <w:r>
              <w:t>NR</w:t>
            </w:r>
          </w:p>
          <w:p w14:paraId="0E7FA6D7" w14:textId="77777777" w:rsidR="006A6C31" w:rsidRPr="002D2E17" w:rsidRDefault="006A6C31" w:rsidP="00246C7A">
            <w:pPr>
              <w:pStyle w:val="Tabletextcentred"/>
              <w:keepNext/>
            </w:pPr>
            <w:r>
              <w:t>NR</w:t>
            </w:r>
          </w:p>
        </w:tc>
        <w:tc>
          <w:tcPr>
            <w:tcW w:w="744" w:type="dxa"/>
            <w:shd w:val="clear" w:color="auto" w:fill="FFFFFF" w:themeFill="background1"/>
          </w:tcPr>
          <w:p w14:paraId="52303FCD" w14:textId="77777777" w:rsidR="006A6C31" w:rsidRDefault="006A6C31" w:rsidP="00246C7A">
            <w:pPr>
              <w:pStyle w:val="Tabletextcentred"/>
              <w:keepNext/>
            </w:pPr>
            <w:r>
              <w:t>NR</w:t>
            </w:r>
          </w:p>
          <w:p w14:paraId="200C7012" w14:textId="77777777" w:rsidR="006A6C31" w:rsidRPr="002D2E17" w:rsidRDefault="006A6C31" w:rsidP="00246C7A">
            <w:pPr>
              <w:pStyle w:val="Tabletextcentred"/>
              <w:keepNext/>
            </w:pPr>
            <w:r>
              <w:t>NR</w:t>
            </w:r>
          </w:p>
        </w:tc>
        <w:tc>
          <w:tcPr>
            <w:tcW w:w="1984" w:type="dxa"/>
            <w:shd w:val="clear" w:color="auto" w:fill="FFFFFF" w:themeFill="background1"/>
          </w:tcPr>
          <w:p w14:paraId="183418CA" w14:textId="77777777" w:rsidR="006A6C31" w:rsidRDefault="006A6C31" w:rsidP="00246C7A">
            <w:pPr>
              <w:pStyle w:val="Tabletextcentred"/>
              <w:keepNext/>
            </w:pPr>
            <w:r>
              <w:t>96% [NR]</w:t>
            </w:r>
          </w:p>
          <w:p w14:paraId="21A7C458" w14:textId="77777777" w:rsidR="006A6C31" w:rsidRPr="002D2E17" w:rsidRDefault="006A6C31" w:rsidP="00246C7A">
            <w:pPr>
              <w:pStyle w:val="Tabletextcentred"/>
              <w:keepNext/>
            </w:pPr>
            <w:r>
              <w:t>98% [NR]</w:t>
            </w:r>
          </w:p>
        </w:tc>
        <w:tc>
          <w:tcPr>
            <w:tcW w:w="1985" w:type="dxa"/>
            <w:shd w:val="clear" w:color="auto" w:fill="FFFFFF" w:themeFill="background1"/>
          </w:tcPr>
          <w:p w14:paraId="3C2417F8" w14:textId="77777777" w:rsidR="006A6C31" w:rsidRDefault="006A6C31" w:rsidP="00246C7A">
            <w:pPr>
              <w:pStyle w:val="Tabletextcentred"/>
              <w:keepNext/>
            </w:pPr>
            <w:r>
              <w:t>59% [NR]</w:t>
            </w:r>
          </w:p>
          <w:p w14:paraId="4FB8612E" w14:textId="77777777" w:rsidR="006A6C31" w:rsidRPr="002D2E17" w:rsidRDefault="006A6C31" w:rsidP="00246C7A">
            <w:pPr>
              <w:pStyle w:val="Tabletextcentred"/>
              <w:keepNext/>
            </w:pPr>
            <w:r>
              <w:t>73% [NR]</w:t>
            </w:r>
          </w:p>
        </w:tc>
        <w:tc>
          <w:tcPr>
            <w:tcW w:w="3119" w:type="dxa"/>
            <w:shd w:val="clear" w:color="auto" w:fill="FFFFFF" w:themeFill="background1"/>
          </w:tcPr>
          <w:p w14:paraId="6F75049D" w14:textId="77777777" w:rsidR="006A6C31" w:rsidRDefault="006A6C31" w:rsidP="00246C7A">
            <w:pPr>
              <w:pStyle w:val="Tabletextcentred"/>
              <w:keepNext/>
              <w:jc w:val="left"/>
            </w:pPr>
            <w:r>
              <w:t>Foster (2007), p.2623, Table 5</w:t>
            </w:r>
          </w:p>
        </w:tc>
      </w:tr>
      <w:tr w:rsidR="006A6C31" w14:paraId="31523765" w14:textId="77777777" w:rsidTr="00246C7A">
        <w:tc>
          <w:tcPr>
            <w:tcW w:w="1969" w:type="dxa"/>
            <w:shd w:val="clear" w:color="auto" w:fill="FFFFFF" w:themeFill="background1"/>
          </w:tcPr>
          <w:p w14:paraId="44E0346D" w14:textId="5C89D1FD" w:rsidR="006A6C31" w:rsidRPr="00347CD7" w:rsidRDefault="006A6C31" w:rsidP="00246C7A">
            <w:pPr>
              <w:pStyle w:val="Tabletextcentred"/>
              <w:keepNext/>
              <w:jc w:val="left"/>
              <w:rPr>
                <w:vertAlign w:val="superscript"/>
              </w:rPr>
            </w:pPr>
            <w:r>
              <w:t>Jagust (2001)</w:t>
            </w:r>
            <w:r>
              <w:rPr>
                <w:vertAlign w:val="superscript"/>
              </w:rPr>
              <w:t>c</w:t>
            </w:r>
          </w:p>
        </w:tc>
        <w:tc>
          <w:tcPr>
            <w:tcW w:w="1134" w:type="dxa"/>
            <w:shd w:val="clear" w:color="auto" w:fill="FFFFFF" w:themeFill="background1"/>
          </w:tcPr>
          <w:p w14:paraId="684815D5" w14:textId="77777777" w:rsidR="006A6C31" w:rsidRDefault="006A6C31" w:rsidP="00246C7A">
            <w:pPr>
              <w:pStyle w:val="Tabletextcentred"/>
              <w:keepNext/>
              <w:jc w:val="left"/>
            </w:pPr>
            <w:r>
              <w:t>FDG-PET</w:t>
            </w:r>
          </w:p>
        </w:tc>
        <w:tc>
          <w:tcPr>
            <w:tcW w:w="744" w:type="dxa"/>
            <w:shd w:val="clear" w:color="auto" w:fill="FFFFFF" w:themeFill="background1"/>
          </w:tcPr>
          <w:p w14:paraId="307A7D39" w14:textId="77777777" w:rsidR="006A6C31" w:rsidRDefault="006A6C31" w:rsidP="00246C7A">
            <w:pPr>
              <w:pStyle w:val="Tabletextcentred"/>
              <w:keepNext/>
            </w:pPr>
            <w:r>
              <w:t>29</w:t>
            </w:r>
          </w:p>
        </w:tc>
        <w:tc>
          <w:tcPr>
            <w:tcW w:w="744" w:type="dxa"/>
            <w:shd w:val="clear" w:color="auto" w:fill="FFFFFF" w:themeFill="background1"/>
          </w:tcPr>
          <w:p w14:paraId="6622BC4F" w14:textId="77777777" w:rsidR="006A6C31" w:rsidRDefault="006A6C31" w:rsidP="00246C7A">
            <w:pPr>
              <w:pStyle w:val="Tabletextcentred"/>
              <w:keepNext/>
            </w:pPr>
            <w:r>
              <w:t>101</w:t>
            </w:r>
          </w:p>
        </w:tc>
        <w:tc>
          <w:tcPr>
            <w:tcW w:w="744" w:type="dxa"/>
            <w:shd w:val="clear" w:color="auto" w:fill="FFFFFF" w:themeFill="background1"/>
          </w:tcPr>
          <w:p w14:paraId="5D9F2346" w14:textId="77777777" w:rsidR="006A6C31" w:rsidRDefault="006A6C31" w:rsidP="00246C7A">
            <w:pPr>
              <w:pStyle w:val="Tabletextcentred"/>
              <w:keepNext/>
            </w:pPr>
            <w:r>
              <w:t>8</w:t>
            </w:r>
          </w:p>
        </w:tc>
        <w:tc>
          <w:tcPr>
            <w:tcW w:w="744" w:type="dxa"/>
            <w:shd w:val="clear" w:color="auto" w:fill="FFFFFF" w:themeFill="background1"/>
          </w:tcPr>
          <w:p w14:paraId="3D1928F2" w14:textId="77777777" w:rsidR="006A6C31" w:rsidRDefault="006A6C31" w:rsidP="00246C7A">
            <w:pPr>
              <w:pStyle w:val="Tabletextcentred"/>
              <w:keepNext/>
            </w:pPr>
            <w:r>
              <w:t>17</w:t>
            </w:r>
          </w:p>
        </w:tc>
        <w:tc>
          <w:tcPr>
            <w:tcW w:w="1984" w:type="dxa"/>
            <w:shd w:val="clear" w:color="auto" w:fill="FFFFFF" w:themeFill="background1"/>
          </w:tcPr>
          <w:p w14:paraId="094490B4" w14:textId="77777777" w:rsidR="006A6C31" w:rsidRDefault="006A6C31" w:rsidP="00246C7A">
            <w:pPr>
              <w:pStyle w:val="Tabletextcentred"/>
              <w:keepNext/>
            </w:pPr>
            <w:r>
              <w:t>63% [48%-77%]</w:t>
            </w:r>
          </w:p>
        </w:tc>
        <w:tc>
          <w:tcPr>
            <w:tcW w:w="1985" w:type="dxa"/>
            <w:shd w:val="clear" w:color="auto" w:fill="FFFFFF" w:themeFill="background1"/>
          </w:tcPr>
          <w:p w14:paraId="266FF321" w14:textId="77777777" w:rsidR="006A6C31" w:rsidRDefault="006A6C31" w:rsidP="00246C7A">
            <w:pPr>
              <w:pStyle w:val="Tabletextcentred"/>
              <w:keepNext/>
            </w:pPr>
            <w:r>
              <w:t>93% [86%-97%]</w:t>
            </w:r>
          </w:p>
        </w:tc>
        <w:tc>
          <w:tcPr>
            <w:tcW w:w="3119" w:type="dxa"/>
            <w:shd w:val="clear" w:color="auto" w:fill="FFFFFF" w:themeFill="background1"/>
          </w:tcPr>
          <w:p w14:paraId="2FCEF322" w14:textId="77777777" w:rsidR="006A6C31" w:rsidRDefault="006A6C31" w:rsidP="00246C7A">
            <w:pPr>
              <w:pStyle w:val="Tabletextcentred"/>
              <w:keepNext/>
              <w:jc w:val="left"/>
            </w:pPr>
            <w:r>
              <w:t>Jagust (2001), pp.953-4, Tables 2-3</w:t>
            </w:r>
          </w:p>
        </w:tc>
      </w:tr>
      <w:tr w:rsidR="006A6C31" w14:paraId="763A3AFD" w14:textId="77777777" w:rsidTr="00246C7A">
        <w:tc>
          <w:tcPr>
            <w:tcW w:w="1969" w:type="dxa"/>
            <w:shd w:val="clear" w:color="auto" w:fill="FFFFFF" w:themeFill="background1"/>
          </w:tcPr>
          <w:p w14:paraId="3A23E194" w14:textId="77777777" w:rsidR="006A6C31" w:rsidRDefault="006A6C31" w:rsidP="00246C7A">
            <w:pPr>
              <w:pStyle w:val="Tabletextcentred"/>
              <w:keepNext/>
              <w:jc w:val="left"/>
            </w:pPr>
            <w:r>
              <w:t>Silverman (2001)</w:t>
            </w:r>
          </w:p>
        </w:tc>
        <w:tc>
          <w:tcPr>
            <w:tcW w:w="1134" w:type="dxa"/>
            <w:shd w:val="clear" w:color="auto" w:fill="FFFFFF" w:themeFill="background1"/>
          </w:tcPr>
          <w:p w14:paraId="0D91B3F9" w14:textId="77777777" w:rsidR="006A6C31" w:rsidRPr="00C26210" w:rsidRDefault="006A6C31" w:rsidP="00246C7A">
            <w:pPr>
              <w:pStyle w:val="Tabletextcentred"/>
              <w:keepNext/>
              <w:jc w:val="left"/>
            </w:pPr>
            <w:r>
              <w:t>FDG-PET</w:t>
            </w:r>
          </w:p>
        </w:tc>
        <w:tc>
          <w:tcPr>
            <w:tcW w:w="744" w:type="dxa"/>
            <w:shd w:val="clear" w:color="auto" w:fill="FFFFFF" w:themeFill="background1"/>
          </w:tcPr>
          <w:p w14:paraId="29B21CB1" w14:textId="77777777" w:rsidR="006A6C31" w:rsidRPr="004B7590" w:rsidRDefault="006A6C31" w:rsidP="00246C7A">
            <w:pPr>
              <w:pStyle w:val="Tabletextcentred"/>
              <w:keepNext/>
            </w:pPr>
            <w:r>
              <w:t>91</w:t>
            </w:r>
          </w:p>
        </w:tc>
        <w:tc>
          <w:tcPr>
            <w:tcW w:w="744" w:type="dxa"/>
            <w:shd w:val="clear" w:color="auto" w:fill="FFFFFF" w:themeFill="background1"/>
          </w:tcPr>
          <w:p w14:paraId="310385D9" w14:textId="77777777" w:rsidR="006A6C31" w:rsidRPr="004B7590" w:rsidRDefault="006A6C31" w:rsidP="00246C7A">
            <w:pPr>
              <w:pStyle w:val="Tabletextcentred"/>
              <w:keepNext/>
            </w:pPr>
            <w:r>
              <w:t>30</w:t>
            </w:r>
          </w:p>
        </w:tc>
        <w:tc>
          <w:tcPr>
            <w:tcW w:w="744" w:type="dxa"/>
            <w:shd w:val="clear" w:color="auto" w:fill="FFFFFF" w:themeFill="background1"/>
          </w:tcPr>
          <w:p w14:paraId="6F329D9C" w14:textId="77777777" w:rsidR="006A6C31" w:rsidRPr="004B7590" w:rsidRDefault="006A6C31" w:rsidP="00246C7A">
            <w:pPr>
              <w:pStyle w:val="Tabletextcentred"/>
              <w:keepNext/>
            </w:pPr>
            <w:r>
              <w:t>11</w:t>
            </w:r>
          </w:p>
        </w:tc>
        <w:tc>
          <w:tcPr>
            <w:tcW w:w="744" w:type="dxa"/>
            <w:shd w:val="clear" w:color="auto" w:fill="FFFFFF" w:themeFill="background1"/>
          </w:tcPr>
          <w:p w14:paraId="03D56A54" w14:textId="77777777" w:rsidR="006A6C31" w:rsidRPr="004B7590" w:rsidRDefault="006A6C31" w:rsidP="00246C7A">
            <w:pPr>
              <w:pStyle w:val="Tabletextcentred"/>
              <w:keepNext/>
            </w:pPr>
            <w:r>
              <w:t>6</w:t>
            </w:r>
          </w:p>
        </w:tc>
        <w:tc>
          <w:tcPr>
            <w:tcW w:w="1984" w:type="dxa"/>
            <w:shd w:val="clear" w:color="auto" w:fill="FFFFFF" w:themeFill="background1"/>
          </w:tcPr>
          <w:p w14:paraId="2D5CC759" w14:textId="77777777" w:rsidR="006A6C31" w:rsidRPr="004B7590" w:rsidRDefault="006A6C31" w:rsidP="00246C7A">
            <w:pPr>
              <w:pStyle w:val="Tabletextcentred"/>
              <w:keepNext/>
            </w:pPr>
            <w:r>
              <w:t>94% [87%-98%]</w:t>
            </w:r>
          </w:p>
        </w:tc>
        <w:tc>
          <w:tcPr>
            <w:tcW w:w="1985" w:type="dxa"/>
            <w:shd w:val="clear" w:color="auto" w:fill="FFFFFF" w:themeFill="background1"/>
          </w:tcPr>
          <w:p w14:paraId="5B5868F6" w14:textId="77777777" w:rsidR="006A6C31" w:rsidRPr="004B7590" w:rsidRDefault="006A6C31" w:rsidP="00246C7A">
            <w:pPr>
              <w:pStyle w:val="Tabletextcentred"/>
              <w:keepNext/>
            </w:pPr>
            <w:r>
              <w:t>73% [57%-86%]</w:t>
            </w:r>
          </w:p>
        </w:tc>
        <w:tc>
          <w:tcPr>
            <w:tcW w:w="3119" w:type="dxa"/>
            <w:shd w:val="clear" w:color="auto" w:fill="FFFFFF" w:themeFill="background1"/>
          </w:tcPr>
          <w:p w14:paraId="69BF9815" w14:textId="77777777" w:rsidR="006A6C31" w:rsidRDefault="006A6C31" w:rsidP="00246C7A">
            <w:pPr>
              <w:pStyle w:val="Tabletextcentred"/>
              <w:keepNext/>
              <w:jc w:val="left"/>
            </w:pPr>
            <w:r>
              <w:t>Silverman (2001), p.2123, Table 2</w:t>
            </w:r>
          </w:p>
        </w:tc>
      </w:tr>
      <w:tr w:rsidR="006A6C31" w14:paraId="35C9B06C" w14:textId="77777777" w:rsidTr="00246C7A">
        <w:tc>
          <w:tcPr>
            <w:tcW w:w="1969" w:type="dxa"/>
            <w:shd w:val="clear" w:color="auto" w:fill="FFFFFF" w:themeFill="background1"/>
          </w:tcPr>
          <w:p w14:paraId="32F5E230" w14:textId="77777777" w:rsidR="006A6C31" w:rsidRPr="00AA2F14" w:rsidRDefault="006A6C31" w:rsidP="00246C7A">
            <w:pPr>
              <w:pStyle w:val="Tabletextcentred"/>
              <w:keepNext/>
              <w:jc w:val="left"/>
            </w:pPr>
            <w:r>
              <w:t>Hoffman (2000)</w:t>
            </w:r>
          </w:p>
        </w:tc>
        <w:tc>
          <w:tcPr>
            <w:tcW w:w="1134" w:type="dxa"/>
            <w:shd w:val="clear" w:color="auto" w:fill="FFFFFF" w:themeFill="background1"/>
          </w:tcPr>
          <w:p w14:paraId="1DF32308" w14:textId="77777777" w:rsidR="006A6C31" w:rsidRDefault="006A6C31" w:rsidP="00246C7A">
            <w:pPr>
              <w:pStyle w:val="Tabletextcentred"/>
              <w:keepNext/>
              <w:jc w:val="left"/>
              <w:rPr>
                <w:vertAlign w:val="superscript"/>
              </w:rPr>
            </w:pPr>
            <w:r>
              <w:t>FDG-PET</w:t>
            </w:r>
            <w:r>
              <w:rPr>
                <w:vertAlign w:val="superscript"/>
              </w:rPr>
              <w:t>e</w:t>
            </w:r>
          </w:p>
          <w:p w14:paraId="1393AA59" w14:textId="77777777" w:rsidR="006A6C31" w:rsidRPr="002E4836" w:rsidRDefault="006A6C31" w:rsidP="00246C7A">
            <w:pPr>
              <w:pStyle w:val="Tabletextcentred"/>
              <w:keepNext/>
              <w:jc w:val="left"/>
              <w:rPr>
                <w:vertAlign w:val="superscript"/>
              </w:rPr>
            </w:pPr>
            <w:r>
              <w:t>FDG-PET</w:t>
            </w:r>
            <w:r>
              <w:rPr>
                <w:vertAlign w:val="superscript"/>
              </w:rPr>
              <w:t>f</w:t>
            </w:r>
          </w:p>
        </w:tc>
        <w:tc>
          <w:tcPr>
            <w:tcW w:w="744" w:type="dxa"/>
            <w:shd w:val="clear" w:color="auto" w:fill="FFFFFF" w:themeFill="background1"/>
          </w:tcPr>
          <w:p w14:paraId="22FAD3E7" w14:textId="77777777" w:rsidR="006A6C31" w:rsidRDefault="006A6C31" w:rsidP="00246C7A">
            <w:pPr>
              <w:pStyle w:val="Tabletextcentred"/>
              <w:keepNext/>
            </w:pPr>
            <w:r>
              <w:t>13</w:t>
            </w:r>
          </w:p>
          <w:p w14:paraId="0BA007E8" w14:textId="77777777" w:rsidR="006A6C31" w:rsidRPr="004B7590" w:rsidRDefault="006A6C31" w:rsidP="00246C7A">
            <w:pPr>
              <w:pStyle w:val="Tabletextcentred"/>
              <w:keepNext/>
            </w:pPr>
            <w:r>
              <w:t>14</w:t>
            </w:r>
          </w:p>
        </w:tc>
        <w:tc>
          <w:tcPr>
            <w:tcW w:w="744" w:type="dxa"/>
            <w:shd w:val="clear" w:color="auto" w:fill="FFFFFF" w:themeFill="background1"/>
          </w:tcPr>
          <w:p w14:paraId="155C1199" w14:textId="77777777" w:rsidR="006A6C31" w:rsidRDefault="006A6C31" w:rsidP="00246C7A">
            <w:pPr>
              <w:pStyle w:val="Tabletextcentred"/>
              <w:keepNext/>
            </w:pPr>
            <w:r>
              <w:t>5</w:t>
            </w:r>
          </w:p>
          <w:p w14:paraId="081BC48C" w14:textId="77777777" w:rsidR="006A6C31" w:rsidRPr="004B7590" w:rsidRDefault="006A6C31" w:rsidP="00246C7A">
            <w:pPr>
              <w:pStyle w:val="Tabletextcentred"/>
              <w:keepNext/>
            </w:pPr>
            <w:r w:rsidRPr="00D468C8">
              <w:t>4</w:t>
            </w:r>
          </w:p>
        </w:tc>
        <w:tc>
          <w:tcPr>
            <w:tcW w:w="744" w:type="dxa"/>
            <w:shd w:val="clear" w:color="auto" w:fill="FFFFFF" w:themeFill="background1"/>
          </w:tcPr>
          <w:p w14:paraId="2C4FD78C" w14:textId="77777777" w:rsidR="006A6C31" w:rsidRDefault="006A6C31" w:rsidP="00246C7A">
            <w:pPr>
              <w:pStyle w:val="Tabletextcentred"/>
              <w:keepNext/>
            </w:pPr>
            <w:r>
              <w:t>3</w:t>
            </w:r>
          </w:p>
          <w:p w14:paraId="0E0CE18A" w14:textId="77777777" w:rsidR="006A6C31" w:rsidRPr="004B7590" w:rsidRDefault="006A6C31" w:rsidP="00246C7A">
            <w:pPr>
              <w:pStyle w:val="Tabletextcentred"/>
              <w:keepNext/>
            </w:pPr>
            <w:r>
              <w:t>2</w:t>
            </w:r>
          </w:p>
        </w:tc>
        <w:tc>
          <w:tcPr>
            <w:tcW w:w="744" w:type="dxa"/>
            <w:shd w:val="clear" w:color="auto" w:fill="FFFFFF" w:themeFill="background1"/>
          </w:tcPr>
          <w:p w14:paraId="1F353025" w14:textId="77777777" w:rsidR="006A6C31" w:rsidRDefault="006A6C31" w:rsidP="00246C7A">
            <w:pPr>
              <w:pStyle w:val="Tabletextcentred"/>
              <w:keepNext/>
            </w:pPr>
            <w:r>
              <w:t>1</w:t>
            </w:r>
          </w:p>
          <w:p w14:paraId="5684BA15" w14:textId="77777777" w:rsidR="006A6C31" w:rsidRPr="004B7590" w:rsidRDefault="006A6C31" w:rsidP="00246C7A">
            <w:pPr>
              <w:pStyle w:val="Tabletextcentred"/>
              <w:keepNext/>
            </w:pPr>
            <w:r>
              <w:t>2</w:t>
            </w:r>
          </w:p>
        </w:tc>
        <w:tc>
          <w:tcPr>
            <w:tcW w:w="1984" w:type="dxa"/>
            <w:shd w:val="clear" w:color="auto" w:fill="FFFFFF" w:themeFill="background1"/>
          </w:tcPr>
          <w:p w14:paraId="3CE38BC6" w14:textId="77777777" w:rsidR="006A6C31" w:rsidRDefault="006A6C31" w:rsidP="00246C7A">
            <w:pPr>
              <w:pStyle w:val="Tabletextcentred"/>
              <w:keepNext/>
            </w:pPr>
            <w:r>
              <w:t>93% [66%-99%]</w:t>
            </w:r>
          </w:p>
          <w:p w14:paraId="00760419" w14:textId="77777777" w:rsidR="006A6C31" w:rsidRPr="004B7590" w:rsidRDefault="006A6C31" w:rsidP="00246C7A">
            <w:pPr>
              <w:pStyle w:val="Tabletextcentred"/>
              <w:keepNext/>
            </w:pPr>
            <w:r>
              <w:t>88% [62%-98%]</w:t>
            </w:r>
          </w:p>
        </w:tc>
        <w:tc>
          <w:tcPr>
            <w:tcW w:w="1985" w:type="dxa"/>
            <w:shd w:val="clear" w:color="auto" w:fill="FFFFFF" w:themeFill="background1"/>
          </w:tcPr>
          <w:p w14:paraId="4A87EC67" w14:textId="77777777" w:rsidR="006A6C31" w:rsidRDefault="006A6C31" w:rsidP="00246C7A">
            <w:pPr>
              <w:pStyle w:val="Tabletextcentred"/>
              <w:keepNext/>
            </w:pPr>
            <w:r>
              <w:t>63% [24%-91%]</w:t>
            </w:r>
          </w:p>
          <w:p w14:paraId="5B850389" w14:textId="77777777" w:rsidR="006A6C31" w:rsidRPr="004B7590" w:rsidRDefault="006A6C31" w:rsidP="00246C7A">
            <w:pPr>
              <w:pStyle w:val="Tabletextcentred"/>
              <w:keepNext/>
            </w:pPr>
            <w:r>
              <w:t>67% [23%-95%]</w:t>
            </w:r>
          </w:p>
        </w:tc>
        <w:tc>
          <w:tcPr>
            <w:tcW w:w="3119" w:type="dxa"/>
            <w:shd w:val="clear" w:color="auto" w:fill="FFFFFF" w:themeFill="background1"/>
          </w:tcPr>
          <w:p w14:paraId="18E57517" w14:textId="77777777" w:rsidR="006A6C31" w:rsidRDefault="006A6C31" w:rsidP="00246C7A">
            <w:pPr>
              <w:pStyle w:val="Tabletextcentred"/>
              <w:keepNext/>
              <w:jc w:val="left"/>
            </w:pPr>
            <w:r>
              <w:t>Hoffman (2000), p.1922-3, Tables 1,3</w:t>
            </w:r>
          </w:p>
        </w:tc>
      </w:tr>
      <w:tr w:rsidR="006A6C31" w14:paraId="4425B830" w14:textId="77777777" w:rsidTr="00246C7A">
        <w:tc>
          <w:tcPr>
            <w:tcW w:w="1969" w:type="dxa"/>
            <w:shd w:val="clear" w:color="auto" w:fill="FFFFFF" w:themeFill="background1"/>
          </w:tcPr>
          <w:p w14:paraId="1581FA80" w14:textId="77777777" w:rsidR="006A6C31" w:rsidRPr="004E1146" w:rsidRDefault="006A6C31" w:rsidP="00246C7A">
            <w:pPr>
              <w:pStyle w:val="Tabletextcentred"/>
              <w:keepNext/>
              <w:jc w:val="left"/>
              <w:rPr>
                <w:vertAlign w:val="superscript"/>
              </w:rPr>
            </w:pPr>
            <w:r>
              <w:t>McNeill (2007)</w:t>
            </w:r>
          </w:p>
        </w:tc>
        <w:tc>
          <w:tcPr>
            <w:tcW w:w="1134" w:type="dxa"/>
            <w:shd w:val="clear" w:color="auto" w:fill="FFFFFF" w:themeFill="background1"/>
          </w:tcPr>
          <w:p w14:paraId="3673BD1E" w14:textId="77777777" w:rsidR="006A6C31" w:rsidRDefault="006A6C31" w:rsidP="00246C7A">
            <w:pPr>
              <w:pStyle w:val="Tabletextcentred"/>
              <w:keepNext/>
              <w:jc w:val="left"/>
            </w:pPr>
            <w:r>
              <w:t>SPECT</w:t>
            </w:r>
          </w:p>
        </w:tc>
        <w:tc>
          <w:tcPr>
            <w:tcW w:w="744" w:type="dxa"/>
            <w:shd w:val="clear" w:color="auto" w:fill="FFFFFF" w:themeFill="background1"/>
          </w:tcPr>
          <w:p w14:paraId="112AFFB8" w14:textId="77777777" w:rsidR="006A6C31" w:rsidRDefault="006A6C31" w:rsidP="00246C7A">
            <w:pPr>
              <w:pStyle w:val="Tabletextcentred"/>
              <w:keepNext/>
            </w:pPr>
            <w:r>
              <w:t>NR</w:t>
            </w:r>
          </w:p>
        </w:tc>
        <w:tc>
          <w:tcPr>
            <w:tcW w:w="744" w:type="dxa"/>
            <w:shd w:val="clear" w:color="auto" w:fill="FFFFFF" w:themeFill="background1"/>
          </w:tcPr>
          <w:p w14:paraId="39A0E4D3" w14:textId="77777777" w:rsidR="006A6C31" w:rsidRDefault="006A6C31" w:rsidP="00246C7A">
            <w:pPr>
              <w:pStyle w:val="Tabletextcentred"/>
              <w:keepNext/>
            </w:pPr>
            <w:r>
              <w:t>NR</w:t>
            </w:r>
          </w:p>
        </w:tc>
        <w:tc>
          <w:tcPr>
            <w:tcW w:w="744" w:type="dxa"/>
            <w:shd w:val="clear" w:color="auto" w:fill="FFFFFF" w:themeFill="background1"/>
          </w:tcPr>
          <w:p w14:paraId="6C774838" w14:textId="77777777" w:rsidR="006A6C31" w:rsidRDefault="006A6C31" w:rsidP="00246C7A">
            <w:pPr>
              <w:pStyle w:val="Tabletextcentred"/>
              <w:keepNext/>
            </w:pPr>
            <w:r>
              <w:t>NR</w:t>
            </w:r>
          </w:p>
        </w:tc>
        <w:tc>
          <w:tcPr>
            <w:tcW w:w="744" w:type="dxa"/>
            <w:shd w:val="clear" w:color="auto" w:fill="FFFFFF" w:themeFill="background1"/>
          </w:tcPr>
          <w:p w14:paraId="371A76D1" w14:textId="77777777" w:rsidR="006A6C31" w:rsidRDefault="006A6C31" w:rsidP="00246C7A">
            <w:pPr>
              <w:pStyle w:val="Tabletextcentred"/>
              <w:keepNext/>
            </w:pPr>
            <w:r>
              <w:t>NR</w:t>
            </w:r>
          </w:p>
        </w:tc>
        <w:tc>
          <w:tcPr>
            <w:tcW w:w="1984" w:type="dxa"/>
            <w:shd w:val="clear" w:color="auto" w:fill="FFFFFF" w:themeFill="background1"/>
          </w:tcPr>
          <w:p w14:paraId="0D4D0E1D" w14:textId="77777777" w:rsidR="006A6C31" w:rsidRDefault="006A6C31" w:rsidP="00246C7A">
            <w:pPr>
              <w:pStyle w:val="Tabletextcentred"/>
              <w:keepNext/>
            </w:pPr>
            <w:r>
              <w:t>65% [45%-81%]</w:t>
            </w:r>
          </w:p>
        </w:tc>
        <w:tc>
          <w:tcPr>
            <w:tcW w:w="1985" w:type="dxa"/>
            <w:shd w:val="clear" w:color="auto" w:fill="FFFFFF" w:themeFill="background1"/>
          </w:tcPr>
          <w:p w14:paraId="60232E5F" w14:textId="77777777" w:rsidR="006A6C31" w:rsidRDefault="006A6C31" w:rsidP="00246C7A">
            <w:pPr>
              <w:pStyle w:val="Tabletextcentred"/>
              <w:keepNext/>
            </w:pPr>
            <w:r>
              <w:t>72% [51%-88%]</w:t>
            </w:r>
          </w:p>
        </w:tc>
        <w:tc>
          <w:tcPr>
            <w:tcW w:w="3119" w:type="dxa"/>
            <w:shd w:val="clear" w:color="auto" w:fill="FFFFFF" w:themeFill="background1"/>
          </w:tcPr>
          <w:p w14:paraId="40B6E96C" w14:textId="77777777" w:rsidR="006A6C31" w:rsidRDefault="006A6C31" w:rsidP="00246C7A">
            <w:pPr>
              <w:pStyle w:val="Tabletextcentred"/>
              <w:keepNext/>
              <w:jc w:val="left"/>
            </w:pPr>
            <w:r>
              <w:t>Bloudek (2011), p.634, Figure 6</w:t>
            </w:r>
          </w:p>
        </w:tc>
      </w:tr>
      <w:tr w:rsidR="006A6C31" w14:paraId="28E33AEC" w14:textId="77777777" w:rsidTr="00246C7A">
        <w:tc>
          <w:tcPr>
            <w:tcW w:w="1969" w:type="dxa"/>
            <w:shd w:val="clear" w:color="auto" w:fill="FFFFFF" w:themeFill="background1"/>
          </w:tcPr>
          <w:p w14:paraId="7617EF1D" w14:textId="77777777" w:rsidR="006A6C31" w:rsidRPr="00F87D08" w:rsidRDefault="006A6C31" w:rsidP="00246C7A">
            <w:pPr>
              <w:pStyle w:val="Tabletextcentred"/>
              <w:keepNext/>
              <w:jc w:val="left"/>
              <w:rPr>
                <w:vertAlign w:val="superscript"/>
              </w:rPr>
            </w:pPr>
            <w:r>
              <w:t>Bonte (2006)</w:t>
            </w:r>
          </w:p>
        </w:tc>
        <w:tc>
          <w:tcPr>
            <w:tcW w:w="1134" w:type="dxa"/>
            <w:shd w:val="clear" w:color="auto" w:fill="FFFFFF" w:themeFill="background1"/>
          </w:tcPr>
          <w:p w14:paraId="0F3D1809" w14:textId="77777777" w:rsidR="006A6C31" w:rsidRPr="002D2E17" w:rsidRDefault="006A6C31" w:rsidP="00246C7A">
            <w:pPr>
              <w:pStyle w:val="Tabletextcentred"/>
              <w:keepNext/>
              <w:jc w:val="left"/>
            </w:pPr>
            <w:r>
              <w:t>SPECT</w:t>
            </w:r>
          </w:p>
        </w:tc>
        <w:tc>
          <w:tcPr>
            <w:tcW w:w="744" w:type="dxa"/>
            <w:shd w:val="clear" w:color="auto" w:fill="FFFFFF" w:themeFill="background1"/>
          </w:tcPr>
          <w:p w14:paraId="35CFC558" w14:textId="77777777" w:rsidR="006A6C31" w:rsidRPr="002D2E17" w:rsidRDefault="006A6C31" w:rsidP="00246C7A">
            <w:pPr>
              <w:pStyle w:val="Tabletextcentred"/>
              <w:keepNext/>
            </w:pPr>
            <w:r>
              <w:t>26</w:t>
            </w:r>
          </w:p>
        </w:tc>
        <w:tc>
          <w:tcPr>
            <w:tcW w:w="744" w:type="dxa"/>
            <w:shd w:val="clear" w:color="auto" w:fill="FFFFFF" w:themeFill="background1"/>
          </w:tcPr>
          <w:p w14:paraId="7ED2A405" w14:textId="77777777" w:rsidR="006A6C31" w:rsidRPr="002D2E17" w:rsidRDefault="006A6C31" w:rsidP="00246C7A">
            <w:pPr>
              <w:pStyle w:val="Tabletextcentred"/>
              <w:keepNext/>
            </w:pPr>
            <w:r>
              <w:t>17</w:t>
            </w:r>
          </w:p>
        </w:tc>
        <w:tc>
          <w:tcPr>
            <w:tcW w:w="744" w:type="dxa"/>
            <w:shd w:val="clear" w:color="auto" w:fill="FFFFFF" w:themeFill="background1"/>
          </w:tcPr>
          <w:p w14:paraId="71EB58F6" w14:textId="77777777" w:rsidR="006A6C31" w:rsidRPr="002D2E17" w:rsidRDefault="006A6C31" w:rsidP="00246C7A">
            <w:pPr>
              <w:pStyle w:val="Tabletextcentred"/>
              <w:keepNext/>
            </w:pPr>
            <w:r>
              <w:t>2</w:t>
            </w:r>
          </w:p>
        </w:tc>
        <w:tc>
          <w:tcPr>
            <w:tcW w:w="744" w:type="dxa"/>
            <w:shd w:val="clear" w:color="auto" w:fill="FFFFFF" w:themeFill="background1"/>
          </w:tcPr>
          <w:p w14:paraId="6CC0CD06" w14:textId="77777777" w:rsidR="006A6C31" w:rsidRPr="002D2E17" w:rsidRDefault="006A6C31" w:rsidP="00246C7A">
            <w:pPr>
              <w:pStyle w:val="Tabletextcentred"/>
              <w:keepNext/>
            </w:pPr>
            <w:r>
              <w:t>4</w:t>
            </w:r>
          </w:p>
        </w:tc>
        <w:tc>
          <w:tcPr>
            <w:tcW w:w="1984" w:type="dxa"/>
            <w:shd w:val="clear" w:color="auto" w:fill="FFFFFF" w:themeFill="background1"/>
          </w:tcPr>
          <w:p w14:paraId="3B866288" w14:textId="77777777" w:rsidR="006A6C31" w:rsidRPr="002D2E17" w:rsidRDefault="006A6C31" w:rsidP="00246C7A">
            <w:pPr>
              <w:pStyle w:val="Tabletextcentred"/>
              <w:keepNext/>
            </w:pPr>
            <w:r>
              <w:t>87% [68%-96%]</w:t>
            </w:r>
          </w:p>
        </w:tc>
        <w:tc>
          <w:tcPr>
            <w:tcW w:w="1985" w:type="dxa"/>
            <w:shd w:val="clear" w:color="auto" w:fill="FFFFFF" w:themeFill="background1"/>
          </w:tcPr>
          <w:p w14:paraId="2D7EBEEB" w14:textId="77777777" w:rsidR="006A6C31" w:rsidRPr="002D2E17" w:rsidRDefault="006A6C31" w:rsidP="00246C7A">
            <w:pPr>
              <w:pStyle w:val="Tabletextcentred"/>
              <w:keepNext/>
            </w:pPr>
            <w:r>
              <w:t>89% [66%-98%]</w:t>
            </w:r>
          </w:p>
        </w:tc>
        <w:tc>
          <w:tcPr>
            <w:tcW w:w="3119" w:type="dxa"/>
            <w:shd w:val="clear" w:color="auto" w:fill="FFFFFF" w:themeFill="background1"/>
          </w:tcPr>
          <w:p w14:paraId="726F0A18" w14:textId="77777777" w:rsidR="006A6C31" w:rsidRDefault="006A6C31" w:rsidP="00246C7A">
            <w:pPr>
              <w:pStyle w:val="Tabletextcentred"/>
              <w:keepNext/>
              <w:jc w:val="left"/>
            </w:pPr>
            <w:r>
              <w:t>Bonte (2006), p.377, Tables 1-2</w:t>
            </w:r>
          </w:p>
        </w:tc>
      </w:tr>
      <w:tr w:rsidR="006A6C31" w14:paraId="26C0461C" w14:textId="77777777" w:rsidTr="00246C7A">
        <w:tc>
          <w:tcPr>
            <w:tcW w:w="1969" w:type="dxa"/>
            <w:shd w:val="clear" w:color="auto" w:fill="FFFFFF" w:themeFill="background1"/>
          </w:tcPr>
          <w:p w14:paraId="3058417C" w14:textId="77777777" w:rsidR="006A6C31" w:rsidRPr="00CD60FF" w:rsidRDefault="006A6C31" w:rsidP="00246C7A">
            <w:pPr>
              <w:pStyle w:val="Tabletextcentred"/>
              <w:keepNext/>
              <w:jc w:val="left"/>
              <w:rPr>
                <w:vertAlign w:val="superscript"/>
              </w:rPr>
            </w:pPr>
            <w:r>
              <w:t>Bonte (2004)</w:t>
            </w:r>
            <w:r>
              <w:rPr>
                <w:vertAlign w:val="superscript"/>
              </w:rPr>
              <w:t>g</w:t>
            </w:r>
          </w:p>
        </w:tc>
        <w:tc>
          <w:tcPr>
            <w:tcW w:w="1134" w:type="dxa"/>
            <w:shd w:val="clear" w:color="auto" w:fill="FFFFFF" w:themeFill="background1"/>
          </w:tcPr>
          <w:p w14:paraId="44D4EC0B" w14:textId="77777777" w:rsidR="006A6C31" w:rsidRDefault="006A6C31" w:rsidP="00246C7A">
            <w:pPr>
              <w:pStyle w:val="Tabletextcentred"/>
              <w:keepNext/>
              <w:jc w:val="left"/>
            </w:pPr>
            <w:r>
              <w:t>SPECT</w:t>
            </w:r>
          </w:p>
        </w:tc>
        <w:tc>
          <w:tcPr>
            <w:tcW w:w="744" w:type="dxa"/>
            <w:shd w:val="clear" w:color="auto" w:fill="FFFFFF" w:themeFill="background1"/>
          </w:tcPr>
          <w:p w14:paraId="37702C1A" w14:textId="77777777" w:rsidR="006A6C31" w:rsidRPr="002D2E17" w:rsidRDefault="006A6C31" w:rsidP="00246C7A">
            <w:pPr>
              <w:pStyle w:val="Tabletextcentred"/>
              <w:keepNext/>
            </w:pPr>
            <w:r>
              <w:t>16</w:t>
            </w:r>
          </w:p>
        </w:tc>
        <w:tc>
          <w:tcPr>
            <w:tcW w:w="744" w:type="dxa"/>
            <w:shd w:val="clear" w:color="auto" w:fill="FFFFFF" w:themeFill="background1"/>
          </w:tcPr>
          <w:p w14:paraId="6558AD92" w14:textId="77777777" w:rsidR="006A6C31" w:rsidRPr="002D2E17" w:rsidRDefault="006A6C31" w:rsidP="00246C7A">
            <w:pPr>
              <w:pStyle w:val="Tabletextcentred"/>
              <w:keepNext/>
            </w:pPr>
            <w:r>
              <w:t>19</w:t>
            </w:r>
          </w:p>
        </w:tc>
        <w:tc>
          <w:tcPr>
            <w:tcW w:w="744" w:type="dxa"/>
            <w:shd w:val="clear" w:color="auto" w:fill="FFFFFF" w:themeFill="background1"/>
          </w:tcPr>
          <w:p w14:paraId="1607A8DC" w14:textId="77777777" w:rsidR="006A6C31" w:rsidRPr="002D2E17" w:rsidRDefault="006A6C31" w:rsidP="00246C7A">
            <w:pPr>
              <w:pStyle w:val="Tabletextcentred"/>
              <w:keepNext/>
            </w:pPr>
            <w:r>
              <w:t>1</w:t>
            </w:r>
          </w:p>
        </w:tc>
        <w:tc>
          <w:tcPr>
            <w:tcW w:w="744" w:type="dxa"/>
            <w:shd w:val="clear" w:color="auto" w:fill="FFFFFF" w:themeFill="background1"/>
          </w:tcPr>
          <w:p w14:paraId="3EE5CC33" w14:textId="77777777" w:rsidR="006A6C31" w:rsidRPr="002D2E17" w:rsidRDefault="006A6C31" w:rsidP="00246C7A">
            <w:pPr>
              <w:pStyle w:val="Tabletextcentred"/>
              <w:keepNext/>
            </w:pPr>
            <w:r>
              <w:t>4</w:t>
            </w:r>
          </w:p>
        </w:tc>
        <w:tc>
          <w:tcPr>
            <w:tcW w:w="1984" w:type="dxa"/>
            <w:shd w:val="clear" w:color="auto" w:fill="FFFFFF" w:themeFill="background1"/>
          </w:tcPr>
          <w:p w14:paraId="10D796EC" w14:textId="77777777" w:rsidR="006A6C31" w:rsidRPr="002D2E17" w:rsidRDefault="006A6C31" w:rsidP="00246C7A">
            <w:pPr>
              <w:pStyle w:val="Tabletextcentred"/>
              <w:keepNext/>
            </w:pPr>
            <w:r>
              <w:t>80% [56%-93%]</w:t>
            </w:r>
          </w:p>
        </w:tc>
        <w:tc>
          <w:tcPr>
            <w:tcW w:w="1985" w:type="dxa"/>
            <w:shd w:val="clear" w:color="auto" w:fill="FFFFFF" w:themeFill="background1"/>
          </w:tcPr>
          <w:p w14:paraId="39C59FC5" w14:textId="77777777" w:rsidR="006A6C31" w:rsidRPr="002D2E17" w:rsidRDefault="006A6C31" w:rsidP="00246C7A">
            <w:pPr>
              <w:pStyle w:val="Tabletextcentred"/>
              <w:keepNext/>
            </w:pPr>
            <w:r>
              <w:t>95% [73%-100%]</w:t>
            </w:r>
          </w:p>
        </w:tc>
        <w:tc>
          <w:tcPr>
            <w:tcW w:w="3119" w:type="dxa"/>
            <w:shd w:val="clear" w:color="auto" w:fill="FFFFFF" w:themeFill="background1"/>
          </w:tcPr>
          <w:p w14:paraId="6D8F1FB5" w14:textId="77777777" w:rsidR="006A6C31" w:rsidRDefault="006A6C31" w:rsidP="00246C7A">
            <w:pPr>
              <w:pStyle w:val="Tabletextcentred"/>
              <w:keepNext/>
              <w:jc w:val="left"/>
            </w:pPr>
            <w:r>
              <w:t>Bonte (2004), p.772, Table 1-2</w:t>
            </w:r>
          </w:p>
        </w:tc>
      </w:tr>
      <w:tr w:rsidR="006A6C31" w14:paraId="17712DEA" w14:textId="77777777" w:rsidTr="00246C7A">
        <w:tc>
          <w:tcPr>
            <w:tcW w:w="1969" w:type="dxa"/>
            <w:shd w:val="clear" w:color="auto" w:fill="FFFFFF" w:themeFill="background1"/>
          </w:tcPr>
          <w:p w14:paraId="394E749E" w14:textId="77777777" w:rsidR="006A6C31" w:rsidRPr="00B36BFD" w:rsidRDefault="006A6C31" w:rsidP="00246C7A">
            <w:pPr>
              <w:pStyle w:val="Tabletextcentred"/>
              <w:keepNext/>
              <w:jc w:val="left"/>
              <w:rPr>
                <w:vertAlign w:val="superscript"/>
              </w:rPr>
            </w:pPr>
            <w:r>
              <w:t>Jobst (1998)</w:t>
            </w:r>
          </w:p>
        </w:tc>
        <w:tc>
          <w:tcPr>
            <w:tcW w:w="1134" w:type="dxa"/>
            <w:shd w:val="clear" w:color="auto" w:fill="FFFFFF" w:themeFill="background1"/>
          </w:tcPr>
          <w:p w14:paraId="11DCA014" w14:textId="77777777" w:rsidR="006A6C31" w:rsidRDefault="006A6C31" w:rsidP="00246C7A">
            <w:pPr>
              <w:pStyle w:val="Tabletextcentred"/>
              <w:keepNext/>
              <w:jc w:val="left"/>
            </w:pPr>
            <w:r>
              <w:t>SPECT</w:t>
            </w:r>
          </w:p>
        </w:tc>
        <w:tc>
          <w:tcPr>
            <w:tcW w:w="744" w:type="dxa"/>
            <w:shd w:val="clear" w:color="auto" w:fill="FFFFFF" w:themeFill="background1"/>
          </w:tcPr>
          <w:p w14:paraId="57F5C81A" w14:textId="77777777" w:rsidR="006A6C31" w:rsidRDefault="006A6C31" w:rsidP="00246C7A">
            <w:pPr>
              <w:pStyle w:val="Tabletextcentred"/>
              <w:keepNext/>
            </w:pPr>
            <w:r>
              <w:t>65</w:t>
            </w:r>
          </w:p>
        </w:tc>
        <w:tc>
          <w:tcPr>
            <w:tcW w:w="744" w:type="dxa"/>
            <w:shd w:val="clear" w:color="auto" w:fill="FFFFFF" w:themeFill="background1"/>
          </w:tcPr>
          <w:p w14:paraId="0B0A6710" w14:textId="77777777" w:rsidR="006A6C31" w:rsidRDefault="006A6C31" w:rsidP="00246C7A">
            <w:pPr>
              <w:pStyle w:val="Tabletextcentred"/>
              <w:keepNext/>
            </w:pPr>
            <w:r>
              <w:t>13</w:t>
            </w:r>
          </w:p>
        </w:tc>
        <w:tc>
          <w:tcPr>
            <w:tcW w:w="744" w:type="dxa"/>
            <w:shd w:val="clear" w:color="auto" w:fill="FFFFFF" w:themeFill="background1"/>
          </w:tcPr>
          <w:p w14:paraId="29208D95" w14:textId="77777777" w:rsidR="006A6C31" w:rsidRDefault="006A6C31" w:rsidP="00246C7A">
            <w:pPr>
              <w:pStyle w:val="Tabletextcentred"/>
              <w:keepNext/>
            </w:pPr>
            <w:r>
              <w:t>11</w:t>
            </w:r>
          </w:p>
        </w:tc>
        <w:tc>
          <w:tcPr>
            <w:tcW w:w="744" w:type="dxa"/>
            <w:shd w:val="clear" w:color="auto" w:fill="FFFFFF" w:themeFill="background1"/>
          </w:tcPr>
          <w:p w14:paraId="60E44C84" w14:textId="77777777" w:rsidR="006A6C31" w:rsidRDefault="006A6C31" w:rsidP="00246C7A">
            <w:pPr>
              <w:pStyle w:val="Tabletextcentred"/>
              <w:keepNext/>
            </w:pPr>
            <w:r>
              <w:t>8</w:t>
            </w:r>
          </w:p>
        </w:tc>
        <w:tc>
          <w:tcPr>
            <w:tcW w:w="1984" w:type="dxa"/>
            <w:shd w:val="clear" w:color="auto" w:fill="FFFFFF" w:themeFill="background1"/>
          </w:tcPr>
          <w:p w14:paraId="3158576B" w14:textId="77777777" w:rsidR="006A6C31" w:rsidRDefault="006A6C31" w:rsidP="00246C7A">
            <w:pPr>
              <w:pStyle w:val="Tabletextcentred"/>
              <w:keepNext/>
            </w:pPr>
          </w:p>
        </w:tc>
        <w:tc>
          <w:tcPr>
            <w:tcW w:w="1985" w:type="dxa"/>
            <w:shd w:val="clear" w:color="auto" w:fill="FFFFFF" w:themeFill="background1"/>
          </w:tcPr>
          <w:p w14:paraId="251E7A31" w14:textId="77777777" w:rsidR="006A6C31" w:rsidRDefault="006A6C31" w:rsidP="00246C7A">
            <w:pPr>
              <w:pStyle w:val="Tabletextcentred"/>
              <w:keepNext/>
            </w:pPr>
          </w:p>
        </w:tc>
        <w:tc>
          <w:tcPr>
            <w:tcW w:w="3119" w:type="dxa"/>
            <w:shd w:val="clear" w:color="auto" w:fill="FFFFFF" w:themeFill="background1"/>
          </w:tcPr>
          <w:p w14:paraId="1D4266DF" w14:textId="77777777" w:rsidR="006A6C31" w:rsidRDefault="006A6C31" w:rsidP="00246C7A">
            <w:pPr>
              <w:pStyle w:val="Tabletextcentred"/>
              <w:keepNext/>
              <w:jc w:val="left"/>
            </w:pPr>
            <w:r>
              <w:t>Calculated: Jobst (1998), p.296,Table 5</w:t>
            </w:r>
          </w:p>
        </w:tc>
      </w:tr>
      <w:tr w:rsidR="006A6C31" w14:paraId="261D520A" w14:textId="77777777" w:rsidTr="00246C7A">
        <w:tc>
          <w:tcPr>
            <w:tcW w:w="1969" w:type="dxa"/>
            <w:shd w:val="clear" w:color="auto" w:fill="FFFFFF" w:themeFill="background1"/>
          </w:tcPr>
          <w:p w14:paraId="6BFB269F" w14:textId="77777777" w:rsidR="006A6C31" w:rsidRPr="002D2E17" w:rsidRDefault="006A6C31" w:rsidP="00246C7A">
            <w:pPr>
              <w:pStyle w:val="Tabletextcentred"/>
              <w:keepNext/>
              <w:jc w:val="left"/>
            </w:pPr>
            <w:r>
              <w:t>Bonte (1997)</w:t>
            </w:r>
          </w:p>
        </w:tc>
        <w:tc>
          <w:tcPr>
            <w:tcW w:w="1134" w:type="dxa"/>
            <w:shd w:val="clear" w:color="auto" w:fill="FFFFFF" w:themeFill="background1"/>
          </w:tcPr>
          <w:p w14:paraId="1D059FF2" w14:textId="77777777" w:rsidR="006A6C31" w:rsidRDefault="006A6C31" w:rsidP="00246C7A">
            <w:pPr>
              <w:pStyle w:val="Tabletextcentred"/>
              <w:keepNext/>
              <w:jc w:val="left"/>
            </w:pPr>
            <w:r>
              <w:t>SPECT</w:t>
            </w:r>
          </w:p>
        </w:tc>
        <w:tc>
          <w:tcPr>
            <w:tcW w:w="744" w:type="dxa"/>
            <w:shd w:val="clear" w:color="auto" w:fill="FFFFFF" w:themeFill="background1"/>
          </w:tcPr>
          <w:p w14:paraId="7BD5B5E4" w14:textId="77777777" w:rsidR="006A6C31" w:rsidRPr="002D2E17" w:rsidRDefault="006A6C31" w:rsidP="00246C7A">
            <w:pPr>
              <w:pStyle w:val="Tabletextcentred"/>
              <w:keepNext/>
            </w:pPr>
            <w:r>
              <w:t>37</w:t>
            </w:r>
          </w:p>
        </w:tc>
        <w:tc>
          <w:tcPr>
            <w:tcW w:w="744" w:type="dxa"/>
            <w:shd w:val="clear" w:color="auto" w:fill="FFFFFF" w:themeFill="background1"/>
          </w:tcPr>
          <w:p w14:paraId="50AFE7C2" w14:textId="77777777" w:rsidR="006A6C31" w:rsidRPr="002D2E17" w:rsidRDefault="006A6C31" w:rsidP="00246C7A">
            <w:pPr>
              <w:pStyle w:val="Tabletextcentred"/>
              <w:keepNext/>
            </w:pPr>
            <w:r>
              <w:t>8</w:t>
            </w:r>
          </w:p>
        </w:tc>
        <w:tc>
          <w:tcPr>
            <w:tcW w:w="744" w:type="dxa"/>
            <w:shd w:val="clear" w:color="auto" w:fill="FFFFFF" w:themeFill="background1"/>
          </w:tcPr>
          <w:p w14:paraId="075AE81A" w14:textId="77777777" w:rsidR="006A6C31" w:rsidRPr="002D2E17" w:rsidRDefault="006A6C31" w:rsidP="00246C7A">
            <w:pPr>
              <w:pStyle w:val="Tabletextcentred"/>
              <w:keepNext/>
            </w:pPr>
            <w:r>
              <w:t>3</w:t>
            </w:r>
          </w:p>
        </w:tc>
        <w:tc>
          <w:tcPr>
            <w:tcW w:w="744" w:type="dxa"/>
            <w:shd w:val="clear" w:color="auto" w:fill="FFFFFF" w:themeFill="background1"/>
          </w:tcPr>
          <w:p w14:paraId="4586F321" w14:textId="77777777" w:rsidR="006A6C31" w:rsidRPr="002D2E17" w:rsidRDefault="006A6C31" w:rsidP="00246C7A">
            <w:pPr>
              <w:pStyle w:val="Tabletextcentred"/>
              <w:keepNext/>
            </w:pPr>
            <w:r>
              <w:t>6</w:t>
            </w:r>
          </w:p>
        </w:tc>
        <w:tc>
          <w:tcPr>
            <w:tcW w:w="1984" w:type="dxa"/>
            <w:shd w:val="clear" w:color="auto" w:fill="FFFFFF" w:themeFill="background1"/>
          </w:tcPr>
          <w:p w14:paraId="652A0FFA" w14:textId="77777777" w:rsidR="006A6C31" w:rsidRPr="002D2E17" w:rsidRDefault="006A6C31" w:rsidP="00246C7A">
            <w:pPr>
              <w:pStyle w:val="Tabletextcentred"/>
              <w:keepNext/>
            </w:pPr>
            <w:r>
              <w:t>86% [72%-95%]</w:t>
            </w:r>
          </w:p>
        </w:tc>
        <w:tc>
          <w:tcPr>
            <w:tcW w:w="1985" w:type="dxa"/>
            <w:shd w:val="clear" w:color="auto" w:fill="FFFFFF" w:themeFill="background1"/>
          </w:tcPr>
          <w:p w14:paraId="19B3E59B" w14:textId="77777777" w:rsidR="006A6C31" w:rsidRPr="002D2E17" w:rsidRDefault="006A6C31" w:rsidP="00246C7A">
            <w:pPr>
              <w:pStyle w:val="Tabletextcentred"/>
              <w:keepNext/>
            </w:pPr>
            <w:r>
              <w:t>73% [39%-94%]</w:t>
            </w:r>
          </w:p>
        </w:tc>
        <w:tc>
          <w:tcPr>
            <w:tcW w:w="3119" w:type="dxa"/>
            <w:shd w:val="clear" w:color="auto" w:fill="FFFFFF" w:themeFill="background1"/>
          </w:tcPr>
          <w:p w14:paraId="257C217C" w14:textId="77777777" w:rsidR="006A6C31" w:rsidRDefault="006A6C31" w:rsidP="00246C7A">
            <w:pPr>
              <w:pStyle w:val="Tabletextcentred"/>
              <w:keepNext/>
              <w:jc w:val="left"/>
            </w:pPr>
            <w:r>
              <w:t>Bonte (1997), p.795-6, Table 1-2</w:t>
            </w:r>
          </w:p>
        </w:tc>
      </w:tr>
      <w:tr w:rsidR="006A6C31" w14:paraId="6BB210D2" w14:textId="77777777" w:rsidTr="00246C7A">
        <w:tc>
          <w:tcPr>
            <w:tcW w:w="1969" w:type="dxa"/>
            <w:shd w:val="clear" w:color="auto" w:fill="FFFFFF" w:themeFill="background1"/>
          </w:tcPr>
          <w:p w14:paraId="4DE101C1" w14:textId="77777777" w:rsidR="006A6C31" w:rsidRPr="003F43C4" w:rsidRDefault="006A6C31" w:rsidP="00246C7A">
            <w:pPr>
              <w:pStyle w:val="Tabletextcentred"/>
              <w:keepNext/>
              <w:jc w:val="left"/>
              <w:rPr>
                <w:vertAlign w:val="superscript"/>
              </w:rPr>
            </w:pPr>
            <w:r>
              <w:t>Bonte (1993)</w:t>
            </w:r>
            <w:r>
              <w:rPr>
                <w:vertAlign w:val="superscript"/>
              </w:rPr>
              <w:t>h</w:t>
            </w:r>
          </w:p>
        </w:tc>
        <w:tc>
          <w:tcPr>
            <w:tcW w:w="1134" w:type="dxa"/>
            <w:shd w:val="clear" w:color="auto" w:fill="FFFFFF" w:themeFill="background1"/>
          </w:tcPr>
          <w:p w14:paraId="4C0D24D3" w14:textId="77777777" w:rsidR="006A6C31" w:rsidRPr="002D2E17" w:rsidRDefault="006A6C31" w:rsidP="00246C7A">
            <w:pPr>
              <w:pStyle w:val="Tabletextcentred"/>
              <w:keepNext/>
              <w:jc w:val="left"/>
            </w:pPr>
            <w:r>
              <w:t>SPECT</w:t>
            </w:r>
          </w:p>
        </w:tc>
        <w:tc>
          <w:tcPr>
            <w:tcW w:w="744" w:type="dxa"/>
            <w:shd w:val="clear" w:color="auto" w:fill="FFFFFF" w:themeFill="background1"/>
          </w:tcPr>
          <w:p w14:paraId="2F4A9915" w14:textId="77777777" w:rsidR="006A6C31" w:rsidRPr="002D2E17" w:rsidRDefault="006A6C31" w:rsidP="00246C7A">
            <w:pPr>
              <w:pStyle w:val="Tabletextcentred"/>
              <w:keepNext/>
            </w:pPr>
            <w:r>
              <w:t>50</w:t>
            </w:r>
          </w:p>
        </w:tc>
        <w:tc>
          <w:tcPr>
            <w:tcW w:w="744" w:type="dxa"/>
            <w:shd w:val="clear" w:color="auto" w:fill="FFFFFF" w:themeFill="background1"/>
          </w:tcPr>
          <w:p w14:paraId="5BDF79B8" w14:textId="77777777" w:rsidR="006A6C31" w:rsidRPr="002D2E17" w:rsidRDefault="006A6C31" w:rsidP="00246C7A">
            <w:pPr>
              <w:pStyle w:val="Tabletextcentred"/>
              <w:keepNext/>
            </w:pPr>
            <w:r>
              <w:t>9</w:t>
            </w:r>
          </w:p>
        </w:tc>
        <w:tc>
          <w:tcPr>
            <w:tcW w:w="744" w:type="dxa"/>
            <w:shd w:val="clear" w:color="auto" w:fill="FFFFFF" w:themeFill="background1"/>
          </w:tcPr>
          <w:p w14:paraId="274D5F70" w14:textId="77777777" w:rsidR="006A6C31" w:rsidRPr="002D2E17" w:rsidRDefault="006A6C31" w:rsidP="00246C7A">
            <w:pPr>
              <w:pStyle w:val="Tabletextcentred"/>
              <w:keepNext/>
            </w:pPr>
            <w:r>
              <w:t>5</w:t>
            </w:r>
          </w:p>
        </w:tc>
        <w:tc>
          <w:tcPr>
            <w:tcW w:w="744" w:type="dxa"/>
            <w:shd w:val="clear" w:color="auto" w:fill="FFFFFF" w:themeFill="background1"/>
          </w:tcPr>
          <w:p w14:paraId="5E530C20" w14:textId="77777777" w:rsidR="006A6C31" w:rsidRPr="002D2E17" w:rsidRDefault="006A6C31" w:rsidP="00246C7A">
            <w:pPr>
              <w:pStyle w:val="Tabletextcentred"/>
              <w:keepNext/>
            </w:pPr>
            <w:r>
              <w:t>9</w:t>
            </w:r>
          </w:p>
        </w:tc>
        <w:tc>
          <w:tcPr>
            <w:tcW w:w="1984" w:type="dxa"/>
            <w:shd w:val="clear" w:color="auto" w:fill="FFFFFF" w:themeFill="background1"/>
          </w:tcPr>
          <w:p w14:paraId="3305098F" w14:textId="77777777" w:rsidR="006A6C31" w:rsidRPr="002D2E17" w:rsidRDefault="006A6C31" w:rsidP="00246C7A">
            <w:pPr>
              <w:pStyle w:val="Tabletextcentred"/>
              <w:keepNext/>
            </w:pPr>
            <w:r>
              <w:t>85% [73%-93%]</w:t>
            </w:r>
          </w:p>
        </w:tc>
        <w:tc>
          <w:tcPr>
            <w:tcW w:w="1985" w:type="dxa"/>
            <w:shd w:val="clear" w:color="auto" w:fill="FFFFFF" w:themeFill="background1"/>
          </w:tcPr>
          <w:p w14:paraId="634C75EF" w14:textId="77777777" w:rsidR="006A6C31" w:rsidRPr="002D2E17" w:rsidRDefault="006A6C31" w:rsidP="00246C7A">
            <w:pPr>
              <w:pStyle w:val="Tabletextcentred"/>
              <w:keepNext/>
            </w:pPr>
            <w:r>
              <w:t>64% [35%-87%]</w:t>
            </w:r>
          </w:p>
        </w:tc>
        <w:tc>
          <w:tcPr>
            <w:tcW w:w="3119" w:type="dxa"/>
            <w:shd w:val="clear" w:color="auto" w:fill="FFFFFF" w:themeFill="background1"/>
          </w:tcPr>
          <w:p w14:paraId="07553A81" w14:textId="77777777" w:rsidR="006A6C31" w:rsidRDefault="006A6C31" w:rsidP="00246C7A">
            <w:pPr>
              <w:pStyle w:val="Tabletextcentred"/>
              <w:keepNext/>
              <w:jc w:val="left"/>
            </w:pPr>
            <w:r>
              <w:t>Cure (2014), p.175, Figure 2</w:t>
            </w:r>
          </w:p>
        </w:tc>
      </w:tr>
      <w:tr w:rsidR="006A6C31" w14:paraId="1588BBBE" w14:textId="77777777" w:rsidTr="00246C7A">
        <w:tc>
          <w:tcPr>
            <w:tcW w:w="1969" w:type="dxa"/>
            <w:shd w:val="clear" w:color="auto" w:fill="D0CECE" w:themeFill="background2" w:themeFillShade="E6"/>
          </w:tcPr>
          <w:p w14:paraId="293C3DB4" w14:textId="77777777" w:rsidR="006A6C31" w:rsidRDefault="006A6C31" w:rsidP="00246C7A">
            <w:pPr>
              <w:pStyle w:val="Tabletextcentred"/>
              <w:keepNext/>
              <w:jc w:val="left"/>
            </w:pPr>
            <w:r>
              <w:t>Various controls</w:t>
            </w:r>
          </w:p>
        </w:tc>
        <w:tc>
          <w:tcPr>
            <w:tcW w:w="1134" w:type="dxa"/>
            <w:shd w:val="clear" w:color="auto" w:fill="D0CECE" w:themeFill="background2" w:themeFillShade="E6"/>
          </w:tcPr>
          <w:p w14:paraId="0717EE26" w14:textId="77777777" w:rsidR="006A6C31" w:rsidRDefault="006A6C31" w:rsidP="00246C7A">
            <w:pPr>
              <w:pStyle w:val="Tabletextcentred"/>
              <w:keepNext/>
              <w:jc w:val="left"/>
            </w:pPr>
            <w:r>
              <w:t>-</w:t>
            </w:r>
          </w:p>
        </w:tc>
        <w:tc>
          <w:tcPr>
            <w:tcW w:w="744" w:type="dxa"/>
            <w:shd w:val="clear" w:color="auto" w:fill="D0CECE" w:themeFill="background2" w:themeFillShade="E6"/>
          </w:tcPr>
          <w:p w14:paraId="3C17CD6B" w14:textId="77777777" w:rsidR="006A6C31" w:rsidRDefault="006A6C31" w:rsidP="00246C7A">
            <w:pPr>
              <w:pStyle w:val="Tabletextcentred"/>
              <w:keepNext/>
            </w:pPr>
            <w:r>
              <w:t>-</w:t>
            </w:r>
          </w:p>
        </w:tc>
        <w:tc>
          <w:tcPr>
            <w:tcW w:w="744" w:type="dxa"/>
            <w:shd w:val="clear" w:color="auto" w:fill="D0CECE" w:themeFill="background2" w:themeFillShade="E6"/>
          </w:tcPr>
          <w:p w14:paraId="783062C0" w14:textId="77777777" w:rsidR="006A6C31" w:rsidRDefault="006A6C31" w:rsidP="00246C7A">
            <w:pPr>
              <w:pStyle w:val="Tabletextcentred"/>
              <w:keepNext/>
            </w:pPr>
            <w:r>
              <w:t>-</w:t>
            </w:r>
          </w:p>
        </w:tc>
        <w:tc>
          <w:tcPr>
            <w:tcW w:w="744" w:type="dxa"/>
            <w:shd w:val="clear" w:color="auto" w:fill="D0CECE" w:themeFill="background2" w:themeFillShade="E6"/>
          </w:tcPr>
          <w:p w14:paraId="73495AA1" w14:textId="77777777" w:rsidR="006A6C31" w:rsidRDefault="006A6C31" w:rsidP="00246C7A">
            <w:pPr>
              <w:pStyle w:val="Tabletextcentred"/>
              <w:keepNext/>
            </w:pPr>
            <w:r>
              <w:t>-</w:t>
            </w:r>
          </w:p>
        </w:tc>
        <w:tc>
          <w:tcPr>
            <w:tcW w:w="744" w:type="dxa"/>
            <w:shd w:val="clear" w:color="auto" w:fill="D0CECE" w:themeFill="background2" w:themeFillShade="E6"/>
          </w:tcPr>
          <w:p w14:paraId="6026CE7E" w14:textId="77777777" w:rsidR="006A6C31" w:rsidRDefault="006A6C31" w:rsidP="00246C7A">
            <w:pPr>
              <w:pStyle w:val="Tabletextcentred"/>
              <w:keepNext/>
            </w:pPr>
            <w:r>
              <w:t>-</w:t>
            </w:r>
          </w:p>
        </w:tc>
        <w:tc>
          <w:tcPr>
            <w:tcW w:w="1984" w:type="dxa"/>
            <w:shd w:val="clear" w:color="auto" w:fill="D0CECE" w:themeFill="background2" w:themeFillShade="E6"/>
          </w:tcPr>
          <w:p w14:paraId="4BCCA94A" w14:textId="77777777" w:rsidR="006A6C31" w:rsidRDefault="006A6C31" w:rsidP="00246C7A">
            <w:pPr>
              <w:pStyle w:val="Tabletextcentred"/>
              <w:keepNext/>
            </w:pPr>
            <w:r>
              <w:t>-</w:t>
            </w:r>
          </w:p>
        </w:tc>
        <w:tc>
          <w:tcPr>
            <w:tcW w:w="1985" w:type="dxa"/>
            <w:shd w:val="clear" w:color="auto" w:fill="D0CECE" w:themeFill="background2" w:themeFillShade="E6"/>
          </w:tcPr>
          <w:p w14:paraId="05875CD8" w14:textId="77777777" w:rsidR="006A6C31" w:rsidRDefault="006A6C31" w:rsidP="00246C7A">
            <w:pPr>
              <w:pStyle w:val="Tabletextcentred"/>
              <w:keepNext/>
            </w:pPr>
            <w:r>
              <w:t>-</w:t>
            </w:r>
          </w:p>
        </w:tc>
        <w:tc>
          <w:tcPr>
            <w:tcW w:w="3119" w:type="dxa"/>
            <w:shd w:val="clear" w:color="auto" w:fill="D0CECE" w:themeFill="background2" w:themeFillShade="E6"/>
          </w:tcPr>
          <w:p w14:paraId="35017F98" w14:textId="77777777" w:rsidR="006A6C31" w:rsidRDefault="006A6C31" w:rsidP="00246C7A">
            <w:pPr>
              <w:pStyle w:val="Tabletextcentred"/>
              <w:keepNext/>
            </w:pPr>
            <w:r>
              <w:t>-</w:t>
            </w:r>
          </w:p>
        </w:tc>
      </w:tr>
      <w:tr w:rsidR="006A6C31" w14:paraId="69F55D5E" w14:textId="77777777" w:rsidTr="00246C7A">
        <w:tc>
          <w:tcPr>
            <w:tcW w:w="1969" w:type="dxa"/>
            <w:shd w:val="clear" w:color="auto" w:fill="FFFFFF" w:themeFill="background1"/>
          </w:tcPr>
          <w:p w14:paraId="3997337A" w14:textId="77777777" w:rsidR="006A6C31" w:rsidRPr="00347CD7" w:rsidRDefault="006A6C31" w:rsidP="00246C7A">
            <w:pPr>
              <w:pStyle w:val="Tabletextcentred"/>
              <w:keepNext/>
              <w:jc w:val="left"/>
              <w:rPr>
                <w:vertAlign w:val="superscript"/>
              </w:rPr>
            </w:pPr>
            <w:r w:rsidRPr="002D2E17">
              <w:t xml:space="preserve">Jagust </w:t>
            </w:r>
            <w:r>
              <w:t>(2007)</w:t>
            </w:r>
            <w:r>
              <w:rPr>
                <w:vertAlign w:val="superscript"/>
              </w:rPr>
              <w:t>c</w:t>
            </w:r>
          </w:p>
        </w:tc>
        <w:tc>
          <w:tcPr>
            <w:tcW w:w="1134" w:type="dxa"/>
            <w:shd w:val="clear" w:color="auto" w:fill="FFFFFF" w:themeFill="background1"/>
          </w:tcPr>
          <w:p w14:paraId="789EA5C9" w14:textId="77777777" w:rsidR="006A6C31" w:rsidRPr="002D2E17" w:rsidRDefault="006A6C31" w:rsidP="00246C7A">
            <w:pPr>
              <w:pStyle w:val="Tabletextcentred"/>
              <w:keepNext/>
              <w:jc w:val="left"/>
            </w:pPr>
            <w:r>
              <w:t>FDG-PET</w:t>
            </w:r>
          </w:p>
        </w:tc>
        <w:tc>
          <w:tcPr>
            <w:tcW w:w="744" w:type="dxa"/>
            <w:shd w:val="clear" w:color="auto" w:fill="FFFFFF" w:themeFill="background1"/>
          </w:tcPr>
          <w:p w14:paraId="794B0162" w14:textId="77777777" w:rsidR="006A6C31" w:rsidRPr="002D2E17" w:rsidRDefault="006A6C31" w:rsidP="00246C7A">
            <w:pPr>
              <w:pStyle w:val="Tabletextcentred"/>
              <w:keepNext/>
            </w:pPr>
            <w:r>
              <w:t>21</w:t>
            </w:r>
          </w:p>
        </w:tc>
        <w:tc>
          <w:tcPr>
            <w:tcW w:w="744" w:type="dxa"/>
            <w:shd w:val="clear" w:color="auto" w:fill="FFFFFF" w:themeFill="background1"/>
          </w:tcPr>
          <w:p w14:paraId="4D81060F" w14:textId="77777777" w:rsidR="006A6C31" w:rsidRPr="002D2E17" w:rsidRDefault="006A6C31" w:rsidP="00246C7A">
            <w:pPr>
              <w:pStyle w:val="Tabletextcentred"/>
              <w:keepNext/>
            </w:pPr>
            <w:r>
              <w:t>14</w:t>
            </w:r>
          </w:p>
        </w:tc>
        <w:tc>
          <w:tcPr>
            <w:tcW w:w="744" w:type="dxa"/>
            <w:shd w:val="clear" w:color="auto" w:fill="FFFFFF" w:themeFill="background1"/>
          </w:tcPr>
          <w:p w14:paraId="69D25838" w14:textId="77777777" w:rsidR="006A6C31" w:rsidRPr="002D2E17" w:rsidRDefault="006A6C31" w:rsidP="00246C7A">
            <w:pPr>
              <w:pStyle w:val="Tabletextcentred"/>
              <w:keepNext/>
            </w:pPr>
            <w:r>
              <w:t>5</w:t>
            </w:r>
          </w:p>
        </w:tc>
        <w:tc>
          <w:tcPr>
            <w:tcW w:w="744" w:type="dxa"/>
            <w:shd w:val="clear" w:color="auto" w:fill="FFFFFF" w:themeFill="background1"/>
          </w:tcPr>
          <w:p w14:paraId="458F5654" w14:textId="77777777" w:rsidR="006A6C31" w:rsidRPr="002D2E17" w:rsidRDefault="006A6C31" w:rsidP="00246C7A">
            <w:pPr>
              <w:pStyle w:val="Tabletextcentred"/>
              <w:keepNext/>
            </w:pPr>
            <w:r>
              <w:t>4</w:t>
            </w:r>
          </w:p>
        </w:tc>
        <w:tc>
          <w:tcPr>
            <w:tcW w:w="1984" w:type="dxa"/>
            <w:shd w:val="clear" w:color="auto" w:fill="FFFFFF" w:themeFill="background1"/>
          </w:tcPr>
          <w:p w14:paraId="26EFA344" w14:textId="77777777" w:rsidR="006A6C31" w:rsidRPr="002D2E17" w:rsidRDefault="006A6C31" w:rsidP="00246C7A">
            <w:pPr>
              <w:pStyle w:val="Tabletextcentred"/>
              <w:keepNext/>
            </w:pPr>
            <w:r>
              <w:t>84% [64%-95%]</w:t>
            </w:r>
          </w:p>
        </w:tc>
        <w:tc>
          <w:tcPr>
            <w:tcW w:w="1985" w:type="dxa"/>
            <w:shd w:val="clear" w:color="auto" w:fill="FFFFFF" w:themeFill="background1"/>
          </w:tcPr>
          <w:p w14:paraId="52573DDF" w14:textId="77777777" w:rsidR="006A6C31" w:rsidRPr="002D2E17" w:rsidRDefault="006A6C31" w:rsidP="00246C7A">
            <w:pPr>
              <w:pStyle w:val="Tabletextcentred"/>
              <w:keepNext/>
            </w:pPr>
            <w:r>
              <w:t>74% [49%-91%]</w:t>
            </w:r>
          </w:p>
        </w:tc>
        <w:tc>
          <w:tcPr>
            <w:tcW w:w="3119" w:type="dxa"/>
            <w:shd w:val="clear" w:color="auto" w:fill="FFFFFF" w:themeFill="background1"/>
          </w:tcPr>
          <w:p w14:paraId="77ED6980" w14:textId="77777777" w:rsidR="006A6C31" w:rsidRDefault="006A6C31" w:rsidP="00246C7A">
            <w:pPr>
              <w:pStyle w:val="Tabletextcentred"/>
              <w:keepNext/>
              <w:jc w:val="left"/>
            </w:pPr>
            <w:r>
              <w:t>Cure (2014), p.175, Figure 2</w:t>
            </w:r>
          </w:p>
        </w:tc>
      </w:tr>
      <w:tr w:rsidR="006A6C31" w14:paraId="50765575" w14:textId="77777777" w:rsidTr="00FD1BA1">
        <w:trPr>
          <w:trHeight w:val="70"/>
        </w:trPr>
        <w:tc>
          <w:tcPr>
            <w:tcW w:w="1969" w:type="dxa"/>
            <w:shd w:val="clear" w:color="auto" w:fill="FFFFFF" w:themeFill="background1"/>
          </w:tcPr>
          <w:p w14:paraId="050BC162" w14:textId="77777777" w:rsidR="006A6C31" w:rsidRDefault="006A6C31" w:rsidP="00246C7A">
            <w:pPr>
              <w:pStyle w:val="Tabletextcentred"/>
              <w:keepNext/>
              <w:jc w:val="left"/>
            </w:pPr>
            <w:r>
              <w:t>Jobst (1998)</w:t>
            </w:r>
          </w:p>
        </w:tc>
        <w:tc>
          <w:tcPr>
            <w:tcW w:w="1134" w:type="dxa"/>
            <w:shd w:val="clear" w:color="auto" w:fill="FFFFFF" w:themeFill="background1"/>
          </w:tcPr>
          <w:p w14:paraId="2F068519" w14:textId="77777777" w:rsidR="006A6C31" w:rsidRDefault="006A6C31" w:rsidP="00246C7A">
            <w:pPr>
              <w:pStyle w:val="Tabletextcentred"/>
              <w:keepNext/>
              <w:jc w:val="left"/>
            </w:pPr>
            <w:r>
              <w:t>SPECT</w:t>
            </w:r>
          </w:p>
        </w:tc>
        <w:tc>
          <w:tcPr>
            <w:tcW w:w="744" w:type="dxa"/>
            <w:shd w:val="clear" w:color="auto" w:fill="FFFFFF" w:themeFill="background1"/>
          </w:tcPr>
          <w:p w14:paraId="282CE846" w14:textId="77777777" w:rsidR="006A6C31" w:rsidRDefault="006A6C31" w:rsidP="00246C7A">
            <w:pPr>
              <w:pStyle w:val="Tabletextcentred"/>
              <w:keepNext/>
            </w:pPr>
            <w:r>
              <w:t>65</w:t>
            </w:r>
          </w:p>
        </w:tc>
        <w:tc>
          <w:tcPr>
            <w:tcW w:w="744" w:type="dxa"/>
            <w:shd w:val="clear" w:color="auto" w:fill="FFFFFF" w:themeFill="background1"/>
          </w:tcPr>
          <w:p w14:paraId="5DD79740" w14:textId="77777777" w:rsidR="006A6C31" w:rsidRDefault="006A6C31" w:rsidP="00246C7A">
            <w:pPr>
              <w:pStyle w:val="Tabletextcentred"/>
              <w:keepNext/>
            </w:pPr>
            <w:r>
              <w:t>115</w:t>
            </w:r>
          </w:p>
        </w:tc>
        <w:tc>
          <w:tcPr>
            <w:tcW w:w="744" w:type="dxa"/>
            <w:shd w:val="clear" w:color="auto" w:fill="FFFFFF" w:themeFill="background1"/>
          </w:tcPr>
          <w:p w14:paraId="32D25994" w14:textId="77777777" w:rsidR="006A6C31" w:rsidRDefault="006A6C31" w:rsidP="00246C7A">
            <w:pPr>
              <w:pStyle w:val="Tabletextcentred"/>
              <w:keepNext/>
            </w:pPr>
            <w:r>
              <w:t>28</w:t>
            </w:r>
          </w:p>
        </w:tc>
        <w:tc>
          <w:tcPr>
            <w:tcW w:w="744" w:type="dxa"/>
            <w:shd w:val="clear" w:color="auto" w:fill="FFFFFF" w:themeFill="background1"/>
          </w:tcPr>
          <w:p w14:paraId="4AC348C0" w14:textId="77777777" w:rsidR="006A6C31" w:rsidRDefault="006A6C31" w:rsidP="00246C7A">
            <w:pPr>
              <w:pStyle w:val="Tabletextcentred"/>
              <w:keepNext/>
            </w:pPr>
            <w:r>
              <w:t>8</w:t>
            </w:r>
          </w:p>
        </w:tc>
        <w:tc>
          <w:tcPr>
            <w:tcW w:w="1984" w:type="dxa"/>
            <w:shd w:val="clear" w:color="auto" w:fill="FFFFFF" w:themeFill="background1"/>
          </w:tcPr>
          <w:p w14:paraId="40CABA41" w14:textId="77777777" w:rsidR="006A6C31" w:rsidRDefault="006A6C31" w:rsidP="00246C7A">
            <w:pPr>
              <w:pStyle w:val="Tabletextcentred"/>
              <w:keepNext/>
            </w:pPr>
            <w:r>
              <w:t>89% [80%-95%]</w:t>
            </w:r>
          </w:p>
        </w:tc>
        <w:tc>
          <w:tcPr>
            <w:tcW w:w="1985" w:type="dxa"/>
            <w:shd w:val="clear" w:color="auto" w:fill="FFFFFF" w:themeFill="background1"/>
          </w:tcPr>
          <w:p w14:paraId="3C58148C" w14:textId="77777777" w:rsidR="006A6C31" w:rsidRDefault="006A6C31" w:rsidP="00246C7A">
            <w:pPr>
              <w:pStyle w:val="Tabletextcentred"/>
              <w:keepNext/>
            </w:pPr>
            <w:r>
              <w:t>80% [71%-87%]</w:t>
            </w:r>
          </w:p>
        </w:tc>
        <w:tc>
          <w:tcPr>
            <w:tcW w:w="3119" w:type="dxa"/>
            <w:shd w:val="clear" w:color="auto" w:fill="FFFFFF" w:themeFill="background1"/>
          </w:tcPr>
          <w:p w14:paraId="1A191CE6" w14:textId="77777777" w:rsidR="006A6C31" w:rsidRDefault="006A6C31" w:rsidP="00246C7A">
            <w:pPr>
              <w:pStyle w:val="Tabletextcentred"/>
              <w:keepNext/>
              <w:jc w:val="left"/>
            </w:pPr>
            <w:r>
              <w:t>Jobst (1998), p.2867, Table 5-6</w:t>
            </w:r>
          </w:p>
        </w:tc>
      </w:tr>
    </w:tbl>
    <w:p w14:paraId="4E0B7B9F" w14:textId="04B92C60" w:rsidR="00104077" w:rsidRPr="00104077" w:rsidRDefault="00104077" w:rsidP="006A6C31">
      <w:pPr>
        <w:pStyle w:val="Tablefootnotes"/>
      </w:pPr>
      <w:r>
        <w:t xml:space="preserve">Abbreviations: CI, confidence interval; FN, false negative; FP, false positive; FDG, fluorodeoxyglucose; NR, not reported; SPECT, single-photon emission computed tomography; TN, true negative; TP, true positive. </w:t>
      </w:r>
    </w:p>
    <w:p w14:paraId="66B9424B" w14:textId="36C961C1" w:rsidR="006A6C31" w:rsidRDefault="006A6C31" w:rsidP="006A6C31">
      <w:pPr>
        <w:pStyle w:val="Tablefootnotes"/>
      </w:pPr>
      <w:r>
        <w:rPr>
          <w:vertAlign w:val="superscript"/>
        </w:rPr>
        <w:t xml:space="preserve">a </w:t>
      </w:r>
      <w:r>
        <w:t>Transaxial assessment</w:t>
      </w:r>
      <w:r w:rsidR="00550781">
        <w:t>.</w:t>
      </w:r>
    </w:p>
    <w:p w14:paraId="6C311A73" w14:textId="77777777" w:rsidR="006A6C31" w:rsidRPr="003A49D0" w:rsidRDefault="006A6C31" w:rsidP="006A6C31">
      <w:pPr>
        <w:pStyle w:val="Tablefootnotes"/>
      </w:pPr>
      <w:r>
        <w:rPr>
          <w:vertAlign w:val="superscript"/>
        </w:rPr>
        <w:t>b</w:t>
      </w:r>
      <w:r>
        <w:t xml:space="preserve"> Voxel-wise method (SSP).</w:t>
      </w:r>
    </w:p>
    <w:p w14:paraId="07C3E98F" w14:textId="620D8EF8" w:rsidR="006A6C31" w:rsidRPr="00AA2F14" w:rsidRDefault="006A6C31" w:rsidP="006A6C31">
      <w:pPr>
        <w:pStyle w:val="Tablefootnotes"/>
      </w:pPr>
      <w:r>
        <w:rPr>
          <w:vertAlign w:val="superscript"/>
        </w:rPr>
        <w:t xml:space="preserve">c </w:t>
      </w:r>
      <w:r>
        <w:t>Assuming that control subjects without autopsies (n=71) were truly negative for AD pathology.</w:t>
      </w:r>
    </w:p>
    <w:p w14:paraId="01E3CA40" w14:textId="77777777" w:rsidR="006A6C31" w:rsidRDefault="006A6C31" w:rsidP="006A6C31">
      <w:pPr>
        <w:pStyle w:val="Tablefootnotes"/>
      </w:pPr>
      <w:r>
        <w:rPr>
          <w:vertAlign w:val="superscript"/>
        </w:rPr>
        <w:t xml:space="preserve">e </w:t>
      </w:r>
      <w:r>
        <w:t>Diagnostic accuracy results when only a single pathology was present.</w:t>
      </w:r>
    </w:p>
    <w:p w14:paraId="1AD2AEAD" w14:textId="60DCD012" w:rsidR="006A6C31" w:rsidRPr="002E4836" w:rsidRDefault="006A6C31" w:rsidP="006A6C31">
      <w:pPr>
        <w:pStyle w:val="Tablefootnotes"/>
      </w:pPr>
      <w:r>
        <w:rPr>
          <w:vertAlign w:val="superscript"/>
        </w:rPr>
        <w:t xml:space="preserve">f  </w:t>
      </w:r>
      <w:r>
        <w:t>Diagnostic accuracy results when two pathologic diagnoses were present (AD + other).</w:t>
      </w:r>
    </w:p>
    <w:p w14:paraId="1F83E9E2" w14:textId="77777777" w:rsidR="006A6C31" w:rsidRDefault="006A6C31" w:rsidP="006A6C31">
      <w:pPr>
        <w:pStyle w:val="Tablefootnotes"/>
      </w:pPr>
      <w:r>
        <w:rPr>
          <w:vertAlign w:val="superscript"/>
        </w:rPr>
        <w:t>g</w:t>
      </w:r>
      <w:r>
        <w:t xml:space="preserve"> Includes 17 patient with and 23 patients without autopsy-confirmed diagnosis.</w:t>
      </w:r>
    </w:p>
    <w:p w14:paraId="22B05513" w14:textId="66B7F29E" w:rsidR="006A6C31" w:rsidRDefault="006A6C31" w:rsidP="006A6C31">
      <w:pPr>
        <w:pStyle w:val="Tablefootnotes"/>
      </w:pPr>
      <w:r>
        <w:rPr>
          <w:vertAlign w:val="superscript"/>
        </w:rPr>
        <w:t>h</w:t>
      </w:r>
      <w:r>
        <w:t xml:space="preserve"> Only 18 patients had histopathologic diagnoses</w:t>
      </w:r>
      <w:r w:rsidR="00550781">
        <w:t>.</w:t>
      </w:r>
      <w:r>
        <w:t xml:space="preserve"> </w:t>
      </w:r>
    </w:p>
    <w:p w14:paraId="613AAB0A" w14:textId="6617901C" w:rsidR="006A6C31" w:rsidRDefault="006A6C31" w:rsidP="006A6C31">
      <w:pPr>
        <w:pStyle w:val="Tablefootnotes"/>
        <w:sectPr w:rsidR="006A6C31" w:rsidSect="00246C7A">
          <w:footerReference w:type="default" r:id="rId36"/>
          <w:pgSz w:w="16838" w:h="11906" w:orient="landscape" w:code="9"/>
          <w:pgMar w:top="1440" w:right="1440" w:bottom="1440" w:left="1440" w:header="680" w:footer="1021" w:gutter="0"/>
          <w:cols w:space="708"/>
          <w:docGrid w:linePitch="360"/>
        </w:sectPr>
      </w:pPr>
    </w:p>
    <w:p w14:paraId="0F114AA1" w14:textId="77777777" w:rsidR="007F6723" w:rsidRDefault="007F6723" w:rsidP="007F6723">
      <w:pPr>
        <w:pStyle w:val="Heading1"/>
        <w:numPr>
          <w:ilvl w:val="0"/>
          <w:numId w:val="9"/>
        </w:numPr>
        <w:ind w:left="3402" w:hanging="3402"/>
      </w:pPr>
      <w:bookmarkStart w:id="348" w:name="_Toc406172462"/>
      <w:bookmarkStart w:id="349" w:name="_Ref406415066"/>
      <w:bookmarkStart w:id="350" w:name="_Ref406415102"/>
      <w:bookmarkStart w:id="351" w:name="_Toc408845196"/>
      <w:r>
        <w:lastRenderedPageBreak/>
        <w:t>Additional economic information</w:t>
      </w:r>
      <w:bookmarkEnd w:id="348"/>
      <w:bookmarkEnd w:id="349"/>
      <w:bookmarkEnd w:id="350"/>
      <w:bookmarkEnd w:id="351"/>
    </w:p>
    <w:p w14:paraId="2568C5DA" w14:textId="2FF66F5F" w:rsidR="007F6723" w:rsidRPr="00C620A9" w:rsidRDefault="000B15C3" w:rsidP="000B15C3">
      <w:pPr>
        <w:pStyle w:val="Caption"/>
      </w:pPr>
      <w:r>
        <w:t>Table A4.1</w:t>
      </w:r>
      <w:r>
        <w:tab/>
      </w:r>
      <w:r w:rsidR="007F6723" w:rsidRPr="00C620A9">
        <w:t>Summary of CEAs for AD identified in Green et al (2011)</w:t>
      </w:r>
    </w:p>
    <w:tbl>
      <w:tblPr>
        <w:tblStyle w:val="TableGrid"/>
        <w:tblW w:w="4748" w:type="pct"/>
        <w:tblInd w:w="704" w:type="dxa"/>
        <w:tblLook w:val="04A0" w:firstRow="1" w:lastRow="0" w:firstColumn="1" w:lastColumn="0" w:noHBand="0" w:noVBand="1"/>
        <w:tblCaption w:val="Summary of CEAs for AD identified in Green et al (2011)"/>
        <w:tblDescription w:val="A summary of CEAs including author, year of publication, country, study type, model used and evaluation framework"/>
      </w:tblPr>
      <w:tblGrid>
        <w:gridCol w:w="1873"/>
        <w:gridCol w:w="861"/>
        <w:gridCol w:w="1298"/>
        <w:gridCol w:w="4466"/>
        <w:gridCol w:w="2337"/>
        <w:gridCol w:w="2625"/>
      </w:tblGrid>
      <w:tr w:rsidR="007F6723" w14:paraId="6F29875D" w14:textId="77777777" w:rsidTr="00181CF8">
        <w:trPr>
          <w:tblHeader/>
        </w:trPr>
        <w:tc>
          <w:tcPr>
            <w:tcW w:w="696" w:type="pct"/>
          </w:tcPr>
          <w:p w14:paraId="3F7AFAFC" w14:textId="77777777" w:rsidR="007F6723" w:rsidRDefault="007F6723" w:rsidP="00181CF8">
            <w:pPr>
              <w:pStyle w:val="Tabletextboldleft"/>
            </w:pPr>
            <w:r>
              <w:t>Author</w:t>
            </w:r>
          </w:p>
        </w:tc>
        <w:tc>
          <w:tcPr>
            <w:tcW w:w="320" w:type="pct"/>
          </w:tcPr>
          <w:p w14:paraId="6BFB77A0" w14:textId="77777777" w:rsidR="007F6723" w:rsidRDefault="007F6723" w:rsidP="00181CF8">
            <w:pPr>
              <w:pStyle w:val="Tabletextboldleft"/>
              <w:jc w:val="center"/>
            </w:pPr>
            <w:r>
              <w:t>Year</w:t>
            </w:r>
          </w:p>
        </w:tc>
        <w:tc>
          <w:tcPr>
            <w:tcW w:w="482" w:type="pct"/>
          </w:tcPr>
          <w:p w14:paraId="29292C6A" w14:textId="77777777" w:rsidR="007F6723" w:rsidRDefault="007F6723" w:rsidP="00181CF8">
            <w:pPr>
              <w:pStyle w:val="Tabletextboldleft"/>
              <w:jc w:val="center"/>
            </w:pPr>
            <w:r>
              <w:t>Country</w:t>
            </w:r>
          </w:p>
        </w:tc>
        <w:tc>
          <w:tcPr>
            <w:tcW w:w="1659" w:type="pct"/>
          </w:tcPr>
          <w:p w14:paraId="2B999894" w14:textId="77777777" w:rsidR="007F6723" w:rsidRDefault="007F6723" w:rsidP="00181CF8">
            <w:pPr>
              <w:pStyle w:val="Tabletextboldleft"/>
              <w:jc w:val="center"/>
            </w:pPr>
            <w:r>
              <w:t>Study type/Intervention objective</w:t>
            </w:r>
          </w:p>
        </w:tc>
        <w:tc>
          <w:tcPr>
            <w:tcW w:w="868" w:type="pct"/>
          </w:tcPr>
          <w:p w14:paraId="3E7F36D7" w14:textId="77777777" w:rsidR="007F6723" w:rsidRDefault="007F6723" w:rsidP="00181CF8">
            <w:pPr>
              <w:pStyle w:val="Tabletextboldleft"/>
              <w:jc w:val="center"/>
            </w:pPr>
            <w:r>
              <w:t>Model used</w:t>
            </w:r>
          </w:p>
        </w:tc>
        <w:tc>
          <w:tcPr>
            <w:tcW w:w="975" w:type="pct"/>
          </w:tcPr>
          <w:p w14:paraId="31679E1D" w14:textId="77777777" w:rsidR="007F6723" w:rsidRDefault="007F6723" w:rsidP="00181CF8">
            <w:pPr>
              <w:pStyle w:val="Tabletextboldleft"/>
              <w:jc w:val="center"/>
            </w:pPr>
            <w:r>
              <w:t>Evaluation framework</w:t>
            </w:r>
          </w:p>
        </w:tc>
      </w:tr>
      <w:tr w:rsidR="007F6723" w14:paraId="17DF3AA5" w14:textId="77777777" w:rsidTr="00181CF8">
        <w:tc>
          <w:tcPr>
            <w:tcW w:w="696" w:type="pct"/>
          </w:tcPr>
          <w:p w14:paraId="273AE9E8" w14:textId="77777777" w:rsidR="007F6723" w:rsidRDefault="007F6723" w:rsidP="00181CF8">
            <w:pPr>
              <w:pStyle w:val="Tabletextcentred"/>
              <w:jc w:val="left"/>
            </w:pPr>
            <w:r>
              <w:rPr>
                <w:color w:val="000000"/>
              </w:rPr>
              <w:t>Weimer &amp; Sager</w:t>
            </w:r>
          </w:p>
        </w:tc>
        <w:tc>
          <w:tcPr>
            <w:tcW w:w="320" w:type="pct"/>
          </w:tcPr>
          <w:p w14:paraId="1A2C2B25" w14:textId="77777777" w:rsidR="007F6723" w:rsidRPr="002D465E" w:rsidRDefault="007F6723" w:rsidP="00181CF8">
            <w:pPr>
              <w:pStyle w:val="Tabletextcentred"/>
              <w:jc w:val="left"/>
            </w:pPr>
            <w:r>
              <w:rPr>
                <w:color w:val="000000"/>
              </w:rPr>
              <w:t>2009</w:t>
            </w:r>
          </w:p>
        </w:tc>
        <w:tc>
          <w:tcPr>
            <w:tcW w:w="482" w:type="pct"/>
          </w:tcPr>
          <w:p w14:paraId="2B7FF752" w14:textId="77777777" w:rsidR="007F6723" w:rsidRPr="002D465E" w:rsidRDefault="007F6723" w:rsidP="00181CF8">
            <w:pPr>
              <w:pStyle w:val="Tabletextcentred"/>
              <w:jc w:val="left"/>
            </w:pPr>
            <w:r>
              <w:rPr>
                <w:color w:val="000000"/>
              </w:rPr>
              <w:t>USA</w:t>
            </w:r>
          </w:p>
        </w:tc>
        <w:tc>
          <w:tcPr>
            <w:tcW w:w="1659" w:type="pct"/>
          </w:tcPr>
          <w:p w14:paraId="673FC633" w14:textId="77777777" w:rsidR="007F6723" w:rsidRPr="00387119" w:rsidRDefault="007F6723" w:rsidP="00181CF8">
            <w:pPr>
              <w:pStyle w:val="Tabletextcentred"/>
              <w:jc w:val="left"/>
            </w:pPr>
            <w:r>
              <w:rPr>
                <w:color w:val="000000"/>
              </w:rPr>
              <w:t>CBA/ screening strategy</w:t>
            </w:r>
          </w:p>
        </w:tc>
        <w:tc>
          <w:tcPr>
            <w:tcW w:w="868" w:type="pct"/>
          </w:tcPr>
          <w:p w14:paraId="14A38253" w14:textId="77777777" w:rsidR="007F6723" w:rsidRDefault="007F6723" w:rsidP="00181CF8">
            <w:pPr>
              <w:pStyle w:val="Tabletextcentred"/>
              <w:jc w:val="left"/>
            </w:pPr>
            <w:r>
              <w:rPr>
                <w:color w:val="000000"/>
              </w:rPr>
              <w:t>Study-specific</w:t>
            </w:r>
          </w:p>
        </w:tc>
        <w:tc>
          <w:tcPr>
            <w:tcW w:w="975" w:type="pct"/>
          </w:tcPr>
          <w:p w14:paraId="5FCB5DED" w14:textId="77777777" w:rsidR="007F6723" w:rsidRDefault="007F6723" w:rsidP="00181CF8">
            <w:pPr>
              <w:pStyle w:val="Tabletextcentred"/>
              <w:jc w:val="left"/>
            </w:pPr>
            <w:r>
              <w:rPr>
                <w:color w:val="000000"/>
              </w:rPr>
              <w:t>Cohort simulation</w:t>
            </w:r>
          </w:p>
        </w:tc>
      </w:tr>
      <w:tr w:rsidR="007F6723" w14:paraId="315D15DF" w14:textId="77777777" w:rsidTr="00181CF8">
        <w:tc>
          <w:tcPr>
            <w:tcW w:w="696" w:type="pct"/>
          </w:tcPr>
          <w:p w14:paraId="69D994D8" w14:textId="77777777" w:rsidR="007F6723" w:rsidRDefault="007F6723" w:rsidP="00181CF8">
            <w:pPr>
              <w:pStyle w:val="Tabletextcentred"/>
              <w:jc w:val="left"/>
            </w:pPr>
            <w:r>
              <w:rPr>
                <w:color w:val="000000"/>
              </w:rPr>
              <w:t>López-Bastida et al</w:t>
            </w:r>
          </w:p>
        </w:tc>
        <w:tc>
          <w:tcPr>
            <w:tcW w:w="320" w:type="pct"/>
          </w:tcPr>
          <w:p w14:paraId="5B30188E" w14:textId="77777777" w:rsidR="007F6723" w:rsidRPr="002D465E" w:rsidRDefault="007F6723" w:rsidP="00181CF8">
            <w:pPr>
              <w:pStyle w:val="Tabletextcentred"/>
              <w:jc w:val="left"/>
            </w:pPr>
            <w:r>
              <w:rPr>
                <w:color w:val="000000"/>
              </w:rPr>
              <w:t>2009</w:t>
            </w:r>
          </w:p>
        </w:tc>
        <w:tc>
          <w:tcPr>
            <w:tcW w:w="482" w:type="pct"/>
          </w:tcPr>
          <w:p w14:paraId="5F2AE39D" w14:textId="77777777" w:rsidR="007F6723" w:rsidRPr="002D465E" w:rsidRDefault="007F6723" w:rsidP="00181CF8">
            <w:pPr>
              <w:pStyle w:val="Tabletextcentred"/>
              <w:jc w:val="left"/>
            </w:pPr>
            <w:r>
              <w:rPr>
                <w:color w:val="000000"/>
              </w:rPr>
              <w:t>Spain</w:t>
            </w:r>
          </w:p>
        </w:tc>
        <w:tc>
          <w:tcPr>
            <w:tcW w:w="1659" w:type="pct"/>
          </w:tcPr>
          <w:p w14:paraId="0B6AEAAF" w14:textId="77777777" w:rsidR="007F6723" w:rsidRPr="00387119" w:rsidRDefault="007F6723" w:rsidP="00181CF8">
            <w:pPr>
              <w:pStyle w:val="Tabletextcentred"/>
              <w:jc w:val="left"/>
            </w:pPr>
            <w:r>
              <w:rPr>
                <w:color w:val="000000"/>
              </w:rPr>
              <w:t xml:space="preserve">CEA / donepezil for mild-moderate AD </w:t>
            </w:r>
          </w:p>
        </w:tc>
        <w:tc>
          <w:tcPr>
            <w:tcW w:w="868" w:type="pct"/>
          </w:tcPr>
          <w:p w14:paraId="1FB9FD97" w14:textId="77777777" w:rsidR="007F6723" w:rsidRDefault="007F6723" w:rsidP="00181CF8">
            <w:pPr>
              <w:pStyle w:val="Tabletextcentred"/>
              <w:jc w:val="left"/>
            </w:pPr>
            <w:r>
              <w:rPr>
                <w:color w:val="000000"/>
              </w:rPr>
              <w:t>CERAD-CDR model</w:t>
            </w:r>
          </w:p>
        </w:tc>
        <w:tc>
          <w:tcPr>
            <w:tcW w:w="975" w:type="pct"/>
          </w:tcPr>
          <w:p w14:paraId="3D423E4E" w14:textId="77777777" w:rsidR="007F6723" w:rsidRDefault="007F6723" w:rsidP="00181CF8">
            <w:pPr>
              <w:pStyle w:val="Tabletextcentred"/>
              <w:jc w:val="left"/>
            </w:pPr>
            <w:r>
              <w:rPr>
                <w:color w:val="000000"/>
              </w:rPr>
              <w:t>Markov cohort model</w:t>
            </w:r>
          </w:p>
        </w:tc>
      </w:tr>
      <w:tr w:rsidR="007F6723" w14:paraId="20FE2425" w14:textId="77777777" w:rsidTr="00181CF8">
        <w:tc>
          <w:tcPr>
            <w:tcW w:w="696" w:type="pct"/>
          </w:tcPr>
          <w:p w14:paraId="5B1CD630" w14:textId="77777777" w:rsidR="007F6723" w:rsidRDefault="007F6723" w:rsidP="00181CF8">
            <w:pPr>
              <w:pStyle w:val="Tabletextcentred"/>
              <w:jc w:val="left"/>
            </w:pPr>
            <w:r>
              <w:rPr>
                <w:color w:val="000000"/>
              </w:rPr>
              <w:t>Kirbach et al</w:t>
            </w:r>
          </w:p>
        </w:tc>
        <w:tc>
          <w:tcPr>
            <w:tcW w:w="320" w:type="pct"/>
          </w:tcPr>
          <w:p w14:paraId="7C51E8E5" w14:textId="77777777" w:rsidR="007F6723" w:rsidRPr="002D465E" w:rsidRDefault="007F6723" w:rsidP="00181CF8">
            <w:pPr>
              <w:pStyle w:val="Tabletextcentred"/>
              <w:jc w:val="left"/>
            </w:pPr>
            <w:r>
              <w:rPr>
                <w:color w:val="000000"/>
              </w:rPr>
              <w:t>2008</w:t>
            </w:r>
          </w:p>
        </w:tc>
        <w:tc>
          <w:tcPr>
            <w:tcW w:w="482" w:type="pct"/>
          </w:tcPr>
          <w:p w14:paraId="6D6083E3" w14:textId="77777777" w:rsidR="007F6723" w:rsidRPr="002D465E" w:rsidRDefault="007F6723" w:rsidP="00181CF8">
            <w:pPr>
              <w:pStyle w:val="Tabletextcentred"/>
              <w:jc w:val="left"/>
            </w:pPr>
            <w:r>
              <w:rPr>
                <w:color w:val="000000"/>
              </w:rPr>
              <w:t>USA</w:t>
            </w:r>
          </w:p>
        </w:tc>
        <w:tc>
          <w:tcPr>
            <w:tcW w:w="1659" w:type="pct"/>
          </w:tcPr>
          <w:p w14:paraId="2AB08E7B" w14:textId="77777777" w:rsidR="007F6723" w:rsidRPr="00387119" w:rsidRDefault="007F6723" w:rsidP="00181CF8">
            <w:pPr>
              <w:pStyle w:val="Tabletextcentred"/>
              <w:jc w:val="left"/>
            </w:pPr>
            <w:r>
              <w:rPr>
                <w:color w:val="000000"/>
              </w:rPr>
              <w:t>CEA / olanzapine for psychosis</w:t>
            </w:r>
          </w:p>
        </w:tc>
        <w:tc>
          <w:tcPr>
            <w:tcW w:w="868" w:type="pct"/>
          </w:tcPr>
          <w:p w14:paraId="5256D7A1" w14:textId="77777777" w:rsidR="007F6723" w:rsidRDefault="007F6723" w:rsidP="00181CF8">
            <w:pPr>
              <w:pStyle w:val="Tabletextcentred"/>
              <w:jc w:val="left"/>
            </w:pPr>
            <w:r>
              <w:rPr>
                <w:color w:val="000000"/>
              </w:rPr>
              <w:t>CERAD-CDR model</w:t>
            </w:r>
          </w:p>
        </w:tc>
        <w:tc>
          <w:tcPr>
            <w:tcW w:w="975" w:type="pct"/>
          </w:tcPr>
          <w:p w14:paraId="689B183F" w14:textId="77777777" w:rsidR="007F6723" w:rsidRDefault="007F6723" w:rsidP="00181CF8">
            <w:pPr>
              <w:pStyle w:val="Tabletextcentred"/>
              <w:jc w:val="left"/>
            </w:pPr>
            <w:r>
              <w:rPr>
                <w:color w:val="000000"/>
              </w:rPr>
              <w:t>Markov cohort model</w:t>
            </w:r>
          </w:p>
        </w:tc>
      </w:tr>
      <w:tr w:rsidR="007F6723" w14:paraId="5DED105E" w14:textId="77777777" w:rsidTr="00181CF8">
        <w:tc>
          <w:tcPr>
            <w:tcW w:w="696" w:type="pct"/>
          </w:tcPr>
          <w:p w14:paraId="50BD7190" w14:textId="77777777" w:rsidR="007F6723" w:rsidRDefault="007F6723" w:rsidP="00181CF8">
            <w:pPr>
              <w:pStyle w:val="Tabletextcentred"/>
              <w:jc w:val="left"/>
            </w:pPr>
            <w:r>
              <w:rPr>
                <w:color w:val="000000"/>
              </w:rPr>
              <w:t>Fuh &amp;Wang</w:t>
            </w:r>
          </w:p>
        </w:tc>
        <w:tc>
          <w:tcPr>
            <w:tcW w:w="320" w:type="pct"/>
          </w:tcPr>
          <w:p w14:paraId="0EBA7E27" w14:textId="77777777" w:rsidR="007F6723" w:rsidRPr="002D465E" w:rsidRDefault="007F6723" w:rsidP="00181CF8">
            <w:pPr>
              <w:pStyle w:val="Tabletextcentred"/>
              <w:jc w:val="left"/>
            </w:pPr>
            <w:r>
              <w:rPr>
                <w:color w:val="000000"/>
              </w:rPr>
              <w:t>2008</w:t>
            </w:r>
          </w:p>
        </w:tc>
        <w:tc>
          <w:tcPr>
            <w:tcW w:w="482" w:type="pct"/>
          </w:tcPr>
          <w:p w14:paraId="238653AB" w14:textId="77777777" w:rsidR="007F6723" w:rsidRPr="002D465E" w:rsidRDefault="007F6723" w:rsidP="00181CF8">
            <w:pPr>
              <w:pStyle w:val="Tabletextcentred"/>
              <w:jc w:val="left"/>
            </w:pPr>
            <w:r>
              <w:rPr>
                <w:color w:val="000000"/>
              </w:rPr>
              <w:t>Taiwan</w:t>
            </w:r>
          </w:p>
        </w:tc>
        <w:tc>
          <w:tcPr>
            <w:tcW w:w="1659" w:type="pct"/>
          </w:tcPr>
          <w:p w14:paraId="7344951E" w14:textId="77777777" w:rsidR="007F6723" w:rsidRPr="00387119" w:rsidRDefault="007F6723" w:rsidP="00181CF8">
            <w:pPr>
              <w:pStyle w:val="Tabletextcentred"/>
              <w:jc w:val="left"/>
            </w:pPr>
            <w:r>
              <w:rPr>
                <w:color w:val="000000"/>
              </w:rPr>
              <w:t>CEA / donepezil for mild-moderate AD</w:t>
            </w:r>
          </w:p>
        </w:tc>
        <w:tc>
          <w:tcPr>
            <w:tcW w:w="868" w:type="pct"/>
          </w:tcPr>
          <w:p w14:paraId="2919A379" w14:textId="77777777" w:rsidR="007F6723" w:rsidRDefault="007F6723" w:rsidP="00181CF8">
            <w:pPr>
              <w:pStyle w:val="Tabletextcentred"/>
              <w:jc w:val="left"/>
            </w:pPr>
            <w:r>
              <w:rPr>
                <w:color w:val="000000"/>
              </w:rPr>
              <w:t>CERAD-CDR model</w:t>
            </w:r>
          </w:p>
        </w:tc>
        <w:tc>
          <w:tcPr>
            <w:tcW w:w="975" w:type="pct"/>
          </w:tcPr>
          <w:p w14:paraId="57A1314C" w14:textId="77777777" w:rsidR="007F6723" w:rsidRDefault="007F6723" w:rsidP="00181CF8">
            <w:pPr>
              <w:pStyle w:val="Tabletextcentred"/>
              <w:jc w:val="left"/>
            </w:pPr>
            <w:r>
              <w:rPr>
                <w:color w:val="000000"/>
              </w:rPr>
              <w:t>Markov cohort model</w:t>
            </w:r>
          </w:p>
        </w:tc>
      </w:tr>
      <w:tr w:rsidR="007F6723" w14:paraId="02F1E2C5" w14:textId="77777777" w:rsidTr="00181CF8">
        <w:tc>
          <w:tcPr>
            <w:tcW w:w="696" w:type="pct"/>
          </w:tcPr>
          <w:p w14:paraId="6A99C53B" w14:textId="77777777" w:rsidR="007F6723" w:rsidRDefault="007F6723" w:rsidP="00181CF8">
            <w:pPr>
              <w:pStyle w:val="Tabletextcentred"/>
              <w:jc w:val="left"/>
            </w:pPr>
            <w:r>
              <w:rPr>
                <w:color w:val="000000"/>
              </w:rPr>
              <w:t>Wattmo et al</w:t>
            </w:r>
          </w:p>
        </w:tc>
        <w:tc>
          <w:tcPr>
            <w:tcW w:w="320" w:type="pct"/>
          </w:tcPr>
          <w:p w14:paraId="28305588" w14:textId="77777777" w:rsidR="007F6723" w:rsidRPr="002D465E" w:rsidRDefault="007F6723" w:rsidP="00181CF8">
            <w:pPr>
              <w:pStyle w:val="Tabletextcentred"/>
              <w:jc w:val="left"/>
            </w:pPr>
            <w:r>
              <w:rPr>
                <w:color w:val="000000"/>
              </w:rPr>
              <w:t>2008</w:t>
            </w:r>
          </w:p>
        </w:tc>
        <w:tc>
          <w:tcPr>
            <w:tcW w:w="482" w:type="pct"/>
          </w:tcPr>
          <w:p w14:paraId="614E07DD" w14:textId="77777777" w:rsidR="007F6723" w:rsidRPr="002D465E" w:rsidRDefault="007F6723" w:rsidP="00181CF8">
            <w:pPr>
              <w:pStyle w:val="Tabletextcentred"/>
              <w:jc w:val="left"/>
            </w:pPr>
            <w:r>
              <w:rPr>
                <w:color w:val="000000"/>
              </w:rPr>
              <w:t>Sweden</w:t>
            </w:r>
          </w:p>
        </w:tc>
        <w:tc>
          <w:tcPr>
            <w:tcW w:w="1659" w:type="pct"/>
          </w:tcPr>
          <w:p w14:paraId="099091BD" w14:textId="3E148B4F" w:rsidR="007F6723" w:rsidRPr="00387119" w:rsidRDefault="007F6723" w:rsidP="00181CF8">
            <w:pPr>
              <w:pStyle w:val="Tabletextcentred"/>
              <w:jc w:val="left"/>
            </w:pPr>
            <w:r>
              <w:rPr>
                <w:color w:val="000000"/>
              </w:rPr>
              <w:t>Statistical / long</w:t>
            </w:r>
            <w:r w:rsidR="00617B67">
              <w:rPr>
                <w:color w:val="000000"/>
              </w:rPr>
              <w:t>-</w:t>
            </w:r>
            <w:r>
              <w:rPr>
                <w:color w:val="000000"/>
              </w:rPr>
              <w:t>term donepezil for mild-moderate AD</w:t>
            </w:r>
          </w:p>
        </w:tc>
        <w:tc>
          <w:tcPr>
            <w:tcW w:w="868" w:type="pct"/>
          </w:tcPr>
          <w:p w14:paraId="0A33BB15" w14:textId="77777777" w:rsidR="007F6723" w:rsidRDefault="007F6723" w:rsidP="00181CF8">
            <w:pPr>
              <w:pStyle w:val="Tabletextcentred"/>
              <w:jc w:val="left"/>
            </w:pPr>
            <w:r>
              <w:rPr>
                <w:color w:val="000000"/>
              </w:rPr>
              <w:t>Predictors ADAS-cog model</w:t>
            </w:r>
          </w:p>
        </w:tc>
        <w:tc>
          <w:tcPr>
            <w:tcW w:w="975" w:type="pct"/>
          </w:tcPr>
          <w:p w14:paraId="7D9CC9AD" w14:textId="77777777" w:rsidR="007F6723" w:rsidRDefault="007F6723" w:rsidP="00181CF8">
            <w:pPr>
              <w:pStyle w:val="Tabletextcentred"/>
              <w:jc w:val="left"/>
            </w:pPr>
            <w:r>
              <w:rPr>
                <w:color w:val="000000"/>
              </w:rPr>
              <w:t>Regression-based analysis using cohort data</w:t>
            </w:r>
          </w:p>
        </w:tc>
      </w:tr>
      <w:tr w:rsidR="007F6723" w14:paraId="7A744598" w14:textId="77777777" w:rsidTr="00181CF8">
        <w:tc>
          <w:tcPr>
            <w:tcW w:w="696" w:type="pct"/>
          </w:tcPr>
          <w:p w14:paraId="149548DB" w14:textId="77777777" w:rsidR="007F6723" w:rsidRDefault="007F6723" w:rsidP="00181CF8">
            <w:pPr>
              <w:pStyle w:val="Tabletextcentred"/>
              <w:jc w:val="left"/>
            </w:pPr>
            <w:r>
              <w:rPr>
                <w:color w:val="000000"/>
              </w:rPr>
              <w:t>Teipel et al</w:t>
            </w:r>
          </w:p>
        </w:tc>
        <w:tc>
          <w:tcPr>
            <w:tcW w:w="320" w:type="pct"/>
          </w:tcPr>
          <w:p w14:paraId="3E18B042" w14:textId="77777777" w:rsidR="007F6723" w:rsidRPr="002D465E" w:rsidRDefault="007F6723" w:rsidP="00181CF8">
            <w:pPr>
              <w:pStyle w:val="Tabletextcentred"/>
              <w:jc w:val="left"/>
            </w:pPr>
            <w:r>
              <w:rPr>
                <w:color w:val="000000"/>
              </w:rPr>
              <w:t>2007</w:t>
            </w:r>
          </w:p>
        </w:tc>
        <w:tc>
          <w:tcPr>
            <w:tcW w:w="482" w:type="pct"/>
          </w:tcPr>
          <w:p w14:paraId="542EB562" w14:textId="77777777" w:rsidR="007F6723" w:rsidRPr="002D465E" w:rsidRDefault="007F6723" w:rsidP="00181CF8">
            <w:pPr>
              <w:pStyle w:val="Tabletextcentred"/>
              <w:jc w:val="left"/>
            </w:pPr>
            <w:r>
              <w:rPr>
                <w:color w:val="000000"/>
              </w:rPr>
              <w:t>Germany</w:t>
            </w:r>
          </w:p>
        </w:tc>
        <w:tc>
          <w:tcPr>
            <w:tcW w:w="1659" w:type="pct"/>
          </w:tcPr>
          <w:p w14:paraId="1EF14F8A" w14:textId="77777777" w:rsidR="007F6723" w:rsidRPr="00387119" w:rsidRDefault="007F6723" w:rsidP="00181CF8">
            <w:pPr>
              <w:pStyle w:val="Tabletextcentred"/>
              <w:jc w:val="left"/>
            </w:pPr>
            <w:r>
              <w:rPr>
                <w:color w:val="000000"/>
              </w:rPr>
              <w:t>CEA / donepezil for mild-moderate AD</w:t>
            </w:r>
          </w:p>
        </w:tc>
        <w:tc>
          <w:tcPr>
            <w:tcW w:w="868" w:type="pct"/>
          </w:tcPr>
          <w:p w14:paraId="2A8519EE" w14:textId="77777777" w:rsidR="007F6723" w:rsidRPr="00387119" w:rsidRDefault="007F6723" w:rsidP="00181CF8">
            <w:pPr>
              <w:pStyle w:val="Tabletextcentred"/>
              <w:jc w:val="left"/>
            </w:pPr>
            <w:r>
              <w:rPr>
                <w:color w:val="000000"/>
              </w:rPr>
              <w:t>Kungsholmen-MMSE model</w:t>
            </w:r>
          </w:p>
        </w:tc>
        <w:tc>
          <w:tcPr>
            <w:tcW w:w="975" w:type="pct"/>
          </w:tcPr>
          <w:p w14:paraId="4F408D29" w14:textId="77777777" w:rsidR="007F6723" w:rsidRPr="00387119" w:rsidRDefault="007F6723" w:rsidP="00181CF8">
            <w:pPr>
              <w:pStyle w:val="Tabletextcentred"/>
              <w:jc w:val="left"/>
            </w:pPr>
            <w:r>
              <w:rPr>
                <w:color w:val="000000"/>
              </w:rPr>
              <w:t>Markov cohort model</w:t>
            </w:r>
          </w:p>
        </w:tc>
      </w:tr>
      <w:tr w:rsidR="007F6723" w14:paraId="4365FD82" w14:textId="77777777" w:rsidTr="00181CF8">
        <w:tc>
          <w:tcPr>
            <w:tcW w:w="696" w:type="pct"/>
          </w:tcPr>
          <w:p w14:paraId="599EC10B" w14:textId="77777777" w:rsidR="007F6723" w:rsidRDefault="007F6723" w:rsidP="00181CF8">
            <w:pPr>
              <w:pStyle w:val="Tabletextcentred"/>
              <w:jc w:val="left"/>
            </w:pPr>
            <w:r>
              <w:rPr>
                <w:color w:val="000000"/>
              </w:rPr>
              <w:t>Getsios et al</w:t>
            </w:r>
          </w:p>
        </w:tc>
        <w:tc>
          <w:tcPr>
            <w:tcW w:w="320" w:type="pct"/>
          </w:tcPr>
          <w:p w14:paraId="3A60A155" w14:textId="77777777" w:rsidR="007F6723" w:rsidRPr="002D465E" w:rsidRDefault="007F6723" w:rsidP="00181CF8">
            <w:pPr>
              <w:pStyle w:val="Tabletextcentred"/>
              <w:jc w:val="left"/>
            </w:pPr>
            <w:r>
              <w:rPr>
                <w:color w:val="000000"/>
              </w:rPr>
              <w:t>2007</w:t>
            </w:r>
          </w:p>
        </w:tc>
        <w:tc>
          <w:tcPr>
            <w:tcW w:w="482" w:type="pct"/>
          </w:tcPr>
          <w:p w14:paraId="281A07A8" w14:textId="77777777" w:rsidR="007F6723" w:rsidRPr="002D465E" w:rsidRDefault="007F6723" w:rsidP="00181CF8">
            <w:pPr>
              <w:pStyle w:val="Tabletextcentred"/>
              <w:jc w:val="left"/>
            </w:pPr>
            <w:r>
              <w:rPr>
                <w:color w:val="000000"/>
              </w:rPr>
              <w:t>UK</w:t>
            </w:r>
          </w:p>
        </w:tc>
        <w:tc>
          <w:tcPr>
            <w:tcW w:w="1659" w:type="pct"/>
          </w:tcPr>
          <w:p w14:paraId="09A48057" w14:textId="77777777" w:rsidR="007F6723" w:rsidRPr="00387119" w:rsidRDefault="007F6723" w:rsidP="00181CF8">
            <w:pPr>
              <w:pStyle w:val="Tabletextcentred"/>
              <w:jc w:val="left"/>
            </w:pPr>
            <w:r>
              <w:rPr>
                <w:color w:val="000000"/>
              </w:rPr>
              <w:t>CEA / galantamine for mild-moderate AD</w:t>
            </w:r>
          </w:p>
        </w:tc>
        <w:tc>
          <w:tcPr>
            <w:tcW w:w="868" w:type="pct"/>
          </w:tcPr>
          <w:p w14:paraId="06DC47F3" w14:textId="77777777" w:rsidR="007F6723" w:rsidRDefault="007F6723" w:rsidP="00181CF8">
            <w:pPr>
              <w:pStyle w:val="Tabletextcentred"/>
              <w:jc w:val="left"/>
            </w:pPr>
            <w:r>
              <w:rPr>
                <w:color w:val="000000"/>
              </w:rPr>
              <w:t>AHEAD model</w:t>
            </w:r>
          </w:p>
        </w:tc>
        <w:tc>
          <w:tcPr>
            <w:tcW w:w="975" w:type="pct"/>
          </w:tcPr>
          <w:p w14:paraId="4BC0ED8C" w14:textId="77777777" w:rsidR="007F6723" w:rsidRDefault="007F6723" w:rsidP="00181CF8">
            <w:pPr>
              <w:pStyle w:val="Tabletextcentred"/>
              <w:jc w:val="left"/>
            </w:pPr>
            <w:r>
              <w:rPr>
                <w:color w:val="000000"/>
              </w:rPr>
              <w:t xml:space="preserve">Markov individual-based model </w:t>
            </w:r>
          </w:p>
        </w:tc>
      </w:tr>
      <w:tr w:rsidR="007F6723" w14:paraId="381550BC" w14:textId="77777777" w:rsidTr="00181CF8">
        <w:tc>
          <w:tcPr>
            <w:tcW w:w="696" w:type="pct"/>
          </w:tcPr>
          <w:p w14:paraId="3ABB4269" w14:textId="77777777" w:rsidR="007F6723" w:rsidRPr="001762AE" w:rsidRDefault="007F6723" w:rsidP="00181CF8">
            <w:pPr>
              <w:pStyle w:val="Tabletextcentred"/>
              <w:jc w:val="left"/>
            </w:pPr>
            <w:r>
              <w:rPr>
                <w:color w:val="000000"/>
              </w:rPr>
              <w:t>Weyker et al</w:t>
            </w:r>
          </w:p>
        </w:tc>
        <w:tc>
          <w:tcPr>
            <w:tcW w:w="320" w:type="pct"/>
          </w:tcPr>
          <w:p w14:paraId="3CEF9C59" w14:textId="77777777" w:rsidR="007F6723" w:rsidRDefault="007F6723" w:rsidP="00181CF8">
            <w:pPr>
              <w:pStyle w:val="Tabletextcentred"/>
              <w:jc w:val="left"/>
            </w:pPr>
            <w:r>
              <w:rPr>
                <w:color w:val="000000"/>
              </w:rPr>
              <w:t>2007</w:t>
            </w:r>
          </w:p>
        </w:tc>
        <w:tc>
          <w:tcPr>
            <w:tcW w:w="482" w:type="pct"/>
          </w:tcPr>
          <w:p w14:paraId="4F4DD2E1" w14:textId="77777777" w:rsidR="007F6723" w:rsidRDefault="007F6723" w:rsidP="00181CF8">
            <w:pPr>
              <w:pStyle w:val="Tabletextcentred"/>
              <w:jc w:val="left"/>
            </w:pPr>
            <w:r>
              <w:rPr>
                <w:color w:val="000000"/>
              </w:rPr>
              <w:t>USA</w:t>
            </w:r>
          </w:p>
        </w:tc>
        <w:tc>
          <w:tcPr>
            <w:tcW w:w="1659" w:type="pct"/>
          </w:tcPr>
          <w:p w14:paraId="779FE5B1" w14:textId="77777777" w:rsidR="007F6723" w:rsidRDefault="007F6723" w:rsidP="00181CF8">
            <w:pPr>
              <w:pStyle w:val="Tabletextcentred"/>
              <w:jc w:val="left"/>
            </w:pPr>
            <w:r>
              <w:rPr>
                <w:color w:val="000000"/>
              </w:rPr>
              <w:t>CEA / memantine/donepezil for moderate-severe AD</w:t>
            </w:r>
          </w:p>
        </w:tc>
        <w:tc>
          <w:tcPr>
            <w:tcW w:w="868" w:type="pct"/>
          </w:tcPr>
          <w:p w14:paraId="4C3B9CFA" w14:textId="77777777" w:rsidR="007F6723" w:rsidRDefault="007F6723" w:rsidP="00181CF8">
            <w:pPr>
              <w:pStyle w:val="Tabletextcentred"/>
              <w:jc w:val="left"/>
            </w:pPr>
            <w:r>
              <w:rPr>
                <w:color w:val="000000"/>
              </w:rPr>
              <w:t>CERAD-SIB model</w:t>
            </w:r>
          </w:p>
        </w:tc>
        <w:tc>
          <w:tcPr>
            <w:tcW w:w="975" w:type="pct"/>
          </w:tcPr>
          <w:p w14:paraId="26020F65" w14:textId="515FCD53" w:rsidR="007F6723" w:rsidRDefault="007F6723" w:rsidP="00181CF8">
            <w:pPr>
              <w:pStyle w:val="Tabletextcentred"/>
              <w:jc w:val="left"/>
            </w:pPr>
            <w:r>
              <w:rPr>
                <w:color w:val="000000"/>
              </w:rPr>
              <w:t>Micro</w:t>
            </w:r>
            <w:r w:rsidR="00EB2552">
              <w:rPr>
                <w:color w:val="000000"/>
              </w:rPr>
              <w:t>simulation</w:t>
            </w:r>
            <w:r>
              <w:rPr>
                <w:color w:val="000000"/>
              </w:rPr>
              <w:t xml:space="preserve"> </w:t>
            </w:r>
          </w:p>
        </w:tc>
      </w:tr>
      <w:tr w:rsidR="007F6723" w14:paraId="1AF2AC2B" w14:textId="77777777" w:rsidTr="00181CF8">
        <w:tc>
          <w:tcPr>
            <w:tcW w:w="696" w:type="pct"/>
          </w:tcPr>
          <w:p w14:paraId="24C71B3C" w14:textId="77777777" w:rsidR="007F6723" w:rsidRDefault="007F6723" w:rsidP="00181CF8">
            <w:pPr>
              <w:pStyle w:val="Tabletextcentred"/>
              <w:jc w:val="left"/>
            </w:pPr>
            <w:r>
              <w:rPr>
                <w:color w:val="000000"/>
              </w:rPr>
              <w:t xml:space="preserve">Gagnon et al </w:t>
            </w:r>
          </w:p>
        </w:tc>
        <w:tc>
          <w:tcPr>
            <w:tcW w:w="320" w:type="pct"/>
          </w:tcPr>
          <w:p w14:paraId="056C8599" w14:textId="77777777" w:rsidR="007F6723" w:rsidRDefault="007F6723" w:rsidP="00181CF8">
            <w:pPr>
              <w:pStyle w:val="Tabletextcentred"/>
              <w:jc w:val="left"/>
            </w:pPr>
            <w:r>
              <w:rPr>
                <w:color w:val="000000"/>
              </w:rPr>
              <w:t>2007</w:t>
            </w:r>
          </w:p>
        </w:tc>
        <w:tc>
          <w:tcPr>
            <w:tcW w:w="482" w:type="pct"/>
          </w:tcPr>
          <w:p w14:paraId="2F4DE5EC" w14:textId="77777777" w:rsidR="007F6723" w:rsidRPr="002D465E" w:rsidRDefault="007F6723" w:rsidP="00181CF8">
            <w:pPr>
              <w:pStyle w:val="Tabletextcentred"/>
              <w:jc w:val="left"/>
            </w:pPr>
            <w:r>
              <w:rPr>
                <w:color w:val="000000"/>
              </w:rPr>
              <w:t>Canada</w:t>
            </w:r>
          </w:p>
        </w:tc>
        <w:tc>
          <w:tcPr>
            <w:tcW w:w="1659" w:type="pct"/>
          </w:tcPr>
          <w:p w14:paraId="5A7A5012" w14:textId="77777777" w:rsidR="007F6723" w:rsidRPr="00387119" w:rsidRDefault="007F6723" w:rsidP="00181CF8">
            <w:pPr>
              <w:pStyle w:val="Tabletextcentred"/>
              <w:jc w:val="left"/>
            </w:pPr>
            <w:r>
              <w:rPr>
                <w:color w:val="000000"/>
              </w:rPr>
              <w:t>CEA / memantine for moderate-severe AD</w:t>
            </w:r>
          </w:p>
        </w:tc>
        <w:tc>
          <w:tcPr>
            <w:tcW w:w="868" w:type="pct"/>
          </w:tcPr>
          <w:p w14:paraId="215EAB5E" w14:textId="77777777" w:rsidR="007F6723" w:rsidRDefault="007F6723" w:rsidP="00181CF8">
            <w:pPr>
              <w:pStyle w:val="Tabletextcentred"/>
              <w:jc w:val="left"/>
            </w:pPr>
            <w:r>
              <w:rPr>
                <w:color w:val="000000"/>
              </w:rPr>
              <w:t>Memantine model</w:t>
            </w:r>
          </w:p>
        </w:tc>
        <w:tc>
          <w:tcPr>
            <w:tcW w:w="975" w:type="pct"/>
          </w:tcPr>
          <w:p w14:paraId="47E0ED0B" w14:textId="77777777" w:rsidR="007F6723" w:rsidRDefault="007F6723" w:rsidP="00181CF8">
            <w:pPr>
              <w:pStyle w:val="Tabletextcentred"/>
              <w:jc w:val="left"/>
            </w:pPr>
            <w:r>
              <w:rPr>
                <w:color w:val="000000"/>
              </w:rPr>
              <w:t>Markov cohort model</w:t>
            </w:r>
          </w:p>
        </w:tc>
      </w:tr>
      <w:tr w:rsidR="007F6723" w14:paraId="4A6B6745" w14:textId="77777777" w:rsidTr="00181CF8">
        <w:tc>
          <w:tcPr>
            <w:tcW w:w="696" w:type="pct"/>
          </w:tcPr>
          <w:p w14:paraId="6AC3BA0C" w14:textId="77777777" w:rsidR="007F6723" w:rsidRDefault="007F6723" w:rsidP="00181CF8">
            <w:pPr>
              <w:pStyle w:val="Tabletextcentred"/>
              <w:jc w:val="left"/>
            </w:pPr>
            <w:r>
              <w:rPr>
                <w:color w:val="000000"/>
              </w:rPr>
              <w:t xml:space="preserve">Antonanzas et al </w:t>
            </w:r>
          </w:p>
        </w:tc>
        <w:tc>
          <w:tcPr>
            <w:tcW w:w="320" w:type="pct"/>
          </w:tcPr>
          <w:p w14:paraId="71C542B0" w14:textId="77777777" w:rsidR="007F6723" w:rsidRDefault="007F6723" w:rsidP="00181CF8">
            <w:pPr>
              <w:pStyle w:val="Tabletextcentred"/>
              <w:jc w:val="left"/>
            </w:pPr>
            <w:r>
              <w:rPr>
                <w:color w:val="000000"/>
              </w:rPr>
              <w:t>2006</w:t>
            </w:r>
          </w:p>
        </w:tc>
        <w:tc>
          <w:tcPr>
            <w:tcW w:w="482" w:type="pct"/>
          </w:tcPr>
          <w:p w14:paraId="379C3C18" w14:textId="77777777" w:rsidR="007F6723" w:rsidRPr="002D465E" w:rsidRDefault="007F6723" w:rsidP="00181CF8">
            <w:pPr>
              <w:pStyle w:val="Tabletextcentred"/>
              <w:jc w:val="left"/>
            </w:pPr>
            <w:r>
              <w:rPr>
                <w:color w:val="000000"/>
              </w:rPr>
              <w:t>Spain</w:t>
            </w:r>
          </w:p>
        </w:tc>
        <w:tc>
          <w:tcPr>
            <w:tcW w:w="1659" w:type="pct"/>
          </w:tcPr>
          <w:p w14:paraId="7FBA3CC2" w14:textId="77777777" w:rsidR="007F6723" w:rsidRDefault="007F6723" w:rsidP="00181CF8">
            <w:pPr>
              <w:pStyle w:val="Tabletextcentred"/>
              <w:jc w:val="left"/>
            </w:pPr>
            <w:r>
              <w:rPr>
                <w:color w:val="000000"/>
              </w:rPr>
              <w:t>CEA / memantine for moderate-severe</w:t>
            </w:r>
          </w:p>
        </w:tc>
        <w:tc>
          <w:tcPr>
            <w:tcW w:w="868" w:type="pct"/>
          </w:tcPr>
          <w:p w14:paraId="26B9C8BA" w14:textId="77777777" w:rsidR="007F6723" w:rsidRDefault="007F6723" w:rsidP="00181CF8">
            <w:pPr>
              <w:pStyle w:val="Tabletextcentred"/>
              <w:jc w:val="left"/>
            </w:pPr>
            <w:r>
              <w:rPr>
                <w:color w:val="000000"/>
              </w:rPr>
              <w:t>Memantine model</w:t>
            </w:r>
          </w:p>
        </w:tc>
        <w:tc>
          <w:tcPr>
            <w:tcW w:w="975" w:type="pct"/>
          </w:tcPr>
          <w:p w14:paraId="405650ED" w14:textId="77777777" w:rsidR="007F6723" w:rsidRDefault="007F6723" w:rsidP="00181CF8">
            <w:pPr>
              <w:pStyle w:val="Tabletextcentred"/>
              <w:jc w:val="left"/>
            </w:pPr>
            <w:r>
              <w:rPr>
                <w:color w:val="000000"/>
              </w:rPr>
              <w:t>Markov cohort model</w:t>
            </w:r>
          </w:p>
        </w:tc>
      </w:tr>
      <w:tr w:rsidR="007F6723" w14:paraId="5CCCDE07" w14:textId="77777777" w:rsidTr="00181CF8">
        <w:tc>
          <w:tcPr>
            <w:tcW w:w="696" w:type="pct"/>
          </w:tcPr>
          <w:p w14:paraId="15658D5F" w14:textId="77777777" w:rsidR="007F6723" w:rsidRDefault="007F6723" w:rsidP="00181CF8">
            <w:pPr>
              <w:pStyle w:val="Tabletextcentred"/>
              <w:jc w:val="left"/>
            </w:pPr>
            <w:r>
              <w:rPr>
                <w:color w:val="000000"/>
              </w:rPr>
              <w:t>Small et al</w:t>
            </w:r>
          </w:p>
        </w:tc>
        <w:tc>
          <w:tcPr>
            <w:tcW w:w="320" w:type="pct"/>
          </w:tcPr>
          <w:p w14:paraId="73ED3E0A" w14:textId="77777777" w:rsidR="007F6723" w:rsidRDefault="007F6723" w:rsidP="00181CF8">
            <w:pPr>
              <w:pStyle w:val="Tabletextcentred"/>
              <w:jc w:val="left"/>
            </w:pPr>
            <w:r>
              <w:rPr>
                <w:color w:val="000000"/>
              </w:rPr>
              <w:t>2005</w:t>
            </w:r>
          </w:p>
        </w:tc>
        <w:tc>
          <w:tcPr>
            <w:tcW w:w="482" w:type="pct"/>
          </w:tcPr>
          <w:p w14:paraId="6F71FF3D" w14:textId="77777777" w:rsidR="007F6723" w:rsidRPr="002D465E" w:rsidRDefault="007F6723" w:rsidP="00181CF8">
            <w:pPr>
              <w:pStyle w:val="Tabletextcentred"/>
              <w:jc w:val="left"/>
            </w:pPr>
            <w:r>
              <w:rPr>
                <w:color w:val="000000"/>
              </w:rPr>
              <w:t>Multinational</w:t>
            </w:r>
          </w:p>
        </w:tc>
        <w:tc>
          <w:tcPr>
            <w:tcW w:w="1659" w:type="pct"/>
          </w:tcPr>
          <w:p w14:paraId="0359BFE0" w14:textId="77777777" w:rsidR="007F6723" w:rsidRDefault="007F6723" w:rsidP="00181CF8">
            <w:pPr>
              <w:pStyle w:val="Tabletextcentred"/>
              <w:jc w:val="left"/>
            </w:pPr>
            <w:r>
              <w:rPr>
                <w:color w:val="000000"/>
              </w:rPr>
              <w:t>Statistical / long-term rivastigmine for mild-moderate AD</w:t>
            </w:r>
          </w:p>
        </w:tc>
        <w:tc>
          <w:tcPr>
            <w:tcW w:w="868" w:type="pct"/>
          </w:tcPr>
          <w:p w14:paraId="25229977" w14:textId="77777777" w:rsidR="007F6723" w:rsidRDefault="007F6723" w:rsidP="00181CF8">
            <w:pPr>
              <w:pStyle w:val="Tabletextcentred"/>
              <w:jc w:val="left"/>
            </w:pPr>
            <w:r>
              <w:rPr>
                <w:color w:val="000000"/>
              </w:rPr>
              <w:t>CERAD-MMSE model</w:t>
            </w:r>
          </w:p>
        </w:tc>
        <w:tc>
          <w:tcPr>
            <w:tcW w:w="975" w:type="pct"/>
          </w:tcPr>
          <w:p w14:paraId="3B6640B3" w14:textId="77777777" w:rsidR="007F6723" w:rsidRDefault="007F6723" w:rsidP="00181CF8">
            <w:pPr>
              <w:pStyle w:val="Tabletextcentred"/>
              <w:jc w:val="left"/>
            </w:pPr>
            <w:r>
              <w:rPr>
                <w:color w:val="000000"/>
              </w:rPr>
              <w:t>Regression-based analysis using cohort data</w:t>
            </w:r>
          </w:p>
        </w:tc>
      </w:tr>
      <w:tr w:rsidR="007F6723" w14:paraId="22B85ED8" w14:textId="77777777" w:rsidTr="00181CF8">
        <w:tc>
          <w:tcPr>
            <w:tcW w:w="696" w:type="pct"/>
          </w:tcPr>
          <w:p w14:paraId="3A6EABED" w14:textId="77777777" w:rsidR="007F6723" w:rsidRDefault="007F6723" w:rsidP="00181CF8">
            <w:pPr>
              <w:pStyle w:val="Tabletextcentred"/>
              <w:jc w:val="left"/>
            </w:pPr>
            <w:r>
              <w:rPr>
                <w:color w:val="000000"/>
              </w:rPr>
              <w:t>Green et al</w:t>
            </w:r>
          </w:p>
        </w:tc>
        <w:tc>
          <w:tcPr>
            <w:tcW w:w="320" w:type="pct"/>
          </w:tcPr>
          <w:p w14:paraId="42C686D4" w14:textId="77777777" w:rsidR="007F6723" w:rsidRDefault="007F6723" w:rsidP="00181CF8">
            <w:pPr>
              <w:pStyle w:val="Tabletextcentred"/>
              <w:jc w:val="left"/>
            </w:pPr>
            <w:r>
              <w:rPr>
                <w:color w:val="000000"/>
              </w:rPr>
              <w:t>2005</w:t>
            </w:r>
          </w:p>
        </w:tc>
        <w:tc>
          <w:tcPr>
            <w:tcW w:w="482" w:type="pct"/>
          </w:tcPr>
          <w:p w14:paraId="552F43CA" w14:textId="77777777" w:rsidR="007F6723" w:rsidRPr="002D465E" w:rsidRDefault="007F6723" w:rsidP="00181CF8">
            <w:pPr>
              <w:pStyle w:val="Tabletextcentred"/>
              <w:jc w:val="left"/>
            </w:pPr>
            <w:r>
              <w:rPr>
                <w:color w:val="000000"/>
              </w:rPr>
              <w:t>UK</w:t>
            </w:r>
          </w:p>
        </w:tc>
        <w:tc>
          <w:tcPr>
            <w:tcW w:w="1659" w:type="pct"/>
          </w:tcPr>
          <w:p w14:paraId="11486EE2" w14:textId="77777777" w:rsidR="007F6723" w:rsidRDefault="007F6723" w:rsidP="00181CF8">
            <w:pPr>
              <w:pStyle w:val="Tabletextcentred"/>
              <w:jc w:val="left"/>
            </w:pPr>
            <w:r>
              <w:rPr>
                <w:color w:val="000000"/>
              </w:rPr>
              <w:t>CEA / ChEI for mild-moderate AD</w:t>
            </w:r>
          </w:p>
        </w:tc>
        <w:tc>
          <w:tcPr>
            <w:tcW w:w="868" w:type="pct"/>
          </w:tcPr>
          <w:p w14:paraId="22D2870E" w14:textId="77777777" w:rsidR="007F6723" w:rsidRDefault="007F6723" w:rsidP="00181CF8">
            <w:pPr>
              <w:pStyle w:val="Tabletextcentred"/>
              <w:jc w:val="left"/>
            </w:pPr>
            <w:r>
              <w:rPr>
                <w:color w:val="000000"/>
              </w:rPr>
              <w:t>AHEAD model</w:t>
            </w:r>
          </w:p>
        </w:tc>
        <w:tc>
          <w:tcPr>
            <w:tcW w:w="975" w:type="pct"/>
          </w:tcPr>
          <w:p w14:paraId="0193EB59" w14:textId="77777777" w:rsidR="007F6723" w:rsidRDefault="007F6723" w:rsidP="00181CF8">
            <w:pPr>
              <w:pStyle w:val="Tabletextcentred"/>
              <w:jc w:val="left"/>
            </w:pPr>
            <w:r>
              <w:rPr>
                <w:color w:val="000000"/>
              </w:rPr>
              <w:t>Markov cohort model</w:t>
            </w:r>
          </w:p>
        </w:tc>
      </w:tr>
      <w:tr w:rsidR="007F6723" w14:paraId="4B3823B2" w14:textId="77777777" w:rsidTr="00181CF8">
        <w:tc>
          <w:tcPr>
            <w:tcW w:w="696" w:type="pct"/>
          </w:tcPr>
          <w:p w14:paraId="161B5013" w14:textId="77777777" w:rsidR="007F6723" w:rsidRDefault="007F6723" w:rsidP="00181CF8">
            <w:pPr>
              <w:pStyle w:val="Tabletextcentred"/>
              <w:jc w:val="left"/>
            </w:pPr>
            <w:r>
              <w:rPr>
                <w:color w:val="000000"/>
              </w:rPr>
              <w:t>Jönsson et al</w:t>
            </w:r>
          </w:p>
        </w:tc>
        <w:tc>
          <w:tcPr>
            <w:tcW w:w="320" w:type="pct"/>
          </w:tcPr>
          <w:p w14:paraId="30DBB272" w14:textId="77777777" w:rsidR="007F6723" w:rsidRDefault="007F6723" w:rsidP="00181CF8">
            <w:pPr>
              <w:pStyle w:val="Tabletextcentred"/>
              <w:jc w:val="left"/>
            </w:pPr>
            <w:r>
              <w:rPr>
                <w:color w:val="000000"/>
              </w:rPr>
              <w:t>2005</w:t>
            </w:r>
          </w:p>
        </w:tc>
        <w:tc>
          <w:tcPr>
            <w:tcW w:w="482" w:type="pct"/>
          </w:tcPr>
          <w:p w14:paraId="775990D2" w14:textId="77777777" w:rsidR="007F6723" w:rsidRPr="002D465E" w:rsidRDefault="007F6723" w:rsidP="00181CF8">
            <w:pPr>
              <w:pStyle w:val="Tabletextcentred"/>
              <w:jc w:val="left"/>
            </w:pPr>
            <w:r>
              <w:rPr>
                <w:color w:val="000000"/>
              </w:rPr>
              <w:t>Sweden</w:t>
            </w:r>
          </w:p>
        </w:tc>
        <w:tc>
          <w:tcPr>
            <w:tcW w:w="1659" w:type="pct"/>
          </w:tcPr>
          <w:p w14:paraId="4215C2D6" w14:textId="77777777" w:rsidR="007F6723" w:rsidRDefault="007F6723" w:rsidP="00181CF8">
            <w:pPr>
              <w:pStyle w:val="Tabletextcentred"/>
              <w:jc w:val="left"/>
            </w:pPr>
            <w:r>
              <w:rPr>
                <w:color w:val="000000"/>
              </w:rPr>
              <w:t>CEA / memantine for moderate-severe</w:t>
            </w:r>
          </w:p>
        </w:tc>
        <w:tc>
          <w:tcPr>
            <w:tcW w:w="868" w:type="pct"/>
          </w:tcPr>
          <w:p w14:paraId="57E0553F" w14:textId="77777777" w:rsidR="007F6723" w:rsidRDefault="007F6723" w:rsidP="00181CF8">
            <w:pPr>
              <w:pStyle w:val="Tabletextcentred"/>
              <w:jc w:val="left"/>
            </w:pPr>
            <w:r>
              <w:rPr>
                <w:color w:val="000000"/>
              </w:rPr>
              <w:t>Kungsholmen-MMSE model</w:t>
            </w:r>
          </w:p>
        </w:tc>
        <w:tc>
          <w:tcPr>
            <w:tcW w:w="975" w:type="pct"/>
          </w:tcPr>
          <w:p w14:paraId="543332FE" w14:textId="77777777" w:rsidR="007F6723" w:rsidRDefault="007F6723" w:rsidP="00181CF8">
            <w:pPr>
              <w:pStyle w:val="Tabletextcentred"/>
              <w:jc w:val="left"/>
            </w:pPr>
            <w:r>
              <w:rPr>
                <w:color w:val="000000"/>
              </w:rPr>
              <w:t>Markov cohort model</w:t>
            </w:r>
          </w:p>
        </w:tc>
      </w:tr>
      <w:tr w:rsidR="007F6723" w14:paraId="03FB46CB" w14:textId="77777777" w:rsidTr="00181CF8">
        <w:tc>
          <w:tcPr>
            <w:tcW w:w="696" w:type="pct"/>
          </w:tcPr>
          <w:p w14:paraId="43BE534F" w14:textId="77777777" w:rsidR="007F6723" w:rsidRDefault="007F6723" w:rsidP="00181CF8">
            <w:pPr>
              <w:pStyle w:val="Tabletextcentred"/>
              <w:jc w:val="left"/>
            </w:pPr>
            <w:r>
              <w:rPr>
                <w:color w:val="000000"/>
              </w:rPr>
              <w:t>Caro et al</w:t>
            </w:r>
          </w:p>
        </w:tc>
        <w:tc>
          <w:tcPr>
            <w:tcW w:w="320" w:type="pct"/>
          </w:tcPr>
          <w:p w14:paraId="778EC9E6" w14:textId="77777777" w:rsidR="007F6723" w:rsidRDefault="007F6723" w:rsidP="00181CF8">
            <w:pPr>
              <w:pStyle w:val="Tabletextcentred"/>
              <w:jc w:val="left"/>
            </w:pPr>
            <w:r>
              <w:rPr>
                <w:color w:val="000000"/>
              </w:rPr>
              <w:t>2004</w:t>
            </w:r>
          </w:p>
        </w:tc>
        <w:tc>
          <w:tcPr>
            <w:tcW w:w="482" w:type="pct"/>
          </w:tcPr>
          <w:p w14:paraId="3BE47258" w14:textId="77777777" w:rsidR="007F6723" w:rsidRPr="002D465E" w:rsidRDefault="007F6723" w:rsidP="00181CF8">
            <w:pPr>
              <w:pStyle w:val="Tabletextcentred"/>
              <w:jc w:val="left"/>
            </w:pPr>
            <w:r>
              <w:rPr>
                <w:color w:val="000000"/>
              </w:rPr>
              <w:t>Multinational</w:t>
            </w:r>
          </w:p>
        </w:tc>
        <w:tc>
          <w:tcPr>
            <w:tcW w:w="1659" w:type="pct"/>
          </w:tcPr>
          <w:p w14:paraId="46036220" w14:textId="77777777" w:rsidR="007F6723" w:rsidRDefault="007F6723" w:rsidP="00181CF8">
            <w:pPr>
              <w:pStyle w:val="Tabletextcentred"/>
              <w:jc w:val="left"/>
            </w:pPr>
            <w:r>
              <w:rPr>
                <w:color w:val="000000"/>
              </w:rPr>
              <w:t>CEA / galantamine for mild-moderate AD</w:t>
            </w:r>
          </w:p>
        </w:tc>
        <w:tc>
          <w:tcPr>
            <w:tcW w:w="868" w:type="pct"/>
          </w:tcPr>
          <w:p w14:paraId="0AD83C65" w14:textId="77777777" w:rsidR="007F6723" w:rsidRDefault="007F6723" w:rsidP="00181CF8">
            <w:pPr>
              <w:pStyle w:val="Tabletextcentred"/>
              <w:jc w:val="left"/>
            </w:pPr>
            <w:r>
              <w:rPr>
                <w:color w:val="000000"/>
              </w:rPr>
              <w:t>AHEAD model</w:t>
            </w:r>
          </w:p>
        </w:tc>
        <w:tc>
          <w:tcPr>
            <w:tcW w:w="975" w:type="pct"/>
          </w:tcPr>
          <w:p w14:paraId="2491AF35" w14:textId="77777777" w:rsidR="007F6723" w:rsidRDefault="007F6723" w:rsidP="00181CF8">
            <w:pPr>
              <w:pStyle w:val="Tabletextcentred"/>
              <w:jc w:val="left"/>
            </w:pPr>
            <w:r>
              <w:rPr>
                <w:color w:val="000000"/>
              </w:rPr>
              <w:t>Markov individual-based model</w:t>
            </w:r>
          </w:p>
        </w:tc>
      </w:tr>
      <w:tr w:rsidR="007F6723" w14:paraId="738D3A49" w14:textId="77777777" w:rsidTr="00181CF8">
        <w:tc>
          <w:tcPr>
            <w:tcW w:w="696" w:type="pct"/>
          </w:tcPr>
          <w:p w14:paraId="59D7989C" w14:textId="77777777" w:rsidR="007F6723" w:rsidRDefault="007F6723" w:rsidP="00181CF8">
            <w:pPr>
              <w:pStyle w:val="Tabletextcentred"/>
              <w:jc w:val="left"/>
            </w:pPr>
            <w:r>
              <w:rPr>
                <w:color w:val="000000"/>
              </w:rPr>
              <w:t>Martikainen et al</w:t>
            </w:r>
          </w:p>
        </w:tc>
        <w:tc>
          <w:tcPr>
            <w:tcW w:w="320" w:type="pct"/>
          </w:tcPr>
          <w:p w14:paraId="3F0681B9" w14:textId="77777777" w:rsidR="007F6723" w:rsidRDefault="007F6723" w:rsidP="00181CF8">
            <w:pPr>
              <w:pStyle w:val="Tabletextcentred"/>
              <w:jc w:val="left"/>
            </w:pPr>
            <w:r>
              <w:rPr>
                <w:color w:val="000000"/>
              </w:rPr>
              <w:t>2004</w:t>
            </w:r>
          </w:p>
        </w:tc>
        <w:tc>
          <w:tcPr>
            <w:tcW w:w="482" w:type="pct"/>
          </w:tcPr>
          <w:p w14:paraId="77AB6301" w14:textId="77777777" w:rsidR="007F6723" w:rsidRPr="002D465E" w:rsidRDefault="007F6723" w:rsidP="00181CF8">
            <w:pPr>
              <w:pStyle w:val="Tabletextcentred"/>
              <w:jc w:val="left"/>
            </w:pPr>
            <w:r>
              <w:rPr>
                <w:color w:val="000000"/>
              </w:rPr>
              <w:t>Finland</w:t>
            </w:r>
          </w:p>
        </w:tc>
        <w:tc>
          <w:tcPr>
            <w:tcW w:w="1659" w:type="pct"/>
          </w:tcPr>
          <w:p w14:paraId="0502248A" w14:textId="77777777" w:rsidR="007F6723" w:rsidRDefault="007F6723" w:rsidP="00181CF8">
            <w:pPr>
              <w:pStyle w:val="Tabletextcentred"/>
              <w:jc w:val="left"/>
            </w:pPr>
            <w:r>
              <w:rPr>
                <w:color w:val="000000"/>
              </w:rPr>
              <w:t>CEA / family CBT for mild-moderate</w:t>
            </w:r>
          </w:p>
        </w:tc>
        <w:tc>
          <w:tcPr>
            <w:tcW w:w="868" w:type="pct"/>
          </w:tcPr>
          <w:p w14:paraId="3E406952" w14:textId="77777777" w:rsidR="007F6723" w:rsidRDefault="007F6723" w:rsidP="00181CF8">
            <w:pPr>
              <w:pStyle w:val="Tabletextcentred"/>
              <w:jc w:val="left"/>
            </w:pPr>
            <w:r>
              <w:rPr>
                <w:color w:val="000000"/>
              </w:rPr>
              <w:t>CERAD-CDR model</w:t>
            </w:r>
          </w:p>
        </w:tc>
        <w:tc>
          <w:tcPr>
            <w:tcW w:w="975" w:type="pct"/>
          </w:tcPr>
          <w:p w14:paraId="4815488E" w14:textId="77777777" w:rsidR="007F6723" w:rsidRDefault="007F6723" w:rsidP="00181CF8">
            <w:pPr>
              <w:pStyle w:val="Tabletextcentred"/>
              <w:jc w:val="left"/>
            </w:pPr>
            <w:r>
              <w:rPr>
                <w:color w:val="000000"/>
              </w:rPr>
              <w:t>Markov cohort model</w:t>
            </w:r>
          </w:p>
        </w:tc>
      </w:tr>
      <w:tr w:rsidR="007F6723" w14:paraId="4D97CDC5" w14:textId="77777777" w:rsidTr="00181CF8">
        <w:tc>
          <w:tcPr>
            <w:tcW w:w="696" w:type="pct"/>
          </w:tcPr>
          <w:p w14:paraId="0C020666" w14:textId="77777777" w:rsidR="007F6723" w:rsidRDefault="007F6723" w:rsidP="00181CF8">
            <w:pPr>
              <w:pStyle w:val="Tabletextcentred"/>
              <w:jc w:val="left"/>
            </w:pPr>
            <w:r>
              <w:rPr>
                <w:color w:val="000000"/>
              </w:rPr>
              <w:t>Francois et al</w:t>
            </w:r>
          </w:p>
        </w:tc>
        <w:tc>
          <w:tcPr>
            <w:tcW w:w="320" w:type="pct"/>
          </w:tcPr>
          <w:p w14:paraId="44BC1E8B" w14:textId="77777777" w:rsidR="007F6723" w:rsidRDefault="007F6723" w:rsidP="00181CF8">
            <w:pPr>
              <w:pStyle w:val="Tabletextcentred"/>
              <w:jc w:val="left"/>
            </w:pPr>
            <w:r>
              <w:rPr>
                <w:color w:val="000000"/>
              </w:rPr>
              <w:t>2004</w:t>
            </w:r>
          </w:p>
        </w:tc>
        <w:tc>
          <w:tcPr>
            <w:tcW w:w="482" w:type="pct"/>
          </w:tcPr>
          <w:p w14:paraId="7FEC89C4" w14:textId="77777777" w:rsidR="007F6723" w:rsidRPr="002D465E" w:rsidRDefault="007F6723" w:rsidP="00181CF8">
            <w:pPr>
              <w:pStyle w:val="Tabletextcentred"/>
              <w:jc w:val="left"/>
            </w:pPr>
            <w:r>
              <w:rPr>
                <w:color w:val="000000"/>
              </w:rPr>
              <w:t>Finland</w:t>
            </w:r>
          </w:p>
        </w:tc>
        <w:tc>
          <w:tcPr>
            <w:tcW w:w="1659" w:type="pct"/>
          </w:tcPr>
          <w:p w14:paraId="306E2B26" w14:textId="77777777" w:rsidR="007F6723" w:rsidRDefault="007F6723" w:rsidP="00181CF8">
            <w:pPr>
              <w:pStyle w:val="Tabletextcentred"/>
              <w:jc w:val="left"/>
            </w:pPr>
            <w:r>
              <w:rPr>
                <w:color w:val="000000"/>
              </w:rPr>
              <w:t>CEA / memantine for moderate-severe AD</w:t>
            </w:r>
          </w:p>
        </w:tc>
        <w:tc>
          <w:tcPr>
            <w:tcW w:w="868" w:type="pct"/>
          </w:tcPr>
          <w:p w14:paraId="0D7A2FE4" w14:textId="77777777" w:rsidR="007F6723" w:rsidRDefault="007F6723" w:rsidP="00181CF8">
            <w:pPr>
              <w:pStyle w:val="Tabletextcentred"/>
              <w:jc w:val="left"/>
            </w:pPr>
            <w:r>
              <w:rPr>
                <w:color w:val="000000"/>
              </w:rPr>
              <w:t>Memantine model</w:t>
            </w:r>
          </w:p>
        </w:tc>
        <w:tc>
          <w:tcPr>
            <w:tcW w:w="975" w:type="pct"/>
          </w:tcPr>
          <w:p w14:paraId="238C0490" w14:textId="77777777" w:rsidR="007F6723" w:rsidRDefault="007F6723" w:rsidP="00181CF8">
            <w:pPr>
              <w:pStyle w:val="Tabletextcentred"/>
              <w:jc w:val="left"/>
            </w:pPr>
            <w:r>
              <w:rPr>
                <w:color w:val="000000"/>
              </w:rPr>
              <w:t>Markov cohort model</w:t>
            </w:r>
          </w:p>
        </w:tc>
      </w:tr>
      <w:tr w:rsidR="007F6723" w14:paraId="28080899" w14:textId="77777777" w:rsidTr="00181CF8">
        <w:tc>
          <w:tcPr>
            <w:tcW w:w="696" w:type="pct"/>
          </w:tcPr>
          <w:p w14:paraId="53BDE704" w14:textId="77777777" w:rsidR="007F6723" w:rsidRDefault="007F6723" w:rsidP="00181CF8">
            <w:pPr>
              <w:pStyle w:val="Tabletextcentred"/>
              <w:jc w:val="left"/>
            </w:pPr>
            <w:r>
              <w:rPr>
                <w:color w:val="000000"/>
              </w:rPr>
              <w:t>Jones et al</w:t>
            </w:r>
          </w:p>
        </w:tc>
        <w:tc>
          <w:tcPr>
            <w:tcW w:w="320" w:type="pct"/>
          </w:tcPr>
          <w:p w14:paraId="3754663C" w14:textId="77777777" w:rsidR="007F6723" w:rsidRDefault="007F6723" w:rsidP="00181CF8">
            <w:pPr>
              <w:pStyle w:val="Tabletextcentred"/>
              <w:jc w:val="left"/>
            </w:pPr>
            <w:r>
              <w:rPr>
                <w:color w:val="000000"/>
              </w:rPr>
              <w:t>2004</w:t>
            </w:r>
          </w:p>
        </w:tc>
        <w:tc>
          <w:tcPr>
            <w:tcW w:w="482" w:type="pct"/>
          </w:tcPr>
          <w:p w14:paraId="3BE2E736" w14:textId="77777777" w:rsidR="007F6723" w:rsidRPr="002D465E" w:rsidRDefault="007F6723" w:rsidP="00181CF8">
            <w:pPr>
              <w:pStyle w:val="Tabletextcentred"/>
              <w:jc w:val="left"/>
            </w:pPr>
            <w:r>
              <w:rPr>
                <w:color w:val="000000"/>
              </w:rPr>
              <w:t>UK</w:t>
            </w:r>
          </w:p>
        </w:tc>
        <w:tc>
          <w:tcPr>
            <w:tcW w:w="1659" w:type="pct"/>
          </w:tcPr>
          <w:p w14:paraId="0ACCCD2D" w14:textId="77777777" w:rsidR="007F6723" w:rsidRDefault="007F6723" w:rsidP="00181CF8">
            <w:pPr>
              <w:pStyle w:val="Tabletextcentred"/>
              <w:jc w:val="left"/>
            </w:pPr>
            <w:r>
              <w:rPr>
                <w:color w:val="000000"/>
              </w:rPr>
              <w:t>CEA / memantine for moderate-severe AD</w:t>
            </w:r>
          </w:p>
        </w:tc>
        <w:tc>
          <w:tcPr>
            <w:tcW w:w="868" w:type="pct"/>
          </w:tcPr>
          <w:p w14:paraId="6DE7E08E" w14:textId="77777777" w:rsidR="007F6723" w:rsidRDefault="007F6723" w:rsidP="00181CF8">
            <w:pPr>
              <w:pStyle w:val="Tabletextcentred"/>
              <w:jc w:val="left"/>
            </w:pPr>
            <w:r>
              <w:rPr>
                <w:color w:val="000000"/>
              </w:rPr>
              <w:t>Memantine model</w:t>
            </w:r>
          </w:p>
        </w:tc>
        <w:tc>
          <w:tcPr>
            <w:tcW w:w="975" w:type="pct"/>
          </w:tcPr>
          <w:p w14:paraId="739EA40A" w14:textId="77777777" w:rsidR="007F6723" w:rsidRDefault="007F6723" w:rsidP="00181CF8">
            <w:pPr>
              <w:pStyle w:val="Tabletextcentred"/>
              <w:jc w:val="left"/>
            </w:pPr>
            <w:r>
              <w:rPr>
                <w:color w:val="000000"/>
              </w:rPr>
              <w:t>Markov cohort model</w:t>
            </w:r>
          </w:p>
        </w:tc>
      </w:tr>
      <w:tr w:rsidR="007F6723" w14:paraId="519E45A6" w14:textId="77777777" w:rsidTr="00181CF8">
        <w:tc>
          <w:tcPr>
            <w:tcW w:w="696" w:type="pct"/>
          </w:tcPr>
          <w:p w14:paraId="573E9DE3" w14:textId="77777777" w:rsidR="007F6723" w:rsidRDefault="007F6723" w:rsidP="00181CF8">
            <w:pPr>
              <w:pStyle w:val="Tabletextcentred"/>
              <w:jc w:val="left"/>
            </w:pPr>
            <w:r>
              <w:rPr>
                <w:color w:val="000000"/>
              </w:rPr>
              <w:t>Fagnani et al</w:t>
            </w:r>
          </w:p>
        </w:tc>
        <w:tc>
          <w:tcPr>
            <w:tcW w:w="320" w:type="pct"/>
          </w:tcPr>
          <w:p w14:paraId="183BF22C" w14:textId="77777777" w:rsidR="007F6723" w:rsidRDefault="007F6723" w:rsidP="00181CF8">
            <w:pPr>
              <w:pStyle w:val="Tabletextcentred"/>
              <w:jc w:val="left"/>
            </w:pPr>
            <w:r>
              <w:rPr>
                <w:color w:val="000000"/>
              </w:rPr>
              <w:t>2003</w:t>
            </w:r>
          </w:p>
        </w:tc>
        <w:tc>
          <w:tcPr>
            <w:tcW w:w="482" w:type="pct"/>
          </w:tcPr>
          <w:p w14:paraId="4EC63A41" w14:textId="77777777" w:rsidR="007F6723" w:rsidRPr="002D465E" w:rsidRDefault="007F6723" w:rsidP="00181CF8">
            <w:pPr>
              <w:pStyle w:val="Tabletextcentred"/>
              <w:jc w:val="left"/>
            </w:pPr>
            <w:r>
              <w:rPr>
                <w:color w:val="000000"/>
              </w:rPr>
              <w:t>France</w:t>
            </w:r>
          </w:p>
        </w:tc>
        <w:tc>
          <w:tcPr>
            <w:tcW w:w="1659" w:type="pct"/>
          </w:tcPr>
          <w:p w14:paraId="25B5B944" w14:textId="77777777" w:rsidR="007F6723" w:rsidRDefault="007F6723" w:rsidP="00181CF8">
            <w:pPr>
              <w:pStyle w:val="Tabletextcentred"/>
              <w:jc w:val="left"/>
            </w:pPr>
            <w:r>
              <w:rPr>
                <w:color w:val="000000"/>
              </w:rPr>
              <w:t>CMA / donepezil for mild-moderate</w:t>
            </w:r>
          </w:p>
        </w:tc>
        <w:tc>
          <w:tcPr>
            <w:tcW w:w="868" w:type="pct"/>
          </w:tcPr>
          <w:p w14:paraId="47911D86" w14:textId="77777777" w:rsidR="007F6723" w:rsidRDefault="007F6723" w:rsidP="00181CF8">
            <w:pPr>
              <w:pStyle w:val="Tabletextcentred"/>
              <w:jc w:val="left"/>
            </w:pPr>
            <w:r>
              <w:rPr>
                <w:color w:val="000000"/>
              </w:rPr>
              <w:t>Predictors ADAS-cog model</w:t>
            </w:r>
          </w:p>
        </w:tc>
        <w:tc>
          <w:tcPr>
            <w:tcW w:w="975" w:type="pct"/>
          </w:tcPr>
          <w:p w14:paraId="252683E2" w14:textId="77777777" w:rsidR="007F6723" w:rsidRDefault="007F6723" w:rsidP="00181CF8">
            <w:pPr>
              <w:pStyle w:val="Tabletextcentred"/>
              <w:jc w:val="left"/>
            </w:pPr>
            <w:r>
              <w:rPr>
                <w:color w:val="000000"/>
              </w:rPr>
              <w:t>Mathematical model, cohort data</w:t>
            </w:r>
          </w:p>
        </w:tc>
      </w:tr>
      <w:tr w:rsidR="007F6723" w14:paraId="1C3143CA" w14:textId="77777777" w:rsidTr="00181CF8">
        <w:tc>
          <w:tcPr>
            <w:tcW w:w="696" w:type="pct"/>
          </w:tcPr>
          <w:p w14:paraId="3FE2D542" w14:textId="77777777" w:rsidR="007F6723" w:rsidRDefault="007F6723" w:rsidP="00181CF8">
            <w:pPr>
              <w:pStyle w:val="Tabletextcentred"/>
              <w:jc w:val="left"/>
            </w:pPr>
            <w:r>
              <w:rPr>
                <w:color w:val="000000"/>
              </w:rPr>
              <w:t>Migliaccio et al</w:t>
            </w:r>
          </w:p>
        </w:tc>
        <w:tc>
          <w:tcPr>
            <w:tcW w:w="320" w:type="pct"/>
          </w:tcPr>
          <w:p w14:paraId="7C1C2AA7" w14:textId="77777777" w:rsidR="007F6723" w:rsidRDefault="007F6723" w:rsidP="00181CF8">
            <w:pPr>
              <w:pStyle w:val="Tabletextcentred"/>
              <w:jc w:val="left"/>
            </w:pPr>
            <w:r>
              <w:rPr>
                <w:color w:val="000000"/>
              </w:rPr>
              <w:t>2003</w:t>
            </w:r>
          </w:p>
        </w:tc>
        <w:tc>
          <w:tcPr>
            <w:tcW w:w="482" w:type="pct"/>
          </w:tcPr>
          <w:p w14:paraId="5F9D352A" w14:textId="77777777" w:rsidR="007F6723" w:rsidRPr="002D465E" w:rsidRDefault="007F6723" w:rsidP="00181CF8">
            <w:pPr>
              <w:pStyle w:val="Tabletextcentred"/>
              <w:jc w:val="left"/>
            </w:pPr>
            <w:r>
              <w:rPr>
                <w:color w:val="000000"/>
              </w:rPr>
              <w:t>USA</w:t>
            </w:r>
          </w:p>
        </w:tc>
        <w:tc>
          <w:tcPr>
            <w:tcW w:w="1659" w:type="pct"/>
          </w:tcPr>
          <w:p w14:paraId="2D0D66B3" w14:textId="77777777" w:rsidR="007F6723" w:rsidRDefault="007F6723" w:rsidP="00181CF8">
            <w:pPr>
              <w:pStyle w:val="Tabletextcentred"/>
              <w:jc w:val="left"/>
            </w:pPr>
            <w:r>
              <w:rPr>
                <w:color w:val="000000"/>
              </w:rPr>
              <w:t>CEA / galantamine for mild-moderate AD</w:t>
            </w:r>
          </w:p>
        </w:tc>
        <w:tc>
          <w:tcPr>
            <w:tcW w:w="868" w:type="pct"/>
          </w:tcPr>
          <w:p w14:paraId="76299DB7" w14:textId="77777777" w:rsidR="007F6723" w:rsidRDefault="007F6723" w:rsidP="00181CF8">
            <w:pPr>
              <w:pStyle w:val="Tabletextcentred"/>
              <w:jc w:val="left"/>
            </w:pPr>
            <w:r>
              <w:rPr>
                <w:color w:val="000000"/>
              </w:rPr>
              <w:t>AHEAD model</w:t>
            </w:r>
          </w:p>
        </w:tc>
        <w:tc>
          <w:tcPr>
            <w:tcW w:w="975" w:type="pct"/>
          </w:tcPr>
          <w:p w14:paraId="35947AA1" w14:textId="77777777" w:rsidR="007F6723" w:rsidRDefault="007F6723" w:rsidP="00181CF8">
            <w:pPr>
              <w:pStyle w:val="Tabletextcentred"/>
              <w:jc w:val="left"/>
            </w:pPr>
            <w:r>
              <w:rPr>
                <w:color w:val="000000"/>
              </w:rPr>
              <w:t>Markov individual-based model</w:t>
            </w:r>
          </w:p>
        </w:tc>
      </w:tr>
      <w:tr w:rsidR="007F6723" w14:paraId="118E5B11" w14:textId="77777777" w:rsidTr="00181CF8">
        <w:tc>
          <w:tcPr>
            <w:tcW w:w="696" w:type="pct"/>
          </w:tcPr>
          <w:p w14:paraId="290252EF" w14:textId="77777777" w:rsidR="007F6723" w:rsidRDefault="007F6723" w:rsidP="00181CF8">
            <w:pPr>
              <w:pStyle w:val="Tabletextcentred"/>
              <w:jc w:val="left"/>
            </w:pPr>
            <w:r>
              <w:rPr>
                <w:color w:val="000000"/>
              </w:rPr>
              <w:t>Ward et al</w:t>
            </w:r>
          </w:p>
        </w:tc>
        <w:tc>
          <w:tcPr>
            <w:tcW w:w="320" w:type="pct"/>
          </w:tcPr>
          <w:p w14:paraId="5934574A" w14:textId="77777777" w:rsidR="007F6723" w:rsidRDefault="007F6723" w:rsidP="00181CF8">
            <w:pPr>
              <w:pStyle w:val="Tabletextcentred"/>
              <w:jc w:val="left"/>
            </w:pPr>
            <w:r>
              <w:rPr>
                <w:color w:val="000000"/>
              </w:rPr>
              <w:t>2003</w:t>
            </w:r>
          </w:p>
        </w:tc>
        <w:tc>
          <w:tcPr>
            <w:tcW w:w="482" w:type="pct"/>
          </w:tcPr>
          <w:p w14:paraId="4805A220" w14:textId="77777777" w:rsidR="007F6723" w:rsidRPr="002D465E" w:rsidRDefault="007F6723" w:rsidP="00181CF8">
            <w:pPr>
              <w:pStyle w:val="Tabletextcentred"/>
              <w:jc w:val="left"/>
            </w:pPr>
            <w:r>
              <w:rPr>
                <w:color w:val="000000"/>
              </w:rPr>
              <w:t>UK</w:t>
            </w:r>
          </w:p>
        </w:tc>
        <w:tc>
          <w:tcPr>
            <w:tcW w:w="1659" w:type="pct"/>
          </w:tcPr>
          <w:p w14:paraId="1B298337" w14:textId="77777777" w:rsidR="007F6723" w:rsidRDefault="007F6723" w:rsidP="00181CF8">
            <w:pPr>
              <w:pStyle w:val="Tabletextcentred"/>
              <w:jc w:val="left"/>
            </w:pPr>
            <w:r>
              <w:rPr>
                <w:color w:val="000000"/>
              </w:rPr>
              <w:t>CEA / galantamine for mild-moderate AD</w:t>
            </w:r>
          </w:p>
        </w:tc>
        <w:tc>
          <w:tcPr>
            <w:tcW w:w="868" w:type="pct"/>
          </w:tcPr>
          <w:p w14:paraId="229B8370" w14:textId="77777777" w:rsidR="007F6723" w:rsidRDefault="007F6723" w:rsidP="00181CF8">
            <w:pPr>
              <w:pStyle w:val="Tabletextcentred"/>
              <w:jc w:val="left"/>
            </w:pPr>
            <w:r>
              <w:rPr>
                <w:color w:val="000000"/>
              </w:rPr>
              <w:t>AHEAD model</w:t>
            </w:r>
          </w:p>
        </w:tc>
        <w:tc>
          <w:tcPr>
            <w:tcW w:w="975" w:type="pct"/>
          </w:tcPr>
          <w:p w14:paraId="430E2AD7" w14:textId="77777777" w:rsidR="007F6723" w:rsidRDefault="007F6723" w:rsidP="00181CF8">
            <w:pPr>
              <w:pStyle w:val="Tabletextcentred"/>
              <w:jc w:val="left"/>
            </w:pPr>
            <w:r>
              <w:rPr>
                <w:color w:val="000000"/>
              </w:rPr>
              <w:t>Markov individual-based model</w:t>
            </w:r>
          </w:p>
        </w:tc>
      </w:tr>
      <w:tr w:rsidR="007F6723" w14:paraId="4FA23A28" w14:textId="77777777" w:rsidTr="00181CF8">
        <w:tc>
          <w:tcPr>
            <w:tcW w:w="696" w:type="pct"/>
          </w:tcPr>
          <w:p w14:paraId="1D48504D" w14:textId="77777777" w:rsidR="007F6723" w:rsidRDefault="007F6723" w:rsidP="00181CF8">
            <w:pPr>
              <w:pStyle w:val="Tabletextcentred"/>
              <w:jc w:val="left"/>
            </w:pPr>
            <w:r>
              <w:rPr>
                <w:color w:val="000000"/>
              </w:rPr>
              <w:t>McMahon et al</w:t>
            </w:r>
          </w:p>
        </w:tc>
        <w:tc>
          <w:tcPr>
            <w:tcW w:w="320" w:type="pct"/>
          </w:tcPr>
          <w:p w14:paraId="7A3D6B7E" w14:textId="77777777" w:rsidR="007F6723" w:rsidRDefault="007F6723" w:rsidP="00181CF8">
            <w:pPr>
              <w:pStyle w:val="Tabletextcentred"/>
              <w:jc w:val="left"/>
            </w:pPr>
            <w:r>
              <w:rPr>
                <w:color w:val="000000"/>
              </w:rPr>
              <w:t>2003</w:t>
            </w:r>
          </w:p>
        </w:tc>
        <w:tc>
          <w:tcPr>
            <w:tcW w:w="482" w:type="pct"/>
          </w:tcPr>
          <w:p w14:paraId="2151B297" w14:textId="77777777" w:rsidR="007F6723" w:rsidRPr="002D465E" w:rsidRDefault="007F6723" w:rsidP="00181CF8">
            <w:pPr>
              <w:pStyle w:val="Tabletextcentred"/>
              <w:jc w:val="left"/>
            </w:pPr>
            <w:r>
              <w:rPr>
                <w:color w:val="000000"/>
              </w:rPr>
              <w:t>USA</w:t>
            </w:r>
          </w:p>
        </w:tc>
        <w:tc>
          <w:tcPr>
            <w:tcW w:w="1659" w:type="pct"/>
          </w:tcPr>
          <w:p w14:paraId="563D2166" w14:textId="77777777" w:rsidR="007F6723" w:rsidRDefault="007F6723" w:rsidP="00181CF8">
            <w:pPr>
              <w:pStyle w:val="Tabletextcentred"/>
              <w:jc w:val="left"/>
            </w:pPr>
            <w:r>
              <w:rPr>
                <w:color w:val="000000"/>
              </w:rPr>
              <w:t>CEA / PET screening for AD</w:t>
            </w:r>
          </w:p>
        </w:tc>
        <w:tc>
          <w:tcPr>
            <w:tcW w:w="868" w:type="pct"/>
          </w:tcPr>
          <w:p w14:paraId="02371808" w14:textId="77777777" w:rsidR="007F6723" w:rsidRDefault="007F6723" w:rsidP="00181CF8">
            <w:pPr>
              <w:pStyle w:val="Tabletextcentred"/>
              <w:jc w:val="left"/>
            </w:pPr>
            <w:r>
              <w:rPr>
                <w:color w:val="000000"/>
              </w:rPr>
              <w:t>CERAD-CDR model</w:t>
            </w:r>
          </w:p>
        </w:tc>
        <w:tc>
          <w:tcPr>
            <w:tcW w:w="975" w:type="pct"/>
          </w:tcPr>
          <w:p w14:paraId="16A19372" w14:textId="77777777" w:rsidR="007F6723" w:rsidRDefault="007F6723" w:rsidP="00181CF8">
            <w:pPr>
              <w:pStyle w:val="Tabletextcentred"/>
              <w:jc w:val="left"/>
            </w:pPr>
            <w:r>
              <w:rPr>
                <w:color w:val="000000"/>
              </w:rPr>
              <w:t>Markov cohort model</w:t>
            </w:r>
          </w:p>
        </w:tc>
      </w:tr>
      <w:tr w:rsidR="007F6723" w14:paraId="2A4B70FE" w14:textId="77777777" w:rsidTr="00181CF8">
        <w:tc>
          <w:tcPr>
            <w:tcW w:w="696" w:type="pct"/>
          </w:tcPr>
          <w:p w14:paraId="1D9DF4CA" w14:textId="77777777" w:rsidR="007F6723" w:rsidRDefault="007F6723" w:rsidP="00181CF8">
            <w:pPr>
              <w:pStyle w:val="Tabletextcentred"/>
              <w:jc w:val="left"/>
            </w:pPr>
            <w:r>
              <w:rPr>
                <w:color w:val="000000"/>
              </w:rPr>
              <w:t>Kulasingam et al</w:t>
            </w:r>
          </w:p>
        </w:tc>
        <w:tc>
          <w:tcPr>
            <w:tcW w:w="320" w:type="pct"/>
          </w:tcPr>
          <w:p w14:paraId="4FC49E35" w14:textId="77777777" w:rsidR="007F6723" w:rsidRDefault="007F6723" w:rsidP="00181CF8">
            <w:pPr>
              <w:pStyle w:val="Tabletextcentred"/>
              <w:jc w:val="left"/>
            </w:pPr>
            <w:r>
              <w:rPr>
                <w:color w:val="000000"/>
              </w:rPr>
              <w:t>2003</w:t>
            </w:r>
          </w:p>
        </w:tc>
        <w:tc>
          <w:tcPr>
            <w:tcW w:w="482" w:type="pct"/>
          </w:tcPr>
          <w:p w14:paraId="44F63344" w14:textId="77777777" w:rsidR="007F6723" w:rsidRPr="002D465E" w:rsidRDefault="007F6723" w:rsidP="00181CF8">
            <w:pPr>
              <w:pStyle w:val="Tabletextcentred"/>
              <w:jc w:val="left"/>
            </w:pPr>
            <w:r>
              <w:rPr>
                <w:color w:val="000000"/>
              </w:rPr>
              <w:t>USA</w:t>
            </w:r>
          </w:p>
        </w:tc>
        <w:tc>
          <w:tcPr>
            <w:tcW w:w="1659" w:type="pct"/>
          </w:tcPr>
          <w:p w14:paraId="341993A4" w14:textId="77777777" w:rsidR="007F6723" w:rsidRDefault="007F6723" w:rsidP="00181CF8">
            <w:pPr>
              <w:pStyle w:val="Tabletextcentred"/>
              <w:jc w:val="left"/>
            </w:pPr>
            <w:r>
              <w:rPr>
                <w:color w:val="000000"/>
              </w:rPr>
              <w:t>Decision analysis / screening</w:t>
            </w:r>
          </w:p>
        </w:tc>
        <w:tc>
          <w:tcPr>
            <w:tcW w:w="868" w:type="pct"/>
          </w:tcPr>
          <w:p w14:paraId="5441CF8C" w14:textId="77777777" w:rsidR="007F6723" w:rsidRDefault="007F6723" w:rsidP="00181CF8">
            <w:pPr>
              <w:pStyle w:val="Tabletextcentred"/>
              <w:jc w:val="left"/>
            </w:pPr>
            <w:r>
              <w:rPr>
                <w:color w:val="000000"/>
              </w:rPr>
              <w:t>CERAD-CDR model</w:t>
            </w:r>
          </w:p>
        </w:tc>
        <w:tc>
          <w:tcPr>
            <w:tcW w:w="975" w:type="pct"/>
          </w:tcPr>
          <w:p w14:paraId="7BC406F2" w14:textId="77777777" w:rsidR="007F6723" w:rsidRDefault="007F6723" w:rsidP="00181CF8">
            <w:pPr>
              <w:pStyle w:val="Tabletextcentred"/>
              <w:jc w:val="left"/>
            </w:pPr>
            <w:r>
              <w:rPr>
                <w:color w:val="000000"/>
              </w:rPr>
              <w:t>Markov cohort model</w:t>
            </w:r>
          </w:p>
        </w:tc>
      </w:tr>
      <w:tr w:rsidR="007F6723" w14:paraId="4FDDA674" w14:textId="77777777" w:rsidTr="00181CF8">
        <w:tc>
          <w:tcPr>
            <w:tcW w:w="696" w:type="pct"/>
          </w:tcPr>
          <w:p w14:paraId="2B3A9C83" w14:textId="77777777" w:rsidR="007F6723" w:rsidRDefault="007F6723" w:rsidP="00181CF8">
            <w:pPr>
              <w:pStyle w:val="Tabletextcentred"/>
              <w:jc w:val="left"/>
            </w:pPr>
            <w:r>
              <w:rPr>
                <w:color w:val="000000"/>
              </w:rPr>
              <w:t>Caro et al</w:t>
            </w:r>
          </w:p>
        </w:tc>
        <w:tc>
          <w:tcPr>
            <w:tcW w:w="320" w:type="pct"/>
          </w:tcPr>
          <w:p w14:paraId="02931813" w14:textId="77777777" w:rsidR="007F6723" w:rsidRDefault="007F6723" w:rsidP="00181CF8">
            <w:pPr>
              <w:pStyle w:val="Tabletextcentred"/>
              <w:jc w:val="left"/>
            </w:pPr>
            <w:r>
              <w:rPr>
                <w:color w:val="000000"/>
              </w:rPr>
              <w:t>2002</w:t>
            </w:r>
          </w:p>
        </w:tc>
        <w:tc>
          <w:tcPr>
            <w:tcW w:w="482" w:type="pct"/>
          </w:tcPr>
          <w:p w14:paraId="600F3325" w14:textId="77777777" w:rsidR="007F6723" w:rsidRPr="002D465E" w:rsidRDefault="007F6723" w:rsidP="00181CF8">
            <w:pPr>
              <w:pStyle w:val="Tabletextcentred"/>
              <w:jc w:val="left"/>
            </w:pPr>
            <w:r>
              <w:rPr>
                <w:color w:val="000000"/>
              </w:rPr>
              <w:t>Netherlands</w:t>
            </w:r>
          </w:p>
        </w:tc>
        <w:tc>
          <w:tcPr>
            <w:tcW w:w="1659" w:type="pct"/>
          </w:tcPr>
          <w:p w14:paraId="4229ECA8" w14:textId="77777777" w:rsidR="007F6723" w:rsidRDefault="007F6723" w:rsidP="00181CF8">
            <w:pPr>
              <w:pStyle w:val="Tabletextcentred"/>
              <w:jc w:val="left"/>
            </w:pPr>
            <w:r>
              <w:rPr>
                <w:color w:val="000000"/>
              </w:rPr>
              <w:t>CEA / galantamine for mild-moderate AD</w:t>
            </w:r>
          </w:p>
        </w:tc>
        <w:tc>
          <w:tcPr>
            <w:tcW w:w="868" w:type="pct"/>
          </w:tcPr>
          <w:p w14:paraId="5D68CE2F" w14:textId="77777777" w:rsidR="007F6723" w:rsidRDefault="007F6723" w:rsidP="00181CF8">
            <w:pPr>
              <w:pStyle w:val="Tabletextcentred"/>
              <w:jc w:val="left"/>
            </w:pPr>
            <w:r>
              <w:rPr>
                <w:color w:val="000000"/>
              </w:rPr>
              <w:t>AHEAD model</w:t>
            </w:r>
          </w:p>
        </w:tc>
        <w:tc>
          <w:tcPr>
            <w:tcW w:w="975" w:type="pct"/>
          </w:tcPr>
          <w:p w14:paraId="18BAC328" w14:textId="77777777" w:rsidR="007F6723" w:rsidRDefault="007F6723" w:rsidP="00181CF8">
            <w:pPr>
              <w:pStyle w:val="Tabletextcentred"/>
              <w:jc w:val="left"/>
            </w:pPr>
            <w:r>
              <w:rPr>
                <w:color w:val="000000"/>
              </w:rPr>
              <w:t>Markov individual-based model</w:t>
            </w:r>
          </w:p>
        </w:tc>
      </w:tr>
      <w:tr w:rsidR="007F6723" w14:paraId="52775F38" w14:textId="77777777" w:rsidTr="00181CF8">
        <w:tc>
          <w:tcPr>
            <w:tcW w:w="696" w:type="pct"/>
          </w:tcPr>
          <w:p w14:paraId="05479094" w14:textId="77777777" w:rsidR="007F6723" w:rsidRDefault="007F6723" w:rsidP="00181CF8">
            <w:pPr>
              <w:pStyle w:val="Tabletextcentred"/>
              <w:jc w:val="left"/>
            </w:pPr>
            <w:r>
              <w:rPr>
                <w:color w:val="000000"/>
              </w:rPr>
              <w:t>Ikeda et al</w:t>
            </w:r>
          </w:p>
        </w:tc>
        <w:tc>
          <w:tcPr>
            <w:tcW w:w="320" w:type="pct"/>
          </w:tcPr>
          <w:p w14:paraId="2582287A" w14:textId="77777777" w:rsidR="007F6723" w:rsidRDefault="007F6723" w:rsidP="00181CF8">
            <w:pPr>
              <w:pStyle w:val="Tabletextcentred"/>
              <w:jc w:val="left"/>
            </w:pPr>
            <w:r>
              <w:rPr>
                <w:color w:val="000000"/>
              </w:rPr>
              <w:t>2002</w:t>
            </w:r>
          </w:p>
        </w:tc>
        <w:tc>
          <w:tcPr>
            <w:tcW w:w="482" w:type="pct"/>
          </w:tcPr>
          <w:p w14:paraId="0D579854" w14:textId="77777777" w:rsidR="007F6723" w:rsidRPr="002D465E" w:rsidRDefault="007F6723" w:rsidP="00181CF8">
            <w:pPr>
              <w:pStyle w:val="Tabletextcentred"/>
              <w:jc w:val="left"/>
            </w:pPr>
            <w:r>
              <w:rPr>
                <w:color w:val="000000"/>
              </w:rPr>
              <w:t>Japan</w:t>
            </w:r>
          </w:p>
        </w:tc>
        <w:tc>
          <w:tcPr>
            <w:tcW w:w="1659" w:type="pct"/>
          </w:tcPr>
          <w:p w14:paraId="747B9758" w14:textId="77777777" w:rsidR="007F6723" w:rsidRDefault="007F6723" w:rsidP="00181CF8">
            <w:pPr>
              <w:pStyle w:val="Tabletextcentred"/>
              <w:jc w:val="left"/>
            </w:pPr>
            <w:r>
              <w:rPr>
                <w:color w:val="000000"/>
              </w:rPr>
              <w:t>CEA / donepezil for mild-moderate</w:t>
            </w:r>
          </w:p>
        </w:tc>
        <w:tc>
          <w:tcPr>
            <w:tcW w:w="868" w:type="pct"/>
          </w:tcPr>
          <w:p w14:paraId="4469FA16" w14:textId="77777777" w:rsidR="007F6723" w:rsidRDefault="007F6723" w:rsidP="00181CF8">
            <w:pPr>
              <w:pStyle w:val="Tabletextcentred"/>
              <w:jc w:val="left"/>
            </w:pPr>
            <w:r>
              <w:rPr>
                <w:color w:val="000000"/>
              </w:rPr>
              <w:t>CERAD-CDR model</w:t>
            </w:r>
          </w:p>
        </w:tc>
        <w:tc>
          <w:tcPr>
            <w:tcW w:w="975" w:type="pct"/>
          </w:tcPr>
          <w:p w14:paraId="30AC0638" w14:textId="77777777" w:rsidR="007F6723" w:rsidRDefault="007F6723" w:rsidP="00181CF8">
            <w:pPr>
              <w:pStyle w:val="Tabletextcentred"/>
              <w:jc w:val="left"/>
            </w:pPr>
            <w:r>
              <w:rPr>
                <w:color w:val="000000"/>
              </w:rPr>
              <w:t>Markov cohort model</w:t>
            </w:r>
          </w:p>
        </w:tc>
      </w:tr>
      <w:tr w:rsidR="007F6723" w14:paraId="5D06B290" w14:textId="77777777" w:rsidTr="00181CF8">
        <w:tc>
          <w:tcPr>
            <w:tcW w:w="696" w:type="pct"/>
          </w:tcPr>
          <w:p w14:paraId="488CCF1F" w14:textId="77777777" w:rsidR="007F6723" w:rsidRDefault="007F6723" w:rsidP="00181CF8">
            <w:pPr>
              <w:pStyle w:val="Tabletextcentred"/>
              <w:jc w:val="left"/>
            </w:pPr>
            <w:r>
              <w:rPr>
                <w:color w:val="000000"/>
              </w:rPr>
              <w:t>Garfield et al</w:t>
            </w:r>
          </w:p>
        </w:tc>
        <w:tc>
          <w:tcPr>
            <w:tcW w:w="320" w:type="pct"/>
          </w:tcPr>
          <w:p w14:paraId="5CF2A1B1" w14:textId="77777777" w:rsidR="007F6723" w:rsidRDefault="007F6723" w:rsidP="00181CF8">
            <w:pPr>
              <w:pStyle w:val="Tabletextcentred"/>
              <w:jc w:val="left"/>
            </w:pPr>
            <w:r>
              <w:rPr>
                <w:color w:val="000000"/>
              </w:rPr>
              <w:t>2002</w:t>
            </w:r>
          </w:p>
        </w:tc>
        <w:tc>
          <w:tcPr>
            <w:tcW w:w="482" w:type="pct"/>
          </w:tcPr>
          <w:p w14:paraId="6331DD70" w14:textId="77777777" w:rsidR="007F6723" w:rsidRPr="002D465E" w:rsidRDefault="007F6723" w:rsidP="00181CF8">
            <w:pPr>
              <w:pStyle w:val="Tabletextcentred"/>
              <w:jc w:val="left"/>
            </w:pPr>
            <w:r>
              <w:rPr>
                <w:color w:val="000000"/>
              </w:rPr>
              <w:t>Sweden</w:t>
            </w:r>
          </w:p>
        </w:tc>
        <w:tc>
          <w:tcPr>
            <w:tcW w:w="1659" w:type="pct"/>
          </w:tcPr>
          <w:p w14:paraId="0B08FF3C" w14:textId="77777777" w:rsidR="007F6723" w:rsidRDefault="007F6723" w:rsidP="00181CF8">
            <w:pPr>
              <w:pStyle w:val="Tabletextcentred"/>
              <w:jc w:val="left"/>
            </w:pPr>
            <w:r>
              <w:rPr>
                <w:color w:val="000000"/>
              </w:rPr>
              <w:t>CEA / galantamine for mild-moderate AD</w:t>
            </w:r>
          </w:p>
        </w:tc>
        <w:tc>
          <w:tcPr>
            <w:tcW w:w="868" w:type="pct"/>
          </w:tcPr>
          <w:p w14:paraId="733469B3" w14:textId="77777777" w:rsidR="007F6723" w:rsidRDefault="007F6723" w:rsidP="00181CF8">
            <w:pPr>
              <w:pStyle w:val="Tabletextcentred"/>
              <w:jc w:val="left"/>
            </w:pPr>
            <w:r>
              <w:rPr>
                <w:color w:val="000000"/>
              </w:rPr>
              <w:t>AHEAD model</w:t>
            </w:r>
          </w:p>
        </w:tc>
        <w:tc>
          <w:tcPr>
            <w:tcW w:w="975" w:type="pct"/>
          </w:tcPr>
          <w:p w14:paraId="3CC7EE1D" w14:textId="77777777" w:rsidR="007F6723" w:rsidRDefault="007F6723" w:rsidP="00181CF8">
            <w:pPr>
              <w:pStyle w:val="Tabletextcentred"/>
              <w:jc w:val="left"/>
            </w:pPr>
            <w:r>
              <w:rPr>
                <w:color w:val="000000"/>
              </w:rPr>
              <w:t>Markov individual-based model</w:t>
            </w:r>
          </w:p>
        </w:tc>
      </w:tr>
      <w:tr w:rsidR="007F6723" w14:paraId="79C591D3" w14:textId="77777777" w:rsidTr="00181CF8">
        <w:tc>
          <w:tcPr>
            <w:tcW w:w="696" w:type="pct"/>
          </w:tcPr>
          <w:p w14:paraId="64FD2AF5" w14:textId="77777777" w:rsidR="007F6723" w:rsidRDefault="007F6723" w:rsidP="00181CF8">
            <w:pPr>
              <w:pStyle w:val="Tabletextcentred"/>
              <w:jc w:val="left"/>
            </w:pPr>
            <w:r>
              <w:rPr>
                <w:color w:val="000000"/>
              </w:rPr>
              <w:t>McDonnell et al</w:t>
            </w:r>
          </w:p>
        </w:tc>
        <w:tc>
          <w:tcPr>
            <w:tcW w:w="320" w:type="pct"/>
          </w:tcPr>
          <w:p w14:paraId="5F65E161" w14:textId="77777777" w:rsidR="007F6723" w:rsidRDefault="007F6723" w:rsidP="00181CF8">
            <w:pPr>
              <w:pStyle w:val="Tabletextcentred"/>
              <w:jc w:val="left"/>
            </w:pPr>
            <w:r>
              <w:rPr>
                <w:color w:val="000000"/>
              </w:rPr>
              <w:t>2001</w:t>
            </w:r>
          </w:p>
        </w:tc>
        <w:tc>
          <w:tcPr>
            <w:tcW w:w="482" w:type="pct"/>
          </w:tcPr>
          <w:p w14:paraId="6284210D" w14:textId="77777777" w:rsidR="007F6723" w:rsidRPr="002D465E" w:rsidRDefault="007F6723" w:rsidP="00181CF8">
            <w:pPr>
              <w:pStyle w:val="Tabletextcentred"/>
              <w:jc w:val="left"/>
            </w:pPr>
            <w:r>
              <w:rPr>
                <w:color w:val="000000"/>
              </w:rPr>
              <w:t>Netherlands</w:t>
            </w:r>
          </w:p>
        </w:tc>
        <w:tc>
          <w:tcPr>
            <w:tcW w:w="1659" w:type="pct"/>
          </w:tcPr>
          <w:p w14:paraId="01F4CF43" w14:textId="77777777" w:rsidR="007F6723" w:rsidRDefault="007F6723" w:rsidP="00181CF8">
            <w:pPr>
              <w:pStyle w:val="Tabletextcentred"/>
              <w:jc w:val="left"/>
            </w:pPr>
            <w:r>
              <w:rPr>
                <w:color w:val="000000"/>
              </w:rPr>
              <w:t xml:space="preserve">CEA / medications </w:t>
            </w:r>
          </w:p>
        </w:tc>
        <w:tc>
          <w:tcPr>
            <w:tcW w:w="868" w:type="pct"/>
          </w:tcPr>
          <w:p w14:paraId="27BFE128" w14:textId="77777777" w:rsidR="007F6723" w:rsidRDefault="007F6723" w:rsidP="00181CF8">
            <w:pPr>
              <w:pStyle w:val="Tabletextcentred"/>
              <w:jc w:val="left"/>
            </w:pPr>
            <w:r>
              <w:rPr>
                <w:color w:val="000000"/>
              </w:rPr>
              <w:t>McDonell model</w:t>
            </w:r>
          </w:p>
        </w:tc>
        <w:tc>
          <w:tcPr>
            <w:tcW w:w="975" w:type="pct"/>
          </w:tcPr>
          <w:p w14:paraId="072D8EA2" w14:textId="77777777" w:rsidR="007F6723" w:rsidRDefault="007F6723" w:rsidP="00181CF8">
            <w:pPr>
              <w:pStyle w:val="Tabletextcentred"/>
              <w:jc w:val="left"/>
            </w:pPr>
            <w:r>
              <w:rPr>
                <w:color w:val="000000"/>
              </w:rPr>
              <w:t>Regression-based analysis using cohort data</w:t>
            </w:r>
          </w:p>
        </w:tc>
      </w:tr>
      <w:tr w:rsidR="007F6723" w14:paraId="5AB4F892" w14:textId="77777777" w:rsidTr="00181CF8">
        <w:tc>
          <w:tcPr>
            <w:tcW w:w="696" w:type="pct"/>
          </w:tcPr>
          <w:p w14:paraId="2B78359A" w14:textId="77777777" w:rsidR="007F6723" w:rsidRDefault="007F6723" w:rsidP="00181CF8">
            <w:pPr>
              <w:pStyle w:val="Tabletextcentred"/>
              <w:jc w:val="left"/>
            </w:pPr>
            <w:r>
              <w:rPr>
                <w:color w:val="000000"/>
              </w:rPr>
              <w:t>Neumann et al</w:t>
            </w:r>
          </w:p>
        </w:tc>
        <w:tc>
          <w:tcPr>
            <w:tcW w:w="320" w:type="pct"/>
          </w:tcPr>
          <w:p w14:paraId="3DAD28CA" w14:textId="77777777" w:rsidR="007F6723" w:rsidRDefault="007F6723" w:rsidP="00181CF8">
            <w:pPr>
              <w:pStyle w:val="Tabletextcentred"/>
              <w:jc w:val="left"/>
            </w:pPr>
            <w:r>
              <w:rPr>
                <w:color w:val="000000"/>
              </w:rPr>
              <w:t>2001</w:t>
            </w:r>
          </w:p>
        </w:tc>
        <w:tc>
          <w:tcPr>
            <w:tcW w:w="482" w:type="pct"/>
          </w:tcPr>
          <w:p w14:paraId="3702B10A" w14:textId="77777777" w:rsidR="007F6723" w:rsidRPr="002D465E" w:rsidRDefault="007F6723" w:rsidP="00181CF8">
            <w:pPr>
              <w:pStyle w:val="Tabletextcentred"/>
              <w:jc w:val="left"/>
            </w:pPr>
            <w:r>
              <w:rPr>
                <w:color w:val="000000"/>
              </w:rPr>
              <w:t>USA</w:t>
            </w:r>
          </w:p>
        </w:tc>
        <w:tc>
          <w:tcPr>
            <w:tcW w:w="1659" w:type="pct"/>
          </w:tcPr>
          <w:p w14:paraId="7D4E966F" w14:textId="77777777" w:rsidR="007F6723" w:rsidRDefault="007F6723" w:rsidP="00181CF8">
            <w:pPr>
              <w:pStyle w:val="Tabletextcentred"/>
              <w:jc w:val="left"/>
            </w:pPr>
            <w:r>
              <w:rPr>
                <w:color w:val="000000"/>
              </w:rPr>
              <w:t>Statistical / Progression in mild-moderate AD</w:t>
            </w:r>
          </w:p>
        </w:tc>
        <w:tc>
          <w:tcPr>
            <w:tcW w:w="868" w:type="pct"/>
          </w:tcPr>
          <w:p w14:paraId="4AEE1D4E" w14:textId="77777777" w:rsidR="007F6723" w:rsidRDefault="007F6723" w:rsidP="00181CF8">
            <w:pPr>
              <w:pStyle w:val="Tabletextcentred"/>
              <w:jc w:val="left"/>
            </w:pPr>
            <w:r>
              <w:rPr>
                <w:color w:val="000000"/>
              </w:rPr>
              <w:t>CERAD-CDR model</w:t>
            </w:r>
          </w:p>
        </w:tc>
        <w:tc>
          <w:tcPr>
            <w:tcW w:w="975" w:type="pct"/>
          </w:tcPr>
          <w:p w14:paraId="2BE71247" w14:textId="77777777" w:rsidR="007F6723" w:rsidRDefault="007F6723" w:rsidP="00181CF8">
            <w:pPr>
              <w:pStyle w:val="Tabletextcentred"/>
              <w:jc w:val="left"/>
            </w:pPr>
            <w:r>
              <w:rPr>
                <w:color w:val="000000"/>
              </w:rPr>
              <w:t>Markov cohort model</w:t>
            </w:r>
          </w:p>
        </w:tc>
      </w:tr>
      <w:tr w:rsidR="007F6723" w14:paraId="7F22565A" w14:textId="77777777" w:rsidTr="00181CF8">
        <w:tc>
          <w:tcPr>
            <w:tcW w:w="696" w:type="pct"/>
          </w:tcPr>
          <w:p w14:paraId="6BB0DD84" w14:textId="77777777" w:rsidR="007F6723" w:rsidRDefault="007F6723" w:rsidP="00181CF8">
            <w:pPr>
              <w:pStyle w:val="Tabletextcentred"/>
              <w:jc w:val="left"/>
            </w:pPr>
            <w:r>
              <w:rPr>
                <w:color w:val="000000"/>
              </w:rPr>
              <w:t>Getsios et al</w:t>
            </w:r>
          </w:p>
        </w:tc>
        <w:tc>
          <w:tcPr>
            <w:tcW w:w="320" w:type="pct"/>
          </w:tcPr>
          <w:p w14:paraId="7B2F010B" w14:textId="77777777" w:rsidR="007F6723" w:rsidRDefault="007F6723" w:rsidP="00181CF8">
            <w:pPr>
              <w:pStyle w:val="Tabletextcentred"/>
              <w:jc w:val="left"/>
            </w:pPr>
            <w:r>
              <w:rPr>
                <w:color w:val="000000"/>
              </w:rPr>
              <w:t>2001</w:t>
            </w:r>
          </w:p>
        </w:tc>
        <w:tc>
          <w:tcPr>
            <w:tcW w:w="482" w:type="pct"/>
          </w:tcPr>
          <w:p w14:paraId="5547F902" w14:textId="77777777" w:rsidR="007F6723" w:rsidRPr="002D465E" w:rsidRDefault="007F6723" w:rsidP="00181CF8">
            <w:pPr>
              <w:pStyle w:val="Tabletextcentred"/>
              <w:jc w:val="left"/>
            </w:pPr>
            <w:r>
              <w:rPr>
                <w:color w:val="000000"/>
              </w:rPr>
              <w:t>Canada</w:t>
            </w:r>
          </w:p>
        </w:tc>
        <w:tc>
          <w:tcPr>
            <w:tcW w:w="1659" w:type="pct"/>
          </w:tcPr>
          <w:p w14:paraId="45289EDD" w14:textId="77777777" w:rsidR="007F6723" w:rsidRDefault="007F6723" w:rsidP="00181CF8">
            <w:pPr>
              <w:pStyle w:val="Tabletextcentred"/>
              <w:jc w:val="left"/>
            </w:pPr>
            <w:r>
              <w:rPr>
                <w:color w:val="000000"/>
              </w:rPr>
              <w:t>CEA / galantamine for mild-moderate AD</w:t>
            </w:r>
          </w:p>
        </w:tc>
        <w:tc>
          <w:tcPr>
            <w:tcW w:w="868" w:type="pct"/>
          </w:tcPr>
          <w:p w14:paraId="426355A8" w14:textId="77777777" w:rsidR="007F6723" w:rsidRDefault="007F6723" w:rsidP="00181CF8">
            <w:pPr>
              <w:pStyle w:val="Tabletextcentred"/>
              <w:jc w:val="left"/>
            </w:pPr>
            <w:r>
              <w:rPr>
                <w:color w:val="000000"/>
              </w:rPr>
              <w:t>AHEAD model</w:t>
            </w:r>
          </w:p>
        </w:tc>
        <w:tc>
          <w:tcPr>
            <w:tcW w:w="975" w:type="pct"/>
          </w:tcPr>
          <w:p w14:paraId="77D9F1E8" w14:textId="77777777" w:rsidR="007F6723" w:rsidRDefault="007F6723" w:rsidP="00181CF8">
            <w:pPr>
              <w:pStyle w:val="Tabletextcentred"/>
              <w:jc w:val="left"/>
            </w:pPr>
            <w:r>
              <w:rPr>
                <w:color w:val="000000"/>
              </w:rPr>
              <w:t>Markov individual-based model</w:t>
            </w:r>
          </w:p>
        </w:tc>
      </w:tr>
      <w:tr w:rsidR="007F6723" w14:paraId="3E8DB560" w14:textId="77777777" w:rsidTr="00181CF8">
        <w:tc>
          <w:tcPr>
            <w:tcW w:w="696" w:type="pct"/>
          </w:tcPr>
          <w:p w14:paraId="6357AB50" w14:textId="77777777" w:rsidR="007F6723" w:rsidRDefault="007F6723" w:rsidP="00181CF8">
            <w:pPr>
              <w:pStyle w:val="Tabletextcentred"/>
              <w:jc w:val="left"/>
            </w:pPr>
            <w:r>
              <w:rPr>
                <w:color w:val="000000"/>
              </w:rPr>
              <w:lastRenderedPageBreak/>
              <w:t>Caro et al</w:t>
            </w:r>
          </w:p>
        </w:tc>
        <w:tc>
          <w:tcPr>
            <w:tcW w:w="320" w:type="pct"/>
          </w:tcPr>
          <w:p w14:paraId="3553F634" w14:textId="77777777" w:rsidR="007F6723" w:rsidRDefault="007F6723" w:rsidP="00181CF8">
            <w:pPr>
              <w:pStyle w:val="Tabletextcentred"/>
              <w:jc w:val="left"/>
            </w:pPr>
            <w:r>
              <w:rPr>
                <w:color w:val="000000"/>
              </w:rPr>
              <w:t>2001</w:t>
            </w:r>
          </w:p>
        </w:tc>
        <w:tc>
          <w:tcPr>
            <w:tcW w:w="482" w:type="pct"/>
          </w:tcPr>
          <w:p w14:paraId="7118F012" w14:textId="77777777" w:rsidR="007F6723" w:rsidRPr="002D465E" w:rsidRDefault="007F6723" w:rsidP="00181CF8">
            <w:pPr>
              <w:pStyle w:val="Tabletextcentred"/>
              <w:jc w:val="left"/>
            </w:pPr>
            <w:r>
              <w:rPr>
                <w:color w:val="000000"/>
              </w:rPr>
              <w:t>USA</w:t>
            </w:r>
          </w:p>
        </w:tc>
        <w:tc>
          <w:tcPr>
            <w:tcW w:w="1659" w:type="pct"/>
          </w:tcPr>
          <w:p w14:paraId="64BED1CE" w14:textId="77777777" w:rsidR="007F6723" w:rsidRDefault="007F6723" w:rsidP="00181CF8">
            <w:pPr>
              <w:pStyle w:val="Tabletextcentred"/>
              <w:jc w:val="left"/>
            </w:pPr>
            <w:r>
              <w:rPr>
                <w:color w:val="000000"/>
              </w:rPr>
              <w:t>CEA / galantamine for mild-moderate AD</w:t>
            </w:r>
          </w:p>
        </w:tc>
        <w:tc>
          <w:tcPr>
            <w:tcW w:w="868" w:type="pct"/>
          </w:tcPr>
          <w:p w14:paraId="0783C200" w14:textId="77777777" w:rsidR="007F6723" w:rsidRDefault="007F6723" w:rsidP="00181CF8">
            <w:pPr>
              <w:pStyle w:val="Tabletextcentred"/>
              <w:jc w:val="left"/>
            </w:pPr>
            <w:r>
              <w:rPr>
                <w:color w:val="000000"/>
              </w:rPr>
              <w:t>AHEAD model</w:t>
            </w:r>
          </w:p>
        </w:tc>
        <w:tc>
          <w:tcPr>
            <w:tcW w:w="975" w:type="pct"/>
          </w:tcPr>
          <w:p w14:paraId="64B63EA2" w14:textId="77777777" w:rsidR="007F6723" w:rsidRDefault="007F6723" w:rsidP="00181CF8">
            <w:pPr>
              <w:pStyle w:val="Tabletextcentred"/>
              <w:jc w:val="left"/>
            </w:pPr>
            <w:r>
              <w:rPr>
                <w:color w:val="000000"/>
              </w:rPr>
              <w:t>Markov individual-based model</w:t>
            </w:r>
          </w:p>
        </w:tc>
      </w:tr>
      <w:tr w:rsidR="007F6723" w14:paraId="49C647E5" w14:textId="77777777" w:rsidTr="00181CF8">
        <w:tc>
          <w:tcPr>
            <w:tcW w:w="696" w:type="pct"/>
          </w:tcPr>
          <w:p w14:paraId="5D740CA0" w14:textId="77777777" w:rsidR="007F6723" w:rsidRDefault="007F6723" w:rsidP="00181CF8">
            <w:pPr>
              <w:pStyle w:val="Tabletextcentred"/>
              <w:jc w:val="left"/>
            </w:pPr>
            <w:r>
              <w:rPr>
                <w:color w:val="000000"/>
              </w:rPr>
              <w:t>Mendiondo et al</w:t>
            </w:r>
          </w:p>
        </w:tc>
        <w:tc>
          <w:tcPr>
            <w:tcW w:w="320" w:type="pct"/>
          </w:tcPr>
          <w:p w14:paraId="48152D6B" w14:textId="77777777" w:rsidR="007F6723" w:rsidRDefault="007F6723" w:rsidP="00181CF8">
            <w:pPr>
              <w:pStyle w:val="Tabletextcentred"/>
              <w:jc w:val="left"/>
            </w:pPr>
            <w:r>
              <w:rPr>
                <w:color w:val="000000"/>
              </w:rPr>
              <w:t>2000</w:t>
            </w:r>
          </w:p>
        </w:tc>
        <w:tc>
          <w:tcPr>
            <w:tcW w:w="482" w:type="pct"/>
          </w:tcPr>
          <w:p w14:paraId="6F7C2CCC" w14:textId="77777777" w:rsidR="007F6723" w:rsidRPr="002D465E" w:rsidRDefault="007F6723" w:rsidP="00181CF8">
            <w:pPr>
              <w:pStyle w:val="Tabletextcentred"/>
              <w:jc w:val="left"/>
            </w:pPr>
            <w:r>
              <w:rPr>
                <w:color w:val="000000"/>
              </w:rPr>
              <w:t>USA</w:t>
            </w:r>
          </w:p>
        </w:tc>
        <w:tc>
          <w:tcPr>
            <w:tcW w:w="1659" w:type="pct"/>
          </w:tcPr>
          <w:p w14:paraId="09CF8087" w14:textId="77777777" w:rsidR="007F6723" w:rsidRDefault="007F6723" w:rsidP="00181CF8">
            <w:pPr>
              <w:pStyle w:val="Tabletextcentred"/>
              <w:jc w:val="left"/>
            </w:pPr>
            <w:r>
              <w:rPr>
                <w:color w:val="000000"/>
              </w:rPr>
              <w:t>Methods / Statistical model of progression in AD</w:t>
            </w:r>
          </w:p>
        </w:tc>
        <w:tc>
          <w:tcPr>
            <w:tcW w:w="868" w:type="pct"/>
          </w:tcPr>
          <w:p w14:paraId="78827C9A" w14:textId="77777777" w:rsidR="007F6723" w:rsidRDefault="007F6723" w:rsidP="00181CF8">
            <w:pPr>
              <w:pStyle w:val="Tabletextcentred"/>
              <w:jc w:val="left"/>
            </w:pPr>
            <w:r>
              <w:rPr>
                <w:color w:val="000000"/>
              </w:rPr>
              <w:t>CERAD-MMSE model</w:t>
            </w:r>
          </w:p>
        </w:tc>
        <w:tc>
          <w:tcPr>
            <w:tcW w:w="975" w:type="pct"/>
          </w:tcPr>
          <w:p w14:paraId="40F31DAD" w14:textId="77777777" w:rsidR="007F6723" w:rsidRDefault="007F6723" w:rsidP="00181CF8">
            <w:pPr>
              <w:pStyle w:val="Tabletextcentred"/>
              <w:jc w:val="left"/>
            </w:pPr>
            <w:r>
              <w:rPr>
                <w:color w:val="000000"/>
              </w:rPr>
              <w:t>Regression-based analysis using cohort data</w:t>
            </w:r>
          </w:p>
        </w:tc>
      </w:tr>
      <w:tr w:rsidR="007F6723" w14:paraId="236DC6D8" w14:textId="77777777" w:rsidTr="00181CF8">
        <w:tc>
          <w:tcPr>
            <w:tcW w:w="696" w:type="pct"/>
          </w:tcPr>
          <w:p w14:paraId="56C0F20F" w14:textId="77777777" w:rsidR="007F6723" w:rsidRDefault="007F6723" w:rsidP="00181CF8">
            <w:pPr>
              <w:pStyle w:val="Tabletextcentred"/>
              <w:jc w:val="left"/>
            </w:pPr>
            <w:r>
              <w:rPr>
                <w:color w:val="000000"/>
              </w:rPr>
              <w:t>Hauber et al</w:t>
            </w:r>
          </w:p>
        </w:tc>
        <w:tc>
          <w:tcPr>
            <w:tcW w:w="320" w:type="pct"/>
          </w:tcPr>
          <w:p w14:paraId="4313096F" w14:textId="77777777" w:rsidR="007F6723" w:rsidRDefault="007F6723" w:rsidP="00181CF8">
            <w:pPr>
              <w:pStyle w:val="Tabletextcentred"/>
              <w:jc w:val="left"/>
            </w:pPr>
            <w:r>
              <w:rPr>
                <w:color w:val="000000"/>
              </w:rPr>
              <w:t>2000a</w:t>
            </w:r>
          </w:p>
        </w:tc>
        <w:tc>
          <w:tcPr>
            <w:tcW w:w="482" w:type="pct"/>
          </w:tcPr>
          <w:p w14:paraId="4C5DB4F3" w14:textId="77777777" w:rsidR="007F6723" w:rsidRPr="002D465E" w:rsidRDefault="007F6723" w:rsidP="00181CF8">
            <w:pPr>
              <w:pStyle w:val="Tabletextcentred"/>
              <w:jc w:val="left"/>
            </w:pPr>
            <w:r>
              <w:rPr>
                <w:color w:val="000000"/>
              </w:rPr>
              <w:t>Canada</w:t>
            </w:r>
          </w:p>
        </w:tc>
        <w:tc>
          <w:tcPr>
            <w:tcW w:w="1659" w:type="pct"/>
          </w:tcPr>
          <w:p w14:paraId="41F3AF03" w14:textId="77777777" w:rsidR="007F6723" w:rsidRDefault="007F6723" w:rsidP="00181CF8">
            <w:pPr>
              <w:pStyle w:val="Tabletextcentred"/>
              <w:jc w:val="left"/>
            </w:pPr>
            <w:r>
              <w:rPr>
                <w:color w:val="000000"/>
              </w:rPr>
              <w:t>Cost analysis / rivastigmine for mild-moderate AD</w:t>
            </w:r>
          </w:p>
        </w:tc>
        <w:tc>
          <w:tcPr>
            <w:tcW w:w="868" w:type="pct"/>
          </w:tcPr>
          <w:p w14:paraId="3C8DCCAC" w14:textId="77777777" w:rsidR="007F6723" w:rsidRDefault="007F6723" w:rsidP="00181CF8">
            <w:pPr>
              <w:pStyle w:val="Tabletextcentred"/>
              <w:jc w:val="left"/>
            </w:pPr>
            <w:r>
              <w:rPr>
                <w:color w:val="000000"/>
              </w:rPr>
              <w:t>Fenn &amp; Gray model</w:t>
            </w:r>
          </w:p>
        </w:tc>
        <w:tc>
          <w:tcPr>
            <w:tcW w:w="975" w:type="pct"/>
          </w:tcPr>
          <w:p w14:paraId="26F1C05F" w14:textId="77777777" w:rsidR="007F6723" w:rsidRDefault="007F6723" w:rsidP="00181CF8">
            <w:pPr>
              <w:pStyle w:val="Tabletextcentred"/>
              <w:jc w:val="left"/>
            </w:pPr>
            <w:r>
              <w:rPr>
                <w:color w:val="000000"/>
              </w:rPr>
              <w:t>Statistical model, using individual-patient level data</w:t>
            </w:r>
          </w:p>
        </w:tc>
      </w:tr>
      <w:tr w:rsidR="007F6723" w14:paraId="0C6BB5B6" w14:textId="77777777" w:rsidTr="00181CF8">
        <w:tc>
          <w:tcPr>
            <w:tcW w:w="696" w:type="pct"/>
          </w:tcPr>
          <w:p w14:paraId="45720723" w14:textId="77777777" w:rsidR="007F6723" w:rsidRDefault="007F6723" w:rsidP="00181CF8">
            <w:pPr>
              <w:pStyle w:val="Tabletextcentred"/>
              <w:jc w:val="left"/>
            </w:pPr>
            <w:r>
              <w:rPr>
                <w:color w:val="000000"/>
              </w:rPr>
              <w:t>Hauber et al</w:t>
            </w:r>
          </w:p>
        </w:tc>
        <w:tc>
          <w:tcPr>
            <w:tcW w:w="320" w:type="pct"/>
          </w:tcPr>
          <w:p w14:paraId="4288AC2C" w14:textId="77777777" w:rsidR="007F6723" w:rsidRDefault="007F6723" w:rsidP="00181CF8">
            <w:pPr>
              <w:pStyle w:val="Tabletextcentred"/>
              <w:jc w:val="left"/>
            </w:pPr>
            <w:r>
              <w:rPr>
                <w:color w:val="000000"/>
              </w:rPr>
              <w:t>2000b</w:t>
            </w:r>
          </w:p>
        </w:tc>
        <w:tc>
          <w:tcPr>
            <w:tcW w:w="482" w:type="pct"/>
          </w:tcPr>
          <w:p w14:paraId="1041E163" w14:textId="77777777" w:rsidR="007F6723" w:rsidRPr="002D465E" w:rsidRDefault="007F6723" w:rsidP="00181CF8">
            <w:pPr>
              <w:pStyle w:val="Tabletextcentred"/>
              <w:jc w:val="left"/>
            </w:pPr>
            <w:r>
              <w:rPr>
                <w:color w:val="000000"/>
              </w:rPr>
              <w:t>USA</w:t>
            </w:r>
          </w:p>
        </w:tc>
        <w:tc>
          <w:tcPr>
            <w:tcW w:w="1659" w:type="pct"/>
          </w:tcPr>
          <w:p w14:paraId="4A705ECB" w14:textId="77777777" w:rsidR="007F6723" w:rsidRDefault="007F6723" w:rsidP="00181CF8">
            <w:pPr>
              <w:pStyle w:val="Tabletextcentred"/>
              <w:jc w:val="left"/>
            </w:pPr>
            <w:r>
              <w:rPr>
                <w:color w:val="000000"/>
              </w:rPr>
              <w:t>Cost analysis / rivastigmine for mild-moderate AD</w:t>
            </w:r>
          </w:p>
        </w:tc>
        <w:tc>
          <w:tcPr>
            <w:tcW w:w="868" w:type="pct"/>
          </w:tcPr>
          <w:p w14:paraId="53F164B1" w14:textId="77777777" w:rsidR="007F6723" w:rsidRDefault="007F6723" w:rsidP="00181CF8">
            <w:pPr>
              <w:pStyle w:val="Tabletextcentred"/>
              <w:jc w:val="left"/>
            </w:pPr>
            <w:r>
              <w:rPr>
                <w:color w:val="000000"/>
              </w:rPr>
              <w:t>Fenn &amp; Gray model</w:t>
            </w:r>
          </w:p>
        </w:tc>
        <w:tc>
          <w:tcPr>
            <w:tcW w:w="975" w:type="pct"/>
          </w:tcPr>
          <w:p w14:paraId="6EB0B70F" w14:textId="77777777" w:rsidR="007F6723" w:rsidRDefault="007F6723" w:rsidP="00181CF8">
            <w:pPr>
              <w:pStyle w:val="Tabletextcentred"/>
              <w:jc w:val="left"/>
            </w:pPr>
            <w:r>
              <w:rPr>
                <w:color w:val="000000"/>
              </w:rPr>
              <w:t>Statistical model, using individual-patient level data</w:t>
            </w:r>
          </w:p>
        </w:tc>
      </w:tr>
      <w:tr w:rsidR="007F6723" w14:paraId="2D77051E" w14:textId="77777777" w:rsidTr="00181CF8">
        <w:tc>
          <w:tcPr>
            <w:tcW w:w="696" w:type="pct"/>
          </w:tcPr>
          <w:p w14:paraId="1B26B2F4" w14:textId="77777777" w:rsidR="007F6723" w:rsidRDefault="007F6723" w:rsidP="00181CF8">
            <w:pPr>
              <w:pStyle w:val="Tabletextcentred"/>
              <w:jc w:val="left"/>
            </w:pPr>
            <w:r>
              <w:rPr>
                <w:color w:val="000000"/>
              </w:rPr>
              <w:t>McMahon et al</w:t>
            </w:r>
          </w:p>
        </w:tc>
        <w:tc>
          <w:tcPr>
            <w:tcW w:w="320" w:type="pct"/>
          </w:tcPr>
          <w:p w14:paraId="36ABF815" w14:textId="77777777" w:rsidR="007F6723" w:rsidRDefault="007F6723" w:rsidP="00181CF8">
            <w:pPr>
              <w:pStyle w:val="Tabletextcentred"/>
              <w:jc w:val="left"/>
            </w:pPr>
            <w:r>
              <w:rPr>
                <w:color w:val="000000"/>
              </w:rPr>
              <w:t>2000</w:t>
            </w:r>
          </w:p>
        </w:tc>
        <w:tc>
          <w:tcPr>
            <w:tcW w:w="482" w:type="pct"/>
          </w:tcPr>
          <w:p w14:paraId="7E59155E" w14:textId="77777777" w:rsidR="007F6723" w:rsidRPr="002D465E" w:rsidRDefault="007F6723" w:rsidP="00181CF8">
            <w:pPr>
              <w:pStyle w:val="Tabletextcentred"/>
              <w:jc w:val="left"/>
            </w:pPr>
            <w:r>
              <w:rPr>
                <w:color w:val="000000"/>
              </w:rPr>
              <w:t>USA</w:t>
            </w:r>
          </w:p>
        </w:tc>
        <w:tc>
          <w:tcPr>
            <w:tcW w:w="1659" w:type="pct"/>
          </w:tcPr>
          <w:p w14:paraId="3A95ABE3" w14:textId="77777777" w:rsidR="007F6723" w:rsidRDefault="007F6723" w:rsidP="00181CF8">
            <w:pPr>
              <w:pStyle w:val="Tabletextcentred"/>
              <w:jc w:val="left"/>
            </w:pPr>
            <w:r>
              <w:rPr>
                <w:color w:val="000000"/>
              </w:rPr>
              <w:t>CEA / screening for AD (MRI/SPECT)</w:t>
            </w:r>
          </w:p>
        </w:tc>
        <w:tc>
          <w:tcPr>
            <w:tcW w:w="868" w:type="pct"/>
          </w:tcPr>
          <w:p w14:paraId="1AEFFD4E" w14:textId="77777777" w:rsidR="007F6723" w:rsidRDefault="007F6723" w:rsidP="00181CF8">
            <w:pPr>
              <w:pStyle w:val="Tabletextcentred"/>
              <w:jc w:val="left"/>
            </w:pPr>
            <w:r>
              <w:rPr>
                <w:color w:val="000000"/>
              </w:rPr>
              <w:t>CERAD-CDR model</w:t>
            </w:r>
          </w:p>
        </w:tc>
        <w:tc>
          <w:tcPr>
            <w:tcW w:w="975" w:type="pct"/>
          </w:tcPr>
          <w:p w14:paraId="03D56B03" w14:textId="77777777" w:rsidR="007F6723" w:rsidRDefault="007F6723" w:rsidP="00181CF8">
            <w:pPr>
              <w:pStyle w:val="Tabletextcentred"/>
              <w:jc w:val="left"/>
            </w:pPr>
            <w:r>
              <w:rPr>
                <w:color w:val="000000"/>
              </w:rPr>
              <w:t>Markov cohort model</w:t>
            </w:r>
          </w:p>
        </w:tc>
      </w:tr>
      <w:tr w:rsidR="007F6723" w14:paraId="0E8D53C4" w14:textId="77777777" w:rsidTr="00181CF8">
        <w:tc>
          <w:tcPr>
            <w:tcW w:w="696" w:type="pct"/>
          </w:tcPr>
          <w:p w14:paraId="4A0C1E20" w14:textId="77777777" w:rsidR="007F6723" w:rsidRDefault="007F6723" w:rsidP="00181CF8">
            <w:pPr>
              <w:pStyle w:val="Tabletextcentred"/>
              <w:jc w:val="left"/>
            </w:pPr>
            <w:r>
              <w:rPr>
                <w:color w:val="000000"/>
              </w:rPr>
              <w:t>Kinosian et al</w:t>
            </w:r>
          </w:p>
        </w:tc>
        <w:tc>
          <w:tcPr>
            <w:tcW w:w="320" w:type="pct"/>
          </w:tcPr>
          <w:p w14:paraId="4DEC7D61" w14:textId="77777777" w:rsidR="007F6723" w:rsidRDefault="007F6723" w:rsidP="00181CF8">
            <w:pPr>
              <w:pStyle w:val="Tabletextcentred"/>
              <w:jc w:val="left"/>
            </w:pPr>
            <w:r>
              <w:rPr>
                <w:color w:val="000000"/>
              </w:rPr>
              <w:t>2000</w:t>
            </w:r>
          </w:p>
        </w:tc>
        <w:tc>
          <w:tcPr>
            <w:tcW w:w="482" w:type="pct"/>
          </w:tcPr>
          <w:p w14:paraId="0492BE38" w14:textId="77777777" w:rsidR="007F6723" w:rsidRPr="002D465E" w:rsidRDefault="007F6723" w:rsidP="00181CF8">
            <w:pPr>
              <w:pStyle w:val="Tabletextcentred"/>
              <w:jc w:val="left"/>
            </w:pPr>
            <w:r>
              <w:rPr>
                <w:color w:val="000000"/>
              </w:rPr>
              <w:t>USA</w:t>
            </w:r>
          </w:p>
        </w:tc>
        <w:tc>
          <w:tcPr>
            <w:tcW w:w="1659" w:type="pct"/>
          </w:tcPr>
          <w:p w14:paraId="0C9824DE" w14:textId="77777777" w:rsidR="007F6723" w:rsidRDefault="007F6723" w:rsidP="00181CF8">
            <w:pPr>
              <w:pStyle w:val="Tabletextcentred"/>
              <w:jc w:val="left"/>
            </w:pPr>
            <w:r>
              <w:rPr>
                <w:color w:val="000000"/>
              </w:rPr>
              <w:t>Methods / Statistical model of progression in AD</w:t>
            </w:r>
          </w:p>
        </w:tc>
        <w:tc>
          <w:tcPr>
            <w:tcW w:w="868" w:type="pct"/>
          </w:tcPr>
          <w:p w14:paraId="43CB06CE" w14:textId="77777777" w:rsidR="007F6723" w:rsidRDefault="007F6723" w:rsidP="00181CF8">
            <w:pPr>
              <w:pStyle w:val="Tabletextcentred"/>
              <w:jc w:val="left"/>
            </w:pPr>
            <w:r>
              <w:rPr>
                <w:color w:val="000000"/>
              </w:rPr>
              <w:t>Kinosian model</w:t>
            </w:r>
          </w:p>
        </w:tc>
        <w:tc>
          <w:tcPr>
            <w:tcW w:w="975" w:type="pct"/>
          </w:tcPr>
          <w:p w14:paraId="5ED0E27A" w14:textId="77777777" w:rsidR="007F6723" w:rsidRDefault="007F6723" w:rsidP="00181CF8">
            <w:pPr>
              <w:pStyle w:val="Tabletextcentred"/>
              <w:jc w:val="left"/>
            </w:pPr>
            <w:r>
              <w:rPr>
                <w:color w:val="000000"/>
              </w:rPr>
              <w:t>Statistical analysis, using ‘grade of membership’ approach, using cohort data</w:t>
            </w:r>
          </w:p>
        </w:tc>
      </w:tr>
      <w:tr w:rsidR="007F6723" w14:paraId="22E36A7F" w14:textId="77777777" w:rsidTr="00181CF8">
        <w:tc>
          <w:tcPr>
            <w:tcW w:w="696" w:type="pct"/>
          </w:tcPr>
          <w:p w14:paraId="5ED339D4" w14:textId="77777777" w:rsidR="007F6723" w:rsidRDefault="007F6723" w:rsidP="00181CF8">
            <w:pPr>
              <w:pStyle w:val="Tabletextcentred"/>
              <w:jc w:val="left"/>
            </w:pPr>
            <w:r>
              <w:rPr>
                <w:color w:val="000000"/>
              </w:rPr>
              <w:t>Jönsson et al</w:t>
            </w:r>
          </w:p>
        </w:tc>
        <w:tc>
          <w:tcPr>
            <w:tcW w:w="320" w:type="pct"/>
          </w:tcPr>
          <w:p w14:paraId="685E599F" w14:textId="77777777" w:rsidR="007F6723" w:rsidRDefault="007F6723" w:rsidP="00181CF8">
            <w:pPr>
              <w:pStyle w:val="Tabletextcentred"/>
              <w:jc w:val="left"/>
            </w:pPr>
            <w:r>
              <w:rPr>
                <w:color w:val="000000"/>
              </w:rPr>
              <w:t>1999</w:t>
            </w:r>
          </w:p>
        </w:tc>
        <w:tc>
          <w:tcPr>
            <w:tcW w:w="482" w:type="pct"/>
          </w:tcPr>
          <w:p w14:paraId="06A12047" w14:textId="77777777" w:rsidR="007F6723" w:rsidRPr="002D465E" w:rsidRDefault="007F6723" w:rsidP="00181CF8">
            <w:pPr>
              <w:pStyle w:val="Tabletextcentred"/>
              <w:jc w:val="left"/>
            </w:pPr>
            <w:r>
              <w:rPr>
                <w:color w:val="000000"/>
              </w:rPr>
              <w:t>Sweden</w:t>
            </w:r>
          </w:p>
        </w:tc>
        <w:tc>
          <w:tcPr>
            <w:tcW w:w="1659" w:type="pct"/>
          </w:tcPr>
          <w:p w14:paraId="6E5FEC67" w14:textId="77777777" w:rsidR="007F6723" w:rsidRDefault="007F6723" w:rsidP="00181CF8">
            <w:pPr>
              <w:pStyle w:val="Tabletextcentred"/>
              <w:jc w:val="left"/>
            </w:pPr>
            <w:r>
              <w:rPr>
                <w:color w:val="000000"/>
              </w:rPr>
              <w:t>CEA / donepezil in mild-moderate</w:t>
            </w:r>
          </w:p>
        </w:tc>
        <w:tc>
          <w:tcPr>
            <w:tcW w:w="868" w:type="pct"/>
          </w:tcPr>
          <w:p w14:paraId="70FD167D" w14:textId="77777777" w:rsidR="007F6723" w:rsidRDefault="007F6723" w:rsidP="00181CF8">
            <w:pPr>
              <w:pStyle w:val="Tabletextcentred"/>
              <w:jc w:val="left"/>
            </w:pPr>
            <w:r>
              <w:rPr>
                <w:color w:val="000000"/>
              </w:rPr>
              <w:t>Kungsholmen-MMSE model</w:t>
            </w:r>
          </w:p>
        </w:tc>
        <w:tc>
          <w:tcPr>
            <w:tcW w:w="975" w:type="pct"/>
          </w:tcPr>
          <w:p w14:paraId="3854A8FB" w14:textId="77777777" w:rsidR="007F6723" w:rsidRDefault="007F6723" w:rsidP="00181CF8">
            <w:pPr>
              <w:pStyle w:val="Tabletextcentred"/>
              <w:jc w:val="left"/>
            </w:pPr>
            <w:r>
              <w:rPr>
                <w:color w:val="000000"/>
              </w:rPr>
              <w:t>Markov cohort model</w:t>
            </w:r>
          </w:p>
        </w:tc>
      </w:tr>
      <w:tr w:rsidR="007F6723" w14:paraId="0D055DF9" w14:textId="77777777" w:rsidTr="00181CF8">
        <w:tc>
          <w:tcPr>
            <w:tcW w:w="696" w:type="pct"/>
          </w:tcPr>
          <w:p w14:paraId="09793E4A" w14:textId="77777777" w:rsidR="007F6723" w:rsidRDefault="007F6723" w:rsidP="00181CF8">
            <w:pPr>
              <w:pStyle w:val="Tabletextcentred"/>
              <w:jc w:val="left"/>
            </w:pPr>
            <w:r>
              <w:rPr>
                <w:color w:val="000000"/>
              </w:rPr>
              <w:t>O'Brien et al</w:t>
            </w:r>
          </w:p>
        </w:tc>
        <w:tc>
          <w:tcPr>
            <w:tcW w:w="320" w:type="pct"/>
          </w:tcPr>
          <w:p w14:paraId="0B57608C" w14:textId="77777777" w:rsidR="007F6723" w:rsidRDefault="007F6723" w:rsidP="00181CF8">
            <w:pPr>
              <w:pStyle w:val="Tabletextcentred"/>
              <w:jc w:val="left"/>
            </w:pPr>
            <w:r>
              <w:rPr>
                <w:color w:val="000000"/>
              </w:rPr>
              <w:t>1999</w:t>
            </w:r>
          </w:p>
        </w:tc>
        <w:tc>
          <w:tcPr>
            <w:tcW w:w="482" w:type="pct"/>
          </w:tcPr>
          <w:p w14:paraId="321F8F29" w14:textId="77777777" w:rsidR="007F6723" w:rsidRPr="002D465E" w:rsidRDefault="007F6723" w:rsidP="00181CF8">
            <w:pPr>
              <w:pStyle w:val="Tabletextcentred"/>
              <w:jc w:val="left"/>
            </w:pPr>
            <w:r>
              <w:rPr>
                <w:color w:val="000000"/>
              </w:rPr>
              <w:t>Canada</w:t>
            </w:r>
          </w:p>
        </w:tc>
        <w:tc>
          <w:tcPr>
            <w:tcW w:w="1659" w:type="pct"/>
          </w:tcPr>
          <w:p w14:paraId="7FC3E97D" w14:textId="77777777" w:rsidR="007F6723" w:rsidRDefault="007F6723" w:rsidP="00181CF8">
            <w:pPr>
              <w:pStyle w:val="Tabletextcentred"/>
              <w:jc w:val="left"/>
            </w:pPr>
            <w:r>
              <w:rPr>
                <w:color w:val="000000"/>
              </w:rPr>
              <w:t xml:space="preserve">CEA / donepezil in mild-moderate AD </w:t>
            </w:r>
          </w:p>
        </w:tc>
        <w:tc>
          <w:tcPr>
            <w:tcW w:w="868" w:type="pct"/>
          </w:tcPr>
          <w:p w14:paraId="19E15932" w14:textId="77777777" w:rsidR="007F6723" w:rsidRDefault="007F6723" w:rsidP="00181CF8">
            <w:pPr>
              <w:pStyle w:val="Tabletextcentred"/>
              <w:jc w:val="left"/>
            </w:pPr>
            <w:r>
              <w:rPr>
                <w:color w:val="000000"/>
              </w:rPr>
              <w:t xml:space="preserve">Study-specific </w:t>
            </w:r>
          </w:p>
        </w:tc>
        <w:tc>
          <w:tcPr>
            <w:tcW w:w="975" w:type="pct"/>
          </w:tcPr>
          <w:p w14:paraId="7527A582" w14:textId="77777777" w:rsidR="007F6723" w:rsidRDefault="007F6723" w:rsidP="00181CF8">
            <w:pPr>
              <w:pStyle w:val="Tabletextcentred"/>
              <w:jc w:val="left"/>
            </w:pPr>
            <w:r>
              <w:rPr>
                <w:color w:val="000000"/>
              </w:rPr>
              <w:t>Markov cohort model</w:t>
            </w:r>
          </w:p>
        </w:tc>
      </w:tr>
      <w:tr w:rsidR="007F6723" w14:paraId="4F7C76DB" w14:textId="77777777" w:rsidTr="00181CF8">
        <w:tc>
          <w:tcPr>
            <w:tcW w:w="696" w:type="pct"/>
          </w:tcPr>
          <w:p w14:paraId="21F2C2BF" w14:textId="77777777" w:rsidR="007F6723" w:rsidRDefault="007F6723" w:rsidP="00181CF8">
            <w:pPr>
              <w:pStyle w:val="Tabletextcentred"/>
              <w:jc w:val="left"/>
            </w:pPr>
            <w:r>
              <w:rPr>
                <w:color w:val="000000"/>
              </w:rPr>
              <w:t>Neumann et al</w:t>
            </w:r>
          </w:p>
        </w:tc>
        <w:tc>
          <w:tcPr>
            <w:tcW w:w="320" w:type="pct"/>
          </w:tcPr>
          <w:p w14:paraId="7925D015" w14:textId="77777777" w:rsidR="007F6723" w:rsidRDefault="007F6723" w:rsidP="00181CF8">
            <w:pPr>
              <w:pStyle w:val="Tabletextcentred"/>
              <w:jc w:val="left"/>
            </w:pPr>
            <w:r>
              <w:rPr>
                <w:color w:val="000000"/>
              </w:rPr>
              <w:t>1999</w:t>
            </w:r>
          </w:p>
        </w:tc>
        <w:tc>
          <w:tcPr>
            <w:tcW w:w="482" w:type="pct"/>
          </w:tcPr>
          <w:p w14:paraId="3AACA666" w14:textId="77777777" w:rsidR="007F6723" w:rsidRPr="002D465E" w:rsidRDefault="007F6723" w:rsidP="00181CF8">
            <w:pPr>
              <w:pStyle w:val="Tabletextcentred"/>
              <w:jc w:val="left"/>
            </w:pPr>
            <w:r>
              <w:rPr>
                <w:color w:val="000000"/>
              </w:rPr>
              <w:t>USA</w:t>
            </w:r>
          </w:p>
        </w:tc>
        <w:tc>
          <w:tcPr>
            <w:tcW w:w="1659" w:type="pct"/>
          </w:tcPr>
          <w:p w14:paraId="0C7858C5" w14:textId="10C284E6" w:rsidR="007F6723" w:rsidRDefault="007F6723" w:rsidP="00181CF8">
            <w:pPr>
              <w:pStyle w:val="Tabletextcentred"/>
              <w:jc w:val="left"/>
            </w:pPr>
            <w:r>
              <w:rPr>
                <w:color w:val="000000"/>
              </w:rPr>
              <w:t>CEA / donepezil in mild</w:t>
            </w:r>
            <w:r w:rsidR="00617B67">
              <w:rPr>
                <w:color w:val="000000"/>
              </w:rPr>
              <w:t>-</w:t>
            </w:r>
            <w:r>
              <w:rPr>
                <w:color w:val="000000"/>
              </w:rPr>
              <w:t>moderate AD</w:t>
            </w:r>
          </w:p>
        </w:tc>
        <w:tc>
          <w:tcPr>
            <w:tcW w:w="868" w:type="pct"/>
          </w:tcPr>
          <w:p w14:paraId="7FF23C81" w14:textId="77777777" w:rsidR="007F6723" w:rsidRDefault="007F6723" w:rsidP="00181CF8">
            <w:pPr>
              <w:pStyle w:val="Tabletextcentred"/>
              <w:jc w:val="left"/>
            </w:pPr>
            <w:r>
              <w:rPr>
                <w:color w:val="000000"/>
              </w:rPr>
              <w:t>CERAD-CDR model</w:t>
            </w:r>
          </w:p>
        </w:tc>
        <w:tc>
          <w:tcPr>
            <w:tcW w:w="975" w:type="pct"/>
          </w:tcPr>
          <w:p w14:paraId="0B0810E2" w14:textId="77777777" w:rsidR="007F6723" w:rsidRDefault="007F6723" w:rsidP="00181CF8">
            <w:pPr>
              <w:pStyle w:val="Tabletextcentred"/>
              <w:jc w:val="left"/>
            </w:pPr>
            <w:r>
              <w:rPr>
                <w:color w:val="000000"/>
              </w:rPr>
              <w:t>Markov cohort model</w:t>
            </w:r>
          </w:p>
        </w:tc>
      </w:tr>
      <w:tr w:rsidR="007F6723" w14:paraId="0B45883B" w14:textId="77777777" w:rsidTr="00181CF8">
        <w:tc>
          <w:tcPr>
            <w:tcW w:w="696" w:type="pct"/>
          </w:tcPr>
          <w:p w14:paraId="74E897B5" w14:textId="77777777" w:rsidR="007F6723" w:rsidRDefault="007F6723" w:rsidP="00181CF8">
            <w:pPr>
              <w:pStyle w:val="Tabletextcentred"/>
              <w:jc w:val="left"/>
            </w:pPr>
            <w:r>
              <w:rPr>
                <w:color w:val="000000"/>
              </w:rPr>
              <w:t>Fenn &amp; Gray</w:t>
            </w:r>
          </w:p>
        </w:tc>
        <w:tc>
          <w:tcPr>
            <w:tcW w:w="320" w:type="pct"/>
          </w:tcPr>
          <w:p w14:paraId="1A10E707" w14:textId="77777777" w:rsidR="007F6723" w:rsidRDefault="007F6723" w:rsidP="00181CF8">
            <w:pPr>
              <w:pStyle w:val="Tabletextcentred"/>
              <w:jc w:val="left"/>
            </w:pPr>
            <w:r>
              <w:rPr>
                <w:color w:val="000000"/>
              </w:rPr>
              <w:t>1999</w:t>
            </w:r>
          </w:p>
        </w:tc>
        <w:tc>
          <w:tcPr>
            <w:tcW w:w="482" w:type="pct"/>
          </w:tcPr>
          <w:p w14:paraId="157BBD27" w14:textId="77777777" w:rsidR="007F6723" w:rsidRPr="002D465E" w:rsidRDefault="007F6723" w:rsidP="00181CF8">
            <w:pPr>
              <w:pStyle w:val="Tabletextcentred"/>
              <w:jc w:val="left"/>
            </w:pPr>
            <w:r>
              <w:rPr>
                <w:color w:val="000000"/>
              </w:rPr>
              <w:t>UK</w:t>
            </w:r>
          </w:p>
        </w:tc>
        <w:tc>
          <w:tcPr>
            <w:tcW w:w="1659" w:type="pct"/>
          </w:tcPr>
          <w:p w14:paraId="47145131" w14:textId="77777777" w:rsidR="007F6723" w:rsidRDefault="007F6723" w:rsidP="00181CF8">
            <w:pPr>
              <w:pStyle w:val="Tabletextcentred"/>
              <w:jc w:val="left"/>
            </w:pPr>
            <w:r>
              <w:rPr>
                <w:color w:val="000000"/>
              </w:rPr>
              <w:t>Cost analysis / rivastigmine for mild-moderate</w:t>
            </w:r>
          </w:p>
        </w:tc>
        <w:tc>
          <w:tcPr>
            <w:tcW w:w="868" w:type="pct"/>
          </w:tcPr>
          <w:p w14:paraId="717B9E56" w14:textId="77777777" w:rsidR="007F6723" w:rsidRDefault="007F6723" w:rsidP="00181CF8">
            <w:pPr>
              <w:pStyle w:val="Tabletextcentred"/>
              <w:jc w:val="left"/>
            </w:pPr>
            <w:r>
              <w:rPr>
                <w:color w:val="000000"/>
              </w:rPr>
              <w:t>Fenn &amp; Gray model</w:t>
            </w:r>
          </w:p>
        </w:tc>
        <w:tc>
          <w:tcPr>
            <w:tcW w:w="975" w:type="pct"/>
          </w:tcPr>
          <w:p w14:paraId="2E764BC5" w14:textId="77777777" w:rsidR="007F6723" w:rsidRDefault="007F6723" w:rsidP="00181CF8">
            <w:pPr>
              <w:pStyle w:val="Tabletextcentred"/>
              <w:jc w:val="left"/>
            </w:pPr>
            <w:r>
              <w:rPr>
                <w:color w:val="000000"/>
              </w:rPr>
              <w:t>Statistical model, using individual-patient level data</w:t>
            </w:r>
          </w:p>
        </w:tc>
      </w:tr>
      <w:tr w:rsidR="007F6723" w14:paraId="546E1270" w14:textId="77777777" w:rsidTr="00181CF8">
        <w:tc>
          <w:tcPr>
            <w:tcW w:w="696" w:type="pct"/>
          </w:tcPr>
          <w:p w14:paraId="0587F3BD" w14:textId="77777777" w:rsidR="007F6723" w:rsidRDefault="007F6723" w:rsidP="00181CF8">
            <w:pPr>
              <w:pStyle w:val="Tabletextcentred"/>
              <w:jc w:val="left"/>
            </w:pPr>
            <w:r>
              <w:rPr>
                <w:color w:val="000000"/>
              </w:rPr>
              <w:t>Stewart et al</w:t>
            </w:r>
          </w:p>
        </w:tc>
        <w:tc>
          <w:tcPr>
            <w:tcW w:w="320" w:type="pct"/>
          </w:tcPr>
          <w:p w14:paraId="4B9E44E5" w14:textId="77777777" w:rsidR="007F6723" w:rsidRDefault="007F6723" w:rsidP="00181CF8">
            <w:pPr>
              <w:pStyle w:val="Tabletextcentred"/>
              <w:jc w:val="left"/>
            </w:pPr>
            <w:r>
              <w:rPr>
                <w:color w:val="000000"/>
              </w:rPr>
              <w:t>1998</w:t>
            </w:r>
          </w:p>
        </w:tc>
        <w:tc>
          <w:tcPr>
            <w:tcW w:w="482" w:type="pct"/>
          </w:tcPr>
          <w:p w14:paraId="11C5D79E" w14:textId="77777777" w:rsidR="007F6723" w:rsidRPr="002D465E" w:rsidRDefault="007F6723" w:rsidP="00181CF8">
            <w:pPr>
              <w:pStyle w:val="Tabletextcentred"/>
              <w:jc w:val="left"/>
            </w:pPr>
            <w:r>
              <w:rPr>
                <w:color w:val="000000"/>
              </w:rPr>
              <w:t>UK</w:t>
            </w:r>
          </w:p>
        </w:tc>
        <w:tc>
          <w:tcPr>
            <w:tcW w:w="1659" w:type="pct"/>
          </w:tcPr>
          <w:p w14:paraId="6DED7461" w14:textId="77777777" w:rsidR="007F6723" w:rsidRDefault="007F6723" w:rsidP="00181CF8">
            <w:pPr>
              <w:pStyle w:val="Tabletextcentred"/>
              <w:jc w:val="left"/>
            </w:pPr>
            <w:r>
              <w:rPr>
                <w:color w:val="000000"/>
              </w:rPr>
              <w:t>CEA / donepezil in mild-moderate AD</w:t>
            </w:r>
          </w:p>
        </w:tc>
        <w:tc>
          <w:tcPr>
            <w:tcW w:w="868" w:type="pct"/>
          </w:tcPr>
          <w:p w14:paraId="49969EFB" w14:textId="77777777" w:rsidR="007F6723" w:rsidRDefault="007F6723" w:rsidP="00181CF8">
            <w:pPr>
              <w:pStyle w:val="Tabletextcentred"/>
              <w:jc w:val="left"/>
            </w:pPr>
            <w:r>
              <w:rPr>
                <w:color w:val="000000"/>
              </w:rPr>
              <w:t>Study-specific</w:t>
            </w:r>
          </w:p>
        </w:tc>
        <w:tc>
          <w:tcPr>
            <w:tcW w:w="975" w:type="pct"/>
          </w:tcPr>
          <w:p w14:paraId="325DD2D5" w14:textId="77777777" w:rsidR="007F6723" w:rsidRDefault="007F6723" w:rsidP="00181CF8">
            <w:pPr>
              <w:pStyle w:val="Tabletextcentred"/>
              <w:jc w:val="left"/>
            </w:pPr>
            <w:r>
              <w:rPr>
                <w:color w:val="000000"/>
              </w:rPr>
              <w:t>Markov cohort model</w:t>
            </w:r>
          </w:p>
        </w:tc>
      </w:tr>
      <w:tr w:rsidR="007F6723" w14:paraId="6D4BC0B1" w14:textId="77777777" w:rsidTr="00181CF8">
        <w:tc>
          <w:tcPr>
            <w:tcW w:w="696" w:type="pct"/>
          </w:tcPr>
          <w:p w14:paraId="1DC64375" w14:textId="77777777" w:rsidR="007F6723" w:rsidRDefault="007F6723" w:rsidP="00181CF8">
            <w:pPr>
              <w:pStyle w:val="Tabletextcentred"/>
              <w:jc w:val="left"/>
            </w:pPr>
            <w:r>
              <w:rPr>
                <w:color w:val="000000"/>
              </w:rPr>
              <w:t xml:space="preserve">Henke &amp; Burchmore </w:t>
            </w:r>
          </w:p>
        </w:tc>
        <w:tc>
          <w:tcPr>
            <w:tcW w:w="320" w:type="pct"/>
          </w:tcPr>
          <w:p w14:paraId="5A16A124" w14:textId="77777777" w:rsidR="007F6723" w:rsidRDefault="007F6723" w:rsidP="00181CF8">
            <w:pPr>
              <w:pStyle w:val="Tabletextcentred"/>
              <w:jc w:val="left"/>
            </w:pPr>
            <w:r>
              <w:rPr>
                <w:color w:val="000000"/>
              </w:rPr>
              <w:t>1997</w:t>
            </w:r>
          </w:p>
        </w:tc>
        <w:tc>
          <w:tcPr>
            <w:tcW w:w="482" w:type="pct"/>
          </w:tcPr>
          <w:p w14:paraId="3130C06A" w14:textId="77777777" w:rsidR="007F6723" w:rsidRPr="002D465E" w:rsidRDefault="007F6723" w:rsidP="00181CF8">
            <w:pPr>
              <w:pStyle w:val="Tabletextcentred"/>
              <w:jc w:val="left"/>
            </w:pPr>
            <w:r>
              <w:rPr>
                <w:color w:val="000000"/>
              </w:rPr>
              <w:t>USA</w:t>
            </w:r>
          </w:p>
        </w:tc>
        <w:tc>
          <w:tcPr>
            <w:tcW w:w="1659" w:type="pct"/>
          </w:tcPr>
          <w:p w14:paraId="36527049" w14:textId="77777777" w:rsidR="007F6723" w:rsidRDefault="007F6723" w:rsidP="00181CF8">
            <w:pPr>
              <w:pStyle w:val="Tabletextcentred"/>
              <w:jc w:val="left"/>
            </w:pPr>
            <w:r>
              <w:rPr>
                <w:color w:val="000000"/>
              </w:rPr>
              <w:t>Cost analysis / tacrine in mild-moderate AD</w:t>
            </w:r>
          </w:p>
        </w:tc>
        <w:tc>
          <w:tcPr>
            <w:tcW w:w="868" w:type="pct"/>
          </w:tcPr>
          <w:p w14:paraId="13AA68D4" w14:textId="77777777" w:rsidR="007F6723" w:rsidRDefault="007F6723" w:rsidP="00181CF8">
            <w:pPr>
              <w:pStyle w:val="Tabletextcentred"/>
              <w:jc w:val="left"/>
            </w:pPr>
            <w:r>
              <w:rPr>
                <w:color w:val="000000"/>
              </w:rPr>
              <w:t>Study-specific</w:t>
            </w:r>
          </w:p>
        </w:tc>
        <w:tc>
          <w:tcPr>
            <w:tcW w:w="975" w:type="pct"/>
          </w:tcPr>
          <w:p w14:paraId="0B844B5C" w14:textId="77777777" w:rsidR="007F6723" w:rsidRDefault="007F6723" w:rsidP="00181CF8">
            <w:pPr>
              <w:pStyle w:val="Tabletextcentred"/>
              <w:jc w:val="left"/>
            </w:pPr>
            <w:r>
              <w:rPr>
                <w:color w:val="000000"/>
              </w:rPr>
              <w:t>Decision Tree Analysis using cohort data</w:t>
            </w:r>
          </w:p>
        </w:tc>
      </w:tr>
      <w:tr w:rsidR="007F6723" w14:paraId="4DDA522A" w14:textId="77777777" w:rsidTr="00181CF8">
        <w:tc>
          <w:tcPr>
            <w:tcW w:w="696" w:type="pct"/>
          </w:tcPr>
          <w:p w14:paraId="0E2C2FF4" w14:textId="77777777" w:rsidR="007F6723" w:rsidRDefault="007F6723" w:rsidP="00181CF8">
            <w:pPr>
              <w:pStyle w:val="Tabletextcentred"/>
              <w:jc w:val="left"/>
            </w:pPr>
            <w:r>
              <w:rPr>
                <w:color w:val="000000"/>
              </w:rPr>
              <w:t>Wimo et al</w:t>
            </w:r>
          </w:p>
        </w:tc>
        <w:tc>
          <w:tcPr>
            <w:tcW w:w="320" w:type="pct"/>
          </w:tcPr>
          <w:p w14:paraId="50385B9D" w14:textId="77777777" w:rsidR="007F6723" w:rsidRDefault="007F6723" w:rsidP="00181CF8">
            <w:pPr>
              <w:pStyle w:val="Tabletextcentred"/>
              <w:jc w:val="left"/>
            </w:pPr>
            <w:r>
              <w:rPr>
                <w:color w:val="000000"/>
              </w:rPr>
              <w:t>1997</w:t>
            </w:r>
          </w:p>
        </w:tc>
        <w:tc>
          <w:tcPr>
            <w:tcW w:w="482" w:type="pct"/>
          </w:tcPr>
          <w:p w14:paraId="1D1F63D0" w14:textId="77777777" w:rsidR="007F6723" w:rsidRPr="002D465E" w:rsidRDefault="007F6723" w:rsidP="00181CF8">
            <w:pPr>
              <w:pStyle w:val="Tabletextcentred"/>
              <w:jc w:val="left"/>
            </w:pPr>
            <w:r>
              <w:rPr>
                <w:color w:val="000000"/>
              </w:rPr>
              <w:t>Sweden</w:t>
            </w:r>
          </w:p>
        </w:tc>
        <w:tc>
          <w:tcPr>
            <w:tcW w:w="1659" w:type="pct"/>
          </w:tcPr>
          <w:p w14:paraId="5844EADE" w14:textId="77777777" w:rsidR="007F6723" w:rsidRDefault="007F6723" w:rsidP="00181CF8">
            <w:pPr>
              <w:pStyle w:val="Tabletextcentred"/>
              <w:jc w:val="left"/>
            </w:pPr>
            <w:r>
              <w:rPr>
                <w:color w:val="000000"/>
              </w:rPr>
              <w:t>Cost analysis / tacrine in mild-moderate AD</w:t>
            </w:r>
          </w:p>
        </w:tc>
        <w:tc>
          <w:tcPr>
            <w:tcW w:w="868" w:type="pct"/>
          </w:tcPr>
          <w:p w14:paraId="66F32B5A" w14:textId="77777777" w:rsidR="007F6723" w:rsidRDefault="007F6723" w:rsidP="00181CF8">
            <w:pPr>
              <w:pStyle w:val="Tabletextcentred"/>
              <w:jc w:val="left"/>
            </w:pPr>
            <w:r>
              <w:rPr>
                <w:color w:val="000000"/>
              </w:rPr>
              <w:t>Kungsholmen-MMSE model</w:t>
            </w:r>
          </w:p>
        </w:tc>
        <w:tc>
          <w:tcPr>
            <w:tcW w:w="975" w:type="pct"/>
          </w:tcPr>
          <w:p w14:paraId="19D2FA55" w14:textId="77777777" w:rsidR="007F6723" w:rsidRDefault="007F6723" w:rsidP="00181CF8">
            <w:pPr>
              <w:pStyle w:val="Tabletextcentred"/>
              <w:jc w:val="left"/>
            </w:pPr>
            <w:r>
              <w:rPr>
                <w:color w:val="000000"/>
              </w:rPr>
              <w:t>Cohort simulation</w:t>
            </w:r>
          </w:p>
        </w:tc>
      </w:tr>
      <w:tr w:rsidR="007F6723" w14:paraId="35C01A84" w14:textId="77777777" w:rsidTr="00181CF8">
        <w:tc>
          <w:tcPr>
            <w:tcW w:w="696" w:type="pct"/>
          </w:tcPr>
          <w:p w14:paraId="4B8EF371" w14:textId="77777777" w:rsidR="007F6723" w:rsidRDefault="007F6723" w:rsidP="00181CF8">
            <w:pPr>
              <w:pStyle w:val="Tabletextcentred"/>
              <w:jc w:val="left"/>
            </w:pPr>
            <w:r>
              <w:rPr>
                <w:color w:val="000000"/>
              </w:rPr>
              <w:t>Stern et al</w:t>
            </w:r>
          </w:p>
        </w:tc>
        <w:tc>
          <w:tcPr>
            <w:tcW w:w="320" w:type="pct"/>
          </w:tcPr>
          <w:p w14:paraId="461E1C41" w14:textId="77777777" w:rsidR="007F6723" w:rsidRDefault="007F6723" w:rsidP="00181CF8">
            <w:pPr>
              <w:pStyle w:val="Tabletextcentred"/>
              <w:jc w:val="left"/>
            </w:pPr>
            <w:r>
              <w:rPr>
                <w:color w:val="000000"/>
              </w:rPr>
              <w:t>1994</w:t>
            </w:r>
          </w:p>
        </w:tc>
        <w:tc>
          <w:tcPr>
            <w:tcW w:w="482" w:type="pct"/>
          </w:tcPr>
          <w:p w14:paraId="0C2EBA2A" w14:textId="77777777" w:rsidR="007F6723" w:rsidRPr="002D465E" w:rsidRDefault="007F6723" w:rsidP="00181CF8">
            <w:pPr>
              <w:pStyle w:val="Tabletextcentred"/>
              <w:jc w:val="left"/>
            </w:pPr>
            <w:r>
              <w:rPr>
                <w:color w:val="000000"/>
              </w:rPr>
              <w:t>USA</w:t>
            </w:r>
          </w:p>
        </w:tc>
        <w:tc>
          <w:tcPr>
            <w:tcW w:w="1659" w:type="pct"/>
          </w:tcPr>
          <w:p w14:paraId="77A89AD9" w14:textId="77777777" w:rsidR="007F6723" w:rsidRDefault="007F6723" w:rsidP="00181CF8">
            <w:pPr>
              <w:pStyle w:val="Tabletextcentred"/>
              <w:jc w:val="left"/>
            </w:pPr>
            <w:r>
              <w:rPr>
                <w:color w:val="000000"/>
              </w:rPr>
              <w:t>Methods / Statistical model of disease progression in mild-moderate AD</w:t>
            </w:r>
          </w:p>
        </w:tc>
        <w:tc>
          <w:tcPr>
            <w:tcW w:w="868" w:type="pct"/>
          </w:tcPr>
          <w:p w14:paraId="1A495C83" w14:textId="77777777" w:rsidR="007F6723" w:rsidRDefault="007F6723" w:rsidP="00181CF8">
            <w:pPr>
              <w:pStyle w:val="Tabletextcentred"/>
              <w:jc w:val="left"/>
            </w:pPr>
            <w:r>
              <w:rPr>
                <w:color w:val="000000"/>
              </w:rPr>
              <w:t>Predictors ADAS-cog model</w:t>
            </w:r>
          </w:p>
        </w:tc>
        <w:tc>
          <w:tcPr>
            <w:tcW w:w="975" w:type="pct"/>
          </w:tcPr>
          <w:p w14:paraId="0B6ED3CD" w14:textId="77777777" w:rsidR="007F6723" w:rsidRDefault="007F6723" w:rsidP="00181CF8">
            <w:pPr>
              <w:pStyle w:val="Tabletextcentred"/>
              <w:jc w:val="left"/>
            </w:pPr>
            <w:r>
              <w:rPr>
                <w:color w:val="000000"/>
              </w:rPr>
              <w:t>Regression-based analysis using cohort data</w:t>
            </w:r>
          </w:p>
        </w:tc>
      </w:tr>
    </w:tbl>
    <w:p w14:paraId="25C618E4" w14:textId="0DCC28E5" w:rsidR="007F6723" w:rsidRDefault="007F6723" w:rsidP="007F6723">
      <w:pPr>
        <w:pStyle w:val="Tablefootnotes"/>
      </w:pPr>
      <w:r>
        <w:t>Sourc</w:t>
      </w:r>
      <w:r w:rsidR="00A71AB3">
        <w:t xml:space="preserve">e: Green et al (2011), </w:t>
      </w:r>
      <w:r w:rsidR="006A6C31">
        <w:fldChar w:fldCharType="begin"/>
      </w:r>
      <w:r w:rsidR="006A6C31">
        <w:instrText xml:space="preserve"> REF _Ref404854563 \w \h </w:instrText>
      </w:r>
      <w:r w:rsidR="006A6C31">
        <w:fldChar w:fldCharType="separate"/>
      </w:r>
      <w:r w:rsidR="00C67698">
        <w:t>Appendix 2</w:t>
      </w:r>
      <w:r w:rsidR="006A6C31">
        <w:fldChar w:fldCharType="end"/>
      </w:r>
      <w:r w:rsidR="006A6C31">
        <w:t>.</w:t>
      </w:r>
    </w:p>
    <w:p w14:paraId="3BB59BA0" w14:textId="1D85479B" w:rsidR="007F6723" w:rsidRDefault="007F6723" w:rsidP="007F6723">
      <w:pPr>
        <w:pStyle w:val="Tablefootnotes"/>
      </w:pPr>
      <w:r w:rsidRPr="00F94D4D">
        <w:t>Abbreviations</w:t>
      </w:r>
      <w:r>
        <w:t xml:space="preserve">: AD, Alzheimer’s disease; ADAS-Cog, Alzheimer’s Disease Assessment Scale Cognitive Subscale; AHEAD, Assessment of Health Economics in Alzheimer’s Disease model; CBA, cost benefit analysis; </w:t>
      </w:r>
      <w:r w:rsidR="00F523D2">
        <w:t xml:space="preserve">CBT, cognitive behavioural therapy; </w:t>
      </w:r>
      <w:r>
        <w:t>CEA, cost-effectiveness analysis; CDR, Clinical Dementia Rating; CERAD, Consortium to Establish a Registry in Alzheimer’s Disease; CMA, cost</w:t>
      </w:r>
      <w:r w:rsidR="000E05F2">
        <w:t>-</w:t>
      </w:r>
      <w:r>
        <w:t>minimisation analysis; MMSE, Mini-Mental State Examination; SIB, Severe Impairment Battery; UK, United Kingdom; USA, United States of America</w:t>
      </w:r>
    </w:p>
    <w:p w14:paraId="412016D3" w14:textId="77777777" w:rsidR="007F6723" w:rsidRDefault="007F6723" w:rsidP="007F6723">
      <w:pPr>
        <w:spacing w:after="160" w:line="259" w:lineRule="auto"/>
        <w:ind w:left="0"/>
        <w:rPr>
          <w:rFonts w:ascii="Tahoma" w:eastAsiaTheme="majorEastAsia" w:hAnsi="Tahoma" w:cstheme="majorBidi"/>
          <w:b/>
          <w:sz w:val="28"/>
          <w:szCs w:val="26"/>
        </w:rPr>
      </w:pPr>
      <w:r>
        <w:br w:type="page"/>
      </w:r>
    </w:p>
    <w:p w14:paraId="0718845B" w14:textId="1C1B5DF7" w:rsidR="007F6723" w:rsidRPr="00C620A9" w:rsidRDefault="000B15C3" w:rsidP="000B15C3">
      <w:pPr>
        <w:pStyle w:val="Caption"/>
      </w:pPr>
      <w:r>
        <w:lastRenderedPageBreak/>
        <w:t>Table A4.2</w:t>
      </w:r>
      <w:r>
        <w:tab/>
      </w:r>
      <w:r w:rsidR="007F6723" w:rsidRPr="00C620A9">
        <w:t>Summary of additional CEAs for AD/dementia identified in the literature search</w:t>
      </w:r>
    </w:p>
    <w:tbl>
      <w:tblPr>
        <w:tblStyle w:val="TableGrid"/>
        <w:tblW w:w="4726" w:type="pct"/>
        <w:tblInd w:w="704" w:type="dxa"/>
        <w:tblLayout w:type="fixed"/>
        <w:tblLook w:val="04A0" w:firstRow="1" w:lastRow="0" w:firstColumn="1" w:lastColumn="0" w:noHBand="0" w:noVBand="1"/>
        <w:tblCaption w:val="Summary of additional CEAs for AD/dementia identified in the literature search"/>
        <w:tblDescription w:val="Characteristics of the additional CEAs including author, year, country, intervention objective, population treated, utility weights and details of the model."/>
      </w:tblPr>
      <w:tblGrid>
        <w:gridCol w:w="1301"/>
        <w:gridCol w:w="864"/>
        <w:gridCol w:w="1152"/>
        <w:gridCol w:w="2015"/>
        <w:gridCol w:w="2015"/>
        <w:gridCol w:w="3025"/>
        <w:gridCol w:w="3025"/>
      </w:tblGrid>
      <w:tr w:rsidR="007F6723" w14:paraId="059E1429" w14:textId="77777777" w:rsidTr="00181CF8">
        <w:trPr>
          <w:tblHeader/>
        </w:trPr>
        <w:tc>
          <w:tcPr>
            <w:tcW w:w="485" w:type="pct"/>
          </w:tcPr>
          <w:p w14:paraId="529A5985" w14:textId="77777777" w:rsidR="007F6723" w:rsidRPr="00A02982" w:rsidRDefault="007F6723" w:rsidP="00181CF8">
            <w:pPr>
              <w:pStyle w:val="Tabletextboldleft"/>
            </w:pPr>
            <w:r w:rsidRPr="00A02982">
              <w:rPr>
                <w:rFonts w:cs="Times New Roman"/>
                <w:bCs/>
                <w:color w:val="000000"/>
              </w:rPr>
              <w:t>Author</w:t>
            </w:r>
          </w:p>
        </w:tc>
        <w:tc>
          <w:tcPr>
            <w:tcW w:w="322" w:type="pct"/>
          </w:tcPr>
          <w:p w14:paraId="06692194" w14:textId="77777777" w:rsidR="007F6723" w:rsidRPr="00A02982" w:rsidRDefault="007F6723" w:rsidP="00181CF8">
            <w:pPr>
              <w:pStyle w:val="Tabletextboldleft"/>
            </w:pPr>
            <w:r w:rsidRPr="00A02982">
              <w:rPr>
                <w:rFonts w:cs="Times New Roman"/>
                <w:bCs/>
                <w:color w:val="000000"/>
              </w:rPr>
              <w:t>Year</w:t>
            </w:r>
          </w:p>
        </w:tc>
        <w:tc>
          <w:tcPr>
            <w:tcW w:w="430" w:type="pct"/>
          </w:tcPr>
          <w:p w14:paraId="0A39F194" w14:textId="77777777" w:rsidR="007F6723" w:rsidRPr="00A02982" w:rsidRDefault="007F6723" w:rsidP="00181CF8">
            <w:pPr>
              <w:pStyle w:val="Tabletextboldleft"/>
            </w:pPr>
            <w:r w:rsidRPr="00A02982">
              <w:rPr>
                <w:rFonts w:cs="Times New Roman"/>
                <w:bCs/>
                <w:color w:val="000000"/>
              </w:rPr>
              <w:t>Country</w:t>
            </w:r>
          </w:p>
        </w:tc>
        <w:tc>
          <w:tcPr>
            <w:tcW w:w="752" w:type="pct"/>
          </w:tcPr>
          <w:p w14:paraId="6BF560D4" w14:textId="77777777" w:rsidR="007F6723" w:rsidRPr="00A02982" w:rsidRDefault="007F6723" w:rsidP="00181CF8">
            <w:pPr>
              <w:pStyle w:val="Tabletextboldleft"/>
            </w:pPr>
            <w:r w:rsidRPr="00A02982">
              <w:rPr>
                <w:rFonts w:cs="Times New Roman"/>
                <w:bCs/>
                <w:color w:val="000000"/>
              </w:rPr>
              <w:t>Intervention objective</w:t>
            </w:r>
          </w:p>
        </w:tc>
        <w:tc>
          <w:tcPr>
            <w:tcW w:w="752" w:type="pct"/>
          </w:tcPr>
          <w:p w14:paraId="3F908958" w14:textId="77777777" w:rsidR="007F6723" w:rsidRPr="00A02982" w:rsidRDefault="007F6723" w:rsidP="00181CF8">
            <w:pPr>
              <w:pStyle w:val="Tabletextboldleft"/>
            </w:pPr>
            <w:r w:rsidRPr="00A02982">
              <w:rPr>
                <w:rFonts w:cs="Times New Roman"/>
                <w:bCs/>
                <w:color w:val="000000"/>
              </w:rPr>
              <w:t>Population treated</w:t>
            </w:r>
          </w:p>
        </w:tc>
        <w:tc>
          <w:tcPr>
            <w:tcW w:w="1129" w:type="pct"/>
          </w:tcPr>
          <w:p w14:paraId="26F1D734" w14:textId="77777777" w:rsidR="007F6723" w:rsidRPr="00A02982" w:rsidRDefault="007F6723" w:rsidP="00181CF8">
            <w:pPr>
              <w:pStyle w:val="Tabletextboldleft"/>
            </w:pPr>
            <w:r w:rsidRPr="00A02982">
              <w:rPr>
                <w:rFonts w:cs="Times New Roman"/>
                <w:bCs/>
                <w:color w:val="000000"/>
              </w:rPr>
              <w:t>Utility weights</w:t>
            </w:r>
          </w:p>
        </w:tc>
        <w:tc>
          <w:tcPr>
            <w:tcW w:w="1129" w:type="pct"/>
          </w:tcPr>
          <w:p w14:paraId="26D99E63" w14:textId="77777777" w:rsidR="007F6723" w:rsidRPr="00A02982" w:rsidRDefault="007F6723" w:rsidP="00181CF8">
            <w:pPr>
              <w:pStyle w:val="Tabletextboldleft"/>
            </w:pPr>
            <w:r w:rsidRPr="00A02982">
              <w:rPr>
                <w:rFonts w:cs="Times New Roman"/>
                <w:bCs/>
                <w:color w:val="000000"/>
              </w:rPr>
              <w:t>Model</w:t>
            </w:r>
          </w:p>
        </w:tc>
      </w:tr>
      <w:tr w:rsidR="007F6723" w14:paraId="477E8B6D" w14:textId="77777777" w:rsidTr="00181CF8">
        <w:tc>
          <w:tcPr>
            <w:tcW w:w="485" w:type="pct"/>
          </w:tcPr>
          <w:p w14:paraId="1C78145B" w14:textId="77777777" w:rsidR="007F6723" w:rsidRDefault="007F6723" w:rsidP="00181CF8">
            <w:pPr>
              <w:pStyle w:val="Tabletextcentred"/>
              <w:jc w:val="left"/>
            </w:pPr>
            <w:r>
              <w:rPr>
                <w:color w:val="000000"/>
              </w:rPr>
              <w:t xml:space="preserve">Loveman et al </w:t>
            </w:r>
          </w:p>
        </w:tc>
        <w:tc>
          <w:tcPr>
            <w:tcW w:w="322" w:type="pct"/>
          </w:tcPr>
          <w:p w14:paraId="45B1A805" w14:textId="77777777" w:rsidR="007F6723" w:rsidRPr="002D465E" w:rsidRDefault="007F6723" w:rsidP="00181CF8">
            <w:pPr>
              <w:pStyle w:val="Tabletextcentred"/>
              <w:jc w:val="left"/>
            </w:pPr>
            <w:r>
              <w:rPr>
                <w:color w:val="000000"/>
              </w:rPr>
              <w:t>2006</w:t>
            </w:r>
          </w:p>
        </w:tc>
        <w:tc>
          <w:tcPr>
            <w:tcW w:w="430" w:type="pct"/>
          </w:tcPr>
          <w:p w14:paraId="4B87B42A" w14:textId="77777777" w:rsidR="007F6723" w:rsidRPr="002D465E" w:rsidRDefault="007F6723" w:rsidP="00181CF8">
            <w:pPr>
              <w:pStyle w:val="Tabletextcentred"/>
              <w:jc w:val="left"/>
            </w:pPr>
            <w:r>
              <w:rPr>
                <w:color w:val="000000"/>
              </w:rPr>
              <w:t>UK</w:t>
            </w:r>
          </w:p>
        </w:tc>
        <w:tc>
          <w:tcPr>
            <w:tcW w:w="752" w:type="pct"/>
          </w:tcPr>
          <w:p w14:paraId="30177BC3" w14:textId="77777777" w:rsidR="007F6723" w:rsidRDefault="007F6723" w:rsidP="00181CF8">
            <w:pPr>
              <w:pStyle w:val="Tabletextcentred"/>
              <w:jc w:val="left"/>
              <w:rPr>
                <w:color w:val="000000"/>
              </w:rPr>
            </w:pPr>
            <w:r>
              <w:rPr>
                <w:color w:val="000000"/>
              </w:rPr>
              <w:t>Update NHS model for treatment with donepezil, rivastigmine, galantamine and memantine</w:t>
            </w:r>
          </w:p>
        </w:tc>
        <w:tc>
          <w:tcPr>
            <w:tcW w:w="752" w:type="pct"/>
          </w:tcPr>
          <w:p w14:paraId="0FF3ACC7" w14:textId="77777777" w:rsidR="007F6723" w:rsidRDefault="007F6723" w:rsidP="00181CF8">
            <w:pPr>
              <w:pStyle w:val="Tabletextcentred"/>
              <w:jc w:val="left"/>
              <w:rPr>
                <w:color w:val="000000"/>
              </w:rPr>
            </w:pPr>
            <w:r>
              <w:rPr>
                <w:color w:val="000000"/>
              </w:rPr>
              <w:t>Mild to moderately severe AD; moderately severe to severe AD</w:t>
            </w:r>
          </w:p>
        </w:tc>
        <w:tc>
          <w:tcPr>
            <w:tcW w:w="1129" w:type="pct"/>
          </w:tcPr>
          <w:p w14:paraId="123805F8" w14:textId="77777777" w:rsidR="007F6723" w:rsidRPr="00387119" w:rsidRDefault="007F6723" w:rsidP="00181CF8">
            <w:pPr>
              <w:pStyle w:val="Tabletextcentred"/>
              <w:jc w:val="left"/>
            </w:pPr>
            <w:r>
              <w:rPr>
                <w:color w:val="000000"/>
              </w:rPr>
              <w:t>Neumann 1999</w:t>
            </w:r>
          </w:p>
        </w:tc>
        <w:tc>
          <w:tcPr>
            <w:tcW w:w="1129" w:type="pct"/>
          </w:tcPr>
          <w:p w14:paraId="0A49AD00" w14:textId="77777777" w:rsidR="007F6723" w:rsidRDefault="007F6723" w:rsidP="00181CF8">
            <w:pPr>
              <w:pStyle w:val="Tabletextcentred"/>
              <w:jc w:val="left"/>
            </w:pPr>
            <w:r>
              <w:rPr>
                <w:color w:val="000000"/>
              </w:rPr>
              <w:t>Markov model for mild to moderately severe AD based on AHEAD model (Caro 2001) with a 5-year time horizon.</w:t>
            </w:r>
          </w:p>
        </w:tc>
      </w:tr>
      <w:tr w:rsidR="007F6723" w14:paraId="75C9CC42" w14:textId="77777777" w:rsidTr="00181CF8">
        <w:tc>
          <w:tcPr>
            <w:tcW w:w="485" w:type="pct"/>
          </w:tcPr>
          <w:p w14:paraId="5CB7B7CD" w14:textId="77777777" w:rsidR="007F6723" w:rsidRDefault="007F6723" w:rsidP="00181CF8">
            <w:pPr>
              <w:pStyle w:val="Tabletextcentred"/>
              <w:jc w:val="left"/>
            </w:pPr>
            <w:r>
              <w:rPr>
                <w:color w:val="000000"/>
              </w:rPr>
              <w:t>Fuh et al</w:t>
            </w:r>
          </w:p>
        </w:tc>
        <w:tc>
          <w:tcPr>
            <w:tcW w:w="322" w:type="pct"/>
          </w:tcPr>
          <w:p w14:paraId="0F132032" w14:textId="77777777" w:rsidR="007F6723" w:rsidRPr="002D465E" w:rsidRDefault="007F6723" w:rsidP="00181CF8">
            <w:pPr>
              <w:pStyle w:val="Tabletextcentred"/>
              <w:jc w:val="left"/>
            </w:pPr>
            <w:r>
              <w:rPr>
                <w:color w:val="000000"/>
              </w:rPr>
              <w:t>2008</w:t>
            </w:r>
          </w:p>
        </w:tc>
        <w:tc>
          <w:tcPr>
            <w:tcW w:w="430" w:type="pct"/>
          </w:tcPr>
          <w:p w14:paraId="6BC6E724" w14:textId="77777777" w:rsidR="007F6723" w:rsidRPr="002D465E" w:rsidRDefault="007F6723" w:rsidP="00181CF8">
            <w:pPr>
              <w:pStyle w:val="Tabletextcentred"/>
              <w:jc w:val="left"/>
            </w:pPr>
            <w:r>
              <w:rPr>
                <w:color w:val="000000"/>
              </w:rPr>
              <w:t>Taiwan</w:t>
            </w:r>
          </w:p>
        </w:tc>
        <w:tc>
          <w:tcPr>
            <w:tcW w:w="752" w:type="pct"/>
          </w:tcPr>
          <w:p w14:paraId="489E4D22" w14:textId="77777777" w:rsidR="007F6723" w:rsidRDefault="007F6723" w:rsidP="00181CF8">
            <w:pPr>
              <w:pStyle w:val="Tabletextcentred"/>
              <w:jc w:val="left"/>
              <w:rPr>
                <w:color w:val="000000"/>
              </w:rPr>
            </w:pPr>
            <w:r>
              <w:rPr>
                <w:color w:val="000000"/>
              </w:rPr>
              <w:t>Donepezil relative to usual care</w:t>
            </w:r>
          </w:p>
        </w:tc>
        <w:tc>
          <w:tcPr>
            <w:tcW w:w="752" w:type="pct"/>
          </w:tcPr>
          <w:p w14:paraId="7C01F155" w14:textId="77777777" w:rsidR="007F6723" w:rsidRDefault="007F6723" w:rsidP="00181CF8">
            <w:pPr>
              <w:pStyle w:val="Tabletextcentred"/>
              <w:jc w:val="left"/>
              <w:rPr>
                <w:color w:val="000000"/>
              </w:rPr>
            </w:pPr>
            <w:r>
              <w:rPr>
                <w:color w:val="000000"/>
              </w:rPr>
              <w:t>Mild to moderate AD</w:t>
            </w:r>
          </w:p>
        </w:tc>
        <w:tc>
          <w:tcPr>
            <w:tcW w:w="1129" w:type="pct"/>
          </w:tcPr>
          <w:p w14:paraId="71943DDD" w14:textId="77777777" w:rsidR="007F6723" w:rsidRPr="00387119" w:rsidRDefault="007F6723" w:rsidP="00181CF8">
            <w:pPr>
              <w:pStyle w:val="Tabletextcentred"/>
              <w:jc w:val="left"/>
            </w:pPr>
            <w:r>
              <w:rPr>
                <w:color w:val="000000"/>
              </w:rPr>
              <w:t>Based on a previous US study which used the HUI2 with a sample of 528 AD caregivers of patients cared for at home.</w:t>
            </w:r>
          </w:p>
        </w:tc>
        <w:tc>
          <w:tcPr>
            <w:tcW w:w="1129" w:type="pct"/>
          </w:tcPr>
          <w:p w14:paraId="5F164E61" w14:textId="4A6E7B7E" w:rsidR="007F6723" w:rsidRDefault="007F6723" w:rsidP="00181CF8">
            <w:pPr>
              <w:pStyle w:val="Tabletextcentred"/>
              <w:jc w:val="left"/>
            </w:pPr>
            <w:r>
              <w:rPr>
                <w:color w:val="000000"/>
              </w:rPr>
              <w:t>Markov model with 5-year time horizon</w:t>
            </w:r>
            <w:r w:rsidR="00550781">
              <w:rPr>
                <w:color w:val="000000"/>
              </w:rPr>
              <w:t>.</w:t>
            </w:r>
          </w:p>
        </w:tc>
      </w:tr>
      <w:tr w:rsidR="007F6723" w14:paraId="36E2D913" w14:textId="77777777" w:rsidTr="00181CF8">
        <w:tc>
          <w:tcPr>
            <w:tcW w:w="485" w:type="pct"/>
          </w:tcPr>
          <w:p w14:paraId="59ADE4D4" w14:textId="77777777" w:rsidR="007F6723" w:rsidRDefault="007F6723" w:rsidP="00181CF8">
            <w:pPr>
              <w:pStyle w:val="Tabletextcentred"/>
              <w:jc w:val="left"/>
            </w:pPr>
            <w:r>
              <w:rPr>
                <w:color w:val="000000"/>
              </w:rPr>
              <w:t>Suh et al</w:t>
            </w:r>
          </w:p>
        </w:tc>
        <w:tc>
          <w:tcPr>
            <w:tcW w:w="322" w:type="pct"/>
          </w:tcPr>
          <w:p w14:paraId="7F3085BC" w14:textId="77777777" w:rsidR="007F6723" w:rsidRPr="002D465E" w:rsidRDefault="007F6723" w:rsidP="00181CF8">
            <w:pPr>
              <w:pStyle w:val="Tabletextcentred"/>
              <w:jc w:val="left"/>
            </w:pPr>
            <w:r>
              <w:rPr>
                <w:color w:val="000000"/>
              </w:rPr>
              <w:t>2009</w:t>
            </w:r>
          </w:p>
        </w:tc>
        <w:tc>
          <w:tcPr>
            <w:tcW w:w="430" w:type="pct"/>
          </w:tcPr>
          <w:p w14:paraId="03876CA5" w14:textId="77777777" w:rsidR="007F6723" w:rsidRPr="002D465E" w:rsidRDefault="007F6723" w:rsidP="00181CF8">
            <w:pPr>
              <w:pStyle w:val="Tabletextcentred"/>
              <w:jc w:val="left"/>
            </w:pPr>
            <w:r>
              <w:rPr>
                <w:color w:val="000000"/>
              </w:rPr>
              <w:t>South Korea</w:t>
            </w:r>
          </w:p>
        </w:tc>
        <w:tc>
          <w:tcPr>
            <w:tcW w:w="752" w:type="pct"/>
          </w:tcPr>
          <w:p w14:paraId="7D5FA66B" w14:textId="77777777" w:rsidR="007F6723" w:rsidRDefault="007F6723" w:rsidP="00181CF8">
            <w:pPr>
              <w:pStyle w:val="Tabletextcentred"/>
              <w:jc w:val="left"/>
              <w:rPr>
                <w:color w:val="000000"/>
              </w:rPr>
            </w:pPr>
            <w:r>
              <w:rPr>
                <w:color w:val="000000"/>
              </w:rPr>
              <w:t>Galantamine versus placebo</w:t>
            </w:r>
          </w:p>
        </w:tc>
        <w:tc>
          <w:tcPr>
            <w:tcW w:w="752" w:type="pct"/>
          </w:tcPr>
          <w:p w14:paraId="598044B7" w14:textId="77777777" w:rsidR="007F6723" w:rsidRDefault="007F6723" w:rsidP="00181CF8">
            <w:pPr>
              <w:pStyle w:val="Tabletextcentred"/>
              <w:jc w:val="left"/>
              <w:rPr>
                <w:color w:val="000000"/>
              </w:rPr>
            </w:pPr>
            <w:r>
              <w:rPr>
                <w:color w:val="000000"/>
              </w:rPr>
              <w:t>Mild to moderately severe AD</w:t>
            </w:r>
          </w:p>
        </w:tc>
        <w:tc>
          <w:tcPr>
            <w:tcW w:w="1129" w:type="pct"/>
          </w:tcPr>
          <w:p w14:paraId="28D90569" w14:textId="77777777" w:rsidR="007F6723" w:rsidRPr="00387119" w:rsidRDefault="007F6723" w:rsidP="00181CF8">
            <w:pPr>
              <w:pStyle w:val="Tabletextcentred"/>
              <w:jc w:val="left"/>
            </w:pPr>
            <w:r>
              <w:rPr>
                <w:color w:val="000000"/>
              </w:rPr>
              <w:t>Neumann 1999</w:t>
            </w:r>
          </w:p>
        </w:tc>
        <w:tc>
          <w:tcPr>
            <w:tcW w:w="1129" w:type="pct"/>
          </w:tcPr>
          <w:p w14:paraId="28B15A53" w14:textId="389C43DA" w:rsidR="007F6723" w:rsidRDefault="007F6723" w:rsidP="00181CF8">
            <w:pPr>
              <w:pStyle w:val="Tabletextcentred"/>
              <w:jc w:val="left"/>
            </w:pPr>
            <w:r>
              <w:rPr>
                <w:color w:val="000000"/>
              </w:rPr>
              <w:t>Used an adaptation of the AHEAD model with a 5-year time horizon and PSA</w:t>
            </w:r>
            <w:r w:rsidR="00550781">
              <w:rPr>
                <w:color w:val="000000"/>
              </w:rPr>
              <w:t>.</w:t>
            </w:r>
          </w:p>
        </w:tc>
      </w:tr>
      <w:tr w:rsidR="007F6723" w14:paraId="7D550D97" w14:textId="77777777" w:rsidTr="00181CF8">
        <w:tc>
          <w:tcPr>
            <w:tcW w:w="485" w:type="pct"/>
          </w:tcPr>
          <w:p w14:paraId="37AE8D36" w14:textId="77777777" w:rsidR="007F6723" w:rsidRDefault="007F6723" w:rsidP="00181CF8">
            <w:pPr>
              <w:pStyle w:val="Tabletextcentred"/>
              <w:jc w:val="left"/>
            </w:pPr>
            <w:r>
              <w:rPr>
                <w:color w:val="000000"/>
              </w:rPr>
              <w:t>Kasuya et al</w:t>
            </w:r>
          </w:p>
        </w:tc>
        <w:tc>
          <w:tcPr>
            <w:tcW w:w="322" w:type="pct"/>
          </w:tcPr>
          <w:p w14:paraId="3E6C2C41" w14:textId="77777777" w:rsidR="007F6723" w:rsidRPr="002D465E" w:rsidRDefault="007F6723" w:rsidP="00181CF8">
            <w:pPr>
              <w:pStyle w:val="Tabletextcentred"/>
              <w:jc w:val="left"/>
            </w:pPr>
            <w:r>
              <w:rPr>
                <w:color w:val="000000"/>
              </w:rPr>
              <w:t>2010</w:t>
            </w:r>
          </w:p>
        </w:tc>
        <w:tc>
          <w:tcPr>
            <w:tcW w:w="430" w:type="pct"/>
          </w:tcPr>
          <w:p w14:paraId="56EA9912" w14:textId="77777777" w:rsidR="007F6723" w:rsidRPr="002D465E" w:rsidRDefault="007F6723" w:rsidP="00181CF8">
            <w:pPr>
              <w:pStyle w:val="Tabletextcentred"/>
              <w:jc w:val="left"/>
            </w:pPr>
            <w:r>
              <w:rPr>
                <w:color w:val="000000"/>
              </w:rPr>
              <w:t>Japan</w:t>
            </w:r>
          </w:p>
        </w:tc>
        <w:tc>
          <w:tcPr>
            <w:tcW w:w="752" w:type="pct"/>
          </w:tcPr>
          <w:p w14:paraId="00FF311E" w14:textId="77777777" w:rsidR="007F6723" w:rsidRDefault="007F6723" w:rsidP="00181CF8">
            <w:pPr>
              <w:pStyle w:val="Tabletextcentred"/>
              <w:jc w:val="left"/>
              <w:rPr>
                <w:color w:val="000000"/>
              </w:rPr>
            </w:pPr>
            <w:r>
              <w:rPr>
                <w:color w:val="000000"/>
              </w:rPr>
              <w:t>Donepezil relative to usual care</w:t>
            </w:r>
          </w:p>
        </w:tc>
        <w:tc>
          <w:tcPr>
            <w:tcW w:w="752" w:type="pct"/>
          </w:tcPr>
          <w:p w14:paraId="590BFCC0" w14:textId="62050E47" w:rsidR="007F6723" w:rsidRDefault="007F6723" w:rsidP="00181CF8">
            <w:pPr>
              <w:pStyle w:val="Tabletextcentred"/>
              <w:jc w:val="left"/>
              <w:rPr>
                <w:color w:val="000000"/>
              </w:rPr>
            </w:pPr>
            <w:r>
              <w:rPr>
                <w:color w:val="000000"/>
              </w:rPr>
              <w:t>MCI with CDR of 0.5</w:t>
            </w:r>
          </w:p>
        </w:tc>
        <w:tc>
          <w:tcPr>
            <w:tcW w:w="1129" w:type="pct"/>
          </w:tcPr>
          <w:p w14:paraId="3BEC3C13" w14:textId="77777777" w:rsidR="007F6723" w:rsidRPr="00387119" w:rsidRDefault="007F6723" w:rsidP="00181CF8">
            <w:pPr>
              <w:pStyle w:val="Tabletextcentred"/>
              <w:jc w:val="left"/>
            </w:pPr>
            <w:r>
              <w:rPr>
                <w:color w:val="000000"/>
              </w:rPr>
              <w:t>Health state values for CDRs 1.0 to 3.0 were those reported in previous studies that used the HUI3 (Feeny 2002 and Ikeda 2002). The authors assumed two values, 0.34 and 1.0, for the CDR 0.5 health state.</w:t>
            </w:r>
          </w:p>
        </w:tc>
        <w:tc>
          <w:tcPr>
            <w:tcW w:w="1129" w:type="pct"/>
          </w:tcPr>
          <w:p w14:paraId="70C98089" w14:textId="57649FE8" w:rsidR="007F6723" w:rsidRDefault="007F6723" w:rsidP="00181CF8">
            <w:pPr>
              <w:pStyle w:val="Tabletextcentred"/>
              <w:jc w:val="left"/>
            </w:pPr>
            <w:r>
              <w:rPr>
                <w:color w:val="000000"/>
              </w:rPr>
              <w:t>Markov model simulations through CDR health states</w:t>
            </w:r>
            <w:r w:rsidR="00550781">
              <w:rPr>
                <w:color w:val="000000"/>
              </w:rPr>
              <w:t>.</w:t>
            </w:r>
          </w:p>
        </w:tc>
      </w:tr>
      <w:tr w:rsidR="007F6723" w14:paraId="203B4CDD" w14:textId="77777777" w:rsidTr="00181CF8">
        <w:tc>
          <w:tcPr>
            <w:tcW w:w="485" w:type="pct"/>
          </w:tcPr>
          <w:p w14:paraId="42F74394" w14:textId="77777777" w:rsidR="007F6723" w:rsidRDefault="007F6723" w:rsidP="00181CF8">
            <w:pPr>
              <w:pStyle w:val="Tabletextcentred"/>
              <w:jc w:val="left"/>
            </w:pPr>
            <w:r>
              <w:rPr>
                <w:color w:val="000000"/>
              </w:rPr>
              <w:t>Getsios et al</w:t>
            </w:r>
          </w:p>
        </w:tc>
        <w:tc>
          <w:tcPr>
            <w:tcW w:w="322" w:type="pct"/>
          </w:tcPr>
          <w:p w14:paraId="22E869FF" w14:textId="77777777" w:rsidR="007F6723" w:rsidRPr="002D465E" w:rsidRDefault="007F6723" w:rsidP="00181CF8">
            <w:pPr>
              <w:pStyle w:val="Tabletextcentred"/>
              <w:jc w:val="left"/>
            </w:pPr>
            <w:r>
              <w:rPr>
                <w:color w:val="000000"/>
              </w:rPr>
              <w:t>2010</w:t>
            </w:r>
          </w:p>
        </w:tc>
        <w:tc>
          <w:tcPr>
            <w:tcW w:w="430" w:type="pct"/>
          </w:tcPr>
          <w:p w14:paraId="49371E53" w14:textId="77777777" w:rsidR="007F6723" w:rsidRPr="002D465E" w:rsidRDefault="007F6723" w:rsidP="00181CF8">
            <w:pPr>
              <w:pStyle w:val="Tabletextcentred"/>
              <w:jc w:val="left"/>
            </w:pPr>
            <w:r>
              <w:rPr>
                <w:color w:val="000000"/>
              </w:rPr>
              <w:t>UK</w:t>
            </w:r>
          </w:p>
        </w:tc>
        <w:tc>
          <w:tcPr>
            <w:tcW w:w="752" w:type="pct"/>
          </w:tcPr>
          <w:p w14:paraId="629322F4" w14:textId="77777777" w:rsidR="007F6723" w:rsidRDefault="007F6723" w:rsidP="00181CF8">
            <w:pPr>
              <w:pStyle w:val="Tabletextcentred"/>
              <w:jc w:val="left"/>
              <w:rPr>
                <w:color w:val="000000"/>
              </w:rPr>
            </w:pPr>
            <w:r>
              <w:rPr>
                <w:color w:val="000000"/>
              </w:rPr>
              <w:t xml:space="preserve">Donezepil versus </w:t>
            </w:r>
          </w:p>
        </w:tc>
        <w:tc>
          <w:tcPr>
            <w:tcW w:w="752" w:type="pct"/>
          </w:tcPr>
          <w:p w14:paraId="41B0CB73" w14:textId="77777777" w:rsidR="007F6723" w:rsidRDefault="007F6723" w:rsidP="00181CF8">
            <w:pPr>
              <w:pStyle w:val="Tabletextcentred"/>
              <w:jc w:val="left"/>
              <w:rPr>
                <w:color w:val="000000"/>
              </w:rPr>
            </w:pPr>
            <w:r>
              <w:rPr>
                <w:color w:val="000000"/>
              </w:rPr>
              <w:t>Mild to moderate AD</w:t>
            </w:r>
          </w:p>
        </w:tc>
        <w:tc>
          <w:tcPr>
            <w:tcW w:w="1129" w:type="pct"/>
          </w:tcPr>
          <w:p w14:paraId="3679C854" w14:textId="77777777" w:rsidR="007F6723" w:rsidRPr="00387119" w:rsidRDefault="007F6723" w:rsidP="00181CF8">
            <w:pPr>
              <w:pStyle w:val="Tabletextcentred"/>
              <w:jc w:val="left"/>
            </w:pPr>
            <w:r>
              <w:rPr>
                <w:color w:val="000000"/>
              </w:rPr>
              <w:t>Based on a published regression equation (Jonsson 2006)</w:t>
            </w:r>
          </w:p>
        </w:tc>
        <w:tc>
          <w:tcPr>
            <w:tcW w:w="1129" w:type="pct"/>
          </w:tcPr>
          <w:p w14:paraId="79071847" w14:textId="3355E638" w:rsidR="007F6723" w:rsidRDefault="007F6723" w:rsidP="00181CF8">
            <w:pPr>
              <w:pStyle w:val="Tabletextcentred"/>
              <w:jc w:val="left"/>
            </w:pPr>
            <w:r>
              <w:rPr>
                <w:color w:val="000000"/>
              </w:rPr>
              <w:t>Discrete event simulation, with a 10-year time horizon</w:t>
            </w:r>
            <w:r w:rsidR="00550781">
              <w:rPr>
                <w:color w:val="000000"/>
              </w:rPr>
              <w:t>.</w:t>
            </w:r>
          </w:p>
        </w:tc>
      </w:tr>
      <w:tr w:rsidR="007F6723" w14:paraId="41761A21" w14:textId="77777777" w:rsidTr="00181CF8">
        <w:tc>
          <w:tcPr>
            <w:tcW w:w="485" w:type="pct"/>
          </w:tcPr>
          <w:p w14:paraId="1E007182" w14:textId="77777777" w:rsidR="007F6723" w:rsidRDefault="007F6723" w:rsidP="00181CF8">
            <w:pPr>
              <w:pStyle w:val="Tabletextcentred"/>
              <w:jc w:val="left"/>
            </w:pPr>
            <w:r>
              <w:rPr>
                <w:color w:val="000000"/>
              </w:rPr>
              <w:t>Rive et al</w:t>
            </w:r>
          </w:p>
        </w:tc>
        <w:tc>
          <w:tcPr>
            <w:tcW w:w="322" w:type="pct"/>
          </w:tcPr>
          <w:p w14:paraId="120F5D0C" w14:textId="77777777" w:rsidR="007F6723" w:rsidRPr="002D465E" w:rsidRDefault="007F6723" w:rsidP="00181CF8">
            <w:pPr>
              <w:pStyle w:val="Tabletextcentred"/>
              <w:jc w:val="left"/>
            </w:pPr>
            <w:r>
              <w:rPr>
                <w:color w:val="000000"/>
              </w:rPr>
              <w:t>2010</w:t>
            </w:r>
          </w:p>
        </w:tc>
        <w:tc>
          <w:tcPr>
            <w:tcW w:w="430" w:type="pct"/>
          </w:tcPr>
          <w:p w14:paraId="72716082" w14:textId="77777777" w:rsidR="007F6723" w:rsidRPr="002D465E" w:rsidRDefault="007F6723" w:rsidP="00181CF8">
            <w:pPr>
              <w:pStyle w:val="Tabletextcentred"/>
              <w:jc w:val="left"/>
            </w:pPr>
            <w:r>
              <w:rPr>
                <w:color w:val="000000"/>
              </w:rPr>
              <w:t>UK</w:t>
            </w:r>
          </w:p>
        </w:tc>
        <w:tc>
          <w:tcPr>
            <w:tcW w:w="752" w:type="pct"/>
          </w:tcPr>
          <w:p w14:paraId="0290628D" w14:textId="77777777" w:rsidR="007F6723" w:rsidRDefault="007F6723" w:rsidP="00181CF8">
            <w:pPr>
              <w:pStyle w:val="Tabletextcentred"/>
              <w:jc w:val="left"/>
              <w:rPr>
                <w:color w:val="000000"/>
              </w:rPr>
            </w:pPr>
            <w:r>
              <w:rPr>
                <w:color w:val="000000"/>
              </w:rPr>
              <w:t>Memantine relative to standard care (established clinical practice of either no pharmacological treatment or background therapy with AChEIs)</w:t>
            </w:r>
          </w:p>
        </w:tc>
        <w:tc>
          <w:tcPr>
            <w:tcW w:w="752" w:type="pct"/>
          </w:tcPr>
          <w:p w14:paraId="7821707E" w14:textId="77777777" w:rsidR="007F6723" w:rsidRDefault="007F6723" w:rsidP="00181CF8">
            <w:pPr>
              <w:pStyle w:val="Tabletextcentred"/>
              <w:jc w:val="left"/>
              <w:rPr>
                <w:color w:val="000000"/>
              </w:rPr>
            </w:pPr>
            <w:r>
              <w:rPr>
                <w:color w:val="000000"/>
              </w:rPr>
              <w:t>Moderate to severe AD</w:t>
            </w:r>
          </w:p>
        </w:tc>
        <w:tc>
          <w:tcPr>
            <w:tcW w:w="1129" w:type="pct"/>
          </w:tcPr>
          <w:p w14:paraId="35E59799" w14:textId="3F35F094" w:rsidR="007F6723" w:rsidRPr="00387119" w:rsidRDefault="007F6723" w:rsidP="00181CF8">
            <w:pPr>
              <w:pStyle w:val="Tabletextcentred"/>
              <w:jc w:val="left"/>
            </w:pPr>
            <w:r>
              <w:rPr>
                <w:color w:val="000000"/>
              </w:rPr>
              <w:t>Derived using a published predictive equation of time to full</w:t>
            </w:r>
            <w:r w:rsidR="00617B67">
              <w:rPr>
                <w:color w:val="000000"/>
              </w:rPr>
              <w:t>-</w:t>
            </w:r>
            <w:r>
              <w:rPr>
                <w:color w:val="000000"/>
              </w:rPr>
              <w:t>time care. The predictive equation was derived using the London and South East Region (LASER</w:t>
            </w:r>
            <w:r>
              <w:rPr>
                <w:rFonts w:ascii="Adobe Caslon Pro Bold" w:hAnsi="Adobe Caslon Pro Bold" w:cs="Adobe Caslon Pro Bold"/>
                <w:color w:val="000000"/>
              </w:rPr>
              <w:t>‐</w:t>
            </w:r>
            <w:r>
              <w:rPr>
                <w:color w:val="000000"/>
              </w:rPr>
              <w:t>AD) UK epidemiological study.</w:t>
            </w:r>
          </w:p>
        </w:tc>
        <w:tc>
          <w:tcPr>
            <w:tcW w:w="1129" w:type="pct"/>
          </w:tcPr>
          <w:p w14:paraId="43F5A2DF" w14:textId="463E323A" w:rsidR="007F6723" w:rsidRPr="00387119" w:rsidRDefault="007F6723" w:rsidP="00181CF8">
            <w:pPr>
              <w:pStyle w:val="Tabletextcentred"/>
              <w:jc w:val="left"/>
            </w:pPr>
            <w:r>
              <w:rPr>
                <w:color w:val="000000"/>
              </w:rPr>
              <w:t>Markov model with 5-year time horizon. Simplifying assumptions included the assumption that immediate benefits from treatment modified patients’ time</w:t>
            </w:r>
            <w:r>
              <w:rPr>
                <w:rFonts w:ascii="Adobe Caslon Pro Bold" w:hAnsi="Adobe Caslon Pro Bold" w:cs="Adobe Caslon Pro Bold"/>
                <w:color w:val="000000"/>
              </w:rPr>
              <w:t>‐</w:t>
            </w:r>
            <w:r>
              <w:rPr>
                <w:color w:val="000000"/>
              </w:rPr>
              <w:t>related risk of progression from pre</w:t>
            </w:r>
            <w:r>
              <w:rPr>
                <w:rFonts w:ascii="Adobe Caslon Pro Bold" w:hAnsi="Adobe Caslon Pro Bold" w:cs="Adobe Caslon Pro Bold"/>
                <w:color w:val="000000"/>
              </w:rPr>
              <w:t>‐</w:t>
            </w:r>
            <w:r>
              <w:rPr>
                <w:color w:val="000000"/>
              </w:rPr>
              <w:t>full</w:t>
            </w:r>
            <w:r>
              <w:rPr>
                <w:rFonts w:ascii="Adobe Caslon Pro Bold" w:hAnsi="Adobe Caslon Pro Bold" w:cs="Adobe Caslon Pro Bold"/>
                <w:color w:val="000000"/>
              </w:rPr>
              <w:t>‐</w:t>
            </w:r>
            <w:r>
              <w:rPr>
                <w:color w:val="000000"/>
              </w:rPr>
              <w:t>time care to the full</w:t>
            </w:r>
            <w:r>
              <w:rPr>
                <w:rFonts w:ascii="Adobe Caslon Pro Bold" w:hAnsi="Adobe Caslon Pro Bold" w:cs="Adobe Caslon Pro Bold"/>
                <w:color w:val="000000"/>
              </w:rPr>
              <w:t>‐</w:t>
            </w:r>
            <w:r>
              <w:rPr>
                <w:color w:val="000000"/>
              </w:rPr>
              <w:t>time care health state were obtained and maintained for a five</w:t>
            </w:r>
            <w:r w:rsidR="000E05F2">
              <w:rPr>
                <w:color w:val="000000"/>
              </w:rPr>
              <w:t>-</w:t>
            </w:r>
            <w:r>
              <w:rPr>
                <w:color w:val="000000"/>
              </w:rPr>
              <w:t xml:space="preserve">year period. </w:t>
            </w:r>
          </w:p>
        </w:tc>
      </w:tr>
      <w:tr w:rsidR="007F6723" w14:paraId="75161413" w14:textId="77777777" w:rsidTr="00181CF8">
        <w:tc>
          <w:tcPr>
            <w:tcW w:w="485" w:type="pct"/>
          </w:tcPr>
          <w:p w14:paraId="6AD54B03" w14:textId="77777777" w:rsidR="007F6723" w:rsidRDefault="007F6723" w:rsidP="00181CF8">
            <w:pPr>
              <w:pStyle w:val="Tabletextcentred"/>
              <w:keepNext/>
              <w:jc w:val="left"/>
            </w:pPr>
            <w:r>
              <w:rPr>
                <w:color w:val="000000"/>
              </w:rPr>
              <w:lastRenderedPageBreak/>
              <w:t>Hoogveldt et al</w:t>
            </w:r>
          </w:p>
        </w:tc>
        <w:tc>
          <w:tcPr>
            <w:tcW w:w="322" w:type="pct"/>
          </w:tcPr>
          <w:p w14:paraId="13ABA8EE" w14:textId="77777777" w:rsidR="007F6723" w:rsidRPr="002D465E" w:rsidRDefault="007F6723" w:rsidP="00181CF8">
            <w:pPr>
              <w:pStyle w:val="Tabletextcentred"/>
              <w:keepNext/>
              <w:jc w:val="left"/>
            </w:pPr>
            <w:r>
              <w:rPr>
                <w:color w:val="000000"/>
              </w:rPr>
              <w:t>2011</w:t>
            </w:r>
          </w:p>
        </w:tc>
        <w:tc>
          <w:tcPr>
            <w:tcW w:w="430" w:type="pct"/>
          </w:tcPr>
          <w:p w14:paraId="3B7C693C" w14:textId="77777777" w:rsidR="007F6723" w:rsidRPr="002D465E" w:rsidRDefault="007F6723" w:rsidP="00181CF8">
            <w:pPr>
              <w:pStyle w:val="Tabletextcentred"/>
              <w:keepNext/>
              <w:jc w:val="left"/>
            </w:pPr>
            <w:r>
              <w:rPr>
                <w:color w:val="000000"/>
              </w:rPr>
              <w:t>Netherlands</w:t>
            </w:r>
          </w:p>
        </w:tc>
        <w:tc>
          <w:tcPr>
            <w:tcW w:w="752" w:type="pct"/>
          </w:tcPr>
          <w:p w14:paraId="2EDDF42C" w14:textId="77777777" w:rsidR="007F6723" w:rsidRDefault="007F6723" w:rsidP="00181CF8">
            <w:pPr>
              <w:pStyle w:val="Tabletextcentred"/>
              <w:keepNext/>
              <w:jc w:val="left"/>
              <w:rPr>
                <w:color w:val="000000"/>
              </w:rPr>
            </w:pPr>
            <w:r>
              <w:rPr>
                <w:color w:val="000000"/>
              </w:rPr>
              <w:t>Memantine relative to standard care</w:t>
            </w:r>
          </w:p>
        </w:tc>
        <w:tc>
          <w:tcPr>
            <w:tcW w:w="752" w:type="pct"/>
          </w:tcPr>
          <w:p w14:paraId="13ECF981" w14:textId="77777777" w:rsidR="007F6723" w:rsidRDefault="007F6723" w:rsidP="00181CF8">
            <w:pPr>
              <w:pStyle w:val="Tabletextcentred"/>
              <w:keepNext/>
              <w:jc w:val="left"/>
              <w:rPr>
                <w:color w:val="000000"/>
              </w:rPr>
            </w:pPr>
            <w:r>
              <w:rPr>
                <w:color w:val="000000"/>
              </w:rPr>
              <w:t>Moderate to severe AD</w:t>
            </w:r>
          </w:p>
        </w:tc>
        <w:tc>
          <w:tcPr>
            <w:tcW w:w="1129" w:type="pct"/>
          </w:tcPr>
          <w:p w14:paraId="052C8237" w14:textId="77777777" w:rsidR="007F6723" w:rsidRPr="00387119" w:rsidRDefault="007F6723" w:rsidP="00181CF8">
            <w:pPr>
              <w:pStyle w:val="Tabletextcentred"/>
              <w:keepNext/>
              <w:jc w:val="left"/>
            </w:pPr>
            <w:r>
              <w:rPr>
                <w:color w:val="000000"/>
              </w:rPr>
              <w:t>Level of dependency and residential status utility values were from a UK study of 224 patients with AD.</w:t>
            </w:r>
          </w:p>
        </w:tc>
        <w:tc>
          <w:tcPr>
            <w:tcW w:w="1129" w:type="pct"/>
          </w:tcPr>
          <w:p w14:paraId="178C1BE0" w14:textId="37DABA49" w:rsidR="007F6723" w:rsidRDefault="007F6723" w:rsidP="00181CF8">
            <w:pPr>
              <w:pStyle w:val="Tabletextcentred"/>
              <w:keepNext/>
              <w:jc w:val="left"/>
            </w:pPr>
            <w:r>
              <w:rPr>
                <w:color w:val="000000"/>
              </w:rPr>
              <w:t>Markov model with 5-year time horizon with PSA</w:t>
            </w:r>
            <w:r w:rsidR="00550781">
              <w:rPr>
                <w:color w:val="000000"/>
              </w:rPr>
              <w:t>.</w:t>
            </w:r>
          </w:p>
        </w:tc>
      </w:tr>
      <w:tr w:rsidR="007F6723" w14:paraId="033C7672" w14:textId="77777777" w:rsidTr="00181CF8">
        <w:tc>
          <w:tcPr>
            <w:tcW w:w="485" w:type="pct"/>
          </w:tcPr>
          <w:p w14:paraId="6B0D037A" w14:textId="77777777" w:rsidR="007F6723" w:rsidRPr="001762AE" w:rsidRDefault="007F6723" w:rsidP="00694571">
            <w:pPr>
              <w:pStyle w:val="Tabletextcentred"/>
              <w:keepNext/>
              <w:jc w:val="left"/>
            </w:pPr>
            <w:r>
              <w:rPr>
                <w:color w:val="000000"/>
              </w:rPr>
              <w:t>Lachaine et al</w:t>
            </w:r>
          </w:p>
        </w:tc>
        <w:tc>
          <w:tcPr>
            <w:tcW w:w="322" w:type="pct"/>
          </w:tcPr>
          <w:p w14:paraId="6D4B52C8" w14:textId="77777777" w:rsidR="007F6723" w:rsidRDefault="007F6723" w:rsidP="00694571">
            <w:pPr>
              <w:pStyle w:val="Tabletextcentred"/>
              <w:keepNext/>
              <w:jc w:val="left"/>
            </w:pPr>
            <w:r>
              <w:rPr>
                <w:color w:val="000000"/>
              </w:rPr>
              <w:t>2011</w:t>
            </w:r>
          </w:p>
        </w:tc>
        <w:tc>
          <w:tcPr>
            <w:tcW w:w="430" w:type="pct"/>
          </w:tcPr>
          <w:p w14:paraId="7DB3BF69" w14:textId="77777777" w:rsidR="007F6723" w:rsidRDefault="007F6723" w:rsidP="00694571">
            <w:pPr>
              <w:pStyle w:val="Tabletextcentred"/>
              <w:keepNext/>
              <w:jc w:val="left"/>
            </w:pPr>
            <w:r>
              <w:rPr>
                <w:color w:val="000000"/>
              </w:rPr>
              <w:t>Canada</w:t>
            </w:r>
          </w:p>
        </w:tc>
        <w:tc>
          <w:tcPr>
            <w:tcW w:w="752" w:type="pct"/>
          </w:tcPr>
          <w:p w14:paraId="73C3099D" w14:textId="77777777" w:rsidR="007F6723" w:rsidRDefault="007F6723" w:rsidP="00694571">
            <w:pPr>
              <w:pStyle w:val="Tabletextcentred"/>
              <w:keepNext/>
              <w:jc w:val="left"/>
              <w:rPr>
                <w:color w:val="000000"/>
              </w:rPr>
            </w:pPr>
            <w:r>
              <w:rPr>
                <w:color w:val="000000"/>
              </w:rPr>
              <w:t>Concomitant use of memantine and a AChEI, compared with a AChEI alone to delay institutionalisation</w:t>
            </w:r>
          </w:p>
        </w:tc>
        <w:tc>
          <w:tcPr>
            <w:tcW w:w="752" w:type="pct"/>
          </w:tcPr>
          <w:p w14:paraId="1C54D096" w14:textId="77777777" w:rsidR="007F6723" w:rsidRDefault="007F6723" w:rsidP="00694571">
            <w:pPr>
              <w:pStyle w:val="Tabletextcentred"/>
              <w:keepNext/>
              <w:jc w:val="left"/>
              <w:rPr>
                <w:color w:val="000000"/>
              </w:rPr>
            </w:pPr>
            <w:r>
              <w:rPr>
                <w:color w:val="000000"/>
              </w:rPr>
              <w:t>Mild to moderate AD</w:t>
            </w:r>
          </w:p>
        </w:tc>
        <w:tc>
          <w:tcPr>
            <w:tcW w:w="1129" w:type="pct"/>
          </w:tcPr>
          <w:p w14:paraId="7CD2CA67" w14:textId="77777777" w:rsidR="007F6723" w:rsidRDefault="007F6723" w:rsidP="00694571">
            <w:pPr>
              <w:pStyle w:val="Tabletextcentred"/>
              <w:keepNext/>
              <w:jc w:val="left"/>
            </w:pPr>
            <w:r>
              <w:rPr>
                <w:color w:val="000000"/>
              </w:rPr>
              <w:t>From a published study that elicited preferences from patients with AD. Derivation not fully described but authors stated that the weights were considered appropriate by NICE</w:t>
            </w:r>
          </w:p>
        </w:tc>
        <w:tc>
          <w:tcPr>
            <w:tcW w:w="1129" w:type="pct"/>
          </w:tcPr>
          <w:p w14:paraId="3DABCF4C" w14:textId="77777777" w:rsidR="007F6723" w:rsidRDefault="007F6723" w:rsidP="00694571">
            <w:pPr>
              <w:pStyle w:val="Tabletextcentred"/>
              <w:keepNext/>
              <w:jc w:val="left"/>
            </w:pPr>
            <w:r>
              <w:rPr>
                <w:color w:val="000000"/>
              </w:rPr>
              <w:t>Markov model with 7-year time horizon and PSA. Time to nursing home admission.</w:t>
            </w:r>
          </w:p>
        </w:tc>
      </w:tr>
      <w:tr w:rsidR="007F6723" w14:paraId="6A9390DA" w14:textId="77777777" w:rsidTr="00181CF8">
        <w:tc>
          <w:tcPr>
            <w:tcW w:w="485" w:type="pct"/>
          </w:tcPr>
          <w:p w14:paraId="4198B31A" w14:textId="77777777" w:rsidR="007F6723" w:rsidRDefault="007F6723" w:rsidP="00181CF8">
            <w:pPr>
              <w:pStyle w:val="Tabletextcentred"/>
              <w:jc w:val="left"/>
            </w:pPr>
            <w:r>
              <w:rPr>
                <w:color w:val="000000"/>
              </w:rPr>
              <w:t>Nagy et al</w:t>
            </w:r>
          </w:p>
        </w:tc>
        <w:tc>
          <w:tcPr>
            <w:tcW w:w="322" w:type="pct"/>
          </w:tcPr>
          <w:p w14:paraId="1A1BD56D" w14:textId="77777777" w:rsidR="007F6723" w:rsidRDefault="007F6723" w:rsidP="00181CF8">
            <w:pPr>
              <w:pStyle w:val="Tabletextcentred"/>
              <w:jc w:val="left"/>
            </w:pPr>
            <w:r>
              <w:rPr>
                <w:color w:val="000000"/>
              </w:rPr>
              <w:t>2011</w:t>
            </w:r>
          </w:p>
        </w:tc>
        <w:tc>
          <w:tcPr>
            <w:tcW w:w="430" w:type="pct"/>
          </w:tcPr>
          <w:p w14:paraId="38D76D12" w14:textId="77777777" w:rsidR="007F6723" w:rsidRPr="002D465E" w:rsidRDefault="007F6723" w:rsidP="00181CF8">
            <w:pPr>
              <w:pStyle w:val="Tabletextcentred"/>
              <w:jc w:val="left"/>
            </w:pPr>
            <w:r>
              <w:rPr>
                <w:color w:val="000000"/>
              </w:rPr>
              <w:t>UK</w:t>
            </w:r>
          </w:p>
        </w:tc>
        <w:tc>
          <w:tcPr>
            <w:tcW w:w="752" w:type="pct"/>
          </w:tcPr>
          <w:p w14:paraId="3B802767" w14:textId="77777777" w:rsidR="007F6723" w:rsidRDefault="007F6723" w:rsidP="00181CF8">
            <w:pPr>
              <w:pStyle w:val="Tabletextcentred"/>
              <w:jc w:val="left"/>
              <w:rPr>
                <w:color w:val="000000"/>
              </w:rPr>
            </w:pPr>
            <w:r>
              <w:rPr>
                <w:color w:val="000000"/>
              </w:rPr>
              <w:t>Rivastigmine compared with best supportive care</w:t>
            </w:r>
          </w:p>
        </w:tc>
        <w:tc>
          <w:tcPr>
            <w:tcW w:w="752" w:type="pct"/>
          </w:tcPr>
          <w:p w14:paraId="3E74686B" w14:textId="77777777" w:rsidR="007F6723" w:rsidRDefault="007F6723" w:rsidP="00181CF8">
            <w:pPr>
              <w:pStyle w:val="Tabletextcentred"/>
              <w:jc w:val="left"/>
              <w:rPr>
                <w:color w:val="000000"/>
              </w:rPr>
            </w:pPr>
            <w:r>
              <w:rPr>
                <w:color w:val="000000"/>
              </w:rPr>
              <w:t>Mild to moderate AD</w:t>
            </w:r>
          </w:p>
        </w:tc>
        <w:tc>
          <w:tcPr>
            <w:tcW w:w="1129" w:type="pct"/>
          </w:tcPr>
          <w:p w14:paraId="12D6AE16" w14:textId="77777777" w:rsidR="007F6723" w:rsidRPr="00387119" w:rsidRDefault="007F6723" w:rsidP="00181CF8">
            <w:pPr>
              <w:pStyle w:val="Tabletextcentred"/>
              <w:jc w:val="left"/>
            </w:pPr>
            <w:r>
              <w:rPr>
                <w:color w:val="000000"/>
              </w:rPr>
              <w:t>Estimated using regression to convert the MMSE scores to utility values, based on published mapping functions for the HUI3.</w:t>
            </w:r>
          </w:p>
        </w:tc>
        <w:tc>
          <w:tcPr>
            <w:tcW w:w="1129" w:type="pct"/>
          </w:tcPr>
          <w:p w14:paraId="50E133F8" w14:textId="77777777" w:rsidR="007F6723" w:rsidRDefault="007F6723" w:rsidP="00181CF8">
            <w:pPr>
              <w:pStyle w:val="Tabletextcentred"/>
              <w:jc w:val="left"/>
            </w:pPr>
            <w:r>
              <w:rPr>
                <w:color w:val="000000"/>
              </w:rPr>
              <w:t>Two models with 5-year time horizons and PSA, one based on MMSE scores and the other based on ADL.</w:t>
            </w:r>
          </w:p>
        </w:tc>
      </w:tr>
      <w:tr w:rsidR="007F6723" w14:paraId="3B69572B" w14:textId="77777777" w:rsidTr="00181CF8">
        <w:tc>
          <w:tcPr>
            <w:tcW w:w="485" w:type="pct"/>
          </w:tcPr>
          <w:p w14:paraId="3A28DA48" w14:textId="77777777" w:rsidR="007F6723" w:rsidRDefault="007F6723" w:rsidP="00181CF8">
            <w:pPr>
              <w:pStyle w:val="Tabletextcentred"/>
              <w:jc w:val="left"/>
            </w:pPr>
            <w:r>
              <w:rPr>
                <w:color w:val="000000"/>
              </w:rPr>
              <w:t>Hartz et al</w:t>
            </w:r>
          </w:p>
        </w:tc>
        <w:tc>
          <w:tcPr>
            <w:tcW w:w="322" w:type="pct"/>
          </w:tcPr>
          <w:p w14:paraId="4C4AC2E3" w14:textId="77777777" w:rsidR="007F6723" w:rsidRDefault="007F6723" w:rsidP="00181CF8">
            <w:pPr>
              <w:pStyle w:val="Tabletextcentred"/>
              <w:jc w:val="left"/>
            </w:pPr>
            <w:r>
              <w:rPr>
                <w:color w:val="000000"/>
              </w:rPr>
              <w:t>2012</w:t>
            </w:r>
          </w:p>
        </w:tc>
        <w:tc>
          <w:tcPr>
            <w:tcW w:w="430" w:type="pct"/>
          </w:tcPr>
          <w:p w14:paraId="6B236A49" w14:textId="77777777" w:rsidR="007F6723" w:rsidRPr="002D465E" w:rsidRDefault="007F6723" w:rsidP="00181CF8">
            <w:pPr>
              <w:pStyle w:val="Tabletextcentred"/>
              <w:jc w:val="left"/>
            </w:pPr>
            <w:r>
              <w:rPr>
                <w:color w:val="000000"/>
              </w:rPr>
              <w:t>Germany</w:t>
            </w:r>
          </w:p>
        </w:tc>
        <w:tc>
          <w:tcPr>
            <w:tcW w:w="752" w:type="pct"/>
          </w:tcPr>
          <w:p w14:paraId="48B15AF8" w14:textId="77777777" w:rsidR="007F6723" w:rsidRDefault="007F6723" w:rsidP="00181CF8">
            <w:pPr>
              <w:pStyle w:val="Tabletextcentred"/>
              <w:jc w:val="left"/>
              <w:rPr>
                <w:color w:val="000000"/>
              </w:rPr>
            </w:pPr>
            <w:r>
              <w:rPr>
                <w:color w:val="000000"/>
              </w:rPr>
              <w:t>Donepezil versus memantine or no treatment</w:t>
            </w:r>
          </w:p>
        </w:tc>
        <w:tc>
          <w:tcPr>
            <w:tcW w:w="752" w:type="pct"/>
          </w:tcPr>
          <w:p w14:paraId="56FBBE06" w14:textId="77777777" w:rsidR="007F6723" w:rsidRDefault="007F6723" w:rsidP="00181CF8">
            <w:pPr>
              <w:pStyle w:val="Tabletextcentred"/>
              <w:jc w:val="left"/>
              <w:rPr>
                <w:color w:val="000000"/>
              </w:rPr>
            </w:pPr>
            <w:r>
              <w:rPr>
                <w:color w:val="000000"/>
              </w:rPr>
              <w:t>Mild to moderate AD</w:t>
            </w:r>
          </w:p>
        </w:tc>
        <w:tc>
          <w:tcPr>
            <w:tcW w:w="1129" w:type="pct"/>
          </w:tcPr>
          <w:p w14:paraId="12B5D588" w14:textId="77777777" w:rsidR="007F6723" w:rsidRDefault="007F6723" w:rsidP="00181CF8">
            <w:pPr>
              <w:pStyle w:val="Tabletextcentred"/>
              <w:jc w:val="left"/>
            </w:pPr>
            <w:r>
              <w:rPr>
                <w:color w:val="000000"/>
              </w:rPr>
              <w:t>Based on a published regression equation, which used data collected using the EQ</w:t>
            </w:r>
            <w:r>
              <w:rPr>
                <w:rFonts w:ascii="Adobe Caslon Pro Bold" w:hAnsi="Adobe Caslon Pro Bold" w:cs="Adobe Caslon Pro Bold"/>
                <w:color w:val="000000"/>
              </w:rPr>
              <w:t>‐</w:t>
            </w:r>
            <w:r>
              <w:rPr>
                <w:color w:val="000000"/>
              </w:rPr>
              <w:t>5D from 272 patients in Nordic countries. Carers' utilities from a donepezil trial where carers' QoL was assessed using the SF</w:t>
            </w:r>
            <w:r>
              <w:rPr>
                <w:rFonts w:ascii="Adobe Caslon Pro Bold" w:hAnsi="Adobe Caslon Pro Bold" w:cs="Adobe Caslon Pro Bold"/>
                <w:color w:val="000000"/>
              </w:rPr>
              <w:t>‐</w:t>
            </w:r>
            <w:r>
              <w:rPr>
                <w:color w:val="000000"/>
              </w:rPr>
              <w:t>36 and transformed to utilities based on a published study.</w:t>
            </w:r>
          </w:p>
        </w:tc>
        <w:tc>
          <w:tcPr>
            <w:tcW w:w="1129" w:type="pct"/>
          </w:tcPr>
          <w:p w14:paraId="64CD84B7" w14:textId="77777777" w:rsidR="007F6723" w:rsidRDefault="007F6723" w:rsidP="00181CF8">
            <w:pPr>
              <w:pStyle w:val="Tabletextcentred"/>
              <w:jc w:val="left"/>
            </w:pPr>
            <w:r>
              <w:rPr>
                <w:color w:val="000000"/>
              </w:rPr>
              <w:t>Discrete event model with 10-year time horizon and PSA, adapted from Getsios 2010</w:t>
            </w:r>
          </w:p>
        </w:tc>
      </w:tr>
      <w:tr w:rsidR="007F6723" w14:paraId="6CAAF9E6" w14:textId="77777777" w:rsidTr="00181CF8">
        <w:tc>
          <w:tcPr>
            <w:tcW w:w="485" w:type="pct"/>
          </w:tcPr>
          <w:p w14:paraId="5341DBAB" w14:textId="77777777" w:rsidR="007F6723" w:rsidRDefault="007F6723" w:rsidP="00181CF8">
            <w:pPr>
              <w:pStyle w:val="Tabletextcentred"/>
              <w:keepNext/>
              <w:jc w:val="left"/>
            </w:pPr>
            <w:r>
              <w:rPr>
                <w:color w:val="000000"/>
              </w:rPr>
              <w:t>Bond et al</w:t>
            </w:r>
          </w:p>
        </w:tc>
        <w:tc>
          <w:tcPr>
            <w:tcW w:w="322" w:type="pct"/>
          </w:tcPr>
          <w:p w14:paraId="2095212A" w14:textId="77777777" w:rsidR="007F6723" w:rsidRDefault="007F6723" w:rsidP="00181CF8">
            <w:pPr>
              <w:pStyle w:val="Tabletextcentred"/>
              <w:keepNext/>
              <w:jc w:val="left"/>
            </w:pPr>
            <w:r>
              <w:rPr>
                <w:color w:val="000000"/>
              </w:rPr>
              <w:t>2012</w:t>
            </w:r>
          </w:p>
        </w:tc>
        <w:tc>
          <w:tcPr>
            <w:tcW w:w="430" w:type="pct"/>
          </w:tcPr>
          <w:p w14:paraId="14260D45" w14:textId="77777777" w:rsidR="007F6723" w:rsidRPr="002D465E" w:rsidRDefault="007F6723" w:rsidP="00181CF8">
            <w:pPr>
              <w:pStyle w:val="Tabletextcentred"/>
              <w:keepNext/>
              <w:jc w:val="left"/>
            </w:pPr>
            <w:r>
              <w:rPr>
                <w:color w:val="000000"/>
              </w:rPr>
              <w:t>UK</w:t>
            </w:r>
          </w:p>
        </w:tc>
        <w:tc>
          <w:tcPr>
            <w:tcW w:w="752" w:type="pct"/>
          </w:tcPr>
          <w:p w14:paraId="12D7CEB6" w14:textId="77777777" w:rsidR="007F6723" w:rsidRDefault="007F6723" w:rsidP="00181CF8">
            <w:pPr>
              <w:pStyle w:val="Tabletextcentred"/>
              <w:keepNext/>
              <w:jc w:val="left"/>
              <w:rPr>
                <w:color w:val="000000"/>
              </w:rPr>
            </w:pPr>
            <w:r>
              <w:rPr>
                <w:color w:val="000000"/>
              </w:rPr>
              <w:t>Update NHS model for treatment with donepezil, galantamine, rivastigmine and memantine versus each other and combinations and best supportive care</w:t>
            </w:r>
          </w:p>
        </w:tc>
        <w:tc>
          <w:tcPr>
            <w:tcW w:w="752" w:type="pct"/>
          </w:tcPr>
          <w:p w14:paraId="7C21C9E5" w14:textId="77777777" w:rsidR="007F6723" w:rsidRDefault="007F6723" w:rsidP="00181CF8">
            <w:pPr>
              <w:pStyle w:val="Tabletextcentred"/>
              <w:keepNext/>
              <w:jc w:val="left"/>
              <w:rPr>
                <w:color w:val="000000"/>
              </w:rPr>
            </w:pPr>
            <w:r>
              <w:rPr>
                <w:color w:val="000000"/>
              </w:rPr>
              <w:t>Mild, moderate, severe AD</w:t>
            </w:r>
          </w:p>
        </w:tc>
        <w:tc>
          <w:tcPr>
            <w:tcW w:w="1129" w:type="pct"/>
          </w:tcPr>
          <w:p w14:paraId="374B55B8" w14:textId="77777777" w:rsidR="007F6723" w:rsidRDefault="007F6723" w:rsidP="00181CF8">
            <w:pPr>
              <w:pStyle w:val="Tabletextcentred"/>
              <w:keepNext/>
              <w:jc w:val="left"/>
            </w:pPr>
            <w:r>
              <w:rPr>
                <w:color w:val="000000"/>
              </w:rPr>
              <w:t>Jonsson 2006 for patient utility weights. Neumann 1999 for carer utility weights. Appendix 17 of report has published utility values by severity from Kerner 1998, Miller 2008, Sano 1999, Ekman 2007, Naglie 2006, Anderson 2004, Wlodarczyk 2004, Karlawish 2008, Neumann 1999, Jonsson 2006.</w:t>
            </w:r>
          </w:p>
        </w:tc>
        <w:tc>
          <w:tcPr>
            <w:tcW w:w="1129" w:type="pct"/>
          </w:tcPr>
          <w:p w14:paraId="602453AD" w14:textId="1379C94A" w:rsidR="007F6723" w:rsidRDefault="007F6723" w:rsidP="00181CF8">
            <w:pPr>
              <w:pStyle w:val="Tabletextcentred"/>
              <w:keepNext/>
              <w:jc w:val="left"/>
            </w:pPr>
            <w:r>
              <w:rPr>
                <w:color w:val="000000"/>
              </w:rPr>
              <w:t xml:space="preserve">PenTAG </w:t>
            </w:r>
            <w:r w:rsidR="00F67E7B">
              <w:rPr>
                <w:color w:val="000000"/>
              </w:rPr>
              <w:t>M</w:t>
            </w:r>
            <w:r>
              <w:rPr>
                <w:color w:val="000000"/>
              </w:rPr>
              <w:t xml:space="preserve">arkov model based on time to institutionalisation, replaced previous SHTAC-AHEAD model used for NICE. </w:t>
            </w:r>
          </w:p>
        </w:tc>
      </w:tr>
      <w:tr w:rsidR="007F6723" w14:paraId="36E81438" w14:textId="77777777" w:rsidTr="00181CF8">
        <w:tc>
          <w:tcPr>
            <w:tcW w:w="485" w:type="pct"/>
          </w:tcPr>
          <w:p w14:paraId="7641D587" w14:textId="77777777" w:rsidR="007F6723" w:rsidRDefault="007F6723" w:rsidP="00181CF8">
            <w:pPr>
              <w:pStyle w:val="Tabletextcentred"/>
              <w:jc w:val="left"/>
            </w:pPr>
            <w:r>
              <w:rPr>
                <w:color w:val="000000"/>
              </w:rPr>
              <w:t>Pfeil et al</w:t>
            </w:r>
          </w:p>
        </w:tc>
        <w:tc>
          <w:tcPr>
            <w:tcW w:w="322" w:type="pct"/>
          </w:tcPr>
          <w:p w14:paraId="56A98850" w14:textId="77777777" w:rsidR="007F6723" w:rsidRDefault="007F6723" w:rsidP="00181CF8">
            <w:pPr>
              <w:pStyle w:val="Tabletextcentred"/>
              <w:jc w:val="left"/>
            </w:pPr>
            <w:r>
              <w:rPr>
                <w:color w:val="000000"/>
              </w:rPr>
              <w:t>2012</w:t>
            </w:r>
          </w:p>
        </w:tc>
        <w:tc>
          <w:tcPr>
            <w:tcW w:w="430" w:type="pct"/>
          </w:tcPr>
          <w:p w14:paraId="40DF5109" w14:textId="77777777" w:rsidR="007F6723" w:rsidRPr="002D465E" w:rsidRDefault="007F6723" w:rsidP="00181CF8">
            <w:pPr>
              <w:pStyle w:val="Tabletextcentred"/>
              <w:jc w:val="left"/>
            </w:pPr>
            <w:r>
              <w:rPr>
                <w:color w:val="000000"/>
              </w:rPr>
              <w:t>Switzerland</w:t>
            </w:r>
          </w:p>
        </w:tc>
        <w:tc>
          <w:tcPr>
            <w:tcW w:w="752" w:type="pct"/>
          </w:tcPr>
          <w:p w14:paraId="5234964B" w14:textId="77777777" w:rsidR="007F6723" w:rsidRDefault="007F6723" w:rsidP="00181CF8">
            <w:pPr>
              <w:pStyle w:val="Tabletextcentred"/>
              <w:jc w:val="left"/>
              <w:rPr>
                <w:color w:val="000000"/>
              </w:rPr>
            </w:pPr>
            <w:r>
              <w:rPr>
                <w:color w:val="000000"/>
              </w:rPr>
              <w:t>Combination treatment of an AChEI and memantine compared with mono treatment (either an AChEI or memantine)</w:t>
            </w:r>
          </w:p>
        </w:tc>
        <w:tc>
          <w:tcPr>
            <w:tcW w:w="752" w:type="pct"/>
          </w:tcPr>
          <w:p w14:paraId="467694C9" w14:textId="77777777" w:rsidR="007F6723" w:rsidRDefault="007F6723" w:rsidP="00181CF8">
            <w:pPr>
              <w:pStyle w:val="Tabletextcentred"/>
              <w:jc w:val="left"/>
              <w:rPr>
                <w:color w:val="000000"/>
              </w:rPr>
            </w:pPr>
            <w:r>
              <w:rPr>
                <w:color w:val="000000"/>
              </w:rPr>
              <w:t>Mild to moderate AD</w:t>
            </w:r>
          </w:p>
        </w:tc>
        <w:tc>
          <w:tcPr>
            <w:tcW w:w="1129" w:type="pct"/>
          </w:tcPr>
          <w:p w14:paraId="4E36BF2E" w14:textId="77777777" w:rsidR="007F6723" w:rsidRDefault="007F6723" w:rsidP="00181CF8">
            <w:pPr>
              <w:pStyle w:val="Tabletextcentred"/>
              <w:jc w:val="left"/>
            </w:pPr>
            <w:r>
              <w:rPr>
                <w:color w:val="000000"/>
              </w:rPr>
              <w:t>Neumann 1999 and Ward 2003</w:t>
            </w:r>
          </w:p>
        </w:tc>
        <w:tc>
          <w:tcPr>
            <w:tcW w:w="1129" w:type="pct"/>
          </w:tcPr>
          <w:p w14:paraId="25513196" w14:textId="12250087" w:rsidR="007F6723" w:rsidRDefault="007F6723" w:rsidP="00181CF8">
            <w:pPr>
              <w:pStyle w:val="Tabletextcentred"/>
              <w:jc w:val="left"/>
            </w:pPr>
            <w:r>
              <w:rPr>
                <w:color w:val="000000"/>
              </w:rPr>
              <w:t>Markov state</w:t>
            </w:r>
            <w:r w:rsidR="0064732B">
              <w:rPr>
                <w:color w:val="000000"/>
              </w:rPr>
              <w:t>-</w:t>
            </w:r>
            <w:r>
              <w:rPr>
                <w:color w:val="000000"/>
              </w:rPr>
              <w:t>transition modelusing French adaptation (Touchon 2010, abstract only) of Canadian model from Lachaine 2011, with 7-year time horizon</w:t>
            </w:r>
            <w:r w:rsidR="00550781">
              <w:rPr>
                <w:color w:val="000000"/>
              </w:rPr>
              <w:t>.</w:t>
            </w:r>
          </w:p>
        </w:tc>
      </w:tr>
      <w:tr w:rsidR="007F6723" w14:paraId="0EC20AAF" w14:textId="77777777" w:rsidTr="00181CF8">
        <w:tc>
          <w:tcPr>
            <w:tcW w:w="485" w:type="pct"/>
          </w:tcPr>
          <w:p w14:paraId="005C8230" w14:textId="77777777" w:rsidR="007F6723" w:rsidRDefault="007F6723" w:rsidP="00694571">
            <w:pPr>
              <w:pStyle w:val="Tabletextcentred"/>
              <w:keepNext/>
              <w:jc w:val="left"/>
            </w:pPr>
            <w:r>
              <w:rPr>
                <w:color w:val="000000"/>
              </w:rPr>
              <w:lastRenderedPageBreak/>
              <w:t>Rive et al</w:t>
            </w:r>
          </w:p>
        </w:tc>
        <w:tc>
          <w:tcPr>
            <w:tcW w:w="322" w:type="pct"/>
          </w:tcPr>
          <w:p w14:paraId="77FB16BE" w14:textId="77777777" w:rsidR="007F6723" w:rsidRDefault="007F6723" w:rsidP="00694571">
            <w:pPr>
              <w:pStyle w:val="Tabletextcentred"/>
              <w:keepNext/>
              <w:jc w:val="left"/>
            </w:pPr>
            <w:r>
              <w:rPr>
                <w:color w:val="000000"/>
              </w:rPr>
              <w:t>2012</w:t>
            </w:r>
          </w:p>
        </w:tc>
        <w:tc>
          <w:tcPr>
            <w:tcW w:w="430" w:type="pct"/>
          </w:tcPr>
          <w:p w14:paraId="76A476C6" w14:textId="77777777" w:rsidR="007F6723" w:rsidRPr="002D465E" w:rsidRDefault="007F6723" w:rsidP="00694571">
            <w:pPr>
              <w:pStyle w:val="Tabletextcentred"/>
              <w:keepNext/>
              <w:jc w:val="left"/>
            </w:pPr>
            <w:r>
              <w:rPr>
                <w:color w:val="000000"/>
              </w:rPr>
              <w:t>Norway</w:t>
            </w:r>
          </w:p>
        </w:tc>
        <w:tc>
          <w:tcPr>
            <w:tcW w:w="752" w:type="pct"/>
          </w:tcPr>
          <w:p w14:paraId="1E6D8CFB" w14:textId="77777777" w:rsidR="007F6723" w:rsidRDefault="007F6723" w:rsidP="00694571">
            <w:pPr>
              <w:pStyle w:val="Tabletextcentred"/>
              <w:keepNext/>
              <w:jc w:val="left"/>
              <w:rPr>
                <w:color w:val="000000"/>
              </w:rPr>
            </w:pPr>
            <w:r>
              <w:rPr>
                <w:color w:val="000000"/>
              </w:rPr>
              <w:t>Memantine versus no pharmacological treatment or background therapy with AChEIs</w:t>
            </w:r>
          </w:p>
        </w:tc>
        <w:tc>
          <w:tcPr>
            <w:tcW w:w="752" w:type="pct"/>
          </w:tcPr>
          <w:p w14:paraId="6BC6472E" w14:textId="77777777" w:rsidR="007F6723" w:rsidRDefault="007F6723" w:rsidP="00694571">
            <w:pPr>
              <w:pStyle w:val="Tabletextcentred"/>
              <w:keepNext/>
              <w:jc w:val="left"/>
              <w:rPr>
                <w:color w:val="000000"/>
              </w:rPr>
            </w:pPr>
            <w:r>
              <w:rPr>
                <w:color w:val="000000"/>
              </w:rPr>
              <w:t>Moderate and severe AD</w:t>
            </w:r>
          </w:p>
        </w:tc>
        <w:tc>
          <w:tcPr>
            <w:tcW w:w="1129" w:type="pct"/>
          </w:tcPr>
          <w:p w14:paraId="30A5B349" w14:textId="77777777" w:rsidR="007F6723" w:rsidRDefault="007F6723" w:rsidP="00694571">
            <w:pPr>
              <w:pStyle w:val="Tabletextcentred"/>
              <w:keepNext/>
              <w:jc w:val="left"/>
            </w:pPr>
            <w:r>
              <w:rPr>
                <w:color w:val="000000"/>
              </w:rPr>
              <w:t>Scandinavian Study of Cost and Quality of Life in Alzheimer's Disease (SQUAD) study by Jonsson 2006. Details provided of grouping by model state.</w:t>
            </w:r>
          </w:p>
        </w:tc>
        <w:tc>
          <w:tcPr>
            <w:tcW w:w="1129" w:type="pct"/>
          </w:tcPr>
          <w:p w14:paraId="5FDBCFDC" w14:textId="54A34977" w:rsidR="007F6723" w:rsidRDefault="007F6723" w:rsidP="00694571">
            <w:pPr>
              <w:pStyle w:val="Tabletextcentred"/>
              <w:keepNext/>
              <w:jc w:val="left"/>
            </w:pPr>
            <w:r>
              <w:rPr>
                <w:color w:val="000000"/>
              </w:rPr>
              <w:t>Markov model with 5-year time horizon</w:t>
            </w:r>
            <w:r w:rsidR="00550781">
              <w:rPr>
                <w:color w:val="000000"/>
              </w:rPr>
              <w:t>.</w:t>
            </w:r>
          </w:p>
        </w:tc>
      </w:tr>
      <w:tr w:rsidR="007F6723" w14:paraId="338A3517" w14:textId="77777777" w:rsidTr="00181CF8">
        <w:tc>
          <w:tcPr>
            <w:tcW w:w="485" w:type="pct"/>
          </w:tcPr>
          <w:p w14:paraId="4520944C" w14:textId="77777777" w:rsidR="007F6723" w:rsidRDefault="007F6723" w:rsidP="00181CF8">
            <w:pPr>
              <w:pStyle w:val="Tabletextcentred"/>
              <w:keepNext/>
              <w:jc w:val="left"/>
            </w:pPr>
            <w:r>
              <w:rPr>
                <w:color w:val="000000"/>
              </w:rPr>
              <w:t>Biasutti et al</w:t>
            </w:r>
          </w:p>
        </w:tc>
        <w:tc>
          <w:tcPr>
            <w:tcW w:w="322" w:type="pct"/>
          </w:tcPr>
          <w:p w14:paraId="0DE5EE58" w14:textId="77777777" w:rsidR="007F6723" w:rsidRDefault="007F6723" w:rsidP="00181CF8">
            <w:pPr>
              <w:pStyle w:val="Tabletextcentred"/>
              <w:keepNext/>
              <w:jc w:val="left"/>
            </w:pPr>
            <w:r>
              <w:rPr>
                <w:color w:val="000000"/>
              </w:rPr>
              <w:t>2012</w:t>
            </w:r>
          </w:p>
        </w:tc>
        <w:tc>
          <w:tcPr>
            <w:tcW w:w="430" w:type="pct"/>
          </w:tcPr>
          <w:p w14:paraId="48F56B6D" w14:textId="77777777" w:rsidR="007F6723" w:rsidRPr="002D465E" w:rsidRDefault="007F6723" w:rsidP="00181CF8">
            <w:pPr>
              <w:pStyle w:val="Tabletextcentred"/>
              <w:keepNext/>
              <w:jc w:val="left"/>
            </w:pPr>
            <w:r>
              <w:rPr>
                <w:color w:val="000000"/>
              </w:rPr>
              <w:t>France</w:t>
            </w:r>
          </w:p>
        </w:tc>
        <w:tc>
          <w:tcPr>
            <w:tcW w:w="752" w:type="pct"/>
          </w:tcPr>
          <w:p w14:paraId="0A271D0D" w14:textId="77777777" w:rsidR="007F6723" w:rsidRDefault="007F6723" w:rsidP="00181CF8">
            <w:pPr>
              <w:pStyle w:val="Tabletextcentred"/>
              <w:keepNext/>
              <w:jc w:val="left"/>
              <w:rPr>
                <w:color w:val="000000"/>
              </w:rPr>
            </w:pPr>
            <w:r>
              <w:rPr>
                <w:color w:val="000000"/>
              </w:rPr>
              <w:t>Screening with contrast agents for MRI compared with standard diagnosis (cognition tests and standard MRI), then treat with donepezil or memantine or a hypothetical higher-efficacy drug</w:t>
            </w:r>
          </w:p>
        </w:tc>
        <w:tc>
          <w:tcPr>
            <w:tcW w:w="752" w:type="pct"/>
          </w:tcPr>
          <w:p w14:paraId="19923725" w14:textId="77777777" w:rsidR="007F6723" w:rsidRDefault="007F6723" w:rsidP="00181CF8">
            <w:pPr>
              <w:pStyle w:val="Tabletextcentred"/>
              <w:keepNext/>
              <w:jc w:val="left"/>
              <w:rPr>
                <w:color w:val="000000"/>
              </w:rPr>
            </w:pPr>
            <w:r>
              <w:rPr>
                <w:color w:val="000000"/>
              </w:rPr>
              <w:t>MCI</w:t>
            </w:r>
          </w:p>
        </w:tc>
        <w:tc>
          <w:tcPr>
            <w:tcW w:w="1129" w:type="pct"/>
          </w:tcPr>
          <w:p w14:paraId="195A3B7E" w14:textId="77777777" w:rsidR="007F6723" w:rsidRDefault="007F6723" w:rsidP="00181CF8">
            <w:pPr>
              <w:pStyle w:val="Tabletextcentred"/>
              <w:keepNext/>
              <w:jc w:val="left"/>
            </w:pPr>
            <w:r>
              <w:rPr>
                <w:color w:val="000000"/>
              </w:rPr>
              <w:t>Based on Neumann 1999</w:t>
            </w:r>
          </w:p>
        </w:tc>
        <w:tc>
          <w:tcPr>
            <w:tcW w:w="1129" w:type="pct"/>
          </w:tcPr>
          <w:p w14:paraId="35A91B54" w14:textId="77777777" w:rsidR="007F6723" w:rsidRDefault="007F6723" w:rsidP="00181CF8">
            <w:pPr>
              <w:pStyle w:val="Tabletextcentred"/>
              <w:keepNext/>
              <w:jc w:val="left"/>
            </w:pPr>
            <w:r>
              <w:rPr>
                <w:color w:val="000000"/>
              </w:rPr>
              <w:t>Markov model based on Neumann 1999, with diagnostic accuracy captured as per McMahon 2000</w:t>
            </w:r>
          </w:p>
        </w:tc>
      </w:tr>
      <w:tr w:rsidR="007F6723" w14:paraId="7F5D6A59" w14:textId="77777777" w:rsidTr="00181CF8">
        <w:tc>
          <w:tcPr>
            <w:tcW w:w="485" w:type="pct"/>
          </w:tcPr>
          <w:p w14:paraId="58238972" w14:textId="77777777" w:rsidR="007F6723" w:rsidRDefault="007F6723" w:rsidP="00181CF8">
            <w:pPr>
              <w:pStyle w:val="Tabletextcentred"/>
              <w:jc w:val="left"/>
            </w:pPr>
            <w:r>
              <w:rPr>
                <w:color w:val="000000"/>
              </w:rPr>
              <w:t>Getsios et al</w:t>
            </w:r>
          </w:p>
        </w:tc>
        <w:tc>
          <w:tcPr>
            <w:tcW w:w="322" w:type="pct"/>
          </w:tcPr>
          <w:p w14:paraId="665CCF4D" w14:textId="77777777" w:rsidR="007F6723" w:rsidRDefault="007F6723" w:rsidP="00181CF8">
            <w:pPr>
              <w:pStyle w:val="Tabletextcentred"/>
              <w:jc w:val="left"/>
            </w:pPr>
            <w:r>
              <w:rPr>
                <w:color w:val="000000"/>
              </w:rPr>
              <w:t>2012</w:t>
            </w:r>
          </w:p>
        </w:tc>
        <w:tc>
          <w:tcPr>
            <w:tcW w:w="430" w:type="pct"/>
          </w:tcPr>
          <w:p w14:paraId="1189A49A" w14:textId="77777777" w:rsidR="007F6723" w:rsidRPr="002D465E" w:rsidRDefault="007F6723" w:rsidP="00181CF8">
            <w:pPr>
              <w:pStyle w:val="Tabletextcentred"/>
              <w:jc w:val="left"/>
            </w:pPr>
            <w:r>
              <w:rPr>
                <w:color w:val="000000"/>
              </w:rPr>
              <w:t>UK</w:t>
            </w:r>
          </w:p>
        </w:tc>
        <w:tc>
          <w:tcPr>
            <w:tcW w:w="752" w:type="pct"/>
          </w:tcPr>
          <w:p w14:paraId="687C6370" w14:textId="77777777" w:rsidR="007F6723" w:rsidRDefault="007F6723" w:rsidP="00181CF8">
            <w:pPr>
              <w:pStyle w:val="Tabletextcentred"/>
              <w:jc w:val="left"/>
              <w:rPr>
                <w:color w:val="000000"/>
              </w:rPr>
            </w:pPr>
            <w:r>
              <w:rPr>
                <w:color w:val="000000"/>
              </w:rPr>
              <w:t>Early assessment and treatment for AD compared with treatment after diagnosis or no treatment</w:t>
            </w:r>
          </w:p>
        </w:tc>
        <w:tc>
          <w:tcPr>
            <w:tcW w:w="752" w:type="pct"/>
          </w:tcPr>
          <w:p w14:paraId="06FFA212" w14:textId="77777777" w:rsidR="007F6723" w:rsidRDefault="007F6723" w:rsidP="00181CF8">
            <w:pPr>
              <w:pStyle w:val="Tabletextcentred"/>
              <w:jc w:val="left"/>
              <w:rPr>
                <w:color w:val="000000"/>
              </w:rPr>
            </w:pPr>
            <w:r>
              <w:rPr>
                <w:color w:val="000000"/>
              </w:rPr>
              <w:t>Annual assessment of patients (aged 65-100) with subjective memory complaints and MMSE 10-26 (5% of cases have CT or MRI)</w:t>
            </w:r>
          </w:p>
        </w:tc>
        <w:tc>
          <w:tcPr>
            <w:tcW w:w="1129" w:type="pct"/>
          </w:tcPr>
          <w:p w14:paraId="17F952F9" w14:textId="77777777" w:rsidR="007F6723" w:rsidRDefault="007F6723" w:rsidP="00181CF8">
            <w:pPr>
              <w:pStyle w:val="Tabletextcentred"/>
              <w:jc w:val="left"/>
            </w:pPr>
            <w:r>
              <w:rPr>
                <w:color w:val="000000"/>
              </w:rPr>
              <w:t xml:space="preserve">Patient utilities estimated on basis of published regression equation (Jonsson 2006). Caregiver utilities based on data from donezepil trials using SF-36 transformed to utilities. </w:t>
            </w:r>
          </w:p>
        </w:tc>
        <w:tc>
          <w:tcPr>
            <w:tcW w:w="1129" w:type="pct"/>
          </w:tcPr>
          <w:p w14:paraId="52F0EA68" w14:textId="586A35B5" w:rsidR="007F6723" w:rsidRDefault="007F6723" w:rsidP="00181CF8">
            <w:pPr>
              <w:pStyle w:val="Tabletextcentred"/>
              <w:jc w:val="left"/>
            </w:pPr>
            <w:r>
              <w:rPr>
                <w:color w:val="000000"/>
              </w:rPr>
              <w:t>Discrete event simulation based on Getsios 2010 for donezepil and adapted for effect of early assessment, with a 10-year time horizon</w:t>
            </w:r>
            <w:r w:rsidR="00550781">
              <w:rPr>
                <w:color w:val="000000"/>
              </w:rPr>
              <w:t>.</w:t>
            </w:r>
          </w:p>
        </w:tc>
      </w:tr>
      <w:tr w:rsidR="007F6723" w14:paraId="60D60F2F" w14:textId="77777777" w:rsidTr="00181CF8">
        <w:tc>
          <w:tcPr>
            <w:tcW w:w="485" w:type="pct"/>
          </w:tcPr>
          <w:p w14:paraId="3DC5DEFB" w14:textId="77777777" w:rsidR="007F6723" w:rsidRDefault="007F6723" w:rsidP="00181CF8">
            <w:pPr>
              <w:pStyle w:val="Tabletextcentred"/>
              <w:jc w:val="left"/>
            </w:pPr>
            <w:r>
              <w:rPr>
                <w:color w:val="000000"/>
              </w:rPr>
              <w:t>Hyde et al</w:t>
            </w:r>
          </w:p>
        </w:tc>
        <w:tc>
          <w:tcPr>
            <w:tcW w:w="322" w:type="pct"/>
          </w:tcPr>
          <w:p w14:paraId="6B080664" w14:textId="77777777" w:rsidR="007F6723" w:rsidRDefault="007F6723" w:rsidP="00181CF8">
            <w:pPr>
              <w:pStyle w:val="Tabletextcentred"/>
              <w:jc w:val="left"/>
            </w:pPr>
            <w:r>
              <w:rPr>
                <w:color w:val="000000"/>
              </w:rPr>
              <w:t>2013</w:t>
            </w:r>
          </w:p>
        </w:tc>
        <w:tc>
          <w:tcPr>
            <w:tcW w:w="430" w:type="pct"/>
          </w:tcPr>
          <w:p w14:paraId="2DEA27E9" w14:textId="77777777" w:rsidR="007F6723" w:rsidRPr="002D465E" w:rsidRDefault="007F6723" w:rsidP="00181CF8">
            <w:pPr>
              <w:pStyle w:val="Tabletextcentred"/>
              <w:jc w:val="left"/>
            </w:pPr>
            <w:r>
              <w:rPr>
                <w:color w:val="000000"/>
              </w:rPr>
              <w:t>UK</w:t>
            </w:r>
          </w:p>
        </w:tc>
        <w:tc>
          <w:tcPr>
            <w:tcW w:w="752" w:type="pct"/>
          </w:tcPr>
          <w:p w14:paraId="0B09D99C" w14:textId="77777777" w:rsidR="007F6723" w:rsidRDefault="007F6723" w:rsidP="00181CF8">
            <w:pPr>
              <w:pStyle w:val="Tabletextcentred"/>
              <w:jc w:val="left"/>
              <w:rPr>
                <w:color w:val="000000"/>
              </w:rPr>
            </w:pPr>
            <w:r>
              <w:rPr>
                <w:color w:val="000000"/>
              </w:rPr>
              <w:t>Update evidence used to inform NICE 2007 decision regarding treatment with donepezil, rivastigmine, galantamine and memantine</w:t>
            </w:r>
          </w:p>
        </w:tc>
        <w:tc>
          <w:tcPr>
            <w:tcW w:w="752" w:type="pct"/>
          </w:tcPr>
          <w:p w14:paraId="13EDDF7C" w14:textId="77777777" w:rsidR="007F6723" w:rsidRDefault="007F6723" w:rsidP="00181CF8">
            <w:pPr>
              <w:pStyle w:val="Tabletextcentred"/>
              <w:jc w:val="left"/>
              <w:rPr>
                <w:color w:val="000000"/>
              </w:rPr>
            </w:pPr>
            <w:r>
              <w:rPr>
                <w:color w:val="000000"/>
              </w:rPr>
              <w:t>Commencement of treatment for AD</w:t>
            </w:r>
          </w:p>
        </w:tc>
        <w:tc>
          <w:tcPr>
            <w:tcW w:w="1129" w:type="pct"/>
          </w:tcPr>
          <w:p w14:paraId="27A35929" w14:textId="77777777" w:rsidR="007F6723" w:rsidRDefault="007F6723" w:rsidP="00181CF8">
            <w:pPr>
              <w:pStyle w:val="Tabletextcentred"/>
              <w:jc w:val="left"/>
            </w:pPr>
            <w:r>
              <w:rPr>
                <w:color w:val="000000"/>
              </w:rPr>
              <w:t>No change from Loveman 2006</w:t>
            </w:r>
          </w:p>
        </w:tc>
        <w:tc>
          <w:tcPr>
            <w:tcW w:w="1129" w:type="pct"/>
          </w:tcPr>
          <w:p w14:paraId="40A04DD1" w14:textId="383C5707" w:rsidR="007F6723" w:rsidRDefault="007F6723" w:rsidP="00181CF8">
            <w:pPr>
              <w:pStyle w:val="Tabletextcentred"/>
              <w:jc w:val="left"/>
            </w:pPr>
            <w:r>
              <w:rPr>
                <w:color w:val="000000"/>
              </w:rPr>
              <w:t xml:space="preserve">Update of PenTAG model (Loveman </w:t>
            </w:r>
            <w:r w:rsidR="00550781">
              <w:rPr>
                <w:color w:val="000000"/>
              </w:rPr>
              <w:t>2006).</w:t>
            </w:r>
          </w:p>
        </w:tc>
      </w:tr>
      <w:tr w:rsidR="007F6723" w14:paraId="1F5EBDEB" w14:textId="77777777" w:rsidTr="00181CF8">
        <w:tc>
          <w:tcPr>
            <w:tcW w:w="485" w:type="pct"/>
          </w:tcPr>
          <w:p w14:paraId="0F116A20" w14:textId="77777777" w:rsidR="007F6723" w:rsidRDefault="007F6723" w:rsidP="00181CF8">
            <w:pPr>
              <w:pStyle w:val="Tabletextcentred"/>
              <w:keepNext/>
              <w:jc w:val="left"/>
            </w:pPr>
            <w:r>
              <w:rPr>
                <w:color w:val="000000"/>
              </w:rPr>
              <w:t>Skoldunger et al</w:t>
            </w:r>
          </w:p>
        </w:tc>
        <w:tc>
          <w:tcPr>
            <w:tcW w:w="322" w:type="pct"/>
          </w:tcPr>
          <w:p w14:paraId="2A20FE41" w14:textId="77777777" w:rsidR="007F6723" w:rsidRDefault="007F6723" w:rsidP="00181CF8">
            <w:pPr>
              <w:pStyle w:val="Tabletextcentred"/>
              <w:keepNext/>
              <w:jc w:val="left"/>
            </w:pPr>
            <w:r>
              <w:rPr>
                <w:color w:val="000000"/>
              </w:rPr>
              <w:t>2013</w:t>
            </w:r>
          </w:p>
        </w:tc>
        <w:tc>
          <w:tcPr>
            <w:tcW w:w="430" w:type="pct"/>
          </w:tcPr>
          <w:p w14:paraId="4EC6D908" w14:textId="77777777" w:rsidR="007F6723" w:rsidRPr="002D465E" w:rsidRDefault="007F6723" w:rsidP="00181CF8">
            <w:pPr>
              <w:pStyle w:val="Tabletextcentred"/>
              <w:keepNext/>
              <w:jc w:val="left"/>
            </w:pPr>
            <w:r>
              <w:rPr>
                <w:color w:val="000000"/>
              </w:rPr>
              <w:t>Sweden</w:t>
            </w:r>
          </w:p>
        </w:tc>
        <w:tc>
          <w:tcPr>
            <w:tcW w:w="752" w:type="pct"/>
          </w:tcPr>
          <w:p w14:paraId="3D80E471" w14:textId="77777777" w:rsidR="007F6723" w:rsidRDefault="007F6723" w:rsidP="00181CF8">
            <w:pPr>
              <w:pStyle w:val="Tabletextcentred"/>
              <w:keepNext/>
              <w:jc w:val="left"/>
              <w:rPr>
                <w:color w:val="000000"/>
              </w:rPr>
            </w:pPr>
            <w:r>
              <w:rPr>
                <w:color w:val="000000"/>
              </w:rPr>
              <w:t>Hypothetical model of disease modifying treatment compared with standard care</w:t>
            </w:r>
          </w:p>
        </w:tc>
        <w:tc>
          <w:tcPr>
            <w:tcW w:w="752" w:type="pct"/>
          </w:tcPr>
          <w:p w14:paraId="14C8A968" w14:textId="77777777" w:rsidR="007F6723" w:rsidRDefault="007F6723" w:rsidP="00181CF8">
            <w:pPr>
              <w:pStyle w:val="Tabletextcentred"/>
              <w:keepNext/>
              <w:jc w:val="left"/>
              <w:rPr>
                <w:color w:val="000000"/>
              </w:rPr>
            </w:pPr>
            <w:r>
              <w:rPr>
                <w:color w:val="000000"/>
              </w:rPr>
              <w:t>MCI and AD</w:t>
            </w:r>
          </w:p>
        </w:tc>
        <w:tc>
          <w:tcPr>
            <w:tcW w:w="1129" w:type="pct"/>
          </w:tcPr>
          <w:p w14:paraId="7117B2E6" w14:textId="77777777" w:rsidR="007F6723" w:rsidRDefault="007F6723" w:rsidP="00181CF8">
            <w:pPr>
              <w:pStyle w:val="Tabletextcentred"/>
              <w:keepNext/>
              <w:jc w:val="left"/>
            </w:pPr>
            <w:r>
              <w:rPr>
                <w:color w:val="000000"/>
              </w:rPr>
              <w:t>Utility scores were from a Swedish study of utility for patients with MCI and dementia. These scores were assigned to each model state.</w:t>
            </w:r>
          </w:p>
        </w:tc>
        <w:tc>
          <w:tcPr>
            <w:tcW w:w="1129" w:type="pct"/>
          </w:tcPr>
          <w:p w14:paraId="353723A2" w14:textId="61ACAE71" w:rsidR="007F6723" w:rsidRDefault="007F6723" w:rsidP="00181CF8">
            <w:pPr>
              <w:pStyle w:val="Tabletextcentred"/>
              <w:keepNext/>
              <w:jc w:val="left"/>
            </w:pPr>
            <w:r>
              <w:rPr>
                <w:color w:val="000000"/>
              </w:rPr>
              <w:t>Markov model with 20-year time horizon. Assumed prolonged survival with disease modifying treatment</w:t>
            </w:r>
            <w:r w:rsidR="00550781">
              <w:rPr>
                <w:color w:val="000000"/>
              </w:rPr>
              <w:t>.</w:t>
            </w:r>
            <w:r>
              <w:rPr>
                <w:color w:val="000000"/>
              </w:rPr>
              <w:t xml:space="preserve"> </w:t>
            </w:r>
          </w:p>
        </w:tc>
      </w:tr>
      <w:tr w:rsidR="007F6723" w14:paraId="5D61F84A" w14:textId="77777777" w:rsidTr="00181CF8">
        <w:tc>
          <w:tcPr>
            <w:tcW w:w="485" w:type="pct"/>
          </w:tcPr>
          <w:p w14:paraId="10A89F77" w14:textId="77777777" w:rsidR="007F6723" w:rsidRDefault="007F6723" w:rsidP="00181CF8">
            <w:pPr>
              <w:pStyle w:val="Tabletextcentred"/>
              <w:jc w:val="left"/>
            </w:pPr>
            <w:r>
              <w:rPr>
                <w:color w:val="000000"/>
              </w:rPr>
              <w:t>Touchon et al</w:t>
            </w:r>
          </w:p>
        </w:tc>
        <w:tc>
          <w:tcPr>
            <w:tcW w:w="322" w:type="pct"/>
          </w:tcPr>
          <w:p w14:paraId="2FFA4976" w14:textId="77777777" w:rsidR="007F6723" w:rsidRDefault="007F6723" w:rsidP="00181CF8">
            <w:pPr>
              <w:pStyle w:val="Tabletextcentred"/>
              <w:jc w:val="left"/>
            </w:pPr>
            <w:r>
              <w:rPr>
                <w:color w:val="000000"/>
              </w:rPr>
              <w:t>2014</w:t>
            </w:r>
          </w:p>
        </w:tc>
        <w:tc>
          <w:tcPr>
            <w:tcW w:w="430" w:type="pct"/>
          </w:tcPr>
          <w:p w14:paraId="2FE0F44F" w14:textId="77777777" w:rsidR="007F6723" w:rsidRPr="002D465E" w:rsidRDefault="007F6723" w:rsidP="00181CF8">
            <w:pPr>
              <w:pStyle w:val="Tabletextcentred"/>
              <w:jc w:val="left"/>
            </w:pPr>
            <w:r>
              <w:rPr>
                <w:color w:val="000000"/>
              </w:rPr>
              <w:t>France</w:t>
            </w:r>
          </w:p>
        </w:tc>
        <w:tc>
          <w:tcPr>
            <w:tcW w:w="752" w:type="pct"/>
          </w:tcPr>
          <w:p w14:paraId="64093644" w14:textId="77777777" w:rsidR="007F6723" w:rsidRDefault="007F6723" w:rsidP="00181CF8">
            <w:pPr>
              <w:pStyle w:val="Tabletextcentred"/>
              <w:jc w:val="left"/>
              <w:rPr>
                <w:color w:val="000000"/>
              </w:rPr>
            </w:pPr>
            <w:r>
              <w:rPr>
                <w:color w:val="000000"/>
              </w:rPr>
              <w:t>Combination treatment of a AChEI and memantine on nursing home admission</w:t>
            </w:r>
          </w:p>
        </w:tc>
        <w:tc>
          <w:tcPr>
            <w:tcW w:w="752" w:type="pct"/>
          </w:tcPr>
          <w:p w14:paraId="5073B80D" w14:textId="5123C961" w:rsidR="007F6723" w:rsidRDefault="007F6723" w:rsidP="00181CF8">
            <w:pPr>
              <w:pStyle w:val="Tabletextcentred"/>
              <w:jc w:val="left"/>
              <w:rPr>
                <w:color w:val="000000"/>
              </w:rPr>
            </w:pPr>
            <w:r>
              <w:rPr>
                <w:color w:val="000000"/>
              </w:rPr>
              <w:t>Community</w:t>
            </w:r>
            <w:r w:rsidR="000E05F2">
              <w:rPr>
                <w:color w:val="000000"/>
              </w:rPr>
              <w:t>-</w:t>
            </w:r>
            <w:r>
              <w:rPr>
                <w:color w:val="000000"/>
              </w:rPr>
              <w:t>dwelling AD</w:t>
            </w:r>
          </w:p>
        </w:tc>
        <w:tc>
          <w:tcPr>
            <w:tcW w:w="1129" w:type="pct"/>
          </w:tcPr>
          <w:p w14:paraId="0268B367" w14:textId="77777777" w:rsidR="007F6723" w:rsidRDefault="007F6723" w:rsidP="00181CF8">
            <w:pPr>
              <w:pStyle w:val="Tabletextcentred"/>
              <w:jc w:val="left"/>
            </w:pPr>
            <w:r>
              <w:rPr>
                <w:color w:val="000000"/>
              </w:rPr>
              <w:t>Neumann 1999</w:t>
            </w:r>
          </w:p>
        </w:tc>
        <w:tc>
          <w:tcPr>
            <w:tcW w:w="1129" w:type="pct"/>
          </w:tcPr>
          <w:p w14:paraId="05B72062" w14:textId="77777777" w:rsidR="007F6723" w:rsidRDefault="007F6723" w:rsidP="00181CF8">
            <w:pPr>
              <w:pStyle w:val="Tabletextcentred"/>
              <w:jc w:val="left"/>
            </w:pPr>
            <w:r>
              <w:rPr>
                <w:color w:val="000000"/>
              </w:rPr>
              <w:t>Markov model with structure identical to Lachaine 2011</w:t>
            </w:r>
          </w:p>
        </w:tc>
      </w:tr>
      <w:tr w:rsidR="007F6723" w14:paraId="413CF2D6" w14:textId="77777777" w:rsidTr="00181CF8">
        <w:tc>
          <w:tcPr>
            <w:tcW w:w="485" w:type="pct"/>
          </w:tcPr>
          <w:p w14:paraId="127F118F" w14:textId="77777777" w:rsidR="007F6723" w:rsidRDefault="007F6723" w:rsidP="00181CF8">
            <w:pPr>
              <w:pStyle w:val="Tabletextcentred"/>
              <w:keepNext/>
              <w:jc w:val="left"/>
            </w:pPr>
            <w:r>
              <w:rPr>
                <w:color w:val="000000"/>
              </w:rPr>
              <w:lastRenderedPageBreak/>
              <w:t>Bermingham et al</w:t>
            </w:r>
          </w:p>
        </w:tc>
        <w:tc>
          <w:tcPr>
            <w:tcW w:w="322" w:type="pct"/>
          </w:tcPr>
          <w:p w14:paraId="2FD1479C" w14:textId="77777777" w:rsidR="007F6723" w:rsidRDefault="007F6723" w:rsidP="00181CF8">
            <w:pPr>
              <w:pStyle w:val="Tabletextcentred"/>
              <w:keepNext/>
              <w:jc w:val="left"/>
            </w:pPr>
            <w:r>
              <w:rPr>
                <w:color w:val="000000"/>
              </w:rPr>
              <w:t>2014</w:t>
            </w:r>
          </w:p>
        </w:tc>
        <w:tc>
          <w:tcPr>
            <w:tcW w:w="430" w:type="pct"/>
          </w:tcPr>
          <w:p w14:paraId="0AB4E90B" w14:textId="77777777" w:rsidR="007F6723" w:rsidRPr="002D465E" w:rsidRDefault="007F6723" w:rsidP="00181CF8">
            <w:pPr>
              <w:pStyle w:val="Tabletextcentred"/>
              <w:keepNext/>
              <w:jc w:val="left"/>
            </w:pPr>
            <w:r>
              <w:rPr>
                <w:color w:val="000000"/>
              </w:rPr>
              <w:t>Canada</w:t>
            </w:r>
          </w:p>
        </w:tc>
        <w:tc>
          <w:tcPr>
            <w:tcW w:w="752" w:type="pct"/>
          </w:tcPr>
          <w:p w14:paraId="595CF567" w14:textId="00FECF97" w:rsidR="007F6723" w:rsidRDefault="007F6723" w:rsidP="00550781">
            <w:pPr>
              <w:pStyle w:val="Tabletextcentred"/>
              <w:keepNext/>
              <w:jc w:val="left"/>
              <w:rPr>
                <w:color w:val="000000"/>
              </w:rPr>
            </w:pPr>
            <w:r>
              <w:rPr>
                <w:color w:val="000000"/>
              </w:rPr>
              <w:t>Image all versus selective use of structural imaging (CT and MRI) then treatment with AChEIs. Four imaging strategies compared</w:t>
            </w:r>
          </w:p>
        </w:tc>
        <w:tc>
          <w:tcPr>
            <w:tcW w:w="752" w:type="pct"/>
          </w:tcPr>
          <w:p w14:paraId="5E3F6947" w14:textId="77777777" w:rsidR="007F6723" w:rsidRDefault="007F6723" w:rsidP="00181CF8">
            <w:pPr>
              <w:pStyle w:val="Tabletextcentred"/>
              <w:keepNext/>
              <w:jc w:val="left"/>
              <w:rPr>
                <w:color w:val="000000"/>
              </w:rPr>
            </w:pPr>
            <w:r>
              <w:rPr>
                <w:color w:val="000000"/>
              </w:rPr>
              <w:t>Mild to moderate dementia</w:t>
            </w:r>
          </w:p>
        </w:tc>
        <w:tc>
          <w:tcPr>
            <w:tcW w:w="1129" w:type="pct"/>
          </w:tcPr>
          <w:p w14:paraId="41B6A21C" w14:textId="77777777" w:rsidR="007F6723" w:rsidRDefault="007F6723" w:rsidP="00181CF8">
            <w:pPr>
              <w:pStyle w:val="Tabletextcentred"/>
              <w:keepNext/>
              <w:jc w:val="left"/>
            </w:pPr>
            <w:r>
              <w:rPr>
                <w:color w:val="000000"/>
              </w:rPr>
              <w:t xml:space="preserve">Utilities for the six health states, representing severity of illness (mild, moderate or severe) and institutional status (community or nursing home) were modified from the CERAD publication (Neumann 1999) to create three states for severity of illness. </w:t>
            </w:r>
          </w:p>
        </w:tc>
        <w:tc>
          <w:tcPr>
            <w:tcW w:w="1129" w:type="pct"/>
          </w:tcPr>
          <w:p w14:paraId="1675D36E" w14:textId="77777777" w:rsidR="007F6723" w:rsidRDefault="007F6723" w:rsidP="00181CF8">
            <w:pPr>
              <w:pStyle w:val="Tabletextcentred"/>
              <w:keepNext/>
              <w:jc w:val="left"/>
            </w:pPr>
            <w:r>
              <w:rPr>
                <w:color w:val="000000"/>
              </w:rPr>
              <w:t>Decision tree to determine positive and negative predictive values of disease. Diagnostic utility was estimated based on a clinical evidence</w:t>
            </w:r>
            <w:r>
              <w:rPr>
                <w:rFonts w:ascii="Adobe Caslon Pro Bold" w:hAnsi="Adobe Caslon Pro Bold" w:cs="Adobe Caslon Pro Bold"/>
                <w:color w:val="000000"/>
              </w:rPr>
              <w:t>‐</w:t>
            </w:r>
            <w:r>
              <w:rPr>
                <w:color w:val="000000"/>
              </w:rPr>
              <w:t>based analysis, conducted by Health Quality Ontario. Markov models, probabilistic, with lifetime time horizon. Cochrane review showed no higher adverse events with donepezil vs placebo (Birks &amp; Harvey, 2006).</w:t>
            </w:r>
          </w:p>
        </w:tc>
      </w:tr>
    </w:tbl>
    <w:p w14:paraId="5A3CC758" w14:textId="08B6D242" w:rsidR="007F6723" w:rsidRPr="00023508" w:rsidRDefault="007F6723" w:rsidP="007F6723">
      <w:pPr>
        <w:pStyle w:val="Tablefootnotes"/>
        <w:keepNext/>
      </w:pPr>
      <w:r w:rsidRPr="00F94D4D">
        <w:t>Abbreviations</w:t>
      </w:r>
      <w:r>
        <w:t>: AChEI, acetylcholinesterase inhibitor; AD, Alzheimer’s disease; ADL, Activities of Daily Living; AHEAD, Assessment of Health Economics in Alzheimer’s Disease model; CDR, Clinical Dementia Rating; CERAD, Consortium to Establish a Registry in Alzheimer’s Disease; CT, computed tomography; EQ-5D, EuroQol 5-Dimensi</w:t>
      </w:r>
      <w:r w:rsidR="00617B67">
        <w:t>on; HUI, Health Utilities Index</w:t>
      </w:r>
      <w:r>
        <w:t>; LASER-AD, London and the South</w:t>
      </w:r>
      <w:r w:rsidR="00554627">
        <w:t xml:space="preserve"> </w:t>
      </w:r>
      <w:r>
        <w:t xml:space="preserve">East Region Alzheimer’s Disease; MCI, mild cognitive impairment; MMSE, Mini-Mental State Examination; MRI, magnetic resonance imaging; NHS, National Health Service; NICE, National Institute of Clinical Excellence; PSA, probabilistic sensitivity analysis; QoL, quality of life; PenTAG, Peninsula Technology Assessment Group; PSA, probabilistic sensitivity analysis; SHTAC-AHEAD, Southhampton Health Technology Assessment Centre-Assessment of Health Economics in Alzheimer’s Disease model; SQUAD, </w:t>
      </w:r>
      <w:r w:rsidRPr="00CF1783">
        <w:t>Scandinavian Study of Cost and Quality of Life in Alzheimer's Disease</w:t>
      </w:r>
      <w:r>
        <w:t>; UK, United Kingdom</w:t>
      </w:r>
    </w:p>
    <w:p w14:paraId="68B85F5F" w14:textId="77777777" w:rsidR="007F6723" w:rsidRPr="003D140D" w:rsidRDefault="007F6723" w:rsidP="007F6723"/>
    <w:p w14:paraId="042FA8A4" w14:textId="77777777" w:rsidR="007F6723" w:rsidRDefault="007F6723" w:rsidP="007F6723">
      <w:pPr>
        <w:pStyle w:val="Heading1"/>
        <w:numPr>
          <w:ilvl w:val="0"/>
          <w:numId w:val="9"/>
        </w:numPr>
        <w:ind w:left="3402" w:hanging="3402"/>
        <w:sectPr w:rsidR="007F6723" w:rsidSect="00181CF8">
          <w:pgSz w:w="16838" w:h="11906" w:orient="landscape" w:code="9"/>
          <w:pgMar w:top="1440" w:right="1440" w:bottom="1440" w:left="1440" w:header="680" w:footer="1021" w:gutter="0"/>
          <w:cols w:space="708"/>
          <w:docGrid w:linePitch="360"/>
        </w:sectPr>
      </w:pPr>
    </w:p>
    <w:p w14:paraId="31B2758E" w14:textId="50C79A55" w:rsidR="009502E6" w:rsidRDefault="009502E6" w:rsidP="009502E6">
      <w:pPr>
        <w:pStyle w:val="Heading1"/>
        <w:numPr>
          <w:ilvl w:val="0"/>
          <w:numId w:val="0"/>
        </w:numPr>
        <w:ind w:left="851" w:hanging="851"/>
      </w:pPr>
      <w:bookmarkStart w:id="352" w:name="_Toc408845197"/>
      <w:r>
        <w:lastRenderedPageBreak/>
        <w:t>References</w:t>
      </w:r>
      <w:bookmarkEnd w:id="352"/>
    </w:p>
    <w:p w14:paraId="0C88221C" w14:textId="77777777" w:rsidR="00E27381" w:rsidRDefault="00E27381" w:rsidP="007F6723">
      <w:r>
        <w:t>Access Economics. Caring places: planning for aged care and dementia 2010-2050. Volume 1, July 2010. Report for Alzheimer’s Australia.</w:t>
      </w:r>
    </w:p>
    <w:p w14:paraId="5D91451E" w14:textId="77777777" w:rsidR="00E27381" w:rsidRDefault="00E27381" w:rsidP="007F6723">
      <w:r>
        <w:t>Access Economics. Keeping dementia front of mind: incidence and prevalence 2009-2050. August 2009. Final Report for Alzheimer’s Australia.</w:t>
      </w:r>
    </w:p>
    <w:p w14:paraId="3AFDFA93" w14:textId="6FA5A148" w:rsidR="000D1344" w:rsidRDefault="000D1344" w:rsidP="007F6723">
      <w:r w:rsidRPr="000D1344">
        <w:t>Aizenstein HJ, Nebes RD, Saxton JA, et al. Frequent amyloid deposition without significant cognitive impairment among the eld</w:t>
      </w:r>
      <w:r>
        <w:t>erly. Arch Neurol. 2008;65:1509-</w:t>
      </w:r>
      <w:r w:rsidRPr="000D1344">
        <w:t>1517.</w:t>
      </w:r>
    </w:p>
    <w:p w14:paraId="29156B8A" w14:textId="77777777" w:rsidR="00E27381" w:rsidRDefault="00E27381" w:rsidP="007F6723">
      <w:r>
        <w:t>Alzheimer’s Disease International, World Alzheimer Report 2014. Dementia and risk reduction: An analysis of protective and modifiable factors. September 2014. London: Alzheimer’s Disease International (ADI).</w:t>
      </w:r>
    </w:p>
    <w:p w14:paraId="35CB463B" w14:textId="77777777" w:rsidR="00E27381" w:rsidRDefault="00E27381" w:rsidP="007F6723">
      <w:r>
        <w:t>Australian Institute of Health and Welfare 2012. Dementia in Australia. Cat. no. AGE 70. Canberra: AIHW.</w:t>
      </w:r>
    </w:p>
    <w:p w14:paraId="525208A5" w14:textId="77777777" w:rsidR="00E27381" w:rsidRDefault="00E27381" w:rsidP="007F6723">
      <w:r>
        <w:t>Bell CM, Araki SS, Neumann PJ. The association between caregiver burden and caregiver health-related quality of life in Alzheimer disease. Alzheimer Dis Assoc Disord. 2001;15(3):129-136.</w:t>
      </w:r>
    </w:p>
    <w:p w14:paraId="30227929" w14:textId="77777777" w:rsidR="00E27381" w:rsidRDefault="00E27381" w:rsidP="007F6723">
      <w:r>
        <w:t xml:space="preserve">Biasutti M, Dufour N, Ferroud C, Dab W, Temime L. </w:t>
      </w:r>
      <w:r w:rsidRPr="005E01B1">
        <w:t>Cost-</w:t>
      </w:r>
      <w:r>
        <w:t>e</w:t>
      </w:r>
      <w:r w:rsidRPr="005E01B1">
        <w:t xml:space="preserve">ffectiveness of </w:t>
      </w:r>
      <w:r>
        <w:t>m</w:t>
      </w:r>
      <w:r w:rsidRPr="005E01B1">
        <w:t xml:space="preserve">agnetic </w:t>
      </w:r>
      <w:r>
        <w:t>r</w:t>
      </w:r>
      <w:r w:rsidRPr="005E01B1">
        <w:t xml:space="preserve">esonance </w:t>
      </w:r>
      <w:r>
        <w:t>i</w:t>
      </w:r>
      <w:r w:rsidRPr="005E01B1">
        <w:t xml:space="preserve">maging with a </w:t>
      </w:r>
      <w:r>
        <w:t>n</w:t>
      </w:r>
      <w:r w:rsidRPr="005E01B1">
        <w:t xml:space="preserve">ew </w:t>
      </w:r>
      <w:r>
        <w:t>c</w:t>
      </w:r>
      <w:r w:rsidRPr="005E01B1">
        <w:t xml:space="preserve">ontrast </w:t>
      </w:r>
      <w:r>
        <w:t>a</w:t>
      </w:r>
      <w:r w:rsidRPr="005E01B1">
        <w:t xml:space="preserve">gent for the </w:t>
      </w:r>
      <w:r>
        <w:t>e</w:t>
      </w:r>
      <w:r w:rsidRPr="005E01B1">
        <w:t xml:space="preserve">arly </w:t>
      </w:r>
      <w:r>
        <w:t>d</w:t>
      </w:r>
      <w:r w:rsidRPr="005E01B1">
        <w:t xml:space="preserve">iagnosis of Alzheimer's </w:t>
      </w:r>
      <w:r>
        <w:t>d</w:t>
      </w:r>
      <w:r w:rsidRPr="005E01B1">
        <w:t>isease</w:t>
      </w:r>
      <w:r>
        <w:t>. PLoS ONE. 2012;7(4):</w:t>
      </w:r>
      <w:r w:rsidRPr="0029561C">
        <w:t>e35559.</w:t>
      </w:r>
    </w:p>
    <w:p w14:paraId="358EDDDB" w14:textId="0B609FDD" w:rsidR="00E27381" w:rsidRDefault="00E27381" w:rsidP="00E27381">
      <w:r>
        <w:t>Bloudek LM, Spackman DE, Blankenburg M, Sullivan SD. Review and meta-analysis of biomarkers and diagnostic imaging in Alzheimer's disease. Journal of Alzheimer's Disease. 2011;26(4):627-645.</w:t>
      </w:r>
    </w:p>
    <w:p w14:paraId="217F3E21" w14:textId="1DED19A6" w:rsidR="000D1344" w:rsidRDefault="000D1344" w:rsidP="000D1344">
      <w:r>
        <w:t>Bohnen NI, Djang DS, Herholz K, Anzai Y, Minoshima S. Effectiveness and safety of 18F-FDG PET in the evaluation of dementia: a review of the recent literature. J Nucl Med. 2012;53(1):59-71.</w:t>
      </w:r>
    </w:p>
    <w:p w14:paraId="44E1EABB" w14:textId="77777777" w:rsidR="00E27381" w:rsidRDefault="00E27381" w:rsidP="007F6723">
      <w:r>
        <w:t>Bond M, Rogers G, Peters J, Anderson R, Hoyle M, Miners A, Moxham T, Davis S, Thokala P, Wailoo A, Jeffreys M, Hyde C. The effectiveness and cost-effectiveness of donepezil, galantamine, rivastigmine and memantine for the treatment of Alzheimer’s disease (review of TA111): a systematic review and economic model. Health Technol Assess 2012; 16: 1-470.</w:t>
      </w:r>
    </w:p>
    <w:p w14:paraId="29F6EF69" w14:textId="6FE9243F" w:rsidR="00E27381" w:rsidRDefault="00E27381" w:rsidP="00E27381">
      <w:r>
        <w:t>Bonte FJ, Tintner R, Weiner MF, Bigio EH, White CL. Brain blood flow in the dementias: SPECT with histopathologic correlation. Radiology. 1993;186:361-365.</w:t>
      </w:r>
    </w:p>
    <w:p w14:paraId="014B6312" w14:textId="40A681F4" w:rsidR="00E27381" w:rsidRDefault="00E27381" w:rsidP="00E27381">
      <w:r>
        <w:t>Bonte FJ, Weiner MF, Bigio EH, White CL. Brain blood flow in the dementias: SPECT with histopathologic correlation in 54 patients. Radiology. 1997;202:793-797.</w:t>
      </w:r>
    </w:p>
    <w:p w14:paraId="4424476F" w14:textId="1E3D26C3" w:rsidR="00E27381" w:rsidRDefault="00E27381" w:rsidP="00E27381">
      <w:r>
        <w:t>Bonte FJ, Harris TS, Roney CA, Hynan LS. Differential diagnosis between Alzheimer’s and frontotemporal disease by the posterior cingulate sign. J Nucl Med. 2004;45:771-774.</w:t>
      </w:r>
    </w:p>
    <w:p w14:paraId="3ED5595F" w14:textId="3ED001FD" w:rsidR="00E27381" w:rsidRDefault="00E27381" w:rsidP="00E27381">
      <w:r>
        <w:lastRenderedPageBreak/>
        <w:t>Bonte FJ, Harris TS, Hynan LS, Bigio EH, White ICL. Tc-99m HMPAO SPECT in the differential diagnosis of the dementias with histopathologic confirmation. Clinical Nuclear Medicine. 2006;31(7):376-378.</w:t>
      </w:r>
    </w:p>
    <w:p w14:paraId="39B7BE7F" w14:textId="77777777" w:rsidR="00E27381" w:rsidRDefault="00E27381" w:rsidP="007F6723">
      <w:r>
        <w:t>Brodaty H, McGilchrist C, Harris L, Peters KE. Time until institutionalization and death in patients with dementia. Role of caregiver training and risk factors. Arch Neurol. 1993;50(6):643-650.</w:t>
      </w:r>
    </w:p>
    <w:p w14:paraId="5913D9F7" w14:textId="77777777" w:rsidR="00E27381" w:rsidRDefault="00E27381" w:rsidP="007F6723">
      <w:r w:rsidRPr="007E5C4B">
        <w:t>Brodaty</w:t>
      </w:r>
      <w:r>
        <w:t xml:space="preserve"> H</w:t>
      </w:r>
      <w:r w:rsidRPr="007E5C4B">
        <w:t>, Woodward</w:t>
      </w:r>
      <w:r>
        <w:t xml:space="preserve"> M</w:t>
      </w:r>
      <w:r w:rsidRPr="007E5C4B">
        <w:t>, Boundy</w:t>
      </w:r>
      <w:r>
        <w:t xml:space="preserve"> K</w:t>
      </w:r>
      <w:r w:rsidRPr="007E5C4B">
        <w:t>, Ames</w:t>
      </w:r>
      <w:r>
        <w:t xml:space="preserve"> D,</w:t>
      </w:r>
      <w:r w:rsidRPr="007E5C4B">
        <w:t xml:space="preserve"> Balshaw</w:t>
      </w:r>
      <w:r>
        <w:t xml:space="preserve"> R.</w:t>
      </w:r>
      <w:r w:rsidRPr="007E5C4B">
        <w:t xml:space="preserve"> Patients in Australian Memory Clinics: baseline characteristics and predictors of decline at six months</w:t>
      </w:r>
      <w:r>
        <w:t>. Int Psychogeriatr. 2011</w:t>
      </w:r>
      <w:r w:rsidRPr="007E5C4B">
        <w:t>;23(7):1086-</w:t>
      </w:r>
      <w:r>
        <w:t>10</w:t>
      </w:r>
      <w:r w:rsidRPr="007E5C4B">
        <w:t>96</w:t>
      </w:r>
      <w:r>
        <w:t>.</w:t>
      </w:r>
    </w:p>
    <w:p w14:paraId="64FF454A" w14:textId="42599405" w:rsidR="00E27381" w:rsidRDefault="00E27381" w:rsidP="00E27381">
      <w:r>
        <w:t>Brodaty H, Connors MH, Xu J, Woodward M, Ames D; PRIME study group. Predictors of institutionalization in dementia: a three year longitudinal study. J Alzheimers Dis. 2014;40(1):221-226.</w:t>
      </w:r>
    </w:p>
    <w:p w14:paraId="3DE173E4" w14:textId="1A9F0A36" w:rsidR="00246C7A" w:rsidRDefault="00246C7A" w:rsidP="00E27381">
      <w:r w:rsidRPr="00246C7A">
        <w:t>Co</w:t>
      </w:r>
      <w:r>
        <w:t>lloby S, O’Brien J. Functional i</w:t>
      </w:r>
      <w:r w:rsidRPr="00246C7A">
        <w:t>maging in Parkinson’s disease and dementia with Lewy bodies. J Geriatr Psychiatry Neurol. 2004;17:158-163.</w:t>
      </w:r>
    </w:p>
    <w:p w14:paraId="699DABAD" w14:textId="70424847" w:rsidR="00E27381" w:rsidRDefault="00E27381" w:rsidP="00E27381">
      <w:r>
        <w:t>Cure S, Abrams K, Belger M, Dell’agnello G, Happich M. Systematic literature review and meta-analysis of diagnostic test accuracy in Alzheimer's disease and other dementia using autopsy as standard of truth. J Alzheimers Dis. 2014;42(1):169-182.</w:t>
      </w:r>
    </w:p>
    <w:p w14:paraId="60CFE89B" w14:textId="7431C9F3" w:rsidR="00E27381" w:rsidRDefault="00E27381" w:rsidP="00E27381">
      <w:r>
        <w:t>Davison CM, O'Brien JT. A comparison of FDG-PET and blood flow SPECT in the diagnosis of neurodegenerative dementias: A systematic review. International Journal of Geriatric Psychiatry. 2014;29(6):551-561.</w:t>
      </w:r>
    </w:p>
    <w:p w14:paraId="231B7D91" w14:textId="13B7EF85" w:rsidR="00E27381" w:rsidRDefault="00E27381" w:rsidP="00E27381">
      <w:r>
        <w:t>Döbert N, Pantel J, Frolich L, Hamscho N, Menzel C, Grunwald F. Diagnostic value of FDG-PET and HMPAO-SPET in patients with mild dementia and mild cognitive impairment: Metabolic index and perfusion index. Dementia and Geriatric Cognitive Disorders. 2005;20(2-3):63-70.</w:t>
      </w:r>
    </w:p>
    <w:p w14:paraId="256BF303" w14:textId="0FA11502" w:rsidR="00246C7A" w:rsidRDefault="00246C7A" w:rsidP="00E27381">
      <w:r w:rsidRPr="00246C7A">
        <w:t>Ebmeier K. Is there still a place for perfusion SPECT in the diagnosis of dementia? Open Nuc Med J. 2010;2:40-45.</w:t>
      </w:r>
    </w:p>
    <w:p w14:paraId="4091CA39" w14:textId="26E37E58" w:rsidR="00A342F3" w:rsidRDefault="00A342F3" w:rsidP="00E27381">
      <w:r>
        <w:t xml:space="preserve">Elias A, Woodward M, Rowe CC. Management impact of FDG PET in dementia: results from a tertiary centre memory clinic. </w:t>
      </w:r>
      <w:r w:rsidR="00342CAE">
        <w:t>J Alzheimers Dis. 2014;42(3):885-92.</w:t>
      </w:r>
    </w:p>
    <w:p w14:paraId="0B9B5488" w14:textId="212F4B59" w:rsidR="00E86E37" w:rsidRDefault="00E86E37" w:rsidP="00E27381">
      <w:r>
        <w:t>European Medicines Agency, Committee for Medicinal Products for Human use. Guideline on medicinal products for the treatment of Alzheimer’s disease and other dementias. 2008. London: EMA.</w:t>
      </w:r>
    </w:p>
    <w:p w14:paraId="1627AFE8" w14:textId="608E0DFE" w:rsidR="00D538AA" w:rsidRDefault="00D538AA" w:rsidP="00D538AA">
      <w:r>
        <w:t>Filippi M, Agosta F, Barkhof F, Dubois B, Fox NC, Frisoni GB, et al. EFNS task force: the use of neuroimaging in the diagnosis of dementia. Eur J Neurol</w:t>
      </w:r>
      <w:r w:rsidR="00AC385C">
        <w:t>. 2012;19(2):1487-511.</w:t>
      </w:r>
    </w:p>
    <w:p w14:paraId="70ACF5CB" w14:textId="3566219F" w:rsidR="00E27381" w:rsidRDefault="00E27381" w:rsidP="00E27381">
      <w:r>
        <w:t>Foster NL, Heidebrink JL, Clark CM, Jagust WJ, Arnold SE, Barbas NR, et al. FDG-PET improves accuracy in distinguishing frontotemporal dementia and Alzheimer's disease. Brain. 2007;130(10):2616-2635.</w:t>
      </w:r>
    </w:p>
    <w:p w14:paraId="365E6FF2" w14:textId="06980C6F" w:rsidR="00E27381" w:rsidRDefault="00E27381" w:rsidP="00E27381">
      <w:r>
        <w:t>Frisoni GB, Bocchetta M, Chetelat G, Rabinovici GD, De Leon MJ, Kaye J, et al. Imaging markers for Alzheimer disease: Which vs how. Neurology. 2013;81(5):487-500.</w:t>
      </w:r>
    </w:p>
    <w:p w14:paraId="5FF972D9" w14:textId="77777777" w:rsidR="00E27381" w:rsidRDefault="00E27381" w:rsidP="007F6723">
      <w:r w:rsidRPr="00885DFF">
        <w:lastRenderedPageBreak/>
        <w:t>Fuh J-L, Wang S-J. Cost-effectiveness analysis of donepezil for mild to moderate Alzheimer's disease in Taiwan. Int J Geriatr Psychiatry</w:t>
      </w:r>
      <w:r>
        <w:t>.</w:t>
      </w:r>
      <w:r w:rsidRPr="00885DFF">
        <w:t xml:space="preserve"> 2007;23:73-</w:t>
      </w:r>
      <w:r>
        <w:t>7</w:t>
      </w:r>
      <w:r w:rsidRPr="00885DFF">
        <w:t>8.</w:t>
      </w:r>
    </w:p>
    <w:p w14:paraId="7F1923B8" w14:textId="04850736" w:rsidR="000D1344" w:rsidRDefault="000D1344" w:rsidP="000D1344">
      <w:r>
        <w:t>Gaugler JE, Kane RL, Johnston JA, Sarsour K. Sensitivity and specificity of diagnostic accuracy in Alzheimer's disease: a synthesis of existing evidence. Am J Alzheimers Dis Other Demen. 2013;28(4):337-347.</w:t>
      </w:r>
    </w:p>
    <w:p w14:paraId="7FB7EA29" w14:textId="77777777" w:rsidR="00E27381" w:rsidRDefault="00E27381" w:rsidP="007F6723">
      <w:r>
        <w:t>Gómez-Gallego M, Gómez-Amor J, Gómez-García J. Validation of the Spanish version of the QoL-AD Scale in alzheimer disease patients, their carers, and health professionals. Neurologia. 2012;27(1):4-10.</w:t>
      </w:r>
    </w:p>
    <w:p w14:paraId="4D9F2659" w14:textId="77777777" w:rsidR="00E27381" w:rsidRDefault="00E27381" w:rsidP="007F6723">
      <w:r>
        <w:t>Green C, Shearer J, Ritchie CW, Zajicek JP. Model-based economic evaluation in Alzheimer's disease: a review of the methods available to model Alzheimer's disease progression. Value Health. 2011;14(5):621-630.</w:t>
      </w:r>
    </w:p>
    <w:p w14:paraId="6D8EFD1F" w14:textId="654FC64E" w:rsidR="00E27381" w:rsidRDefault="00E27381" w:rsidP="00E27381">
      <w:r>
        <w:t>Herholz K, Schopphoff H, Schmidt M, Mielke R, Eschner W, Scheidhauer K, et al. Direct comparison of spatially normalized PET and SPECT scans in Alzheimer's disease. Journal of Nuclear Medicine. 2002;43(1):21-26.</w:t>
      </w:r>
    </w:p>
    <w:p w14:paraId="21917178" w14:textId="4C67F526" w:rsidR="00E27381" w:rsidRDefault="00E27381" w:rsidP="00E27381">
      <w:r>
        <w:t>Hoffman JM, Welsh-Bohmer KA, Hanson M, Crain B, Hulette C, Earl N, et al. FDG PET imaging in patients with pathologically verified dementia. Journal of Nuclear Medicine. 2006;41(11):1920-1928.</w:t>
      </w:r>
    </w:p>
    <w:p w14:paraId="63BACEF3" w14:textId="77777777" w:rsidR="00E27381" w:rsidRPr="00930F1C" w:rsidRDefault="00E27381" w:rsidP="007F6723">
      <w:r w:rsidRPr="00930F1C">
        <w:t>Hoffman JM, Welsh-Bohmer KA, Hanson M, Crian B, Hulette C, Earl N, Coleman RE. FDG PET imaging in patients with pathologically verified dementia. J Nucl Med. 2000;41:1920-1928.</w:t>
      </w:r>
    </w:p>
    <w:p w14:paraId="10A22FA0" w14:textId="77777777" w:rsidR="00E27381" w:rsidRDefault="00E27381" w:rsidP="007F6723">
      <w:r>
        <w:t xml:space="preserve">Hounsome N, Orrell M, Edwards RT. EQ-5D as a quality of life measure in people with dementia and their carers: evidence and key issues. Value Health. 2011;14(2):390-399. </w:t>
      </w:r>
    </w:p>
    <w:p w14:paraId="3909BD74" w14:textId="77777777" w:rsidR="00E27381" w:rsidRDefault="00E27381" w:rsidP="007F6723">
      <w:r>
        <w:t>Hyde C, Peters J, Bond M, Rogers G, Hoyle M, Anderson R, Jeffreys M, Davis S, Thokala P, Moxham T. Evolution of the evidence on the effectiveness and cost-effectiveness of acetylcholinesterase inhibitors and memantine for Alzheimer's disease: systematic review and economic model. Age Ageing. 2013;42(1):14-20.</w:t>
      </w:r>
    </w:p>
    <w:p w14:paraId="64D15EA9" w14:textId="4D2479C7" w:rsidR="00246C7A" w:rsidRDefault="00246C7A" w:rsidP="007F6723">
      <w:r w:rsidRPr="00246C7A">
        <w:t>Hyman BT, Phelps CH, Beach TG, Bigio EH, Cairns NJ, Carrillo MC, Dickson DW, Duyckaerts C, Frosch MP, Masliah E, Mirra SS, Nelson PT, Schneider JA, Thal DR, Thies B, Trojanowski JQ, Vinters HV, Montine TJ. National Institute on Aging–Alzheimer’s Association guidelines for the neuropathologic assessment of Alzheimer’s disease. Alzheimers Dement. 2012;8:1-13.</w:t>
      </w:r>
    </w:p>
    <w:p w14:paraId="45B5EB0C" w14:textId="77777777" w:rsidR="00E27381" w:rsidRDefault="00E27381" w:rsidP="007F6723">
      <w:r w:rsidRPr="00885DFF">
        <w:t xml:space="preserve">Ikeda S, Yamada Y, Ikegami N. Economic </w:t>
      </w:r>
      <w:r>
        <w:t>e</w:t>
      </w:r>
      <w:r w:rsidRPr="00885DFF">
        <w:t xml:space="preserve">valuation of </w:t>
      </w:r>
      <w:r>
        <w:t>d</w:t>
      </w:r>
      <w:r w:rsidRPr="00885DFF">
        <w:t xml:space="preserve">onepezil </w:t>
      </w:r>
      <w:r>
        <w:t>t</w:t>
      </w:r>
      <w:r w:rsidRPr="00885DFF">
        <w:t xml:space="preserve">reatment for Alzheimer's </w:t>
      </w:r>
      <w:r>
        <w:t>d</w:t>
      </w:r>
      <w:r w:rsidRPr="00885DFF">
        <w:t>isease in Japan. Dement Geriatr Cogn Disord</w:t>
      </w:r>
      <w:r>
        <w:t>.</w:t>
      </w:r>
      <w:r w:rsidRPr="00885DFF">
        <w:t xml:space="preserve"> 2002;13:33-39.</w:t>
      </w:r>
    </w:p>
    <w:p w14:paraId="6F071861" w14:textId="19B4029C" w:rsidR="00E27381" w:rsidRDefault="00E27381" w:rsidP="00E27381">
      <w:r>
        <w:t>Ishii K, Sasaki M, Sakamoto S, Yamaji S, Kitagaki H, Mori E. Tc-99m Ethyl Cysteinate Dimer SPECT and 2-[F-18]fluoro-2-deoxy-D- glucose PET in Alzheimer's disease: Comparison of perfusion and metabolic patterns. Clinical Nuclear Medicine. 1999;24(8):572-575.</w:t>
      </w:r>
    </w:p>
    <w:p w14:paraId="1E7A4082" w14:textId="77777777" w:rsidR="00694571" w:rsidRDefault="00694571">
      <w:pPr>
        <w:spacing w:after="160" w:line="259" w:lineRule="auto"/>
        <w:ind w:left="0"/>
      </w:pPr>
      <w:r>
        <w:br w:type="page"/>
      </w:r>
    </w:p>
    <w:p w14:paraId="7E3F2617" w14:textId="7347A462" w:rsidR="00E27381" w:rsidRDefault="00E27381" w:rsidP="00E27381">
      <w:r>
        <w:lastRenderedPageBreak/>
        <w:t>Ito K, Shimano Y, Imabayashi E, Nakata Y, Omachi Y, Sato N, et al. Concordance between 99mTc-ECD SPECT and 18F-FDG PET interpretations in patients with cognitive disorders diagnosed according to NIA-AA criteria. International Journal of Geriatric Psychiatry. 2014;29(10):1079-1086.</w:t>
      </w:r>
    </w:p>
    <w:p w14:paraId="57A52D13" w14:textId="2DB93BAD" w:rsidR="00E27381" w:rsidRDefault="00E27381" w:rsidP="00E27381">
      <w:r>
        <w:t>Jagust W, Thisted R, Devous MD Sr, Van Heertum R, Mayberg H, Jobst K, et al. SPECT perfusion imaging in the diagnosis of Alzheimer’s disease: a clinical-pathologic study. Neurology. 2001;56(7):950–956.</w:t>
      </w:r>
    </w:p>
    <w:p w14:paraId="76BF2151" w14:textId="75975281" w:rsidR="00E27381" w:rsidRDefault="00E27381" w:rsidP="00E27381">
      <w:r>
        <w:t>Jagust W, Reed B, Mungas D, Ellis W, DeCarli C. What does fluorodeoxyglucose PET imaging add to a clinical diagnosis of dementia? Neurology. 200769(9):871-877.</w:t>
      </w:r>
    </w:p>
    <w:p w14:paraId="1D6E2474" w14:textId="48041D0D" w:rsidR="00E27381" w:rsidRDefault="00E27381" w:rsidP="00E27381">
      <w:r>
        <w:t>Jobst KA, Barnetson LP, Shepstone BJ. Accurate prediction of histologically confirmed Alzheimer’s disease and the differential diagnosis of dementia: The use of NINCDSADRDA and DSM-III-R criteria, SPECT, X-ray CT, and ApoE4 in medial temporal lobe dementias. Oxford Project to Investigate Memory and Aging. Int Psychogeriatr. 1998;10:271-302.</w:t>
      </w:r>
    </w:p>
    <w:p w14:paraId="25792BB7" w14:textId="77777777" w:rsidR="00E27381" w:rsidRDefault="00E27381" w:rsidP="007F6723">
      <w:r w:rsidRPr="00A66D73">
        <w:t>Jones R, McCrone P, Guillhaume C. Cost effectiveness of memantine in Alzheimer's disease: An analysis based on a probabilistic Markov model from a UK perspective. Drugs Aging 2004;21:607-</w:t>
      </w:r>
      <w:r>
        <w:t>6</w:t>
      </w:r>
      <w:r w:rsidRPr="00A66D73">
        <w:t>20.</w:t>
      </w:r>
    </w:p>
    <w:p w14:paraId="348EE073" w14:textId="77777777" w:rsidR="00E27381" w:rsidRDefault="00E27381" w:rsidP="007F6723">
      <w:r>
        <w:t>Jönsson L, Andreasen N, Kilander L, Soininen H, Waldemar G, Nygaard H, Winblad B, Jönhagen ME, Hallikainen M, Wimo A. Patient- and proxy-reported utility in Alzheimer disease using the EuroQoL. Alzheimer Dis Assoc Disord. 2006;20(1):49-55.</w:t>
      </w:r>
    </w:p>
    <w:p w14:paraId="684574DD" w14:textId="77777777" w:rsidR="00E27381" w:rsidRDefault="00E27381" w:rsidP="007F6723">
      <w:r>
        <w:t>Kasai M, Meguro K. Estimated quality-adjusted life-year associated with the degree of activities of daily living in patients with Alzheimer's disease. Dement Geriatr Cogn Dis Extra. 2013;3(1):482-488.</w:t>
      </w:r>
    </w:p>
    <w:p w14:paraId="4BA1415D" w14:textId="77777777" w:rsidR="00E27381" w:rsidRDefault="00E27381" w:rsidP="007F6723">
      <w:r w:rsidRPr="00885DFF">
        <w:t>Kirbach S, Simpson K, Nietert P, Mintzer J. A Markov model of the cost effectiveness of olanzapine treatment for agitation and psychosis in Alzheimer's Disease. Clin Drug Invest</w:t>
      </w:r>
      <w:r>
        <w:t>.</w:t>
      </w:r>
      <w:r w:rsidRPr="00885DFF">
        <w:t xml:space="preserve"> 2008;28:291-303.</w:t>
      </w:r>
    </w:p>
    <w:p w14:paraId="3B0DB7EE" w14:textId="55AD2761" w:rsidR="003B4A78" w:rsidRDefault="003B4A78" w:rsidP="007F6723">
      <w:r>
        <w:t>Kolarova M, Garcia-Sierra F, Bartos A, Ricny J, Ripova D. Structure and pathology of tau protein in Alzheimer disease. Int J Alzheimers Dis. 2012;</w:t>
      </w:r>
      <w:r w:rsidR="00201BB9">
        <w:t xml:space="preserve">2012:731526. </w:t>
      </w:r>
      <w:r>
        <w:t xml:space="preserve"> </w:t>
      </w:r>
    </w:p>
    <w:p w14:paraId="04556907" w14:textId="77777777" w:rsidR="00E27381" w:rsidRDefault="00E27381" w:rsidP="007F6723">
      <w:r>
        <w:t xml:space="preserve">Kostakoglu L and Goldsmith SJ. </w:t>
      </w:r>
      <w:r w:rsidRPr="009E6347">
        <w:t>18F-</w:t>
      </w:r>
      <w:r>
        <w:t>FDG-PET</w:t>
      </w:r>
      <w:r w:rsidRPr="009E6347">
        <w:t xml:space="preserve"> evaluation of the response to therapy for lymphoma and for breast, lung, and colorectal carcinoma.</w:t>
      </w:r>
      <w:r>
        <w:t xml:space="preserve"> </w:t>
      </w:r>
      <w:r w:rsidRPr="002A767D">
        <w:t>Journal of Nuclear Medicine</w:t>
      </w:r>
      <w:r>
        <w:t>. 2003;44(2):224-239.</w:t>
      </w:r>
    </w:p>
    <w:p w14:paraId="02BB13EF" w14:textId="5F50EC25" w:rsidR="000D1344" w:rsidRDefault="000D1344" w:rsidP="007F6723">
      <w:r w:rsidRPr="000D1344">
        <w:t>Kovacs GG, Alafuzoff I, Al-Sarraj S, et al. Mixed brain pathologies in dementia: the BrainNet Europe consortium experience. Dement Geriatr Cogn Disord. 2008;26:343-350.</w:t>
      </w:r>
    </w:p>
    <w:p w14:paraId="5BAAD5A8" w14:textId="77777777" w:rsidR="00E27381" w:rsidRDefault="00E27381" w:rsidP="007F6723">
      <w:r>
        <w:t>Kukull WA</w:t>
      </w:r>
      <w:r w:rsidRPr="003532DA">
        <w:t>, Higdon R, Bowen JD, McCormick WC, Teri L, Schellenberg GD, van Belle G, Jolley L, Larson EB. Dementia and Alzheimer disease incidence: a prospective cohort study. Arch Neurol. 2002;59(11):1737-</w:t>
      </w:r>
      <w:r>
        <w:t>17</w:t>
      </w:r>
      <w:r w:rsidRPr="003532DA">
        <w:t>46.</w:t>
      </w:r>
    </w:p>
    <w:p w14:paraId="307D8C4C" w14:textId="77777777" w:rsidR="00694571" w:rsidRDefault="00694571">
      <w:pPr>
        <w:spacing w:after="160" w:line="259" w:lineRule="auto"/>
        <w:ind w:left="0"/>
      </w:pPr>
      <w:r>
        <w:br w:type="page"/>
      </w:r>
    </w:p>
    <w:p w14:paraId="43D37D00" w14:textId="53098D46" w:rsidR="00E27381" w:rsidRDefault="00E27381" w:rsidP="007F6723">
      <w:r w:rsidRPr="00885DFF">
        <w:lastRenderedPageBreak/>
        <w:t>Kulasingam S, Samsa G, Zarin D, Rutschmann OT, Patwardhan MB, McCro</w:t>
      </w:r>
      <w:r>
        <w:t>ry DC, Schmechel DE, Matchar DB</w:t>
      </w:r>
      <w:r w:rsidRPr="00885DFF">
        <w:t xml:space="preserve">. When </w:t>
      </w:r>
      <w:r>
        <w:t>s</w:t>
      </w:r>
      <w:r w:rsidRPr="00885DFF">
        <w:t xml:space="preserve">hould </w:t>
      </w:r>
      <w:r>
        <w:t>f</w:t>
      </w:r>
      <w:r w:rsidRPr="00885DFF">
        <w:t xml:space="preserve">unctional </w:t>
      </w:r>
      <w:r>
        <w:t>n</w:t>
      </w:r>
      <w:r w:rsidRPr="00885DFF">
        <w:t xml:space="preserve">euroimaging </w:t>
      </w:r>
      <w:r>
        <w:t>t</w:t>
      </w:r>
      <w:r w:rsidRPr="00885DFF">
        <w:t xml:space="preserve">echniques </w:t>
      </w:r>
      <w:r>
        <w:t>b</w:t>
      </w:r>
      <w:r w:rsidRPr="00885DFF">
        <w:t xml:space="preserve">e </w:t>
      </w:r>
      <w:r>
        <w:t>u</w:t>
      </w:r>
      <w:r w:rsidRPr="00885DFF">
        <w:t xml:space="preserve">sed in the </w:t>
      </w:r>
      <w:r>
        <w:t>d</w:t>
      </w:r>
      <w:r w:rsidRPr="00885DFF">
        <w:t xml:space="preserve">iagnosis and </w:t>
      </w:r>
      <w:r>
        <w:t>m</w:t>
      </w:r>
      <w:r w:rsidRPr="00885DFF">
        <w:t xml:space="preserve">anagement of Alzheimer's </w:t>
      </w:r>
      <w:r>
        <w:t>d</w:t>
      </w:r>
      <w:r w:rsidRPr="00885DFF">
        <w:t xml:space="preserve">ementia? A </w:t>
      </w:r>
      <w:r>
        <w:t>d</w:t>
      </w:r>
      <w:r w:rsidRPr="00885DFF">
        <w:t xml:space="preserve">ecision </w:t>
      </w:r>
      <w:r>
        <w:t>a</w:t>
      </w:r>
      <w:r w:rsidRPr="00885DFF">
        <w:t>nalysis. Value Health 2003;6:542-</w:t>
      </w:r>
      <w:r>
        <w:t>5</w:t>
      </w:r>
      <w:r w:rsidRPr="00885DFF">
        <w:t>50</w:t>
      </w:r>
      <w:r>
        <w:t>.</w:t>
      </w:r>
    </w:p>
    <w:p w14:paraId="236F4337" w14:textId="0491D8EC" w:rsidR="00E27381" w:rsidRDefault="00E27381" w:rsidP="00E27381">
      <w:r>
        <w:t>Kuwabara Y, Ichiya Y, Otsuka M, Tahara T, Fukumura T, Gunasekera R, et al. Comparison of I-123 IMP and Tc-99m HMPAO SPECT studies with PET in dementia. Annals of Nuclear Medicine. 1990;4(3):75-82.</w:t>
      </w:r>
    </w:p>
    <w:p w14:paraId="7E726321" w14:textId="77777777" w:rsidR="00E27381" w:rsidRDefault="00E27381" w:rsidP="007F6723">
      <w:r>
        <w:t>Laforce R, Buteau JP, Paquet N, Verret L, Houde M, Bouchard RW. The value of PET in mild cognitive impairment, typical and atypical/unclear dementias: A retrospective memory clinic study. Am J Alzheimers Dis Other Demen. 2010;25:324-332.</w:t>
      </w:r>
    </w:p>
    <w:p w14:paraId="0551D424" w14:textId="77777777" w:rsidR="00E27381" w:rsidRDefault="00E27381" w:rsidP="007F6723">
      <w:r>
        <w:t>Le Couteur DG, Robinson M, Leverton A, Creasey H, Waite L, Atkins K, McLachlan AJ. Adherence, persistence and continuation with cholinesterase inhibitors in Alzheimer's disease. Australas J Ageing. 2012;31(3):164-169.</w:t>
      </w:r>
    </w:p>
    <w:p w14:paraId="619855CF" w14:textId="41577A62" w:rsidR="00E27381" w:rsidRDefault="00E27381" w:rsidP="007F6723">
      <w:r w:rsidRPr="00885DFF">
        <w:t>López-Bastida</w:t>
      </w:r>
      <w:r>
        <w:t xml:space="preserve"> J, Serrano-Aguilar P, Perestelo-Perez L, Oliva-Moreno J. Social-economic costs and quality of life of Alzheimer disease in the Canary Islands, Spain. Neurology. 2006;67(12):2186-2191.</w:t>
      </w:r>
    </w:p>
    <w:p w14:paraId="1C65EF81" w14:textId="77777777" w:rsidR="00E27381" w:rsidRDefault="00E27381" w:rsidP="00E27381">
      <w:r w:rsidRPr="00885DFF">
        <w:t>López-Bastida J, Hart W, Garcia-Perez L, Linertova R. Cost-effectiveness of donepezil in the treatment of mild or moderate Alzheimer's disease</w:t>
      </w:r>
      <w:r>
        <w:t>.</w:t>
      </w:r>
      <w:r w:rsidRPr="00885DFF">
        <w:t xml:space="preserve"> J Alzheimers Dis 2009;16:399-407.</w:t>
      </w:r>
    </w:p>
    <w:p w14:paraId="2C20DC5D" w14:textId="77777777" w:rsidR="00E27381" w:rsidRDefault="00E27381" w:rsidP="007F6723">
      <w:r>
        <w:t>Loveman E, Green C, Kirby J, A Takeda, Picot J, Payne E, Clegg A. The clinical and cost-effectiveness of donepezil, rivastigmine, galantamine and memantine for Alzheimer’s disease. Health Technol Assess 2006;10:1-160.</w:t>
      </w:r>
    </w:p>
    <w:p w14:paraId="03B2A06C" w14:textId="77777777" w:rsidR="00E27381" w:rsidRDefault="00E27381" w:rsidP="00F35A01">
      <w:r>
        <w:t>Lowe VJ, Kemp BJ, Jack CR Jr, Senjem M, Weigand S, Shiung M, Smith G, Knopman D, Boeve B, Mullan B, Petersen RC. Comparison of 18F-FDG and PiB PET in cognitive impairment. J Nucl Med. 2009;50(6):878-886.</w:t>
      </w:r>
    </w:p>
    <w:p w14:paraId="76C11165" w14:textId="77777777" w:rsidR="00E27381" w:rsidRDefault="00E27381" w:rsidP="007F6723">
      <w:r w:rsidRPr="00885DFF">
        <w:t>Martikainen J, Valtonen H, Pirttilä T. Potential cost-effectiveness of a family-based program in mild Alzheimer's disease patients. Eur J Health Econ</w:t>
      </w:r>
      <w:r>
        <w:t>.</w:t>
      </w:r>
      <w:r w:rsidRPr="00885DFF">
        <w:t xml:space="preserve"> 2004;5:136-42.</w:t>
      </w:r>
    </w:p>
    <w:p w14:paraId="67C53870" w14:textId="77777777" w:rsidR="00E27381" w:rsidRDefault="00E27381" w:rsidP="007F6723">
      <w:r>
        <w:t>McMahon PM, Araki SS, Neumann PJ, Harris GJ, Gazelle GS. Cost-effectiveness of functional imaging tests in the diagnosis of Alzheimer disease. Radiology. 2000;217(1):58-68.</w:t>
      </w:r>
    </w:p>
    <w:p w14:paraId="14131E7F" w14:textId="77777777" w:rsidR="00E27381" w:rsidRDefault="00E27381" w:rsidP="007F6723">
      <w:r>
        <w:t>McMahon PM, Araki SS, Sandberg EA, Neumann PJ, Gazelle GS. Cost-effectiveness of PET in the diagnosis of Alzheimer disease. Radiology. 2003;228(2):515-522.</w:t>
      </w:r>
    </w:p>
    <w:p w14:paraId="3C85A0A4" w14:textId="65B32B18" w:rsidR="00E27381" w:rsidRDefault="00E27381" w:rsidP="00E27381">
      <w:r>
        <w:t>McNeill R, Sare GM, Manoharan M, Testa HJ, Mann DM, Neary D, et al. Accuracy of single-photon emission computed tomography in differentiating frontotemporal dementia from Alzheimer’s disease. J Neurol Neurosurg Psychiatry. 2007;78:350-335.</w:t>
      </w:r>
    </w:p>
    <w:p w14:paraId="6D707763" w14:textId="7D460A08" w:rsidR="00E27381" w:rsidRDefault="00E27381" w:rsidP="00E27381">
      <w:r>
        <w:t>Messa C, Perani D, Lucignani G, Zenorini A, Zito F, Rizzo G, et al. High-resolution technetium-99m-HMPAO SPECT in patients with probable Alzheimer's disease: Comparison with fluorine-18-FDG PET. Journal of Nuclear Medicine. 1994;35(2):210-216.</w:t>
      </w:r>
    </w:p>
    <w:p w14:paraId="0EA0F991" w14:textId="77777777" w:rsidR="00E27381" w:rsidRDefault="00E27381" w:rsidP="007F6723">
      <w:r>
        <w:lastRenderedPageBreak/>
        <w:t>Mesterton J, Wimo A, By A, Langworth S, Winblad B, Jönsson L. Cross sectional observational study on the societal costs of Alzheimer's disease. Curr Alzheimer Res. 2010;7(4):358-367.</w:t>
      </w:r>
    </w:p>
    <w:p w14:paraId="5092F908" w14:textId="489CD132" w:rsidR="00E27381" w:rsidRDefault="00E27381" w:rsidP="00E27381">
      <w:r>
        <w:t>Mielke R, Pietrzyk U, Jacobs A, Fink GR, Ichimiya A, Kessler J, et al. HMPAO SPET and FDG PET in Alzheimer's disease and vascular dementia: Comparison of perfusion and metabolic pattern. European Journal of Nuclear Medicine. 1994;21(10):1052-1060.</w:t>
      </w:r>
    </w:p>
    <w:p w14:paraId="31687B14" w14:textId="186F301B" w:rsidR="00E27381" w:rsidRDefault="00E27381" w:rsidP="00E27381">
      <w:r>
        <w:t>Minoshima S, Foster NL, Sima AAF, et al. Alzheimer’s disease versus dementia with Lewy bodies: cerebral metabolic distinction with autopsy confirmation. Ann Neurol. 2001;50:358–265.</w:t>
      </w:r>
    </w:p>
    <w:p w14:paraId="10467992" w14:textId="77777777" w:rsidR="00E27381" w:rsidRDefault="00E27381" w:rsidP="007F6723">
      <w:r>
        <w:t xml:space="preserve">Mitchell AJ, Shiri-Feshki M. Rate of progression of mild cognitive impairment to dementia--meta-analysis of 41 robust inception cohort studies. Acta Psychiatr Scand. 2009;119(4):252-265. </w:t>
      </w:r>
    </w:p>
    <w:p w14:paraId="7AB29E91" w14:textId="38E18291" w:rsidR="00E27381" w:rsidRDefault="00E27381" w:rsidP="00E27381">
      <w:r>
        <w:t>Morinaga A, Ono K, Ikeda T, Ikeda Y, Shima K, Noguchi-Shinohara M, et al. A comparison of the diagnostic sensitivity of MRI, CBF-SPECT, FDG-PET and cerebrospinal fluid biomarkers for detecting Alzheimer's disease in a memory clinic. Dementia and Geriatric Cognitive Disorders. 2010;30(4):285-292.</w:t>
      </w:r>
    </w:p>
    <w:p w14:paraId="317A1A49" w14:textId="77777777" w:rsidR="00E27381" w:rsidRDefault="00E27381" w:rsidP="007F6723">
      <w:r w:rsidRPr="004965C4">
        <w:t>Neumann PJ, Araki SS, Arcelus A, Longo A, Papadopoulos G, Kosi</w:t>
      </w:r>
      <w:r>
        <w:t>k KS, Kuntz KM, Bhattacharjya A</w:t>
      </w:r>
      <w:r w:rsidRPr="004965C4">
        <w:t>. Measuring Alzheimer’s disease progression with transition probabilities:</w:t>
      </w:r>
      <w:r>
        <w:t xml:space="preserve"> </w:t>
      </w:r>
      <w:r w:rsidRPr="004965C4">
        <w:t>Estimates fr</w:t>
      </w:r>
      <w:r>
        <w:t>om CERAD. Neurology 2001;57:957-9</w:t>
      </w:r>
      <w:r w:rsidRPr="004965C4">
        <w:t>64.</w:t>
      </w:r>
    </w:p>
    <w:p w14:paraId="344F34DE" w14:textId="77777777" w:rsidR="00E27381" w:rsidRDefault="00E27381" w:rsidP="007F6723">
      <w:r>
        <w:t>Neumann PJ, Hermann RC, Kuntz KM, Araki SS, Duff SB, Leon J, Berenbaum PA, Goldman PA, Williams LW, Weinstein MC. Cost-effectiveness of donepezil in the treatment of mild or moderate Alzheimer's disease. Neurology. 1999;52(6):1138-1145.</w:t>
      </w:r>
    </w:p>
    <w:p w14:paraId="5DABF406" w14:textId="77777777" w:rsidR="00E27381" w:rsidRDefault="00E27381" w:rsidP="007F6723">
      <w:r>
        <w:t>Neumann PJ, Sandberg EA, Araki SS, Kuntz KM, Feeny D, Weinstein MC. A comparison of HUI2 and HUI3 utility scores in Alzheimer's disease. Med Decis Making. 2000;20(4):413-422.</w:t>
      </w:r>
    </w:p>
    <w:p w14:paraId="28BD800B" w14:textId="6B76B5F4" w:rsidR="00E27381" w:rsidRDefault="00E27381" w:rsidP="00E27381">
      <w:r>
        <w:t>Nihashi T, Yatsuya H, Hayasaka K, Kato R, Kawatsu S, Arahata Y, et al. Direct comparison study between FDG-PET and IMP-SPECT for diagnosing Alzheimer's disease using 3D-SSP analysis in the same patients. Radiation Medicine - Medical Imaging and Radiation Oncology. 2007;25(6):255-262.</w:t>
      </w:r>
    </w:p>
    <w:p w14:paraId="08E5F520" w14:textId="77777777" w:rsidR="00E27381" w:rsidRDefault="00E27381" w:rsidP="007F6723">
      <w:r w:rsidRPr="007E5C4B">
        <w:t>Nikmat AW, Hawthorne G, Al-Mashoor SH. Quality of life in dementia patients: nursing home versus home care. Int Psychogeriatr. 2011;23(10):1692-1700.</w:t>
      </w:r>
    </w:p>
    <w:p w14:paraId="1C9D0617" w14:textId="6E6BD630" w:rsidR="00742DFF" w:rsidRDefault="00742DFF" w:rsidP="00742DFF">
      <w:bookmarkStart w:id="353" w:name="_ENREF_1"/>
      <w:r>
        <w:t>Panegyres PK, Rogers JM, McCarthy M, Campbell A &amp; Wu JS. Fluorodeoxyglucose-positron emission tomography in the differential diagnosis of early-onset dementia: A prospective, community-based study. BMC Neurology. 2009;9:41.</w:t>
      </w:r>
      <w:bookmarkEnd w:id="353"/>
    </w:p>
    <w:p w14:paraId="78F978E8" w14:textId="77777777" w:rsidR="00E27381" w:rsidRDefault="00E27381" w:rsidP="007F6723">
      <w:r>
        <w:t>Perneczky R, Wagenpfeil S, Komossa K, Grimmer T, Diehl J, Kurz A. Mapping scores onto stages: mini-mental state examination and clinical dementia rating. Am J Geriatr Psychiatry 2006;14:139-144.</w:t>
      </w:r>
    </w:p>
    <w:p w14:paraId="00697905" w14:textId="5A070379" w:rsidR="00671983" w:rsidRDefault="00671983" w:rsidP="00671983">
      <w:r>
        <w:t>Phillips J, Pond D, Goode SM. Timely Diagnosis of Dementia: Can we do better? A report for Alzheimer’s Australia. Paper 24, September 2011.</w:t>
      </w:r>
    </w:p>
    <w:p w14:paraId="2DEBA5C2" w14:textId="77777777" w:rsidR="009B068C" w:rsidRDefault="009B068C" w:rsidP="007F6723">
      <w:r w:rsidRPr="009B068C">
        <w:lastRenderedPageBreak/>
        <w:t>Pond D. Dementia: an update on management. Australian Family Physician. 2012;41(12):936-9.</w:t>
      </w:r>
    </w:p>
    <w:p w14:paraId="15A04389" w14:textId="4442C065" w:rsidR="00E27381" w:rsidRDefault="00E27381" w:rsidP="007F6723">
      <w:r w:rsidRPr="00F47C45">
        <w:t>Reisberg B, Doody R, Stoffler A, Schmitt F, Ferris S, M</w:t>
      </w:r>
      <w:r>
        <w:t>öbius HJ; Memantine Study Group</w:t>
      </w:r>
      <w:r w:rsidRPr="00F47C45">
        <w:t>. Memantine in moderate-to-severe Alzheimer’s disease. N</w:t>
      </w:r>
      <w:r>
        <w:t xml:space="preserve"> Engl J Med. 2003;348(14):1333-13</w:t>
      </w:r>
      <w:r w:rsidRPr="00F47C45">
        <w:t>41</w:t>
      </w:r>
      <w:r>
        <w:t>.</w:t>
      </w:r>
    </w:p>
    <w:p w14:paraId="404B9DEF" w14:textId="77777777" w:rsidR="00E27381" w:rsidRDefault="00E27381" w:rsidP="007F6723">
      <w:r>
        <w:t>Rogers SL, Farlow MR, Doody RS, Mohs R, Friedhoff LT. A 24-week, double-blind, placebo-controlled trial of donepezil in patients with Alzheimer's disease. Donepezil Study Group. Neurology. 1998;50(1):136-145.</w:t>
      </w:r>
    </w:p>
    <w:p w14:paraId="54B1C0C7" w14:textId="5618A757" w:rsidR="00220729" w:rsidRDefault="00220729" w:rsidP="007F6723">
      <w:r>
        <w:t>Royal Australian College of General Practitioners. Guidelines for preventive activities in general practice, 8</w:t>
      </w:r>
      <w:r w:rsidRPr="00220729">
        <w:rPr>
          <w:vertAlign w:val="superscript"/>
        </w:rPr>
        <w:t>th</w:t>
      </w:r>
      <w:r>
        <w:t xml:space="preserve"> edition.</w:t>
      </w:r>
      <w:r w:rsidR="00E06530">
        <w:t xml:space="preserve"> 2012. Melbourne:</w:t>
      </w:r>
      <w:r w:rsidR="007C46F7">
        <w:t xml:space="preserve"> </w:t>
      </w:r>
      <w:r w:rsidR="00E06530">
        <w:t xml:space="preserve">RACGP. </w:t>
      </w:r>
    </w:p>
    <w:p w14:paraId="2FF6B863" w14:textId="4FCB90C2" w:rsidR="00E27381" w:rsidRDefault="00E27381" w:rsidP="00E27381">
      <w:r>
        <w:t>Rusina R, Kukal J, Belicek T, Buncova M, Matej R. Use of fuzzy edge single-photon emission computed tomography analysis in definite Alzheimer’s disease – a retrospective study. BMC Med Imaging. 2010;10:20.</w:t>
      </w:r>
    </w:p>
    <w:p w14:paraId="270C6A49" w14:textId="77777777" w:rsidR="00E27381" w:rsidRDefault="00E27381" w:rsidP="007F6723">
      <w:r>
        <w:t>Shearer J, Green C, Ritchie CW, Zajicek JP. Health state values for use in the economic evaluation of treatments for Alzheimer's disease. Drugs Aging. 2012;29(1):31-43.</w:t>
      </w:r>
    </w:p>
    <w:p w14:paraId="22562E77" w14:textId="77777777" w:rsidR="00E27381" w:rsidRDefault="00E27381" w:rsidP="007F6723">
      <w:r>
        <w:t>Silberstein E. Prevalence of adverse reactions to positron emitting radiopharmaceuticals in nuclear medicine. J Nucl Med. 1998;39:2190-2192.</w:t>
      </w:r>
    </w:p>
    <w:p w14:paraId="5F414AB1" w14:textId="23CB6BB7" w:rsidR="00E27381" w:rsidRDefault="00E27381" w:rsidP="00E27381">
      <w:r>
        <w:t>Silverman DHS, Small GW, Chang CY, Lu CS, Kung de Aburto MA, Chen W, et al. Positron emission tomography in evaluation of dementia: Regional brain metabolism and long-term outcome. Journal of the American Medical Association. 2001;286(17):2120-2127.</w:t>
      </w:r>
    </w:p>
    <w:p w14:paraId="66DB62BB" w14:textId="77777777" w:rsidR="00E27381" w:rsidRDefault="00E27381" w:rsidP="007F6723">
      <w:r>
        <w:t>Silverman DH, Gambhir SS, Huang HW, Schwimmer J, Kim S, Small GW, Chodosh J, Czernin J, Phelps ME. Evaluating early dementia with and without assessment of regional cerebral metabolism by PET: a comparison of predicted costs and benefits. J Nucl Med. 2002;43(2):253-266.</w:t>
      </w:r>
    </w:p>
    <w:p w14:paraId="54AF89DA" w14:textId="20A6A0EB" w:rsidR="00701E53" w:rsidRDefault="00701E53" w:rsidP="007F6723">
      <w:r>
        <w:t>Silverman DH. Brain 18F-FDG PET in the diagnosis of neurodegenerative dementias: comparison with perfusion SPECT and with clinical evaluations lacking nuclear imaging. J Nucl Med. 2004;45:594-607.</w:t>
      </w:r>
    </w:p>
    <w:p w14:paraId="2200AA5D" w14:textId="4E27A665" w:rsidR="00246C7A" w:rsidRDefault="00246C7A" w:rsidP="007F6723">
      <w:r w:rsidRPr="00246C7A">
        <w:t>Silverman DH, Mosconi L, Ercoli L, Chen W, Small GW. Positron emission tomography scans obtained for the evaluation of cognitive dysfunction. Semin Nucl Med. 2008;38:251-261.</w:t>
      </w:r>
    </w:p>
    <w:p w14:paraId="6651FD93" w14:textId="77777777" w:rsidR="00E27381" w:rsidRDefault="00E27381" w:rsidP="007F6723">
      <w:r>
        <w:t>Sonntag M, König HH, Konnopka A. The estimation of utility weights in cost-utility analysis for mental disorders: a systematic review. Pharmacoeconomics. 2013;31(12):1131-1154.</w:t>
      </w:r>
    </w:p>
    <w:p w14:paraId="6ECC98A4" w14:textId="76236648" w:rsidR="00201BB9" w:rsidRDefault="00201BB9" w:rsidP="007F6723">
      <w:r>
        <w:t xml:space="preserve">Sperling RA, Aisen PS, Beckett LA, Bennett DA, Craft S, Fagan AM. Toward defining the preclinical stages of Alzheimer’s disease: recommendations from the National Institute on Aging and the Alzheimer’s Association workshop. Alzheimers Dement. 2011;7(3):280-92. </w:t>
      </w:r>
    </w:p>
    <w:p w14:paraId="7279EE81" w14:textId="77777777" w:rsidR="00E27381" w:rsidRDefault="00E27381" w:rsidP="007F6723">
      <w:r>
        <w:lastRenderedPageBreak/>
        <w:t>Tan CC, Yu JT, Wang HF, Tan MS, Meng XF, Wang C, Jiang T, Zhu XC, Tan L. Efficacy and safety of donepezil, galantamine, rivastigmine, and memantine for the treatment of Alzheimer's disease: a systematic review and meta-analysis. J Alzheimers Dis. 2014;41(2):615-631.</w:t>
      </w:r>
    </w:p>
    <w:p w14:paraId="7E724C0D" w14:textId="7C192DBA" w:rsidR="000D1344" w:rsidRDefault="000D1344" w:rsidP="000D1344">
      <w:r>
        <w:t>Vacante M, Smailagic N, Sachpekidis C, Hyde C, Martin S, Ukoumunne O. The accuracy of 18FDG-PET in the early diagnosis of Alzheimer’s disease dementia and other dementias in people with MCI. Cochrane Database of Systematic Reviews 2013, Issue 7. Art. No.: CD010632.</w:t>
      </w:r>
    </w:p>
    <w:p w14:paraId="4ABFBF9A" w14:textId="0E424A14" w:rsidR="00E27381" w:rsidRDefault="00E27381" w:rsidP="007F6723">
      <w:r>
        <w:t>Waite LM, Broe GA, Grayson DA, Creasey H. The incidence of dementia in an Australian community population: the Sydney older persons study. International Journal of Geriatric Psychiatry. 2001;16(7):680-689.</w:t>
      </w:r>
    </w:p>
    <w:p w14:paraId="392650C9" w14:textId="77777777" w:rsidR="00E27381" w:rsidRDefault="00E27381" w:rsidP="007F6723">
      <w:r>
        <w:t>Wlodarczyk JH, Brodaty H, Hawthorne G. The relationship between quality of life, Mini-Mental State Examination, and the Instrumental Activities of Daily Living in patients with Alzheimer's disease. Arch Gerontol Geriatr. 2004;39(1):25-33.</w:t>
      </w:r>
    </w:p>
    <w:p w14:paraId="0DF600B2" w14:textId="77777777" w:rsidR="00E27381" w:rsidRDefault="00E27381" w:rsidP="007F6723">
      <w:r w:rsidRPr="00690AC8">
        <w:t>Wood</w:t>
      </w:r>
      <w:r>
        <w:t xml:space="preserve"> MJ</w:t>
      </w:r>
      <w:r w:rsidRPr="00690AC8">
        <w:t>, Berlangieri</w:t>
      </w:r>
      <w:r>
        <w:t xml:space="preserve"> SU</w:t>
      </w:r>
      <w:r w:rsidRPr="00690AC8">
        <w:t>, Rowe</w:t>
      </w:r>
      <w:r>
        <w:t xml:space="preserve"> CC.</w:t>
      </w:r>
      <w:r w:rsidRPr="00690AC8">
        <w:t xml:space="preserve"> </w:t>
      </w:r>
      <w:r>
        <w:t>Can brain SPECT be used to cost-effectively triage which patients require PET for the investigation of dementia? ANZ Nuclear Medicine.</w:t>
      </w:r>
      <w:r w:rsidRPr="00690AC8">
        <w:t xml:space="preserve"> </w:t>
      </w:r>
      <w:r>
        <w:t>2010;41:1-4.</w:t>
      </w:r>
    </w:p>
    <w:p w14:paraId="31855FB1" w14:textId="77777777" w:rsidR="00E27381" w:rsidRDefault="00E27381" w:rsidP="007F6723">
      <w:r>
        <w:t xml:space="preserve">Xie F, Oremus M, Gaebel K. Measuring health-related quality-of-life for Alzheimer's disease using the general public. Qual Life Res. 2012;21(4):593-601. </w:t>
      </w:r>
    </w:p>
    <w:p w14:paraId="64B4D786" w14:textId="03F1B6D2" w:rsidR="00E27381" w:rsidRDefault="00E27381" w:rsidP="00E27381">
      <w:r>
        <w:t>Yeo JM, Lim X, Khan Z, Pal S. Systematic review of the diagnostic utility of SPECT imaging in dementia. Eur Arch Psychiatry Clin Neurosci. 2013;263:539-552.</w:t>
      </w:r>
    </w:p>
    <w:p w14:paraId="08BD21CD" w14:textId="77777777" w:rsidR="00E27381" w:rsidRDefault="00E27381" w:rsidP="007F6723">
      <w:r>
        <w:t xml:space="preserve">You E, Dunt DR, White V, Vander Hoorn S, Doyle C. Risk of death or hospital admission among community-dwelling older adults living with dementia in Australia. </w:t>
      </w:r>
      <w:r w:rsidRPr="00AF46C1">
        <w:t>BMC Geriatrics</w:t>
      </w:r>
      <w:r>
        <w:t>. 2014;14:71.</w:t>
      </w:r>
    </w:p>
    <w:p w14:paraId="5AC65B16" w14:textId="77777777" w:rsidR="00E27381" w:rsidRDefault="00E27381" w:rsidP="007F6723">
      <w:r>
        <w:t>Zilkens RR, Spilsbury K, Bruce DG, Semmens JB. Linkage of hospital and death records increased identification of dementia cases and death rate estimates. Neuroepidemiology. 2009;32(1):61-69.</w:t>
      </w:r>
    </w:p>
    <w:sectPr w:rsidR="00E27381" w:rsidSect="00F710E2">
      <w:footerReference w:type="default" r:id="rId37"/>
      <w:pgSz w:w="11906" w:h="16838" w:code="9"/>
      <w:pgMar w:top="1440" w:right="1440" w:bottom="1440" w:left="1440" w:header="680"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DE969" w14:textId="77777777" w:rsidR="00197695" w:rsidRDefault="00197695" w:rsidP="00C5297B">
      <w:pPr>
        <w:spacing w:after="0"/>
      </w:pPr>
      <w:r>
        <w:separator/>
      </w:r>
    </w:p>
  </w:endnote>
  <w:endnote w:type="continuationSeparator" w:id="0">
    <w:p w14:paraId="630DA102" w14:textId="77777777" w:rsidR="00197695" w:rsidRDefault="00197695" w:rsidP="00C529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Adobe Caslon Pro Bold">
    <w:altName w:val="Goudy Extra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5AF39" w14:textId="77777777" w:rsidR="00197695" w:rsidRPr="00E81E63" w:rsidRDefault="00197695" w:rsidP="00AF356E">
    <w:pPr>
      <w:pStyle w:val="Footer"/>
      <w:tabs>
        <w:tab w:val="left" w:pos="3402"/>
        <w:tab w:val="left" w:pos="7371"/>
        <w:tab w:val="right" w:pos="14628"/>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CD18C" w14:textId="77777777" w:rsidR="00197695" w:rsidRPr="00E81E63" w:rsidRDefault="00197695" w:rsidP="0084689D">
    <w:pPr>
      <w:pStyle w:val="Footer"/>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F257E" w14:textId="77777777" w:rsidR="00197695" w:rsidRPr="00E81E63" w:rsidRDefault="00197695" w:rsidP="00FF0AC6">
    <w:pPr>
      <w:pStyle w:val="Footer"/>
      <w:tabs>
        <w:tab w:val="clear" w:pos="9072"/>
        <w:tab w:val="right" w:pos="13892"/>
      </w:tabs>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3E3AF" w14:textId="77777777" w:rsidR="00197695" w:rsidRPr="00E81E63" w:rsidRDefault="00197695" w:rsidP="0084689D">
    <w:pPr>
      <w:pStyle w:val="Footer"/>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0FDE" w14:textId="77777777" w:rsidR="00197695" w:rsidRPr="00E81E63" w:rsidRDefault="00197695" w:rsidP="00FF0AC6">
    <w:pPr>
      <w:pStyle w:val="Footer"/>
      <w:tabs>
        <w:tab w:val="clear" w:pos="9072"/>
        <w:tab w:val="right" w:pos="13892"/>
      </w:tabs>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FB6AC" w14:textId="77777777" w:rsidR="00197695" w:rsidRPr="00E81E63" w:rsidRDefault="00197695" w:rsidP="0084689D">
    <w:pPr>
      <w:pStyle w:val="Footer"/>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D1D9E" w14:textId="77777777" w:rsidR="00197695" w:rsidRPr="00E81E63" w:rsidRDefault="00197695" w:rsidP="00FF0AC6">
    <w:pPr>
      <w:pStyle w:val="Footer"/>
      <w:tabs>
        <w:tab w:val="clear" w:pos="9072"/>
        <w:tab w:val="right" w:pos="13892"/>
      </w:tabs>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4C80" w14:textId="77777777" w:rsidR="00197695" w:rsidRPr="00E81E63" w:rsidRDefault="00197695" w:rsidP="0084689D">
    <w:pPr>
      <w:pStyle w:val="Footer"/>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87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E9F5C" w14:textId="77777777" w:rsidR="00197695" w:rsidRPr="00E81E63" w:rsidRDefault="00197695" w:rsidP="00FF0AC6">
    <w:pPr>
      <w:pStyle w:val="Footer"/>
      <w:tabs>
        <w:tab w:val="clear" w:pos="9072"/>
        <w:tab w:val="right" w:pos="13892"/>
      </w:tabs>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91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3D838" w14:textId="77777777" w:rsidR="00197695" w:rsidRPr="00E81E63" w:rsidRDefault="00197695" w:rsidP="0084689D">
    <w:pPr>
      <w:pStyle w:val="Footer"/>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140</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4F8E" w14:textId="49C976CF" w:rsidR="00197695" w:rsidRPr="00E81E63" w:rsidRDefault="00197695" w:rsidP="006212AE">
    <w:pPr>
      <w:pStyle w:val="Footer"/>
      <w:pBdr>
        <w:top w:val="single" w:sz="4" w:space="0" w:color="auto"/>
      </w:pBdr>
      <w:tabs>
        <w:tab w:val="clear" w:pos="9072"/>
        <w:tab w:val="right" w:pos="13892"/>
      </w:tabs>
    </w:pPr>
    <w:r>
      <w:t>1195: F-18 FDG-PET for the diagnosis of Alzheimer’s disease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147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39631" w14:textId="409F0B62" w:rsidR="00197695" w:rsidRPr="00E81E63" w:rsidRDefault="00197695" w:rsidP="00F95F61">
    <w:pPr>
      <w:pStyle w:val="Footer"/>
    </w:pPr>
    <w:r>
      <w:t>1195: F-18 FDG-PET for the diagnosis of Alzheimer’s disease – February 2015</w:t>
    </w:r>
    <w:r>
      <w:tab/>
    </w:r>
    <w:r w:rsidRPr="00F95F61">
      <w:t>Page</w:t>
    </w:r>
    <w:r>
      <w:rPr>
        <w:snapToGrid w:val="0"/>
      </w:rPr>
      <w:t xml:space="preserve"> </w:t>
    </w:r>
    <w:r>
      <w:rPr>
        <w:snapToGrid w:val="0"/>
      </w:rPr>
      <w:fldChar w:fldCharType="begin"/>
    </w:r>
    <w:r>
      <w:rPr>
        <w:snapToGrid w:val="0"/>
      </w:rPr>
      <w:instrText xml:space="preserve"> PAGE </w:instrText>
    </w:r>
    <w:r>
      <w:rPr>
        <w:snapToGrid w:val="0"/>
      </w:rPr>
      <w:fldChar w:fldCharType="separate"/>
    </w:r>
    <w:r w:rsidR="00C67698">
      <w:rPr>
        <w:noProof/>
        <w:snapToGrid w:val="0"/>
      </w:rPr>
      <w:t>20</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077B0" w14:textId="5F26B960" w:rsidR="00197695" w:rsidRPr="00E81E63" w:rsidRDefault="00197695" w:rsidP="006212AE">
    <w:pPr>
      <w:pStyle w:val="Footer"/>
    </w:pPr>
    <w:r>
      <w:t xml:space="preserve">1195: F-18 FDG-PET for the diagnosis of Alzheimer’s disease – February </w:t>
    </w:r>
    <w:r w:rsidRPr="006212AE">
      <w:t>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155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12AB" w14:textId="7BD82495" w:rsidR="00197695" w:rsidRPr="00E81E63" w:rsidRDefault="00197695" w:rsidP="0084689D">
    <w:pPr>
      <w:pStyle w:val="Footer"/>
      <w:pBdr>
        <w:top w:val="single" w:sz="4" w:space="0" w:color="auto"/>
      </w:pBdr>
      <w:tabs>
        <w:tab w:val="clear" w:pos="9072"/>
        <w:tab w:val="right" w:pos="13721"/>
      </w:tabs>
      <w:ind w:right="210"/>
    </w:pPr>
    <w:r>
      <w:t>1195: F-18 FDG-PET for the diagnosis of Alzheimer’s disease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53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EE81C" w14:textId="62ECFA81" w:rsidR="00197695" w:rsidRPr="00E81E63" w:rsidRDefault="00197695" w:rsidP="0084689D">
    <w:pPr>
      <w:pStyle w:val="Footer"/>
      <w:pBdr>
        <w:top w:val="single" w:sz="4" w:space="0" w:color="auto"/>
      </w:pBdr>
    </w:pPr>
    <w:r>
      <w:t>1195: F-18 FDG-PET for the diagnosis of Alzheimer’s disease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54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7F58" w14:textId="77B8118E" w:rsidR="00197695" w:rsidRPr="00E81E63" w:rsidRDefault="00197695" w:rsidP="0084689D">
    <w:pPr>
      <w:pStyle w:val="Footer"/>
      <w:tabs>
        <w:tab w:val="clear" w:pos="9072"/>
        <w:tab w:val="right" w:pos="13892"/>
      </w:tabs>
    </w:pPr>
    <w:r>
      <w:t xml:space="preserve">1195: F-18 FDG-PET for the diagnosis of Alzheimer’s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56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E26A" w14:textId="77777777" w:rsidR="00197695" w:rsidRPr="00E81E63" w:rsidRDefault="00197695" w:rsidP="008C4D1C">
    <w:pPr>
      <w:pStyle w:val="Footer"/>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59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A4A87" w14:textId="77777777" w:rsidR="00197695" w:rsidRPr="00E81E63" w:rsidRDefault="00197695" w:rsidP="008C4D1C">
    <w:pPr>
      <w:pStyle w:val="Footer"/>
      <w:tabs>
        <w:tab w:val="clear" w:pos="9072"/>
        <w:tab w:val="right" w:pos="13892"/>
      </w:tabs>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60</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5A070" w14:textId="77777777" w:rsidR="00197695" w:rsidRPr="00E81E63" w:rsidRDefault="00197695" w:rsidP="0084689D">
    <w:pPr>
      <w:pStyle w:val="Footer"/>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CBDE" w14:textId="77777777" w:rsidR="00197695" w:rsidRPr="00E81E63" w:rsidRDefault="00197695" w:rsidP="00FF0AC6">
    <w:pPr>
      <w:pStyle w:val="Footer"/>
      <w:tabs>
        <w:tab w:val="clear" w:pos="9072"/>
        <w:tab w:val="right" w:pos="13892"/>
      </w:tabs>
    </w:pPr>
    <w:r>
      <w:t xml:space="preserve">1195: F-18 FDG-PET for the diagnosis of </w:t>
    </w:r>
    <w:r w:rsidRPr="0084689D">
      <w:t>Alzheimer’s</w:t>
    </w:r>
    <w:r>
      <w:t xml:space="preserve"> </w:t>
    </w:r>
    <w:r w:rsidRPr="004C0706">
      <w:t>disease</w:t>
    </w:r>
    <w:r>
      <w:t xml:space="preserve"> – February 2015</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67698">
      <w:rPr>
        <w:noProof/>
        <w:snapToGrid w:val="0"/>
      </w:rPr>
      <w:t>63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67698">
      <w:rPr>
        <w:noProof/>
        <w:snapToGrid w:val="0"/>
      </w:rPr>
      <w:t>155</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23549" w14:textId="77777777" w:rsidR="00197695" w:rsidRDefault="00197695" w:rsidP="00C5297B">
      <w:pPr>
        <w:spacing w:after="0"/>
      </w:pPr>
      <w:r>
        <w:separator/>
      </w:r>
    </w:p>
  </w:footnote>
  <w:footnote w:type="continuationSeparator" w:id="0">
    <w:p w14:paraId="25263583" w14:textId="77777777" w:rsidR="00197695" w:rsidRDefault="00197695" w:rsidP="00C5297B">
      <w:pPr>
        <w:spacing w:after="0"/>
      </w:pPr>
      <w:r>
        <w:continuationSeparator/>
      </w:r>
    </w:p>
  </w:footnote>
  <w:footnote w:id="1">
    <w:p w14:paraId="615482D6" w14:textId="77777777" w:rsidR="00197695" w:rsidRDefault="00197695" w:rsidP="00246C7A">
      <w:pPr>
        <w:pStyle w:val="FootnoteText"/>
      </w:pPr>
      <w:r>
        <w:rPr>
          <w:rStyle w:val="FootnoteReference"/>
        </w:rPr>
        <w:footnoteRef/>
      </w:r>
      <w:r>
        <w:t xml:space="preserve"> </w:t>
      </w:r>
      <w:r w:rsidRPr="00C400D1">
        <w:t>In this assessment, the term ‘PET’ is used to refer to either PET or PET/CT. The term ‘PET/CT’ is used where specific reference to this modality is made. Most current and future practice will relate to the use of PET/CT machines, as all PET machines sold now in Australia are PET/CT machines.</w:t>
      </w:r>
    </w:p>
  </w:footnote>
  <w:footnote w:id="2">
    <w:p w14:paraId="485FF669" w14:textId="017AB9DC" w:rsidR="00197695" w:rsidRDefault="00197695">
      <w:pPr>
        <w:pStyle w:val="FootnoteText"/>
      </w:pPr>
      <w:r>
        <w:rPr>
          <w:rStyle w:val="FootnoteReference"/>
        </w:rPr>
        <w:footnoteRef/>
      </w:r>
      <w:r>
        <w:t xml:space="preserve"> Summary and PBAC Minutes available on the PBS website (</w:t>
      </w:r>
      <w:hyperlink r:id="rId1" w:history="1">
        <w:r>
          <w:rPr>
            <w:rStyle w:val="Hyperlink"/>
          </w:rPr>
          <w:t>PBS website</w:t>
        </w:r>
      </w:hyperlink>
      <w:r>
        <w:t>); full report available by request to the PBAC Secretariat.</w:t>
      </w:r>
    </w:p>
  </w:footnote>
  <w:footnote w:id="3">
    <w:p w14:paraId="022C2968" w14:textId="49FFF8EE" w:rsidR="00197695" w:rsidRDefault="00197695" w:rsidP="00246C7A">
      <w:pPr>
        <w:pStyle w:val="FootnoteText"/>
      </w:pPr>
      <w:r>
        <w:rPr>
          <w:rStyle w:val="FootnoteReference"/>
        </w:rPr>
        <w:footnoteRef/>
      </w:r>
      <w:r>
        <w:t xml:space="preserve"> Advice provided by Health Expert Standing Panel (HESP) member</w:t>
      </w:r>
    </w:p>
  </w:footnote>
  <w:footnote w:id="4">
    <w:p w14:paraId="30EE1A0E" w14:textId="77777777" w:rsidR="00197695" w:rsidRDefault="00197695" w:rsidP="004E4137">
      <w:pPr>
        <w:pStyle w:val="FootnoteText"/>
      </w:pPr>
      <w:r>
        <w:rPr>
          <w:rStyle w:val="FootnoteReference"/>
        </w:rPr>
        <w:footnoteRef/>
      </w:r>
      <w:r>
        <w:t xml:space="preserve"> Summary and PBAC Minutes available on the PBS website; full report available by request to the PBAC Secretariat.</w:t>
      </w:r>
    </w:p>
  </w:footnote>
  <w:footnote w:id="5">
    <w:p w14:paraId="3C85EEFC" w14:textId="4B3699A0" w:rsidR="00197695" w:rsidRDefault="00197695" w:rsidP="00511657">
      <w:pPr>
        <w:pStyle w:val="FootnoteText"/>
      </w:pPr>
      <w:r>
        <w:rPr>
          <w:rStyle w:val="FootnoteReference"/>
        </w:rPr>
        <w:footnoteRef/>
      </w:r>
      <w:r>
        <w:t xml:space="preserve"> In general, functional patterns (CMRgl in FDG-PET and CBF in SPECT) were condensed into a ratio of regional values of associative areas/ROIs (e.g. temporoparietal and frontal regions) divided by regional values in brain regions that are typically spared in AD (e.g. primary cortical areas, basal ganglia and cerebellum). The ratios were obtained in suspected AD patients and normal controls. Brain regions with ratios below the mean -2 SD for normal controls were regarded as significantly abnormal, and suggestive of AD.</w:t>
      </w:r>
    </w:p>
  </w:footnote>
  <w:footnote w:id="6">
    <w:p w14:paraId="4C9739F2" w14:textId="4B126722" w:rsidR="00197695" w:rsidRDefault="00197695">
      <w:pPr>
        <w:pStyle w:val="FootnoteText"/>
      </w:pPr>
      <w:r>
        <w:rPr>
          <w:rStyle w:val="FootnoteReference"/>
        </w:rPr>
        <w:footnoteRef/>
      </w:r>
      <w:r>
        <w:t xml:space="preserve"> Available on the ACR website</w:t>
      </w:r>
    </w:p>
  </w:footnote>
  <w:footnote w:id="7">
    <w:p w14:paraId="40C8292E" w14:textId="4E36C616" w:rsidR="00197695" w:rsidRDefault="00197695">
      <w:pPr>
        <w:pStyle w:val="FootnoteText"/>
      </w:pPr>
      <w:r>
        <w:rPr>
          <w:rStyle w:val="FootnoteReference"/>
        </w:rPr>
        <w:footnoteRef/>
      </w:r>
      <w:r>
        <w:t xml:space="preserve"> Available on request from the PBAC Sectretariat</w:t>
      </w:r>
    </w:p>
  </w:footnote>
  <w:footnote w:id="8">
    <w:p w14:paraId="1F578A89" w14:textId="74D3A7CF" w:rsidR="00197695" w:rsidRDefault="00197695">
      <w:pPr>
        <w:pStyle w:val="FootnoteText"/>
      </w:pPr>
      <w:r>
        <w:rPr>
          <w:rStyle w:val="FootnoteReference"/>
        </w:rPr>
        <w:footnoteRef/>
      </w:r>
      <w:r>
        <w:t xml:space="preserve"> Available on the PBS website</w:t>
      </w:r>
    </w:p>
  </w:footnote>
  <w:footnote w:id="9">
    <w:p w14:paraId="178FCEA3" w14:textId="77777777" w:rsidR="00197695" w:rsidRDefault="00197695" w:rsidP="007F6723">
      <w:pPr>
        <w:pStyle w:val="FootnoteText"/>
      </w:pPr>
      <w:r>
        <w:rPr>
          <w:rStyle w:val="FootnoteReference"/>
        </w:rPr>
        <w:footnoteRef/>
      </w:r>
      <w:r>
        <w:t xml:space="preserve"> D</w:t>
      </w:r>
      <w:r w:rsidRPr="007D6333">
        <w:t>ownloaded from www.</w:t>
      </w:r>
      <w:r>
        <w:t>abs.gov.au on November 19,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22B57" w14:textId="4DE291FD" w:rsidR="00197695" w:rsidRPr="00C5297B" w:rsidRDefault="00197695" w:rsidP="00CE701C">
    <w:pPr>
      <w:pStyle w:val="Header"/>
      <w:tabs>
        <w:tab w:val="right" w:pos="9072"/>
      </w:tabs>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745"/>
    <w:multiLevelType w:val="hybridMultilevel"/>
    <w:tmpl w:val="ACF60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AD1017"/>
    <w:multiLevelType w:val="hybridMultilevel"/>
    <w:tmpl w:val="04B8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2804D3"/>
    <w:multiLevelType w:val="hybridMultilevel"/>
    <w:tmpl w:val="8258F5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F9A3B9F"/>
    <w:multiLevelType w:val="hybridMultilevel"/>
    <w:tmpl w:val="92E6E91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5">
    <w:nsid w:val="125445EA"/>
    <w:multiLevelType w:val="hybridMultilevel"/>
    <w:tmpl w:val="DE286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E80562"/>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204BE1"/>
    <w:multiLevelType w:val="multilevel"/>
    <w:tmpl w:val="B784DD0C"/>
    <w:lvl w:ilvl="0">
      <w:start w:val="1"/>
      <w:numFmt w:val="upperLetter"/>
      <w:pStyle w:val="Heading1"/>
      <w:lvlText w:val="Section %1."/>
      <w:lvlJc w:val="left"/>
      <w:pPr>
        <w:ind w:left="2552" w:hanging="2552"/>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702F2C"/>
    <w:multiLevelType w:val="hybridMultilevel"/>
    <w:tmpl w:val="F51CE2D8"/>
    <w:lvl w:ilvl="0" w:tplc="D9B45404">
      <w:start w:val="201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3B6F08"/>
    <w:multiLevelType w:val="hybridMultilevel"/>
    <w:tmpl w:val="BE50A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81C1271"/>
    <w:multiLevelType w:val="hybridMultilevel"/>
    <w:tmpl w:val="9E8AB236"/>
    <w:lvl w:ilvl="0" w:tplc="70643B42">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BD5DA4"/>
    <w:multiLevelType w:val="hybridMultilevel"/>
    <w:tmpl w:val="46EE91F0"/>
    <w:lvl w:ilvl="0" w:tplc="EC8EBA4E">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1A90EA7"/>
    <w:multiLevelType w:val="hybridMultilevel"/>
    <w:tmpl w:val="B3AC41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724423C"/>
    <w:multiLevelType w:val="hybridMultilevel"/>
    <w:tmpl w:val="6E60B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E06A69"/>
    <w:multiLevelType w:val="hybridMultilevel"/>
    <w:tmpl w:val="E56E6B5C"/>
    <w:lvl w:ilvl="0" w:tplc="43C68F0A">
      <w:start w:val="1"/>
      <w:numFmt w:val="bullet"/>
      <w:pStyle w:val="Bulletpoints"/>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6F04FA0"/>
    <w:multiLevelType w:val="hybridMultilevel"/>
    <w:tmpl w:val="C8FAA8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A410A4E"/>
    <w:multiLevelType w:val="hybridMultilevel"/>
    <w:tmpl w:val="FF3A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8522E"/>
    <w:multiLevelType w:val="hybridMultilevel"/>
    <w:tmpl w:val="E59E6E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6DD3DBB"/>
    <w:multiLevelType w:val="hybridMultilevel"/>
    <w:tmpl w:val="CD1660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76F4384"/>
    <w:multiLevelType w:val="hybridMultilevel"/>
    <w:tmpl w:val="17DCCA54"/>
    <w:lvl w:ilvl="0" w:tplc="04090001">
      <w:start w:val="1"/>
      <w:numFmt w:val="bullet"/>
      <w:pStyle w:val="Bulletlevel2"/>
      <w:lvlText w:val=""/>
      <w:lvlJc w:val="left"/>
      <w:pPr>
        <w:ind w:left="717" w:hanging="360"/>
      </w:pPr>
      <w:rPr>
        <w:rFonts w:ascii="Wingdings" w:hAnsi="Wingdings" w:hint="default"/>
        <w:sz w:val="16"/>
        <w:szCs w:val="16"/>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53BF0C7D"/>
    <w:multiLevelType w:val="multilevel"/>
    <w:tmpl w:val="E0B89416"/>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A5358AC"/>
    <w:multiLevelType w:val="hybridMultilevel"/>
    <w:tmpl w:val="0E10D7A4"/>
    <w:lvl w:ilvl="0" w:tplc="563810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6226227B"/>
    <w:multiLevelType w:val="hybridMultilevel"/>
    <w:tmpl w:val="FC863C9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nsid w:val="62B91A34"/>
    <w:multiLevelType w:val="hybridMultilevel"/>
    <w:tmpl w:val="D7486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947048B"/>
    <w:multiLevelType w:val="hybridMultilevel"/>
    <w:tmpl w:val="043A6E92"/>
    <w:lvl w:ilvl="0" w:tplc="6F0C9012">
      <w:start w:val="1"/>
      <w:numFmt w:val="lowerLetter"/>
      <w:pStyle w:val="aNormaltex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3B7A62"/>
    <w:multiLevelType w:val="hybridMultilevel"/>
    <w:tmpl w:val="9164288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70D56209"/>
    <w:multiLevelType w:val="hybridMultilevel"/>
    <w:tmpl w:val="5A9EC058"/>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7">
    <w:nsid w:val="726B38F3"/>
    <w:multiLevelType w:val="hybridMultilevel"/>
    <w:tmpl w:val="A340369C"/>
    <w:lvl w:ilvl="0" w:tplc="5816A32A">
      <w:start w:val="1"/>
      <w:numFmt w:val="bullet"/>
      <w:pStyle w:val="BulletL1HC"/>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63F98"/>
    <w:multiLevelType w:val="hybridMultilevel"/>
    <w:tmpl w:val="B94C0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74454EC0"/>
    <w:multiLevelType w:val="hybridMultilevel"/>
    <w:tmpl w:val="B82023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8B7696F"/>
    <w:multiLevelType w:val="hybridMultilevel"/>
    <w:tmpl w:val="4440A8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A17064C"/>
    <w:multiLevelType w:val="hybridMultilevel"/>
    <w:tmpl w:val="A77275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C023D56"/>
    <w:multiLevelType w:val="hybridMultilevel"/>
    <w:tmpl w:val="CF6C0D74"/>
    <w:lvl w:ilvl="0" w:tplc="2EA2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684309"/>
    <w:multiLevelType w:val="hybridMultilevel"/>
    <w:tmpl w:val="CF6C0D74"/>
    <w:lvl w:ilvl="0" w:tplc="2EA2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A03C1A"/>
    <w:multiLevelType w:val="hybridMultilevel"/>
    <w:tmpl w:val="84621618"/>
    <w:lvl w:ilvl="0" w:tplc="027215D6">
      <w:start w:val="1"/>
      <w:numFmt w:val="decimal"/>
      <w:pStyle w:val="Numberedtext"/>
      <w:lvlText w:val="(%1)"/>
      <w:lvlJc w:val="left"/>
      <w:pPr>
        <w:ind w:left="382" w:hanging="360"/>
      </w:pPr>
      <w:rPr>
        <w:rFonts w:cs="Times New Roman" w:hint="default"/>
      </w:rPr>
    </w:lvl>
    <w:lvl w:ilvl="1" w:tplc="04090003">
      <w:start w:val="1"/>
      <w:numFmt w:val="bullet"/>
      <w:lvlText w:val="o"/>
      <w:lvlJc w:val="left"/>
      <w:pPr>
        <w:ind w:left="1102" w:hanging="360"/>
      </w:pPr>
      <w:rPr>
        <w:rFonts w:ascii="Courier New" w:hAnsi="Courier New" w:hint="default"/>
      </w:rPr>
    </w:lvl>
    <w:lvl w:ilvl="2" w:tplc="04090005">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hint="default"/>
      </w:rPr>
    </w:lvl>
    <w:lvl w:ilvl="8" w:tplc="04090005" w:tentative="1">
      <w:start w:val="1"/>
      <w:numFmt w:val="bullet"/>
      <w:lvlText w:val=""/>
      <w:lvlJc w:val="left"/>
      <w:pPr>
        <w:ind w:left="6142" w:hanging="360"/>
      </w:pPr>
      <w:rPr>
        <w:rFonts w:ascii="Wingdings" w:hAnsi="Wingdings" w:hint="default"/>
      </w:rPr>
    </w:lvl>
  </w:abstractNum>
  <w:num w:numId="1">
    <w:abstractNumId w:val="7"/>
  </w:num>
  <w:num w:numId="2">
    <w:abstractNumId w:val="14"/>
  </w:num>
  <w:num w:numId="3">
    <w:abstractNumId w:val="19"/>
  </w:num>
  <w:num w:numId="4">
    <w:abstractNumId w:val="24"/>
  </w:num>
  <w:num w:numId="5">
    <w:abstractNumId w:val="27"/>
  </w:num>
  <w:num w:numId="6">
    <w:abstractNumId w:val="34"/>
  </w:num>
  <w:num w:numId="7">
    <w:abstractNumId w:val="4"/>
  </w:num>
  <w:num w:numId="8">
    <w:abstractNumId w:val="20"/>
    <w:lvlOverride w:ilvl="0">
      <w:lvl w:ilvl="0">
        <w:start w:val="1"/>
        <w:numFmt w:val="decimal"/>
        <w:lvlText w:val="Appendix %1."/>
        <w:lvlJc w:val="left"/>
        <w:pPr>
          <w:ind w:left="3402" w:hanging="3402"/>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0"/>
    <w:lvlOverride w:ilvl="0">
      <w:lvl w:ilvl="0">
        <w:start w:val="1"/>
        <w:numFmt w:val="decimal"/>
        <w:lvlText w:val="Appendix %1."/>
        <w:lvlJc w:val="left"/>
        <w:pPr>
          <w:ind w:left="502"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4"/>
    <w:lvlOverride w:ilvl="0">
      <w:startOverride w:val="1"/>
    </w:lvlOverride>
  </w:num>
  <w:num w:numId="11">
    <w:abstractNumId w:val="21"/>
  </w:num>
  <w:num w:numId="12">
    <w:abstractNumId w:val="28"/>
  </w:num>
  <w:num w:numId="13">
    <w:abstractNumId w:val="23"/>
  </w:num>
  <w:num w:numId="14">
    <w:abstractNumId w:val="12"/>
  </w:num>
  <w:num w:numId="15">
    <w:abstractNumId w:val="15"/>
  </w:num>
  <w:num w:numId="16">
    <w:abstractNumId w:val="29"/>
  </w:num>
  <w:num w:numId="17">
    <w:abstractNumId w:val="6"/>
  </w:num>
  <w:num w:numId="18">
    <w:abstractNumId w:val="0"/>
  </w:num>
  <w:num w:numId="19">
    <w:abstractNumId w:val="34"/>
    <w:lvlOverride w:ilvl="0">
      <w:startOverride w:val="1"/>
    </w:lvlOverride>
  </w:num>
  <w:num w:numId="20">
    <w:abstractNumId w:val="2"/>
  </w:num>
  <w:num w:numId="21">
    <w:abstractNumId w:val="8"/>
  </w:num>
  <w:num w:numId="22">
    <w:abstractNumId w:val="10"/>
  </w:num>
  <w:num w:numId="23">
    <w:abstractNumId w:val="33"/>
  </w:num>
  <w:num w:numId="24">
    <w:abstractNumId w:val="25"/>
  </w:num>
  <w:num w:numId="25">
    <w:abstractNumId w:val="32"/>
  </w:num>
  <w:num w:numId="26">
    <w:abstractNumId w:val="18"/>
  </w:num>
  <w:num w:numId="27">
    <w:abstractNumId w:val="17"/>
  </w:num>
  <w:num w:numId="28">
    <w:abstractNumId w:val="34"/>
    <w:lvlOverride w:ilvl="0">
      <w:startOverride w:val="1"/>
    </w:lvlOverride>
  </w:num>
  <w:num w:numId="29">
    <w:abstractNumId w:val="11"/>
  </w:num>
  <w:num w:numId="30">
    <w:abstractNumId w:val="31"/>
  </w:num>
  <w:num w:numId="31">
    <w:abstractNumId w:val="3"/>
  </w:num>
  <w:num w:numId="32">
    <w:abstractNumId w:val="22"/>
  </w:num>
  <w:num w:numId="33">
    <w:abstractNumId w:val="30"/>
  </w:num>
  <w:num w:numId="34">
    <w:abstractNumId w:val="26"/>
  </w:num>
  <w:num w:numId="35">
    <w:abstractNumId w:val="16"/>
  </w:num>
  <w:num w:numId="36">
    <w:abstractNumId w:val="13"/>
  </w:num>
  <w:num w:numId="37">
    <w:abstractNumId w:val="5"/>
  </w:num>
  <w:num w:numId="38">
    <w:abstractNumId w:val="1"/>
  </w:num>
  <w:num w:numId="39">
    <w:abstractNumId w:val="9"/>
  </w:num>
  <w:num w:numId="40">
    <w:abstractNumId w:val="7"/>
  </w:num>
  <w:num w:numId="41">
    <w:abstractNumId w:val="24"/>
  </w:num>
  <w:num w:numId="42">
    <w:abstractNumId w:val="24"/>
  </w:num>
  <w:num w:numId="43">
    <w:abstractNumId w:val="24"/>
  </w:num>
  <w:num w:numId="44">
    <w:abstractNumId w:val="7"/>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F7"/>
    <w:rsid w:val="0000583C"/>
    <w:rsid w:val="000105A7"/>
    <w:rsid w:val="00012638"/>
    <w:rsid w:val="00013FD2"/>
    <w:rsid w:val="000147DF"/>
    <w:rsid w:val="00014D9C"/>
    <w:rsid w:val="00016639"/>
    <w:rsid w:val="000166DA"/>
    <w:rsid w:val="0001687E"/>
    <w:rsid w:val="000172DE"/>
    <w:rsid w:val="00017DD4"/>
    <w:rsid w:val="00023508"/>
    <w:rsid w:val="0002541E"/>
    <w:rsid w:val="00026B38"/>
    <w:rsid w:val="0003027D"/>
    <w:rsid w:val="00035931"/>
    <w:rsid w:val="000402E7"/>
    <w:rsid w:val="00040904"/>
    <w:rsid w:val="00040BDB"/>
    <w:rsid w:val="00041128"/>
    <w:rsid w:val="0004157E"/>
    <w:rsid w:val="00043269"/>
    <w:rsid w:val="00045F1B"/>
    <w:rsid w:val="000465F6"/>
    <w:rsid w:val="00046835"/>
    <w:rsid w:val="00046CA7"/>
    <w:rsid w:val="00047A70"/>
    <w:rsid w:val="00052B06"/>
    <w:rsid w:val="00053D5F"/>
    <w:rsid w:val="00055ECB"/>
    <w:rsid w:val="00055F9E"/>
    <w:rsid w:val="0005712C"/>
    <w:rsid w:val="0006115C"/>
    <w:rsid w:val="00064F51"/>
    <w:rsid w:val="00065EA4"/>
    <w:rsid w:val="00067A52"/>
    <w:rsid w:val="00070231"/>
    <w:rsid w:val="00073307"/>
    <w:rsid w:val="000740B0"/>
    <w:rsid w:val="00093E89"/>
    <w:rsid w:val="00097779"/>
    <w:rsid w:val="000A1B77"/>
    <w:rsid w:val="000A4389"/>
    <w:rsid w:val="000A638E"/>
    <w:rsid w:val="000A78AC"/>
    <w:rsid w:val="000B08C3"/>
    <w:rsid w:val="000B15C3"/>
    <w:rsid w:val="000B1823"/>
    <w:rsid w:val="000B1A94"/>
    <w:rsid w:val="000B34F9"/>
    <w:rsid w:val="000C064C"/>
    <w:rsid w:val="000C154E"/>
    <w:rsid w:val="000C1FEF"/>
    <w:rsid w:val="000C2509"/>
    <w:rsid w:val="000C3B82"/>
    <w:rsid w:val="000C3D86"/>
    <w:rsid w:val="000D1344"/>
    <w:rsid w:val="000D1CC0"/>
    <w:rsid w:val="000D28A8"/>
    <w:rsid w:val="000D5C2A"/>
    <w:rsid w:val="000D6D08"/>
    <w:rsid w:val="000E05F2"/>
    <w:rsid w:val="000E24F0"/>
    <w:rsid w:val="000E2EFF"/>
    <w:rsid w:val="000E37C2"/>
    <w:rsid w:val="000E3AEC"/>
    <w:rsid w:val="000E5DE6"/>
    <w:rsid w:val="000E6E36"/>
    <w:rsid w:val="000F05F3"/>
    <w:rsid w:val="000F1909"/>
    <w:rsid w:val="000F6961"/>
    <w:rsid w:val="001001CA"/>
    <w:rsid w:val="00104077"/>
    <w:rsid w:val="00105A8E"/>
    <w:rsid w:val="00105DB3"/>
    <w:rsid w:val="001060F1"/>
    <w:rsid w:val="00106E8B"/>
    <w:rsid w:val="001110F0"/>
    <w:rsid w:val="00111A00"/>
    <w:rsid w:val="0011249C"/>
    <w:rsid w:val="001142B7"/>
    <w:rsid w:val="00115C13"/>
    <w:rsid w:val="001162DC"/>
    <w:rsid w:val="001166B2"/>
    <w:rsid w:val="001173B5"/>
    <w:rsid w:val="00123C7D"/>
    <w:rsid w:val="0012475B"/>
    <w:rsid w:val="001251D7"/>
    <w:rsid w:val="00126E0B"/>
    <w:rsid w:val="0013083C"/>
    <w:rsid w:val="001312B2"/>
    <w:rsid w:val="00134BFF"/>
    <w:rsid w:val="00137A56"/>
    <w:rsid w:val="001426C9"/>
    <w:rsid w:val="00143C1C"/>
    <w:rsid w:val="00145690"/>
    <w:rsid w:val="00150201"/>
    <w:rsid w:val="00150254"/>
    <w:rsid w:val="00150B19"/>
    <w:rsid w:val="001534C1"/>
    <w:rsid w:val="00156B71"/>
    <w:rsid w:val="00161F56"/>
    <w:rsid w:val="00162C86"/>
    <w:rsid w:val="00162EB9"/>
    <w:rsid w:val="001724D5"/>
    <w:rsid w:val="00180D12"/>
    <w:rsid w:val="00181CF8"/>
    <w:rsid w:val="00182F1A"/>
    <w:rsid w:val="001833D4"/>
    <w:rsid w:val="00184D1C"/>
    <w:rsid w:val="00185BA4"/>
    <w:rsid w:val="00187344"/>
    <w:rsid w:val="00190CC9"/>
    <w:rsid w:val="0019205A"/>
    <w:rsid w:val="00195B18"/>
    <w:rsid w:val="00197695"/>
    <w:rsid w:val="001A06EE"/>
    <w:rsid w:val="001A0B25"/>
    <w:rsid w:val="001A1B30"/>
    <w:rsid w:val="001A2F2B"/>
    <w:rsid w:val="001A605D"/>
    <w:rsid w:val="001A745E"/>
    <w:rsid w:val="001A76AA"/>
    <w:rsid w:val="001B06DC"/>
    <w:rsid w:val="001B1FD6"/>
    <w:rsid w:val="001B28C7"/>
    <w:rsid w:val="001B39A6"/>
    <w:rsid w:val="001B5A36"/>
    <w:rsid w:val="001B65BF"/>
    <w:rsid w:val="001B6692"/>
    <w:rsid w:val="001C1764"/>
    <w:rsid w:val="001C1CE2"/>
    <w:rsid w:val="001C4646"/>
    <w:rsid w:val="001C4EB7"/>
    <w:rsid w:val="001C65CA"/>
    <w:rsid w:val="001C7455"/>
    <w:rsid w:val="001D2EF2"/>
    <w:rsid w:val="001D5C19"/>
    <w:rsid w:val="001E0D5D"/>
    <w:rsid w:val="001E5784"/>
    <w:rsid w:val="001E5815"/>
    <w:rsid w:val="001F674E"/>
    <w:rsid w:val="001F69AD"/>
    <w:rsid w:val="00201BB9"/>
    <w:rsid w:val="0020575D"/>
    <w:rsid w:val="00206AEE"/>
    <w:rsid w:val="00206E59"/>
    <w:rsid w:val="002100AE"/>
    <w:rsid w:val="00213884"/>
    <w:rsid w:val="002157C6"/>
    <w:rsid w:val="00215A00"/>
    <w:rsid w:val="002179F6"/>
    <w:rsid w:val="00220729"/>
    <w:rsid w:val="00223895"/>
    <w:rsid w:val="00226B97"/>
    <w:rsid w:val="00227F45"/>
    <w:rsid w:val="00230060"/>
    <w:rsid w:val="00230AC5"/>
    <w:rsid w:val="00231A7C"/>
    <w:rsid w:val="002332F2"/>
    <w:rsid w:val="0023397E"/>
    <w:rsid w:val="00234236"/>
    <w:rsid w:val="00235D94"/>
    <w:rsid w:val="00235DC2"/>
    <w:rsid w:val="00236150"/>
    <w:rsid w:val="002365F4"/>
    <w:rsid w:val="00237BD4"/>
    <w:rsid w:val="00240B32"/>
    <w:rsid w:val="00242F06"/>
    <w:rsid w:val="00244635"/>
    <w:rsid w:val="00244B89"/>
    <w:rsid w:val="002466C6"/>
    <w:rsid w:val="00246C7A"/>
    <w:rsid w:val="00247F17"/>
    <w:rsid w:val="0025189C"/>
    <w:rsid w:val="00252F75"/>
    <w:rsid w:val="002539B5"/>
    <w:rsid w:val="002549A6"/>
    <w:rsid w:val="00256F91"/>
    <w:rsid w:val="00260EC5"/>
    <w:rsid w:val="00263E14"/>
    <w:rsid w:val="0026595D"/>
    <w:rsid w:val="002664A0"/>
    <w:rsid w:val="002674F1"/>
    <w:rsid w:val="00267519"/>
    <w:rsid w:val="00272326"/>
    <w:rsid w:val="00272EC4"/>
    <w:rsid w:val="00274AB2"/>
    <w:rsid w:val="002754B7"/>
    <w:rsid w:val="00276345"/>
    <w:rsid w:val="0028016C"/>
    <w:rsid w:val="00283EBE"/>
    <w:rsid w:val="00286B43"/>
    <w:rsid w:val="00291969"/>
    <w:rsid w:val="00296B5A"/>
    <w:rsid w:val="002A17FC"/>
    <w:rsid w:val="002A592C"/>
    <w:rsid w:val="002B47AD"/>
    <w:rsid w:val="002B5704"/>
    <w:rsid w:val="002B7C38"/>
    <w:rsid w:val="002C0167"/>
    <w:rsid w:val="002C048E"/>
    <w:rsid w:val="002C0816"/>
    <w:rsid w:val="002C0CB7"/>
    <w:rsid w:val="002C1165"/>
    <w:rsid w:val="002C12CD"/>
    <w:rsid w:val="002C2596"/>
    <w:rsid w:val="002C48CA"/>
    <w:rsid w:val="002C4FC8"/>
    <w:rsid w:val="002C579C"/>
    <w:rsid w:val="002D0228"/>
    <w:rsid w:val="002D3900"/>
    <w:rsid w:val="002D414C"/>
    <w:rsid w:val="002D5558"/>
    <w:rsid w:val="002D5BC1"/>
    <w:rsid w:val="002D67BB"/>
    <w:rsid w:val="002E1F12"/>
    <w:rsid w:val="002E5625"/>
    <w:rsid w:val="002E63A2"/>
    <w:rsid w:val="002E7598"/>
    <w:rsid w:val="002E79EE"/>
    <w:rsid w:val="002E7BFC"/>
    <w:rsid w:val="002F448A"/>
    <w:rsid w:val="002F5E85"/>
    <w:rsid w:val="002F7605"/>
    <w:rsid w:val="002F7BEE"/>
    <w:rsid w:val="003019EE"/>
    <w:rsid w:val="00303695"/>
    <w:rsid w:val="00305DF1"/>
    <w:rsid w:val="003108B2"/>
    <w:rsid w:val="00310F28"/>
    <w:rsid w:val="00312458"/>
    <w:rsid w:val="0031261E"/>
    <w:rsid w:val="003140D6"/>
    <w:rsid w:val="00314CBF"/>
    <w:rsid w:val="003202E9"/>
    <w:rsid w:val="0032218A"/>
    <w:rsid w:val="003238FF"/>
    <w:rsid w:val="003249AD"/>
    <w:rsid w:val="00324BF8"/>
    <w:rsid w:val="00325C04"/>
    <w:rsid w:val="00325DD5"/>
    <w:rsid w:val="003262DE"/>
    <w:rsid w:val="00330F7C"/>
    <w:rsid w:val="00331717"/>
    <w:rsid w:val="00331B4B"/>
    <w:rsid w:val="00335735"/>
    <w:rsid w:val="00335791"/>
    <w:rsid w:val="003371F7"/>
    <w:rsid w:val="00342CAE"/>
    <w:rsid w:val="00344C8E"/>
    <w:rsid w:val="003461E4"/>
    <w:rsid w:val="00350FE6"/>
    <w:rsid w:val="00357237"/>
    <w:rsid w:val="003578A6"/>
    <w:rsid w:val="00364E5C"/>
    <w:rsid w:val="00365AE6"/>
    <w:rsid w:val="0036639E"/>
    <w:rsid w:val="003715BC"/>
    <w:rsid w:val="0037318B"/>
    <w:rsid w:val="0037366D"/>
    <w:rsid w:val="00373C66"/>
    <w:rsid w:val="00374061"/>
    <w:rsid w:val="00374B34"/>
    <w:rsid w:val="003820DA"/>
    <w:rsid w:val="0038452F"/>
    <w:rsid w:val="003853AF"/>
    <w:rsid w:val="00387119"/>
    <w:rsid w:val="003930B9"/>
    <w:rsid w:val="003950A1"/>
    <w:rsid w:val="00395E89"/>
    <w:rsid w:val="003A17D9"/>
    <w:rsid w:val="003A70F5"/>
    <w:rsid w:val="003B0A85"/>
    <w:rsid w:val="003B2DFB"/>
    <w:rsid w:val="003B4A78"/>
    <w:rsid w:val="003B51E4"/>
    <w:rsid w:val="003B6D27"/>
    <w:rsid w:val="003C01D2"/>
    <w:rsid w:val="003C1579"/>
    <w:rsid w:val="003C715A"/>
    <w:rsid w:val="003D140D"/>
    <w:rsid w:val="003D1597"/>
    <w:rsid w:val="003D1DA5"/>
    <w:rsid w:val="003D66D6"/>
    <w:rsid w:val="003D66DC"/>
    <w:rsid w:val="003E1F6C"/>
    <w:rsid w:val="003E54D0"/>
    <w:rsid w:val="003E6C8D"/>
    <w:rsid w:val="003F03E3"/>
    <w:rsid w:val="003F127B"/>
    <w:rsid w:val="003F46C6"/>
    <w:rsid w:val="003F5533"/>
    <w:rsid w:val="003F7708"/>
    <w:rsid w:val="004034F2"/>
    <w:rsid w:val="004034F3"/>
    <w:rsid w:val="00403713"/>
    <w:rsid w:val="00404013"/>
    <w:rsid w:val="0040535E"/>
    <w:rsid w:val="00405F64"/>
    <w:rsid w:val="00406035"/>
    <w:rsid w:val="004071A1"/>
    <w:rsid w:val="00410180"/>
    <w:rsid w:val="00410D53"/>
    <w:rsid w:val="00411C2F"/>
    <w:rsid w:val="00414562"/>
    <w:rsid w:val="004159B2"/>
    <w:rsid w:val="00416DB3"/>
    <w:rsid w:val="00416E8E"/>
    <w:rsid w:val="004206F4"/>
    <w:rsid w:val="00420CA0"/>
    <w:rsid w:val="00423397"/>
    <w:rsid w:val="00425007"/>
    <w:rsid w:val="00425395"/>
    <w:rsid w:val="0042682F"/>
    <w:rsid w:val="00426DB4"/>
    <w:rsid w:val="00427CF0"/>
    <w:rsid w:val="00430F1F"/>
    <w:rsid w:val="00434559"/>
    <w:rsid w:val="004359DF"/>
    <w:rsid w:val="00436514"/>
    <w:rsid w:val="00440443"/>
    <w:rsid w:val="0044416D"/>
    <w:rsid w:val="00444AFC"/>
    <w:rsid w:val="004512A5"/>
    <w:rsid w:val="0045256B"/>
    <w:rsid w:val="004537DF"/>
    <w:rsid w:val="00455C5B"/>
    <w:rsid w:val="00460A4D"/>
    <w:rsid w:val="00462FB6"/>
    <w:rsid w:val="00465614"/>
    <w:rsid w:val="00466306"/>
    <w:rsid w:val="00466758"/>
    <w:rsid w:val="004702FF"/>
    <w:rsid w:val="00472798"/>
    <w:rsid w:val="00473475"/>
    <w:rsid w:val="00473660"/>
    <w:rsid w:val="0047403B"/>
    <w:rsid w:val="00485DBC"/>
    <w:rsid w:val="00490F61"/>
    <w:rsid w:val="0049125C"/>
    <w:rsid w:val="00491F94"/>
    <w:rsid w:val="00492B21"/>
    <w:rsid w:val="004A5E68"/>
    <w:rsid w:val="004A62A8"/>
    <w:rsid w:val="004B17EF"/>
    <w:rsid w:val="004B3323"/>
    <w:rsid w:val="004B4588"/>
    <w:rsid w:val="004B5625"/>
    <w:rsid w:val="004B6DC6"/>
    <w:rsid w:val="004C05AF"/>
    <w:rsid w:val="004C0706"/>
    <w:rsid w:val="004C2ED8"/>
    <w:rsid w:val="004C64A0"/>
    <w:rsid w:val="004C6B3E"/>
    <w:rsid w:val="004D056F"/>
    <w:rsid w:val="004D0C5C"/>
    <w:rsid w:val="004D3618"/>
    <w:rsid w:val="004D394F"/>
    <w:rsid w:val="004D480D"/>
    <w:rsid w:val="004D5066"/>
    <w:rsid w:val="004D5119"/>
    <w:rsid w:val="004E1796"/>
    <w:rsid w:val="004E1977"/>
    <w:rsid w:val="004E356E"/>
    <w:rsid w:val="004E4137"/>
    <w:rsid w:val="004E4D12"/>
    <w:rsid w:val="004E5AB1"/>
    <w:rsid w:val="004E67A1"/>
    <w:rsid w:val="004F0FC4"/>
    <w:rsid w:val="005017D9"/>
    <w:rsid w:val="00501EAF"/>
    <w:rsid w:val="00505E5D"/>
    <w:rsid w:val="00506E1C"/>
    <w:rsid w:val="00510367"/>
    <w:rsid w:val="00511657"/>
    <w:rsid w:val="00513A92"/>
    <w:rsid w:val="00514703"/>
    <w:rsid w:val="00515BB3"/>
    <w:rsid w:val="00517E66"/>
    <w:rsid w:val="00522610"/>
    <w:rsid w:val="00524916"/>
    <w:rsid w:val="00525024"/>
    <w:rsid w:val="00527775"/>
    <w:rsid w:val="00530192"/>
    <w:rsid w:val="005325A2"/>
    <w:rsid w:val="0053585B"/>
    <w:rsid w:val="00537C67"/>
    <w:rsid w:val="00540D44"/>
    <w:rsid w:val="00544103"/>
    <w:rsid w:val="00545147"/>
    <w:rsid w:val="00545901"/>
    <w:rsid w:val="00546D26"/>
    <w:rsid w:val="005500C2"/>
    <w:rsid w:val="00550781"/>
    <w:rsid w:val="00553BF9"/>
    <w:rsid w:val="00554627"/>
    <w:rsid w:val="00556738"/>
    <w:rsid w:val="005569B0"/>
    <w:rsid w:val="00557515"/>
    <w:rsid w:val="005607BD"/>
    <w:rsid w:val="005608DA"/>
    <w:rsid w:val="005608F3"/>
    <w:rsid w:val="0056221A"/>
    <w:rsid w:val="00564593"/>
    <w:rsid w:val="00567B9E"/>
    <w:rsid w:val="00570926"/>
    <w:rsid w:val="005726A4"/>
    <w:rsid w:val="0057279C"/>
    <w:rsid w:val="0057404A"/>
    <w:rsid w:val="00576EE5"/>
    <w:rsid w:val="00577007"/>
    <w:rsid w:val="00580CA6"/>
    <w:rsid w:val="00581B9D"/>
    <w:rsid w:val="00582109"/>
    <w:rsid w:val="00583545"/>
    <w:rsid w:val="00586584"/>
    <w:rsid w:val="00586A45"/>
    <w:rsid w:val="00586D96"/>
    <w:rsid w:val="00590084"/>
    <w:rsid w:val="005907D7"/>
    <w:rsid w:val="005913A2"/>
    <w:rsid w:val="00593FD3"/>
    <w:rsid w:val="0059629F"/>
    <w:rsid w:val="005A4F1A"/>
    <w:rsid w:val="005B0DCC"/>
    <w:rsid w:val="005B2FC2"/>
    <w:rsid w:val="005B375E"/>
    <w:rsid w:val="005B3861"/>
    <w:rsid w:val="005B779D"/>
    <w:rsid w:val="005C02E5"/>
    <w:rsid w:val="005C2145"/>
    <w:rsid w:val="005C4653"/>
    <w:rsid w:val="005C70FF"/>
    <w:rsid w:val="005C770E"/>
    <w:rsid w:val="005D6551"/>
    <w:rsid w:val="005E40E8"/>
    <w:rsid w:val="005E4111"/>
    <w:rsid w:val="005E6302"/>
    <w:rsid w:val="005E6651"/>
    <w:rsid w:val="005F1A41"/>
    <w:rsid w:val="005F486B"/>
    <w:rsid w:val="005F4E8F"/>
    <w:rsid w:val="005F4F9C"/>
    <w:rsid w:val="005F4FF2"/>
    <w:rsid w:val="00600B47"/>
    <w:rsid w:val="00600D95"/>
    <w:rsid w:val="00601DFD"/>
    <w:rsid w:val="00603232"/>
    <w:rsid w:val="0060690C"/>
    <w:rsid w:val="006120DD"/>
    <w:rsid w:val="006157BA"/>
    <w:rsid w:val="00617B67"/>
    <w:rsid w:val="006212AE"/>
    <w:rsid w:val="00623E6C"/>
    <w:rsid w:val="00624E9B"/>
    <w:rsid w:val="0062528E"/>
    <w:rsid w:val="006329CB"/>
    <w:rsid w:val="00632F6D"/>
    <w:rsid w:val="006337A2"/>
    <w:rsid w:val="00633C6D"/>
    <w:rsid w:val="00636CEC"/>
    <w:rsid w:val="006405C8"/>
    <w:rsid w:val="00643214"/>
    <w:rsid w:val="006458BE"/>
    <w:rsid w:val="00646489"/>
    <w:rsid w:val="0064732B"/>
    <w:rsid w:val="00651D53"/>
    <w:rsid w:val="006529A9"/>
    <w:rsid w:val="00652A80"/>
    <w:rsid w:val="00654707"/>
    <w:rsid w:val="00654992"/>
    <w:rsid w:val="0065581D"/>
    <w:rsid w:val="00656581"/>
    <w:rsid w:val="0066149A"/>
    <w:rsid w:val="00661BC5"/>
    <w:rsid w:val="006627B6"/>
    <w:rsid w:val="006649A2"/>
    <w:rsid w:val="006700CA"/>
    <w:rsid w:val="00671983"/>
    <w:rsid w:val="00672F3A"/>
    <w:rsid w:val="00673464"/>
    <w:rsid w:val="006758AE"/>
    <w:rsid w:val="006815DC"/>
    <w:rsid w:val="00681A13"/>
    <w:rsid w:val="00681D17"/>
    <w:rsid w:val="0068533C"/>
    <w:rsid w:val="00687794"/>
    <w:rsid w:val="006879DA"/>
    <w:rsid w:val="00687FB5"/>
    <w:rsid w:val="00690502"/>
    <w:rsid w:val="006907F6"/>
    <w:rsid w:val="00692798"/>
    <w:rsid w:val="00694571"/>
    <w:rsid w:val="006954A8"/>
    <w:rsid w:val="006970DD"/>
    <w:rsid w:val="006A432E"/>
    <w:rsid w:val="006A5DEA"/>
    <w:rsid w:val="006A66D0"/>
    <w:rsid w:val="006A6C31"/>
    <w:rsid w:val="006B173F"/>
    <w:rsid w:val="006B1E64"/>
    <w:rsid w:val="006B2BDA"/>
    <w:rsid w:val="006B3ECF"/>
    <w:rsid w:val="006B446D"/>
    <w:rsid w:val="006C0853"/>
    <w:rsid w:val="006C0BFE"/>
    <w:rsid w:val="006C1190"/>
    <w:rsid w:val="006C1984"/>
    <w:rsid w:val="006C2EF2"/>
    <w:rsid w:val="006C39F0"/>
    <w:rsid w:val="006C6782"/>
    <w:rsid w:val="006C7784"/>
    <w:rsid w:val="006D0DCF"/>
    <w:rsid w:val="006D149E"/>
    <w:rsid w:val="006D44C8"/>
    <w:rsid w:val="006E59AA"/>
    <w:rsid w:val="006F0B5F"/>
    <w:rsid w:val="006F2D7C"/>
    <w:rsid w:val="006F318A"/>
    <w:rsid w:val="006F4C3E"/>
    <w:rsid w:val="006F7E3D"/>
    <w:rsid w:val="007001C3"/>
    <w:rsid w:val="007006AB"/>
    <w:rsid w:val="00701AD3"/>
    <w:rsid w:val="00701E53"/>
    <w:rsid w:val="00706A86"/>
    <w:rsid w:val="00707941"/>
    <w:rsid w:val="007113EA"/>
    <w:rsid w:val="0071474E"/>
    <w:rsid w:val="00716416"/>
    <w:rsid w:val="007170FB"/>
    <w:rsid w:val="00722710"/>
    <w:rsid w:val="00724518"/>
    <w:rsid w:val="0072534B"/>
    <w:rsid w:val="00731EA5"/>
    <w:rsid w:val="00731F84"/>
    <w:rsid w:val="0073358E"/>
    <w:rsid w:val="00733735"/>
    <w:rsid w:val="00734408"/>
    <w:rsid w:val="00734577"/>
    <w:rsid w:val="00734E11"/>
    <w:rsid w:val="007353CF"/>
    <w:rsid w:val="00737384"/>
    <w:rsid w:val="007404ED"/>
    <w:rsid w:val="0074079F"/>
    <w:rsid w:val="00742DFF"/>
    <w:rsid w:val="00743676"/>
    <w:rsid w:val="0074610F"/>
    <w:rsid w:val="0075286D"/>
    <w:rsid w:val="00753AAE"/>
    <w:rsid w:val="00754056"/>
    <w:rsid w:val="00756FA1"/>
    <w:rsid w:val="00760137"/>
    <w:rsid w:val="00762843"/>
    <w:rsid w:val="00762B4E"/>
    <w:rsid w:val="0076404F"/>
    <w:rsid w:val="0076481B"/>
    <w:rsid w:val="0076483D"/>
    <w:rsid w:val="007724C2"/>
    <w:rsid w:val="0077260A"/>
    <w:rsid w:val="007729B1"/>
    <w:rsid w:val="007731F6"/>
    <w:rsid w:val="007739FC"/>
    <w:rsid w:val="00774031"/>
    <w:rsid w:val="00774E8F"/>
    <w:rsid w:val="00777581"/>
    <w:rsid w:val="007815B1"/>
    <w:rsid w:val="0078286D"/>
    <w:rsid w:val="00782B61"/>
    <w:rsid w:val="00782E8D"/>
    <w:rsid w:val="00783005"/>
    <w:rsid w:val="007847F4"/>
    <w:rsid w:val="007857D1"/>
    <w:rsid w:val="0078796A"/>
    <w:rsid w:val="007937E6"/>
    <w:rsid w:val="0079432D"/>
    <w:rsid w:val="00795813"/>
    <w:rsid w:val="007A094C"/>
    <w:rsid w:val="007A09AA"/>
    <w:rsid w:val="007A13C8"/>
    <w:rsid w:val="007A38B6"/>
    <w:rsid w:val="007A5B41"/>
    <w:rsid w:val="007A643B"/>
    <w:rsid w:val="007B0956"/>
    <w:rsid w:val="007C1388"/>
    <w:rsid w:val="007C147E"/>
    <w:rsid w:val="007C157A"/>
    <w:rsid w:val="007C1650"/>
    <w:rsid w:val="007C46F7"/>
    <w:rsid w:val="007C518C"/>
    <w:rsid w:val="007C6419"/>
    <w:rsid w:val="007C6DA7"/>
    <w:rsid w:val="007C77F5"/>
    <w:rsid w:val="007D05B9"/>
    <w:rsid w:val="007D1CA3"/>
    <w:rsid w:val="007D6E94"/>
    <w:rsid w:val="007E04A1"/>
    <w:rsid w:val="007E1057"/>
    <w:rsid w:val="007E4771"/>
    <w:rsid w:val="007E670E"/>
    <w:rsid w:val="007E6CB2"/>
    <w:rsid w:val="007E7B3F"/>
    <w:rsid w:val="007F1C76"/>
    <w:rsid w:val="007F4B3D"/>
    <w:rsid w:val="007F5A3F"/>
    <w:rsid w:val="007F6723"/>
    <w:rsid w:val="007F7827"/>
    <w:rsid w:val="007F7FA8"/>
    <w:rsid w:val="00800722"/>
    <w:rsid w:val="008026BB"/>
    <w:rsid w:val="00807B31"/>
    <w:rsid w:val="00814C80"/>
    <w:rsid w:val="00814FA6"/>
    <w:rsid w:val="00816F47"/>
    <w:rsid w:val="00817B5F"/>
    <w:rsid w:val="00817E08"/>
    <w:rsid w:val="008226B2"/>
    <w:rsid w:val="00822C21"/>
    <w:rsid w:val="00823EDE"/>
    <w:rsid w:val="00826105"/>
    <w:rsid w:val="008302F1"/>
    <w:rsid w:val="00830A4F"/>
    <w:rsid w:val="008312CB"/>
    <w:rsid w:val="008359FC"/>
    <w:rsid w:val="0084021C"/>
    <w:rsid w:val="00840E57"/>
    <w:rsid w:val="008429D7"/>
    <w:rsid w:val="00844A3F"/>
    <w:rsid w:val="00844BE9"/>
    <w:rsid w:val="00845577"/>
    <w:rsid w:val="00846537"/>
    <w:rsid w:val="0084689D"/>
    <w:rsid w:val="00856128"/>
    <w:rsid w:val="00863176"/>
    <w:rsid w:val="00863C10"/>
    <w:rsid w:val="00865D20"/>
    <w:rsid w:val="00867BA5"/>
    <w:rsid w:val="00867D8A"/>
    <w:rsid w:val="00871BB3"/>
    <w:rsid w:val="00874204"/>
    <w:rsid w:val="00875DE9"/>
    <w:rsid w:val="008775D6"/>
    <w:rsid w:val="00880A91"/>
    <w:rsid w:val="00881E3D"/>
    <w:rsid w:val="00883756"/>
    <w:rsid w:val="00884270"/>
    <w:rsid w:val="00885956"/>
    <w:rsid w:val="0089140E"/>
    <w:rsid w:val="00891B5D"/>
    <w:rsid w:val="008950E4"/>
    <w:rsid w:val="008954EE"/>
    <w:rsid w:val="00896BD9"/>
    <w:rsid w:val="00897D9C"/>
    <w:rsid w:val="008A4242"/>
    <w:rsid w:val="008A6639"/>
    <w:rsid w:val="008A7E46"/>
    <w:rsid w:val="008B02A8"/>
    <w:rsid w:val="008B073F"/>
    <w:rsid w:val="008B38BC"/>
    <w:rsid w:val="008B6792"/>
    <w:rsid w:val="008C4995"/>
    <w:rsid w:val="008C4D1C"/>
    <w:rsid w:val="008C59AE"/>
    <w:rsid w:val="008D0A5D"/>
    <w:rsid w:val="008D0DDA"/>
    <w:rsid w:val="008D379E"/>
    <w:rsid w:val="008D5DEC"/>
    <w:rsid w:val="008D6F9F"/>
    <w:rsid w:val="008D7C93"/>
    <w:rsid w:val="008E497A"/>
    <w:rsid w:val="008E501F"/>
    <w:rsid w:val="008E54E2"/>
    <w:rsid w:val="008F0DD0"/>
    <w:rsid w:val="008F47BA"/>
    <w:rsid w:val="008F48F2"/>
    <w:rsid w:val="008F5A55"/>
    <w:rsid w:val="008F753E"/>
    <w:rsid w:val="0090155D"/>
    <w:rsid w:val="00901869"/>
    <w:rsid w:val="00901B6E"/>
    <w:rsid w:val="00901B91"/>
    <w:rsid w:val="009025E7"/>
    <w:rsid w:val="009031A0"/>
    <w:rsid w:val="00903AED"/>
    <w:rsid w:val="00903DA7"/>
    <w:rsid w:val="009042F3"/>
    <w:rsid w:val="009044C4"/>
    <w:rsid w:val="00904BE6"/>
    <w:rsid w:val="00906BC0"/>
    <w:rsid w:val="00910E3E"/>
    <w:rsid w:val="00914587"/>
    <w:rsid w:val="00915910"/>
    <w:rsid w:val="00916343"/>
    <w:rsid w:val="00917AC0"/>
    <w:rsid w:val="00917C02"/>
    <w:rsid w:val="00920C73"/>
    <w:rsid w:val="0092153C"/>
    <w:rsid w:val="00922176"/>
    <w:rsid w:val="00923167"/>
    <w:rsid w:val="00924EA8"/>
    <w:rsid w:val="00927041"/>
    <w:rsid w:val="009322E1"/>
    <w:rsid w:val="00932685"/>
    <w:rsid w:val="00933B5D"/>
    <w:rsid w:val="00934CF0"/>
    <w:rsid w:val="00935359"/>
    <w:rsid w:val="00936023"/>
    <w:rsid w:val="00943760"/>
    <w:rsid w:val="00943FCF"/>
    <w:rsid w:val="009473AF"/>
    <w:rsid w:val="009502E6"/>
    <w:rsid w:val="009517FE"/>
    <w:rsid w:val="00955759"/>
    <w:rsid w:val="00955783"/>
    <w:rsid w:val="00957069"/>
    <w:rsid w:val="00957F01"/>
    <w:rsid w:val="00961430"/>
    <w:rsid w:val="009615D9"/>
    <w:rsid w:val="00965763"/>
    <w:rsid w:val="009661A6"/>
    <w:rsid w:val="00970B87"/>
    <w:rsid w:val="00972716"/>
    <w:rsid w:val="0097411D"/>
    <w:rsid w:val="00974389"/>
    <w:rsid w:val="0097440D"/>
    <w:rsid w:val="0097692A"/>
    <w:rsid w:val="00976E34"/>
    <w:rsid w:val="009778E9"/>
    <w:rsid w:val="009779FC"/>
    <w:rsid w:val="00980EAD"/>
    <w:rsid w:val="00981ADC"/>
    <w:rsid w:val="00982524"/>
    <w:rsid w:val="00982EC6"/>
    <w:rsid w:val="00983134"/>
    <w:rsid w:val="009836F7"/>
    <w:rsid w:val="00985527"/>
    <w:rsid w:val="00985C93"/>
    <w:rsid w:val="00986085"/>
    <w:rsid w:val="00987AD0"/>
    <w:rsid w:val="009936BA"/>
    <w:rsid w:val="00994721"/>
    <w:rsid w:val="009955C9"/>
    <w:rsid w:val="009A1F6B"/>
    <w:rsid w:val="009A2F95"/>
    <w:rsid w:val="009A3108"/>
    <w:rsid w:val="009A32C8"/>
    <w:rsid w:val="009A7742"/>
    <w:rsid w:val="009A7961"/>
    <w:rsid w:val="009A7BFF"/>
    <w:rsid w:val="009B068C"/>
    <w:rsid w:val="009B222A"/>
    <w:rsid w:val="009B3511"/>
    <w:rsid w:val="009B4B08"/>
    <w:rsid w:val="009B55BB"/>
    <w:rsid w:val="009C1114"/>
    <w:rsid w:val="009C2084"/>
    <w:rsid w:val="009C373C"/>
    <w:rsid w:val="009C4D03"/>
    <w:rsid w:val="009C4E93"/>
    <w:rsid w:val="009C577A"/>
    <w:rsid w:val="009C6D70"/>
    <w:rsid w:val="009D136F"/>
    <w:rsid w:val="009D1FCC"/>
    <w:rsid w:val="009D2102"/>
    <w:rsid w:val="009D456F"/>
    <w:rsid w:val="009D53F9"/>
    <w:rsid w:val="009D56DD"/>
    <w:rsid w:val="009D668E"/>
    <w:rsid w:val="009E1D9B"/>
    <w:rsid w:val="009E4001"/>
    <w:rsid w:val="009E4E0B"/>
    <w:rsid w:val="009E597E"/>
    <w:rsid w:val="009E5FE3"/>
    <w:rsid w:val="009E6347"/>
    <w:rsid w:val="009F0704"/>
    <w:rsid w:val="009F0753"/>
    <w:rsid w:val="009F1282"/>
    <w:rsid w:val="009F22A2"/>
    <w:rsid w:val="009F5DE5"/>
    <w:rsid w:val="009F7122"/>
    <w:rsid w:val="009F7484"/>
    <w:rsid w:val="00A018FD"/>
    <w:rsid w:val="00A019C4"/>
    <w:rsid w:val="00A029B4"/>
    <w:rsid w:val="00A02B10"/>
    <w:rsid w:val="00A032C3"/>
    <w:rsid w:val="00A04794"/>
    <w:rsid w:val="00A06D64"/>
    <w:rsid w:val="00A07079"/>
    <w:rsid w:val="00A12F21"/>
    <w:rsid w:val="00A14DAB"/>
    <w:rsid w:val="00A152F7"/>
    <w:rsid w:val="00A16894"/>
    <w:rsid w:val="00A247A1"/>
    <w:rsid w:val="00A33042"/>
    <w:rsid w:val="00A33416"/>
    <w:rsid w:val="00A342F3"/>
    <w:rsid w:val="00A351C9"/>
    <w:rsid w:val="00A35B36"/>
    <w:rsid w:val="00A3736D"/>
    <w:rsid w:val="00A41419"/>
    <w:rsid w:val="00A44CA2"/>
    <w:rsid w:val="00A466DB"/>
    <w:rsid w:val="00A469B7"/>
    <w:rsid w:val="00A5024C"/>
    <w:rsid w:val="00A51374"/>
    <w:rsid w:val="00A5268D"/>
    <w:rsid w:val="00A53B04"/>
    <w:rsid w:val="00A54712"/>
    <w:rsid w:val="00A57DAE"/>
    <w:rsid w:val="00A61E1F"/>
    <w:rsid w:val="00A664D5"/>
    <w:rsid w:val="00A66763"/>
    <w:rsid w:val="00A7118C"/>
    <w:rsid w:val="00A71AB3"/>
    <w:rsid w:val="00A72025"/>
    <w:rsid w:val="00A7263F"/>
    <w:rsid w:val="00A73ABE"/>
    <w:rsid w:val="00A76C37"/>
    <w:rsid w:val="00A76C98"/>
    <w:rsid w:val="00A77243"/>
    <w:rsid w:val="00A775BB"/>
    <w:rsid w:val="00A81AF1"/>
    <w:rsid w:val="00A81BC9"/>
    <w:rsid w:val="00A8293E"/>
    <w:rsid w:val="00A83E9C"/>
    <w:rsid w:val="00A859BA"/>
    <w:rsid w:val="00A900C3"/>
    <w:rsid w:val="00A90203"/>
    <w:rsid w:val="00A909AC"/>
    <w:rsid w:val="00A91983"/>
    <w:rsid w:val="00A93AB6"/>
    <w:rsid w:val="00A97BE1"/>
    <w:rsid w:val="00AA00B7"/>
    <w:rsid w:val="00AA12E1"/>
    <w:rsid w:val="00AA1D08"/>
    <w:rsid w:val="00AA42FA"/>
    <w:rsid w:val="00AA6420"/>
    <w:rsid w:val="00AA6452"/>
    <w:rsid w:val="00AA7FBF"/>
    <w:rsid w:val="00AB0B66"/>
    <w:rsid w:val="00AB1F0F"/>
    <w:rsid w:val="00AB2565"/>
    <w:rsid w:val="00AB283D"/>
    <w:rsid w:val="00AB322D"/>
    <w:rsid w:val="00AB3C8C"/>
    <w:rsid w:val="00AB41E0"/>
    <w:rsid w:val="00AB4458"/>
    <w:rsid w:val="00AB4679"/>
    <w:rsid w:val="00AB66B3"/>
    <w:rsid w:val="00AC101B"/>
    <w:rsid w:val="00AC1FBB"/>
    <w:rsid w:val="00AC287A"/>
    <w:rsid w:val="00AC385C"/>
    <w:rsid w:val="00AC52B4"/>
    <w:rsid w:val="00AC55DE"/>
    <w:rsid w:val="00AD0021"/>
    <w:rsid w:val="00AD1035"/>
    <w:rsid w:val="00AD3BFF"/>
    <w:rsid w:val="00AD4DFA"/>
    <w:rsid w:val="00AD52D3"/>
    <w:rsid w:val="00AD559F"/>
    <w:rsid w:val="00AD5A54"/>
    <w:rsid w:val="00AD696B"/>
    <w:rsid w:val="00AD7BDE"/>
    <w:rsid w:val="00AE1248"/>
    <w:rsid w:val="00AE7673"/>
    <w:rsid w:val="00AF356E"/>
    <w:rsid w:val="00AF5C66"/>
    <w:rsid w:val="00AF6599"/>
    <w:rsid w:val="00AF75B7"/>
    <w:rsid w:val="00B00467"/>
    <w:rsid w:val="00B01635"/>
    <w:rsid w:val="00B02A1E"/>
    <w:rsid w:val="00B041AA"/>
    <w:rsid w:val="00B06445"/>
    <w:rsid w:val="00B11A03"/>
    <w:rsid w:val="00B11C20"/>
    <w:rsid w:val="00B132E5"/>
    <w:rsid w:val="00B16778"/>
    <w:rsid w:val="00B17BBF"/>
    <w:rsid w:val="00B213F6"/>
    <w:rsid w:val="00B22502"/>
    <w:rsid w:val="00B23ED9"/>
    <w:rsid w:val="00B246C0"/>
    <w:rsid w:val="00B25048"/>
    <w:rsid w:val="00B25281"/>
    <w:rsid w:val="00B27C09"/>
    <w:rsid w:val="00B31A76"/>
    <w:rsid w:val="00B31B90"/>
    <w:rsid w:val="00B32EA6"/>
    <w:rsid w:val="00B345AA"/>
    <w:rsid w:val="00B3517E"/>
    <w:rsid w:val="00B352E4"/>
    <w:rsid w:val="00B376B3"/>
    <w:rsid w:val="00B40CE5"/>
    <w:rsid w:val="00B4127D"/>
    <w:rsid w:val="00B44476"/>
    <w:rsid w:val="00B45883"/>
    <w:rsid w:val="00B45F39"/>
    <w:rsid w:val="00B47229"/>
    <w:rsid w:val="00B475B2"/>
    <w:rsid w:val="00B5241B"/>
    <w:rsid w:val="00B55790"/>
    <w:rsid w:val="00B57AC1"/>
    <w:rsid w:val="00B61418"/>
    <w:rsid w:val="00B62100"/>
    <w:rsid w:val="00B63A42"/>
    <w:rsid w:val="00B71A04"/>
    <w:rsid w:val="00B7262D"/>
    <w:rsid w:val="00B73EF8"/>
    <w:rsid w:val="00B7405F"/>
    <w:rsid w:val="00B75310"/>
    <w:rsid w:val="00B75639"/>
    <w:rsid w:val="00B766A9"/>
    <w:rsid w:val="00B8141D"/>
    <w:rsid w:val="00B828CC"/>
    <w:rsid w:val="00B83211"/>
    <w:rsid w:val="00B90809"/>
    <w:rsid w:val="00B92026"/>
    <w:rsid w:val="00B945FE"/>
    <w:rsid w:val="00B94D2B"/>
    <w:rsid w:val="00B95899"/>
    <w:rsid w:val="00B96B5C"/>
    <w:rsid w:val="00B97668"/>
    <w:rsid w:val="00BA0769"/>
    <w:rsid w:val="00BA36CB"/>
    <w:rsid w:val="00BA5047"/>
    <w:rsid w:val="00BA5CDD"/>
    <w:rsid w:val="00BA7081"/>
    <w:rsid w:val="00BB0B2F"/>
    <w:rsid w:val="00BB1DEF"/>
    <w:rsid w:val="00BB39E5"/>
    <w:rsid w:val="00BB6486"/>
    <w:rsid w:val="00BB667B"/>
    <w:rsid w:val="00BC0399"/>
    <w:rsid w:val="00BC132C"/>
    <w:rsid w:val="00BC2189"/>
    <w:rsid w:val="00BC2554"/>
    <w:rsid w:val="00BC2963"/>
    <w:rsid w:val="00BC30B7"/>
    <w:rsid w:val="00BC317D"/>
    <w:rsid w:val="00BC48F9"/>
    <w:rsid w:val="00BC4E7E"/>
    <w:rsid w:val="00BC64FA"/>
    <w:rsid w:val="00BD112C"/>
    <w:rsid w:val="00BD2481"/>
    <w:rsid w:val="00BD30ED"/>
    <w:rsid w:val="00BD65E4"/>
    <w:rsid w:val="00BD66D2"/>
    <w:rsid w:val="00BE061A"/>
    <w:rsid w:val="00BE1D05"/>
    <w:rsid w:val="00BE230B"/>
    <w:rsid w:val="00BE4366"/>
    <w:rsid w:val="00BE55F4"/>
    <w:rsid w:val="00BE75CB"/>
    <w:rsid w:val="00BE76D5"/>
    <w:rsid w:val="00BF0ECC"/>
    <w:rsid w:val="00BF162E"/>
    <w:rsid w:val="00BF16D8"/>
    <w:rsid w:val="00BF2422"/>
    <w:rsid w:val="00BF2BB6"/>
    <w:rsid w:val="00BF390E"/>
    <w:rsid w:val="00BF45C2"/>
    <w:rsid w:val="00BF68A6"/>
    <w:rsid w:val="00BF6F20"/>
    <w:rsid w:val="00C053D2"/>
    <w:rsid w:val="00C070F5"/>
    <w:rsid w:val="00C11A83"/>
    <w:rsid w:val="00C127E9"/>
    <w:rsid w:val="00C155A6"/>
    <w:rsid w:val="00C2267A"/>
    <w:rsid w:val="00C253A6"/>
    <w:rsid w:val="00C25A88"/>
    <w:rsid w:val="00C26210"/>
    <w:rsid w:val="00C2681D"/>
    <w:rsid w:val="00C31ECF"/>
    <w:rsid w:val="00C345CC"/>
    <w:rsid w:val="00C36B26"/>
    <w:rsid w:val="00C37318"/>
    <w:rsid w:val="00C377E5"/>
    <w:rsid w:val="00C400D1"/>
    <w:rsid w:val="00C435EA"/>
    <w:rsid w:val="00C469C1"/>
    <w:rsid w:val="00C46EC3"/>
    <w:rsid w:val="00C4798D"/>
    <w:rsid w:val="00C47D32"/>
    <w:rsid w:val="00C47E47"/>
    <w:rsid w:val="00C51092"/>
    <w:rsid w:val="00C52196"/>
    <w:rsid w:val="00C5240D"/>
    <w:rsid w:val="00C5297B"/>
    <w:rsid w:val="00C53E8F"/>
    <w:rsid w:val="00C55283"/>
    <w:rsid w:val="00C561F1"/>
    <w:rsid w:val="00C562A4"/>
    <w:rsid w:val="00C5751B"/>
    <w:rsid w:val="00C612E3"/>
    <w:rsid w:val="00C61362"/>
    <w:rsid w:val="00C618D4"/>
    <w:rsid w:val="00C620A9"/>
    <w:rsid w:val="00C66866"/>
    <w:rsid w:val="00C67698"/>
    <w:rsid w:val="00C67FE0"/>
    <w:rsid w:val="00C72D50"/>
    <w:rsid w:val="00C72D5F"/>
    <w:rsid w:val="00C74D6C"/>
    <w:rsid w:val="00C74F18"/>
    <w:rsid w:val="00C75922"/>
    <w:rsid w:val="00C76319"/>
    <w:rsid w:val="00C76372"/>
    <w:rsid w:val="00C76E6B"/>
    <w:rsid w:val="00C771F6"/>
    <w:rsid w:val="00C84DD0"/>
    <w:rsid w:val="00C93735"/>
    <w:rsid w:val="00C974BD"/>
    <w:rsid w:val="00CA6152"/>
    <w:rsid w:val="00CA6AA0"/>
    <w:rsid w:val="00CB0B90"/>
    <w:rsid w:val="00CB70AB"/>
    <w:rsid w:val="00CC0BD0"/>
    <w:rsid w:val="00CC3ACE"/>
    <w:rsid w:val="00CC63DE"/>
    <w:rsid w:val="00CC7310"/>
    <w:rsid w:val="00CD00B2"/>
    <w:rsid w:val="00CD1742"/>
    <w:rsid w:val="00CD27DB"/>
    <w:rsid w:val="00CD3558"/>
    <w:rsid w:val="00CD41BB"/>
    <w:rsid w:val="00CE11D2"/>
    <w:rsid w:val="00CE1316"/>
    <w:rsid w:val="00CE701C"/>
    <w:rsid w:val="00CE7481"/>
    <w:rsid w:val="00CF1C1A"/>
    <w:rsid w:val="00CF208C"/>
    <w:rsid w:val="00CF2388"/>
    <w:rsid w:val="00CF653F"/>
    <w:rsid w:val="00CF75B6"/>
    <w:rsid w:val="00D012AF"/>
    <w:rsid w:val="00D02F64"/>
    <w:rsid w:val="00D051CA"/>
    <w:rsid w:val="00D05882"/>
    <w:rsid w:val="00D0789D"/>
    <w:rsid w:val="00D116A2"/>
    <w:rsid w:val="00D11C98"/>
    <w:rsid w:val="00D13F12"/>
    <w:rsid w:val="00D142CA"/>
    <w:rsid w:val="00D15F71"/>
    <w:rsid w:val="00D2130D"/>
    <w:rsid w:val="00D25339"/>
    <w:rsid w:val="00D331C2"/>
    <w:rsid w:val="00D3544E"/>
    <w:rsid w:val="00D36D5A"/>
    <w:rsid w:val="00D36D6E"/>
    <w:rsid w:val="00D43D3F"/>
    <w:rsid w:val="00D44A07"/>
    <w:rsid w:val="00D463A1"/>
    <w:rsid w:val="00D5060A"/>
    <w:rsid w:val="00D51E06"/>
    <w:rsid w:val="00D51F53"/>
    <w:rsid w:val="00D538AA"/>
    <w:rsid w:val="00D57058"/>
    <w:rsid w:val="00D60FA3"/>
    <w:rsid w:val="00D611C8"/>
    <w:rsid w:val="00D61306"/>
    <w:rsid w:val="00D6428B"/>
    <w:rsid w:val="00D6440F"/>
    <w:rsid w:val="00D6458F"/>
    <w:rsid w:val="00D651C2"/>
    <w:rsid w:val="00D66982"/>
    <w:rsid w:val="00D67C27"/>
    <w:rsid w:val="00D7076E"/>
    <w:rsid w:val="00D73629"/>
    <w:rsid w:val="00D744B8"/>
    <w:rsid w:val="00D74656"/>
    <w:rsid w:val="00D76421"/>
    <w:rsid w:val="00D76F1F"/>
    <w:rsid w:val="00D82516"/>
    <w:rsid w:val="00D843F0"/>
    <w:rsid w:val="00D9049C"/>
    <w:rsid w:val="00D96B44"/>
    <w:rsid w:val="00DA1075"/>
    <w:rsid w:val="00DA416B"/>
    <w:rsid w:val="00DA473C"/>
    <w:rsid w:val="00DA4763"/>
    <w:rsid w:val="00DA7C61"/>
    <w:rsid w:val="00DB0E27"/>
    <w:rsid w:val="00DB1A5F"/>
    <w:rsid w:val="00DB1CF8"/>
    <w:rsid w:val="00DB1F17"/>
    <w:rsid w:val="00DB3715"/>
    <w:rsid w:val="00DB3B66"/>
    <w:rsid w:val="00DB497D"/>
    <w:rsid w:val="00DB5F9A"/>
    <w:rsid w:val="00DB7626"/>
    <w:rsid w:val="00DC0EA0"/>
    <w:rsid w:val="00DC4543"/>
    <w:rsid w:val="00DC4CD8"/>
    <w:rsid w:val="00DC7964"/>
    <w:rsid w:val="00DD06FA"/>
    <w:rsid w:val="00DD289A"/>
    <w:rsid w:val="00DD3788"/>
    <w:rsid w:val="00DD543D"/>
    <w:rsid w:val="00DD6108"/>
    <w:rsid w:val="00DD6A7B"/>
    <w:rsid w:val="00DE0463"/>
    <w:rsid w:val="00DE1339"/>
    <w:rsid w:val="00DE1A77"/>
    <w:rsid w:val="00DE23B7"/>
    <w:rsid w:val="00DE4B90"/>
    <w:rsid w:val="00DE5C17"/>
    <w:rsid w:val="00DE5CD5"/>
    <w:rsid w:val="00DE74D5"/>
    <w:rsid w:val="00DE75C6"/>
    <w:rsid w:val="00DF21F7"/>
    <w:rsid w:val="00DF6861"/>
    <w:rsid w:val="00DF7B2A"/>
    <w:rsid w:val="00E0172C"/>
    <w:rsid w:val="00E02F5B"/>
    <w:rsid w:val="00E06047"/>
    <w:rsid w:val="00E06530"/>
    <w:rsid w:val="00E140A2"/>
    <w:rsid w:val="00E14920"/>
    <w:rsid w:val="00E15D9A"/>
    <w:rsid w:val="00E220F6"/>
    <w:rsid w:val="00E22206"/>
    <w:rsid w:val="00E238A4"/>
    <w:rsid w:val="00E23F20"/>
    <w:rsid w:val="00E272D7"/>
    <w:rsid w:val="00E27381"/>
    <w:rsid w:val="00E27FD1"/>
    <w:rsid w:val="00E31223"/>
    <w:rsid w:val="00E33EAE"/>
    <w:rsid w:val="00E357FE"/>
    <w:rsid w:val="00E42A17"/>
    <w:rsid w:val="00E4318F"/>
    <w:rsid w:val="00E434EC"/>
    <w:rsid w:val="00E444E0"/>
    <w:rsid w:val="00E45245"/>
    <w:rsid w:val="00E46925"/>
    <w:rsid w:val="00E5076E"/>
    <w:rsid w:val="00E54679"/>
    <w:rsid w:val="00E54DA1"/>
    <w:rsid w:val="00E603CC"/>
    <w:rsid w:val="00E60CC3"/>
    <w:rsid w:val="00E6411F"/>
    <w:rsid w:val="00E70A15"/>
    <w:rsid w:val="00E73131"/>
    <w:rsid w:val="00E75686"/>
    <w:rsid w:val="00E76665"/>
    <w:rsid w:val="00E772DD"/>
    <w:rsid w:val="00E7796E"/>
    <w:rsid w:val="00E800B1"/>
    <w:rsid w:val="00E81E63"/>
    <w:rsid w:val="00E82D20"/>
    <w:rsid w:val="00E83B78"/>
    <w:rsid w:val="00E84068"/>
    <w:rsid w:val="00E86366"/>
    <w:rsid w:val="00E86E37"/>
    <w:rsid w:val="00E90D15"/>
    <w:rsid w:val="00E90FF4"/>
    <w:rsid w:val="00E918B4"/>
    <w:rsid w:val="00E92699"/>
    <w:rsid w:val="00E943DE"/>
    <w:rsid w:val="00EA0FEA"/>
    <w:rsid w:val="00EB031D"/>
    <w:rsid w:val="00EB2552"/>
    <w:rsid w:val="00EB27DB"/>
    <w:rsid w:val="00EB3866"/>
    <w:rsid w:val="00EC1FA6"/>
    <w:rsid w:val="00EC48B9"/>
    <w:rsid w:val="00EC67A0"/>
    <w:rsid w:val="00EC6F0A"/>
    <w:rsid w:val="00EC74E2"/>
    <w:rsid w:val="00ED298F"/>
    <w:rsid w:val="00ED31E4"/>
    <w:rsid w:val="00ED4258"/>
    <w:rsid w:val="00ED5A85"/>
    <w:rsid w:val="00ED6384"/>
    <w:rsid w:val="00ED66C4"/>
    <w:rsid w:val="00EE226E"/>
    <w:rsid w:val="00EE3E85"/>
    <w:rsid w:val="00EE49AA"/>
    <w:rsid w:val="00EE4C39"/>
    <w:rsid w:val="00EE5404"/>
    <w:rsid w:val="00EE6E24"/>
    <w:rsid w:val="00EF09C1"/>
    <w:rsid w:val="00EF0C90"/>
    <w:rsid w:val="00EF0FA6"/>
    <w:rsid w:val="00EF218B"/>
    <w:rsid w:val="00EF4109"/>
    <w:rsid w:val="00EF7DFC"/>
    <w:rsid w:val="00F012E1"/>
    <w:rsid w:val="00F0142A"/>
    <w:rsid w:val="00F0180C"/>
    <w:rsid w:val="00F053A8"/>
    <w:rsid w:val="00F11273"/>
    <w:rsid w:val="00F133D3"/>
    <w:rsid w:val="00F17DE1"/>
    <w:rsid w:val="00F209AA"/>
    <w:rsid w:val="00F2342C"/>
    <w:rsid w:val="00F23702"/>
    <w:rsid w:val="00F2569E"/>
    <w:rsid w:val="00F274B1"/>
    <w:rsid w:val="00F27938"/>
    <w:rsid w:val="00F304C5"/>
    <w:rsid w:val="00F30CD4"/>
    <w:rsid w:val="00F335FC"/>
    <w:rsid w:val="00F3390E"/>
    <w:rsid w:val="00F35A01"/>
    <w:rsid w:val="00F35DC3"/>
    <w:rsid w:val="00F3726C"/>
    <w:rsid w:val="00F374B8"/>
    <w:rsid w:val="00F432E5"/>
    <w:rsid w:val="00F4465D"/>
    <w:rsid w:val="00F45338"/>
    <w:rsid w:val="00F4677F"/>
    <w:rsid w:val="00F509DB"/>
    <w:rsid w:val="00F523D2"/>
    <w:rsid w:val="00F5338E"/>
    <w:rsid w:val="00F53A00"/>
    <w:rsid w:val="00F621C2"/>
    <w:rsid w:val="00F62F86"/>
    <w:rsid w:val="00F63CF9"/>
    <w:rsid w:val="00F65797"/>
    <w:rsid w:val="00F6736D"/>
    <w:rsid w:val="00F67E7B"/>
    <w:rsid w:val="00F710E2"/>
    <w:rsid w:val="00F83CF3"/>
    <w:rsid w:val="00F84224"/>
    <w:rsid w:val="00F85A03"/>
    <w:rsid w:val="00F862E9"/>
    <w:rsid w:val="00F87F00"/>
    <w:rsid w:val="00F92054"/>
    <w:rsid w:val="00F932DB"/>
    <w:rsid w:val="00F9464C"/>
    <w:rsid w:val="00F94D4D"/>
    <w:rsid w:val="00F95F61"/>
    <w:rsid w:val="00F97CAC"/>
    <w:rsid w:val="00FA529F"/>
    <w:rsid w:val="00FA6F08"/>
    <w:rsid w:val="00FA7282"/>
    <w:rsid w:val="00FB2FCE"/>
    <w:rsid w:val="00FB4D1D"/>
    <w:rsid w:val="00FB5478"/>
    <w:rsid w:val="00FB5A47"/>
    <w:rsid w:val="00FC10A4"/>
    <w:rsid w:val="00FC16C3"/>
    <w:rsid w:val="00FC263F"/>
    <w:rsid w:val="00FC2803"/>
    <w:rsid w:val="00FC4338"/>
    <w:rsid w:val="00FC5E22"/>
    <w:rsid w:val="00FC650D"/>
    <w:rsid w:val="00FD1BA1"/>
    <w:rsid w:val="00FD637E"/>
    <w:rsid w:val="00FE1202"/>
    <w:rsid w:val="00FE24F1"/>
    <w:rsid w:val="00FE2CAC"/>
    <w:rsid w:val="00FE5604"/>
    <w:rsid w:val="00FF0AC6"/>
    <w:rsid w:val="00FF1892"/>
    <w:rsid w:val="00FF2DBD"/>
    <w:rsid w:val="00FF2FA7"/>
    <w:rsid w:val="00FF3E70"/>
    <w:rsid w:val="00FF5DDF"/>
    <w:rsid w:val="00FF7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C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36"/>
    <w:pPr>
      <w:spacing w:after="240" w:line="240" w:lineRule="auto"/>
      <w:ind w:left="720"/>
    </w:pPr>
    <w:rPr>
      <w:rFonts w:ascii="Garamond" w:hAnsi="Garamond"/>
      <w:sz w:val="24"/>
    </w:rPr>
  </w:style>
  <w:style w:type="paragraph" w:styleId="Heading1">
    <w:name w:val="heading 1"/>
    <w:basedOn w:val="Normal"/>
    <w:next w:val="Normal"/>
    <w:link w:val="Heading1Char"/>
    <w:uiPriority w:val="9"/>
    <w:qFormat/>
    <w:rsid w:val="00874204"/>
    <w:pPr>
      <w:keepNext/>
      <w:keepLines/>
      <w:pageBreakBefore/>
      <w:numPr>
        <w:numId w:val="1"/>
      </w:numPr>
      <w:pBdr>
        <w:bottom w:val="single" w:sz="4" w:space="1" w:color="auto"/>
      </w:pBdr>
      <w:spacing w:after="360"/>
      <w:outlineLvl w:val="0"/>
    </w:pPr>
    <w:rPr>
      <w:rFonts w:ascii="Tahoma" w:eastAsiaTheme="majorEastAsia" w:hAnsi="Tahoma" w:cstheme="majorBidi"/>
      <w:b/>
      <w:sz w:val="44"/>
      <w:szCs w:val="32"/>
    </w:rPr>
  </w:style>
  <w:style w:type="paragraph" w:styleId="Heading2">
    <w:name w:val="heading 2"/>
    <w:basedOn w:val="Normal"/>
    <w:next w:val="Normal"/>
    <w:link w:val="Heading2Char"/>
    <w:uiPriority w:val="9"/>
    <w:unhideWhenUsed/>
    <w:qFormat/>
    <w:rsid w:val="00FE1202"/>
    <w:pPr>
      <w:keepNext/>
      <w:keepLines/>
      <w:numPr>
        <w:ilvl w:val="1"/>
        <w:numId w:val="1"/>
      </w:numPr>
      <w:spacing w:before="240" w:after="120"/>
      <w:outlineLvl w:val="1"/>
    </w:pPr>
    <w:rPr>
      <w:rFonts w:ascii="Tahoma" w:eastAsiaTheme="majorEastAsia" w:hAnsi="Tahoma" w:cstheme="majorBidi"/>
      <w:b/>
      <w:sz w:val="28"/>
      <w:szCs w:val="26"/>
    </w:rPr>
  </w:style>
  <w:style w:type="paragraph" w:styleId="Heading3">
    <w:name w:val="heading 3"/>
    <w:basedOn w:val="Normal"/>
    <w:next w:val="Normal"/>
    <w:link w:val="Heading3Char"/>
    <w:uiPriority w:val="9"/>
    <w:unhideWhenUsed/>
    <w:qFormat/>
    <w:rsid w:val="00414562"/>
    <w:pPr>
      <w:keepNext/>
      <w:keepLines/>
      <w:numPr>
        <w:ilvl w:val="2"/>
        <w:numId w:val="1"/>
      </w:numPr>
      <w:spacing w:before="240" w:after="120"/>
      <w:outlineLvl w:val="2"/>
    </w:pPr>
    <w:rPr>
      <w:rFonts w:ascii="Tahoma" w:eastAsiaTheme="majorEastAsia" w:hAnsi="Tahoma" w:cstheme="majorBidi"/>
      <w:b/>
      <w:sz w:val="22"/>
      <w:szCs w:val="24"/>
    </w:rPr>
  </w:style>
  <w:style w:type="paragraph" w:styleId="Heading4">
    <w:name w:val="heading 4"/>
    <w:basedOn w:val="Normal"/>
    <w:next w:val="Normal"/>
    <w:link w:val="Heading4Char"/>
    <w:uiPriority w:val="9"/>
    <w:unhideWhenUsed/>
    <w:qFormat/>
    <w:rsid w:val="009B222A"/>
    <w:pPr>
      <w:keepNext/>
      <w:keepLines/>
      <w:spacing w:before="200" w:after="60"/>
      <w:outlineLvl w:val="3"/>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204"/>
    <w:rPr>
      <w:rFonts w:ascii="Tahoma" w:eastAsiaTheme="majorEastAsia" w:hAnsi="Tahoma" w:cstheme="majorBidi"/>
      <w:b/>
      <w:sz w:val="44"/>
      <w:szCs w:val="32"/>
    </w:rPr>
  </w:style>
  <w:style w:type="character" w:customStyle="1" w:styleId="Heading2Char">
    <w:name w:val="Heading 2 Char"/>
    <w:basedOn w:val="DefaultParagraphFont"/>
    <w:link w:val="Heading2"/>
    <w:uiPriority w:val="9"/>
    <w:rsid w:val="00FE1202"/>
    <w:rPr>
      <w:rFonts w:ascii="Tahoma" w:eastAsiaTheme="majorEastAsia" w:hAnsi="Tahoma" w:cstheme="majorBidi"/>
      <w:b/>
      <w:sz w:val="28"/>
      <w:szCs w:val="26"/>
    </w:rPr>
  </w:style>
  <w:style w:type="character" w:customStyle="1" w:styleId="Heading3Char">
    <w:name w:val="Heading 3 Char"/>
    <w:basedOn w:val="DefaultParagraphFont"/>
    <w:link w:val="Heading3"/>
    <w:uiPriority w:val="9"/>
    <w:rsid w:val="00414562"/>
    <w:rPr>
      <w:rFonts w:ascii="Tahoma" w:eastAsiaTheme="majorEastAsia" w:hAnsi="Tahoma" w:cstheme="majorBidi"/>
      <w:b/>
      <w:szCs w:val="24"/>
    </w:rPr>
  </w:style>
  <w:style w:type="character" w:customStyle="1" w:styleId="Heading4Char">
    <w:name w:val="Heading 4 Char"/>
    <w:basedOn w:val="DefaultParagraphFont"/>
    <w:link w:val="Heading4"/>
    <w:uiPriority w:val="9"/>
    <w:rsid w:val="009B222A"/>
    <w:rPr>
      <w:rFonts w:asciiTheme="majorHAnsi" w:eastAsiaTheme="majorEastAsia" w:hAnsiTheme="majorHAnsi" w:cstheme="majorBidi"/>
      <w:b/>
      <w:bCs/>
      <w:i/>
      <w:iCs/>
      <w:color w:val="000000" w:themeColor="text1"/>
      <w:sz w:val="24"/>
    </w:rPr>
  </w:style>
  <w:style w:type="table" w:styleId="TableGrid">
    <w:name w:val="Table Grid"/>
    <w:basedOn w:val="TableNormal"/>
    <w:uiPriority w:val="59"/>
    <w:rsid w:val="0098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4137"/>
    <w:pPr>
      <w:keepNext/>
      <w:spacing w:before="40" w:after="40"/>
      <w:ind w:left="1741" w:hanging="1021"/>
    </w:pPr>
    <w:rPr>
      <w:rFonts w:ascii="Arial Narrow" w:hAnsi="Arial Narrow"/>
      <w:b/>
      <w:iCs/>
      <w:sz w:val="20"/>
      <w:szCs w:val="18"/>
    </w:rPr>
  </w:style>
  <w:style w:type="paragraph" w:styleId="ListParagraph">
    <w:name w:val="List Paragraph"/>
    <w:basedOn w:val="Normal"/>
    <w:link w:val="ListParagraphChar"/>
    <w:uiPriority w:val="34"/>
    <w:qFormat/>
    <w:rsid w:val="009836F7"/>
    <w:pPr>
      <w:contextualSpacing/>
    </w:pPr>
  </w:style>
  <w:style w:type="character" w:customStyle="1" w:styleId="ListParagraphChar">
    <w:name w:val="List Paragraph Char"/>
    <w:basedOn w:val="DefaultParagraphFont"/>
    <w:link w:val="ListParagraph"/>
    <w:uiPriority w:val="34"/>
    <w:rsid w:val="001B06DC"/>
    <w:rPr>
      <w:rFonts w:ascii="Times New Roman" w:hAnsi="Times New Roman"/>
      <w:sz w:val="24"/>
    </w:rPr>
  </w:style>
  <w:style w:type="paragraph" w:customStyle="1" w:styleId="Tabletext">
    <w:name w:val="Table text"/>
    <w:basedOn w:val="Normal"/>
    <w:link w:val="TabletextChar"/>
    <w:qFormat/>
    <w:rsid w:val="00BA7081"/>
    <w:pPr>
      <w:spacing w:before="60" w:after="60"/>
      <w:jc w:val="both"/>
    </w:pPr>
    <w:rPr>
      <w:rFonts w:cs="Times New Roman"/>
      <w:sz w:val="22"/>
    </w:rPr>
  </w:style>
  <w:style w:type="character" w:customStyle="1" w:styleId="TabletextChar">
    <w:name w:val="Table text Char"/>
    <w:basedOn w:val="DefaultParagraphFont"/>
    <w:link w:val="Tabletext"/>
    <w:rsid w:val="00BA7081"/>
    <w:rPr>
      <w:rFonts w:ascii="Times New Roman" w:hAnsi="Times New Roman" w:cs="Times New Roman"/>
    </w:rPr>
  </w:style>
  <w:style w:type="paragraph" w:customStyle="1" w:styleId="Tablerowheading">
    <w:name w:val="Table row heading"/>
    <w:basedOn w:val="Tabletext"/>
    <w:link w:val="TablerowheadingChar"/>
    <w:qFormat/>
    <w:rsid w:val="0004157E"/>
    <w:rPr>
      <w:b/>
      <w:color w:val="FFFFFF" w:themeColor="background1"/>
    </w:rPr>
  </w:style>
  <w:style w:type="character" w:customStyle="1" w:styleId="TablerowheadingChar">
    <w:name w:val="Table row heading Char"/>
    <w:basedOn w:val="TabletextChar"/>
    <w:link w:val="Tablerowheading"/>
    <w:rsid w:val="0004157E"/>
    <w:rPr>
      <w:rFonts w:ascii="Times New Roman" w:hAnsi="Times New Roman" w:cs="Times New Roman"/>
      <w:b/>
      <w:color w:val="FFFFFF" w:themeColor="background1"/>
    </w:rPr>
  </w:style>
  <w:style w:type="paragraph" w:styleId="TOC1">
    <w:name w:val="toc 1"/>
    <w:basedOn w:val="Normal"/>
    <w:next w:val="Normal"/>
    <w:autoRedefine/>
    <w:uiPriority w:val="39"/>
    <w:unhideWhenUsed/>
    <w:rsid w:val="00E5076E"/>
    <w:pPr>
      <w:keepNext/>
      <w:spacing w:before="120" w:after="60"/>
      <w:ind w:left="1741" w:right="567" w:hanging="1021"/>
    </w:pPr>
    <w:rPr>
      <w:b/>
      <w:bCs/>
    </w:rPr>
  </w:style>
  <w:style w:type="paragraph" w:styleId="TOC2">
    <w:name w:val="toc 2"/>
    <w:basedOn w:val="Normal"/>
    <w:next w:val="Normal"/>
    <w:autoRedefine/>
    <w:uiPriority w:val="39"/>
    <w:unhideWhenUsed/>
    <w:rsid w:val="00E15D9A"/>
    <w:pPr>
      <w:spacing w:after="60"/>
      <w:ind w:left="2160" w:right="720" w:hanging="720"/>
    </w:pPr>
    <w:rPr>
      <w:bCs/>
    </w:rPr>
  </w:style>
  <w:style w:type="paragraph" w:styleId="TOC3">
    <w:name w:val="toc 3"/>
    <w:basedOn w:val="Normal"/>
    <w:next w:val="Normal"/>
    <w:autoRedefine/>
    <w:uiPriority w:val="39"/>
    <w:unhideWhenUsed/>
    <w:rsid w:val="0097411D"/>
    <w:pPr>
      <w:spacing w:after="0"/>
    </w:pPr>
    <w:rPr>
      <w:rFonts w:asciiTheme="minorHAnsi" w:hAnsiTheme="minorHAnsi"/>
      <w:smallCaps/>
      <w:sz w:val="22"/>
    </w:rPr>
  </w:style>
  <w:style w:type="paragraph" w:styleId="TOC4">
    <w:name w:val="toc 4"/>
    <w:basedOn w:val="TableofFigures"/>
    <w:next w:val="Normal"/>
    <w:autoRedefine/>
    <w:uiPriority w:val="39"/>
    <w:unhideWhenUsed/>
    <w:rsid w:val="009955C9"/>
    <w:pPr>
      <w:tabs>
        <w:tab w:val="left" w:pos="2160"/>
        <w:tab w:val="right" w:leader="dot" w:pos="9016"/>
      </w:tabs>
    </w:pPr>
    <w:rPr>
      <w:noProof/>
    </w:rPr>
  </w:style>
  <w:style w:type="paragraph" w:styleId="TOC5">
    <w:name w:val="toc 5"/>
    <w:basedOn w:val="Normal"/>
    <w:next w:val="Normal"/>
    <w:autoRedefine/>
    <w:uiPriority w:val="39"/>
    <w:unhideWhenUsed/>
    <w:rsid w:val="0097411D"/>
    <w:pPr>
      <w:spacing w:after="0"/>
    </w:pPr>
    <w:rPr>
      <w:rFonts w:asciiTheme="minorHAnsi" w:hAnsiTheme="minorHAnsi"/>
      <w:sz w:val="22"/>
    </w:rPr>
  </w:style>
  <w:style w:type="paragraph" w:styleId="TOC6">
    <w:name w:val="toc 6"/>
    <w:basedOn w:val="Normal"/>
    <w:next w:val="Normal"/>
    <w:autoRedefine/>
    <w:uiPriority w:val="39"/>
    <w:unhideWhenUsed/>
    <w:rsid w:val="0097411D"/>
    <w:pPr>
      <w:spacing w:after="0"/>
    </w:pPr>
    <w:rPr>
      <w:rFonts w:asciiTheme="minorHAnsi" w:hAnsiTheme="minorHAnsi"/>
      <w:sz w:val="22"/>
    </w:rPr>
  </w:style>
  <w:style w:type="paragraph" w:styleId="TOC7">
    <w:name w:val="toc 7"/>
    <w:basedOn w:val="Normal"/>
    <w:next w:val="Normal"/>
    <w:autoRedefine/>
    <w:uiPriority w:val="39"/>
    <w:unhideWhenUsed/>
    <w:rsid w:val="0097411D"/>
    <w:pPr>
      <w:spacing w:after="0"/>
    </w:pPr>
    <w:rPr>
      <w:rFonts w:asciiTheme="minorHAnsi" w:hAnsiTheme="minorHAnsi"/>
      <w:sz w:val="22"/>
    </w:rPr>
  </w:style>
  <w:style w:type="paragraph" w:styleId="TOC8">
    <w:name w:val="toc 8"/>
    <w:basedOn w:val="Normal"/>
    <w:next w:val="Normal"/>
    <w:autoRedefine/>
    <w:uiPriority w:val="39"/>
    <w:unhideWhenUsed/>
    <w:rsid w:val="0097411D"/>
    <w:pPr>
      <w:spacing w:after="0"/>
    </w:pPr>
    <w:rPr>
      <w:rFonts w:asciiTheme="minorHAnsi" w:hAnsiTheme="minorHAnsi"/>
      <w:sz w:val="22"/>
    </w:rPr>
  </w:style>
  <w:style w:type="paragraph" w:styleId="TOC9">
    <w:name w:val="toc 9"/>
    <w:basedOn w:val="Normal"/>
    <w:next w:val="Normal"/>
    <w:autoRedefine/>
    <w:uiPriority w:val="39"/>
    <w:unhideWhenUsed/>
    <w:rsid w:val="0097411D"/>
    <w:pPr>
      <w:spacing w:after="0"/>
    </w:pPr>
    <w:rPr>
      <w:rFonts w:asciiTheme="minorHAnsi" w:hAnsiTheme="minorHAnsi"/>
      <w:sz w:val="22"/>
    </w:rPr>
  </w:style>
  <w:style w:type="character" w:styleId="Hyperlink">
    <w:name w:val="Hyperlink"/>
    <w:basedOn w:val="DefaultParagraphFont"/>
    <w:uiPriority w:val="99"/>
    <w:unhideWhenUsed/>
    <w:rsid w:val="0097411D"/>
    <w:rPr>
      <w:color w:val="0563C1" w:themeColor="hyperlink"/>
      <w:u w:val="single"/>
    </w:rPr>
  </w:style>
  <w:style w:type="paragraph" w:styleId="TOCHeading">
    <w:name w:val="TOC Heading"/>
    <w:basedOn w:val="Heading1"/>
    <w:next w:val="Normal"/>
    <w:uiPriority w:val="39"/>
    <w:unhideWhenUsed/>
    <w:qFormat/>
    <w:rsid w:val="009C2084"/>
    <w:pPr>
      <w:numPr>
        <w:numId w:val="0"/>
      </w:numPr>
      <w:outlineLvl w:val="9"/>
    </w:pPr>
    <w:rPr>
      <w:lang w:val="en-US"/>
    </w:rPr>
  </w:style>
  <w:style w:type="paragraph" w:styleId="Header">
    <w:name w:val="header"/>
    <w:basedOn w:val="Normal"/>
    <w:link w:val="HeaderChar"/>
    <w:unhideWhenUsed/>
    <w:rsid w:val="00C5297B"/>
    <w:pPr>
      <w:tabs>
        <w:tab w:val="center" w:pos="4513"/>
        <w:tab w:val="right" w:pos="9026"/>
      </w:tabs>
      <w:spacing w:after="0"/>
    </w:pPr>
  </w:style>
  <w:style w:type="character" w:customStyle="1" w:styleId="HeaderChar">
    <w:name w:val="Header Char"/>
    <w:basedOn w:val="DefaultParagraphFont"/>
    <w:link w:val="Header"/>
    <w:rsid w:val="00C5297B"/>
    <w:rPr>
      <w:rFonts w:ascii="Times New Roman" w:hAnsi="Times New Roman"/>
      <w:sz w:val="24"/>
    </w:rPr>
  </w:style>
  <w:style w:type="paragraph" w:styleId="Footer">
    <w:name w:val="footer"/>
    <w:basedOn w:val="Normal"/>
    <w:link w:val="FooterChar"/>
    <w:unhideWhenUsed/>
    <w:rsid w:val="00A775BB"/>
    <w:pPr>
      <w:pBdr>
        <w:top w:val="single" w:sz="4" w:space="1" w:color="auto"/>
      </w:pBdr>
      <w:tabs>
        <w:tab w:val="right" w:pos="9072"/>
      </w:tabs>
      <w:ind w:left="0"/>
    </w:pPr>
    <w:rPr>
      <w:rFonts w:ascii="Arial" w:hAnsi="Arial"/>
      <w:b/>
      <w:sz w:val="18"/>
    </w:rPr>
  </w:style>
  <w:style w:type="character" w:customStyle="1" w:styleId="FooterChar">
    <w:name w:val="Footer Char"/>
    <w:basedOn w:val="DefaultParagraphFont"/>
    <w:link w:val="Footer"/>
    <w:rsid w:val="00A775BB"/>
    <w:rPr>
      <w:rFonts w:ascii="Arial" w:hAnsi="Arial"/>
      <w:b/>
      <w:sz w:val="18"/>
    </w:rPr>
  </w:style>
  <w:style w:type="character" w:styleId="PageNumber">
    <w:name w:val="page number"/>
    <w:basedOn w:val="DefaultParagraphFont"/>
    <w:rsid w:val="00C5297B"/>
  </w:style>
  <w:style w:type="paragraph" w:customStyle="1" w:styleId="TitlePageLowercase">
    <w:name w:val="Title Page Lowercase"/>
    <w:basedOn w:val="Normal"/>
    <w:link w:val="TitlePageLowercaseChar"/>
    <w:qFormat/>
    <w:rsid w:val="00756FA1"/>
    <w:pPr>
      <w:tabs>
        <w:tab w:val="left" w:pos="885"/>
      </w:tabs>
      <w:jc w:val="center"/>
    </w:pPr>
    <w:rPr>
      <w:b/>
      <w:sz w:val="36"/>
      <w:szCs w:val="36"/>
    </w:rPr>
  </w:style>
  <w:style w:type="character" w:customStyle="1" w:styleId="TitlePageLowercaseChar">
    <w:name w:val="Title Page Lowercase Char"/>
    <w:basedOn w:val="DefaultParagraphFont"/>
    <w:link w:val="TitlePageLowercase"/>
    <w:rsid w:val="00756FA1"/>
    <w:rPr>
      <w:rFonts w:ascii="Times New Roman" w:hAnsi="Times New Roman"/>
      <w:b/>
      <w:sz w:val="36"/>
      <w:szCs w:val="36"/>
    </w:rPr>
  </w:style>
  <w:style w:type="paragraph" w:customStyle="1" w:styleId="TITLEPAGECAPS">
    <w:name w:val="TITLE PAGE CAPS"/>
    <w:basedOn w:val="Normal"/>
    <w:link w:val="TITLEPAGECAPSChar"/>
    <w:qFormat/>
    <w:rsid w:val="00756FA1"/>
    <w:pPr>
      <w:tabs>
        <w:tab w:val="left" w:pos="885"/>
      </w:tabs>
      <w:jc w:val="center"/>
    </w:pPr>
    <w:rPr>
      <w:rFonts w:ascii="Times New Roman Bold" w:hAnsi="Times New Roman Bold"/>
      <w:b/>
      <w:caps/>
      <w:sz w:val="36"/>
      <w:szCs w:val="36"/>
    </w:rPr>
  </w:style>
  <w:style w:type="character" w:customStyle="1" w:styleId="TITLEPAGECAPSChar">
    <w:name w:val="TITLE PAGE CAPS Char"/>
    <w:basedOn w:val="DefaultParagraphFont"/>
    <w:link w:val="TITLEPAGECAPS"/>
    <w:rsid w:val="00756FA1"/>
    <w:rPr>
      <w:rFonts w:ascii="Times New Roman Bold" w:hAnsi="Times New Roman Bold"/>
      <w:b/>
      <w:caps/>
      <w:sz w:val="36"/>
      <w:szCs w:val="36"/>
    </w:rPr>
  </w:style>
  <w:style w:type="paragraph" w:customStyle="1" w:styleId="Nonumberheading">
    <w:name w:val="No number heading"/>
    <w:basedOn w:val="Normal"/>
    <w:link w:val="NonumberheadingChar"/>
    <w:rsid w:val="00B4127D"/>
    <w:rPr>
      <w:rFonts w:ascii="Cambria" w:hAnsi="Cambria"/>
      <w:b/>
      <w:caps/>
      <w:color w:val="2E74B5" w:themeColor="accent1" w:themeShade="BF"/>
      <w:sz w:val="28"/>
      <w:szCs w:val="28"/>
    </w:rPr>
  </w:style>
  <w:style w:type="character" w:customStyle="1" w:styleId="NonumberheadingChar">
    <w:name w:val="No number heading Char"/>
    <w:basedOn w:val="DefaultParagraphFont"/>
    <w:link w:val="Nonumberheading"/>
    <w:rsid w:val="00B4127D"/>
    <w:rPr>
      <w:rFonts w:ascii="Cambria" w:hAnsi="Cambria"/>
      <w:b/>
      <w:caps/>
      <w:color w:val="2E74B5" w:themeColor="accent1" w:themeShade="BF"/>
      <w:sz w:val="28"/>
      <w:szCs w:val="28"/>
    </w:rPr>
  </w:style>
  <w:style w:type="paragraph" w:customStyle="1" w:styleId="StyleListParagraphAfter6pt">
    <w:name w:val="Style List Paragraph + After:  6 pt"/>
    <w:basedOn w:val="ListParagraph"/>
    <w:rsid w:val="00885956"/>
    <w:pPr>
      <w:spacing w:line="276" w:lineRule="auto"/>
      <w:contextualSpacing w:val="0"/>
    </w:pPr>
    <w:rPr>
      <w:rFonts w:eastAsia="Times New Roman" w:cs="Times New Roman"/>
      <w:szCs w:val="20"/>
      <w:lang w:val="en-US"/>
    </w:rPr>
  </w:style>
  <w:style w:type="paragraph" w:customStyle="1" w:styleId="StyleStyleStyleListParagraphAfter6ptItalicAfter0">
    <w:name w:val="Style Style Style List Paragraph + After:  6 pt + Italic After:  0 ..."/>
    <w:basedOn w:val="Normal"/>
    <w:link w:val="StyleStyleStyleListParagraphAfter6ptItalicAfter0Char"/>
    <w:rsid w:val="00885956"/>
    <w:pPr>
      <w:spacing w:after="0"/>
    </w:pPr>
    <w:rPr>
      <w:rFonts w:eastAsia="Times New Roman" w:cs="Times New Roman"/>
      <w:iCs/>
      <w:szCs w:val="20"/>
      <w:lang w:val="en-US"/>
    </w:rPr>
  </w:style>
  <w:style w:type="character" w:customStyle="1" w:styleId="StyleStyleStyleListParagraphAfter6ptItalicAfter0Char">
    <w:name w:val="Style Style Style List Paragraph + After:  6 pt + Italic After:  0 ... Char"/>
    <w:basedOn w:val="DefaultParagraphFont"/>
    <w:link w:val="StyleStyleStyleListParagraphAfter6ptItalicAfter0"/>
    <w:rsid w:val="00FF5DDF"/>
    <w:rPr>
      <w:rFonts w:ascii="Times New Roman" w:eastAsia="Times New Roman" w:hAnsi="Times New Roman" w:cs="Times New Roman"/>
      <w:iCs/>
      <w:sz w:val="24"/>
      <w:szCs w:val="20"/>
      <w:lang w:val="en-US"/>
    </w:rPr>
  </w:style>
  <w:style w:type="paragraph" w:styleId="BalloonText">
    <w:name w:val="Balloon Text"/>
    <w:basedOn w:val="Normal"/>
    <w:link w:val="BalloonTextChar"/>
    <w:uiPriority w:val="99"/>
    <w:semiHidden/>
    <w:unhideWhenUsed/>
    <w:rsid w:val="000D28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A8"/>
    <w:rPr>
      <w:rFonts w:ascii="Tahoma" w:hAnsi="Tahoma" w:cs="Tahoma"/>
      <w:sz w:val="16"/>
      <w:szCs w:val="16"/>
    </w:rPr>
  </w:style>
  <w:style w:type="paragraph" w:customStyle="1" w:styleId="Bulletpoints">
    <w:name w:val="Bullet points"/>
    <w:basedOn w:val="StyleStyleStyleListParagraphAfter6ptItalicAfter0"/>
    <w:link w:val="BulletpointsChar"/>
    <w:qFormat/>
    <w:rsid w:val="000F1909"/>
    <w:pPr>
      <w:numPr>
        <w:numId w:val="2"/>
      </w:numPr>
      <w:spacing w:before="240" w:after="240" w:line="288" w:lineRule="auto"/>
      <w:ind w:left="709" w:hanging="284"/>
      <w:contextualSpacing/>
    </w:pPr>
  </w:style>
  <w:style w:type="character" w:customStyle="1" w:styleId="BulletpointsChar">
    <w:name w:val="Bullet points Char"/>
    <w:basedOn w:val="StyleStyleStyleListParagraphAfter6ptItalicAfter0Char"/>
    <w:link w:val="Bulletpoints"/>
    <w:rsid w:val="000F1909"/>
    <w:rPr>
      <w:rFonts w:ascii="Garamond" w:eastAsia="Times New Roman" w:hAnsi="Garamond" w:cs="Times New Roman"/>
      <w:iCs/>
      <w:sz w:val="24"/>
      <w:szCs w:val="20"/>
      <w:lang w:val="en-US"/>
    </w:rPr>
  </w:style>
  <w:style w:type="paragraph" w:customStyle="1" w:styleId="Tablefootnotes">
    <w:name w:val="Table footnotes"/>
    <w:basedOn w:val="Normal"/>
    <w:link w:val="TablefootnotesChar"/>
    <w:qFormat/>
    <w:rsid w:val="009C2084"/>
    <w:pPr>
      <w:spacing w:after="360"/>
      <w:contextualSpacing/>
    </w:pPr>
    <w:rPr>
      <w:rFonts w:ascii="Arial Narrow" w:hAnsi="Arial Narrow"/>
      <w:sz w:val="16"/>
      <w:szCs w:val="16"/>
    </w:rPr>
  </w:style>
  <w:style w:type="character" w:customStyle="1" w:styleId="TablefootnotesChar">
    <w:name w:val="Table footnotes Char"/>
    <w:basedOn w:val="DefaultParagraphFont"/>
    <w:link w:val="Tablefootnotes"/>
    <w:rsid w:val="009C2084"/>
    <w:rPr>
      <w:rFonts w:ascii="Arial Narrow" w:hAnsi="Arial Narrow"/>
      <w:sz w:val="16"/>
      <w:szCs w:val="16"/>
    </w:rPr>
  </w:style>
  <w:style w:type="paragraph" w:customStyle="1" w:styleId="Style8ptCentered">
    <w:name w:val="Style 8 pt Centered"/>
    <w:basedOn w:val="Normal"/>
    <w:rsid w:val="0059629F"/>
    <w:pPr>
      <w:spacing w:after="0"/>
    </w:pPr>
    <w:rPr>
      <w:rFonts w:eastAsia="Times New Roman" w:cs="Times New Roman"/>
      <w:sz w:val="16"/>
      <w:szCs w:val="20"/>
    </w:rPr>
  </w:style>
  <w:style w:type="paragraph" w:customStyle="1" w:styleId="Bulletlevel2">
    <w:name w:val="Bullet level 2"/>
    <w:basedOn w:val="Normal"/>
    <w:qFormat/>
    <w:rsid w:val="00BA7081"/>
    <w:pPr>
      <w:numPr>
        <w:numId w:val="3"/>
      </w:numPr>
      <w:spacing w:after="0"/>
      <w:jc w:val="both"/>
    </w:pPr>
    <w:rPr>
      <w:rFonts w:eastAsia="Times New Roman" w:cs="Times New Roman"/>
      <w:color w:val="000000"/>
      <w:szCs w:val="24"/>
    </w:rPr>
  </w:style>
  <w:style w:type="character" w:customStyle="1" w:styleId="Style8ptBoldBlack">
    <w:name w:val="Style 8 pt Bold Black"/>
    <w:basedOn w:val="DefaultParagraphFont"/>
    <w:rsid w:val="00BA7081"/>
    <w:rPr>
      <w:b/>
      <w:bCs/>
      <w:color w:val="000000"/>
      <w:sz w:val="16"/>
    </w:rPr>
  </w:style>
  <w:style w:type="paragraph" w:styleId="BodyTextIndent">
    <w:name w:val="Body Text Indent"/>
    <w:basedOn w:val="Normal"/>
    <w:link w:val="BodyTextIndentChar"/>
    <w:rsid w:val="00434559"/>
    <w:pPr>
      <w:spacing w:after="120"/>
      <w:ind w:left="283"/>
      <w:jc w:val="both"/>
    </w:pPr>
    <w:rPr>
      <w:rFonts w:eastAsia="Times New Roman" w:cs="Times New Roman"/>
      <w:szCs w:val="24"/>
    </w:rPr>
  </w:style>
  <w:style w:type="character" w:customStyle="1" w:styleId="BodyTextIndentChar">
    <w:name w:val="Body Text Indent Char"/>
    <w:basedOn w:val="DefaultParagraphFont"/>
    <w:link w:val="BodyTextIndent"/>
    <w:rsid w:val="00434559"/>
    <w:rPr>
      <w:rFonts w:ascii="Times New Roman" w:eastAsia="Times New Roman" w:hAnsi="Times New Roman" w:cs="Times New Roman"/>
      <w:sz w:val="24"/>
      <w:szCs w:val="24"/>
    </w:rPr>
  </w:style>
  <w:style w:type="paragraph" w:customStyle="1" w:styleId="BulletL1HC">
    <w:name w:val="Bullet L1 HC"/>
    <w:basedOn w:val="Normal"/>
    <w:link w:val="BulletL1HCChar"/>
    <w:uiPriority w:val="99"/>
    <w:qFormat/>
    <w:rsid w:val="00F65797"/>
    <w:pPr>
      <w:numPr>
        <w:numId w:val="5"/>
      </w:numPr>
      <w:spacing w:after="0"/>
      <w:jc w:val="both"/>
    </w:pPr>
    <w:rPr>
      <w:rFonts w:eastAsia="Times New Roman" w:cs="Times New Roman"/>
      <w:szCs w:val="24"/>
    </w:rPr>
  </w:style>
  <w:style w:type="character" w:customStyle="1" w:styleId="BulletL1HCChar">
    <w:name w:val="Bullet L1 HC Char"/>
    <w:basedOn w:val="DefaultParagraphFont"/>
    <w:link w:val="BulletL1HC"/>
    <w:uiPriority w:val="99"/>
    <w:rsid w:val="00F65797"/>
    <w:rPr>
      <w:rFonts w:ascii="Garamond" w:eastAsia="Times New Roman" w:hAnsi="Garamond" w:cs="Times New Roman"/>
      <w:sz w:val="24"/>
      <w:szCs w:val="24"/>
    </w:rPr>
  </w:style>
  <w:style w:type="paragraph" w:customStyle="1" w:styleId="Numberedtext">
    <w:name w:val="Numbered text"/>
    <w:basedOn w:val="BulletL1HC"/>
    <w:link w:val="NumberedtextChar"/>
    <w:qFormat/>
    <w:rsid w:val="00BB0B2F"/>
    <w:pPr>
      <w:numPr>
        <w:numId w:val="6"/>
      </w:numPr>
      <w:spacing w:after="120"/>
      <w:ind w:left="1418" w:hanging="709"/>
    </w:pPr>
  </w:style>
  <w:style w:type="character" w:customStyle="1" w:styleId="NumberedtextChar">
    <w:name w:val="Numbered text Char"/>
    <w:basedOn w:val="BulletL1HCChar"/>
    <w:link w:val="Numberedtext"/>
    <w:rsid w:val="00BB0B2F"/>
    <w:rPr>
      <w:rFonts w:ascii="Garamond" w:eastAsia="Times New Roman" w:hAnsi="Garamond" w:cs="Times New Roman"/>
      <w:sz w:val="24"/>
      <w:szCs w:val="24"/>
    </w:rPr>
  </w:style>
  <w:style w:type="paragraph" w:customStyle="1" w:styleId="aNormaltext">
    <w:name w:val="a. Normal text"/>
    <w:basedOn w:val="ListParagraph"/>
    <w:link w:val="aNormaltextChar"/>
    <w:qFormat/>
    <w:rsid w:val="001B06DC"/>
    <w:pPr>
      <w:numPr>
        <w:numId w:val="4"/>
      </w:numPr>
    </w:pPr>
  </w:style>
  <w:style w:type="character" w:customStyle="1" w:styleId="aNormaltextChar">
    <w:name w:val="a. Normal text Char"/>
    <w:basedOn w:val="ListParagraphChar"/>
    <w:link w:val="aNormaltext"/>
    <w:rsid w:val="001B06DC"/>
    <w:rPr>
      <w:rFonts w:ascii="Garamond" w:hAnsi="Garamond"/>
      <w:sz w:val="24"/>
    </w:rPr>
  </w:style>
  <w:style w:type="paragraph" w:styleId="FootnoteText">
    <w:name w:val="footnote text"/>
    <w:basedOn w:val="Normal"/>
    <w:link w:val="FootnoteTextChar"/>
    <w:rsid w:val="00581B9D"/>
    <w:pPr>
      <w:spacing w:after="0"/>
      <w:jc w:val="both"/>
    </w:pPr>
    <w:rPr>
      <w:rFonts w:eastAsia="Times New Roman" w:cs="Times New Roman"/>
      <w:sz w:val="20"/>
      <w:szCs w:val="20"/>
    </w:rPr>
  </w:style>
  <w:style w:type="character" w:customStyle="1" w:styleId="FootnoteTextChar">
    <w:name w:val="Footnote Text Char"/>
    <w:basedOn w:val="DefaultParagraphFont"/>
    <w:link w:val="FootnoteText"/>
    <w:rsid w:val="00581B9D"/>
    <w:rPr>
      <w:rFonts w:ascii="Times New Roman" w:eastAsia="Times New Roman" w:hAnsi="Times New Roman" w:cs="Times New Roman"/>
      <w:sz w:val="20"/>
      <w:szCs w:val="20"/>
    </w:rPr>
  </w:style>
  <w:style w:type="character" w:styleId="FootnoteReference">
    <w:name w:val="footnote reference"/>
    <w:basedOn w:val="DefaultParagraphFont"/>
    <w:rsid w:val="00581B9D"/>
    <w:rPr>
      <w:vertAlign w:val="superscript"/>
    </w:rPr>
  </w:style>
  <w:style w:type="paragraph" w:customStyle="1" w:styleId="Fourthheading">
    <w:name w:val="Fourth heading"/>
    <w:basedOn w:val="Heading3"/>
    <w:link w:val="FourthheadingChar"/>
    <w:qFormat/>
    <w:rsid w:val="00985527"/>
    <w:pPr>
      <w:numPr>
        <w:ilvl w:val="0"/>
        <w:numId w:val="0"/>
      </w:numPr>
      <w:ind w:left="851" w:hanging="851"/>
    </w:pPr>
    <w:rPr>
      <w:i/>
    </w:rPr>
  </w:style>
  <w:style w:type="character" w:customStyle="1" w:styleId="FourthheadingChar">
    <w:name w:val="Fourth heading Char"/>
    <w:basedOn w:val="Heading3Char"/>
    <w:link w:val="Fourthheading"/>
    <w:rsid w:val="00985527"/>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sid w:val="00BB667B"/>
    <w:rPr>
      <w:sz w:val="16"/>
      <w:szCs w:val="16"/>
    </w:rPr>
  </w:style>
  <w:style w:type="paragraph" w:styleId="CommentText">
    <w:name w:val="annotation text"/>
    <w:basedOn w:val="Normal"/>
    <w:link w:val="CommentTextChar"/>
    <w:uiPriority w:val="99"/>
    <w:semiHidden/>
    <w:unhideWhenUsed/>
    <w:rsid w:val="00BB667B"/>
    <w:rPr>
      <w:sz w:val="20"/>
      <w:szCs w:val="20"/>
    </w:rPr>
  </w:style>
  <w:style w:type="character" w:customStyle="1" w:styleId="CommentTextChar">
    <w:name w:val="Comment Text Char"/>
    <w:basedOn w:val="DefaultParagraphFont"/>
    <w:link w:val="CommentText"/>
    <w:uiPriority w:val="99"/>
    <w:semiHidden/>
    <w:rsid w:val="00BB66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667B"/>
    <w:rPr>
      <w:b/>
      <w:bCs/>
    </w:rPr>
  </w:style>
  <w:style w:type="character" w:customStyle="1" w:styleId="CommentSubjectChar">
    <w:name w:val="Comment Subject Char"/>
    <w:basedOn w:val="CommentTextChar"/>
    <w:link w:val="CommentSubject"/>
    <w:uiPriority w:val="99"/>
    <w:semiHidden/>
    <w:rsid w:val="00BB667B"/>
    <w:rPr>
      <w:rFonts w:ascii="Times New Roman" w:hAnsi="Times New Roman"/>
      <w:b/>
      <w:bCs/>
      <w:sz w:val="20"/>
      <w:szCs w:val="20"/>
    </w:rPr>
  </w:style>
  <w:style w:type="paragraph" w:styleId="Date">
    <w:name w:val="Date"/>
    <w:basedOn w:val="Normal"/>
    <w:next w:val="Normal"/>
    <w:link w:val="DateChar"/>
    <w:rsid w:val="006F0B5F"/>
    <w:pPr>
      <w:ind w:right="113"/>
      <w:jc w:val="right"/>
    </w:pPr>
    <w:rPr>
      <w:rFonts w:ascii="Arial" w:eastAsia="Times New Roman" w:hAnsi="Arial" w:cs="Times New Roman"/>
      <w:b/>
      <w:sz w:val="36"/>
      <w:szCs w:val="20"/>
      <w:lang w:eastAsia="en-AU"/>
    </w:rPr>
  </w:style>
  <w:style w:type="character" w:customStyle="1" w:styleId="DateChar">
    <w:name w:val="Date Char"/>
    <w:basedOn w:val="DefaultParagraphFont"/>
    <w:link w:val="Date"/>
    <w:rsid w:val="006F0B5F"/>
    <w:rPr>
      <w:rFonts w:ascii="Arial" w:eastAsia="Times New Roman" w:hAnsi="Arial" w:cs="Times New Roman"/>
      <w:b/>
      <w:sz w:val="36"/>
      <w:szCs w:val="20"/>
      <w:lang w:eastAsia="en-AU"/>
    </w:rPr>
  </w:style>
  <w:style w:type="paragraph" w:customStyle="1" w:styleId="PublicationTitle">
    <w:name w:val="PublicationTitle"/>
    <w:basedOn w:val="Normal"/>
    <w:rsid w:val="006F0B5F"/>
    <w:pPr>
      <w:spacing w:line="480" w:lineRule="exact"/>
      <w:ind w:right="113"/>
      <w:jc w:val="right"/>
    </w:pPr>
    <w:rPr>
      <w:rFonts w:ascii="Arial" w:eastAsia="Times New Roman" w:hAnsi="Arial" w:cs="Times New Roman"/>
      <w:b/>
      <w:i/>
      <w:sz w:val="44"/>
      <w:szCs w:val="20"/>
      <w:lang w:eastAsia="en-AU"/>
    </w:rPr>
  </w:style>
  <w:style w:type="paragraph" w:customStyle="1" w:styleId="Sub-title">
    <w:name w:val="Sub-title"/>
    <w:basedOn w:val="Normal"/>
    <w:rsid w:val="006F0B5F"/>
    <w:pPr>
      <w:ind w:right="113"/>
      <w:jc w:val="right"/>
    </w:pPr>
    <w:rPr>
      <w:rFonts w:ascii="Arial" w:eastAsia="Times New Roman" w:hAnsi="Arial" w:cs="Times New Roman"/>
      <w:b/>
      <w:sz w:val="32"/>
      <w:szCs w:val="20"/>
      <w:lang w:eastAsia="en-AU"/>
    </w:rPr>
  </w:style>
  <w:style w:type="paragraph" w:customStyle="1" w:styleId="Dash">
    <w:name w:val="Dash"/>
    <w:basedOn w:val="Normal"/>
    <w:rsid w:val="006F0B5F"/>
    <w:pPr>
      <w:numPr>
        <w:numId w:val="7"/>
      </w:numPr>
    </w:pPr>
    <w:rPr>
      <w:rFonts w:eastAsia="Times New Roman" w:cs="Times New Roman"/>
      <w:szCs w:val="20"/>
      <w:lang w:eastAsia="en-AU"/>
    </w:rPr>
  </w:style>
  <w:style w:type="paragraph" w:customStyle="1" w:styleId="Tabletextboldleft">
    <w:name w:val="Table text bold left"/>
    <w:basedOn w:val="Normal"/>
    <w:link w:val="TabletextboldleftChar"/>
    <w:qFormat/>
    <w:rsid w:val="00387119"/>
    <w:pPr>
      <w:keepNext/>
      <w:spacing w:after="0"/>
      <w:ind w:left="0"/>
    </w:pPr>
    <w:rPr>
      <w:rFonts w:ascii="Arial Narrow" w:eastAsia="Times New Roman" w:hAnsi="Arial Narrow" w:cs="Arial"/>
      <w:b/>
      <w:sz w:val="20"/>
      <w:szCs w:val="20"/>
    </w:rPr>
  </w:style>
  <w:style w:type="character" w:customStyle="1" w:styleId="TabletextboldleftChar">
    <w:name w:val="Table text bold left Char"/>
    <w:basedOn w:val="DefaultParagraphFont"/>
    <w:link w:val="Tabletextboldleft"/>
    <w:rsid w:val="00387119"/>
    <w:rPr>
      <w:rFonts w:ascii="Arial Narrow" w:eastAsia="Times New Roman" w:hAnsi="Arial Narrow" w:cs="Arial"/>
      <w:b/>
      <w:sz w:val="20"/>
      <w:szCs w:val="20"/>
    </w:rPr>
  </w:style>
  <w:style w:type="paragraph" w:customStyle="1" w:styleId="Tabletextcentred">
    <w:name w:val="Table text centred"/>
    <w:basedOn w:val="Tabletext"/>
    <w:link w:val="TabletextcentredChar"/>
    <w:qFormat/>
    <w:rsid w:val="00387119"/>
    <w:pPr>
      <w:spacing w:before="0" w:after="0"/>
      <w:ind w:left="0"/>
      <w:jc w:val="center"/>
    </w:pPr>
    <w:rPr>
      <w:rFonts w:ascii="Arial Narrow" w:eastAsia="Times New Roman" w:hAnsi="Arial Narrow"/>
      <w:sz w:val="20"/>
      <w:szCs w:val="24"/>
    </w:rPr>
  </w:style>
  <w:style w:type="character" w:customStyle="1" w:styleId="TabletextcentredChar">
    <w:name w:val="Table text centred Char"/>
    <w:basedOn w:val="TabletextChar"/>
    <w:link w:val="Tabletextcentred"/>
    <w:rsid w:val="00387119"/>
    <w:rPr>
      <w:rFonts w:ascii="Arial Narrow" w:eastAsia="Times New Roman" w:hAnsi="Arial Narrow" w:cs="Times New Roman"/>
      <w:sz w:val="20"/>
      <w:szCs w:val="24"/>
    </w:rPr>
  </w:style>
  <w:style w:type="paragraph" w:customStyle="1" w:styleId="Summaryboxheading">
    <w:name w:val="Summary box heading"/>
    <w:basedOn w:val="Normal"/>
    <w:rsid w:val="00910E3E"/>
    <w:pPr>
      <w:spacing w:before="120" w:after="100" w:afterAutospacing="1"/>
      <w:ind w:left="0"/>
    </w:pPr>
    <w:rPr>
      <w:rFonts w:ascii="Arial Narrow" w:eastAsia="Times New Roman" w:hAnsi="Arial Narrow" w:cs="Times New Roman"/>
      <w:b/>
      <w:szCs w:val="20"/>
      <w:lang w:eastAsia="en-AU"/>
    </w:rPr>
  </w:style>
  <w:style w:type="paragraph" w:styleId="TableofFigures">
    <w:name w:val="table of figures"/>
    <w:basedOn w:val="Normal"/>
    <w:next w:val="Normal"/>
    <w:uiPriority w:val="99"/>
    <w:unhideWhenUsed/>
    <w:rsid w:val="005325A2"/>
    <w:pPr>
      <w:tabs>
        <w:tab w:val="left" w:pos="1418"/>
        <w:tab w:val="right" w:leader="dot" w:pos="9072"/>
      </w:tabs>
      <w:spacing w:after="60"/>
      <w:ind w:left="2138" w:hanging="1418"/>
    </w:pPr>
  </w:style>
  <w:style w:type="paragraph" w:styleId="BodyText">
    <w:name w:val="Body Text"/>
    <w:basedOn w:val="Normal"/>
    <w:link w:val="BodyTextChar"/>
    <w:uiPriority w:val="99"/>
    <w:semiHidden/>
    <w:unhideWhenUsed/>
    <w:rsid w:val="00701AD3"/>
    <w:pPr>
      <w:spacing w:after="120"/>
    </w:pPr>
  </w:style>
  <w:style w:type="character" w:customStyle="1" w:styleId="BodyTextChar">
    <w:name w:val="Body Text Char"/>
    <w:basedOn w:val="DefaultParagraphFont"/>
    <w:link w:val="BodyText"/>
    <w:uiPriority w:val="99"/>
    <w:semiHidden/>
    <w:rsid w:val="00701AD3"/>
    <w:rPr>
      <w:rFonts w:ascii="Garamond" w:hAnsi="Garamond"/>
      <w:sz w:val="24"/>
    </w:rPr>
  </w:style>
  <w:style w:type="paragraph" w:customStyle="1" w:styleId="TableText0">
    <w:name w:val="TableText"/>
    <w:basedOn w:val="Normal"/>
    <w:link w:val="TableTextChar0"/>
    <w:rsid w:val="009502E6"/>
    <w:pPr>
      <w:keepNext/>
      <w:spacing w:before="40" w:after="40"/>
      <w:ind w:left="0"/>
    </w:pPr>
    <w:rPr>
      <w:rFonts w:ascii="Arial Narrow" w:eastAsia="Times New Roman" w:hAnsi="Arial Narrow" w:cs="Times New Roman"/>
      <w:sz w:val="18"/>
      <w:szCs w:val="20"/>
      <w:lang w:eastAsia="en-AU"/>
    </w:rPr>
  </w:style>
  <w:style w:type="character" w:customStyle="1" w:styleId="TableTextChar0">
    <w:name w:val="TableText Char"/>
    <w:link w:val="TableText0"/>
    <w:rsid w:val="009502E6"/>
    <w:rPr>
      <w:rFonts w:ascii="Arial Narrow" w:eastAsia="Times New Roman" w:hAnsi="Arial Narrow" w:cs="Times New Roman"/>
      <w:sz w:val="18"/>
      <w:szCs w:val="20"/>
      <w:lang w:eastAsia="en-AU"/>
    </w:rPr>
  </w:style>
  <w:style w:type="paragraph" w:customStyle="1" w:styleId="TableHeading">
    <w:name w:val="TableHeading"/>
    <w:basedOn w:val="TableText0"/>
    <w:link w:val="TableHeadingChar"/>
    <w:rsid w:val="009502E6"/>
    <w:rPr>
      <w:b/>
    </w:rPr>
  </w:style>
  <w:style w:type="character" w:customStyle="1" w:styleId="TableHeadingChar">
    <w:name w:val="TableHeading Char"/>
    <w:link w:val="TableHeading"/>
    <w:rsid w:val="009502E6"/>
    <w:rPr>
      <w:rFonts w:ascii="Arial Narrow" w:eastAsia="Times New Roman" w:hAnsi="Arial Narrow" w:cs="Times New Roman"/>
      <w:b/>
      <w:sz w:val="18"/>
      <w:szCs w:val="20"/>
      <w:lang w:eastAsia="en-AU"/>
    </w:rPr>
  </w:style>
  <w:style w:type="paragraph" w:customStyle="1" w:styleId="TableHeading0">
    <w:name w:val="Table Heading"/>
    <w:basedOn w:val="Normal"/>
    <w:next w:val="Normal"/>
    <w:rsid w:val="009502E6"/>
    <w:pPr>
      <w:keepNext/>
      <w:spacing w:before="40" w:after="40"/>
      <w:ind w:left="0"/>
    </w:pPr>
    <w:rPr>
      <w:rFonts w:ascii="Arial" w:eastAsia="Times New Roman" w:hAnsi="Arial" w:cs="Times New Roman"/>
      <w:b/>
      <w:sz w:val="18"/>
      <w:szCs w:val="20"/>
      <w:lang w:val="en-GB"/>
    </w:rPr>
  </w:style>
  <w:style w:type="paragraph" w:customStyle="1" w:styleId="TableName">
    <w:name w:val="TableName"/>
    <w:basedOn w:val="TableText0"/>
    <w:link w:val="TableNameChar"/>
    <w:rsid w:val="006A432E"/>
    <w:pPr>
      <w:ind w:left="1440" w:hanging="720"/>
    </w:pPr>
    <w:rPr>
      <w:b/>
      <w:sz w:val="20"/>
    </w:rPr>
  </w:style>
  <w:style w:type="character" w:customStyle="1" w:styleId="TableNameChar">
    <w:name w:val="TableName Char"/>
    <w:link w:val="TableName"/>
    <w:rsid w:val="006A432E"/>
    <w:rPr>
      <w:rFonts w:ascii="Arial Narrow" w:eastAsia="Times New Roman" w:hAnsi="Arial Narrow" w:cs="Times New Roman"/>
      <w:b/>
      <w:sz w:val="20"/>
      <w:szCs w:val="20"/>
      <w:lang w:eastAsia="en-AU"/>
    </w:rPr>
  </w:style>
  <w:style w:type="character" w:styleId="FollowedHyperlink">
    <w:name w:val="FollowedHyperlink"/>
    <w:basedOn w:val="DefaultParagraphFont"/>
    <w:uiPriority w:val="99"/>
    <w:semiHidden/>
    <w:unhideWhenUsed/>
    <w:rsid w:val="005C2145"/>
    <w:rPr>
      <w:color w:val="954F72" w:themeColor="followedHyperlink"/>
      <w:u w:val="single"/>
    </w:rPr>
  </w:style>
  <w:style w:type="table" w:customStyle="1" w:styleId="TableGrid1">
    <w:name w:val="Table Grid1"/>
    <w:basedOn w:val="TableNormal"/>
    <w:next w:val="TableGrid"/>
    <w:uiPriority w:val="59"/>
    <w:rsid w:val="00AD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252F75"/>
  </w:style>
  <w:style w:type="character" w:customStyle="1" w:styleId="element-citation">
    <w:name w:val="element-citation"/>
    <w:basedOn w:val="DefaultParagraphFont"/>
    <w:rsid w:val="00652A80"/>
  </w:style>
  <w:style w:type="character" w:customStyle="1" w:styleId="ref-journal">
    <w:name w:val="ref-journal"/>
    <w:basedOn w:val="DefaultParagraphFont"/>
    <w:rsid w:val="00652A80"/>
  </w:style>
  <w:style w:type="character" w:customStyle="1" w:styleId="ref-vol">
    <w:name w:val="ref-vol"/>
    <w:basedOn w:val="DefaultParagraphFont"/>
    <w:rsid w:val="00652A80"/>
  </w:style>
  <w:style w:type="table" w:customStyle="1" w:styleId="TableGrid3">
    <w:name w:val="Table Grid3"/>
    <w:basedOn w:val="TableNormal"/>
    <w:next w:val="TableGrid"/>
    <w:uiPriority w:val="59"/>
    <w:rsid w:val="0051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69B7"/>
    <w:pPr>
      <w:spacing w:after="0" w:line="240" w:lineRule="auto"/>
    </w:pPr>
    <w:rPr>
      <w:rFonts w:ascii="Garamond" w:hAnsi="Garamond"/>
      <w:sz w:val="24"/>
    </w:rPr>
  </w:style>
  <w:style w:type="table" w:customStyle="1" w:styleId="TableGrid4">
    <w:name w:val="Table Grid4"/>
    <w:basedOn w:val="TableNormal"/>
    <w:next w:val="TableGrid"/>
    <w:uiPriority w:val="59"/>
    <w:rsid w:val="00B7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36"/>
    <w:pPr>
      <w:spacing w:after="240" w:line="240" w:lineRule="auto"/>
      <w:ind w:left="720"/>
    </w:pPr>
    <w:rPr>
      <w:rFonts w:ascii="Garamond" w:hAnsi="Garamond"/>
      <w:sz w:val="24"/>
    </w:rPr>
  </w:style>
  <w:style w:type="paragraph" w:styleId="Heading1">
    <w:name w:val="heading 1"/>
    <w:basedOn w:val="Normal"/>
    <w:next w:val="Normal"/>
    <w:link w:val="Heading1Char"/>
    <w:uiPriority w:val="9"/>
    <w:qFormat/>
    <w:rsid w:val="00874204"/>
    <w:pPr>
      <w:keepNext/>
      <w:keepLines/>
      <w:pageBreakBefore/>
      <w:numPr>
        <w:numId w:val="1"/>
      </w:numPr>
      <w:pBdr>
        <w:bottom w:val="single" w:sz="4" w:space="1" w:color="auto"/>
      </w:pBdr>
      <w:spacing w:after="360"/>
      <w:outlineLvl w:val="0"/>
    </w:pPr>
    <w:rPr>
      <w:rFonts w:ascii="Tahoma" w:eastAsiaTheme="majorEastAsia" w:hAnsi="Tahoma" w:cstheme="majorBidi"/>
      <w:b/>
      <w:sz w:val="44"/>
      <w:szCs w:val="32"/>
    </w:rPr>
  </w:style>
  <w:style w:type="paragraph" w:styleId="Heading2">
    <w:name w:val="heading 2"/>
    <w:basedOn w:val="Normal"/>
    <w:next w:val="Normal"/>
    <w:link w:val="Heading2Char"/>
    <w:uiPriority w:val="9"/>
    <w:unhideWhenUsed/>
    <w:qFormat/>
    <w:rsid w:val="00FE1202"/>
    <w:pPr>
      <w:keepNext/>
      <w:keepLines/>
      <w:numPr>
        <w:ilvl w:val="1"/>
        <w:numId w:val="1"/>
      </w:numPr>
      <w:spacing w:before="240" w:after="120"/>
      <w:outlineLvl w:val="1"/>
    </w:pPr>
    <w:rPr>
      <w:rFonts w:ascii="Tahoma" w:eastAsiaTheme="majorEastAsia" w:hAnsi="Tahoma" w:cstheme="majorBidi"/>
      <w:b/>
      <w:sz w:val="28"/>
      <w:szCs w:val="26"/>
    </w:rPr>
  </w:style>
  <w:style w:type="paragraph" w:styleId="Heading3">
    <w:name w:val="heading 3"/>
    <w:basedOn w:val="Normal"/>
    <w:next w:val="Normal"/>
    <w:link w:val="Heading3Char"/>
    <w:uiPriority w:val="9"/>
    <w:unhideWhenUsed/>
    <w:qFormat/>
    <w:rsid w:val="00414562"/>
    <w:pPr>
      <w:keepNext/>
      <w:keepLines/>
      <w:numPr>
        <w:ilvl w:val="2"/>
        <w:numId w:val="1"/>
      </w:numPr>
      <w:spacing w:before="240" w:after="120"/>
      <w:outlineLvl w:val="2"/>
    </w:pPr>
    <w:rPr>
      <w:rFonts w:ascii="Tahoma" w:eastAsiaTheme="majorEastAsia" w:hAnsi="Tahoma" w:cstheme="majorBidi"/>
      <w:b/>
      <w:sz w:val="22"/>
      <w:szCs w:val="24"/>
    </w:rPr>
  </w:style>
  <w:style w:type="paragraph" w:styleId="Heading4">
    <w:name w:val="heading 4"/>
    <w:basedOn w:val="Normal"/>
    <w:next w:val="Normal"/>
    <w:link w:val="Heading4Char"/>
    <w:uiPriority w:val="9"/>
    <w:unhideWhenUsed/>
    <w:qFormat/>
    <w:rsid w:val="009B222A"/>
    <w:pPr>
      <w:keepNext/>
      <w:keepLines/>
      <w:spacing w:before="200" w:after="60"/>
      <w:outlineLvl w:val="3"/>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204"/>
    <w:rPr>
      <w:rFonts w:ascii="Tahoma" w:eastAsiaTheme="majorEastAsia" w:hAnsi="Tahoma" w:cstheme="majorBidi"/>
      <w:b/>
      <w:sz w:val="44"/>
      <w:szCs w:val="32"/>
    </w:rPr>
  </w:style>
  <w:style w:type="character" w:customStyle="1" w:styleId="Heading2Char">
    <w:name w:val="Heading 2 Char"/>
    <w:basedOn w:val="DefaultParagraphFont"/>
    <w:link w:val="Heading2"/>
    <w:uiPriority w:val="9"/>
    <w:rsid w:val="00FE1202"/>
    <w:rPr>
      <w:rFonts w:ascii="Tahoma" w:eastAsiaTheme="majorEastAsia" w:hAnsi="Tahoma" w:cstheme="majorBidi"/>
      <w:b/>
      <w:sz w:val="28"/>
      <w:szCs w:val="26"/>
    </w:rPr>
  </w:style>
  <w:style w:type="character" w:customStyle="1" w:styleId="Heading3Char">
    <w:name w:val="Heading 3 Char"/>
    <w:basedOn w:val="DefaultParagraphFont"/>
    <w:link w:val="Heading3"/>
    <w:uiPriority w:val="9"/>
    <w:rsid w:val="00414562"/>
    <w:rPr>
      <w:rFonts w:ascii="Tahoma" w:eastAsiaTheme="majorEastAsia" w:hAnsi="Tahoma" w:cstheme="majorBidi"/>
      <w:b/>
      <w:szCs w:val="24"/>
    </w:rPr>
  </w:style>
  <w:style w:type="character" w:customStyle="1" w:styleId="Heading4Char">
    <w:name w:val="Heading 4 Char"/>
    <w:basedOn w:val="DefaultParagraphFont"/>
    <w:link w:val="Heading4"/>
    <w:uiPriority w:val="9"/>
    <w:rsid w:val="009B222A"/>
    <w:rPr>
      <w:rFonts w:asciiTheme="majorHAnsi" w:eastAsiaTheme="majorEastAsia" w:hAnsiTheme="majorHAnsi" w:cstheme="majorBidi"/>
      <w:b/>
      <w:bCs/>
      <w:i/>
      <w:iCs/>
      <w:color w:val="000000" w:themeColor="text1"/>
      <w:sz w:val="24"/>
    </w:rPr>
  </w:style>
  <w:style w:type="table" w:styleId="TableGrid">
    <w:name w:val="Table Grid"/>
    <w:basedOn w:val="TableNormal"/>
    <w:uiPriority w:val="59"/>
    <w:rsid w:val="0098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4137"/>
    <w:pPr>
      <w:keepNext/>
      <w:spacing w:before="40" w:after="40"/>
      <w:ind w:left="1741" w:hanging="1021"/>
    </w:pPr>
    <w:rPr>
      <w:rFonts w:ascii="Arial Narrow" w:hAnsi="Arial Narrow"/>
      <w:b/>
      <w:iCs/>
      <w:sz w:val="20"/>
      <w:szCs w:val="18"/>
    </w:rPr>
  </w:style>
  <w:style w:type="paragraph" w:styleId="ListParagraph">
    <w:name w:val="List Paragraph"/>
    <w:basedOn w:val="Normal"/>
    <w:link w:val="ListParagraphChar"/>
    <w:uiPriority w:val="34"/>
    <w:qFormat/>
    <w:rsid w:val="009836F7"/>
    <w:pPr>
      <w:contextualSpacing/>
    </w:pPr>
  </w:style>
  <w:style w:type="character" w:customStyle="1" w:styleId="ListParagraphChar">
    <w:name w:val="List Paragraph Char"/>
    <w:basedOn w:val="DefaultParagraphFont"/>
    <w:link w:val="ListParagraph"/>
    <w:uiPriority w:val="34"/>
    <w:rsid w:val="001B06DC"/>
    <w:rPr>
      <w:rFonts w:ascii="Times New Roman" w:hAnsi="Times New Roman"/>
      <w:sz w:val="24"/>
    </w:rPr>
  </w:style>
  <w:style w:type="paragraph" w:customStyle="1" w:styleId="Tabletext">
    <w:name w:val="Table text"/>
    <w:basedOn w:val="Normal"/>
    <w:link w:val="TabletextChar"/>
    <w:qFormat/>
    <w:rsid w:val="00BA7081"/>
    <w:pPr>
      <w:spacing w:before="60" w:after="60"/>
      <w:jc w:val="both"/>
    </w:pPr>
    <w:rPr>
      <w:rFonts w:cs="Times New Roman"/>
      <w:sz w:val="22"/>
    </w:rPr>
  </w:style>
  <w:style w:type="character" w:customStyle="1" w:styleId="TabletextChar">
    <w:name w:val="Table text Char"/>
    <w:basedOn w:val="DefaultParagraphFont"/>
    <w:link w:val="Tabletext"/>
    <w:rsid w:val="00BA7081"/>
    <w:rPr>
      <w:rFonts w:ascii="Times New Roman" w:hAnsi="Times New Roman" w:cs="Times New Roman"/>
    </w:rPr>
  </w:style>
  <w:style w:type="paragraph" w:customStyle="1" w:styleId="Tablerowheading">
    <w:name w:val="Table row heading"/>
    <w:basedOn w:val="Tabletext"/>
    <w:link w:val="TablerowheadingChar"/>
    <w:qFormat/>
    <w:rsid w:val="0004157E"/>
    <w:rPr>
      <w:b/>
      <w:color w:val="FFFFFF" w:themeColor="background1"/>
    </w:rPr>
  </w:style>
  <w:style w:type="character" w:customStyle="1" w:styleId="TablerowheadingChar">
    <w:name w:val="Table row heading Char"/>
    <w:basedOn w:val="TabletextChar"/>
    <w:link w:val="Tablerowheading"/>
    <w:rsid w:val="0004157E"/>
    <w:rPr>
      <w:rFonts w:ascii="Times New Roman" w:hAnsi="Times New Roman" w:cs="Times New Roman"/>
      <w:b/>
      <w:color w:val="FFFFFF" w:themeColor="background1"/>
    </w:rPr>
  </w:style>
  <w:style w:type="paragraph" w:styleId="TOC1">
    <w:name w:val="toc 1"/>
    <w:basedOn w:val="Normal"/>
    <w:next w:val="Normal"/>
    <w:autoRedefine/>
    <w:uiPriority w:val="39"/>
    <w:unhideWhenUsed/>
    <w:rsid w:val="00E5076E"/>
    <w:pPr>
      <w:keepNext/>
      <w:spacing w:before="120" w:after="60"/>
      <w:ind w:left="1741" w:right="567" w:hanging="1021"/>
    </w:pPr>
    <w:rPr>
      <w:b/>
      <w:bCs/>
    </w:rPr>
  </w:style>
  <w:style w:type="paragraph" w:styleId="TOC2">
    <w:name w:val="toc 2"/>
    <w:basedOn w:val="Normal"/>
    <w:next w:val="Normal"/>
    <w:autoRedefine/>
    <w:uiPriority w:val="39"/>
    <w:unhideWhenUsed/>
    <w:rsid w:val="00E15D9A"/>
    <w:pPr>
      <w:spacing w:after="60"/>
      <w:ind w:left="2160" w:right="720" w:hanging="720"/>
    </w:pPr>
    <w:rPr>
      <w:bCs/>
    </w:rPr>
  </w:style>
  <w:style w:type="paragraph" w:styleId="TOC3">
    <w:name w:val="toc 3"/>
    <w:basedOn w:val="Normal"/>
    <w:next w:val="Normal"/>
    <w:autoRedefine/>
    <w:uiPriority w:val="39"/>
    <w:unhideWhenUsed/>
    <w:rsid w:val="0097411D"/>
    <w:pPr>
      <w:spacing w:after="0"/>
    </w:pPr>
    <w:rPr>
      <w:rFonts w:asciiTheme="minorHAnsi" w:hAnsiTheme="minorHAnsi"/>
      <w:smallCaps/>
      <w:sz w:val="22"/>
    </w:rPr>
  </w:style>
  <w:style w:type="paragraph" w:styleId="TOC4">
    <w:name w:val="toc 4"/>
    <w:basedOn w:val="TableofFigures"/>
    <w:next w:val="Normal"/>
    <w:autoRedefine/>
    <w:uiPriority w:val="39"/>
    <w:unhideWhenUsed/>
    <w:rsid w:val="009955C9"/>
    <w:pPr>
      <w:tabs>
        <w:tab w:val="left" w:pos="2160"/>
        <w:tab w:val="right" w:leader="dot" w:pos="9016"/>
      </w:tabs>
    </w:pPr>
    <w:rPr>
      <w:noProof/>
    </w:rPr>
  </w:style>
  <w:style w:type="paragraph" w:styleId="TOC5">
    <w:name w:val="toc 5"/>
    <w:basedOn w:val="Normal"/>
    <w:next w:val="Normal"/>
    <w:autoRedefine/>
    <w:uiPriority w:val="39"/>
    <w:unhideWhenUsed/>
    <w:rsid w:val="0097411D"/>
    <w:pPr>
      <w:spacing w:after="0"/>
    </w:pPr>
    <w:rPr>
      <w:rFonts w:asciiTheme="minorHAnsi" w:hAnsiTheme="minorHAnsi"/>
      <w:sz w:val="22"/>
    </w:rPr>
  </w:style>
  <w:style w:type="paragraph" w:styleId="TOC6">
    <w:name w:val="toc 6"/>
    <w:basedOn w:val="Normal"/>
    <w:next w:val="Normal"/>
    <w:autoRedefine/>
    <w:uiPriority w:val="39"/>
    <w:unhideWhenUsed/>
    <w:rsid w:val="0097411D"/>
    <w:pPr>
      <w:spacing w:after="0"/>
    </w:pPr>
    <w:rPr>
      <w:rFonts w:asciiTheme="minorHAnsi" w:hAnsiTheme="minorHAnsi"/>
      <w:sz w:val="22"/>
    </w:rPr>
  </w:style>
  <w:style w:type="paragraph" w:styleId="TOC7">
    <w:name w:val="toc 7"/>
    <w:basedOn w:val="Normal"/>
    <w:next w:val="Normal"/>
    <w:autoRedefine/>
    <w:uiPriority w:val="39"/>
    <w:unhideWhenUsed/>
    <w:rsid w:val="0097411D"/>
    <w:pPr>
      <w:spacing w:after="0"/>
    </w:pPr>
    <w:rPr>
      <w:rFonts w:asciiTheme="minorHAnsi" w:hAnsiTheme="minorHAnsi"/>
      <w:sz w:val="22"/>
    </w:rPr>
  </w:style>
  <w:style w:type="paragraph" w:styleId="TOC8">
    <w:name w:val="toc 8"/>
    <w:basedOn w:val="Normal"/>
    <w:next w:val="Normal"/>
    <w:autoRedefine/>
    <w:uiPriority w:val="39"/>
    <w:unhideWhenUsed/>
    <w:rsid w:val="0097411D"/>
    <w:pPr>
      <w:spacing w:after="0"/>
    </w:pPr>
    <w:rPr>
      <w:rFonts w:asciiTheme="minorHAnsi" w:hAnsiTheme="minorHAnsi"/>
      <w:sz w:val="22"/>
    </w:rPr>
  </w:style>
  <w:style w:type="paragraph" w:styleId="TOC9">
    <w:name w:val="toc 9"/>
    <w:basedOn w:val="Normal"/>
    <w:next w:val="Normal"/>
    <w:autoRedefine/>
    <w:uiPriority w:val="39"/>
    <w:unhideWhenUsed/>
    <w:rsid w:val="0097411D"/>
    <w:pPr>
      <w:spacing w:after="0"/>
    </w:pPr>
    <w:rPr>
      <w:rFonts w:asciiTheme="minorHAnsi" w:hAnsiTheme="minorHAnsi"/>
      <w:sz w:val="22"/>
    </w:rPr>
  </w:style>
  <w:style w:type="character" w:styleId="Hyperlink">
    <w:name w:val="Hyperlink"/>
    <w:basedOn w:val="DefaultParagraphFont"/>
    <w:uiPriority w:val="99"/>
    <w:unhideWhenUsed/>
    <w:rsid w:val="0097411D"/>
    <w:rPr>
      <w:color w:val="0563C1" w:themeColor="hyperlink"/>
      <w:u w:val="single"/>
    </w:rPr>
  </w:style>
  <w:style w:type="paragraph" w:styleId="TOCHeading">
    <w:name w:val="TOC Heading"/>
    <w:basedOn w:val="Heading1"/>
    <w:next w:val="Normal"/>
    <w:uiPriority w:val="39"/>
    <w:unhideWhenUsed/>
    <w:qFormat/>
    <w:rsid w:val="009C2084"/>
    <w:pPr>
      <w:numPr>
        <w:numId w:val="0"/>
      </w:numPr>
      <w:outlineLvl w:val="9"/>
    </w:pPr>
    <w:rPr>
      <w:lang w:val="en-US"/>
    </w:rPr>
  </w:style>
  <w:style w:type="paragraph" w:styleId="Header">
    <w:name w:val="header"/>
    <w:basedOn w:val="Normal"/>
    <w:link w:val="HeaderChar"/>
    <w:unhideWhenUsed/>
    <w:rsid w:val="00C5297B"/>
    <w:pPr>
      <w:tabs>
        <w:tab w:val="center" w:pos="4513"/>
        <w:tab w:val="right" w:pos="9026"/>
      </w:tabs>
      <w:spacing w:after="0"/>
    </w:pPr>
  </w:style>
  <w:style w:type="character" w:customStyle="1" w:styleId="HeaderChar">
    <w:name w:val="Header Char"/>
    <w:basedOn w:val="DefaultParagraphFont"/>
    <w:link w:val="Header"/>
    <w:rsid w:val="00C5297B"/>
    <w:rPr>
      <w:rFonts w:ascii="Times New Roman" w:hAnsi="Times New Roman"/>
      <w:sz w:val="24"/>
    </w:rPr>
  </w:style>
  <w:style w:type="paragraph" w:styleId="Footer">
    <w:name w:val="footer"/>
    <w:basedOn w:val="Normal"/>
    <w:link w:val="FooterChar"/>
    <w:unhideWhenUsed/>
    <w:rsid w:val="00A775BB"/>
    <w:pPr>
      <w:pBdr>
        <w:top w:val="single" w:sz="4" w:space="1" w:color="auto"/>
      </w:pBdr>
      <w:tabs>
        <w:tab w:val="right" w:pos="9072"/>
      </w:tabs>
      <w:ind w:left="0"/>
    </w:pPr>
    <w:rPr>
      <w:rFonts w:ascii="Arial" w:hAnsi="Arial"/>
      <w:b/>
      <w:sz w:val="18"/>
    </w:rPr>
  </w:style>
  <w:style w:type="character" w:customStyle="1" w:styleId="FooterChar">
    <w:name w:val="Footer Char"/>
    <w:basedOn w:val="DefaultParagraphFont"/>
    <w:link w:val="Footer"/>
    <w:rsid w:val="00A775BB"/>
    <w:rPr>
      <w:rFonts w:ascii="Arial" w:hAnsi="Arial"/>
      <w:b/>
      <w:sz w:val="18"/>
    </w:rPr>
  </w:style>
  <w:style w:type="character" w:styleId="PageNumber">
    <w:name w:val="page number"/>
    <w:basedOn w:val="DefaultParagraphFont"/>
    <w:rsid w:val="00C5297B"/>
  </w:style>
  <w:style w:type="paragraph" w:customStyle="1" w:styleId="TitlePageLowercase">
    <w:name w:val="Title Page Lowercase"/>
    <w:basedOn w:val="Normal"/>
    <w:link w:val="TitlePageLowercaseChar"/>
    <w:qFormat/>
    <w:rsid w:val="00756FA1"/>
    <w:pPr>
      <w:tabs>
        <w:tab w:val="left" w:pos="885"/>
      </w:tabs>
      <w:jc w:val="center"/>
    </w:pPr>
    <w:rPr>
      <w:b/>
      <w:sz w:val="36"/>
      <w:szCs w:val="36"/>
    </w:rPr>
  </w:style>
  <w:style w:type="character" w:customStyle="1" w:styleId="TitlePageLowercaseChar">
    <w:name w:val="Title Page Lowercase Char"/>
    <w:basedOn w:val="DefaultParagraphFont"/>
    <w:link w:val="TitlePageLowercase"/>
    <w:rsid w:val="00756FA1"/>
    <w:rPr>
      <w:rFonts w:ascii="Times New Roman" w:hAnsi="Times New Roman"/>
      <w:b/>
      <w:sz w:val="36"/>
      <w:szCs w:val="36"/>
    </w:rPr>
  </w:style>
  <w:style w:type="paragraph" w:customStyle="1" w:styleId="TITLEPAGECAPS">
    <w:name w:val="TITLE PAGE CAPS"/>
    <w:basedOn w:val="Normal"/>
    <w:link w:val="TITLEPAGECAPSChar"/>
    <w:qFormat/>
    <w:rsid w:val="00756FA1"/>
    <w:pPr>
      <w:tabs>
        <w:tab w:val="left" w:pos="885"/>
      </w:tabs>
      <w:jc w:val="center"/>
    </w:pPr>
    <w:rPr>
      <w:rFonts w:ascii="Times New Roman Bold" w:hAnsi="Times New Roman Bold"/>
      <w:b/>
      <w:caps/>
      <w:sz w:val="36"/>
      <w:szCs w:val="36"/>
    </w:rPr>
  </w:style>
  <w:style w:type="character" w:customStyle="1" w:styleId="TITLEPAGECAPSChar">
    <w:name w:val="TITLE PAGE CAPS Char"/>
    <w:basedOn w:val="DefaultParagraphFont"/>
    <w:link w:val="TITLEPAGECAPS"/>
    <w:rsid w:val="00756FA1"/>
    <w:rPr>
      <w:rFonts w:ascii="Times New Roman Bold" w:hAnsi="Times New Roman Bold"/>
      <w:b/>
      <w:caps/>
      <w:sz w:val="36"/>
      <w:szCs w:val="36"/>
    </w:rPr>
  </w:style>
  <w:style w:type="paragraph" w:customStyle="1" w:styleId="Nonumberheading">
    <w:name w:val="No number heading"/>
    <w:basedOn w:val="Normal"/>
    <w:link w:val="NonumberheadingChar"/>
    <w:rsid w:val="00B4127D"/>
    <w:rPr>
      <w:rFonts w:ascii="Cambria" w:hAnsi="Cambria"/>
      <w:b/>
      <w:caps/>
      <w:color w:val="2E74B5" w:themeColor="accent1" w:themeShade="BF"/>
      <w:sz w:val="28"/>
      <w:szCs w:val="28"/>
    </w:rPr>
  </w:style>
  <w:style w:type="character" w:customStyle="1" w:styleId="NonumberheadingChar">
    <w:name w:val="No number heading Char"/>
    <w:basedOn w:val="DefaultParagraphFont"/>
    <w:link w:val="Nonumberheading"/>
    <w:rsid w:val="00B4127D"/>
    <w:rPr>
      <w:rFonts w:ascii="Cambria" w:hAnsi="Cambria"/>
      <w:b/>
      <w:caps/>
      <w:color w:val="2E74B5" w:themeColor="accent1" w:themeShade="BF"/>
      <w:sz w:val="28"/>
      <w:szCs w:val="28"/>
    </w:rPr>
  </w:style>
  <w:style w:type="paragraph" w:customStyle="1" w:styleId="StyleListParagraphAfter6pt">
    <w:name w:val="Style List Paragraph + After:  6 pt"/>
    <w:basedOn w:val="ListParagraph"/>
    <w:rsid w:val="00885956"/>
    <w:pPr>
      <w:spacing w:line="276" w:lineRule="auto"/>
      <w:contextualSpacing w:val="0"/>
    </w:pPr>
    <w:rPr>
      <w:rFonts w:eastAsia="Times New Roman" w:cs="Times New Roman"/>
      <w:szCs w:val="20"/>
      <w:lang w:val="en-US"/>
    </w:rPr>
  </w:style>
  <w:style w:type="paragraph" w:customStyle="1" w:styleId="StyleStyleStyleListParagraphAfter6ptItalicAfter0">
    <w:name w:val="Style Style Style List Paragraph + After:  6 pt + Italic After:  0 ..."/>
    <w:basedOn w:val="Normal"/>
    <w:link w:val="StyleStyleStyleListParagraphAfter6ptItalicAfter0Char"/>
    <w:rsid w:val="00885956"/>
    <w:pPr>
      <w:spacing w:after="0"/>
    </w:pPr>
    <w:rPr>
      <w:rFonts w:eastAsia="Times New Roman" w:cs="Times New Roman"/>
      <w:iCs/>
      <w:szCs w:val="20"/>
      <w:lang w:val="en-US"/>
    </w:rPr>
  </w:style>
  <w:style w:type="character" w:customStyle="1" w:styleId="StyleStyleStyleListParagraphAfter6ptItalicAfter0Char">
    <w:name w:val="Style Style Style List Paragraph + After:  6 pt + Italic After:  0 ... Char"/>
    <w:basedOn w:val="DefaultParagraphFont"/>
    <w:link w:val="StyleStyleStyleListParagraphAfter6ptItalicAfter0"/>
    <w:rsid w:val="00FF5DDF"/>
    <w:rPr>
      <w:rFonts w:ascii="Times New Roman" w:eastAsia="Times New Roman" w:hAnsi="Times New Roman" w:cs="Times New Roman"/>
      <w:iCs/>
      <w:sz w:val="24"/>
      <w:szCs w:val="20"/>
      <w:lang w:val="en-US"/>
    </w:rPr>
  </w:style>
  <w:style w:type="paragraph" w:styleId="BalloonText">
    <w:name w:val="Balloon Text"/>
    <w:basedOn w:val="Normal"/>
    <w:link w:val="BalloonTextChar"/>
    <w:uiPriority w:val="99"/>
    <w:semiHidden/>
    <w:unhideWhenUsed/>
    <w:rsid w:val="000D28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A8"/>
    <w:rPr>
      <w:rFonts w:ascii="Tahoma" w:hAnsi="Tahoma" w:cs="Tahoma"/>
      <w:sz w:val="16"/>
      <w:szCs w:val="16"/>
    </w:rPr>
  </w:style>
  <w:style w:type="paragraph" w:customStyle="1" w:styleId="Bulletpoints">
    <w:name w:val="Bullet points"/>
    <w:basedOn w:val="StyleStyleStyleListParagraphAfter6ptItalicAfter0"/>
    <w:link w:val="BulletpointsChar"/>
    <w:qFormat/>
    <w:rsid w:val="000F1909"/>
    <w:pPr>
      <w:numPr>
        <w:numId w:val="2"/>
      </w:numPr>
      <w:spacing w:before="240" w:after="240" w:line="288" w:lineRule="auto"/>
      <w:ind w:left="709" w:hanging="284"/>
      <w:contextualSpacing/>
    </w:pPr>
  </w:style>
  <w:style w:type="character" w:customStyle="1" w:styleId="BulletpointsChar">
    <w:name w:val="Bullet points Char"/>
    <w:basedOn w:val="StyleStyleStyleListParagraphAfter6ptItalicAfter0Char"/>
    <w:link w:val="Bulletpoints"/>
    <w:rsid w:val="000F1909"/>
    <w:rPr>
      <w:rFonts w:ascii="Garamond" w:eastAsia="Times New Roman" w:hAnsi="Garamond" w:cs="Times New Roman"/>
      <w:iCs/>
      <w:sz w:val="24"/>
      <w:szCs w:val="20"/>
      <w:lang w:val="en-US"/>
    </w:rPr>
  </w:style>
  <w:style w:type="paragraph" w:customStyle="1" w:styleId="Tablefootnotes">
    <w:name w:val="Table footnotes"/>
    <w:basedOn w:val="Normal"/>
    <w:link w:val="TablefootnotesChar"/>
    <w:qFormat/>
    <w:rsid w:val="009C2084"/>
    <w:pPr>
      <w:spacing w:after="360"/>
      <w:contextualSpacing/>
    </w:pPr>
    <w:rPr>
      <w:rFonts w:ascii="Arial Narrow" w:hAnsi="Arial Narrow"/>
      <w:sz w:val="16"/>
      <w:szCs w:val="16"/>
    </w:rPr>
  </w:style>
  <w:style w:type="character" w:customStyle="1" w:styleId="TablefootnotesChar">
    <w:name w:val="Table footnotes Char"/>
    <w:basedOn w:val="DefaultParagraphFont"/>
    <w:link w:val="Tablefootnotes"/>
    <w:rsid w:val="009C2084"/>
    <w:rPr>
      <w:rFonts w:ascii="Arial Narrow" w:hAnsi="Arial Narrow"/>
      <w:sz w:val="16"/>
      <w:szCs w:val="16"/>
    </w:rPr>
  </w:style>
  <w:style w:type="paragraph" w:customStyle="1" w:styleId="Style8ptCentered">
    <w:name w:val="Style 8 pt Centered"/>
    <w:basedOn w:val="Normal"/>
    <w:rsid w:val="0059629F"/>
    <w:pPr>
      <w:spacing w:after="0"/>
    </w:pPr>
    <w:rPr>
      <w:rFonts w:eastAsia="Times New Roman" w:cs="Times New Roman"/>
      <w:sz w:val="16"/>
      <w:szCs w:val="20"/>
    </w:rPr>
  </w:style>
  <w:style w:type="paragraph" w:customStyle="1" w:styleId="Bulletlevel2">
    <w:name w:val="Bullet level 2"/>
    <w:basedOn w:val="Normal"/>
    <w:qFormat/>
    <w:rsid w:val="00BA7081"/>
    <w:pPr>
      <w:numPr>
        <w:numId w:val="3"/>
      </w:numPr>
      <w:spacing w:after="0"/>
      <w:jc w:val="both"/>
    </w:pPr>
    <w:rPr>
      <w:rFonts w:eastAsia="Times New Roman" w:cs="Times New Roman"/>
      <w:color w:val="000000"/>
      <w:szCs w:val="24"/>
    </w:rPr>
  </w:style>
  <w:style w:type="character" w:customStyle="1" w:styleId="Style8ptBoldBlack">
    <w:name w:val="Style 8 pt Bold Black"/>
    <w:basedOn w:val="DefaultParagraphFont"/>
    <w:rsid w:val="00BA7081"/>
    <w:rPr>
      <w:b/>
      <w:bCs/>
      <w:color w:val="000000"/>
      <w:sz w:val="16"/>
    </w:rPr>
  </w:style>
  <w:style w:type="paragraph" w:styleId="BodyTextIndent">
    <w:name w:val="Body Text Indent"/>
    <w:basedOn w:val="Normal"/>
    <w:link w:val="BodyTextIndentChar"/>
    <w:rsid w:val="00434559"/>
    <w:pPr>
      <w:spacing w:after="120"/>
      <w:ind w:left="283"/>
      <w:jc w:val="both"/>
    </w:pPr>
    <w:rPr>
      <w:rFonts w:eastAsia="Times New Roman" w:cs="Times New Roman"/>
      <w:szCs w:val="24"/>
    </w:rPr>
  </w:style>
  <w:style w:type="character" w:customStyle="1" w:styleId="BodyTextIndentChar">
    <w:name w:val="Body Text Indent Char"/>
    <w:basedOn w:val="DefaultParagraphFont"/>
    <w:link w:val="BodyTextIndent"/>
    <w:rsid w:val="00434559"/>
    <w:rPr>
      <w:rFonts w:ascii="Times New Roman" w:eastAsia="Times New Roman" w:hAnsi="Times New Roman" w:cs="Times New Roman"/>
      <w:sz w:val="24"/>
      <w:szCs w:val="24"/>
    </w:rPr>
  </w:style>
  <w:style w:type="paragraph" w:customStyle="1" w:styleId="BulletL1HC">
    <w:name w:val="Bullet L1 HC"/>
    <w:basedOn w:val="Normal"/>
    <w:link w:val="BulletL1HCChar"/>
    <w:uiPriority w:val="99"/>
    <w:qFormat/>
    <w:rsid w:val="00F65797"/>
    <w:pPr>
      <w:numPr>
        <w:numId w:val="5"/>
      </w:numPr>
      <w:spacing w:after="0"/>
      <w:jc w:val="both"/>
    </w:pPr>
    <w:rPr>
      <w:rFonts w:eastAsia="Times New Roman" w:cs="Times New Roman"/>
      <w:szCs w:val="24"/>
    </w:rPr>
  </w:style>
  <w:style w:type="character" w:customStyle="1" w:styleId="BulletL1HCChar">
    <w:name w:val="Bullet L1 HC Char"/>
    <w:basedOn w:val="DefaultParagraphFont"/>
    <w:link w:val="BulletL1HC"/>
    <w:uiPriority w:val="99"/>
    <w:rsid w:val="00F65797"/>
    <w:rPr>
      <w:rFonts w:ascii="Garamond" w:eastAsia="Times New Roman" w:hAnsi="Garamond" w:cs="Times New Roman"/>
      <w:sz w:val="24"/>
      <w:szCs w:val="24"/>
    </w:rPr>
  </w:style>
  <w:style w:type="paragraph" w:customStyle="1" w:styleId="Numberedtext">
    <w:name w:val="Numbered text"/>
    <w:basedOn w:val="BulletL1HC"/>
    <w:link w:val="NumberedtextChar"/>
    <w:qFormat/>
    <w:rsid w:val="00BB0B2F"/>
    <w:pPr>
      <w:numPr>
        <w:numId w:val="6"/>
      </w:numPr>
      <w:spacing w:after="120"/>
      <w:ind w:left="1418" w:hanging="709"/>
    </w:pPr>
  </w:style>
  <w:style w:type="character" w:customStyle="1" w:styleId="NumberedtextChar">
    <w:name w:val="Numbered text Char"/>
    <w:basedOn w:val="BulletL1HCChar"/>
    <w:link w:val="Numberedtext"/>
    <w:rsid w:val="00BB0B2F"/>
    <w:rPr>
      <w:rFonts w:ascii="Garamond" w:eastAsia="Times New Roman" w:hAnsi="Garamond" w:cs="Times New Roman"/>
      <w:sz w:val="24"/>
      <w:szCs w:val="24"/>
    </w:rPr>
  </w:style>
  <w:style w:type="paragraph" w:customStyle="1" w:styleId="aNormaltext">
    <w:name w:val="a. Normal text"/>
    <w:basedOn w:val="ListParagraph"/>
    <w:link w:val="aNormaltextChar"/>
    <w:qFormat/>
    <w:rsid w:val="001B06DC"/>
    <w:pPr>
      <w:numPr>
        <w:numId w:val="4"/>
      </w:numPr>
    </w:pPr>
  </w:style>
  <w:style w:type="character" w:customStyle="1" w:styleId="aNormaltextChar">
    <w:name w:val="a. Normal text Char"/>
    <w:basedOn w:val="ListParagraphChar"/>
    <w:link w:val="aNormaltext"/>
    <w:rsid w:val="001B06DC"/>
    <w:rPr>
      <w:rFonts w:ascii="Garamond" w:hAnsi="Garamond"/>
      <w:sz w:val="24"/>
    </w:rPr>
  </w:style>
  <w:style w:type="paragraph" w:styleId="FootnoteText">
    <w:name w:val="footnote text"/>
    <w:basedOn w:val="Normal"/>
    <w:link w:val="FootnoteTextChar"/>
    <w:rsid w:val="00581B9D"/>
    <w:pPr>
      <w:spacing w:after="0"/>
      <w:jc w:val="both"/>
    </w:pPr>
    <w:rPr>
      <w:rFonts w:eastAsia="Times New Roman" w:cs="Times New Roman"/>
      <w:sz w:val="20"/>
      <w:szCs w:val="20"/>
    </w:rPr>
  </w:style>
  <w:style w:type="character" w:customStyle="1" w:styleId="FootnoteTextChar">
    <w:name w:val="Footnote Text Char"/>
    <w:basedOn w:val="DefaultParagraphFont"/>
    <w:link w:val="FootnoteText"/>
    <w:rsid w:val="00581B9D"/>
    <w:rPr>
      <w:rFonts w:ascii="Times New Roman" w:eastAsia="Times New Roman" w:hAnsi="Times New Roman" w:cs="Times New Roman"/>
      <w:sz w:val="20"/>
      <w:szCs w:val="20"/>
    </w:rPr>
  </w:style>
  <w:style w:type="character" w:styleId="FootnoteReference">
    <w:name w:val="footnote reference"/>
    <w:basedOn w:val="DefaultParagraphFont"/>
    <w:rsid w:val="00581B9D"/>
    <w:rPr>
      <w:vertAlign w:val="superscript"/>
    </w:rPr>
  </w:style>
  <w:style w:type="paragraph" w:customStyle="1" w:styleId="Fourthheading">
    <w:name w:val="Fourth heading"/>
    <w:basedOn w:val="Heading3"/>
    <w:link w:val="FourthheadingChar"/>
    <w:qFormat/>
    <w:rsid w:val="00985527"/>
    <w:pPr>
      <w:numPr>
        <w:ilvl w:val="0"/>
        <w:numId w:val="0"/>
      </w:numPr>
      <w:ind w:left="851" w:hanging="851"/>
    </w:pPr>
    <w:rPr>
      <w:i/>
    </w:rPr>
  </w:style>
  <w:style w:type="character" w:customStyle="1" w:styleId="FourthheadingChar">
    <w:name w:val="Fourth heading Char"/>
    <w:basedOn w:val="Heading3Char"/>
    <w:link w:val="Fourthheading"/>
    <w:rsid w:val="00985527"/>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sid w:val="00BB667B"/>
    <w:rPr>
      <w:sz w:val="16"/>
      <w:szCs w:val="16"/>
    </w:rPr>
  </w:style>
  <w:style w:type="paragraph" w:styleId="CommentText">
    <w:name w:val="annotation text"/>
    <w:basedOn w:val="Normal"/>
    <w:link w:val="CommentTextChar"/>
    <w:uiPriority w:val="99"/>
    <w:semiHidden/>
    <w:unhideWhenUsed/>
    <w:rsid w:val="00BB667B"/>
    <w:rPr>
      <w:sz w:val="20"/>
      <w:szCs w:val="20"/>
    </w:rPr>
  </w:style>
  <w:style w:type="character" w:customStyle="1" w:styleId="CommentTextChar">
    <w:name w:val="Comment Text Char"/>
    <w:basedOn w:val="DefaultParagraphFont"/>
    <w:link w:val="CommentText"/>
    <w:uiPriority w:val="99"/>
    <w:semiHidden/>
    <w:rsid w:val="00BB66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667B"/>
    <w:rPr>
      <w:b/>
      <w:bCs/>
    </w:rPr>
  </w:style>
  <w:style w:type="character" w:customStyle="1" w:styleId="CommentSubjectChar">
    <w:name w:val="Comment Subject Char"/>
    <w:basedOn w:val="CommentTextChar"/>
    <w:link w:val="CommentSubject"/>
    <w:uiPriority w:val="99"/>
    <w:semiHidden/>
    <w:rsid w:val="00BB667B"/>
    <w:rPr>
      <w:rFonts w:ascii="Times New Roman" w:hAnsi="Times New Roman"/>
      <w:b/>
      <w:bCs/>
      <w:sz w:val="20"/>
      <w:szCs w:val="20"/>
    </w:rPr>
  </w:style>
  <w:style w:type="paragraph" w:styleId="Date">
    <w:name w:val="Date"/>
    <w:basedOn w:val="Normal"/>
    <w:next w:val="Normal"/>
    <w:link w:val="DateChar"/>
    <w:rsid w:val="006F0B5F"/>
    <w:pPr>
      <w:ind w:right="113"/>
      <w:jc w:val="right"/>
    </w:pPr>
    <w:rPr>
      <w:rFonts w:ascii="Arial" w:eastAsia="Times New Roman" w:hAnsi="Arial" w:cs="Times New Roman"/>
      <w:b/>
      <w:sz w:val="36"/>
      <w:szCs w:val="20"/>
      <w:lang w:eastAsia="en-AU"/>
    </w:rPr>
  </w:style>
  <w:style w:type="character" w:customStyle="1" w:styleId="DateChar">
    <w:name w:val="Date Char"/>
    <w:basedOn w:val="DefaultParagraphFont"/>
    <w:link w:val="Date"/>
    <w:rsid w:val="006F0B5F"/>
    <w:rPr>
      <w:rFonts w:ascii="Arial" w:eastAsia="Times New Roman" w:hAnsi="Arial" w:cs="Times New Roman"/>
      <w:b/>
      <w:sz w:val="36"/>
      <w:szCs w:val="20"/>
      <w:lang w:eastAsia="en-AU"/>
    </w:rPr>
  </w:style>
  <w:style w:type="paragraph" w:customStyle="1" w:styleId="PublicationTitle">
    <w:name w:val="PublicationTitle"/>
    <w:basedOn w:val="Normal"/>
    <w:rsid w:val="006F0B5F"/>
    <w:pPr>
      <w:spacing w:line="480" w:lineRule="exact"/>
      <w:ind w:right="113"/>
      <w:jc w:val="right"/>
    </w:pPr>
    <w:rPr>
      <w:rFonts w:ascii="Arial" w:eastAsia="Times New Roman" w:hAnsi="Arial" w:cs="Times New Roman"/>
      <w:b/>
      <w:i/>
      <w:sz w:val="44"/>
      <w:szCs w:val="20"/>
      <w:lang w:eastAsia="en-AU"/>
    </w:rPr>
  </w:style>
  <w:style w:type="paragraph" w:customStyle="1" w:styleId="Sub-title">
    <w:name w:val="Sub-title"/>
    <w:basedOn w:val="Normal"/>
    <w:rsid w:val="006F0B5F"/>
    <w:pPr>
      <w:ind w:right="113"/>
      <w:jc w:val="right"/>
    </w:pPr>
    <w:rPr>
      <w:rFonts w:ascii="Arial" w:eastAsia="Times New Roman" w:hAnsi="Arial" w:cs="Times New Roman"/>
      <w:b/>
      <w:sz w:val="32"/>
      <w:szCs w:val="20"/>
      <w:lang w:eastAsia="en-AU"/>
    </w:rPr>
  </w:style>
  <w:style w:type="paragraph" w:customStyle="1" w:styleId="Dash">
    <w:name w:val="Dash"/>
    <w:basedOn w:val="Normal"/>
    <w:rsid w:val="006F0B5F"/>
    <w:pPr>
      <w:numPr>
        <w:numId w:val="7"/>
      </w:numPr>
    </w:pPr>
    <w:rPr>
      <w:rFonts w:eastAsia="Times New Roman" w:cs="Times New Roman"/>
      <w:szCs w:val="20"/>
      <w:lang w:eastAsia="en-AU"/>
    </w:rPr>
  </w:style>
  <w:style w:type="paragraph" w:customStyle="1" w:styleId="Tabletextboldleft">
    <w:name w:val="Table text bold left"/>
    <w:basedOn w:val="Normal"/>
    <w:link w:val="TabletextboldleftChar"/>
    <w:qFormat/>
    <w:rsid w:val="00387119"/>
    <w:pPr>
      <w:keepNext/>
      <w:spacing w:after="0"/>
      <w:ind w:left="0"/>
    </w:pPr>
    <w:rPr>
      <w:rFonts w:ascii="Arial Narrow" w:eastAsia="Times New Roman" w:hAnsi="Arial Narrow" w:cs="Arial"/>
      <w:b/>
      <w:sz w:val="20"/>
      <w:szCs w:val="20"/>
    </w:rPr>
  </w:style>
  <w:style w:type="character" w:customStyle="1" w:styleId="TabletextboldleftChar">
    <w:name w:val="Table text bold left Char"/>
    <w:basedOn w:val="DefaultParagraphFont"/>
    <w:link w:val="Tabletextboldleft"/>
    <w:rsid w:val="00387119"/>
    <w:rPr>
      <w:rFonts w:ascii="Arial Narrow" w:eastAsia="Times New Roman" w:hAnsi="Arial Narrow" w:cs="Arial"/>
      <w:b/>
      <w:sz w:val="20"/>
      <w:szCs w:val="20"/>
    </w:rPr>
  </w:style>
  <w:style w:type="paragraph" w:customStyle="1" w:styleId="Tabletextcentred">
    <w:name w:val="Table text centred"/>
    <w:basedOn w:val="Tabletext"/>
    <w:link w:val="TabletextcentredChar"/>
    <w:qFormat/>
    <w:rsid w:val="00387119"/>
    <w:pPr>
      <w:spacing w:before="0" w:after="0"/>
      <w:ind w:left="0"/>
      <w:jc w:val="center"/>
    </w:pPr>
    <w:rPr>
      <w:rFonts w:ascii="Arial Narrow" w:eastAsia="Times New Roman" w:hAnsi="Arial Narrow"/>
      <w:sz w:val="20"/>
      <w:szCs w:val="24"/>
    </w:rPr>
  </w:style>
  <w:style w:type="character" w:customStyle="1" w:styleId="TabletextcentredChar">
    <w:name w:val="Table text centred Char"/>
    <w:basedOn w:val="TabletextChar"/>
    <w:link w:val="Tabletextcentred"/>
    <w:rsid w:val="00387119"/>
    <w:rPr>
      <w:rFonts w:ascii="Arial Narrow" w:eastAsia="Times New Roman" w:hAnsi="Arial Narrow" w:cs="Times New Roman"/>
      <w:sz w:val="20"/>
      <w:szCs w:val="24"/>
    </w:rPr>
  </w:style>
  <w:style w:type="paragraph" w:customStyle="1" w:styleId="Summaryboxheading">
    <w:name w:val="Summary box heading"/>
    <w:basedOn w:val="Normal"/>
    <w:rsid w:val="00910E3E"/>
    <w:pPr>
      <w:spacing w:before="120" w:after="100" w:afterAutospacing="1"/>
      <w:ind w:left="0"/>
    </w:pPr>
    <w:rPr>
      <w:rFonts w:ascii="Arial Narrow" w:eastAsia="Times New Roman" w:hAnsi="Arial Narrow" w:cs="Times New Roman"/>
      <w:b/>
      <w:szCs w:val="20"/>
      <w:lang w:eastAsia="en-AU"/>
    </w:rPr>
  </w:style>
  <w:style w:type="paragraph" w:styleId="TableofFigures">
    <w:name w:val="table of figures"/>
    <w:basedOn w:val="Normal"/>
    <w:next w:val="Normal"/>
    <w:uiPriority w:val="99"/>
    <w:unhideWhenUsed/>
    <w:rsid w:val="005325A2"/>
    <w:pPr>
      <w:tabs>
        <w:tab w:val="left" w:pos="1418"/>
        <w:tab w:val="right" w:leader="dot" w:pos="9072"/>
      </w:tabs>
      <w:spacing w:after="60"/>
      <w:ind w:left="2138" w:hanging="1418"/>
    </w:pPr>
  </w:style>
  <w:style w:type="paragraph" w:styleId="BodyText">
    <w:name w:val="Body Text"/>
    <w:basedOn w:val="Normal"/>
    <w:link w:val="BodyTextChar"/>
    <w:uiPriority w:val="99"/>
    <w:semiHidden/>
    <w:unhideWhenUsed/>
    <w:rsid w:val="00701AD3"/>
    <w:pPr>
      <w:spacing w:after="120"/>
    </w:pPr>
  </w:style>
  <w:style w:type="character" w:customStyle="1" w:styleId="BodyTextChar">
    <w:name w:val="Body Text Char"/>
    <w:basedOn w:val="DefaultParagraphFont"/>
    <w:link w:val="BodyText"/>
    <w:uiPriority w:val="99"/>
    <w:semiHidden/>
    <w:rsid w:val="00701AD3"/>
    <w:rPr>
      <w:rFonts w:ascii="Garamond" w:hAnsi="Garamond"/>
      <w:sz w:val="24"/>
    </w:rPr>
  </w:style>
  <w:style w:type="paragraph" w:customStyle="1" w:styleId="TableText0">
    <w:name w:val="TableText"/>
    <w:basedOn w:val="Normal"/>
    <w:link w:val="TableTextChar0"/>
    <w:rsid w:val="009502E6"/>
    <w:pPr>
      <w:keepNext/>
      <w:spacing w:before="40" w:after="40"/>
      <w:ind w:left="0"/>
    </w:pPr>
    <w:rPr>
      <w:rFonts w:ascii="Arial Narrow" w:eastAsia="Times New Roman" w:hAnsi="Arial Narrow" w:cs="Times New Roman"/>
      <w:sz w:val="18"/>
      <w:szCs w:val="20"/>
      <w:lang w:eastAsia="en-AU"/>
    </w:rPr>
  </w:style>
  <w:style w:type="character" w:customStyle="1" w:styleId="TableTextChar0">
    <w:name w:val="TableText Char"/>
    <w:link w:val="TableText0"/>
    <w:rsid w:val="009502E6"/>
    <w:rPr>
      <w:rFonts w:ascii="Arial Narrow" w:eastAsia="Times New Roman" w:hAnsi="Arial Narrow" w:cs="Times New Roman"/>
      <w:sz w:val="18"/>
      <w:szCs w:val="20"/>
      <w:lang w:eastAsia="en-AU"/>
    </w:rPr>
  </w:style>
  <w:style w:type="paragraph" w:customStyle="1" w:styleId="TableHeading">
    <w:name w:val="TableHeading"/>
    <w:basedOn w:val="TableText0"/>
    <w:link w:val="TableHeadingChar"/>
    <w:rsid w:val="009502E6"/>
    <w:rPr>
      <w:b/>
    </w:rPr>
  </w:style>
  <w:style w:type="character" w:customStyle="1" w:styleId="TableHeadingChar">
    <w:name w:val="TableHeading Char"/>
    <w:link w:val="TableHeading"/>
    <w:rsid w:val="009502E6"/>
    <w:rPr>
      <w:rFonts w:ascii="Arial Narrow" w:eastAsia="Times New Roman" w:hAnsi="Arial Narrow" w:cs="Times New Roman"/>
      <w:b/>
      <w:sz w:val="18"/>
      <w:szCs w:val="20"/>
      <w:lang w:eastAsia="en-AU"/>
    </w:rPr>
  </w:style>
  <w:style w:type="paragraph" w:customStyle="1" w:styleId="TableHeading0">
    <w:name w:val="Table Heading"/>
    <w:basedOn w:val="Normal"/>
    <w:next w:val="Normal"/>
    <w:rsid w:val="009502E6"/>
    <w:pPr>
      <w:keepNext/>
      <w:spacing w:before="40" w:after="40"/>
      <w:ind w:left="0"/>
    </w:pPr>
    <w:rPr>
      <w:rFonts w:ascii="Arial" w:eastAsia="Times New Roman" w:hAnsi="Arial" w:cs="Times New Roman"/>
      <w:b/>
      <w:sz w:val="18"/>
      <w:szCs w:val="20"/>
      <w:lang w:val="en-GB"/>
    </w:rPr>
  </w:style>
  <w:style w:type="paragraph" w:customStyle="1" w:styleId="TableName">
    <w:name w:val="TableName"/>
    <w:basedOn w:val="TableText0"/>
    <w:link w:val="TableNameChar"/>
    <w:rsid w:val="006A432E"/>
    <w:pPr>
      <w:ind w:left="1440" w:hanging="720"/>
    </w:pPr>
    <w:rPr>
      <w:b/>
      <w:sz w:val="20"/>
    </w:rPr>
  </w:style>
  <w:style w:type="character" w:customStyle="1" w:styleId="TableNameChar">
    <w:name w:val="TableName Char"/>
    <w:link w:val="TableName"/>
    <w:rsid w:val="006A432E"/>
    <w:rPr>
      <w:rFonts w:ascii="Arial Narrow" w:eastAsia="Times New Roman" w:hAnsi="Arial Narrow" w:cs="Times New Roman"/>
      <w:b/>
      <w:sz w:val="20"/>
      <w:szCs w:val="20"/>
      <w:lang w:eastAsia="en-AU"/>
    </w:rPr>
  </w:style>
  <w:style w:type="character" w:styleId="FollowedHyperlink">
    <w:name w:val="FollowedHyperlink"/>
    <w:basedOn w:val="DefaultParagraphFont"/>
    <w:uiPriority w:val="99"/>
    <w:semiHidden/>
    <w:unhideWhenUsed/>
    <w:rsid w:val="005C2145"/>
    <w:rPr>
      <w:color w:val="954F72" w:themeColor="followedHyperlink"/>
      <w:u w:val="single"/>
    </w:rPr>
  </w:style>
  <w:style w:type="table" w:customStyle="1" w:styleId="TableGrid1">
    <w:name w:val="Table Grid1"/>
    <w:basedOn w:val="TableNormal"/>
    <w:next w:val="TableGrid"/>
    <w:uiPriority w:val="59"/>
    <w:rsid w:val="00AD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252F75"/>
  </w:style>
  <w:style w:type="character" w:customStyle="1" w:styleId="element-citation">
    <w:name w:val="element-citation"/>
    <w:basedOn w:val="DefaultParagraphFont"/>
    <w:rsid w:val="00652A80"/>
  </w:style>
  <w:style w:type="character" w:customStyle="1" w:styleId="ref-journal">
    <w:name w:val="ref-journal"/>
    <w:basedOn w:val="DefaultParagraphFont"/>
    <w:rsid w:val="00652A80"/>
  </w:style>
  <w:style w:type="character" w:customStyle="1" w:styleId="ref-vol">
    <w:name w:val="ref-vol"/>
    <w:basedOn w:val="DefaultParagraphFont"/>
    <w:rsid w:val="00652A80"/>
  </w:style>
  <w:style w:type="table" w:customStyle="1" w:styleId="TableGrid3">
    <w:name w:val="Table Grid3"/>
    <w:basedOn w:val="TableNormal"/>
    <w:next w:val="TableGrid"/>
    <w:uiPriority w:val="59"/>
    <w:rsid w:val="0051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69B7"/>
    <w:pPr>
      <w:spacing w:after="0" w:line="240" w:lineRule="auto"/>
    </w:pPr>
    <w:rPr>
      <w:rFonts w:ascii="Garamond" w:hAnsi="Garamond"/>
      <w:sz w:val="24"/>
    </w:rPr>
  </w:style>
  <w:style w:type="table" w:customStyle="1" w:styleId="TableGrid4">
    <w:name w:val="Table Grid4"/>
    <w:basedOn w:val="TableNormal"/>
    <w:next w:val="TableGrid"/>
    <w:uiPriority w:val="59"/>
    <w:rsid w:val="00B7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5053">
      <w:bodyDiv w:val="1"/>
      <w:marLeft w:val="0"/>
      <w:marRight w:val="0"/>
      <w:marTop w:val="0"/>
      <w:marBottom w:val="0"/>
      <w:divBdr>
        <w:top w:val="none" w:sz="0" w:space="0" w:color="auto"/>
        <w:left w:val="none" w:sz="0" w:space="0" w:color="auto"/>
        <w:bottom w:val="none" w:sz="0" w:space="0" w:color="auto"/>
        <w:right w:val="none" w:sz="0" w:space="0" w:color="auto"/>
      </w:divBdr>
    </w:div>
    <w:div w:id="1538201038">
      <w:bodyDiv w:val="1"/>
      <w:marLeft w:val="0"/>
      <w:marRight w:val="0"/>
      <w:marTop w:val="0"/>
      <w:marBottom w:val="0"/>
      <w:divBdr>
        <w:top w:val="none" w:sz="0" w:space="0" w:color="auto"/>
        <w:left w:val="none" w:sz="0" w:space="0" w:color="auto"/>
        <w:bottom w:val="none" w:sz="0" w:space="0" w:color="auto"/>
        <w:right w:val="none" w:sz="0" w:space="0" w:color="auto"/>
      </w:divBdr>
    </w:div>
    <w:div w:id="1769083478">
      <w:bodyDiv w:val="1"/>
      <w:marLeft w:val="0"/>
      <w:marRight w:val="0"/>
      <w:marTop w:val="0"/>
      <w:marBottom w:val="0"/>
      <w:divBdr>
        <w:top w:val="none" w:sz="0" w:space="0" w:color="auto"/>
        <w:left w:val="none" w:sz="0" w:space="0" w:color="auto"/>
        <w:bottom w:val="none" w:sz="0" w:space="0" w:color="auto"/>
        <w:right w:val="none" w:sz="0" w:space="0" w:color="auto"/>
      </w:divBdr>
    </w:div>
    <w:div w:id="1870025367">
      <w:bodyDiv w:val="1"/>
      <w:marLeft w:val="0"/>
      <w:marRight w:val="0"/>
      <w:marTop w:val="0"/>
      <w:marBottom w:val="0"/>
      <w:divBdr>
        <w:top w:val="none" w:sz="0" w:space="0" w:color="auto"/>
        <w:left w:val="none" w:sz="0" w:space="0" w:color="auto"/>
        <w:bottom w:val="none" w:sz="0" w:space="0" w:color="auto"/>
        <w:right w:val="none" w:sz="0" w:space="0" w:color="auto"/>
      </w:divBdr>
    </w:div>
    <w:div w:id="20093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hyperlink" Target="http://medicarestatistics.humanservices.gov.au/statistics/mbs_item.js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image" Target="media/image2.t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yperlink" Target="http://www.pb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hyperlink" Target="http://www.pbs.gov.au/" TargetMode="External"/><Relationship Id="rId37"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hyperlink" Target="http://www.medicareaustralia.gov.au/provider/pbs/stats.jpg" TargetMode="External"/><Relationship Id="rId4" Type="http://schemas.microsoft.com/office/2007/relationships/stylesWithEffects" Target="stylesWithEffects.xml"/><Relationship Id="rId9" Type="http://schemas.openxmlformats.org/officeDocument/2006/relationships/hyperlink" Target="http://www.msac.gov.au"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hyperlink" Target="http://www.pbs.gov.au/" TargetMode="External"/><Relationship Id="rId35" Type="http://schemas.openxmlformats.org/officeDocument/2006/relationships/footer" Target="footer18.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reviews/anti-dementia-drugs-files/anti-dementia-report-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3CD9-CF0B-4BD6-8DD2-B10C5A44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155</Pages>
  <Words>60626</Words>
  <Characters>345571</Characters>
  <Application>Microsoft Office Word</Application>
  <DocSecurity>0</DocSecurity>
  <Lines>2879</Lines>
  <Paragraphs>810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McCandless Sean</cp:lastModifiedBy>
  <cp:revision>15</cp:revision>
  <cp:lastPrinted>2015-07-06T05:26:00Z</cp:lastPrinted>
  <dcterms:created xsi:type="dcterms:W3CDTF">2015-01-12T06:16:00Z</dcterms:created>
  <dcterms:modified xsi:type="dcterms:W3CDTF">2015-07-06T05:27:00Z</dcterms:modified>
</cp:coreProperties>
</file>