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AABB3" w14:textId="77777777" w:rsidR="00E44B80" w:rsidRPr="00F637B3" w:rsidRDefault="00E44B80" w:rsidP="00E44B80">
      <w:pPr>
        <w:jc w:val="center"/>
        <w:rPr>
          <w:b/>
          <w:szCs w:val="20"/>
        </w:rPr>
      </w:pPr>
      <w:bookmarkStart w:id="0" w:name="_Hlk18936810"/>
      <w:bookmarkEnd w:id="0"/>
      <w:r w:rsidRPr="00F637B3">
        <w:rPr>
          <w:b/>
          <w:noProof/>
          <w:szCs w:val="20"/>
          <w:lang w:eastAsia="en-AU"/>
        </w:rPr>
        <w:drawing>
          <wp:inline distT="0" distB="0" distL="0" distR="0" wp14:anchorId="5EEFF295" wp14:editId="363A17D2">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9A9DED3" w14:textId="77777777" w:rsidR="008B2610" w:rsidRDefault="008B2610" w:rsidP="00F971CC">
      <w:pPr>
        <w:pStyle w:val="Title"/>
        <w:spacing w:before="2600"/>
      </w:pPr>
      <w:r w:rsidRPr="001906CD">
        <w:t>Application Form</w:t>
      </w:r>
    </w:p>
    <w:p w14:paraId="44D6149A" w14:textId="77777777" w:rsidR="0056015F" w:rsidRDefault="0056015F" w:rsidP="0056015F"/>
    <w:p w14:paraId="63E12A84" w14:textId="2A3CB6A6" w:rsidR="0056015F" w:rsidRPr="0059257E" w:rsidRDefault="00FF30B5" w:rsidP="0067266E">
      <w:pPr>
        <w:pStyle w:val="TitleBlue"/>
        <w:spacing w:after="960"/>
        <w:rPr>
          <w:sz w:val="28"/>
          <w:szCs w:val="28"/>
        </w:rPr>
      </w:pPr>
      <w:r w:rsidRPr="0059257E">
        <w:rPr>
          <w:sz w:val="28"/>
          <w:szCs w:val="28"/>
        </w:rPr>
        <w:t xml:space="preserve">Testing of blood to detect germline BRCA1 or BRCA2 gene mutations, in patients with metastatic </w:t>
      </w:r>
      <w:r w:rsidR="00D33FFA">
        <w:rPr>
          <w:sz w:val="28"/>
          <w:szCs w:val="28"/>
        </w:rPr>
        <w:t>pancreatic</w:t>
      </w:r>
      <w:r w:rsidRPr="0059257E">
        <w:rPr>
          <w:sz w:val="28"/>
          <w:szCs w:val="28"/>
        </w:rPr>
        <w:t xml:space="preserve"> cancer to determi</w:t>
      </w:r>
      <w:r w:rsidR="0067266E">
        <w:rPr>
          <w:sz w:val="28"/>
          <w:szCs w:val="28"/>
        </w:rPr>
        <w:t xml:space="preserve">ne eligibility for PBS </w:t>
      </w:r>
      <w:proofErr w:type="spellStart"/>
      <w:r w:rsidR="0067266E">
        <w:rPr>
          <w:sz w:val="28"/>
          <w:szCs w:val="28"/>
        </w:rPr>
        <w:t>olaparib</w:t>
      </w:r>
      <w:proofErr w:type="spellEnd"/>
    </w:p>
    <w:p w14:paraId="38E43801"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26454E50"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BDA25A2"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0AE29823" w14:textId="77777777" w:rsidR="009F5758" w:rsidRPr="00154B00" w:rsidRDefault="009F5758" w:rsidP="003F7CB9">
      <w:pPr>
        <w:spacing w:before="0" w:after="0"/>
      </w:pPr>
    </w:p>
    <w:p w14:paraId="31F339DA"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5AFF3071"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AF24D80" w14:textId="77777777" w:rsidR="00E04FB3" w:rsidRPr="00C776B1" w:rsidRDefault="00D73646" w:rsidP="0056015F">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0C93D0F0"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DC34BD3" w14:textId="2A78E378"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AE1E6A">
        <w:t>Not Applicable</w:t>
      </w:r>
    </w:p>
    <w:p w14:paraId="68409FD0" w14:textId="092C487A"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B61B37">
        <w:t>AstraZeneca Pty Limited</w:t>
      </w:r>
    </w:p>
    <w:p w14:paraId="123FD751" w14:textId="15F3CA93"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B61B37">
        <w:t>54009682311</w:t>
      </w:r>
    </w:p>
    <w:p w14:paraId="3633EF5B" w14:textId="2C51D8BE"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B61B37">
        <w:t>AstraZeneca Pty Limited</w:t>
      </w:r>
    </w:p>
    <w:p w14:paraId="017240FE" w14:textId="77777777" w:rsidR="00C171FB" w:rsidRPr="00C171FB" w:rsidRDefault="00C171FB" w:rsidP="00C171FB"/>
    <w:p w14:paraId="1733F5F7" w14:textId="2BDBCC33" w:rsidR="00C171FB" w:rsidRPr="00C171FB" w:rsidRDefault="00C171FB" w:rsidP="00C171FB">
      <w:pPr>
        <w:rPr>
          <w:b/>
        </w:rPr>
      </w:pPr>
      <w:r>
        <w:rPr>
          <w:b/>
        </w:rPr>
        <w:t xml:space="preserve">Primary contact name: </w:t>
      </w:r>
      <w:r w:rsidR="0067266E" w:rsidRPr="0067266E">
        <w:rPr>
          <w:b/>
        </w:rPr>
        <w:t>REDACTED</w:t>
      </w:r>
    </w:p>
    <w:p w14:paraId="3F6FC638"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3E142E3E" w14:textId="68959E24"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7266E" w:rsidRPr="0067266E">
        <w:rPr>
          <w:b/>
        </w:rPr>
        <w:t>REDACTED</w:t>
      </w:r>
    </w:p>
    <w:p w14:paraId="6C4EBD0D" w14:textId="410695C8" w:rsidR="00B61B37" w:rsidRDefault="00C171FB" w:rsidP="00B61B37">
      <w:pPr>
        <w:pBdr>
          <w:top w:val="single" w:sz="4" w:space="1" w:color="auto"/>
          <w:left w:val="single" w:sz="4" w:space="4" w:color="auto"/>
          <w:bottom w:val="single" w:sz="4" w:space="1" w:color="auto"/>
          <w:right w:val="single" w:sz="4" w:space="4" w:color="auto"/>
        </w:pBdr>
      </w:pPr>
      <w:r>
        <w:t>Mobile:</w:t>
      </w:r>
      <w:r>
        <w:tab/>
      </w:r>
      <w:r w:rsidR="0067266E" w:rsidRPr="0067266E">
        <w:rPr>
          <w:b/>
        </w:rPr>
        <w:t>REDACTED</w:t>
      </w:r>
    </w:p>
    <w:p w14:paraId="3FA9A30A" w14:textId="22419486" w:rsidR="00C171FB" w:rsidRDefault="00C171FB" w:rsidP="00B61B37">
      <w:pPr>
        <w:pBdr>
          <w:top w:val="single" w:sz="4" w:space="1" w:color="auto"/>
          <w:left w:val="single" w:sz="4" w:space="4" w:color="auto"/>
          <w:bottom w:val="single" w:sz="4" w:space="1" w:color="auto"/>
          <w:right w:val="single" w:sz="4" w:space="4" w:color="auto"/>
        </w:pBdr>
        <w:rPr>
          <w:b/>
        </w:rPr>
      </w:pPr>
      <w:r>
        <w:t xml:space="preserve">Email: </w:t>
      </w:r>
      <w:r w:rsidR="0067266E" w:rsidRPr="0067266E">
        <w:rPr>
          <w:b/>
        </w:rPr>
        <w:t>REDACTED</w:t>
      </w:r>
    </w:p>
    <w:p w14:paraId="69E094D1" w14:textId="581FE7F9" w:rsidR="00C171FB" w:rsidRPr="00C171FB" w:rsidRDefault="00C171FB" w:rsidP="00C171FB">
      <w:pPr>
        <w:rPr>
          <w:b/>
        </w:rPr>
      </w:pPr>
      <w:r>
        <w:rPr>
          <w:b/>
        </w:rPr>
        <w:t xml:space="preserve">Alternative contact name: </w:t>
      </w:r>
      <w:r w:rsidR="0067266E" w:rsidRPr="0067266E">
        <w:rPr>
          <w:b/>
        </w:rPr>
        <w:t>REDACTED</w:t>
      </w:r>
    </w:p>
    <w:p w14:paraId="67B9FC20"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650A4E89" w14:textId="403DB8E9"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7266E" w:rsidRPr="0067266E">
        <w:rPr>
          <w:b/>
        </w:rPr>
        <w:t>REDACTED</w:t>
      </w:r>
    </w:p>
    <w:p w14:paraId="5760953F" w14:textId="77777777" w:rsidR="0067266E" w:rsidRDefault="00C171FB" w:rsidP="00C171FB">
      <w:pPr>
        <w:pBdr>
          <w:top w:val="single" w:sz="4" w:space="1" w:color="auto"/>
          <w:left w:val="single" w:sz="4" w:space="4" w:color="auto"/>
          <w:bottom w:val="single" w:sz="4" w:space="1" w:color="auto"/>
          <w:right w:val="single" w:sz="4" w:space="4" w:color="auto"/>
        </w:pBdr>
      </w:pPr>
      <w:r>
        <w:t xml:space="preserve">Mobile: </w:t>
      </w:r>
      <w:r w:rsidR="0067266E" w:rsidRPr="0067266E">
        <w:rPr>
          <w:b/>
        </w:rPr>
        <w:t>REDACTED</w:t>
      </w:r>
      <w:r w:rsidR="0067266E">
        <w:t xml:space="preserve"> </w:t>
      </w:r>
    </w:p>
    <w:p w14:paraId="0EDBBBE3" w14:textId="36A982F6"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7266E" w:rsidRPr="0067266E">
        <w:rPr>
          <w:b/>
        </w:rPr>
        <w:t>REDACTED</w:t>
      </w:r>
    </w:p>
    <w:p w14:paraId="1EC3B99A" w14:textId="77777777" w:rsidR="00C171FB" w:rsidRPr="00C171FB" w:rsidRDefault="00C171FB" w:rsidP="00C171FB"/>
    <w:p w14:paraId="55B3FD05" w14:textId="77777777" w:rsidR="00534C5F" w:rsidRPr="00154B00" w:rsidRDefault="00494011" w:rsidP="004A0BF4">
      <w:pPr>
        <w:pStyle w:val="Heading2"/>
      </w:pPr>
      <w:r>
        <w:t xml:space="preserve">(a) </w:t>
      </w:r>
      <w:r w:rsidR="00534C5F">
        <w:t>Are you a lobbyist acting on behalf of an Applicant?</w:t>
      </w:r>
    </w:p>
    <w:p w14:paraId="74FE8BDE"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D211B">
        <w:rPr>
          <w:szCs w:val="20"/>
        </w:rPr>
      </w:r>
      <w:r w:rsidR="008D211B">
        <w:rPr>
          <w:szCs w:val="20"/>
        </w:rPr>
        <w:fldChar w:fldCharType="separate"/>
      </w:r>
      <w:r w:rsidRPr="00753C44">
        <w:rPr>
          <w:szCs w:val="20"/>
        </w:rPr>
        <w:fldChar w:fldCharType="end"/>
      </w:r>
      <w:r>
        <w:rPr>
          <w:szCs w:val="20"/>
        </w:rPr>
        <w:t xml:space="preserve"> Yes</w:t>
      </w:r>
    </w:p>
    <w:p w14:paraId="6448C8CB" w14:textId="1F0291FD" w:rsidR="00A6491A" w:rsidRPr="00753C44" w:rsidRDefault="00B61B37"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8D211B">
        <w:rPr>
          <w:szCs w:val="20"/>
        </w:rPr>
      </w:r>
      <w:r w:rsidR="008D211B">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574C0B68"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B5E71B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D211B">
        <w:rPr>
          <w:szCs w:val="20"/>
        </w:rPr>
      </w:r>
      <w:r w:rsidR="008D211B">
        <w:rPr>
          <w:szCs w:val="20"/>
        </w:rPr>
        <w:fldChar w:fldCharType="separate"/>
      </w:r>
      <w:r w:rsidRPr="00753C44">
        <w:rPr>
          <w:szCs w:val="20"/>
        </w:rPr>
        <w:fldChar w:fldCharType="end"/>
      </w:r>
      <w:r>
        <w:rPr>
          <w:szCs w:val="20"/>
        </w:rPr>
        <w:t xml:space="preserve"> Yes</w:t>
      </w:r>
    </w:p>
    <w:p w14:paraId="113C7622"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D211B">
        <w:rPr>
          <w:szCs w:val="20"/>
        </w:rPr>
      </w:r>
      <w:r w:rsidR="008D211B">
        <w:rPr>
          <w:szCs w:val="20"/>
        </w:rPr>
        <w:fldChar w:fldCharType="separate"/>
      </w:r>
      <w:r w:rsidRPr="00753C44">
        <w:rPr>
          <w:szCs w:val="20"/>
        </w:rPr>
        <w:fldChar w:fldCharType="end"/>
      </w:r>
      <w:r>
        <w:rPr>
          <w:szCs w:val="20"/>
        </w:rPr>
        <w:t xml:space="preserve"> No</w:t>
      </w:r>
      <w:r w:rsidRPr="00753C44">
        <w:rPr>
          <w:szCs w:val="20"/>
        </w:rPr>
        <w:t xml:space="preserve">  </w:t>
      </w:r>
    </w:p>
    <w:p w14:paraId="71F5DB86" w14:textId="77777777" w:rsidR="00FB111F" w:rsidRDefault="00FB111F" w:rsidP="005C333E">
      <w:pPr>
        <w:spacing w:before="0" w:after="0"/>
        <w:ind w:left="426"/>
        <w:rPr>
          <w:bCs/>
          <w:szCs w:val="20"/>
        </w:rPr>
      </w:pPr>
    </w:p>
    <w:p w14:paraId="578CC03B" w14:textId="5ACC7D75" w:rsidR="00E04FB3" w:rsidRPr="00FB111F" w:rsidRDefault="00B61B37" w:rsidP="005C333E">
      <w:pPr>
        <w:spacing w:before="0" w:after="0"/>
        <w:ind w:left="426"/>
        <w:rPr>
          <w:bCs/>
          <w:szCs w:val="20"/>
        </w:rPr>
      </w:pPr>
      <w:r w:rsidRPr="00FB111F">
        <w:rPr>
          <w:bCs/>
          <w:szCs w:val="20"/>
        </w:rPr>
        <w:t>N</w:t>
      </w:r>
      <w:r w:rsidR="00FB111F" w:rsidRPr="00FB111F">
        <w:rPr>
          <w:bCs/>
          <w:szCs w:val="20"/>
        </w:rPr>
        <w:t xml:space="preserve">ot </w:t>
      </w:r>
      <w:r w:rsidRPr="00FB111F">
        <w:rPr>
          <w:bCs/>
          <w:szCs w:val="20"/>
        </w:rPr>
        <w:t>A</w:t>
      </w:r>
      <w:r w:rsidR="00FB111F" w:rsidRPr="00FB111F">
        <w:rPr>
          <w:bCs/>
          <w:szCs w:val="20"/>
        </w:rPr>
        <w:t>pplicable</w:t>
      </w:r>
      <w:r w:rsidR="00E04FB3" w:rsidRPr="00FB111F">
        <w:rPr>
          <w:bCs/>
          <w:szCs w:val="20"/>
        </w:rPr>
        <w:br w:type="page"/>
      </w:r>
    </w:p>
    <w:p w14:paraId="4DB77505"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21115A3" w14:textId="0EABB2E0" w:rsidR="000B3CD0" w:rsidRDefault="000B3CD0" w:rsidP="00730C04">
      <w:pPr>
        <w:pStyle w:val="Heading2"/>
      </w:pPr>
      <w:r w:rsidRPr="00154B00">
        <w:t>Application title</w:t>
      </w:r>
      <w:r w:rsidR="00A8732C">
        <w:t xml:space="preserve"> </w:t>
      </w:r>
    </w:p>
    <w:p w14:paraId="28A27FF2" w14:textId="637F795C" w:rsidR="00B61B37" w:rsidRPr="00B61B37" w:rsidRDefault="00B61B37" w:rsidP="007B5403">
      <w:pPr>
        <w:ind w:left="360"/>
      </w:pPr>
      <w:r>
        <w:t>Testing of blood to detect germline BRCA1 or BRCA2 gene mutations, in patient</w:t>
      </w:r>
      <w:r w:rsidR="00BC51C5">
        <w:t>s</w:t>
      </w:r>
      <w:r>
        <w:t xml:space="preserve"> with </w:t>
      </w:r>
      <w:r w:rsidR="001A11D6">
        <w:t xml:space="preserve">metastatic </w:t>
      </w:r>
      <w:r w:rsidR="00D33FFA">
        <w:t>pancreatic</w:t>
      </w:r>
      <w:r w:rsidR="001A11D6">
        <w:t xml:space="preserve"> </w:t>
      </w:r>
      <w:r w:rsidR="00BC51C5">
        <w:t>cancer</w:t>
      </w:r>
      <w:r w:rsidR="00746E31">
        <w:rPr>
          <w:szCs w:val="20"/>
        </w:rPr>
        <w:t xml:space="preserve">, </w:t>
      </w:r>
      <w:r w:rsidR="00746E31">
        <w:t>to determine eligibility for PBS olaparib.</w:t>
      </w:r>
    </w:p>
    <w:p w14:paraId="74DACC1A"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358DF65" w14:textId="1A630AB3" w:rsidR="009D0205" w:rsidRPr="009056C5" w:rsidRDefault="00C11B3B" w:rsidP="00066FC1">
      <w:pPr>
        <w:ind w:left="360"/>
      </w:pPr>
      <w:r>
        <w:t>Pancreatic cancer has one of the lowest 5 year survival rates</w:t>
      </w:r>
      <w:r w:rsidR="00CF0DA5">
        <w:t xml:space="preserve"> with a 9.8% survival rate for the period</w:t>
      </w:r>
      <w:r>
        <w:t xml:space="preserve"> 2011-2015. </w:t>
      </w:r>
      <w:r w:rsidR="00CF0DA5">
        <w:t>T</w:t>
      </w:r>
      <w:r w:rsidRPr="00BA4457">
        <w:t>he</w:t>
      </w:r>
      <w:r>
        <w:t xml:space="preserve"> </w:t>
      </w:r>
      <w:r w:rsidRPr="00BA4457">
        <w:t>prognosis of this</w:t>
      </w:r>
      <w:r>
        <w:t xml:space="preserve"> </w:t>
      </w:r>
      <w:r w:rsidRPr="00BA4457">
        <w:t xml:space="preserve">cancer has not improved </w:t>
      </w:r>
      <w:r>
        <w:t xml:space="preserve">significantly </w:t>
      </w:r>
      <w:r w:rsidRPr="00BA4457">
        <w:t xml:space="preserve">over the past 20 years, and </w:t>
      </w:r>
      <w:r>
        <w:t xml:space="preserve">the </w:t>
      </w:r>
      <w:r w:rsidRPr="00BA4457">
        <w:t>incidence</w:t>
      </w:r>
      <w:r>
        <w:t xml:space="preserve"> </w:t>
      </w:r>
      <w:r w:rsidRPr="00BA4457">
        <w:t>and mortality rates are very similar</w:t>
      </w:r>
      <w:r w:rsidR="00E4758A">
        <w:t xml:space="preserve"> </w:t>
      </w:r>
      <w:sdt>
        <w:sdtPr>
          <w:id w:val="-1938517948"/>
          <w:citation/>
        </w:sdtPr>
        <w:sdtEndPr/>
        <w:sdtContent>
          <w:r w:rsidR="00E4758A">
            <w:fldChar w:fldCharType="begin"/>
          </w:r>
          <w:r w:rsidR="00E4758A">
            <w:instrText xml:space="preserve">CITATION AIH19 \l 3081 </w:instrText>
          </w:r>
          <w:r w:rsidR="00E4758A">
            <w:fldChar w:fldCharType="separate"/>
          </w:r>
          <w:r w:rsidR="00E4758A">
            <w:t>(AIHW, 2019)</w:t>
          </w:r>
          <w:r w:rsidR="00E4758A">
            <w:fldChar w:fldCharType="end"/>
          </w:r>
        </w:sdtContent>
      </w:sdt>
      <w:r w:rsidR="00CF0DA5">
        <w:t>. A</w:t>
      </w:r>
      <w:r w:rsidR="00493A57">
        <w:t xml:space="preserve"> total of 3307 cases of pancreatic cancer </w:t>
      </w:r>
      <w:r w:rsidR="00CF0DA5">
        <w:t xml:space="preserve">were reported in 2015, </w:t>
      </w:r>
      <w:r w:rsidR="00493A57">
        <w:t>with 2911 deaths due to pancreatic cancer in 2016. I</w:t>
      </w:r>
      <w:r w:rsidR="00DD269E">
        <w:t xml:space="preserve">t is estimated that </w:t>
      </w:r>
      <w:r w:rsidR="00111087">
        <w:t>p</w:t>
      </w:r>
      <w:r w:rsidR="00BA4457" w:rsidRPr="00BA4457">
        <w:t xml:space="preserve">ancreatic cancer </w:t>
      </w:r>
      <w:r w:rsidR="00DD269E">
        <w:t>will be</w:t>
      </w:r>
      <w:r w:rsidR="00BA4457">
        <w:t xml:space="preserve"> </w:t>
      </w:r>
      <w:r w:rsidR="00BA4457" w:rsidRPr="00BA4457">
        <w:t xml:space="preserve">the fourth most </w:t>
      </w:r>
      <w:r w:rsidR="00BA4457">
        <w:t xml:space="preserve">common cause of death due to cancer </w:t>
      </w:r>
      <w:r w:rsidR="00DD269E">
        <w:t>in 2019</w:t>
      </w:r>
      <w:r w:rsidR="00CF0DA5" w:rsidRPr="0059257E">
        <w:t xml:space="preserve"> </w:t>
      </w:r>
      <w:sdt>
        <w:sdtPr>
          <w:id w:val="-1666156804"/>
          <w:citation/>
        </w:sdtPr>
        <w:sdtEndPr/>
        <w:sdtContent>
          <w:r w:rsidR="00CF0DA5" w:rsidRPr="0059257E">
            <w:fldChar w:fldCharType="begin"/>
          </w:r>
          <w:r w:rsidR="00CF0DA5">
            <w:instrText xml:space="preserve"> CITATION AIH19 \l 3081 </w:instrText>
          </w:r>
          <w:r w:rsidR="00CF0DA5" w:rsidRPr="0059257E">
            <w:fldChar w:fldCharType="separate"/>
          </w:r>
          <w:r w:rsidR="00CF0DA5">
            <w:t>(AIHW, 2019)</w:t>
          </w:r>
          <w:r w:rsidR="00CF0DA5" w:rsidRPr="0059257E">
            <w:fldChar w:fldCharType="end"/>
          </w:r>
        </w:sdtContent>
      </w:sdt>
      <w:r w:rsidR="00BA4457" w:rsidRPr="00BA4457">
        <w:t>.</w:t>
      </w:r>
      <w:r w:rsidR="00BA4457">
        <w:t xml:space="preserve"> </w:t>
      </w:r>
      <w:r w:rsidR="00BA4457" w:rsidRPr="00EE6333">
        <w:t>Th</w:t>
      </w:r>
      <w:r w:rsidR="00BA4457">
        <w:t>e</w:t>
      </w:r>
      <w:r w:rsidR="00BA4457" w:rsidRPr="00EE6333">
        <w:t xml:space="preserve"> poor prognosis for pancreatic cancer is directly related to late diagnosis, when the disease is often locally advanced or metastatic</w:t>
      </w:r>
      <w:r w:rsidR="00493A57">
        <w:t>, and surgery is not an option</w:t>
      </w:r>
      <w:r w:rsidR="00700792">
        <w:t xml:space="preserve"> </w:t>
      </w:r>
      <w:r w:rsidR="00700792">
        <w:fldChar w:fldCharType="begin" w:fldLock="1"/>
      </w:r>
      <w:r w:rsidR="008B5D05">
        <w:instrText>ADDIN CSL_CITATION {"citationItems":[{"id":"ITEM-1","itemData":{"ISBN":"978-1-74249-282-7","abstract":"The Australian Institute of Health and Welfare is a major national agency which provides reliable, regular and relevant information and statistics on Australia's health and welfare. The Institute's mission is authoritative information and statistics to promote better health and wellbeing. © Australian Institute of Health and Welfare 2012 This product, excluding the AIHW logo, Commonwealth Coat of Arms and any material owned by a third party or protected by a trademark, has been released under a Creative Commons BY 3.0 (CC-BY 3.0) licence. Excluded material owned by third parties may include, for example, design and layout, images obtained under licence from third parties and signatures. We have made all reasonable efforts to identify and label material owned by third parties. You may distribute, remix and build upon this work. However, you must attribute the AIHW as the copyright holder of the work in compliance with our attribution policy available at &lt;www.aihw.gov.au/copyright/&gt;. The full terms and conditions of this licence are available at","author":[{"dropping-particle":"","family":"AIHW","given":"","non-dropping-particle":"","parse-names":false,"suffix":""}],"id":"ITEM-1","issued":{"date-parts":[["2012"]]},"title":"Cancer incidence projections, Australia 2011-2020","type":"book"},"uris":["http://www.mendeley.com/documents/?uuid=02e2a980-84d6-3226-ac1a-f7271e9e292f"]}],"mendeley":{"formattedCitation":"(AIHW 2012)","plainTextFormattedCitation":"(AIHW 2012)","previouslyFormattedCitation":"(AIHW 2012)"},"properties":{"noteIndex":0},"schema":"https://github.com/citation-style-language/schema/raw/master/csl-citation.json"}</w:instrText>
      </w:r>
      <w:r w:rsidR="00700792">
        <w:fldChar w:fldCharType="separate"/>
      </w:r>
      <w:r w:rsidR="00700792" w:rsidRPr="00700792">
        <w:rPr>
          <w:noProof/>
        </w:rPr>
        <w:t>(AIHW 2012)</w:t>
      </w:r>
      <w:r w:rsidR="00700792">
        <w:fldChar w:fldCharType="end"/>
      </w:r>
      <w:r w:rsidR="00493A57">
        <w:t xml:space="preserve">. </w:t>
      </w:r>
      <w:r w:rsidR="009D0205">
        <w:t>Carriers of germline m</w:t>
      </w:r>
      <w:r w:rsidR="009D0205" w:rsidRPr="00111087">
        <w:t xml:space="preserve">utations in </w:t>
      </w:r>
      <w:r w:rsidR="009D0205" w:rsidRPr="00C950E0">
        <w:t>BRCA1/2</w:t>
      </w:r>
      <w:r w:rsidR="009D0205" w:rsidRPr="0059257E">
        <w:t xml:space="preserve"> </w:t>
      </w:r>
      <w:r w:rsidR="009D0205">
        <w:t>genes are known to have an increased risk of pancreatic cancer with up to 7%  of unselected pancreatic cancer cases having a germline BRCA 1/2 mutation</w:t>
      </w:r>
      <w:sdt>
        <w:sdtPr>
          <w:id w:val="897092449"/>
          <w:citation/>
        </w:sdtPr>
        <w:sdtEndPr/>
        <w:sdtContent>
          <w:r w:rsidR="00C950E0">
            <w:fldChar w:fldCharType="begin"/>
          </w:r>
          <w:r w:rsidR="000E7676">
            <w:instrText xml:space="preserve">CITATION Gol19 \l 3081 </w:instrText>
          </w:r>
          <w:r w:rsidR="00C950E0">
            <w:fldChar w:fldCharType="separate"/>
          </w:r>
          <w:r w:rsidR="000E7676">
            <w:t xml:space="preserve"> (Golan T, 2019)</w:t>
          </w:r>
          <w:r w:rsidR="00C950E0">
            <w:fldChar w:fldCharType="end"/>
          </w:r>
        </w:sdtContent>
      </w:sdt>
      <w:r w:rsidR="00C950E0">
        <w:t xml:space="preserve"> </w:t>
      </w:r>
      <w:r w:rsidR="009D0205">
        <w:t xml:space="preserve">. </w:t>
      </w:r>
    </w:p>
    <w:p w14:paraId="6EEC4C34"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B55768A" w14:textId="45F00A8B" w:rsidR="00746E31" w:rsidRDefault="00746E31" w:rsidP="00746E31">
      <w:pPr>
        <w:ind w:left="360"/>
      </w:pPr>
      <w:r>
        <w:t xml:space="preserve">The proposed medical service is testing </w:t>
      </w:r>
      <w:r w:rsidR="008B2FAC">
        <w:t xml:space="preserve">of blood </w:t>
      </w:r>
      <w:r>
        <w:t>for germline BRCA</w:t>
      </w:r>
      <w:r w:rsidR="00EF353C">
        <w:t xml:space="preserve"> 1/2 </w:t>
      </w:r>
      <w:r>
        <w:t>mutations, in patients with metastatic pancreatic cancer</w:t>
      </w:r>
      <w:r>
        <w:rPr>
          <w:szCs w:val="20"/>
        </w:rPr>
        <w:t>.</w:t>
      </w:r>
      <w:r w:rsidR="008B2FAC">
        <w:rPr>
          <w:szCs w:val="20"/>
        </w:rPr>
        <w:t xml:space="preserve"> </w:t>
      </w:r>
      <w:r>
        <w:rPr>
          <w:szCs w:val="20"/>
        </w:rPr>
        <w:t>The purpose of the test is to</w:t>
      </w:r>
      <w:r>
        <w:t xml:space="preserve"> determine eligibility for PBS olaparib</w:t>
      </w:r>
      <w:r w:rsidR="002C3BD1">
        <w:t xml:space="preserve"> (i.e. treatment of patients whose disease does not progress following first line treatment with platinum based chemotherapy)</w:t>
      </w:r>
      <w:r>
        <w:t>.</w:t>
      </w:r>
    </w:p>
    <w:p w14:paraId="49094E79" w14:textId="12CD44E1" w:rsidR="00746E31" w:rsidRDefault="008B2FAC" w:rsidP="00746E31">
      <w:pPr>
        <w:ind w:left="360"/>
      </w:pPr>
      <w:r w:rsidRPr="00C950E0">
        <w:rPr>
          <w:lang w:val="en-GB"/>
        </w:rPr>
        <w:t xml:space="preserve">Germline BRCA mutation testing is currently well established in Australia. </w:t>
      </w:r>
      <w:r w:rsidR="00C950E0" w:rsidRPr="00C950E0">
        <w:rPr>
          <w:lang w:val="en-GB"/>
        </w:rPr>
        <w:t>Germline</w:t>
      </w:r>
      <w:r w:rsidR="00746E31" w:rsidRPr="00C950E0">
        <w:t xml:space="preserve"> BRCA</w:t>
      </w:r>
      <w:r w:rsidR="00EF353C">
        <w:t xml:space="preserve"> </w:t>
      </w:r>
      <w:r w:rsidR="00746E31" w:rsidRPr="00C950E0">
        <w:t>1/2 testing to determine eligibility for olaparib maintenance therapy in patients with platinum sensitive, relapsed high grade serous ovarian cancer (HGSOC) has been listed on the MBS (Item 73295) and PBS (</w:t>
      </w:r>
      <w:r w:rsidR="00D629CC" w:rsidRPr="00B02770">
        <w:t>Items 11503K</w:t>
      </w:r>
      <w:r w:rsidR="00D629CC">
        <w:t>;</w:t>
      </w:r>
      <w:r w:rsidR="00D629CC" w:rsidRPr="00B02770">
        <w:t xml:space="preserve"> 11522K – 100 mg tablets; 11528R</w:t>
      </w:r>
      <w:r w:rsidR="00D629CC">
        <w:t>;</w:t>
      </w:r>
      <w:r w:rsidR="00D629CC" w:rsidRPr="00B02770">
        <w:t>11539H – 150 mg tablets; 11050N</w:t>
      </w:r>
      <w:r w:rsidR="00D629CC">
        <w:t xml:space="preserve"> - </w:t>
      </w:r>
      <w:r w:rsidR="00D629CC" w:rsidRPr="00B02770">
        <w:t>50 mg capsules)</w:t>
      </w:r>
      <w:r w:rsidR="00746E31" w:rsidRPr="00C950E0">
        <w:t xml:space="preserve"> since 1 February 2017 (refer co-dependent MSAC/PBAC Application 1380). </w:t>
      </w:r>
      <w:r w:rsidR="00D629CC" w:rsidRPr="00396A3B">
        <w:t>Germline BRCA testing is also established to screen for mutations in at risk patients with ovarian or breast cancer (MBS Item 73296) and for familial cascade testing (MBS Item 73297).</w:t>
      </w:r>
    </w:p>
    <w:p w14:paraId="11BB6DAF" w14:textId="77777777" w:rsidR="001413A4" w:rsidRPr="00C950E0" w:rsidRDefault="001413A4" w:rsidP="00746E31">
      <w:pPr>
        <w:ind w:left="360"/>
      </w:pPr>
    </w:p>
    <w:p w14:paraId="46474232"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3CB4499" w14:textId="77777777" w:rsidR="00CF1C5C" w:rsidRDefault="00CF1C5C" w:rsidP="00CF1C5C">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8D211B">
        <w:rPr>
          <w:szCs w:val="20"/>
        </w:rPr>
      </w:r>
      <w:r w:rsidR="008D211B">
        <w:rPr>
          <w:szCs w:val="20"/>
        </w:rPr>
        <w:fldChar w:fldCharType="separate"/>
      </w:r>
      <w:r>
        <w:rPr>
          <w:szCs w:val="20"/>
        </w:rPr>
        <w:fldChar w:fldCharType="end"/>
      </w:r>
      <w:bookmarkEnd w:id="3"/>
      <w:r>
        <w:rPr>
          <w:szCs w:val="20"/>
        </w:rPr>
        <w:t xml:space="preserve"> Yes</w:t>
      </w:r>
    </w:p>
    <w:p w14:paraId="7C05DADD"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2F1F52">
        <w:rPr>
          <w:szCs w:val="20"/>
        </w:rPr>
        <w:instrText xml:space="preserve"> FORMCHECKBOX </w:instrText>
      </w:r>
      <w:r w:rsidR="008D211B">
        <w:rPr>
          <w:szCs w:val="20"/>
        </w:rPr>
      </w:r>
      <w:r w:rsidR="008D211B">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7AA41A8"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bookmarkStart w:id="4" w:name="_Hlk20920716"/>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9A576C4" w14:textId="7ECA2C61" w:rsidR="00753C44" w:rsidRDefault="002F1F52" w:rsidP="00A6491A">
      <w:pPr>
        <w:spacing w:before="0" w:after="0"/>
        <w:ind w:left="284"/>
        <w:rPr>
          <w:szCs w:val="20"/>
        </w:rPr>
      </w:pPr>
      <w:r w:rsidRPr="00753C44">
        <w:rPr>
          <w:szCs w:val="20"/>
        </w:rPr>
        <w:lastRenderedPageBreak/>
        <w:fldChar w:fldCharType="begin">
          <w:ffData>
            <w:name w:val="Check2"/>
            <w:enabled/>
            <w:calcOnExit w:val="0"/>
            <w:checkBox>
              <w:sizeAuto/>
              <w:default w:val="0"/>
            </w:checkBox>
          </w:ffData>
        </w:fldChar>
      </w:r>
      <w:r w:rsidRPr="00FB49CD">
        <w:rPr>
          <w:szCs w:val="20"/>
        </w:rPr>
        <w:instrText xml:space="preserve"> FORMCHECKBOX </w:instrText>
      </w:r>
      <w:r w:rsidR="008D211B">
        <w:rPr>
          <w:szCs w:val="20"/>
        </w:rPr>
      </w:r>
      <w:r w:rsidR="008D211B">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42A9C9FC" w14:textId="77777777" w:rsidR="00D33FFA" w:rsidRDefault="00D33FFA" w:rsidP="00A6491A">
      <w:pPr>
        <w:spacing w:before="0" w:after="0"/>
        <w:ind w:left="284"/>
        <w:rPr>
          <w:szCs w:val="20"/>
        </w:rPr>
      </w:pPr>
    </w:p>
    <w:p w14:paraId="4BCA018A" w14:textId="1A9FECCB" w:rsidR="00753C44" w:rsidRDefault="00CF1C5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Pr>
          <w:szCs w:val="20"/>
        </w:rPr>
        <w:t xml:space="preserve"> </w:t>
      </w:r>
      <w:r w:rsidR="00753C44" w:rsidRPr="00154B00">
        <w:rPr>
          <w:szCs w:val="20"/>
        </w:rPr>
        <w:t>New MBS item</w:t>
      </w:r>
      <w:r w:rsidR="00753C44">
        <w:rPr>
          <w:szCs w:val="20"/>
        </w:rPr>
        <w:t>(s)</w:t>
      </w:r>
    </w:p>
    <w:p w14:paraId="044BF214" w14:textId="6D0E58CC" w:rsidR="00D33FFA" w:rsidRDefault="00D33FFA" w:rsidP="00A6491A">
      <w:pPr>
        <w:spacing w:before="0" w:after="0"/>
        <w:ind w:left="284"/>
        <w:rPr>
          <w:szCs w:val="20"/>
        </w:rPr>
      </w:pPr>
    </w:p>
    <w:bookmarkEnd w:id="4"/>
    <w:p w14:paraId="56D3A6AB" w14:textId="77777777" w:rsidR="00CF1C5C" w:rsidRDefault="00CF1C5C" w:rsidP="00CF1C5C">
      <w:pPr>
        <w:spacing w:before="0" w:after="0"/>
        <w:rPr>
          <w:szCs w:val="20"/>
        </w:rPr>
      </w:pPr>
    </w:p>
    <w:p w14:paraId="7F88EEC0" w14:textId="471ADFF3" w:rsidR="00CF1C5C" w:rsidRDefault="00CF1C5C" w:rsidP="00CF1C5C">
      <w:pPr>
        <w:spacing w:before="0" w:after="0"/>
        <w:rPr>
          <w:szCs w:val="20"/>
        </w:rPr>
      </w:pPr>
      <w:r>
        <w:rPr>
          <w:szCs w:val="20"/>
        </w:rPr>
        <w:t xml:space="preserve">Please note that there are a number of existing MBS items </w:t>
      </w:r>
      <w:r w:rsidR="007E7D10">
        <w:rPr>
          <w:szCs w:val="20"/>
        </w:rPr>
        <w:t>related to germline BRCA 1/2 testing:</w:t>
      </w:r>
    </w:p>
    <w:p w14:paraId="433C4A57" w14:textId="77777777" w:rsidR="00CF1C5C" w:rsidRDefault="00CF1C5C" w:rsidP="00CF1C5C">
      <w:pPr>
        <w:spacing w:before="0" w:after="0"/>
        <w:ind w:left="284"/>
        <w:rPr>
          <w:szCs w:val="20"/>
        </w:rPr>
      </w:pPr>
    </w:p>
    <w:p w14:paraId="7AFCB88E" w14:textId="7DC59294" w:rsidR="00CF1C5C" w:rsidRPr="00EF416B" w:rsidRDefault="00CF1C5C" w:rsidP="00CF1C5C">
      <w:pPr>
        <w:pStyle w:val="ListParagraph"/>
        <w:numPr>
          <w:ilvl w:val="0"/>
          <w:numId w:val="37"/>
        </w:numPr>
        <w:spacing w:before="0" w:after="0"/>
        <w:rPr>
          <w:szCs w:val="20"/>
        </w:rPr>
      </w:pPr>
      <w:bookmarkStart w:id="5" w:name="_Hlk20920794"/>
      <w:r w:rsidRPr="00C13A32">
        <w:rPr>
          <w:b/>
          <w:bCs/>
          <w:szCs w:val="20"/>
        </w:rPr>
        <w:t>MBS Item 73295</w:t>
      </w:r>
      <w:r w:rsidR="00C13A32" w:rsidRPr="00C13A32">
        <w:rPr>
          <w:b/>
          <w:bCs/>
          <w:szCs w:val="20"/>
        </w:rPr>
        <w:t>:</w:t>
      </w:r>
      <w:r w:rsidRPr="00EF416B">
        <w:rPr>
          <w:szCs w:val="20"/>
        </w:rPr>
        <w:t xml:space="preserve"> Detection of germline BRCA</w:t>
      </w:r>
      <w:r w:rsidR="00683C5B">
        <w:rPr>
          <w:szCs w:val="20"/>
        </w:rPr>
        <w:t xml:space="preserve"> </w:t>
      </w:r>
      <w:r w:rsidRPr="00EF416B">
        <w:rPr>
          <w:szCs w:val="20"/>
        </w:rPr>
        <w:t>1/2 gene mutations in patients with platinum sensitive</w:t>
      </w:r>
      <w:r w:rsidR="00C13A32">
        <w:rPr>
          <w:szCs w:val="20"/>
        </w:rPr>
        <w:t>,</w:t>
      </w:r>
      <w:r w:rsidRPr="00EF416B">
        <w:rPr>
          <w:szCs w:val="20"/>
        </w:rPr>
        <w:t xml:space="preserve"> </w:t>
      </w:r>
      <w:r w:rsidR="00C13A32" w:rsidRPr="00C13A32">
        <w:rPr>
          <w:szCs w:val="20"/>
        </w:rPr>
        <w:t>relapsed ovarian, fallopian tube or primary peritoneal cancer with high grade serous features or a high grade serous component</w:t>
      </w:r>
      <w:r w:rsidR="00C13A32">
        <w:rPr>
          <w:szCs w:val="20"/>
        </w:rPr>
        <w:t xml:space="preserve">, to determine eligibility for olaparib under the </w:t>
      </w:r>
      <w:r w:rsidR="00C13A32" w:rsidRPr="00C13A32">
        <w:rPr>
          <w:szCs w:val="20"/>
        </w:rPr>
        <w:t>Pharmaceutical Benefits Scheme (PBS)</w:t>
      </w:r>
    </w:p>
    <w:p w14:paraId="4C410E54" w14:textId="4BEE9391" w:rsidR="00CF1C5C" w:rsidRPr="00EF416B" w:rsidRDefault="00CF1C5C" w:rsidP="00CF1C5C">
      <w:pPr>
        <w:pStyle w:val="ListParagraph"/>
        <w:numPr>
          <w:ilvl w:val="0"/>
          <w:numId w:val="37"/>
        </w:numPr>
        <w:spacing w:before="0" w:after="0"/>
        <w:rPr>
          <w:szCs w:val="20"/>
        </w:rPr>
      </w:pPr>
      <w:r w:rsidRPr="00C13A32">
        <w:rPr>
          <w:b/>
          <w:bCs/>
          <w:szCs w:val="20"/>
        </w:rPr>
        <w:t>MBS Item 73296</w:t>
      </w:r>
      <w:r w:rsidR="00C13A32">
        <w:rPr>
          <w:szCs w:val="20"/>
        </w:rPr>
        <w:t>:</w:t>
      </w:r>
      <w:r w:rsidRPr="00EF416B">
        <w:rPr>
          <w:szCs w:val="20"/>
        </w:rPr>
        <w:t xml:space="preserve"> Characterisation of germline gene mutations including BRCA</w:t>
      </w:r>
      <w:r w:rsidR="00683C5B">
        <w:rPr>
          <w:szCs w:val="20"/>
        </w:rPr>
        <w:t xml:space="preserve"> </w:t>
      </w:r>
      <w:r w:rsidRPr="00EF416B">
        <w:rPr>
          <w:szCs w:val="20"/>
        </w:rPr>
        <w:t>1/2, STK11, PTEN, CDH1, PALB2 or TP53 in a patient with breast or ovarian cancer at &gt;10% risk of having one or more of these mutations.</w:t>
      </w:r>
    </w:p>
    <w:p w14:paraId="76CF9856" w14:textId="4E6EBFB7" w:rsidR="00CF1C5C" w:rsidRPr="00EF416B" w:rsidRDefault="00CF1C5C" w:rsidP="00CF1C5C">
      <w:pPr>
        <w:pStyle w:val="ListParagraph"/>
        <w:numPr>
          <w:ilvl w:val="0"/>
          <w:numId w:val="37"/>
        </w:numPr>
        <w:spacing w:before="0" w:after="0"/>
        <w:rPr>
          <w:szCs w:val="20"/>
        </w:rPr>
      </w:pPr>
      <w:r w:rsidRPr="00C13A32">
        <w:rPr>
          <w:b/>
          <w:bCs/>
          <w:szCs w:val="20"/>
        </w:rPr>
        <w:t>MBS Item 73297</w:t>
      </w:r>
      <w:r w:rsidR="00C13A32">
        <w:rPr>
          <w:szCs w:val="20"/>
        </w:rPr>
        <w:t>:</w:t>
      </w:r>
      <w:r w:rsidRPr="00EF416B">
        <w:rPr>
          <w:szCs w:val="20"/>
        </w:rPr>
        <w:t xml:space="preserve"> Characterisation of germline gene mutations in a biological relative of a patient with one or more of the gene mutations in Item 73296.</w:t>
      </w:r>
    </w:p>
    <w:bookmarkEnd w:id="5"/>
    <w:p w14:paraId="151403B2" w14:textId="77777777" w:rsidR="00CF1C5C" w:rsidRDefault="00CF1C5C" w:rsidP="00CF1C5C">
      <w:pPr>
        <w:spacing w:before="0" w:after="0"/>
        <w:rPr>
          <w:szCs w:val="20"/>
        </w:rPr>
      </w:pPr>
    </w:p>
    <w:p w14:paraId="15778534" w14:textId="50E48AA8" w:rsidR="00CF1C5C" w:rsidRPr="00363ED3" w:rsidRDefault="00C13A32" w:rsidP="00CF1C5C">
      <w:pPr>
        <w:spacing w:before="0" w:after="0"/>
        <w:rPr>
          <w:szCs w:val="20"/>
        </w:rPr>
      </w:pPr>
      <w:r>
        <w:rPr>
          <w:szCs w:val="20"/>
        </w:rPr>
        <w:t xml:space="preserve">It is expected that a </w:t>
      </w:r>
      <w:r w:rsidR="00CF1C5C">
        <w:rPr>
          <w:szCs w:val="20"/>
        </w:rPr>
        <w:t>patient will only be tested for BRCA mutations once</w:t>
      </w:r>
      <w:r>
        <w:rPr>
          <w:szCs w:val="20"/>
        </w:rPr>
        <w:t xml:space="preserve"> in their lifetime </w:t>
      </w:r>
      <w:r w:rsidR="001E3028">
        <w:rPr>
          <w:szCs w:val="20"/>
        </w:rPr>
        <w:t>utilising the relevant M</w:t>
      </w:r>
      <w:r w:rsidR="00CF1C5C">
        <w:rPr>
          <w:szCs w:val="20"/>
        </w:rPr>
        <w:t>BS Item</w:t>
      </w:r>
      <w:r w:rsidR="001E3028">
        <w:rPr>
          <w:szCs w:val="20"/>
        </w:rPr>
        <w:t>.</w:t>
      </w:r>
    </w:p>
    <w:p w14:paraId="6844D07F" w14:textId="77777777" w:rsidR="00CF1C5C" w:rsidRPr="00753C44" w:rsidRDefault="00CF1C5C" w:rsidP="00A6491A">
      <w:pPr>
        <w:spacing w:before="0" w:after="0"/>
        <w:ind w:left="284"/>
        <w:rPr>
          <w:szCs w:val="20"/>
        </w:rPr>
      </w:pPr>
    </w:p>
    <w:p w14:paraId="1FA9D7C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1C80CE4" w14:textId="7A93F00F" w:rsidR="003D795C" w:rsidRPr="00CB12EC" w:rsidRDefault="00AE1E6A" w:rsidP="00A6491A">
      <w:pPr>
        <w:ind w:left="284"/>
      </w:pPr>
      <w:r>
        <w:t>Not Applicable</w:t>
      </w:r>
    </w:p>
    <w:p w14:paraId="02A35CA0" w14:textId="073512B4"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02518C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2F1F52">
        <w:rPr>
          <w:b/>
          <w:szCs w:val="20"/>
        </w:rPr>
        <w:instrText xml:space="preserve"> FORMCHECKBOX </w:instrText>
      </w:r>
      <w:r w:rsidR="008D211B">
        <w:rPr>
          <w:b/>
          <w:szCs w:val="20"/>
        </w:rPr>
      </w:r>
      <w:r w:rsidR="008D211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3A345C0B" w14:textId="7AD63826"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r>
      <w:r w:rsidRPr="004A263B">
        <w:rPr>
          <w:b/>
          <w:szCs w:val="20"/>
        </w:rPr>
        <w:instrText xml:space="preserve"> FORMCHECKBOX </w:instrText>
      </w:r>
      <w:r w:rsidR="008D211B">
        <w:rPr>
          <w:b/>
          <w:szCs w:val="20"/>
        </w:rPr>
        <w:fldChar w:fldCharType="separate"/>
      </w:r>
      <w:r w:rsidRPr="004A263B">
        <w:rPr>
          <w:b/>
          <w:szCs w:val="20"/>
        </w:rPr>
        <w:fldChar w:fldCharType="end"/>
      </w:r>
      <w:r w:rsidR="002F1F52" w:rsidRPr="004A263B">
        <w:rPr>
          <w:b/>
          <w:szCs w:val="20"/>
        </w:rPr>
        <w:fldChar w:fldCharType="begin">
          <w:ffData>
            <w:name w:val="Check2"/>
            <w:enabled/>
            <w:calcOnExit w:val="0"/>
            <w:checkBox>
              <w:sizeAuto/>
              <w:default w:val="0"/>
            </w:checkBox>
          </w:ffData>
        </w:fldChar>
      </w:r>
      <w:r w:rsidR="002F1F52" w:rsidRPr="002F1F52">
        <w:rPr>
          <w:b/>
          <w:szCs w:val="20"/>
        </w:rPr>
        <w:instrText xml:space="preserve"> FORMCHECKBOX </w:instrText>
      </w:r>
      <w:r w:rsidR="008D211B">
        <w:rPr>
          <w:b/>
          <w:szCs w:val="20"/>
        </w:rPr>
      </w:r>
      <w:r w:rsidR="008D211B">
        <w:rPr>
          <w:b/>
          <w:szCs w:val="20"/>
        </w:rPr>
        <w:fldChar w:fldCharType="separate"/>
      </w:r>
      <w:r w:rsidR="002F1F52" w:rsidRPr="004A263B">
        <w:rPr>
          <w:b/>
          <w:szCs w:val="20"/>
        </w:rPr>
        <w:fldChar w:fldCharType="end"/>
      </w:r>
      <w:r w:rsidR="002F1F52">
        <w:rPr>
          <w:b/>
          <w:szCs w:val="20"/>
        </w:rPr>
        <w:t xml:space="preserve"> </w:t>
      </w:r>
      <w:r w:rsidRPr="004A263B">
        <w:rPr>
          <w:rStyle w:val="Strong"/>
          <w:b w:val="0"/>
        </w:rPr>
        <w:t>An amendment to the patient population under the existing item(s)</w:t>
      </w:r>
    </w:p>
    <w:p w14:paraId="05BBE2F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D211B">
        <w:rPr>
          <w:b/>
          <w:szCs w:val="20"/>
        </w:rPr>
      </w:r>
      <w:r w:rsidR="008D211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140011A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D211B">
        <w:rPr>
          <w:b/>
          <w:szCs w:val="20"/>
        </w:rPr>
      </w:r>
      <w:r w:rsidR="008D211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61B2E6C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D211B">
        <w:rPr>
          <w:b/>
          <w:szCs w:val="20"/>
        </w:rPr>
      </w:r>
      <w:r w:rsidR="008D211B">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274D0ED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D211B">
        <w:rPr>
          <w:b/>
          <w:szCs w:val="20"/>
        </w:rPr>
      </w:r>
      <w:r w:rsidR="008D211B">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23FACD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D211B">
        <w:rPr>
          <w:b/>
          <w:szCs w:val="20"/>
        </w:rPr>
      </w:r>
      <w:r w:rsidR="008D211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6FD79B2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D211B">
        <w:rPr>
          <w:b/>
          <w:szCs w:val="20"/>
        </w:rPr>
      </w:r>
      <w:r w:rsidR="008D211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3D685DEB"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D211B">
        <w:rPr>
          <w:b/>
          <w:szCs w:val="20"/>
        </w:rPr>
      </w:r>
      <w:r w:rsidR="008D211B">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67E7DB1B" w14:textId="2D009D16" w:rsidR="002A270B" w:rsidRPr="00CB12EC" w:rsidRDefault="007E681D" w:rsidP="00A6491A">
      <w:pPr>
        <w:ind w:left="284"/>
      </w:pPr>
      <w:r>
        <w:t>N</w:t>
      </w:r>
      <w:r w:rsidR="00FB111F">
        <w:t>ot Applicable</w:t>
      </w:r>
    </w:p>
    <w:p w14:paraId="44CD99BD"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E8FB5F6"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D211B">
        <w:rPr>
          <w:b/>
          <w:szCs w:val="20"/>
        </w:rPr>
      </w:r>
      <w:r w:rsidR="008D211B">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0A447117" w14:textId="317841C3" w:rsidR="006B6390" w:rsidRDefault="001E3028" w:rsidP="00AA2CFE">
      <w:pPr>
        <w:pStyle w:val="ListParagraph"/>
        <w:numPr>
          <w:ilvl w:val="0"/>
          <w:numId w:val="35"/>
        </w:numPr>
        <w:spacing w:before="0" w:after="0"/>
        <w:ind w:left="851" w:hanging="425"/>
        <w:rPr>
          <w:rStyle w:val="Strong"/>
          <w:b w:val="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7EB3473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8D211B">
        <w:rPr>
          <w:b/>
          <w:szCs w:val="20"/>
        </w:rPr>
      </w:r>
      <w:r w:rsidR="008D211B">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EBFC3E0" w14:textId="386B8E08" w:rsidR="006B6390"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D211B">
        <w:rPr>
          <w:b/>
          <w:szCs w:val="20"/>
        </w:rPr>
      </w:r>
      <w:r w:rsidR="008D211B">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1349569" w14:textId="4AFF8167" w:rsidR="001E3028" w:rsidRDefault="001E3028" w:rsidP="001E3028">
      <w:pPr>
        <w:spacing w:before="0" w:after="0"/>
        <w:rPr>
          <w:rStyle w:val="Strong"/>
          <w:b w:val="0"/>
        </w:rPr>
      </w:pPr>
    </w:p>
    <w:p w14:paraId="6E457E88" w14:textId="77777777" w:rsidR="001E3028" w:rsidRDefault="001E3028" w:rsidP="001E3028">
      <w:pPr>
        <w:spacing w:before="0" w:after="0"/>
        <w:ind w:left="720"/>
        <w:rPr>
          <w:rStyle w:val="Strong"/>
          <w:b w:val="0"/>
        </w:rPr>
      </w:pPr>
      <w:r>
        <w:rPr>
          <w:rStyle w:val="Strong"/>
          <w:b w:val="0"/>
        </w:rPr>
        <w:t xml:space="preserve">An additional population is proposed for germline BRCA 1/2 testing in </w:t>
      </w:r>
      <w:r>
        <w:t>patients with platinum sensitive, metastatic pancreatic cancer</w:t>
      </w:r>
    </w:p>
    <w:p w14:paraId="47143BC3" w14:textId="77777777" w:rsidR="001E3028" w:rsidRPr="001E3028" w:rsidRDefault="001E3028" w:rsidP="001E3028">
      <w:pPr>
        <w:spacing w:before="0" w:after="0"/>
        <w:rPr>
          <w:rStyle w:val="Strong"/>
          <w:b w:val="0"/>
        </w:rPr>
      </w:pPr>
    </w:p>
    <w:p w14:paraId="5DCA3985"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320D98A8"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sidRPr="000A5B32">
        <w:rPr>
          <w:szCs w:val="20"/>
        </w:rPr>
        <w:t xml:space="preserve"> Yes</w:t>
      </w:r>
    </w:p>
    <w:p w14:paraId="4EA629BD" w14:textId="7DEBA10F" w:rsidR="00626365" w:rsidRDefault="001E3028"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0A5B32" w:rsidRPr="000A5B32">
        <w:rPr>
          <w:szCs w:val="20"/>
        </w:rPr>
        <w:t xml:space="preserve"> No</w:t>
      </w:r>
    </w:p>
    <w:p w14:paraId="4ABD8B8F" w14:textId="77777777" w:rsidR="001E3028" w:rsidRDefault="001E3028" w:rsidP="00626365">
      <w:pPr>
        <w:spacing w:before="0" w:after="0"/>
        <w:ind w:left="284"/>
        <w:rPr>
          <w:szCs w:val="20"/>
        </w:rPr>
      </w:pPr>
    </w:p>
    <w:p w14:paraId="649FBA20" w14:textId="01DC5C17" w:rsidR="001E3028" w:rsidRPr="00626365" w:rsidRDefault="001E3028" w:rsidP="00AA44EF">
      <w:pPr>
        <w:spacing w:before="0" w:after="0"/>
        <w:ind w:left="720"/>
        <w:rPr>
          <w:rStyle w:val="Strong"/>
          <w:rFonts w:asciiTheme="minorHAnsi" w:eastAsiaTheme="minorHAnsi" w:hAnsiTheme="minorHAnsi" w:cstheme="minorBidi"/>
          <w:b w:val="0"/>
          <w:szCs w:val="20"/>
        </w:rPr>
      </w:pPr>
      <w:r>
        <w:rPr>
          <w:rStyle w:val="Strong"/>
          <w:rFonts w:asciiTheme="minorHAnsi" w:eastAsiaTheme="minorHAnsi" w:hAnsiTheme="minorHAnsi" w:cstheme="minorBidi"/>
          <w:b w:val="0"/>
          <w:szCs w:val="20"/>
        </w:rPr>
        <w:t>No other source of funding for germline BRCA</w:t>
      </w:r>
      <w:r w:rsidR="00683C5B">
        <w:rPr>
          <w:rStyle w:val="Strong"/>
          <w:rFonts w:asciiTheme="minorHAnsi" w:eastAsiaTheme="minorHAnsi" w:hAnsiTheme="minorHAnsi" w:cstheme="minorBidi"/>
          <w:b w:val="0"/>
          <w:szCs w:val="20"/>
        </w:rPr>
        <w:t xml:space="preserve"> </w:t>
      </w:r>
      <w:r>
        <w:rPr>
          <w:rStyle w:val="Strong"/>
          <w:rFonts w:asciiTheme="minorHAnsi" w:eastAsiaTheme="minorHAnsi" w:hAnsiTheme="minorHAnsi" w:cstheme="minorBidi"/>
          <w:b w:val="0"/>
          <w:szCs w:val="20"/>
        </w:rPr>
        <w:t>1/2</w:t>
      </w:r>
      <w:r w:rsidR="00683C5B">
        <w:rPr>
          <w:rStyle w:val="Strong"/>
          <w:rFonts w:asciiTheme="minorHAnsi" w:eastAsiaTheme="minorHAnsi" w:hAnsiTheme="minorHAnsi" w:cstheme="minorBidi"/>
          <w:b w:val="0"/>
          <w:szCs w:val="20"/>
        </w:rPr>
        <w:t xml:space="preserve"> </w:t>
      </w:r>
      <w:r>
        <w:rPr>
          <w:rStyle w:val="Strong"/>
          <w:rFonts w:asciiTheme="minorHAnsi" w:eastAsiaTheme="minorHAnsi" w:hAnsiTheme="minorHAnsi" w:cstheme="minorBidi"/>
          <w:b w:val="0"/>
          <w:szCs w:val="20"/>
        </w:rPr>
        <w:t xml:space="preserve">mutation testing other than the MBS is sought, however in this co-dependent submission, public funding for PBS access to olaparib </w:t>
      </w:r>
      <w:r w:rsidR="00AA44EF">
        <w:rPr>
          <w:rStyle w:val="Strong"/>
          <w:rFonts w:asciiTheme="minorHAnsi" w:eastAsiaTheme="minorHAnsi" w:hAnsiTheme="minorHAnsi" w:cstheme="minorBidi"/>
          <w:b w:val="0"/>
          <w:szCs w:val="20"/>
        </w:rPr>
        <w:t>is also being sought for</w:t>
      </w:r>
      <w:r>
        <w:rPr>
          <w:rStyle w:val="Strong"/>
          <w:rFonts w:asciiTheme="minorHAnsi" w:eastAsiaTheme="minorHAnsi" w:hAnsiTheme="minorHAnsi" w:cstheme="minorBidi"/>
          <w:b w:val="0"/>
          <w:szCs w:val="20"/>
        </w:rPr>
        <w:t xml:space="preserve"> patients </w:t>
      </w:r>
      <w:r w:rsidR="00AA44EF">
        <w:rPr>
          <w:rStyle w:val="Strong"/>
          <w:rFonts w:asciiTheme="minorHAnsi" w:eastAsiaTheme="minorHAnsi" w:hAnsiTheme="minorHAnsi" w:cstheme="minorBidi"/>
          <w:b w:val="0"/>
          <w:szCs w:val="20"/>
        </w:rPr>
        <w:t xml:space="preserve">with </w:t>
      </w:r>
      <w:r w:rsidR="007E681D">
        <w:rPr>
          <w:rStyle w:val="Strong"/>
          <w:rFonts w:asciiTheme="minorHAnsi" w:eastAsiaTheme="minorHAnsi" w:hAnsiTheme="minorHAnsi" w:cstheme="minorBidi"/>
          <w:b w:val="0"/>
          <w:szCs w:val="20"/>
        </w:rPr>
        <w:t xml:space="preserve">platinum sensitive, </w:t>
      </w:r>
      <w:r w:rsidR="00AA44EF">
        <w:t xml:space="preserve">metastatic pancreatic cancer, </w:t>
      </w:r>
      <w:r>
        <w:rPr>
          <w:rStyle w:val="Strong"/>
          <w:rFonts w:asciiTheme="minorHAnsi" w:eastAsiaTheme="minorHAnsi" w:hAnsiTheme="minorHAnsi" w:cstheme="minorBidi"/>
          <w:b w:val="0"/>
          <w:szCs w:val="20"/>
        </w:rPr>
        <w:t>with BRCA</w:t>
      </w:r>
      <w:r w:rsidR="00683C5B">
        <w:rPr>
          <w:rStyle w:val="Strong"/>
          <w:rFonts w:asciiTheme="minorHAnsi" w:eastAsiaTheme="minorHAnsi" w:hAnsiTheme="minorHAnsi" w:cstheme="minorBidi"/>
          <w:b w:val="0"/>
          <w:szCs w:val="20"/>
        </w:rPr>
        <w:t xml:space="preserve"> </w:t>
      </w:r>
      <w:r>
        <w:rPr>
          <w:rStyle w:val="Strong"/>
          <w:rFonts w:asciiTheme="minorHAnsi" w:eastAsiaTheme="minorHAnsi" w:hAnsiTheme="minorHAnsi" w:cstheme="minorBidi"/>
          <w:b w:val="0"/>
          <w:szCs w:val="20"/>
        </w:rPr>
        <w:t>1/2 gene mutations.</w:t>
      </w:r>
    </w:p>
    <w:p w14:paraId="579C2727" w14:textId="4A697515" w:rsidR="00626365" w:rsidRDefault="00626365" w:rsidP="00626365">
      <w:pPr>
        <w:spacing w:before="0" w:after="0"/>
        <w:ind w:left="284"/>
        <w:rPr>
          <w:szCs w:val="20"/>
        </w:rPr>
      </w:pPr>
      <w:r>
        <w:rPr>
          <w:szCs w:val="20"/>
        </w:rPr>
        <w:br w:type="page"/>
      </w:r>
    </w:p>
    <w:p w14:paraId="1C96E7CD"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644754C6"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F8C1DB4"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5D5C39D6" w14:textId="77777777" w:rsidR="000B3CD0" w:rsidRDefault="000B3CD0" w:rsidP="00730C04">
      <w:pPr>
        <w:pStyle w:val="Heading2"/>
      </w:pPr>
      <w:r w:rsidRPr="00154B00">
        <w:t xml:space="preserve">What is the type of </w:t>
      </w:r>
      <w:proofErr w:type="gramStart"/>
      <w:r w:rsidRPr="00154B00">
        <w:t>service:</w:t>
      </w:r>
      <w:proofErr w:type="gramEnd"/>
    </w:p>
    <w:p w14:paraId="3623B07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D211B">
        <w:rPr>
          <w:b/>
          <w:szCs w:val="20"/>
        </w:rPr>
      </w:r>
      <w:r w:rsidR="008D211B">
        <w:rPr>
          <w:b/>
          <w:szCs w:val="20"/>
        </w:rPr>
        <w:fldChar w:fldCharType="separate"/>
      </w:r>
      <w:r w:rsidRPr="0027105F">
        <w:rPr>
          <w:b/>
          <w:szCs w:val="20"/>
        </w:rPr>
        <w:fldChar w:fldCharType="end"/>
      </w:r>
      <w:r w:rsidRPr="0027105F">
        <w:rPr>
          <w:b/>
          <w:szCs w:val="20"/>
        </w:rPr>
        <w:t xml:space="preserve"> </w:t>
      </w:r>
      <w:r>
        <w:t>Therapeutic medical service</w:t>
      </w:r>
    </w:p>
    <w:p w14:paraId="1235AA6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D211B">
        <w:rPr>
          <w:b/>
          <w:szCs w:val="20"/>
        </w:rPr>
      </w:r>
      <w:r w:rsidR="008D211B">
        <w:rPr>
          <w:b/>
          <w:szCs w:val="20"/>
        </w:rPr>
        <w:fldChar w:fldCharType="separate"/>
      </w:r>
      <w:r w:rsidRPr="0027105F">
        <w:rPr>
          <w:b/>
          <w:szCs w:val="20"/>
        </w:rPr>
        <w:fldChar w:fldCharType="end"/>
      </w:r>
      <w:r w:rsidRPr="0027105F">
        <w:rPr>
          <w:b/>
          <w:szCs w:val="20"/>
        </w:rPr>
        <w:t xml:space="preserve"> </w:t>
      </w:r>
      <w:r>
        <w:t>Investigative medical service</w:t>
      </w:r>
    </w:p>
    <w:p w14:paraId="2FD653A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D211B">
        <w:rPr>
          <w:b/>
          <w:szCs w:val="20"/>
        </w:rPr>
      </w:r>
      <w:r w:rsidR="008D211B">
        <w:rPr>
          <w:b/>
          <w:szCs w:val="20"/>
        </w:rPr>
        <w:fldChar w:fldCharType="separate"/>
      </w:r>
      <w:r w:rsidRPr="0027105F">
        <w:rPr>
          <w:b/>
          <w:szCs w:val="20"/>
        </w:rPr>
        <w:fldChar w:fldCharType="end"/>
      </w:r>
      <w:r w:rsidRPr="0027105F">
        <w:rPr>
          <w:b/>
          <w:szCs w:val="20"/>
        </w:rPr>
        <w:t xml:space="preserve"> </w:t>
      </w:r>
      <w:r>
        <w:t>Single consultation medical service</w:t>
      </w:r>
    </w:p>
    <w:p w14:paraId="4C55317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D211B">
        <w:rPr>
          <w:b/>
          <w:szCs w:val="20"/>
        </w:rPr>
      </w:r>
      <w:r w:rsidR="008D211B">
        <w:rPr>
          <w:b/>
          <w:szCs w:val="20"/>
        </w:rPr>
        <w:fldChar w:fldCharType="separate"/>
      </w:r>
      <w:r w:rsidRPr="0027105F">
        <w:rPr>
          <w:b/>
          <w:szCs w:val="20"/>
        </w:rPr>
        <w:fldChar w:fldCharType="end"/>
      </w:r>
      <w:r w:rsidRPr="0027105F">
        <w:rPr>
          <w:b/>
          <w:szCs w:val="20"/>
        </w:rPr>
        <w:t xml:space="preserve"> </w:t>
      </w:r>
      <w:r>
        <w:t>Global consultation medical service</w:t>
      </w:r>
    </w:p>
    <w:p w14:paraId="7B58B59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D211B">
        <w:rPr>
          <w:b/>
          <w:szCs w:val="20"/>
        </w:rPr>
      </w:r>
      <w:r w:rsidR="008D211B">
        <w:rPr>
          <w:b/>
          <w:szCs w:val="20"/>
        </w:rPr>
        <w:fldChar w:fldCharType="separate"/>
      </w:r>
      <w:r w:rsidRPr="0027105F">
        <w:rPr>
          <w:b/>
          <w:szCs w:val="20"/>
        </w:rPr>
        <w:fldChar w:fldCharType="end"/>
      </w:r>
      <w:r w:rsidRPr="0027105F">
        <w:rPr>
          <w:b/>
          <w:szCs w:val="20"/>
        </w:rPr>
        <w:t xml:space="preserve"> </w:t>
      </w:r>
      <w:r>
        <w:t>Allied health service</w:t>
      </w:r>
    </w:p>
    <w:p w14:paraId="153A731D" w14:textId="2055154F" w:rsidR="00A6594E" w:rsidRDefault="00B820AA" w:rsidP="00A6491A">
      <w:pPr>
        <w:spacing w:before="0" w:after="0"/>
        <w:ind w:left="284"/>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A6594E" w:rsidRPr="0027105F">
        <w:rPr>
          <w:b/>
          <w:szCs w:val="20"/>
        </w:rPr>
        <w:t xml:space="preserve"> </w:t>
      </w:r>
      <w:r w:rsidR="00A6594E">
        <w:t>Co-dependent technology</w:t>
      </w:r>
    </w:p>
    <w:p w14:paraId="7E5EE7B0"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D211B">
        <w:rPr>
          <w:b/>
          <w:szCs w:val="20"/>
        </w:rPr>
      </w:r>
      <w:r w:rsidR="008D211B">
        <w:rPr>
          <w:b/>
          <w:szCs w:val="20"/>
        </w:rPr>
        <w:fldChar w:fldCharType="separate"/>
      </w:r>
      <w:r w:rsidRPr="0027105F">
        <w:rPr>
          <w:b/>
          <w:szCs w:val="20"/>
        </w:rPr>
        <w:fldChar w:fldCharType="end"/>
      </w:r>
      <w:r w:rsidRPr="0027105F">
        <w:rPr>
          <w:b/>
          <w:szCs w:val="20"/>
        </w:rPr>
        <w:t xml:space="preserve"> </w:t>
      </w:r>
      <w:r>
        <w:t>Hybrid health technology</w:t>
      </w:r>
    </w:p>
    <w:p w14:paraId="19EB4812"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72389B3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D211B">
        <w:rPr>
          <w:b/>
          <w:szCs w:val="20"/>
        </w:rPr>
      </w:r>
      <w:r w:rsidR="008D211B">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00A6EA5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D211B">
        <w:rPr>
          <w:b/>
          <w:szCs w:val="20"/>
        </w:rPr>
      </w:r>
      <w:r w:rsidR="008D211B">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1E79CEEC"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D211B">
        <w:rPr>
          <w:b/>
          <w:szCs w:val="20"/>
        </w:rPr>
      </w:r>
      <w:r w:rsidR="008D211B">
        <w:rPr>
          <w:b/>
          <w:szCs w:val="20"/>
        </w:rPr>
        <w:fldChar w:fldCharType="separate"/>
      </w:r>
      <w:r w:rsidRPr="00AF4466">
        <w:rPr>
          <w:b/>
          <w:szCs w:val="20"/>
        </w:rPr>
        <w:fldChar w:fldCharType="end"/>
      </w:r>
      <w:r w:rsidRPr="00AF4466">
        <w:rPr>
          <w:b/>
          <w:szCs w:val="20"/>
        </w:rPr>
        <w:t xml:space="preserve"> </w:t>
      </w:r>
      <w:r>
        <w:t>Provides information about prognosis</w:t>
      </w:r>
    </w:p>
    <w:p w14:paraId="4204051C" w14:textId="75553431" w:rsidR="00A6594E" w:rsidRDefault="00B820AA" w:rsidP="00AF4466">
      <w:pPr>
        <w:pStyle w:val="ListParagraph"/>
        <w:numPr>
          <w:ilvl w:val="0"/>
          <w:numId w:val="36"/>
        </w:numPr>
        <w:spacing w:before="0" w:after="0"/>
        <w:ind w:left="851" w:hanging="425"/>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A6594E" w:rsidRPr="00AF4466">
        <w:rPr>
          <w:b/>
          <w:szCs w:val="20"/>
        </w:rPr>
        <w:t xml:space="preserve"> </w:t>
      </w:r>
      <w:r w:rsidR="00A6594E">
        <w:t>Identifies a patient as suitable for therapy by predicting a variation in the effect of the therapy</w:t>
      </w:r>
    </w:p>
    <w:p w14:paraId="2F44CC31"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D211B">
        <w:rPr>
          <w:b/>
          <w:szCs w:val="20"/>
        </w:rPr>
      </w:r>
      <w:r w:rsidR="008D211B">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7D5A3AD4"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098FDEB7" w14:textId="39736F4C" w:rsidR="00FE16C1" w:rsidRDefault="00707C69" w:rsidP="00A6491A">
      <w:pPr>
        <w:spacing w:before="0" w:after="0"/>
        <w:ind w:left="284"/>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FE16C1" w:rsidRPr="0027105F">
        <w:rPr>
          <w:b/>
          <w:szCs w:val="20"/>
        </w:rPr>
        <w:t xml:space="preserve"> </w:t>
      </w:r>
      <w:r w:rsidR="00FE16C1">
        <w:t>Pharmaceutical / Biological</w:t>
      </w:r>
    </w:p>
    <w:p w14:paraId="6F5FC428"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D211B">
        <w:rPr>
          <w:b/>
          <w:szCs w:val="20"/>
        </w:rPr>
      </w:r>
      <w:r w:rsidR="008D211B">
        <w:rPr>
          <w:b/>
          <w:szCs w:val="20"/>
        </w:rPr>
        <w:fldChar w:fldCharType="separate"/>
      </w:r>
      <w:r w:rsidRPr="0027105F">
        <w:rPr>
          <w:b/>
          <w:szCs w:val="20"/>
        </w:rPr>
        <w:fldChar w:fldCharType="end"/>
      </w:r>
      <w:r w:rsidRPr="0027105F">
        <w:rPr>
          <w:b/>
          <w:szCs w:val="20"/>
        </w:rPr>
        <w:t xml:space="preserve"> </w:t>
      </w:r>
      <w:r>
        <w:t>Prosthesis or device</w:t>
      </w:r>
    </w:p>
    <w:p w14:paraId="47F51CC8"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D211B">
        <w:rPr>
          <w:b/>
          <w:szCs w:val="20"/>
        </w:rPr>
      </w:r>
      <w:r w:rsidR="008D211B">
        <w:rPr>
          <w:b/>
          <w:szCs w:val="20"/>
        </w:rPr>
        <w:fldChar w:fldCharType="separate"/>
      </w:r>
      <w:r w:rsidRPr="0027105F">
        <w:rPr>
          <w:b/>
          <w:szCs w:val="20"/>
        </w:rPr>
        <w:fldChar w:fldCharType="end"/>
      </w:r>
      <w:r w:rsidRPr="0027105F">
        <w:rPr>
          <w:b/>
          <w:szCs w:val="20"/>
        </w:rPr>
        <w:t xml:space="preserve"> </w:t>
      </w:r>
      <w:r>
        <w:t>No</w:t>
      </w:r>
    </w:p>
    <w:p w14:paraId="215DEE03"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2B80BC43"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sidRPr="000A5B32">
        <w:rPr>
          <w:szCs w:val="20"/>
        </w:rPr>
        <w:t xml:space="preserve"> Yes</w:t>
      </w:r>
    </w:p>
    <w:p w14:paraId="04C321A6" w14:textId="4C6D12EB" w:rsidR="00FE16C1" w:rsidRDefault="00707C6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FE16C1">
        <w:rPr>
          <w:szCs w:val="20"/>
        </w:rPr>
        <w:t xml:space="preserve">No  </w:t>
      </w:r>
    </w:p>
    <w:p w14:paraId="0F7BA135" w14:textId="14E42DF2" w:rsidR="00707C69" w:rsidRDefault="00707C69" w:rsidP="00A6491A">
      <w:pPr>
        <w:spacing w:before="0" w:after="0"/>
        <w:ind w:left="284"/>
        <w:rPr>
          <w:szCs w:val="20"/>
        </w:rPr>
      </w:pPr>
    </w:p>
    <w:p w14:paraId="323483E1" w14:textId="40EBA2ED" w:rsidR="00707C69" w:rsidRPr="00FE16C1" w:rsidRDefault="00502CED" w:rsidP="00707C69">
      <w:pPr>
        <w:spacing w:before="0" w:after="0"/>
        <w:ind w:left="284"/>
        <w:rPr>
          <w:szCs w:val="20"/>
        </w:rPr>
      </w:pPr>
      <w:r>
        <w:rPr>
          <w:szCs w:val="20"/>
        </w:rPr>
        <w:t xml:space="preserve">Olaparib is not currently reimbursed for the listing requested with this application. </w:t>
      </w:r>
      <w:r w:rsidR="00707C69">
        <w:rPr>
          <w:szCs w:val="20"/>
        </w:rPr>
        <w:t xml:space="preserve">Olaparib is currently </w:t>
      </w:r>
      <w:r>
        <w:rPr>
          <w:szCs w:val="20"/>
        </w:rPr>
        <w:t xml:space="preserve">PBS </w:t>
      </w:r>
      <w:r w:rsidR="00707C69">
        <w:rPr>
          <w:szCs w:val="20"/>
        </w:rPr>
        <w:t xml:space="preserve">funded for </w:t>
      </w:r>
      <w:r w:rsidR="00D36009">
        <w:rPr>
          <w:szCs w:val="20"/>
        </w:rPr>
        <w:t xml:space="preserve">platinum sensitive relapse </w:t>
      </w:r>
      <w:r w:rsidR="00707C69">
        <w:rPr>
          <w:szCs w:val="20"/>
        </w:rPr>
        <w:t xml:space="preserve">patients with high grade serous </w:t>
      </w:r>
      <w:r w:rsidR="00707C69" w:rsidRPr="00C13A32">
        <w:rPr>
          <w:szCs w:val="20"/>
        </w:rPr>
        <w:t>ovarian, fallopian tube or primary peritoneal cancer</w:t>
      </w:r>
      <w:r>
        <w:rPr>
          <w:szCs w:val="20"/>
        </w:rPr>
        <w:t>, who also have germline BRCA</w:t>
      </w:r>
      <w:r w:rsidR="00683C5B">
        <w:rPr>
          <w:szCs w:val="20"/>
        </w:rPr>
        <w:t xml:space="preserve"> </w:t>
      </w:r>
      <w:r>
        <w:rPr>
          <w:szCs w:val="20"/>
        </w:rPr>
        <w:t xml:space="preserve">1/2 gene mutations </w:t>
      </w:r>
      <w:r w:rsidR="00707C69">
        <w:rPr>
          <w:szCs w:val="20"/>
        </w:rPr>
        <w:t>(</w:t>
      </w:r>
      <w:r w:rsidR="00683C5B" w:rsidRPr="00C950E0">
        <w:t>PBS</w:t>
      </w:r>
      <w:r w:rsidR="00683C5B">
        <w:t xml:space="preserve"> </w:t>
      </w:r>
      <w:r w:rsidR="00683C5B" w:rsidRPr="00B02770">
        <w:t>Items</w:t>
      </w:r>
      <w:r w:rsidR="00683C5B">
        <w:t>:</w:t>
      </w:r>
      <w:r w:rsidR="00683C5B" w:rsidRPr="00B02770">
        <w:t xml:space="preserve"> 11503K</w:t>
      </w:r>
      <w:r w:rsidR="00683C5B">
        <w:t>;</w:t>
      </w:r>
      <w:r w:rsidR="00683C5B" w:rsidRPr="00B02770">
        <w:t xml:space="preserve"> 11522K – 100 mg tablets; 11528R</w:t>
      </w:r>
      <w:r w:rsidR="00683C5B">
        <w:t>;</w:t>
      </w:r>
      <w:r w:rsidR="00683C5B" w:rsidRPr="00B02770">
        <w:t>11539H – 150 mg tablets; 11050N</w:t>
      </w:r>
      <w:r w:rsidR="00683C5B">
        <w:t xml:space="preserve"> - </w:t>
      </w:r>
      <w:r w:rsidR="00683C5B" w:rsidRPr="00B02770">
        <w:t>50 mg capsules</w:t>
      </w:r>
      <w:r w:rsidR="00707C69">
        <w:rPr>
          <w:szCs w:val="20"/>
        </w:rPr>
        <w:t>).</w:t>
      </w:r>
    </w:p>
    <w:p w14:paraId="10C35F87" w14:textId="77777777" w:rsidR="00707C69" w:rsidRPr="00FE16C1" w:rsidRDefault="00707C69" w:rsidP="00A6491A">
      <w:pPr>
        <w:spacing w:before="0" w:after="0"/>
        <w:ind w:left="284"/>
        <w:rPr>
          <w:szCs w:val="20"/>
        </w:rPr>
      </w:pPr>
    </w:p>
    <w:p w14:paraId="4CEE7F79"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49D1833" w14:textId="6B70384D"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r w:rsidR="00502CED">
        <w:t xml:space="preserve">: Not </w:t>
      </w:r>
      <w:r w:rsidR="00FB111F">
        <w:t>A</w:t>
      </w:r>
      <w:r w:rsidR="00502CED">
        <w:t>pplicable</w:t>
      </w:r>
    </w:p>
    <w:p w14:paraId="49B65529"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2EDF0D0"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D3C637C" w14:textId="1D7241B9" w:rsidR="001E6919" w:rsidRDefault="00405DC6"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1E6919">
        <w:rPr>
          <w:szCs w:val="20"/>
        </w:rPr>
        <w:t>No</w:t>
      </w:r>
    </w:p>
    <w:p w14:paraId="00C152B5" w14:textId="11C9539F" w:rsidR="001E6919" w:rsidRDefault="001E6919" w:rsidP="00A6491A">
      <w:pPr>
        <w:spacing w:before="0" w:after="0"/>
        <w:ind w:left="284"/>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r w:rsidR="00405DC6">
        <w:t>: N</w:t>
      </w:r>
      <w:r w:rsidR="00FB111F">
        <w:t>ot Applicable</w:t>
      </w:r>
    </w:p>
    <w:p w14:paraId="4C9A0565" w14:textId="4BCDCCDB" w:rsidR="00405DC6" w:rsidRDefault="00405DC6" w:rsidP="00A6491A">
      <w:pPr>
        <w:spacing w:before="0" w:after="0"/>
        <w:ind w:left="284"/>
      </w:pPr>
    </w:p>
    <w:p w14:paraId="3138CD3E" w14:textId="76B5A1A8" w:rsidR="00405DC6" w:rsidRPr="007E39E4" w:rsidRDefault="00405DC6" w:rsidP="00A6491A">
      <w:pPr>
        <w:spacing w:before="0" w:after="0"/>
        <w:ind w:left="284"/>
        <w:rPr>
          <w:szCs w:val="20"/>
        </w:rPr>
      </w:pPr>
      <w:bookmarkStart w:id="6" w:name="_Hlk19277418"/>
      <w:r>
        <w:lastRenderedPageBreak/>
        <w:t xml:space="preserve">A co-dependent submission to MSAC/PBAC is proposed </w:t>
      </w:r>
      <w:bookmarkEnd w:id="6"/>
      <w:r>
        <w:t>for BRCA</w:t>
      </w:r>
      <w:r w:rsidR="00683C5B">
        <w:t xml:space="preserve"> </w:t>
      </w:r>
      <w:r>
        <w:t xml:space="preserve">1/2 mutation testing to determine PBS access to olaparib in patients with metastatic pancreatic cancer </w:t>
      </w:r>
      <w:r>
        <w:rPr>
          <w:szCs w:val="20"/>
        </w:rPr>
        <w:t xml:space="preserve">whose disease has not progressed following </w:t>
      </w:r>
      <w:r w:rsidRPr="00A471B3">
        <w:rPr>
          <w:szCs w:val="20"/>
        </w:rPr>
        <w:t>first-line platinum-based chemotherapy</w:t>
      </w:r>
      <w:r>
        <w:rPr>
          <w:szCs w:val="20"/>
        </w:rPr>
        <w:t>.</w:t>
      </w:r>
    </w:p>
    <w:p w14:paraId="138EA83F"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227C5749" w14:textId="79034379" w:rsidR="00C7742E" w:rsidRPr="00E33032" w:rsidRDefault="001E6958" w:rsidP="00C7742E">
      <w:pPr>
        <w:spacing w:before="0" w:after="0"/>
        <w:ind w:left="284"/>
        <w:rPr>
          <w:vertAlign w:val="superscript"/>
        </w:rPr>
      </w:pPr>
      <w:r>
        <w:t xml:space="preserve">Trade name: </w:t>
      </w:r>
      <w:bookmarkStart w:id="7" w:name="_Hlk19277396"/>
      <w:r w:rsidR="00C7742E">
        <w:t>L</w:t>
      </w:r>
      <w:r w:rsidR="00E11A35">
        <w:t>ynparza</w:t>
      </w:r>
      <w:r w:rsidR="00E11A35">
        <w:rPr>
          <w:rFonts w:cstheme="minorHAnsi"/>
        </w:rPr>
        <w:t>®</w:t>
      </w:r>
      <w:bookmarkEnd w:id="7"/>
    </w:p>
    <w:p w14:paraId="62D93F18" w14:textId="2546A6DE" w:rsidR="001E6958" w:rsidRDefault="001E6958" w:rsidP="00A6491A">
      <w:pPr>
        <w:spacing w:before="0" w:after="0"/>
        <w:ind w:left="284"/>
      </w:pPr>
    </w:p>
    <w:p w14:paraId="435668A1" w14:textId="31E1305E" w:rsidR="001E6958" w:rsidRPr="001E6958" w:rsidRDefault="001E6958" w:rsidP="00A6491A">
      <w:pPr>
        <w:spacing w:before="0" w:after="0"/>
        <w:ind w:left="284"/>
      </w:pPr>
      <w:r>
        <w:t xml:space="preserve">Generic name: </w:t>
      </w:r>
      <w:r w:rsidR="00C7742E">
        <w:t>olaparib</w:t>
      </w:r>
    </w:p>
    <w:p w14:paraId="64F8AFAB"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33782264"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sidRPr="000A5B32">
        <w:rPr>
          <w:szCs w:val="20"/>
        </w:rPr>
        <w:t xml:space="preserve"> Yes</w:t>
      </w:r>
    </w:p>
    <w:p w14:paraId="22CC260E"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No  </w:t>
      </w:r>
    </w:p>
    <w:p w14:paraId="6D37133B" w14:textId="77777777" w:rsidR="00C7742E" w:rsidRDefault="00C7742E" w:rsidP="00A6491A">
      <w:pPr>
        <w:spacing w:before="0" w:after="0"/>
        <w:ind w:left="284"/>
        <w:rPr>
          <w:szCs w:val="20"/>
        </w:rPr>
      </w:pPr>
    </w:p>
    <w:p w14:paraId="586CE09B" w14:textId="129A795C" w:rsidR="00683C5B" w:rsidRDefault="00E11A35" w:rsidP="00A6491A">
      <w:pPr>
        <w:spacing w:before="0" w:after="0"/>
        <w:ind w:left="284"/>
        <w:rPr>
          <w:szCs w:val="20"/>
        </w:rPr>
      </w:pPr>
      <w:bookmarkStart w:id="8" w:name="_Hlk19277479"/>
      <w:r>
        <w:rPr>
          <w:szCs w:val="20"/>
        </w:rPr>
        <w:t xml:space="preserve">Not </w:t>
      </w:r>
      <w:r w:rsidR="00FB111F">
        <w:rPr>
          <w:szCs w:val="20"/>
        </w:rPr>
        <w:t>A</w:t>
      </w:r>
      <w:r>
        <w:rPr>
          <w:szCs w:val="20"/>
        </w:rPr>
        <w:t>pplicable</w:t>
      </w:r>
    </w:p>
    <w:bookmarkEnd w:id="8"/>
    <w:p w14:paraId="4299D51D" w14:textId="77777777" w:rsidR="00683C5B" w:rsidRDefault="00683C5B" w:rsidP="00A6491A">
      <w:pPr>
        <w:spacing w:before="0" w:after="0"/>
        <w:ind w:left="284"/>
        <w:rPr>
          <w:szCs w:val="20"/>
        </w:rPr>
      </w:pPr>
    </w:p>
    <w:p w14:paraId="03FE7912"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54775BFD"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0210D873"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5B4C5797"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36BFAF24" w14:textId="77777777" w:rsidR="00C7742E" w:rsidRDefault="001E6958" w:rsidP="00C7742E">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r w:rsidR="00C7742E">
        <w:t xml:space="preserve"> </w:t>
      </w:r>
    </w:p>
    <w:p w14:paraId="38926C37" w14:textId="77777777" w:rsidR="00C7742E" w:rsidRDefault="00C7742E" w:rsidP="00C7742E">
      <w:pPr>
        <w:spacing w:before="0" w:after="0"/>
        <w:ind w:left="284"/>
      </w:pPr>
    </w:p>
    <w:p w14:paraId="340F3FC4" w14:textId="4EF14071" w:rsidR="009939DC" w:rsidRDefault="00E11A35" w:rsidP="00C7742E">
      <w:pPr>
        <w:spacing w:before="0" w:after="0"/>
        <w:ind w:left="284"/>
      </w:pPr>
      <w:r w:rsidRPr="00E11A35">
        <w:t xml:space="preserve">Not </w:t>
      </w:r>
      <w:r w:rsidR="00FB111F">
        <w:t>A</w:t>
      </w:r>
      <w:r w:rsidRPr="00E11A35">
        <w:t>pplicable</w:t>
      </w:r>
    </w:p>
    <w:p w14:paraId="480E05CA"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D00EA14"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sidRPr="000A5B32">
        <w:rPr>
          <w:szCs w:val="20"/>
        </w:rPr>
        <w:t xml:space="preserve"> Yes</w:t>
      </w:r>
    </w:p>
    <w:p w14:paraId="0720D6FD" w14:textId="644E4D39" w:rsid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No  </w:t>
      </w:r>
    </w:p>
    <w:p w14:paraId="2AF57C58" w14:textId="26B00061" w:rsidR="00C7742E" w:rsidRDefault="00C7742E" w:rsidP="00A6491A">
      <w:pPr>
        <w:spacing w:before="0" w:after="0"/>
        <w:ind w:left="284"/>
        <w:rPr>
          <w:szCs w:val="20"/>
        </w:rPr>
      </w:pPr>
    </w:p>
    <w:p w14:paraId="3A416154" w14:textId="77777777" w:rsidR="00AE1E6A" w:rsidRPr="00CB12EC" w:rsidRDefault="00AE1E6A" w:rsidP="00AE1E6A">
      <w:pPr>
        <w:ind w:left="284"/>
      </w:pPr>
      <w:r>
        <w:t>Not Applicable</w:t>
      </w:r>
    </w:p>
    <w:p w14:paraId="490B5CDC" w14:textId="77777777" w:rsidR="00C7742E" w:rsidRPr="009939DC" w:rsidRDefault="00C7742E" w:rsidP="00A6491A">
      <w:pPr>
        <w:spacing w:before="0" w:after="0"/>
        <w:ind w:left="284"/>
        <w:rPr>
          <w:szCs w:val="20"/>
        </w:rPr>
      </w:pPr>
    </w:p>
    <w:p w14:paraId="11E45399"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7F67C415"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sidRPr="000A5B32">
        <w:rPr>
          <w:szCs w:val="20"/>
        </w:rPr>
        <w:t xml:space="preserve"> Yes</w:t>
      </w:r>
    </w:p>
    <w:p w14:paraId="4ADA5FFA" w14:textId="1019A875" w:rsid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No  </w:t>
      </w:r>
    </w:p>
    <w:p w14:paraId="4360494D" w14:textId="5FE8DCAC" w:rsidR="00C7742E" w:rsidRDefault="00C7742E" w:rsidP="00A6491A">
      <w:pPr>
        <w:spacing w:before="0" w:after="0"/>
        <w:ind w:left="284"/>
        <w:rPr>
          <w:szCs w:val="20"/>
        </w:rPr>
      </w:pPr>
    </w:p>
    <w:p w14:paraId="793FA556" w14:textId="77777777" w:rsidR="00AE1E6A" w:rsidRPr="00CB12EC" w:rsidRDefault="00AE1E6A" w:rsidP="00AE1E6A">
      <w:pPr>
        <w:ind w:left="284"/>
      </w:pPr>
      <w:r>
        <w:t>Not Applicable</w:t>
      </w:r>
    </w:p>
    <w:p w14:paraId="03669A30" w14:textId="77777777" w:rsidR="00C7742E" w:rsidRPr="001E6958" w:rsidRDefault="00C7742E" w:rsidP="00A6491A">
      <w:pPr>
        <w:spacing w:before="0" w:after="0"/>
        <w:ind w:left="284"/>
        <w:rPr>
          <w:szCs w:val="20"/>
        </w:rPr>
      </w:pPr>
    </w:p>
    <w:p w14:paraId="36A0C786"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735DC6BB" w14:textId="3B166513" w:rsidR="00C7742E" w:rsidRPr="009939DC" w:rsidRDefault="00E11A35" w:rsidP="00A6491A">
      <w:pPr>
        <w:ind w:left="284"/>
      </w:pPr>
      <w:r w:rsidRPr="00E11A35">
        <w:t xml:space="preserve">Not </w:t>
      </w:r>
      <w:r w:rsidR="00FB111F">
        <w:t>A</w:t>
      </w:r>
      <w:r w:rsidRPr="00E11A35">
        <w:t>pplicable</w:t>
      </w:r>
    </w:p>
    <w:p w14:paraId="65E67F47"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6ADA50D" w14:textId="3107AA4F" w:rsidR="009939DC" w:rsidRDefault="009939DC" w:rsidP="00A6491A">
      <w:pPr>
        <w:spacing w:before="0" w:after="0"/>
        <w:ind w:left="284"/>
      </w:pPr>
      <w:r>
        <w:lastRenderedPageBreak/>
        <w:t xml:space="preserve">Single use consumables: </w:t>
      </w:r>
    </w:p>
    <w:p w14:paraId="7732871C" w14:textId="0E1D7158" w:rsidR="00C7742E" w:rsidRDefault="009939DC" w:rsidP="00A6491A">
      <w:pPr>
        <w:spacing w:before="0" w:after="0"/>
        <w:ind w:left="284"/>
      </w:pPr>
      <w:r>
        <w:t>Multi-use consumables:</w:t>
      </w:r>
      <w:r w:rsidRPr="009939DC">
        <w:t xml:space="preserve"> </w:t>
      </w:r>
    </w:p>
    <w:p w14:paraId="19ECAB55" w14:textId="77777777" w:rsidR="00C7742E" w:rsidRDefault="00C7742E" w:rsidP="00A6491A">
      <w:pPr>
        <w:spacing w:before="0" w:after="0"/>
        <w:ind w:left="284"/>
      </w:pPr>
    </w:p>
    <w:p w14:paraId="2775A4B6" w14:textId="1E86EBE2" w:rsidR="00C7742E" w:rsidRPr="00C24569" w:rsidRDefault="00C7742E" w:rsidP="00C7742E">
      <w:pPr>
        <w:spacing w:before="0" w:after="0"/>
        <w:ind w:left="284"/>
      </w:pPr>
      <w:r w:rsidRPr="00C24569">
        <w:t>As per MSAC Application 1538</w:t>
      </w:r>
      <w:r w:rsidR="00C04B3D">
        <w:t>/1554</w:t>
      </w:r>
      <w:r w:rsidRPr="00C24569">
        <w:t xml:space="preserve">, the only single or multi-use consumables for in-house developed IVD assays would be kits which may be used for DNA extraction or quality assurance, or any kit for PCR amplification methods.  </w:t>
      </w:r>
    </w:p>
    <w:p w14:paraId="673CA2DF" w14:textId="77777777" w:rsidR="00C7742E" w:rsidRPr="00C24569" w:rsidRDefault="00C7742E" w:rsidP="00C7742E">
      <w:pPr>
        <w:spacing w:before="0" w:after="0"/>
        <w:ind w:left="284"/>
      </w:pPr>
    </w:p>
    <w:p w14:paraId="5EA1D0E4" w14:textId="6876356E" w:rsidR="00F301F1" w:rsidRPr="00855944" w:rsidRDefault="00F301F1" w:rsidP="00A6491A">
      <w:pPr>
        <w:spacing w:before="0" w:after="0"/>
        <w:ind w:left="284"/>
      </w:pPr>
      <w:r w:rsidRPr="00855944">
        <w:br w:type="page"/>
      </w:r>
    </w:p>
    <w:p w14:paraId="00D7AD9F"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6D2C6ABA"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229C42A" w14:textId="77777777" w:rsidR="00C04B3D" w:rsidRPr="00D17F5A" w:rsidRDefault="00C04B3D" w:rsidP="00C04B3D">
      <w:pPr>
        <w:spacing w:before="0" w:after="0"/>
        <w:ind w:left="284"/>
        <w:rPr>
          <w:szCs w:val="20"/>
        </w:rPr>
      </w:pPr>
      <w:r w:rsidRPr="00A26343">
        <w:rPr>
          <w:szCs w:val="20"/>
        </w:rPr>
        <w:t>Type of therapeutic good</w:t>
      </w:r>
      <w:r>
        <w:rPr>
          <w:szCs w:val="20"/>
        </w:rPr>
        <w:t>: Pharmaceutical product: LYNPARZA</w:t>
      </w:r>
      <w:r w:rsidRPr="00D17F5A">
        <w:rPr>
          <w:rFonts w:cstheme="minorHAnsi"/>
          <w:sz w:val="28"/>
          <w:szCs w:val="28"/>
        </w:rPr>
        <w:t>®</w:t>
      </w:r>
      <w:r>
        <w:rPr>
          <w:rFonts w:cstheme="minorHAnsi"/>
          <w:szCs w:val="20"/>
        </w:rPr>
        <w:t>(olaparib)</w:t>
      </w:r>
    </w:p>
    <w:p w14:paraId="775772DE" w14:textId="77777777" w:rsidR="00C04B3D" w:rsidRPr="00A26343" w:rsidRDefault="00C04B3D" w:rsidP="00C04B3D">
      <w:pPr>
        <w:spacing w:before="0" w:after="0"/>
        <w:ind w:left="284"/>
        <w:rPr>
          <w:szCs w:val="20"/>
        </w:rPr>
      </w:pPr>
      <w:r w:rsidRPr="00A26343">
        <w:rPr>
          <w:szCs w:val="20"/>
        </w:rPr>
        <w:t>Manufacturer’s name</w:t>
      </w:r>
      <w:r>
        <w:rPr>
          <w:szCs w:val="20"/>
        </w:rPr>
        <w:t>: AstraZeneca Pty Ltd</w:t>
      </w:r>
    </w:p>
    <w:p w14:paraId="70DEB943" w14:textId="77777777" w:rsidR="00C04B3D" w:rsidRDefault="00C04B3D" w:rsidP="00C04B3D">
      <w:pPr>
        <w:spacing w:before="0" w:after="0"/>
        <w:ind w:left="284"/>
        <w:rPr>
          <w:szCs w:val="20"/>
        </w:rPr>
      </w:pPr>
      <w:r w:rsidRPr="00A26343">
        <w:rPr>
          <w:szCs w:val="20"/>
        </w:rPr>
        <w:t>Sponsor’s name</w:t>
      </w:r>
      <w:r>
        <w:rPr>
          <w:szCs w:val="20"/>
        </w:rPr>
        <w:t>: AstraZeneca Pty Ltd</w:t>
      </w:r>
    </w:p>
    <w:p w14:paraId="2B76410B" w14:textId="77777777" w:rsidR="00C04B3D" w:rsidRDefault="00C04B3D" w:rsidP="00C04B3D">
      <w:pPr>
        <w:spacing w:before="0" w:after="0"/>
        <w:ind w:left="284"/>
        <w:rPr>
          <w:szCs w:val="20"/>
        </w:rPr>
      </w:pPr>
    </w:p>
    <w:p w14:paraId="72AA06A7" w14:textId="77777777" w:rsidR="00C04B3D" w:rsidRPr="00A26343" w:rsidRDefault="00C04B3D" w:rsidP="00C04B3D">
      <w:pPr>
        <w:spacing w:before="0" w:after="0"/>
        <w:ind w:left="284"/>
        <w:rPr>
          <w:szCs w:val="20"/>
        </w:rPr>
      </w:pPr>
      <w:r w:rsidRPr="00A26343">
        <w:rPr>
          <w:szCs w:val="20"/>
        </w:rPr>
        <w:t>Type of therapeutic good</w:t>
      </w:r>
      <w:r>
        <w:rPr>
          <w:szCs w:val="20"/>
        </w:rPr>
        <w:t xml:space="preserve">: In-vitro diagnostic test: </w:t>
      </w:r>
      <w:r>
        <w:t xml:space="preserve">In-house developed </w:t>
      </w:r>
    </w:p>
    <w:p w14:paraId="7FCE35B1" w14:textId="25949D41" w:rsidR="00C04B3D" w:rsidRPr="00A26343" w:rsidRDefault="00C04B3D" w:rsidP="00C04B3D">
      <w:pPr>
        <w:spacing w:before="0" w:after="0"/>
        <w:ind w:left="284"/>
        <w:rPr>
          <w:szCs w:val="20"/>
        </w:rPr>
      </w:pPr>
      <w:r w:rsidRPr="00A26343">
        <w:rPr>
          <w:szCs w:val="20"/>
        </w:rPr>
        <w:t>Manufacturer’s name</w:t>
      </w:r>
      <w:r>
        <w:rPr>
          <w:szCs w:val="20"/>
        </w:rPr>
        <w:t>: N</w:t>
      </w:r>
      <w:r w:rsidR="00FB111F">
        <w:rPr>
          <w:szCs w:val="20"/>
        </w:rPr>
        <w:t>ot Applicable</w:t>
      </w:r>
    </w:p>
    <w:p w14:paraId="24EEBF6A" w14:textId="77777777" w:rsidR="00C04B3D" w:rsidRDefault="00C04B3D" w:rsidP="00C04B3D">
      <w:pPr>
        <w:spacing w:before="0" w:after="0"/>
        <w:ind w:left="284"/>
        <w:rPr>
          <w:szCs w:val="20"/>
        </w:rPr>
      </w:pPr>
      <w:r w:rsidRPr="00A26343">
        <w:rPr>
          <w:szCs w:val="20"/>
        </w:rPr>
        <w:t>Sponsor’s name</w:t>
      </w:r>
      <w:r>
        <w:rPr>
          <w:szCs w:val="20"/>
        </w:rPr>
        <w:t>: Various, as follows at the time of this Application:</w:t>
      </w:r>
      <w:r>
        <w:rPr>
          <w:szCs w:val="20"/>
        </w:rPr>
        <w:tab/>
      </w:r>
    </w:p>
    <w:p w14:paraId="370CB762" w14:textId="03C8F682" w:rsidR="00A77332" w:rsidRDefault="00A77332" w:rsidP="00A77332">
      <w:pPr>
        <w:autoSpaceDE w:val="0"/>
        <w:autoSpaceDN w:val="0"/>
        <w:adjustRightInd w:val="0"/>
        <w:ind w:left="284"/>
        <w:jc w:val="both"/>
        <w:rPr>
          <w:szCs w:val="20"/>
        </w:rPr>
      </w:pPr>
      <w:r w:rsidRPr="00A77332">
        <w:rPr>
          <w:szCs w:val="20"/>
        </w:rPr>
        <w:t>There is no single sponsor for germline BRCA mutation testing in Australia. At present, there are several Australian molecular pathology service providers that offer BRCA mutation testing on a commercial basis (</w:t>
      </w:r>
      <w:r w:rsidRPr="00A77332">
        <w:rPr>
          <w:szCs w:val="20"/>
        </w:rPr>
        <w:fldChar w:fldCharType="begin"/>
      </w:r>
      <w:r w:rsidRPr="00A77332">
        <w:rPr>
          <w:szCs w:val="20"/>
        </w:rPr>
        <w:instrText xml:space="preserve"> REF _Ref17924221 \h </w:instrText>
      </w:r>
      <w:r>
        <w:rPr>
          <w:szCs w:val="20"/>
        </w:rPr>
        <w:instrText xml:space="preserve"> \* MERGEFORMAT </w:instrText>
      </w:r>
      <w:r w:rsidRPr="00A77332">
        <w:rPr>
          <w:szCs w:val="20"/>
        </w:rPr>
      </w:r>
      <w:r w:rsidRPr="00A77332">
        <w:rPr>
          <w:szCs w:val="20"/>
        </w:rPr>
        <w:fldChar w:fldCharType="separate"/>
      </w:r>
      <w:r w:rsidR="008D211B" w:rsidRPr="008D211B">
        <w:rPr>
          <w:szCs w:val="20"/>
        </w:rPr>
        <w:t>Table 1</w:t>
      </w:r>
      <w:r w:rsidRPr="00A77332">
        <w:rPr>
          <w:szCs w:val="20"/>
        </w:rPr>
        <w:fldChar w:fldCharType="end"/>
      </w:r>
      <w:r w:rsidRPr="00A77332">
        <w:rPr>
          <w:szCs w:val="20"/>
        </w:rPr>
        <w:t>).</w:t>
      </w:r>
      <w:r>
        <w:rPr>
          <w:szCs w:val="20"/>
        </w:rPr>
        <w:t xml:space="preserve"> </w:t>
      </w:r>
      <w:r w:rsidRPr="00A77332">
        <w:rPr>
          <w:szCs w:val="20"/>
        </w:rPr>
        <w:t>All Australian molecular pathology service providers that currently perform BRCA</w:t>
      </w:r>
      <w:r>
        <w:rPr>
          <w:szCs w:val="20"/>
        </w:rPr>
        <w:t xml:space="preserve"> </w:t>
      </w:r>
      <w:r w:rsidRPr="00A77332">
        <w:rPr>
          <w:szCs w:val="20"/>
        </w:rPr>
        <w:t>m</w:t>
      </w:r>
      <w:r>
        <w:rPr>
          <w:szCs w:val="20"/>
        </w:rPr>
        <w:t>utation</w:t>
      </w:r>
      <w:r w:rsidRPr="00A77332">
        <w:rPr>
          <w:szCs w:val="20"/>
        </w:rPr>
        <w:t xml:space="preserve"> testing, use in-house developed testing methods (as opposed to commercial test kits).</w:t>
      </w:r>
    </w:p>
    <w:p w14:paraId="220F11D1" w14:textId="122EE7E6" w:rsidR="00A77332" w:rsidRPr="00D825FB" w:rsidRDefault="00A77332" w:rsidP="00A77332">
      <w:pPr>
        <w:autoSpaceDE w:val="0"/>
        <w:autoSpaceDN w:val="0"/>
        <w:adjustRightInd w:val="0"/>
        <w:ind w:left="284"/>
        <w:jc w:val="both"/>
        <w:rPr>
          <w:szCs w:val="20"/>
        </w:rPr>
      </w:pPr>
      <w:r w:rsidRPr="00D825FB">
        <w:rPr>
          <w:szCs w:val="20"/>
        </w:rPr>
        <w:t>Local test methodology remains consistent with that previously considered by MSAC under application 1380 to reimburse BRCA</w:t>
      </w:r>
      <w:r w:rsidR="009B0FB0">
        <w:rPr>
          <w:szCs w:val="20"/>
        </w:rPr>
        <w:t xml:space="preserve"> </w:t>
      </w:r>
      <w:r w:rsidRPr="00D825FB">
        <w:rPr>
          <w:szCs w:val="20"/>
        </w:rPr>
        <w:t>m</w:t>
      </w:r>
      <w:r w:rsidR="009B0FB0">
        <w:rPr>
          <w:szCs w:val="20"/>
        </w:rPr>
        <w:t>utation</w:t>
      </w:r>
      <w:r w:rsidRPr="00D825FB">
        <w:rPr>
          <w:szCs w:val="20"/>
        </w:rPr>
        <w:t xml:space="preserve"> testing to determine eligibility for olaparib (MBS item #73295).  Details of the test methodologies conducted by local service providers were summarised in the co-dependent submission for olaparib in BRCA</w:t>
      </w:r>
      <w:r w:rsidR="009B0FB0">
        <w:rPr>
          <w:szCs w:val="20"/>
        </w:rPr>
        <w:t xml:space="preserve"> </w:t>
      </w:r>
      <w:r w:rsidR="009B0FB0" w:rsidRPr="00D825FB">
        <w:rPr>
          <w:szCs w:val="20"/>
        </w:rPr>
        <w:t>m</w:t>
      </w:r>
      <w:r w:rsidR="009B0FB0">
        <w:rPr>
          <w:szCs w:val="20"/>
        </w:rPr>
        <w:t>utation</w:t>
      </w:r>
      <w:r w:rsidRPr="00D825FB">
        <w:rPr>
          <w:szCs w:val="20"/>
        </w:rPr>
        <w:t xml:space="preserve"> </w:t>
      </w:r>
      <w:r w:rsidR="009B0FB0">
        <w:rPr>
          <w:szCs w:val="20"/>
        </w:rPr>
        <w:t>platinum sensitive</w:t>
      </w:r>
      <w:r w:rsidRPr="00D825FB">
        <w:rPr>
          <w:szCs w:val="20"/>
        </w:rPr>
        <w:t xml:space="preserve"> </w:t>
      </w:r>
      <w:r w:rsidR="009B0FB0" w:rsidRPr="009B0FB0">
        <w:rPr>
          <w:szCs w:val="20"/>
        </w:rPr>
        <w:t>high-grade serous ovarian cancer (HGSOC)</w:t>
      </w:r>
      <w:r w:rsidRPr="00D825FB">
        <w:rPr>
          <w:szCs w:val="20"/>
        </w:rPr>
        <w:t xml:space="preserve"> (submitted by Astra Zeneca, October 2015).  As summarised in </w:t>
      </w:r>
      <w:r w:rsidRPr="00A77332">
        <w:rPr>
          <w:szCs w:val="20"/>
        </w:rPr>
        <w:fldChar w:fldCharType="begin"/>
      </w:r>
      <w:r w:rsidRPr="00A77332">
        <w:rPr>
          <w:szCs w:val="20"/>
        </w:rPr>
        <w:instrText xml:space="preserve"> REF _Ref17924221 \h </w:instrText>
      </w:r>
      <w:r>
        <w:rPr>
          <w:szCs w:val="20"/>
        </w:rPr>
        <w:instrText xml:space="preserve"> \* MERGEFORMAT </w:instrText>
      </w:r>
      <w:r w:rsidRPr="00A77332">
        <w:rPr>
          <w:szCs w:val="20"/>
        </w:rPr>
      </w:r>
      <w:r w:rsidRPr="00A77332">
        <w:rPr>
          <w:szCs w:val="20"/>
        </w:rPr>
        <w:fldChar w:fldCharType="separate"/>
      </w:r>
      <w:r w:rsidR="008D211B" w:rsidRPr="008D211B">
        <w:rPr>
          <w:szCs w:val="20"/>
        </w:rPr>
        <w:t>Table 1</w:t>
      </w:r>
      <w:r w:rsidRPr="00A77332">
        <w:rPr>
          <w:szCs w:val="20"/>
        </w:rPr>
        <w:fldChar w:fldCharType="end"/>
      </w:r>
      <w:r w:rsidRPr="00D825FB">
        <w:rPr>
          <w:szCs w:val="20"/>
        </w:rPr>
        <w:t>, most laboratories use N</w:t>
      </w:r>
      <w:r w:rsidR="009B0FB0">
        <w:rPr>
          <w:szCs w:val="20"/>
        </w:rPr>
        <w:t xml:space="preserve">ext </w:t>
      </w:r>
      <w:r w:rsidRPr="00D825FB">
        <w:rPr>
          <w:szCs w:val="20"/>
        </w:rPr>
        <w:t>G</w:t>
      </w:r>
      <w:r w:rsidR="009B0FB0">
        <w:rPr>
          <w:szCs w:val="20"/>
        </w:rPr>
        <w:t xml:space="preserve">eneration </w:t>
      </w:r>
      <w:r w:rsidR="009B0FB0" w:rsidRPr="00D825FB">
        <w:rPr>
          <w:szCs w:val="20"/>
        </w:rPr>
        <w:t>S</w:t>
      </w:r>
      <w:r w:rsidR="009B0FB0">
        <w:rPr>
          <w:szCs w:val="20"/>
        </w:rPr>
        <w:t xml:space="preserve">equencing (NGS) </w:t>
      </w:r>
      <w:r w:rsidRPr="00D825FB">
        <w:rPr>
          <w:szCs w:val="20"/>
        </w:rPr>
        <w:t>based methods or Sanger sequencing.</w:t>
      </w:r>
    </w:p>
    <w:p w14:paraId="372B485B" w14:textId="3F2D2BB9" w:rsidR="00A77332" w:rsidRPr="009B6868" w:rsidRDefault="00A77332" w:rsidP="00A77332">
      <w:pPr>
        <w:autoSpaceDE w:val="0"/>
        <w:autoSpaceDN w:val="0"/>
        <w:adjustRightInd w:val="0"/>
        <w:ind w:left="284"/>
        <w:jc w:val="both"/>
        <w:rPr>
          <w:szCs w:val="20"/>
        </w:rPr>
      </w:pPr>
      <w:r w:rsidRPr="00D825FB">
        <w:rPr>
          <w:szCs w:val="20"/>
        </w:rPr>
        <w:t>Sanger sequencing and NGS methods have high sensitivity for the detection of single base changes and small insertions or deletions in the BRCA genes, but do not detect copy number alterations or large rearrangements (e.g. the deletion or duplication of whole exons, groups of exons or the entire gene), which can account for up to 10% of all known BRCA</w:t>
      </w:r>
      <w:r w:rsidR="009B0FB0">
        <w:rPr>
          <w:szCs w:val="20"/>
        </w:rPr>
        <w:t xml:space="preserve"> mutations</w:t>
      </w:r>
      <w:r w:rsidRPr="00D825FB">
        <w:rPr>
          <w:szCs w:val="20"/>
        </w:rPr>
        <w:t xml:space="preserve"> The most common method for detecting copy number alterations in Australia is the multiplex ligation-dependent probe amplification (MLPA) assay developed by MRC-Holland. This is a variation of the multiplex polymerase chain reaction (PCR) that permits multiple targets to be amplified with only a single primer pair. </w:t>
      </w:r>
    </w:p>
    <w:p w14:paraId="4426DD92" w14:textId="77777777" w:rsidR="00A77332" w:rsidRDefault="00A77332" w:rsidP="00A77332">
      <w:pPr>
        <w:autoSpaceDE w:val="0"/>
        <w:autoSpaceDN w:val="0"/>
        <w:adjustRightInd w:val="0"/>
        <w:ind w:left="284"/>
        <w:jc w:val="both"/>
        <w:rPr>
          <w:szCs w:val="20"/>
        </w:rPr>
      </w:pPr>
    </w:p>
    <w:p w14:paraId="50C9FC32" w14:textId="522964CE" w:rsidR="00A77332" w:rsidRPr="007D02F3" w:rsidRDefault="00A77332" w:rsidP="00A77332">
      <w:pPr>
        <w:pStyle w:val="Caption"/>
        <w:ind w:left="284"/>
        <w:rPr>
          <w:rFonts w:asciiTheme="minorHAnsi" w:hAnsiTheme="minorHAnsi" w:cstheme="minorHAnsi"/>
        </w:rPr>
      </w:pPr>
      <w:bookmarkStart w:id="9" w:name="_Ref17924221"/>
      <w:r w:rsidRPr="007D02F3">
        <w:rPr>
          <w:rFonts w:asciiTheme="minorHAnsi" w:hAnsiTheme="minorHAnsi" w:cstheme="minorHAnsi"/>
        </w:rPr>
        <w:t xml:space="preserve">Table </w:t>
      </w:r>
      <w:r w:rsidRPr="007D02F3">
        <w:rPr>
          <w:rFonts w:asciiTheme="minorHAnsi" w:hAnsiTheme="minorHAnsi" w:cstheme="minorHAnsi"/>
        </w:rPr>
        <w:fldChar w:fldCharType="begin"/>
      </w:r>
      <w:r w:rsidRPr="007D02F3">
        <w:rPr>
          <w:rFonts w:asciiTheme="minorHAnsi" w:hAnsiTheme="minorHAnsi" w:cstheme="minorHAnsi"/>
        </w:rPr>
        <w:instrText xml:space="preserve"> SEQ Table \* ARABIC </w:instrText>
      </w:r>
      <w:r w:rsidRPr="007D02F3">
        <w:rPr>
          <w:rFonts w:asciiTheme="minorHAnsi" w:hAnsiTheme="minorHAnsi" w:cstheme="minorHAnsi"/>
        </w:rPr>
        <w:fldChar w:fldCharType="separate"/>
      </w:r>
      <w:r w:rsidR="008D211B">
        <w:rPr>
          <w:rFonts w:asciiTheme="minorHAnsi" w:hAnsiTheme="minorHAnsi" w:cstheme="minorHAnsi"/>
          <w:noProof/>
        </w:rPr>
        <w:t>1</w:t>
      </w:r>
      <w:r w:rsidRPr="007D02F3">
        <w:rPr>
          <w:rFonts w:asciiTheme="minorHAnsi" w:hAnsiTheme="minorHAnsi" w:cstheme="minorHAnsi"/>
        </w:rPr>
        <w:fldChar w:fldCharType="end"/>
      </w:r>
      <w:bookmarkEnd w:id="9"/>
      <w:r w:rsidRPr="007D02F3">
        <w:rPr>
          <w:rFonts w:asciiTheme="minorHAnsi" w:hAnsiTheme="minorHAnsi" w:cstheme="minorHAnsi"/>
        </w:rPr>
        <w:t xml:space="preserve"> Australian molecular pathology service providers that offer BRCAm testing on a commercial basis</w:t>
      </w:r>
    </w:p>
    <w:tbl>
      <w:tblPr>
        <w:tblStyle w:val="TableGrid"/>
        <w:tblW w:w="5000" w:type="pct"/>
        <w:tblInd w:w="284" w:type="dxa"/>
        <w:tblLook w:val="04A0" w:firstRow="1" w:lastRow="0" w:firstColumn="1" w:lastColumn="0" w:noHBand="0" w:noVBand="1"/>
        <w:tblCaption w:val="Table 1"/>
        <w:tblDescription w:val="Table"/>
      </w:tblPr>
      <w:tblGrid>
        <w:gridCol w:w="3235"/>
        <w:gridCol w:w="2609"/>
        <w:gridCol w:w="3172"/>
      </w:tblGrid>
      <w:tr w:rsidR="00A77332" w:rsidRPr="003C4910" w14:paraId="25508FFE" w14:textId="77777777" w:rsidTr="00A77332">
        <w:trPr>
          <w:tblHeader/>
        </w:trPr>
        <w:tc>
          <w:tcPr>
            <w:tcW w:w="1794" w:type="pct"/>
          </w:tcPr>
          <w:p w14:paraId="6FDCF8D5" w14:textId="77777777" w:rsidR="00A77332" w:rsidRPr="00DE5310" w:rsidRDefault="00A77332" w:rsidP="000F050C">
            <w:pPr>
              <w:keepNext/>
              <w:rPr>
                <w:rFonts w:ascii="Arial Narrow" w:hAnsi="Arial Narrow"/>
                <w:b/>
              </w:rPr>
            </w:pPr>
            <w:r w:rsidRPr="00DE5310">
              <w:rPr>
                <w:rFonts w:ascii="Arial Narrow" w:hAnsi="Arial Narrow"/>
                <w:b/>
              </w:rPr>
              <w:t>Molecular pathology service provider (State)</w:t>
            </w:r>
          </w:p>
        </w:tc>
        <w:tc>
          <w:tcPr>
            <w:tcW w:w="1447" w:type="pct"/>
          </w:tcPr>
          <w:p w14:paraId="0B42E816" w14:textId="77777777" w:rsidR="00A77332" w:rsidRPr="00DE5310" w:rsidRDefault="00A77332" w:rsidP="000F050C">
            <w:pPr>
              <w:keepNext/>
              <w:rPr>
                <w:rFonts w:ascii="Arial Narrow" w:hAnsi="Arial Narrow"/>
                <w:b/>
              </w:rPr>
            </w:pPr>
            <w:r w:rsidRPr="00DE5310">
              <w:rPr>
                <w:rFonts w:ascii="Arial Narrow" w:hAnsi="Arial Narrow"/>
                <w:b/>
              </w:rPr>
              <w:t xml:space="preserve">Method </w:t>
            </w:r>
          </w:p>
        </w:tc>
        <w:tc>
          <w:tcPr>
            <w:tcW w:w="1759" w:type="pct"/>
          </w:tcPr>
          <w:p w14:paraId="20CE4C44" w14:textId="77777777" w:rsidR="00A77332" w:rsidRPr="00DE5310" w:rsidRDefault="00A77332" w:rsidP="000F050C">
            <w:pPr>
              <w:keepNext/>
              <w:rPr>
                <w:rFonts w:ascii="Arial Narrow" w:hAnsi="Arial Narrow"/>
                <w:b/>
              </w:rPr>
            </w:pPr>
            <w:r w:rsidRPr="00DE5310">
              <w:rPr>
                <w:rFonts w:ascii="Arial Narrow" w:hAnsi="Arial Narrow"/>
                <w:b/>
              </w:rPr>
              <w:t>QAP involvement</w:t>
            </w:r>
          </w:p>
        </w:tc>
      </w:tr>
      <w:tr w:rsidR="00A77332" w:rsidRPr="003C4910" w14:paraId="5DF0F92F" w14:textId="77777777" w:rsidTr="00A77332">
        <w:tc>
          <w:tcPr>
            <w:tcW w:w="1794" w:type="pct"/>
          </w:tcPr>
          <w:p w14:paraId="1EB0BB19" w14:textId="77777777" w:rsidR="00A77332" w:rsidRPr="00DE5310" w:rsidRDefault="00A77332" w:rsidP="000F050C">
            <w:pPr>
              <w:keepNext/>
              <w:rPr>
                <w:rFonts w:ascii="Arial Narrow" w:hAnsi="Arial Narrow"/>
              </w:rPr>
            </w:pPr>
            <w:r w:rsidRPr="00DE5310">
              <w:rPr>
                <w:rFonts w:ascii="Arial Narrow" w:hAnsi="Arial Narrow"/>
              </w:rPr>
              <w:t>Genomics For Life (QLD)</w:t>
            </w:r>
          </w:p>
        </w:tc>
        <w:tc>
          <w:tcPr>
            <w:tcW w:w="1447" w:type="pct"/>
          </w:tcPr>
          <w:p w14:paraId="7D066DEB" w14:textId="77777777" w:rsidR="00A77332" w:rsidRPr="00DE5310" w:rsidRDefault="00A77332" w:rsidP="000F050C">
            <w:pPr>
              <w:keepNext/>
              <w:rPr>
                <w:rFonts w:ascii="Arial Narrow" w:hAnsi="Arial Narrow"/>
              </w:rPr>
            </w:pPr>
            <w:r w:rsidRPr="00DE5310">
              <w:rPr>
                <w:rFonts w:ascii="Arial Narrow" w:hAnsi="Arial Narrow"/>
              </w:rPr>
              <w:t>NGS + MLPA</w:t>
            </w:r>
          </w:p>
        </w:tc>
        <w:tc>
          <w:tcPr>
            <w:tcW w:w="1759" w:type="pct"/>
          </w:tcPr>
          <w:p w14:paraId="7AB3C747" w14:textId="77777777" w:rsidR="00A77332" w:rsidRPr="00DE5310" w:rsidRDefault="00A77332" w:rsidP="000F050C">
            <w:pPr>
              <w:keepNext/>
              <w:rPr>
                <w:rFonts w:ascii="Arial Narrow" w:hAnsi="Arial Narrow"/>
              </w:rPr>
            </w:pPr>
            <w:r w:rsidRPr="00E024CD">
              <w:rPr>
                <w:rFonts w:ascii="Arial Narrow" w:hAnsi="Arial Narrow"/>
              </w:rPr>
              <w:t>Enrolment in EMQN UQNEQAS RCPA Quality assurance programs.</w:t>
            </w:r>
          </w:p>
        </w:tc>
      </w:tr>
      <w:tr w:rsidR="00A77332" w:rsidRPr="003C4910" w14:paraId="124ECBBC" w14:textId="77777777" w:rsidTr="00A77332">
        <w:tc>
          <w:tcPr>
            <w:tcW w:w="1794" w:type="pct"/>
          </w:tcPr>
          <w:p w14:paraId="00946CCD" w14:textId="77777777" w:rsidR="00A77332" w:rsidRPr="00DE5310" w:rsidRDefault="00A77332" w:rsidP="000F050C">
            <w:pPr>
              <w:keepNext/>
              <w:rPr>
                <w:rFonts w:ascii="Arial Narrow" w:hAnsi="Arial Narrow"/>
              </w:rPr>
            </w:pPr>
            <w:r w:rsidRPr="00DE5310">
              <w:rPr>
                <w:rFonts w:ascii="Arial Narrow" w:hAnsi="Arial Narrow"/>
              </w:rPr>
              <w:t>Pathology North (NSW)</w:t>
            </w:r>
          </w:p>
        </w:tc>
        <w:tc>
          <w:tcPr>
            <w:tcW w:w="1447" w:type="pct"/>
          </w:tcPr>
          <w:p w14:paraId="591E9717" w14:textId="77777777" w:rsidR="00A77332" w:rsidRPr="00DE5310" w:rsidRDefault="00A77332" w:rsidP="000F050C">
            <w:pPr>
              <w:keepNext/>
              <w:rPr>
                <w:rFonts w:ascii="Arial Narrow" w:hAnsi="Arial Narrow"/>
              </w:rPr>
            </w:pPr>
            <w:r w:rsidRPr="00DE5310">
              <w:rPr>
                <w:rFonts w:ascii="Arial Narrow" w:hAnsi="Arial Narrow"/>
              </w:rPr>
              <w:t>NGS + MLPA</w:t>
            </w:r>
          </w:p>
        </w:tc>
        <w:tc>
          <w:tcPr>
            <w:tcW w:w="1759" w:type="pct"/>
          </w:tcPr>
          <w:p w14:paraId="0597240D" w14:textId="77777777" w:rsidR="00A77332" w:rsidRPr="00DE5310" w:rsidRDefault="00A77332" w:rsidP="000F050C">
            <w:pPr>
              <w:keepNext/>
              <w:rPr>
                <w:rFonts w:ascii="Arial Narrow" w:hAnsi="Arial Narrow"/>
              </w:rPr>
            </w:pPr>
            <w:r w:rsidRPr="00E024CD">
              <w:rPr>
                <w:rFonts w:ascii="Arial Narrow" w:hAnsi="Arial Narrow"/>
              </w:rPr>
              <w:t>Enrolment in EMQN UQNEQAS RCPA Quality assurance programs.</w:t>
            </w:r>
          </w:p>
        </w:tc>
      </w:tr>
      <w:tr w:rsidR="00A77332" w:rsidRPr="003C4910" w14:paraId="766C938C" w14:textId="77777777" w:rsidTr="00A77332">
        <w:tc>
          <w:tcPr>
            <w:tcW w:w="1794" w:type="pct"/>
          </w:tcPr>
          <w:p w14:paraId="73EAA9EF" w14:textId="77777777" w:rsidR="00A77332" w:rsidRPr="00DE5310" w:rsidRDefault="00A77332" w:rsidP="000F050C">
            <w:pPr>
              <w:keepNext/>
              <w:rPr>
                <w:rFonts w:ascii="Arial Narrow" w:hAnsi="Arial Narrow"/>
              </w:rPr>
            </w:pPr>
            <w:r w:rsidRPr="00DE5310">
              <w:rPr>
                <w:rFonts w:ascii="Arial Narrow" w:hAnsi="Arial Narrow"/>
              </w:rPr>
              <w:t>Pathology Queensland (QLD)</w:t>
            </w:r>
          </w:p>
        </w:tc>
        <w:tc>
          <w:tcPr>
            <w:tcW w:w="1447" w:type="pct"/>
          </w:tcPr>
          <w:p w14:paraId="0C863056" w14:textId="77777777" w:rsidR="00A77332" w:rsidRPr="00DE5310" w:rsidRDefault="00A77332" w:rsidP="000F050C">
            <w:pPr>
              <w:keepNext/>
              <w:rPr>
                <w:rFonts w:ascii="Arial Narrow" w:hAnsi="Arial Narrow"/>
              </w:rPr>
            </w:pPr>
            <w:r>
              <w:rPr>
                <w:rFonts w:ascii="Arial Narrow" w:hAnsi="Arial Narrow"/>
              </w:rPr>
              <w:t>NGS +</w:t>
            </w:r>
            <w:r w:rsidRPr="00DE5310">
              <w:rPr>
                <w:rFonts w:ascii="Arial Narrow" w:hAnsi="Arial Narrow"/>
              </w:rPr>
              <w:t xml:space="preserve"> MLPA</w:t>
            </w:r>
          </w:p>
        </w:tc>
        <w:tc>
          <w:tcPr>
            <w:tcW w:w="1759" w:type="pct"/>
          </w:tcPr>
          <w:p w14:paraId="12F9061F" w14:textId="77777777" w:rsidR="00A77332" w:rsidRPr="00DE5310" w:rsidRDefault="00A77332" w:rsidP="000F050C">
            <w:pPr>
              <w:keepNext/>
              <w:rPr>
                <w:rFonts w:ascii="Arial Narrow" w:hAnsi="Arial Narrow"/>
              </w:rPr>
            </w:pPr>
            <w:r w:rsidRPr="00E024CD">
              <w:rPr>
                <w:rFonts w:ascii="Arial Narrow" w:hAnsi="Arial Narrow"/>
              </w:rPr>
              <w:t>Enrolment in EMQN UQNEQAS RCPA Quality assurance programs.</w:t>
            </w:r>
          </w:p>
        </w:tc>
      </w:tr>
      <w:tr w:rsidR="00A77332" w:rsidRPr="003C4910" w14:paraId="23D87F2F" w14:textId="77777777" w:rsidTr="00A77332">
        <w:tc>
          <w:tcPr>
            <w:tcW w:w="1794" w:type="pct"/>
          </w:tcPr>
          <w:p w14:paraId="3E655C38" w14:textId="77777777" w:rsidR="00A77332" w:rsidRPr="00DE5310" w:rsidRDefault="00A77332" w:rsidP="000F050C">
            <w:pPr>
              <w:keepNext/>
              <w:rPr>
                <w:rFonts w:ascii="Arial Narrow" w:hAnsi="Arial Narrow"/>
              </w:rPr>
            </w:pPr>
            <w:proofErr w:type="spellStart"/>
            <w:r w:rsidRPr="00DE5310">
              <w:rPr>
                <w:rFonts w:ascii="Arial Narrow" w:hAnsi="Arial Narrow"/>
              </w:rPr>
              <w:lastRenderedPageBreak/>
              <w:t>PathWest</w:t>
            </w:r>
            <w:proofErr w:type="spellEnd"/>
            <w:r w:rsidRPr="00DE5310">
              <w:rPr>
                <w:rFonts w:ascii="Arial Narrow" w:hAnsi="Arial Narrow"/>
              </w:rPr>
              <w:t xml:space="preserve"> (WA)</w:t>
            </w:r>
          </w:p>
          <w:p w14:paraId="518F9BA5" w14:textId="77777777" w:rsidR="00A77332" w:rsidRPr="00DE5310" w:rsidRDefault="00A77332" w:rsidP="000F050C">
            <w:pPr>
              <w:keepNext/>
              <w:rPr>
                <w:rFonts w:ascii="Arial Narrow" w:hAnsi="Arial Narrow"/>
              </w:rPr>
            </w:pPr>
          </w:p>
        </w:tc>
        <w:tc>
          <w:tcPr>
            <w:tcW w:w="1447" w:type="pct"/>
          </w:tcPr>
          <w:p w14:paraId="0D52F7D7" w14:textId="77777777" w:rsidR="00A77332" w:rsidRPr="00DE5310" w:rsidRDefault="00A77332" w:rsidP="000F050C">
            <w:pPr>
              <w:keepNext/>
              <w:rPr>
                <w:rFonts w:ascii="Arial Narrow" w:hAnsi="Arial Narrow"/>
              </w:rPr>
            </w:pPr>
            <w:r w:rsidRPr="00DE5310">
              <w:rPr>
                <w:rFonts w:ascii="Arial Narrow" w:hAnsi="Arial Narrow"/>
              </w:rPr>
              <w:t>NGS + MLPA</w:t>
            </w:r>
          </w:p>
        </w:tc>
        <w:tc>
          <w:tcPr>
            <w:tcW w:w="1759" w:type="pct"/>
          </w:tcPr>
          <w:p w14:paraId="42FA9FFD" w14:textId="77777777" w:rsidR="00A77332" w:rsidRPr="00DE5310" w:rsidRDefault="00A77332" w:rsidP="000F050C">
            <w:pPr>
              <w:keepNext/>
              <w:rPr>
                <w:rFonts w:ascii="Arial Narrow" w:hAnsi="Arial Narrow"/>
              </w:rPr>
            </w:pPr>
            <w:r w:rsidRPr="00E024CD">
              <w:rPr>
                <w:rFonts w:ascii="Arial Narrow" w:hAnsi="Arial Narrow"/>
              </w:rPr>
              <w:t>Enrolment in EMQN UQNEQAS RCPA Quality assurance programs.</w:t>
            </w:r>
          </w:p>
        </w:tc>
      </w:tr>
      <w:tr w:rsidR="00A77332" w:rsidRPr="003C4910" w14:paraId="1CDC992F" w14:textId="77777777" w:rsidTr="00A77332">
        <w:tc>
          <w:tcPr>
            <w:tcW w:w="1794" w:type="pct"/>
          </w:tcPr>
          <w:p w14:paraId="4393F27C" w14:textId="77777777" w:rsidR="00A77332" w:rsidRPr="00DE5310" w:rsidRDefault="00A77332" w:rsidP="000F050C">
            <w:pPr>
              <w:keepNext/>
              <w:rPr>
                <w:rFonts w:ascii="Arial Narrow" w:hAnsi="Arial Narrow"/>
              </w:rPr>
            </w:pPr>
            <w:r w:rsidRPr="00DE5310">
              <w:rPr>
                <w:rFonts w:ascii="Arial Narrow" w:hAnsi="Arial Narrow"/>
              </w:rPr>
              <w:t>Peter MacCallum Cancer Centre (VIC)</w:t>
            </w:r>
          </w:p>
        </w:tc>
        <w:tc>
          <w:tcPr>
            <w:tcW w:w="1447" w:type="pct"/>
          </w:tcPr>
          <w:p w14:paraId="1DCA52AB" w14:textId="77777777" w:rsidR="00A77332" w:rsidRPr="00DE5310" w:rsidRDefault="00A77332" w:rsidP="000F050C">
            <w:pPr>
              <w:keepNext/>
              <w:rPr>
                <w:rFonts w:ascii="Arial Narrow" w:hAnsi="Arial Narrow"/>
              </w:rPr>
            </w:pPr>
            <w:r w:rsidRPr="00DE5310">
              <w:rPr>
                <w:rFonts w:ascii="Arial Narrow" w:hAnsi="Arial Narrow"/>
              </w:rPr>
              <w:t>NGS + MLPA</w:t>
            </w:r>
          </w:p>
        </w:tc>
        <w:tc>
          <w:tcPr>
            <w:tcW w:w="1759" w:type="pct"/>
          </w:tcPr>
          <w:p w14:paraId="75D238DE" w14:textId="77777777" w:rsidR="00A77332" w:rsidRPr="00DE5310" w:rsidRDefault="00A77332" w:rsidP="000F050C">
            <w:pPr>
              <w:keepNext/>
              <w:rPr>
                <w:rFonts w:ascii="Arial Narrow" w:hAnsi="Arial Narrow"/>
              </w:rPr>
            </w:pPr>
            <w:r w:rsidRPr="00E024CD">
              <w:rPr>
                <w:rFonts w:ascii="Arial Narrow" w:hAnsi="Arial Narrow"/>
              </w:rPr>
              <w:t>Enrolment in EMQN UQNEQAS RCPA Quality assurance programs.</w:t>
            </w:r>
          </w:p>
        </w:tc>
      </w:tr>
      <w:tr w:rsidR="00A77332" w:rsidRPr="003C4910" w14:paraId="2D9B7A00" w14:textId="77777777" w:rsidTr="00A77332">
        <w:tc>
          <w:tcPr>
            <w:tcW w:w="1794" w:type="pct"/>
          </w:tcPr>
          <w:p w14:paraId="55ED4F5A" w14:textId="77777777" w:rsidR="00A77332" w:rsidRPr="00DE5310" w:rsidRDefault="00A77332" w:rsidP="000F050C">
            <w:pPr>
              <w:keepNext/>
              <w:rPr>
                <w:rFonts w:ascii="Arial Narrow" w:hAnsi="Arial Narrow"/>
              </w:rPr>
            </w:pPr>
            <w:r w:rsidRPr="00DE5310">
              <w:rPr>
                <w:rFonts w:ascii="Arial Narrow" w:hAnsi="Arial Narrow"/>
              </w:rPr>
              <w:t>SA Pathology (SA)</w:t>
            </w:r>
          </w:p>
        </w:tc>
        <w:tc>
          <w:tcPr>
            <w:tcW w:w="1447" w:type="pct"/>
          </w:tcPr>
          <w:p w14:paraId="0C0A2124" w14:textId="77777777" w:rsidR="00A77332" w:rsidRPr="00DE5310" w:rsidRDefault="00A77332" w:rsidP="000F050C">
            <w:pPr>
              <w:keepNext/>
              <w:rPr>
                <w:rFonts w:ascii="Arial Narrow" w:hAnsi="Arial Narrow"/>
              </w:rPr>
            </w:pPr>
            <w:r w:rsidRPr="00DE5310">
              <w:rPr>
                <w:rFonts w:ascii="Arial Narrow" w:hAnsi="Arial Narrow"/>
              </w:rPr>
              <w:t>Sanger sequencing + MLPA</w:t>
            </w:r>
          </w:p>
        </w:tc>
        <w:tc>
          <w:tcPr>
            <w:tcW w:w="1759" w:type="pct"/>
          </w:tcPr>
          <w:p w14:paraId="7BA615B3" w14:textId="77777777" w:rsidR="00A77332" w:rsidRPr="00DE5310" w:rsidRDefault="00A77332" w:rsidP="000F050C">
            <w:pPr>
              <w:keepNext/>
              <w:rPr>
                <w:rFonts w:ascii="Arial Narrow" w:hAnsi="Arial Narrow"/>
              </w:rPr>
            </w:pPr>
            <w:r w:rsidRPr="00E024CD">
              <w:rPr>
                <w:rFonts w:ascii="Arial Narrow" w:hAnsi="Arial Narrow"/>
              </w:rPr>
              <w:t>Enrolment in EMQN UQNEQAS RCPA Quality assurance programs.</w:t>
            </w:r>
          </w:p>
        </w:tc>
      </w:tr>
      <w:tr w:rsidR="00A77332" w:rsidRPr="003C4910" w14:paraId="1342B75B" w14:textId="77777777" w:rsidTr="00A77332">
        <w:tc>
          <w:tcPr>
            <w:tcW w:w="1794" w:type="pct"/>
          </w:tcPr>
          <w:p w14:paraId="40A42326" w14:textId="77777777" w:rsidR="00A77332" w:rsidRPr="00DE5310" w:rsidRDefault="00A77332" w:rsidP="000F050C">
            <w:pPr>
              <w:keepNext/>
              <w:rPr>
                <w:rFonts w:ascii="Arial Narrow" w:hAnsi="Arial Narrow"/>
              </w:rPr>
            </w:pPr>
            <w:r>
              <w:rPr>
                <w:rFonts w:ascii="Arial Narrow" w:hAnsi="Arial Narrow"/>
              </w:rPr>
              <w:t>Genomics Diagnostics (VIC – national network))</w:t>
            </w:r>
          </w:p>
        </w:tc>
        <w:tc>
          <w:tcPr>
            <w:tcW w:w="1447" w:type="pct"/>
          </w:tcPr>
          <w:p w14:paraId="73E537C7" w14:textId="77777777" w:rsidR="00A77332" w:rsidRPr="00DE5310" w:rsidRDefault="00A77332" w:rsidP="000F050C">
            <w:pPr>
              <w:keepNext/>
              <w:rPr>
                <w:rFonts w:ascii="Arial Narrow" w:hAnsi="Arial Narrow"/>
              </w:rPr>
            </w:pPr>
            <w:r>
              <w:rPr>
                <w:rFonts w:ascii="Arial Narrow" w:hAnsi="Arial Narrow"/>
              </w:rPr>
              <w:t>NGS + MLPA</w:t>
            </w:r>
          </w:p>
        </w:tc>
        <w:tc>
          <w:tcPr>
            <w:tcW w:w="1759" w:type="pct"/>
          </w:tcPr>
          <w:p w14:paraId="3B99B85E" w14:textId="77777777" w:rsidR="00A77332" w:rsidRPr="00E024CD" w:rsidRDefault="00A77332" w:rsidP="000F050C">
            <w:pPr>
              <w:keepNext/>
              <w:rPr>
                <w:rFonts w:ascii="Arial Narrow" w:hAnsi="Arial Narrow"/>
              </w:rPr>
            </w:pPr>
            <w:r w:rsidRPr="00AE4DBB">
              <w:rPr>
                <w:rFonts w:ascii="Arial Narrow" w:hAnsi="Arial Narrow"/>
              </w:rPr>
              <w:t>Enrolment in EMQN UQNEQAS RCPA Quality Assurance Programs</w:t>
            </w:r>
          </w:p>
        </w:tc>
      </w:tr>
      <w:tr w:rsidR="00A77332" w:rsidRPr="003C4910" w14:paraId="2EF5A6CC" w14:textId="77777777" w:rsidTr="00A77332">
        <w:tc>
          <w:tcPr>
            <w:tcW w:w="1794" w:type="pct"/>
          </w:tcPr>
          <w:p w14:paraId="0180E34C" w14:textId="77777777" w:rsidR="00A77332" w:rsidRDefault="00A77332" w:rsidP="000F050C">
            <w:pPr>
              <w:keepNext/>
              <w:rPr>
                <w:rFonts w:ascii="Arial Narrow" w:hAnsi="Arial Narrow"/>
              </w:rPr>
            </w:pPr>
            <w:r>
              <w:rPr>
                <w:rFonts w:ascii="Arial Narrow" w:hAnsi="Arial Narrow"/>
              </w:rPr>
              <w:t>SONIC Genetics (NSW – National network)</w:t>
            </w:r>
          </w:p>
        </w:tc>
        <w:tc>
          <w:tcPr>
            <w:tcW w:w="1447" w:type="pct"/>
          </w:tcPr>
          <w:p w14:paraId="489C87CA" w14:textId="77777777" w:rsidR="00A77332" w:rsidRDefault="00A77332" w:rsidP="000F050C">
            <w:pPr>
              <w:keepNext/>
              <w:rPr>
                <w:rFonts w:ascii="Arial Narrow" w:hAnsi="Arial Narrow"/>
              </w:rPr>
            </w:pPr>
            <w:r>
              <w:rPr>
                <w:rFonts w:ascii="Arial Narrow" w:hAnsi="Arial Narrow"/>
              </w:rPr>
              <w:t>NGS + MLPA</w:t>
            </w:r>
          </w:p>
        </w:tc>
        <w:tc>
          <w:tcPr>
            <w:tcW w:w="1759" w:type="pct"/>
          </w:tcPr>
          <w:p w14:paraId="38123E88" w14:textId="77777777" w:rsidR="00A77332" w:rsidRPr="00E024CD" w:rsidRDefault="00A77332" w:rsidP="000F050C">
            <w:pPr>
              <w:keepNext/>
              <w:rPr>
                <w:rFonts w:ascii="Arial Narrow" w:hAnsi="Arial Narrow"/>
              </w:rPr>
            </w:pPr>
            <w:r w:rsidRPr="00AE4DBB">
              <w:rPr>
                <w:rFonts w:ascii="Arial Narrow" w:hAnsi="Arial Narrow"/>
              </w:rPr>
              <w:t>Enrolment in EMQN UQNEQAS RCPA Quality Assurance Programs</w:t>
            </w:r>
          </w:p>
        </w:tc>
      </w:tr>
    </w:tbl>
    <w:p w14:paraId="210CAD36" w14:textId="77777777" w:rsidR="00A77332" w:rsidRDefault="00A77332" w:rsidP="00A77332">
      <w:pPr>
        <w:pStyle w:val="Sources"/>
        <w:ind w:left="284"/>
      </w:pPr>
      <w:r w:rsidRPr="003C4910">
        <w:t>Abbreviations: EDTA, ethylenediaminetetraacetic acid; EMQN, European Molecular Genetics Quality Network; MLPA, multiplex ligation-dependent probe amplification; NGS, next-generation sequencing; QAP, quality assurance programme; RCPAQAP, Royal College of Pathologists of Australasia Quality Assurance Programs Pty</w:t>
      </w:r>
      <w:r>
        <w:t xml:space="preserve"> Ltd</w:t>
      </w:r>
    </w:p>
    <w:p w14:paraId="50ED14DF" w14:textId="324682EF" w:rsidR="00D825FB" w:rsidRDefault="00D825FB" w:rsidP="00C04B3D">
      <w:pPr>
        <w:autoSpaceDE w:val="0"/>
        <w:autoSpaceDN w:val="0"/>
        <w:adjustRightInd w:val="0"/>
        <w:ind w:left="284"/>
        <w:jc w:val="both"/>
        <w:rPr>
          <w:szCs w:val="20"/>
        </w:rPr>
      </w:pPr>
    </w:p>
    <w:p w14:paraId="70B8E651"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068AF9C" w14:textId="42F33259" w:rsidR="00615F42" w:rsidRPr="00615F42" w:rsidRDefault="00755BB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4B25A2A7"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sidRPr="000A5B32">
        <w:rPr>
          <w:szCs w:val="20"/>
        </w:rPr>
        <w:t xml:space="preserve"> </w:t>
      </w:r>
      <w:r w:rsidRPr="00615F42">
        <w:rPr>
          <w:szCs w:val="20"/>
        </w:rPr>
        <w:t>AIMD</w:t>
      </w:r>
    </w:p>
    <w:p w14:paraId="7DDDB63C" w14:textId="754EEE98" w:rsidR="005E2CE3"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sidRPr="000A5B32">
        <w:rPr>
          <w:szCs w:val="20"/>
        </w:rPr>
        <w:t xml:space="preserve"> </w:t>
      </w:r>
      <w:r w:rsidRPr="00615F42">
        <w:rPr>
          <w:szCs w:val="20"/>
        </w:rPr>
        <w:t>N</w:t>
      </w:r>
      <w:r w:rsidR="00FB111F">
        <w:rPr>
          <w:szCs w:val="20"/>
        </w:rPr>
        <w:t>ot Applicable</w:t>
      </w:r>
    </w:p>
    <w:p w14:paraId="13C8AACA" w14:textId="144CD550" w:rsidR="00755BBF" w:rsidRDefault="00755BBF" w:rsidP="00A6491A">
      <w:pPr>
        <w:spacing w:before="0" w:after="0"/>
        <w:ind w:left="284"/>
        <w:rPr>
          <w:szCs w:val="20"/>
        </w:rPr>
      </w:pPr>
    </w:p>
    <w:p w14:paraId="3428C4A7" w14:textId="77777777" w:rsidR="00755BBF" w:rsidRPr="00755BBF" w:rsidRDefault="00755BBF" w:rsidP="00755BBF">
      <w:pPr>
        <w:spacing w:before="0" w:after="0"/>
        <w:ind w:left="284"/>
        <w:rPr>
          <w:szCs w:val="20"/>
        </w:rPr>
      </w:pPr>
      <w:r w:rsidRPr="00755BBF">
        <w:rPr>
          <w:szCs w:val="20"/>
        </w:rPr>
        <w:t>All Australian molecular pathology service providers that currently perform BRCAm testing, use in-house developed testing methods (as opposed to commercial test kits). Under the 2010 TGA regulatory framework, BRCAm tests that are used to determine eligibility for olaparib are classified as in-house developed Class 3 in vitro diagnostic medical devices (IVDs). The TGA framework requires laboratories that deal with Class 3 IVDs to provide the TGA with a declaration of conformity that the in-house IVDs comply with the essential principles and describe the 'kinds' of IVDs manufactured.</w:t>
      </w:r>
    </w:p>
    <w:p w14:paraId="62A00DF1" w14:textId="77777777" w:rsidR="00755BBF" w:rsidRPr="00154B00" w:rsidRDefault="00755BBF" w:rsidP="00A6491A">
      <w:pPr>
        <w:spacing w:before="0" w:after="0"/>
        <w:ind w:left="284"/>
        <w:rPr>
          <w:szCs w:val="20"/>
        </w:rPr>
      </w:pPr>
    </w:p>
    <w:p w14:paraId="3DA514A8"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1164A6D"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F31DF75" w14:textId="6920C272" w:rsidR="003421AE" w:rsidRPr="00615F42" w:rsidRDefault="000C1593"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615F42">
        <w:rPr>
          <w:szCs w:val="20"/>
        </w:rPr>
        <w:t xml:space="preserve"> No</w:t>
      </w:r>
    </w:p>
    <w:p w14:paraId="47567D9F"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5C1E1434" w14:textId="643F30C6" w:rsidR="0043654D" w:rsidRDefault="000C1593"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43654D">
        <w:rPr>
          <w:szCs w:val="20"/>
        </w:rPr>
        <w:t>Yes (if yes, please provide details below)</w:t>
      </w:r>
    </w:p>
    <w:p w14:paraId="08F9E7C2"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No</w:t>
      </w:r>
    </w:p>
    <w:p w14:paraId="763CC149" w14:textId="77777777" w:rsidR="0043654D" w:rsidRPr="00615F42" w:rsidRDefault="0043654D" w:rsidP="0043654D">
      <w:pPr>
        <w:spacing w:before="0" w:after="0"/>
        <w:ind w:left="284"/>
        <w:rPr>
          <w:b/>
          <w:szCs w:val="20"/>
        </w:rPr>
      </w:pPr>
    </w:p>
    <w:p w14:paraId="493EDBAD" w14:textId="0008AD36" w:rsidR="000C1593" w:rsidRDefault="000C1593" w:rsidP="000C1593">
      <w:pPr>
        <w:spacing w:before="0" w:after="0"/>
        <w:ind w:left="284"/>
        <w:rPr>
          <w:szCs w:val="20"/>
        </w:rPr>
      </w:pPr>
      <w:bookmarkStart w:id="10" w:name="_Hlk19277663"/>
      <w:r>
        <w:rPr>
          <w:szCs w:val="20"/>
        </w:rPr>
        <w:t>The pharmaceutical product L</w:t>
      </w:r>
      <w:r w:rsidR="00E11A35">
        <w:rPr>
          <w:szCs w:val="20"/>
        </w:rPr>
        <w:t>ynparza</w:t>
      </w:r>
      <w:r w:rsidR="00E11A35">
        <w:rPr>
          <w:rFonts w:cstheme="minorHAnsi"/>
          <w:szCs w:val="20"/>
        </w:rPr>
        <w:t>®</w:t>
      </w:r>
      <w:r>
        <w:rPr>
          <w:szCs w:val="20"/>
        </w:rPr>
        <w:t xml:space="preserve"> (olaparib) is currently registered on the ARTG with the following ARTG details:</w:t>
      </w:r>
    </w:p>
    <w:p w14:paraId="6FC20C84" w14:textId="77777777" w:rsidR="000C1593" w:rsidRDefault="000C1593" w:rsidP="000C1593">
      <w:pPr>
        <w:spacing w:before="0" w:after="0"/>
        <w:ind w:left="284"/>
        <w:rPr>
          <w:szCs w:val="20"/>
        </w:rPr>
      </w:pPr>
    </w:p>
    <w:p w14:paraId="752F0028" w14:textId="71EB93A0" w:rsidR="000C1593" w:rsidRDefault="000C1593" w:rsidP="000C1593">
      <w:pPr>
        <w:spacing w:before="0" w:after="0"/>
        <w:ind w:left="284"/>
        <w:rPr>
          <w:szCs w:val="20"/>
        </w:rPr>
      </w:pPr>
      <w:r>
        <w:rPr>
          <w:szCs w:val="20"/>
        </w:rPr>
        <w:t>ARTG ID:</w:t>
      </w:r>
      <w:r w:rsidR="00E11A35">
        <w:rPr>
          <w:szCs w:val="20"/>
        </w:rPr>
        <w:t xml:space="preserve"> </w:t>
      </w:r>
      <w:r>
        <w:rPr>
          <w:szCs w:val="20"/>
        </w:rPr>
        <w:t>288614 Lynparza 150mg tablets</w:t>
      </w:r>
    </w:p>
    <w:p w14:paraId="4983C8D3" w14:textId="758B6166" w:rsidR="000C1593" w:rsidRDefault="000C1593" w:rsidP="000C1593">
      <w:pPr>
        <w:spacing w:before="0" w:after="0"/>
        <w:ind w:left="284"/>
        <w:rPr>
          <w:szCs w:val="20"/>
        </w:rPr>
      </w:pPr>
      <w:r>
        <w:rPr>
          <w:szCs w:val="20"/>
        </w:rPr>
        <w:t>ARTG ID:</w:t>
      </w:r>
      <w:r w:rsidR="00E11A35">
        <w:rPr>
          <w:szCs w:val="20"/>
        </w:rPr>
        <w:t xml:space="preserve"> </w:t>
      </w:r>
      <w:r>
        <w:rPr>
          <w:szCs w:val="20"/>
        </w:rPr>
        <w:t xml:space="preserve">288613 Lynparza 100mg tablets </w:t>
      </w:r>
    </w:p>
    <w:p w14:paraId="5CC13123" w14:textId="71702E20" w:rsidR="00C41657" w:rsidRDefault="00C41657" w:rsidP="000C1593">
      <w:pPr>
        <w:spacing w:before="0" w:after="0"/>
        <w:ind w:left="284"/>
        <w:rPr>
          <w:szCs w:val="20"/>
        </w:rPr>
      </w:pPr>
    </w:p>
    <w:p w14:paraId="77A6814D" w14:textId="1A91EBE0" w:rsidR="002D529D" w:rsidRDefault="002D529D" w:rsidP="000C1593">
      <w:pPr>
        <w:spacing w:before="0" w:after="0"/>
        <w:ind w:left="284"/>
        <w:rPr>
          <w:szCs w:val="20"/>
        </w:rPr>
      </w:pPr>
      <w:r>
        <w:rPr>
          <w:szCs w:val="20"/>
        </w:rPr>
        <w:lastRenderedPageBreak/>
        <w:t xml:space="preserve">Please note that an application for the treatment of </w:t>
      </w:r>
      <w:r w:rsidR="00D33FFA">
        <w:rPr>
          <w:szCs w:val="20"/>
        </w:rPr>
        <w:t>pancreatic</w:t>
      </w:r>
      <w:r>
        <w:rPr>
          <w:szCs w:val="20"/>
        </w:rPr>
        <w:t xml:space="preserve"> cancer will not be made for the Lynparza 50mg capsules.</w:t>
      </w:r>
    </w:p>
    <w:p w14:paraId="7A7147AD" w14:textId="77777777" w:rsidR="002D529D" w:rsidRDefault="002D529D" w:rsidP="000C1593">
      <w:pPr>
        <w:spacing w:before="0" w:after="0"/>
        <w:ind w:left="284"/>
        <w:rPr>
          <w:szCs w:val="20"/>
        </w:rPr>
      </w:pPr>
    </w:p>
    <w:p w14:paraId="3F30EF88" w14:textId="7DF6ACA7" w:rsidR="00C41657" w:rsidRDefault="00C41657" w:rsidP="000C1593">
      <w:pPr>
        <w:spacing w:before="0" w:after="0"/>
        <w:ind w:left="284"/>
        <w:rPr>
          <w:szCs w:val="20"/>
        </w:rPr>
      </w:pPr>
      <w:r>
        <w:rPr>
          <w:szCs w:val="20"/>
        </w:rPr>
        <w:t>The current indications for Lynparza tablets are as follows:</w:t>
      </w:r>
      <w:bookmarkEnd w:id="10"/>
      <w:r>
        <w:rPr>
          <w:szCs w:val="20"/>
        </w:rPr>
        <w:t xml:space="preserve"> </w:t>
      </w:r>
    </w:p>
    <w:p w14:paraId="1C189143" w14:textId="758975E7" w:rsidR="000C1593" w:rsidRDefault="000C1593" w:rsidP="000C1593">
      <w:pPr>
        <w:spacing w:before="0" w:after="0"/>
        <w:ind w:left="284"/>
        <w:rPr>
          <w:szCs w:val="20"/>
        </w:rPr>
      </w:pPr>
    </w:p>
    <w:p w14:paraId="75886B60" w14:textId="019D1245" w:rsidR="00C41657" w:rsidRDefault="000C1593" w:rsidP="000C1593">
      <w:pPr>
        <w:spacing w:before="0" w:after="0"/>
        <w:ind w:left="284"/>
      </w:pPr>
      <w:r w:rsidRPr="00C41657">
        <w:rPr>
          <w:b/>
          <w:bCs/>
        </w:rPr>
        <w:t>Ovarian Cancer</w:t>
      </w:r>
      <w:r>
        <w:t xml:space="preserve"> </w:t>
      </w:r>
    </w:p>
    <w:p w14:paraId="01D29CA3" w14:textId="77777777" w:rsidR="00C41657" w:rsidRDefault="00C41657" w:rsidP="000C1593">
      <w:pPr>
        <w:spacing w:before="0" w:after="0"/>
        <w:ind w:left="284"/>
      </w:pPr>
    </w:p>
    <w:p w14:paraId="5731DDA2" w14:textId="0219577B" w:rsidR="00C41657" w:rsidRDefault="00E11A35" w:rsidP="000C1593">
      <w:pPr>
        <w:spacing w:before="0" w:after="0"/>
        <w:ind w:left="284"/>
      </w:pPr>
      <w:r w:rsidRPr="00E11A35">
        <w:t xml:space="preserve">Lynparza® </w:t>
      </w:r>
      <w:r w:rsidR="000C1593">
        <w:t>is indicated as monotherapy for the:</w:t>
      </w:r>
    </w:p>
    <w:p w14:paraId="7743A9F9" w14:textId="77777777" w:rsidR="00C41657" w:rsidRDefault="000C1593" w:rsidP="00C41657">
      <w:pPr>
        <w:pStyle w:val="ListParagraph"/>
        <w:numPr>
          <w:ilvl w:val="0"/>
          <w:numId w:val="38"/>
        </w:numPr>
        <w:spacing w:before="0" w:after="0"/>
      </w:pPr>
      <w:r>
        <w:t xml:space="preserve">maintenance treatment of adult patients with advanced BRCA-mutated (germline or somatic) high-grade epithelial ovarian, fallopian tube or primary peritoneal cancer who are in response (complete response or partial response) to first-line platinum-based chemotherapy. BRCA mutation status should be determined by an experienced laboratory using a validated test method. </w:t>
      </w:r>
    </w:p>
    <w:p w14:paraId="1BB95278" w14:textId="66D7B952" w:rsidR="000C1593" w:rsidRDefault="000C1593" w:rsidP="00C41657">
      <w:pPr>
        <w:pStyle w:val="ListParagraph"/>
        <w:numPr>
          <w:ilvl w:val="0"/>
          <w:numId w:val="38"/>
        </w:numPr>
        <w:spacing w:before="0" w:after="0"/>
      </w:pPr>
      <w:r>
        <w:t xml:space="preserve">maintenance treatment of adult patients with platinum-sensitive relapsed high grade epithelial ovarian, fallopian tube or primary peritoneal cancer who are in response (complete response or partial response) after platinum-based chemotherapy. Prior treatment must have included at least 2 courses of platinum-based regimens. </w:t>
      </w:r>
    </w:p>
    <w:p w14:paraId="7CED7A31" w14:textId="77777777" w:rsidR="002D529D" w:rsidRDefault="002D529D" w:rsidP="002D529D">
      <w:pPr>
        <w:spacing w:before="0" w:after="0"/>
        <w:ind w:left="644"/>
      </w:pPr>
    </w:p>
    <w:p w14:paraId="1F2434E8" w14:textId="07CFDC35" w:rsidR="00C41657" w:rsidRDefault="000C1593" w:rsidP="000C1593">
      <w:pPr>
        <w:spacing w:before="0" w:after="0"/>
        <w:ind w:left="284"/>
      </w:pPr>
      <w:r w:rsidRPr="00C41657">
        <w:rPr>
          <w:b/>
          <w:bCs/>
        </w:rPr>
        <w:t>Breast Cancer</w:t>
      </w:r>
      <w:r>
        <w:t xml:space="preserve"> </w:t>
      </w:r>
    </w:p>
    <w:p w14:paraId="4C3F84B3" w14:textId="77777777" w:rsidR="00C41657" w:rsidRDefault="00C41657" w:rsidP="000C1593">
      <w:pPr>
        <w:spacing w:before="0" w:after="0"/>
        <w:ind w:left="284"/>
      </w:pPr>
    </w:p>
    <w:p w14:paraId="1E4FE42E" w14:textId="528AC1A7" w:rsidR="00C41657" w:rsidRDefault="00E11A35" w:rsidP="000C1593">
      <w:pPr>
        <w:spacing w:before="0" w:after="0"/>
        <w:ind w:left="284"/>
      </w:pPr>
      <w:r w:rsidRPr="00E11A35">
        <w:t xml:space="preserve">Lynparza® </w:t>
      </w:r>
      <w:r w:rsidR="000C1593">
        <w:t xml:space="preserve">is indicated as monotherapy for the: </w:t>
      </w:r>
    </w:p>
    <w:p w14:paraId="357D1275" w14:textId="684AF2C2" w:rsidR="000C1593" w:rsidRPr="00C41657" w:rsidRDefault="000C1593" w:rsidP="00C41657">
      <w:pPr>
        <w:pStyle w:val="ListParagraph"/>
        <w:numPr>
          <w:ilvl w:val="0"/>
          <w:numId w:val="39"/>
        </w:numPr>
        <w:spacing w:before="0" w:after="0"/>
        <w:rPr>
          <w:szCs w:val="20"/>
        </w:rPr>
      </w:pPr>
      <w:r>
        <w:t>treatment of adult patients with germline BRCA-mutated HER2-negative metastatic breast cancer who have previously been treated with chemotherapy in the neoadjuvant, adjuvant or metastatic setting. Germline BRCA mutation (gBRCAm) status should be determined by an experienced laboratory using a validated test method.</w:t>
      </w:r>
    </w:p>
    <w:p w14:paraId="193DB10D" w14:textId="67AB3715" w:rsidR="000C1593" w:rsidRDefault="000C1593" w:rsidP="0043654D">
      <w:pPr>
        <w:spacing w:before="0" w:after="0"/>
        <w:ind w:left="284"/>
        <w:rPr>
          <w:szCs w:val="20"/>
        </w:rPr>
      </w:pPr>
    </w:p>
    <w:p w14:paraId="33879C04" w14:textId="747912C7" w:rsidR="00C41657" w:rsidRDefault="00C41657" w:rsidP="0043654D">
      <w:pPr>
        <w:spacing w:before="0" w:after="0"/>
        <w:ind w:left="284"/>
        <w:rPr>
          <w:szCs w:val="20"/>
        </w:rPr>
      </w:pPr>
    </w:p>
    <w:p w14:paraId="150E6A19" w14:textId="3860D50D" w:rsidR="00C41657" w:rsidRDefault="00C41657" w:rsidP="00C41657">
      <w:pPr>
        <w:spacing w:before="0" w:after="0"/>
        <w:ind w:left="284"/>
      </w:pPr>
      <w:r w:rsidRPr="0043654D">
        <w:rPr>
          <w:szCs w:val="20"/>
        </w:rPr>
        <w:t>TGA approved purpose(s), if applicable:</w:t>
      </w:r>
      <w:r>
        <w:rPr>
          <w:szCs w:val="20"/>
        </w:rPr>
        <w:t xml:space="preserve">  </w:t>
      </w:r>
      <w:bookmarkStart w:id="11" w:name="_Hlk19277757"/>
      <w:r>
        <w:t xml:space="preserve">Not </w:t>
      </w:r>
      <w:r w:rsidR="00FB111F">
        <w:t>A</w:t>
      </w:r>
      <w:r>
        <w:t>pplicable</w:t>
      </w:r>
      <w:bookmarkEnd w:id="11"/>
    </w:p>
    <w:p w14:paraId="63D24783" w14:textId="77777777" w:rsidR="00C41657" w:rsidRDefault="00C41657" w:rsidP="0043654D">
      <w:pPr>
        <w:spacing w:before="0" w:after="0"/>
        <w:ind w:left="284"/>
        <w:rPr>
          <w:szCs w:val="20"/>
        </w:rPr>
      </w:pPr>
    </w:p>
    <w:p w14:paraId="308A5858"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466BF080"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Yes (please provide details below)</w:t>
      </w:r>
    </w:p>
    <w:p w14:paraId="35F631BF" w14:textId="706EBA0E" w:rsidR="0047581D" w:rsidRDefault="00C41657"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47581D">
        <w:rPr>
          <w:szCs w:val="20"/>
        </w:rPr>
        <w:t xml:space="preserve"> No</w:t>
      </w:r>
    </w:p>
    <w:p w14:paraId="40DF3EA9" w14:textId="77777777" w:rsidR="0047581D" w:rsidRDefault="0047581D" w:rsidP="0047581D">
      <w:pPr>
        <w:spacing w:before="0" w:after="0"/>
        <w:rPr>
          <w:b/>
          <w:szCs w:val="20"/>
        </w:rPr>
      </w:pPr>
    </w:p>
    <w:p w14:paraId="4F739DCE" w14:textId="5110CDD3" w:rsidR="0047581D" w:rsidRPr="0047581D" w:rsidRDefault="0047581D" w:rsidP="0047581D">
      <w:pPr>
        <w:spacing w:before="0" w:after="0"/>
        <w:rPr>
          <w:szCs w:val="20"/>
        </w:rPr>
      </w:pPr>
      <w:r w:rsidRPr="0047581D">
        <w:rPr>
          <w:szCs w:val="20"/>
        </w:rPr>
        <w:t xml:space="preserve">Date of submission to TGA:  </w:t>
      </w:r>
    </w:p>
    <w:p w14:paraId="2179BB75"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56194641"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22A901C8"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rsidRPr="00474288">
        <w:instrText xml:space="preserve"> FORMTEXT </w:instrText>
      </w:r>
      <w:r w:rsidR="00971EDB">
        <w:fldChar w:fldCharType="separate"/>
      </w:r>
      <w:r w:rsidR="00971EDB">
        <w:rPr>
          <w:noProof/>
        </w:rPr>
        <w:t>If applicable, insert description of TGA approved indication(s) here</w:t>
      </w:r>
      <w:r w:rsidR="00971EDB">
        <w:fldChar w:fldCharType="end"/>
      </w:r>
    </w:p>
    <w:p w14:paraId="48B62B26"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0FA23450"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5CBD9CEE" w14:textId="7581362F" w:rsidR="000A110D" w:rsidRDefault="00C41657" w:rsidP="000A110D">
      <w:pPr>
        <w:spacing w:before="0" w:after="0"/>
        <w:ind w:left="284"/>
        <w:rPr>
          <w:szCs w:val="20"/>
        </w:rPr>
      </w:pPr>
      <w:r>
        <w:rPr>
          <w:szCs w:val="20"/>
        </w:rPr>
        <w:lastRenderedPageBreak/>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0A110D">
        <w:rPr>
          <w:szCs w:val="20"/>
        </w:rPr>
        <w:t xml:space="preserve"> Yes (please provide details below)</w:t>
      </w:r>
    </w:p>
    <w:p w14:paraId="713A3551"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No</w:t>
      </w:r>
    </w:p>
    <w:p w14:paraId="611C62FA" w14:textId="07AFF103" w:rsidR="000A110D" w:rsidRDefault="000A110D" w:rsidP="00971EDB">
      <w:pPr>
        <w:spacing w:before="0" w:after="0"/>
        <w:rPr>
          <w:szCs w:val="20"/>
        </w:rPr>
      </w:pPr>
    </w:p>
    <w:p w14:paraId="03BDB5E4" w14:textId="51EC7DC2" w:rsidR="003E5120" w:rsidRDefault="003E5120" w:rsidP="00971EDB">
      <w:pPr>
        <w:spacing w:before="0" w:after="0"/>
        <w:rPr>
          <w:szCs w:val="20"/>
        </w:rPr>
      </w:pPr>
      <w:r>
        <w:rPr>
          <w:szCs w:val="20"/>
        </w:rPr>
        <w:t>An application to register Lynparza® (olaparib) for the treatment of pancreatic cancer is currently being prepared.</w:t>
      </w:r>
    </w:p>
    <w:p w14:paraId="78A16BF1" w14:textId="77777777" w:rsidR="003E5120" w:rsidRDefault="003E5120" w:rsidP="00971EDB">
      <w:pPr>
        <w:spacing w:before="0" w:after="0"/>
        <w:rPr>
          <w:szCs w:val="20"/>
        </w:rPr>
      </w:pPr>
    </w:p>
    <w:p w14:paraId="190E0915" w14:textId="34049F7C" w:rsidR="00971EDB" w:rsidRDefault="00971EDB" w:rsidP="00971EDB">
      <w:pPr>
        <w:spacing w:before="0" w:after="0"/>
      </w:pPr>
      <w:r w:rsidRPr="00971EDB">
        <w:rPr>
          <w:szCs w:val="20"/>
        </w:rPr>
        <w:t>Estimated date of submission to TGA</w:t>
      </w:r>
      <w:r>
        <w:rPr>
          <w:szCs w:val="20"/>
        </w:rPr>
        <w:t xml:space="preserve">: </w:t>
      </w:r>
      <w:r w:rsidR="00BE6E3B">
        <w:rPr>
          <w:szCs w:val="20"/>
        </w:rPr>
        <w:t xml:space="preserve"> </w:t>
      </w:r>
      <w:r w:rsidR="0067266E" w:rsidRPr="0067266E">
        <w:rPr>
          <w:b/>
        </w:rPr>
        <w:t>REDACTED</w:t>
      </w:r>
    </w:p>
    <w:p w14:paraId="32553ECD" w14:textId="77777777" w:rsidR="00157701" w:rsidRDefault="00971EDB" w:rsidP="00867B3F">
      <w:pPr>
        <w:spacing w:before="0" w:after="0"/>
        <w:rPr>
          <w:szCs w:val="20"/>
        </w:rPr>
      </w:pPr>
      <w:r w:rsidRPr="00971EDB">
        <w:rPr>
          <w:szCs w:val="20"/>
        </w:rPr>
        <w:t>Proposed indication(s), if applicable</w:t>
      </w:r>
      <w:r>
        <w:rPr>
          <w:szCs w:val="20"/>
        </w:rPr>
        <w:t xml:space="preserve">:  </w:t>
      </w:r>
      <w:r w:rsidR="00157701">
        <w:rPr>
          <w:szCs w:val="20"/>
        </w:rPr>
        <w:t>See below.</w:t>
      </w:r>
    </w:p>
    <w:p w14:paraId="551C2D7F" w14:textId="77777777" w:rsidR="00C41657" w:rsidRDefault="00C41657" w:rsidP="00C41657">
      <w:pPr>
        <w:spacing w:before="0" w:after="0"/>
        <w:ind w:left="284"/>
        <w:rPr>
          <w:szCs w:val="20"/>
        </w:rPr>
      </w:pPr>
    </w:p>
    <w:p w14:paraId="350A4D56" w14:textId="77777777" w:rsidR="00C41657" w:rsidRPr="00C41657" w:rsidRDefault="00C41657" w:rsidP="00C41657">
      <w:pPr>
        <w:spacing w:before="0" w:after="0"/>
        <w:ind w:left="284"/>
        <w:rPr>
          <w:b/>
          <w:bCs/>
          <w:szCs w:val="20"/>
        </w:rPr>
      </w:pPr>
      <w:r w:rsidRPr="00C41657">
        <w:rPr>
          <w:b/>
          <w:bCs/>
          <w:szCs w:val="20"/>
        </w:rPr>
        <w:t>Pancreatic cancer</w:t>
      </w:r>
    </w:p>
    <w:p w14:paraId="1445243A" w14:textId="5845ABD9" w:rsidR="00E4547E" w:rsidRDefault="00E4547E" w:rsidP="00971EDB">
      <w:pPr>
        <w:spacing w:before="0" w:after="0"/>
        <w:rPr>
          <w:szCs w:val="20"/>
        </w:rPr>
      </w:pPr>
    </w:p>
    <w:p w14:paraId="46470677" w14:textId="77777777" w:rsidR="00A44E63" w:rsidRPr="00BE6E3B" w:rsidRDefault="00A44E63" w:rsidP="00A44E63">
      <w:pPr>
        <w:spacing w:before="0" w:after="0"/>
        <w:ind w:left="284"/>
        <w:rPr>
          <w:szCs w:val="20"/>
        </w:rPr>
      </w:pPr>
      <w:r w:rsidRPr="00BE6E3B">
        <w:rPr>
          <w:szCs w:val="20"/>
        </w:rPr>
        <w:t>Lynparza is indicated as monotherapy for the:</w:t>
      </w:r>
    </w:p>
    <w:p w14:paraId="3373EA22" w14:textId="78C55B28" w:rsidR="00A44E63" w:rsidRPr="00BE6E3B" w:rsidRDefault="00A44E63" w:rsidP="00A44E63">
      <w:pPr>
        <w:pStyle w:val="ListParagraph"/>
        <w:numPr>
          <w:ilvl w:val="0"/>
          <w:numId w:val="39"/>
        </w:numPr>
        <w:spacing w:before="0" w:after="0"/>
        <w:rPr>
          <w:szCs w:val="20"/>
        </w:rPr>
      </w:pPr>
      <w:r w:rsidRPr="00BE6E3B">
        <w:rPr>
          <w:szCs w:val="20"/>
        </w:rPr>
        <w:t>m</w:t>
      </w:r>
      <w:r w:rsidR="00562C9F" w:rsidRPr="00BE6E3B">
        <w:rPr>
          <w:szCs w:val="20"/>
        </w:rPr>
        <w:t xml:space="preserve">aintenance treatment </w:t>
      </w:r>
      <w:r w:rsidRPr="00BE6E3B">
        <w:rPr>
          <w:szCs w:val="20"/>
        </w:rPr>
        <w:t>of</w:t>
      </w:r>
      <w:r w:rsidR="00562C9F" w:rsidRPr="00BE6E3B">
        <w:rPr>
          <w:szCs w:val="20"/>
        </w:rPr>
        <w:t xml:space="preserve"> adult patients with germline </w:t>
      </w:r>
      <w:r w:rsidR="00562C9F" w:rsidRPr="00BE6E3B">
        <w:rPr>
          <w:i/>
          <w:iCs/>
          <w:szCs w:val="20"/>
        </w:rPr>
        <w:t xml:space="preserve">BRCA1 </w:t>
      </w:r>
      <w:r w:rsidR="00562C9F" w:rsidRPr="00BE6E3B">
        <w:rPr>
          <w:szCs w:val="20"/>
        </w:rPr>
        <w:t xml:space="preserve">or </w:t>
      </w:r>
      <w:r w:rsidR="00562C9F" w:rsidRPr="00BE6E3B">
        <w:rPr>
          <w:i/>
          <w:iCs/>
          <w:szCs w:val="20"/>
        </w:rPr>
        <w:t xml:space="preserve">BRCA2 </w:t>
      </w:r>
      <w:r w:rsidR="00562C9F" w:rsidRPr="00BE6E3B">
        <w:rPr>
          <w:szCs w:val="20"/>
        </w:rPr>
        <w:t>mutation and metastatic pancreatic cancer and disease that had not progressed</w:t>
      </w:r>
      <w:r w:rsidRPr="00BE6E3B">
        <w:rPr>
          <w:szCs w:val="20"/>
        </w:rPr>
        <w:t xml:space="preserve"> </w:t>
      </w:r>
      <w:r w:rsidR="00562C9F" w:rsidRPr="00BE6E3B">
        <w:rPr>
          <w:szCs w:val="20"/>
        </w:rPr>
        <w:t>during first-line platinum-based chemotherapy</w:t>
      </w:r>
      <w:r w:rsidRPr="00BE6E3B">
        <w:rPr>
          <w:szCs w:val="20"/>
        </w:rPr>
        <w:t>. BRCA mutation status should be determined by an experienced laboratory using a validated test method.</w:t>
      </w:r>
    </w:p>
    <w:p w14:paraId="24A9BD84" w14:textId="77777777" w:rsidR="00562C9F" w:rsidRDefault="00562C9F" w:rsidP="00971EDB">
      <w:pPr>
        <w:spacing w:before="0" w:after="0"/>
        <w:rPr>
          <w:szCs w:val="20"/>
        </w:rPr>
      </w:pPr>
    </w:p>
    <w:p w14:paraId="32D0717C" w14:textId="46B85A08" w:rsidR="00DD308E" w:rsidRPr="002C5ADF" w:rsidRDefault="00971EDB" w:rsidP="002C5ADF">
      <w:pPr>
        <w:spacing w:before="0" w:after="0"/>
        <w:rPr>
          <w:szCs w:val="20"/>
        </w:rPr>
        <w:sectPr w:rsidR="00DD308E" w:rsidRPr="002C5ADF"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971EDB">
        <w:rPr>
          <w:szCs w:val="20"/>
        </w:rPr>
        <w:t>Proposed purpose(s), if applicable</w:t>
      </w:r>
      <w:r>
        <w:rPr>
          <w:szCs w:val="20"/>
        </w:rPr>
        <w:t xml:space="preserve">:  </w:t>
      </w:r>
      <w:r w:rsidR="002C5ADF">
        <w:t xml:space="preserve"> </w:t>
      </w:r>
      <w:r w:rsidR="00157701">
        <w:t xml:space="preserve">Not </w:t>
      </w:r>
      <w:r w:rsidR="00FB111F">
        <w:t>A</w:t>
      </w:r>
      <w:r w:rsidR="00157701">
        <w:t>pplicable</w:t>
      </w:r>
    </w:p>
    <w:p w14:paraId="019E6B7B"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358E0176"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419"/>
        <w:gridCol w:w="1337"/>
        <w:gridCol w:w="2066"/>
        <w:gridCol w:w="2296"/>
        <w:gridCol w:w="6296"/>
        <w:gridCol w:w="1534"/>
      </w:tblGrid>
      <w:tr w:rsidR="00C31905" w14:paraId="27CE9D26" w14:textId="77777777" w:rsidTr="004D62CE">
        <w:trPr>
          <w:cantSplit/>
          <w:tblHeader/>
        </w:trPr>
        <w:tc>
          <w:tcPr>
            <w:tcW w:w="150" w:type="pct"/>
          </w:tcPr>
          <w:p w14:paraId="23DAD30D" w14:textId="77777777" w:rsidR="00DD308E" w:rsidRDefault="00DD308E" w:rsidP="00855944">
            <w:pPr>
              <w:pStyle w:val="TableHEADER"/>
            </w:pPr>
          </w:p>
        </w:tc>
        <w:tc>
          <w:tcPr>
            <w:tcW w:w="479" w:type="pct"/>
          </w:tcPr>
          <w:p w14:paraId="1CDF6E18" w14:textId="77777777" w:rsidR="00DD308E" w:rsidRDefault="00DD308E" w:rsidP="00855944">
            <w:pPr>
              <w:pStyle w:val="TableHEADER"/>
            </w:pPr>
            <w:r>
              <w:t>Type of study design*</w:t>
            </w:r>
          </w:p>
        </w:tc>
        <w:tc>
          <w:tcPr>
            <w:tcW w:w="741" w:type="pct"/>
          </w:tcPr>
          <w:p w14:paraId="428F566D" w14:textId="77777777" w:rsidR="00DD308E" w:rsidRDefault="00DD308E" w:rsidP="00855944">
            <w:pPr>
              <w:pStyle w:val="TableHEADER"/>
            </w:pPr>
            <w:r>
              <w:t>Title of journal article  or research project (including any trial identifier or study lead if relevant)</w:t>
            </w:r>
          </w:p>
        </w:tc>
        <w:tc>
          <w:tcPr>
            <w:tcW w:w="823" w:type="pct"/>
          </w:tcPr>
          <w:p w14:paraId="0FF366EC" w14:textId="77777777" w:rsidR="00DD308E" w:rsidRDefault="00DD308E" w:rsidP="00855944">
            <w:pPr>
              <w:pStyle w:val="TableHEADER"/>
            </w:pPr>
            <w:r>
              <w:t>Short description of research  (max 50 words)**</w:t>
            </w:r>
          </w:p>
        </w:tc>
        <w:tc>
          <w:tcPr>
            <w:tcW w:w="2257" w:type="pct"/>
          </w:tcPr>
          <w:p w14:paraId="07C01E9D" w14:textId="77777777" w:rsidR="00DD308E" w:rsidRDefault="00DD308E" w:rsidP="00855944">
            <w:pPr>
              <w:pStyle w:val="TableHEADER"/>
            </w:pPr>
            <w:r w:rsidRPr="00E82F54">
              <w:t xml:space="preserve">Website link to </w:t>
            </w:r>
            <w:r>
              <w:t>journal article or research (if available)</w:t>
            </w:r>
          </w:p>
        </w:tc>
        <w:tc>
          <w:tcPr>
            <w:tcW w:w="550" w:type="pct"/>
          </w:tcPr>
          <w:p w14:paraId="70632D52" w14:textId="77777777" w:rsidR="00DD308E" w:rsidRDefault="00DD308E" w:rsidP="00855944">
            <w:pPr>
              <w:pStyle w:val="TableHEADER"/>
            </w:pPr>
            <w:r w:rsidRPr="00E82F54">
              <w:t>Date</w:t>
            </w:r>
            <w:r>
              <w:t xml:space="preserve"> of publication</w:t>
            </w:r>
            <w:r w:rsidRPr="00E82F54">
              <w:t>*</w:t>
            </w:r>
            <w:r>
              <w:t>**</w:t>
            </w:r>
          </w:p>
        </w:tc>
      </w:tr>
      <w:tr w:rsidR="001C1B84" w14:paraId="785D43F1" w14:textId="77777777" w:rsidTr="001C1B84">
        <w:trPr>
          <w:cantSplit/>
        </w:trPr>
        <w:tc>
          <w:tcPr>
            <w:tcW w:w="5000" w:type="pct"/>
            <w:gridSpan w:val="6"/>
            <w:shd w:val="clear" w:color="auto" w:fill="BFBFBF" w:themeFill="background1" w:themeFillShade="BF"/>
          </w:tcPr>
          <w:p w14:paraId="4652FA68" w14:textId="148FE780" w:rsidR="001C1B84" w:rsidRPr="00C31905" w:rsidRDefault="001C1B84" w:rsidP="00DD308E">
            <w:pPr>
              <w:rPr>
                <w:b/>
                <w:bCs/>
              </w:rPr>
            </w:pPr>
            <w:r w:rsidRPr="00C31905">
              <w:rPr>
                <w:b/>
                <w:bCs/>
              </w:rPr>
              <w:t>Pivotal</w:t>
            </w:r>
            <w:r w:rsidR="00C31905" w:rsidRPr="00C31905">
              <w:rPr>
                <w:b/>
                <w:bCs/>
              </w:rPr>
              <w:t xml:space="preserve"> olaparib</w:t>
            </w:r>
            <w:r w:rsidRPr="00C31905">
              <w:rPr>
                <w:b/>
                <w:bCs/>
              </w:rPr>
              <w:t xml:space="preserve"> study</w:t>
            </w:r>
          </w:p>
        </w:tc>
      </w:tr>
      <w:tr w:rsidR="00C31905" w14:paraId="1D8125C2" w14:textId="77777777" w:rsidTr="004D62CE">
        <w:trPr>
          <w:cantSplit/>
        </w:trPr>
        <w:tc>
          <w:tcPr>
            <w:tcW w:w="150" w:type="pct"/>
          </w:tcPr>
          <w:p w14:paraId="09DBA8C1" w14:textId="441A2D63" w:rsidR="00DD308E" w:rsidRPr="00965B6B" w:rsidRDefault="001C1B84" w:rsidP="00DD308E">
            <w:pPr>
              <w:rPr>
                <w:szCs w:val="20"/>
              </w:rPr>
            </w:pPr>
            <w:r>
              <w:rPr>
                <w:szCs w:val="20"/>
              </w:rPr>
              <w:t>1</w:t>
            </w:r>
          </w:p>
        </w:tc>
        <w:tc>
          <w:tcPr>
            <w:tcW w:w="479" w:type="pct"/>
          </w:tcPr>
          <w:p w14:paraId="4AE5A39E" w14:textId="3A0FDAFF" w:rsidR="00DD308E" w:rsidRDefault="00382D71" w:rsidP="00DD308E">
            <w:pPr>
              <w:rPr>
                <w:b/>
                <w:szCs w:val="20"/>
              </w:rPr>
            </w:pPr>
            <w:r>
              <w:t>R</w:t>
            </w:r>
            <w:r w:rsidRPr="00382D71">
              <w:t>andomi</w:t>
            </w:r>
            <w:r w:rsidR="0060390E">
              <w:t>s</w:t>
            </w:r>
            <w:r w:rsidRPr="00382D71">
              <w:t>ed</w:t>
            </w:r>
            <w:r w:rsidR="0060390E">
              <w:t>, d</w:t>
            </w:r>
            <w:r w:rsidRPr="00382D71">
              <w:t>ouble-blind, placebo-controlled, phase 3 trial</w:t>
            </w:r>
          </w:p>
        </w:tc>
        <w:tc>
          <w:tcPr>
            <w:tcW w:w="741" w:type="pct"/>
          </w:tcPr>
          <w:p w14:paraId="32F8E5EF" w14:textId="680F506E" w:rsidR="00DD308E" w:rsidRDefault="00382D71" w:rsidP="00382D71">
            <w:r w:rsidRPr="00382D71">
              <w:t>Maintenance Olaparib for Germline</w:t>
            </w:r>
            <w:r>
              <w:t xml:space="preserve"> </w:t>
            </w:r>
            <w:r w:rsidRPr="00382D71">
              <w:rPr>
                <w:i/>
                <w:iCs/>
              </w:rPr>
              <w:t>BRCA</w:t>
            </w:r>
            <w:r w:rsidRPr="00382D71">
              <w:t>-Mutated Metastatic Pancreatic Cancer</w:t>
            </w:r>
          </w:p>
          <w:p w14:paraId="66C2C461" w14:textId="3DCD7423" w:rsidR="0060390E" w:rsidRDefault="0060390E" w:rsidP="00382D71">
            <w:pPr>
              <w:rPr>
                <w:b/>
                <w:szCs w:val="20"/>
              </w:rPr>
            </w:pPr>
          </w:p>
        </w:tc>
        <w:tc>
          <w:tcPr>
            <w:tcW w:w="823" w:type="pct"/>
          </w:tcPr>
          <w:p w14:paraId="58F4B13A" w14:textId="332D5C97" w:rsidR="00DD308E" w:rsidRDefault="0060390E" w:rsidP="0060390E">
            <w:pPr>
              <w:rPr>
                <w:b/>
                <w:szCs w:val="20"/>
              </w:rPr>
            </w:pPr>
            <w:r>
              <w:t xml:space="preserve">Evaluation of </w:t>
            </w:r>
            <w:r w:rsidR="001C1B84">
              <w:t xml:space="preserve">efficacy and safety of </w:t>
            </w:r>
            <w:r>
              <w:t>olaparib maintenance therapy in p</w:t>
            </w:r>
            <w:r w:rsidRPr="0060390E">
              <w:t xml:space="preserve">atients </w:t>
            </w:r>
            <w:r>
              <w:t>with g</w:t>
            </w:r>
            <w:r w:rsidRPr="0060390E">
              <w:t>ermline</w:t>
            </w:r>
            <w:r w:rsidR="002D529D">
              <w:t xml:space="preserve"> </w:t>
            </w:r>
            <w:r w:rsidRPr="000940A4">
              <w:rPr>
                <w:i/>
                <w:iCs/>
              </w:rPr>
              <w:t>BRCA</w:t>
            </w:r>
            <w:r w:rsidR="000940A4" w:rsidRPr="000940A4">
              <w:rPr>
                <w:i/>
                <w:iCs/>
              </w:rPr>
              <w:t>1</w:t>
            </w:r>
            <w:r>
              <w:t xml:space="preserve"> </w:t>
            </w:r>
            <w:r w:rsidRPr="0060390E">
              <w:t>or</w:t>
            </w:r>
            <w:r w:rsidR="000940A4">
              <w:t xml:space="preserve"> </w:t>
            </w:r>
            <w:r w:rsidRPr="0060390E">
              <w:rPr>
                <w:i/>
                <w:iCs/>
              </w:rPr>
              <w:t>BRC</w:t>
            </w:r>
            <w:r w:rsidR="000940A4">
              <w:rPr>
                <w:i/>
                <w:iCs/>
              </w:rPr>
              <w:t xml:space="preserve">A2 </w:t>
            </w:r>
            <w:r w:rsidRPr="0060390E">
              <w:t>mutation and metastatic pancreatic cancer and disease that had not progressed during first-line platinum-based chemotherapy.</w:t>
            </w:r>
            <w:r>
              <w:t xml:space="preserve"> The </w:t>
            </w:r>
            <w:r w:rsidRPr="0060390E">
              <w:t>primary end point was progression-free survival</w:t>
            </w:r>
            <w:r>
              <w:t>,</w:t>
            </w:r>
            <w:r w:rsidRPr="0060390E">
              <w:t xml:space="preserve"> assessed by blinded independent central review</w:t>
            </w:r>
            <w:r w:rsidR="001C1B84">
              <w:t>.</w:t>
            </w:r>
          </w:p>
        </w:tc>
        <w:tc>
          <w:tcPr>
            <w:tcW w:w="2257" w:type="pct"/>
          </w:tcPr>
          <w:p w14:paraId="6F88F3D4" w14:textId="77777777" w:rsidR="007E5701" w:rsidRDefault="008D211B" w:rsidP="00167754">
            <w:pPr>
              <w:rPr>
                <w:bCs/>
                <w:szCs w:val="20"/>
              </w:rPr>
            </w:pPr>
            <w:hyperlink r:id="rId17" w:history="1">
              <w:r w:rsidR="0060390E">
                <w:rPr>
                  <w:rStyle w:val="Hyperlink"/>
                </w:rPr>
                <w:t>https://www.nejm.org/doi/full/10.1056/NEJMoa1903387?url_ver=Z39.88-2003&amp;rfr_id=ori:rid:crossref.org&amp;rfr_dat=cr_pub%3dpubmed</w:t>
              </w:r>
            </w:hyperlink>
            <w:r w:rsidR="00167754" w:rsidRPr="0060390E">
              <w:rPr>
                <w:bCs/>
                <w:szCs w:val="20"/>
              </w:rPr>
              <w:t xml:space="preserve"> </w:t>
            </w:r>
          </w:p>
          <w:p w14:paraId="7D2B9BAD" w14:textId="2BE7F8DE" w:rsidR="007E5701" w:rsidRDefault="008D211B" w:rsidP="00167754">
            <w:hyperlink r:id="rId18" w:history="1">
              <w:r w:rsidR="007E5701" w:rsidRPr="007E5701">
                <w:t>Golan T</w:t>
              </w:r>
            </w:hyperlink>
            <w:r w:rsidR="007E5701" w:rsidRPr="007E5701">
              <w:t>, </w:t>
            </w:r>
            <w:hyperlink r:id="rId19" w:history="1">
              <w:r w:rsidR="007E5701" w:rsidRPr="007E5701">
                <w:t>Hammel P</w:t>
              </w:r>
            </w:hyperlink>
            <w:r w:rsidR="007E5701" w:rsidRPr="007E5701">
              <w:t>, </w:t>
            </w:r>
            <w:hyperlink r:id="rId20" w:history="1">
              <w:r w:rsidR="007E5701" w:rsidRPr="007E5701">
                <w:t>Reni M</w:t>
              </w:r>
            </w:hyperlink>
            <w:r w:rsidR="007E5701" w:rsidRPr="007E5701">
              <w:t>, </w:t>
            </w:r>
            <w:hyperlink r:id="rId21" w:history="1">
              <w:r w:rsidR="007E5701" w:rsidRPr="007E5701">
                <w:t xml:space="preserve">Van </w:t>
              </w:r>
              <w:proofErr w:type="spellStart"/>
              <w:r w:rsidR="007E5701" w:rsidRPr="007E5701">
                <w:t>Cutsem</w:t>
              </w:r>
              <w:proofErr w:type="spellEnd"/>
              <w:r w:rsidR="007E5701" w:rsidRPr="007E5701">
                <w:t xml:space="preserve"> E</w:t>
              </w:r>
            </w:hyperlink>
            <w:r w:rsidR="007E5701" w:rsidRPr="007E5701">
              <w:t>, </w:t>
            </w:r>
            <w:proofErr w:type="spellStart"/>
            <w:r w:rsidR="00474288">
              <w:fldChar w:fldCharType="begin"/>
            </w:r>
            <w:r w:rsidR="00474288">
              <w:instrText xml:space="preserve"> HYPERLINK "https://www.ncbi.nlm.nih.gov/pubmed/?term=Macarulla%20T%5BAuthor%5D&amp;cauthor=true&amp;cauthor_uid=31157963" </w:instrText>
            </w:r>
            <w:r w:rsidR="00474288">
              <w:fldChar w:fldCharType="separate"/>
            </w:r>
            <w:r w:rsidR="007E5701" w:rsidRPr="007E5701">
              <w:t>Macarulla</w:t>
            </w:r>
            <w:proofErr w:type="spellEnd"/>
            <w:r w:rsidR="007E5701" w:rsidRPr="007E5701">
              <w:t xml:space="preserve"> T</w:t>
            </w:r>
            <w:r w:rsidR="00474288">
              <w:fldChar w:fldCharType="end"/>
            </w:r>
            <w:r w:rsidR="007E5701" w:rsidRPr="007E5701">
              <w:t>, </w:t>
            </w:r>
            <w:hyperlink r:id="rId22" w:history="1">
              <w:r w:rsidR="007E5701" w:rsidRPr="007E5701">
                <w:t>Hall MJ</w:t>
              </w:r>
            </w:hyperlink>
            <w:r w:rsidR="007E5701">
              <w:t xml:space="preserve"> et al.</w:t>
            </w:r>
          </w:p>
          <w:p w14:paraId="0DED306C" w14:textId="1053E2AC" w:rsidR="00167754" w:rsidRPr="0060390E" w:rsidRDefault="00167754" w:rsidP="00167754">
            <w:pPr>
              <w:rPr>
                <w:bCs/>
                <w:szCs w:val="20"/>
              </w:rPr>
            </w:pPr>
            <w:r w:rsidRPr="0060390E">
              <w:rPr>
                <w:bCs/>
                <w:szCs w:val="20"/>
              </w:rPr>
              <w:t xml:space="preserve">NEJM </w:t>
            </w:r>
            <w:r w:rsidR="007E5701">
              <w:rPr>
                <w:bCs/>
                <w:szCs w:val="20"/>
              </w:rPr>
              <w:t xml:space="preserve">2019; </w:t>
            </w:r>
            <w:r w:rsidRPr="0060390E">
              <w:rPr>
                <w:bCs/>
                <w:szCs w:val="20"/>
              </w:rPr>
              <w:t>381;4: 317</w:t>
            </w:r>
          </w:p>
          <w:p w14:paraId="3E3FDECE" w14:textId="5F6745AC" w:rsidR="00DD308E" w:rsidRPr="00E82F54" w:rsidRDefault="00167754" w:rsidP="00167754">
            <w:pPr>
              <w:rPr>
                <w:b/>
                <w:szCs w:val="20"/>
              </w:rPr>
            </w:pPr>
            <w:r w:rsidRPr="0060390E">
              <w:rPr>
                <w:bCs/>
                <w:szCs w:val="20"/>
              </w:rPr>
              <w:t>ClinicalTrials.gov number, NCT02184195</w:t>
            </w:r>
          </w:p>
        </w:tc>
        <w:tc>
          <w:tcPr>
            <w:tcW w:w="550" w:type="pct"/>
          </w:tcPr>
          <w:p w14:paraId="33534B6B" w14:textId="333A8E14" w:rsidR="00DD308E" w:rsidRPr="00E82F54" w:rsidRDefault="0060390E" w:rsidP="00DD308E">
            <w:pPr>
              <w:rPr>
                <w:b/>
                <w:szCs w:val="20"/>
              </w:rPr>
            </w:pPr>
            <w:r>
              <w:t>July 2019</w:t>
            </w:r>
          </w:p>
        </w:tc>
      </w:tr>
      <w:tr w:rsidR="00A461BF" w14:paraId="675493DD" w14:textId="77777777" w:rsidTr="004D62CE">
        <w:trPr>
          <w:cantSplit/>
        </w:trPr>
        <w:tc>
          <w:tcPr>
            <w:tcW w:w="150" w:type="pct"/>
          </w:tcPr>
          <w:p w14:paraId="52C065AB" w14:textId="526DECDE" w:rsidR="00A461BF" w:rsidRDefault="00A461BF" w:rsidP="00A461BF">
            <w:pPr>
              <w:rPr>
                <w:szCs w:val="20"/>
              </w:rPr>
            </w:pPr>
            <w:r>
              <w:rPr>
                <w:szCs w:val="20"/>
              </w:rPr>
              <w:t>2</w:t>
            </w:r>
          </w:p>
        </w:tc>
        <w:tc>
          <w:tcPr>
            <w:tcW w:w="479" w:type="pct"/>
          </w:tcPr>
          <w:p w14:paraId="3A09347A" w14:textId="1445FAF2" w:rsidR="00A461BF" w:rsidRDefault="00A461BF" w:rsidP="00A461BF">
            <w:r>
              <w:t>R</w:t>
            </w:r>
            <w:r w:rsidRPr="00382D71">
              <w:t>andomi</w:t>
            </w:r>
            <w:r>
              <w:t>s</w:t>
            </w:r>
            <w:r w:rsidRPr="00382D71">
              <w:t>ed</w:t>
            </w:r>
            <w:r>
              <w:t>, d</w:t>
            </w:r>
            <w:r w:rsidRPr="00382D71">
              <w:t>ouble-blind, placebo-controlled, phase 3 trial</w:t>
            </w:r>
          </w:p>
        </w:tc>
        <w:tc>
          <w:tcPr>
            <w:tcW w:w="741" w:type="pct"/>
          </w:tcPr>
          <w:p w14:paraId="0E2F009E" w14:textId="6243F550" w:rsidR="00A461BF" w:rsidRPr="00382D71" w:rsidRDefault="00194740" w:rsidP="00A461BF">
            <w:r w:rsidRPr="00194740">
              <w:t>Geographic and ethnic heterogeneity in the BRCA1/2 pre-screening population for the randomized phase III POLO study of olaparib maintenance in metastatic pancreatic cancer (</w:t>
            </w:r>
            <w:proofErr w:type="spellStart"/>
            <w:r w:rsidRPr="00194740">
              <w:t>mPC</w:t>
            </w:r>
            <w:proofErr w:type="spellEnd"/>
            <w:r w:rsidRPr="00194740">
              <w:t>)</w:t>
            </w:r>
          </w:p>
        </w:tc>
        <w:tc>
          <w:tcPr>
            <w:tcW w:w="823" w:type="pct"/>
          </w:tcPr>
          <w:p w14:paraId="77D52C59" w14:textId="5EC438F0" w:rsidR="00194740" w:rsidRDefault="00237380" w:rsidP="00A461BF">
            <w:pPr>
              <w:rPr>
                <w:rFonts w:ascii="Source Sans Pro" w:hAnsi="Source Sans Pro"/>
                <w:color w:val="000000"/>
                <w:shd w:val="clear" w:color="auto" w:fill="FFFFFF"/>
              </w:rPr>
            </w:pPr>
            <w:r>
              <w:rPr>
                <w:rFonts w:ascii="Source Sans Pro" w:hAnsi="Source Sans Pro"/>
                <w:color w:val="000000"/>
                <w:shd w:val="clear" w:color="auto" w:fill="FFFFFF"/>
              </w:rPr>
              <w:t>P</w:t>
            </w:r>
            <w:r w:rsidR="00194740">
              <w:rPr>
                <w:rFonts w:ascii="Source Sans Pro" w:hAnsi="Source Sans Pro"/>
                <w:color w:val="000000"/>
                <w:shd w:val="clear" w:color="auto" w:fill="FFFFFF"/>
              </w:rPr>
              <w:t xml:space="preserve">OLO is an international, ongoing, </w:t>
            </w:r>
            <w:proofErr w:type="spellStart"/>
            <w:r w:rsidR="00194740">
              <w:rPr>
                <w:rFonts w:ascii="Source Sans Pro" w:hAnsi="Source Sans Pro"/>
                <w:color w:val="000000"/>
                <w:shd w:val="clear" w:color="auto" w:fill="FFFFFF"/>
              </w:rPr>
              <w:t>placebocontrolled</w:t>
            </w:r>
            <w:proofErr w:type="spellEnd"/>
            <w:r w:rsidR="00194740">
              <w:rPr>
                <w:rFonts w:ascii="Source Sans Pro" w:hAnsi="Source Sans Pro"/>
                <w:color w:val="000000"/>
                <w:shd w:val="clear" w:color="auto" w:fill="FFFFFF"/>
              </w:rPr>
              <w:t xml:space="preserve"> trial to determine efficacy of olaparib (tablet formulation) maintenance monotherapy in </w:t>
            </w:r>
            <w:proofErr w:type="spellStart"/>
            <w:r w:rsidR="00194740">
              <w:rPr>
                <w:rFonts w:ascii="Source Sans Pro" w:hAnsi="Source Sans Pro"/>
                <w:color w:val="000000"/>
                <w:shd w:val="clear" w:color="auto" w:fill="FFFFFF"/>
              </w:rPr>
              <w:t>gBRCAm</w:t>
            </w:r>
            <w:proofErr w:type="spellEnd"/>
            <w:r w:rsidR="00194740">
              <w:rPr>
                <w:rFonts w:ascii="Source Sans Pro" w:hAnsi="Source Sans Pro"/>
                <w:color w:val="000000"/>
                <w:shd w:val="clear" w:color="auto" w:fill="FFFFFF"/>
              </w:rPr>
              <w:t xml:space="preserve"> pts with </w:t>
            </w:r>
            <w:proofErr w:type="spellStart"/>
            <w:r w:rsidR="00194740">
              <w:rPr>
                <w:rFonts w:ascii="Source Sans Pro" w:hAnsi="Source Sans Pro"/>
                <w:color w:val="000000"/>
                <w:shd w:val="clear" w:color="auto" w:fill="FFFFFF"/>
              </w:rPr>
              <w:t>mPC</w:t>
            </w:r>
            <w:proofErr w:type="spellEnd"/>
            <w:r w:rsidR="00194740">
              <w:rPr>
                <w:rFonts w:ascii="Source Sans Pro" w:hAnsi="Source Sans Pro"/>
                <w:color w:val="000000"/>
                <w:shd w:val="clear" w:color="auto" w:fill="FFFFFF"/>
              </w:rPr>
              <w:t xml:space="preserve">.  </w:t>
            </w:r>
          </w:p>
          <w:p w14:paraId="3C376E23" w14:textId="46D5D754" w:rsidR="00A461BF" w:rsidRDefault="00194740" w:rsidP="00A461BF">
            <w:r w:rsidRPr="00194740">
              <w:rPr>
                <w:rFonts w:ascii="Source Sans Pro" w:hAnsi="Source Sans Pro"/>
                <w:color w:val="000000"/>
                <w:shd w:val="clear" w:color="auto" w:fill="FFFFFF"/>
              </w:rPr>
              <w:t>Demographic/clinical history data were collected at enrolment</w:t>
            </w:r>
            <w:r w:rsidR="00237380">
              <w:rPr>
                <w:rFonts w:ascii="Source Sans Pro" w:hAnsi="Source Sans Pro"/>
                <w:color w:val="000000"/>
                <w:shd w:val="clear" w:color="auto" w:fill="FFFFFF"/>
              </w:rPr>
              <w:t xml:space="preserve"> from</w:t>
            </w:r>
            <w:r w:rsidR="00237380">
              <w:t xml:space="preserve"> </w:t>
            </w:r>
            <w:r w:rsidR="00237380" w:rsidRPr="00237380">
              <w:rPr>
                <w:rFonts w:ascii="Source Sans Pro" w:hAnsi="Source Sans Pro"/>
                <w:color w:val="000000"/>
                <w:shd w:val="clear" w:color="auto" w:fill="FFFFFF"/>
              </w:rPr>
              <w:t>2206 p</w:t>
            </w:r>
            <w:r w:rsidR="00237380">
              <w:rPr>
                <w:rFonts w:ascii="Source Sans Pro" w:hAnsi="Source Sans Pro"/>
                <w:color w:val="000000"/>
                <w:shd w:val="clear" w:color="auto" w:fill="FFFFFF"/>
              </w:rPr>
              <w:t>atients</w:t>
            </w:r>
            <w:r w:rsidR="00237380" w:rsidRPr="00237380">
              <w:rPr>
                <w:rFonts w:ascii="Source Sans Pro" w:hAnsi="Source Sans Pro"/>
                <w:color w:val="000000"/>
                <w:shd w:val="clear" w:color="auto" w:fill="FFFFFF"/>
              </w:rPr>
              <w:t xml:space="preserve"> from 12 countries</w:t>
            </w:r>
            <w:r w:rsidRPr="00194740">
              <w:rPr>
                <w:rFonts w:ascii="Source Sans Pro" w:hAnsi="Source Sans Pro"/>
                <w:color w:val="000000"/>
                <w:shd w:val="clear" w:color="auto" w:fill="FFFFFF"/>
              </w:rPr>
              <w:t>.</w:t>
            </w:r>
          </w:p>
        </w:tc>
        <w:tc>
          <w:tcPr>
            <w:tcW w:w="2257" w:type="pct"/>
          </w:tcPr>
          <w:p w14:paraId="5BB8C2CB" w14:textId="77777777" w:rsidR="00A461BF" w:rsidRDefault="008D211B" w:rsidP="00A461BF">
            <w:hyperlink r:id="rId23" w:history="1">
              <w:r w:rsidR="00A461BF" w:rsidRPr="006C53E8">
                <w:rPr>
                  <w:rStyle w:val="Hyperlink"/>
                </w:rPr>
                <w:t>https://www.cochranelibrary.com/central/doi/10.1002/central/CN-01787550/full</w:t>
              </w:r>
            </w:hyperlink>
            <w:r w:rsidR="00A461BF">
              <w:t xml:space="preserve"> </w:t>
            </w:r>
          </w:p>
          <w:p w14:paraId="5A15DE61" w14:textId="77777777" w:rsidR="00A461BF" w:rsidRDefault="00A461BF" w:rsidP="00A461BF">
            <w:r w:rsidRPr="00A461BF">
              <w:t>Golan T</w:t>
            </w:r>
            <w:r>
              <w:t>,</w:t>
            </w:r>
            <w:r w:rsidRPr="00A461BF">
              <w:t xml:space="preserve"> Kindler H L</w:t>
            </w:r>
            <w:r>
              <w:t>,</w:t>
            </w:r>
            <w:r w:rsidRPr="00A461BF">
              <w:t xml:space="preserve"> Park J O</w:t>
            </w:r>
            <w:r>
              <w:t>,</w:t>
            </w:r>
            <w:r w:rsidRPr="00A461BF">
              <w:t xml:space="preserve"> Reni M</w:t>
            </w:r>
            <w:r>
              <w:t>,</w:t>
            </w:r>
            <w:r w:rsidRPr="00A461BF">
              <w:t xml:space="preserve"> </w:t>
            </w:r>
            <w:proofErr w:type="spellStart"/>
            <w:r w:rsidRPr="00A461BF">
              <w:t>Mercade</w:t>
            </w:r>
            <w:proofErr w:type="spellEnd"/>
            <w:r w:rsidRPr="00A461BF">
              <w:t xml:space="preserve"> T M</w:t>
            </w:r>
            <w:r>
              <w:t>,</w:t>
            </w:r>
            <w:r w:rsidRPr="00A461BF">
              <w:t xml:space="preserve"> </w:t>
            </w:r>
            <w:proofErr w:type="spellStart"/>
            <w:r w:rsidRPr="00A461BF">
              <w:t>Hammel</w:t>
            </w:r>
            <w:proofErr w:type="spellEnd"/>
            <w:r w:rsidRPr="00A461BF">
              <w:t xml:space="preserve"> P</w:t>
            </w:r>
            <w:r>
              <w:t>,</w:t>
            </w:r>
            <w:r w:rsidRPr="00A461BF">
              <w:t xml:space="preserve"> Van </w:t>
            </w:r>
            <w:proofErr w:type="spellStart"/>
            <w:r w:rsidRPr="00A461BF">
              <w:t>Cutsem</w:t>
            </w:r>
            <w:proofErr w:type="spellEnd"/>
            <w:r w:rsidRPr="00A461BF">
              <w:t xml:space="preserve"> E</w:t>
            </w:r>
            <w:r>
              <w:t>,</w:t>
            </w:r>
            <w:r w:rsidRPr="00A461BF">
              <w:t xml:space="preserve"> </w:t>
            </w:r>
            <w:proofErr w:type="spellStart"/>
            <w:r w:rsidRPr="00A461BF">
              <w:t>Arno</w:t>
            </w:r>
            <w:r>
              <w:t>r</w:t>
            </w:r>
            <w:r w:rsidRPr="00A461BF">
              <w:t>d</w:t>
            </w:r>
            <w:proofErr w:type="spellEnd"/>
            <w:r w:rsidRPr="00A461BF">
              <w:t xml:space="preserve"> D</w:t>
            </w:r>
            <w:r>
              <w:t>,</w:t>
            </w:r>
            <w:r w:rsidRPr="00A461BF">
              <w:t xml:space="preserve"> </w:t>
            </w:r>
            <w:proofErr w:type="spellStart"/>
            <w:r w:rsidRPr="00A461BF">
              <w:t>Hochhauser</w:t>
            </w:r>
            <w:proofErr w:type="spellEnd"/>
            <w:r w:rsidRPr="00A461BF">
              <w:t xml:space="preserve"> D</w:t>
            </w:r>
            <w:r>
              <w:t>,</w:t>
            </w:r>
            <w:r w:rsidRPr="00A461BF">
              <w:t xml:space="preserve"> Locker G Y</w:t>
            </w:r>
            <w:r>
              <w:t>,</w:t>
            </w:r>
            <w:r w:rsidRPr="00A461BF">
              <w:t xml:space="preserve"> </w:t>
            </w:r>
            <w:r>
              <w:t>et al.</w:t>
            </w:r>
          </w:p>
          <w:p w14:paraId="5D1C6ECD" w14:textId="77777777" w:rsidR="00A461BF" w:rsidRDefault="00A461BF" w:rsidP="00A461BF">
            <w:r w:rsidRPr="00A461BF">
              <w:t>Journal of clinical oncology, 36, 15</w:t>
            </w:r>
          </w:p>
          <w:p w14:paraId="35890C28" w14:textId="189EB80F" w:rsidR="00194740" w:rsidRDefault="00194740" w:rsidP="00A461BF">
            <w:r w:rsidRPr="0060390E">
              <w:rPr>
                <w:bCs/>
                <w:szCs w:val="20"/>
              </w:rPr>
              <w:t>ClinicalTrials.gov number, NCT02184195</w:t>
            </w:r>
          </w:p>
        </w:tc>
        <w:tc>
          <w:tcPr>
            <w:tcW w:w="550" w:type="pct"/>
          </w:tcPr>
          <w:p w14:paraId="65A43365" w14:textId="094FB8B7" w:rsidR="00A461BF" w:rsidRDefault="00A461BF" w:rsidP="00A461BF">
            <w:r>
              <w:t>2018</w:t>
            </w:r>
          </w:p>
        </w:tc>
      </w:tr>
      <w:tr w:rsidR="00A461BF" w14:paraId="43F64281" w14:textId="77777777" w:rsidTr="004D62CE">
        <w:trPr>
          <w:cantSplit/>
        </w:trPr>
        <w:tc>
          <w:tcPr>
            <w:tcW w:w="150" w:type="pct"/>
          </w:tcPr>
          <w:p w14:paraId="0BAD5FAF" w14:textId="4EDB1D60" w:rsidR="00A461BF" w:rsidRDefault="00A461BF" w:rsidP="00A461BF">
            <w:pPr>
              <w:rPr>
                <w:szCs w:val="20"/>
              </w:rPr>
            </w:pPr>
            <w:r>
              <w:rPr>
                <w:szCs w:val="20"/>
              </w:rPr>
              <w:t>3</w:t>
            </w:r>
          </w:p>
        </w:tc>
        <w:tc>
          <w:tcPr>
            <w:tcW w:w="479" w:type="pct"/>
          </w:tcPr>
          <w:p w14:paraId="153C7A18" w14:textId="5DA9BF39" w:rsidR="00A461BF" w:rsidRDefault="00A461BF" w:rsidP="00A461BF">
            <w:r>
              <w:t>R</w:t>
            </w:r>
            <w:r w:rsidRPr="00382D71">
              <w:t>andomi</w:t>
            </w:r>
            <w:r>
              <w:t>s</w:t>
            </w:r>
            <w:r w:rsidRPr="00382D71">
              <w:t>ed</w:t>
            </w:r>
            <w:r>
              <w:t>, d</w:t>
            </w:r>
            <w:r w:rsidRPr="00382D71">
              <w:t>ouble-blind, placebo-controlled, phase 3 trial</w:t>
            </w:r>
          </w:p>
        </w:tc>
        <w:tc>
          <w:tcPr>
            <w:tcW w:w="741" w:type="pct"/>
          </w:tcPr>
          <w:p w14:paraId="4C24A310" w14:textId="5419D3FC" w:rsidR="00A461BF" w:rsidRPr="00A461BF" w:rsidRDefault="00A461BF" w:rsidP="00A461BF">
            <w:r w:rsidRPr="00A461BF">
              <w:t>POLO: a randomized phase III trial of olaparib maintenance monotherapy in patients (pts) with metastatic pancreatic cancer (</w:t>
            </w:r>
            <w:proofErr w:type="spellStart"/>
            <w:r w:rsidRPr="00A461BF">
              <w:t>mPC</w:t>
            </w:r>
            <w:proofErr w:type="spellEnd"/>
            <w:r w:rsidRPr="00A461BF">
              <w:t>) who have a germline BRCAI/2 mutation (gBRCAm)</w:t>
            </w:r>
          </w:p>
        </w:tc>
        <w:tc>
          <w:tcPr>
            <w:tcW w:w="823" w:type="pct"/>
          </w:tcPr>
          <w:p w14:paraId="34908D6E" w14:textId="1FEBAFF2" w:rsidR="00A461BF" w:rsidRDefault="00237380" w:rsidP="00A461BF">
            <w:r>
              <w:t>As per the PIVOTAL trial (1)</w:t>
            </w:r>
          </w:p>
        </w:tc>
        <w:tc>
          <w:tcPr>
            <w:tcW w:w="2257" w:type="pct"/>
          </w:tcPr>
          <w:p w14:paraId="7DE6420F" w14:textId="77777777" w:rsidR="00A461BF" w:rsidRDefault="008D211B" w:rsidP="00A461BF">
            <w:hyperlink r:id="rId24" w:history="1">
              <w:r w:rsidR="00A461BF" w:rsidRPr="006C53E8">
                <w:rPr>
                  <w:rStyle w:val="Hyperlink"/>
                </w:rPr>
                <w:t>https://www.cochranelibrary.com/central/doi/10.1002/central/CN-01765753/full</w:t>
              </w:r>
            </w:hyperlink>
            <w:r w:rsidR="00A461BF">
              <w:t xml:space="preserve"> </w:t>
            </w:r>
          </w:p>
          <w:p w14:paraId="05813FA6" w14:textId="77777777" w:rsidR="00A461BF" w:rsidRDefault="00A461BF" w:rsidP="00A461BF">
            <w:r w:rsidRPr="00A461BF">
              <w:t>Golan T</w:t>
            </w:r>
            <w:r>
              <w:t>,</w:t>
            </w:r>
            <w:r w:rsidRPr="00A461BF">
              <w:t xml:space="preserve"> Oh D-Y</w:t>
            </w:r>
            <w:r>
              <w:t>,</w:t>
            </w:r>
            <w:r w:rsidRPr="00A461BF">
              <w:t xml:space="preserve"> Reni M</w:t>
            </w:r>
            <w:r>
              <w:t>,</w:t>
            </w:r>
            <w:r w:rsidRPr="00A461BF">
              <w:t xml:space="preserve"> </w:t>
            </w:r>
            <w:proofErr w:type="spellStart"/>
            <w:r w:rsidRPr="00A461BF">
              <w:t>Macarulla</w:t>
            </w:r>
            <w:proofErr w:type="spellEnd"/>
            <w:r w:rsidRPr="00A461BF">
              <w:t xml:space="preserve"> T M</w:t>
            </w:r>
            <w:r>
              <w:t>,</w:t>
            </w:r>
            <w:r w:rsidRPr="00A461BF">
              <w:t xml:space="preserve"> </w:t>
            </w:r>
            <w:proofErr w:type="spellStart"/>
            <w:r w:rsidRPr="00A461BF">
              <w:t>Tortora</w:t>
            </w:r>
            <w:proofErr w:type="spellEnd"/>
            <w:r w:rsidRPr="00A461BF">
              <w:t xml:space="preserve"> G</w:t>
            </w:r>
            <w:r>
              <w:t>,</w:t>
            </w:r>
            <w:r w:rsidRPr="00A461BF">
              <w:t xml:space="preserve"> Hall M J</w:t>
            </w:r>
            <w:r>
              <w:t>,</w:t>
            </w:r>
            <w:r w:rsidRPr="00A461BF">
              <w:t xml:space="preserve"> </w:t>
            </w:r>
            <w:proofErr w:type="spellStart"/>
            <w:r w:rsidRPr="00A461BF">
              <w:t>Reinacher</w:t>
            </w:r>
            <w:proofErr w:type="spellEnd"/>
            <w:r w:rsidRPr="00A461BF">
              <w:t>-Schick A C</w:t>
            </w:r>
            <w:r>
              <w:t>,</w:t>
            </w:r>
            <w:r w:rsidRPr="00A461BF">
              <w:t xml:space="preserve"> Borg C</w:t>
            </w:r>
            <w:r>
              <w:t>,</w:t>
            </w:r>
            <w:r w:rsidRPr="00A461BF">
              <w:t xml:space="preserve"> </w:t>
            </w:r>
            <w:proofErr w:type="spellStart"/>
            <w:r w:rsidRPr="00A461BF">
              <w:t>Hochhauser</w:t>
            </w:r>
            <w:proofErr w:type="spellEnd"/>
            <w:r w:rsidRPr="00A461BF">
              <w:t xml:space="preserve"> D</w:t>
            </w:r>
            <w:r>
              <w:t>,</w:t>
            </w:r>
            <w:r w:rsidRPr="00A461BF">
              <w:t xml:space="preserve"> Walter T</w:t>
            </w:r>
            <w:r>
              <w:t xml:space="preserve">, et al. </w:t>
            </w:r>
          </w:p>
          <w:p w14:paraId="70F843AA" w14:textId="77777777" w:rsidR="00A461BF" w:rsidRDefault="00A461BF" w:rsidP="00A461BF">
            <w:r w:rsidRPr="00A461BF">
              <w:t>Journal of clinical oncology, 34</w:t>
            </w:r>
          </w:p>
          <w:p w14:paraId="288E8F07" w14:textId="7F48CC03" w:rsidR="00194740" w:rsidRDefault="00194740" w:rsidP="00A461BF">
            <w:r w:rsidRPr="0060390E">
              <w:rPr>
                <w:bCs/>
                <w:szCs w:val="20"/>
              </w:rPr>
              <w:t>ClinicalTrials.gov number, NCT02184195</w:t>
            </w:r>
          </w:p>
        </w:tc>
        <w:tc>
          <w:tcPr>
            <w:tcW w:w="550" w:type="pct"/>
          </w:tcPr>
          <w:p w14:paraId="0011BFC3" w14:textId="35824DFA" w:rsidR="00A461BF" w:rsidRDefault="00A461BF" w:rsidP="00A461BF">
            <w:r>
              <w:t>2016</w:t>
            </w:r>
          </w:p>
        </w:tc>
      </w:tr>
      <w:tr w:rsidR="00A461BF" w14:paraId="6DE06EA3" w14:textId="77777777" w:rsidTr="008E46F3">
        <w:trPr>
          <w:cantSplit/>
        </w:trPr>
        <w:tc>
          <w:tcPr>
            <w:tcW w:w="5000" w:type="pct"/>
            <w:gridSpan w:val="6"/>
            <w:shd w:val="clear" w:color="auto" w:fill="BFBFBF" w:themeFill="background1" w:themeFillShade="BF"/>
          </w:tcPr>
          <w:p w14:paraId="397F90BD" w14:textId="1C691A06" w:rsidR="00A461BF" w:rsidRPr="00C31905" w:rsidRDefault="00A461BF" w:rsidP="00A461BF">
            <w:pPr>
              <w:rPr>
                <w:b/>
                <w:bCs/>
              </w:rPr>
            </w:pPr>
            <w:r w:rsidRPr="00C31905">
              <w:rPr>
                <w:b/>
                <w:bCs/>
              </w:rPr>
              <w:t>Phase II Supportive study</w:t>
            </w:r>
          </w:p>
        </w:tc>
      </w:tr>
      <w:tr w:rsidR="00A461BF" w14:paraId="7BDE6C8C" w14:textId="77777777" w:rsidTr="004D62CE">
        <w:trPr>
          <w:cantSplit/>
        </w:trPr>
        <w:tc>
          <w:tcPr>
            <w:tcW w:w="150" w:type="pct"/>
          </w:tcPr>
          <w:p w14:paraId="7E924DCD" w14:textId="51A9C0AB" w:rsidR="00A461BF" w:rsidRPr="00965B6B" w:rsidRDefault="00A461BF" w:rsidP="00A461BF">
            <w:pPr>
              <w:rPr>
                <w:szCs w:val="20"/>
              </w:rPr>
            </w:pPr>
            <w:r>
              <w:rPr>
                <w:szCs w:val="20"/>
              </w:rPr>
              <w:t>4</w:t>
            </w:r>
          </w:p>
        </w:tc>
        <w:tc>
          <w:tcPr>
            <w:tcW w:w="479" w:type="pct"/>
          </w:tcPr>
          <w:p w14:paraId="4DBFB8DE" w14:textId="4417D53F" w:rsidR="00A461BF" w:rsidRDefault="00A461BF" w:rsidP="00A461BF">
            <w:pPr>
              <w:rPr>
                <w:b/>
                <w:szCs w:val="20"/>
              </w:rPr>
            </w:pPr>
            <w:r>
              <w:t>Multicentre Phase II study</w:t>
            </w:r>
          </w:p>
        </w:tc>
        <w:tc>
          <w:tcPr>
            <w:tcW w:w="741" w:type="pct"/>
          </w:tcPr>
          <w:p w14:paraId="7C69AE1F" w14:textId="77777777" w:rsidR="00A461BF" w:rsidRPr="000F1BE2" w:rsidRDefault="00A461BF" w:rsidP="00A461BF">
            <w:pPr>
              <w:rPr>
                <w:szCs w:val="20"/>
              </w:rPr>
            </w:pPr>
            <w:r w:rsidRPr="000F1BE2">
              <w:rPr>
                <w:szCs w:val="20"/>
              </w:rPr>
              <w:t xml:space="preserve">Olaparib Monotherapy in Patients With Advanced Cancer and a Germline </w:t>
            </w:r>
            <w:r w:rsidRPr="000F1BE2">
              <w:rPr>
                <w:i/>
                <w:iCs/>
                <w:szCs w:val="20"/>
              </w:rPr>
              <w:t xml:space="preserve">BRCA1/2 </w:t>
            </w:r>
            <w:r w:rsidRPr="000F1BE2">
              <w:rPr>
                <w:szCs w:val="20"/>
              </w:rPr>
              <w:t>Mutation</w:t>
            </w:r>
          </w:p>
          <w:p w14:paraId="132230AD" w14:textId="77777777" w:rsidR="00A461BF" w:rsidRPr="000F1BE2" w:rsidRDefault="00A461BF" w:rsidP="00A461BF">
            <w:pPr>
              <w:rPr>
                <w:szCs w:val="20"/>
              </w:rPr>
            </w:pPr>
          </w:p>
          <w:p w14:paraId="4F23FF2E" w14:textId="486437DA" w:rsidR="00A461BF" w:rsidRPr="000F1BE2" w:rsidRDefault="00A461BF" w:rsidP="00A461BF">
            <w:pPr>
              <w:rPr>
                <w:szCs w:val="20"/>
              </w:rPr>
            </w:pPr>
          </w:p>
        </w:tc>
        <w:tc>
          <w:tcPr>
            <w:tcW w:w="823" w:type="pct"/>
          </w:tcPr>
          <w:p w14:paraId="77A751F9" w14:textId="54A83C17" w:rsidR="00A461BF" w:rsidRPr="000F1BE2" w:rsidRDefault="00A461BF" w:rsidP="00A461BF">
            <w:pPr>
              <w:autoSpaceDE w:val="0"/>
              <w:autoSpaceDN w:val="0"/>
              <w:adjustRightInd w:val="0"/>
              <w:spacing w:before="0" w:after="0"/>
              <w:rPr>
                <w:rFonts w:cs="Univers-Light"/>
                <w:szCs w:val="20"/>
              </w:rPr>
            </w:pPr>
            <w:r w:rsidRPr="000F1BE2">
              <w:rPr>
                <w:rFonts w:cs="Univers-Light"/>
                <w:szCs w:val="20"/>
              </w:rPr>
              <w:t xml:space="preserve">Evaluation of efficacy and safety of olaparib maintenance therapy in individuals with a germline </w:t>
            </w:r>
            <w:r w:rsidRPr="000F1BE2">
              <w:rPr>
                <w:rFonts w:cs="Univers-LightOblique"/>
                <w:i/>
                <w:iCs/>
                <w:szCs w:val="20"/>
              </w:rPr>
              <w:t xml:space="preserve">BRCA1/2 </w:t>
            </w:r>
            <w:r w:rsidRPr="000F1BE2">
              <w:rPr>
                <w:rFonts w:cs="Univers-Light"/>
                <w:szCs w:val="20"/>
              </w:rPr>
              <w:t>mutation and recurrent cancer (including pancreatic cancer with prior gemcitabine</w:t>
            </w:r>
          </w:p>
          <w:p w14:paraId="33015C15" w14:textId="45C9DDE2" w:rsidR="00A461BF" w:rsidRPr="000F1BE2" w:rsidRDefault="00A461BF" w:rsidP="00A461BF">
            <w:pPr>
              <w:autoSpaceDE w:val="0"/>
              <w:autoSpaceDN w:val="0"/>
              <w:adjustRightInd w:val="0"/>
              <w:spacing w:before="0" w:after="0"/>
              <w:rPr>
                <w:szCs w:val="20"/>
              </w:rPr>
            </w:pPr>
            <w:r w:rsidRPr="000F1BE2">
              <w:rPr>
                <w:rFonts w:cs="Univers-Light"/>
                <w:szCs w:val="20"/>
              </w:rPr>
              <w:t>treatment). The primary efficacy end point was tumour response rate.</w:t>
            </w:r>
          </w:p>
        </w:tc>
        <w:tc>
          <w:tcPr>
            <w:tcW w:w="2257" w:type="pct"/>
          </w:tcPr>
          <w:p w14:paraId="44F8B2CD" w14:textId="77777777" w:rsidR="00A461BF" w:rsidRDefault="008D211B" w:rsidP="00A461BF">
            <w:pPr>
              <w:rPr>
                <w:szCs w:val="20"/>
              </w:rPr>
            </w:pPr>
            <w:hyperlink r:id="rId25" w:history="1">
              <w:r w:rsidR="00A461BF">
                <w:rPr>
                  <w:rStyle w:val="Hyperlink"/>
                </w:rPr>
                <w:t>https://ascopubs.org/doi/full/10.1200/JCO.2014.56.2728?url_ver=Z39.88-2003&amp;rfr_id=ori%3Arid%3Acrossref.org&amp;rfr_dat=cr_pub%3Dpubmed</w:t>
              </w:r>
            </w:hyperlink>
            <w:r w:rsidR="00A461BF" w:rsidRPr="000F1BE2">
              <w:rPr>
                <w:szCs w:val="20"/>
              </w:rPr>
              <w:t xml:space="preserve"> </w:t>
            </w:r>
          </w:p>
          <w:p w14:paraId="67E9F612" w14:textId="77777777" w:rsidR="00A461BF" w:rsidRDefault="00A461BF" w:rsidP="00A461BF">
            <w:pPr>
              <w:rPr>
                <w:szCs w:val="20"/>
              </w:rPr>
            </w:pPr>
            <w:r w:rsidRPr="000F1BE2">
              <w:rPr>
                <w:szCs w:val="20"/>
              </w:rPr>
              <w:t xml:space="preserve">Kaufman et al 2015 </w:t>
            </w:r>
          </w:p>
          <w:p w14:paraId="56365956" w14:textId="5BAF1C9F" w:rsidR="00A461BF" w:rsidRPr="00E82F54" w:rsidRDefault="00A461BF" w:rsidP="00A461BF">
            <w:pPr>
              <w:rPr>
                <w:b/>
                <w:szCs w:val="20"/>
              </w:rPr>
            </w:pPr>
            <w:r w:rsidRPr="000F1BE2">
              <w:rPr>
                <w:szCs w:val="20"/>
              </w:rPr>
              <w:t>J Clin</w:t>
            </w:r>
            <w:r>
              <w:rPr>
                <w:szCs w:val="20"/>
              </w:rPr>
              <w:t xml:space="preserve"> Oncol 33: 244-250.</w:t>
            </w:r>
          </w:p>
        </w:tc>
        <w:tc>
          <w:tcPr>
            <w:tcW w:w="550" w:type="pct"/>
          </w:tcPr>
          <w:p w14:paraId="7E0E0B8F" w14:textId="50282EA5" w:rsidR="00A461BF" w:rsidRPr="00E82F54" w:rsidRDefault="00A461BF" w:rsidP="00A461BF">
            <w:pPr>
              <w:rPr>
                <w:b/>
                <w:szCs w:val="20"/>
              </w:rPr>
            </w:pPr>
            <w:r>
              <w:t>January 2015</w:t>
            </w:r>
          </w:p>
        </w:tc>
      </w:tr>
      <w:tr w:rsidR="00A461BF" w14:paraId="645BC647" w14:textId="77777777" w:rsidTr="008E46F3">
        <w:trPr>
          <w:cantSplit/>
        </w:trPr>
        <w:tc>
          <w:tcPr>
            <w:tcW w:w="5000" w:type="pct"/>
            <w:gridSpan w:val="6"/>
            <w:shd w:val="clear" w:color="auto" w:fill="BFBFBF" w:themeFill="background1" w:themeFillShade="BF"/>
          </w:tcPr>
          <w:p w14:paraId="3CDF7A18" w14:textId="6DB030CF" w:rsidR="00A461BF" w:rsidRPr="00E82F54" w:rsidRDefault="00A461BF" w:rsidP="00A461BF">
            <w:pPr>
              <w:rPr>
                <w:b/>
                <w:szCs w:val="20"/>
              </w:rPr>
            </w:pPr>
            <w:r>
              <w:rPr>
                <w:b/>
                <w:szCs w:val="20"/>
              </w:rPr>
              <w:t>Biomarker studies</w:t>
            </w:r>
          </w:p>
        </w:tc>
      </w:tr>
      <w:tr w:rsidR="00A461BF" w14:paraId="5884CB76" w14:textId="77777777" w:rsidTr="004D62CE">
        <w:trPr>
          <w:cantSplit/>
        </w:trPr>
        <w:tc>
          <w:tcPr>
            <w:tcW w:w="150" w:type="pct"/>
          </w:tcPr>
          <w:p w14:paraId="6F7E9076" w14:textId="7851384F" w:rsidR="00A461BF" w:rsidRDefault="00A461BF" w:rsidP="00A461BF">
            <w:pPr>
              <w:rPr>
                <w:szCs w:val="20"/>
              </w:rPr>
            </w:pPr>
            <w:r>
              <w:rPr>
                <w:szCs w:val="20"/>
              </w:rPr>
              <w:t>5</w:t>
            </w:r>
          </w:p>
        </w:tc>
        <w:tc>
          <w:tcPr>
            <w:tcW w:w="479" w:type="pct"/>
          </w:tcPr>
          <w:p w14:paraId="6578ED29" w14:textId="4BEB3BA5" w:rsidR="00A461BF" w:rsidRDefault="00A461BF" w:rsidP="00A461BF">
            <w:r>
              <w:t>Retrospective study</w:t>
            </w:r>
          </w:p>
        </w:tc>
        <w:tc>
          <w:tcPr>
            <w:tcW w:w="741" w:type="pct"/>
          </w:tcPr>
          <w:p w14:paraId="6B2F3D32" w14:textId="345F1659" w:rsidR="00A461BF" w:rsidRDefault="00A461BF" w:rsidP="00A461BF">
            <w:r>
              <w:t>Real-Time Targeted Genome Profile Analysis of Pancreatic Ductal Adenocarcinomas Identifies Genetic Alterations That Might Be Targeted With Existing Drugs or Used as Biomarkers</w:t>
            </w:r>
          </w:p>
        </w:tc>
        <w:tc>
          <w:tcPr>
            <w:tcW w:w="823" w:type="pct"/>
          </w:tcPr>
          <w:p w14:paraId="0E4B984F" w14:textId="101C5740" w:rsidR="00A461BF" w:rsidRDefault="00A461BF" w:rsidP="00A461BF">
            <w:r>
              <w:t>Identification of genomic alterations in pancreatic ductal adenocarcinomas (PDAC); Targeted genomic profile analyses of 3594 PDAC samples from an international cohort, including capture-based targeted genomic profiling of as many as 315 cancer associated genes and intron regions of 28 genes that are rearranged in cancer cells.</w:t>
            </w:r>
          </w:p>
        </w:tc>
        <w:tc>
          <w:tcPr>
            <w:tcW w:w="2257" w:type="pct"/>
          </w:tcPr>
          <w:p w14:paraId="113DCE3B" w14:textId="42899D29" w:rsidR="00A461BF" w:rsidRDefault="008D211B" w:rsidP="00A461BF">
            <w:hyperlink r:id="rId26" w:history="1">
              <w:r w:rsidR="00A461BF">
                <w:rPr>
                  <w:rStyle w:val="Hyperlink"/>
                </w:rPr>
                <w:t>https://www.gastrojournal.org/article/S0016-5085(19)32505-3/fulltext?referrer=https%3A%2F%2Fwww.ncbi.nlm.nih.gov%2F</w:t>
              </w:r>
            </w:hyperlink>
            <w:r w:rsidR="00A461BF">
              <w:t xml:space="preserve"> </w:t>
            </w:r>
          </w:p>
          <w:p w14:paraId="051ECCF8" w14:textId="28B717F3" w:rsidR="00A461BF" w:rsidRDefault="008D211B" w:rsidP="00A461BF">
            <w:hyperlink r:id="rId27" w:history="1">
              <w:proofErr w:type="spellStart"/>
              <w:r w:rsidR="00A461BF" w:rsidRPr="00136F75">
                <w:t>Singhi</w:t>
              </w:r>
              <w:proofErr w:type="spellEnd"/>
              <w:r w:rsidR="00A461BF" w:rsidRPr="00136F75">
                <w:t xml:space="preserve"> AD</w:t>
              </w:r>
            </w:hyperlink>
            <w:r w:rsidR="00A461BF" w:rsidRPr="00136F75">
              <w:t>, </w:t>
            </w:r>
            <w:hyperlink r:id="rId28" w:history="1">
              <w:r w:rsidR="00A461BF" w:rsidRPr="00136F75">
                <w:t>George B</w:t>
              </w:r>
            </w:hyperlink>
            <w:r w:rsidR="00A461BF" w:rsidRPr="00136F75">
              <w:t>, </w:t>
            </w:r>
            <w:proofErr w:type="spellStart"/>
            <w:r w:rsidR="00474288">
              <w:fldChar w:fldCharType="begin"/>
            </w:r>
            <w:r w:rsidR="00474288">
              <w:instrText xml:space="preserve"> HYPERLINK "https://www.ncbi.nlm.nih.gov/pubmed/?term=Greenbowe%20JR%5BAuthor%5D&amp;cauthor=true&amp;cauthor_uid=30836094" </w:instrText>
            </w:r>
            <w:r w:rsidR="00474288">
              <w:fldChar w:fldCharType="separate"/>
            </w:r>
            <w:r w:rsidR="00A461BF" w:rsidRPr="00136F75">
              <w:t>Greenbowe</w:t>
            </w:r>
            <w:proofErr w:type="spellEnd"/>
            <w:r w:rsidR="00A461BF" w:rsidRPr="00136F75">
              <w:t xml:space="preserve"> JR</w:t>
            </w:r>
            <w:r w:rsidR="00474288">
              <w:fldChar w:fldCharType="end"/>
            </w:r>
            <w:r w:rsidR="00A461BF" w:rsidRPr="00136F75">
              <w:t>, </w:t>
            </w:r>
            <w:hyperlink r:id="rId29" w:history="1">
              <w:r w:rsidR="00A461BF" w:rsidRPr="00136F75">
                <w:t>Chung J</w:t>
              </w:r>
            </w:hyperlink>
            <w:r w:rsidR="00A461BF" w:rsidRPr="00136F75">
              <w:t>, </w:t>
            </w:r>
            <w:hyperlink r:id="rId30" w:history="1">
              <w:r w:rsidR="00A461BF" w:rsidRPr="00136F75">
                <w:t>Suh J</w:t>
              </w:r>
            </w:hyperlink>
            <w:r w:rsidR="00A461BF" w:rsidRPr="00136F75">
              <w:t>, </w:t>
            </w:r>
            <w:proofErr w:type="spellStart"/>
            <w:r>
              <w:fldChar w:fldCharType="begin"/>
            </w:r>
            <w:r>
              <w:instrText xml:space="preserve"> HYPERLINK "https://www.nc</w:instrText>
            </w:r>
            <w:r>
              <w:instrText xml:space="preserve">bi.nlm.nih.gov/pubmed/?term=Maitra%20A%5BAuthor%5D&amp;cauthor=true&amp;cauthor_uid=30836094" </w:instrText>
            </w:r>
            <w:r>
              <w:fldChar w:fldCharType="separate"/>
            </w:r>
            <w:r w:rsidR="00A461BF" w:rsidRPr="00136F75">
              <w:t>Maitra</w:t>
            </w:r>
            <w:proofErr w:type="spellEnd"/>
            <w:r w:rsidR="00A461BF" w:rsidRPr="00136F75">
              <w:t xml:space="preserve"> A</w:t>
            </w:r>
            <w:r>
              <w:fldChar w:fldCharType="end"/>
            </w:r>
            <w:r w:rsidR="00A461BF">
              <w:t xml:space="preserve"> et al.</w:t>
            </w:r>
            <w:r w:rsidR="00A461BF" w:rsidRPr="00136F75">
              <w:t xml:space="preserve"> </w:t>
            </w:r>
            <w:r w:rsidR="00A461BF" w:rsidRPr="00DC3337">
              <w:t>Gastroenterology 2019;156:2242–2253</w:t>
            </w:r>
            <w:r w:rsidR="00A461BF">
              <w:t>.</w:t>
            </w:r>
          </w:p>
        </w:tc>
        <w:tc>
          <w:tcPr>
            <w:tcW w:w="550" w:type="pct"/>
          </w:tcPr>
          <w:p w14:paraId="09A9F766" w14:textId="3A3D06CD" w:rsidR="00A461BF" w:rsidRDefault="00A461BF" w:rsidP="00A461BF">
            <w:r>
              <w:t>June 2019</w:t>
            </w:r>
          </w:p>
        </w:tc>
      </w:tr>
      <w:tr w:rsidR="00A461BF" w14:paraId="72E92FC0" w14:textId="77777777" w:rsidTr="004D62CE">
        <w:trPr>
          <w:cantSplit/>
        </w:trPr>
        <w:tc>
          <w:tcPr>
            <w:tcW w:w="150" w:type="pct"/>
          </w:tcPr>
          <w:p w14:paraId="11F3F1D4" w14:textId="77777777" w:rsidR="00A461BF" w:rsidRDefault="00A461BF" w:rsidP="00A461BF">
            <w:pPr>
              <w:rPr>
                <w:szCs w:val="20"/>
              </w:rPr>
            </w:pPr>
          </w:p>
        </w:tc>
        <w:tc>
          <w:tcPr>
            <w:tcW w:w="479" w:type="pct"/>
          </w:tcPr>
          <w:p w14:paraId="56911D78" w14:textId="2483DAA9" w:rsidR="00A461BF" w:rsidRDefault="00A461BF" w:rsidP="00A461BF">
            <w:r>
              <w:t>Review</w:t>
            </w:r>
          </w:p>
        </w:tc>
        <w:tc>
          <w:tcPr>
            <w:tcW w:w="741" w:type="pct"/>
          </w:tcPr>
          <w:p w14:paraId="0DB7A283" w14:textId="77777777" w:rsidR="00A461BF" w:rsidRDefault="00A461BF" w:rsidP="00A461BF">
            <w:r w:rsidRPr="000F1BE2">
              <w:t>A decade of clinical development of PARP inhibitors in perspective.</w:t>
            </w:r>
          </w:p>
          <w:p w14:paraId="18246691" w14:textId="569EE950" w:rsidR="00A461BF" w:rsidRDefault="00A461BF" w:rsidP="00A461BF"/>
        </w:tc>
        <w:tc>
          <w:tcPr>
            <w:tcW w:w="823" w:type="pct"/>
          </w:tcPr>
          <w:p w14:paraId="477F7BED" w14:textId="2AEC6BCD" w:rsidR="00A461BF" w:rsidRDefault="00A461BF" w:rsidP="00A461BF">
            <w:r>
              <w:t>Review of PARP inhibitors, including development and validation of predictive biomarkers for patient stratification mainly based on homologous recombination defects beyond BRCA1/BRCA2 mutations, identifying DNA repair deficient tumours in other cancer types such as prostate or pancreatic cancer, or by designing combination therapies with PARP inhibitors.</w:t>
            </w:r>
          </w:p>
        </w:tc>
        <w:tc>
          <w:tcPr>
            <w:tcW w:w="2257" w:type="pct"/>
          </w:tcPr>
          <w:p w14:paraId="1730291F" w14:textId="77777777" w:rsidR="00A461BF" w:rsidRDefault="008D211B" w:rsidP="00A461BF">
            <w:hyperlink r:id="rId31" w:history="1">
              <w:r w:rsidR="00A461BF">
                <w:rPr>
                  <w:rStyle w:val="Hyperlink"/>
                </w:rPr>
                <w:t>https://academic.oup.com/annonc/advance-article/doi/10.1093/annonc/mdz192/5520938</w:t>
              </w:r>
            </w:hyperlink>
            <w:r w:rsidR="00A461BF">
              <w:t xml:space="preserve"> </w:t>
            </w:r>
          </w:p>
          <w:p w14:paraId="0EA0832C" w14:textId="798B423D" w:rsidR="00A461BF" w:rsidRPr="00F343A3" w:rsidRDefault="008D211B" w:rsidP="00A461BF">
            <w:hyperlink r:id="rId32" w:history="1">
              <w:r w:rsidR="00A461BF" w:rsidRPr="00F343A3">
                <w:t>Mateo J</w:t>
              </w:r>
            </w:hyperlink>
            <w:r w:rsidR="00A461BF" w:rsidRPr="00F343A3">
              <w:t>, </w:t>
            </w:r>
            <w:hyperlink r:id="rId33" w:history="1">
              <w:r w:rsidR="00A461BF" w:rsidRPr="00F343A3">
                <w:t>Lord CJ</w:t>
              </w:r>
            </w:hyperlink>
            <w:r w:rsidR="00A461BF" w:rsidRPr="00F343A3">
              <w:t>, </w:t>
            </w:r>
            <w:hyperlink r:id="rId34" w:history="1">
              <w:r w:rsidR="00A461BF" w:rsidRPr="00F343A3">
                <w:t>Serra V</w:t>
              </w:r>
            </w:hyperlink>
            <w:r w:rsidR="00A461BF" w:rsidRPr="00F343A3">
              <w:t>, </w:t>
            </w:r>
            <w:proofErr w:type="spellStart"/>
            <w:r>
              <w:fldChar w:fldCharType="begin"/>
            </w:r>
            <w:r>
              <w:instrText xml:space="preserve"> HYPERLINK "https://www.ncbi.nlm.nih.gov/pubmed/?term=Tutt%20A%5BAuthor%5D&amp;cauthor=true&amp;cauthor_uid=31218365" </w:instrText>
            </w:r>
            <w:r>
              <w:fldChar w:fldCharType="separate"/>
            </w:r>
            <w:r w:rsidR="00A461BF" w:rsidRPr="00F343A3">
              <w:t>Tutt</w:t>
            </w:r>
            <w:proofErr w:type="spellEnd"/>
            <w:r w:rsidR="00A461BF" w:rsidRPr="00F343A3">
              <w:t xml:space="preserve"> A</w:t>
            </w:r>
            <w:r>
              <w:fldChar w:fldCharType="end"/>
            </w:r>
            <w:r w:rsidR="00A461BF" w:rsidRPr="00F343A3">
              <w:t>, </w:t>
            </w:r>
            <w:proofErr w:type="spellStart"/>
            <w:r w:rsidR="00474288">
              <w:fldChar w:fldCharType="begin"/>
            </w:r>
            <w:r w:rsidR="00474288">
              <w:instrText xml:space="preserve"> HYPERLINK "https://www.ncbi.nlm.nih.gov/pubmed/?term=Balma%C3%B1a%20J%5BAuthor%5D&amp;cauthor=true&amp;cauthor_uid=31218365" </w:instrText>
            </w:r>
            <w:r w:rsidR="00474288">
              <w:fldChar w:fldCharType="separate"/>
            </w:r>
            <w:r w:rsidR="00A461BF" w:rsidRPr="00F343A3">
              <w:t>Balmaña</w:t>
            </w:r>
            <w:proofErr w:type="spellEnd"/>
            <w:r w:rsidR="00A461BF" w:rsidRPr="00F343A3">
              <w:t xml:space="preserve"> J</w:t>
            </w:r>
            <w:r w:rsidR="00474288">
              <w:fldChar w:fldCharType="end"/>
            </w:r>
            <w:r w:rsidR="00A461BF" w:rsidRPr="00F343A3">
              <w:t>, </w:t>
            </w:r>
            <w:hyperlink r:id="rId35" w:history="1">
              <w:r w:rsidR="00A461BF" w:rsidRPr="00F343A3">
                <w:t>Castroviejo-Bermejo M</w:t>
              </w:r>
            </w:hyperlink>
            <w:r w:rsidR="00A461BF">
              <w:t xml:space="preserve"> et al.</w:t>
            </w:r>
          </w:p>
          <w:p w14:paraId="19A3F248" w14:textId="06DAB00C" w:rsidR="00A461BF" w:rsidRDefault="00A461BF" w:rsidP="00A461BF">
            <w:r>
              <w:t>Ann Oncol (online)</w:t>
            </w:r>
          </w:p>
          <w:p w14:paraId="6476A677" w14:textId="79F6F7CE" w:rsidR="00A461BF" w:rsidRDefault="00A461BF" w:rsidP="00A461BF">
            <w:r>
              <w:t>doi:10.1093/</w:t>
            </w:r>
            <w:proofErr w:type="spellStart"/>
            <w:r>
              <w:t>annonc</w:t>
            </w:r>
            <w:proofErr w:type="spellEnd"/>
            <w:r>
              <w:t>/mdz192</w:t>
            </w:r>
          </w:p>
          <w:p w14:paraId="128D9685" w14:textId="77777777" w:rsidR="00A461BF" w:rsidRDefault="00A461BF" w:rsidP="00A461BF"/>
          <w:p w14:paraId="00C2163B" w14:textId="212CC56B" w:rsidR="00A461BF" w:rsidRDefault="00A461BF" w:rsidP="00A461BF"/>
        </w:tc>
        <w:tc>
          <w:tcPr>
            <w:tcW w:w="550" w:type="pct"/>
          </w:tcPr>
          <w:p w14:paraId="30DB94D3" w14:textId="3F529CDB" w:rsidR="00A461BF" w:rsidRDefault="00A461BF" w:rsidP="00A461BF">
            <w:r>
              <w:t xml:space="preserve">June 2019 </w:t>
            </w:r>
          </w:p>
        </w:tc>
      </w:tr>
      <w:tr w:rsidR="00A461BF" w14:paraId="4AB16EDD" w14:textId="77777777" w:rsidTr="004D62CE">
        <w:trPr>
          <w:cantSplit/>
        </w:trPr>
        <w:tc>
          <w:tcPr>
            <w:tcW w:w="150" w:type="pct"/>
          </w:tcPr>
          <w:p w14:paraId="73AD93F8" w14:textId="5EEA26E2" w:rsidR="00A461BF" w:rsidRDefault="00A461BF" w:rsidP="00A461BF">
            <w:pPr>
              <w:rPr>
                <w:szCs w:val="20"/>
              </w:rPr>
            </w:pPr>
            <w:r>
              <w:rPr>
                <w:szCs w:val="20"/>
              </w:rPr>
              <w:t>6</w:t>
            </w:r>
          </w:p>
        </w:tc>
        <w:tc>
          <w:tcPr>
            <w:tcW w:w="479" w:type="pct"/>
          </w:tcPr>
          <w:p w14:paraId="65127D10" w14:textId="3EE63C88" w:rsidR="00A461BF" w:rsidRDefault="00A461BF" w:rsidP="00A461BF">
            <w:r>
              <w:t>Systematic review</w:t>
            </w:r>
          </w:p>
        </w:tc>
        <w:tc>
          <w:tcPr>
            <w:tcW w:w="741" w:type="pct"/>
          </w:tcPr>
          <w:p w14:paraId="1154C547" w14:textId="45E6EB18" w:rsidR="00A461BF" w:rsidRPr="000F1BE2" w:rsidRDefault="00A461BF" w:rsidP="004D62CE">
            <w:r w:rsidRPr="00DC3337">
              <w:t>Genomic profiling in pancreatic duct</w:t>
            </w:r>
            <w:r>
              <w:t>a</w:t>
            </w:r>
            <w:r w:rsidRPr="00DC3337">
              <w:t>l adenocarcinoma and a pathway towards therapy individualization: A scoping review.</w:t>
            </w:r>
          </w:p>
        </w:tc>
        <w:tc>
          <w:tcPr>
            <w:tcW w:w="823" w:type="pct"/>
          </w:tcPr>
          <w:p w14:paraId="7C20EEEF" w14:textId="076BBD02" w:rsidR="00A461BF" w:rsidRDefault="00A461BF" w:rsidP="00A461BF">
            <w:r w:rsidRPr="00DC3337">
              <w:t>Systematic review of data on therapies targeting somatic and germline alterations, and their downstream pathways in PDAC</w:t>
            </w:r>
          </w:p>
        </w:tc>
        <w:tc>
          <w:tcPr>
            <w:tcW w:w="2257" w:type="pct"/>
          </w:tcPr>
          <w:p w14:paraId="4B3EB258" w14:textId="77777777" w:rsidR="00A461BF" w:rsidRDefault="008D211B" w:rsidP="00A461BF">
            <w:pPr>
              <w:rPr>
                <w:rStyle w:val="Hyperlink"/>
              </w:rPr>
            </w:pPr>
            <w:hyperlink r:id="rId36" w:history="1">
              <w:r w:rsidR="00A461BF" w:rsidRPr="00DC3337">
                <w:rPr>
                  <w:rStyle w:val="Hyperlink"/>
                </w:rPr>
                <w:t>https://linkinghub.elsevier.com/retrieve/pii/S0305-7372(19)30051-9</w:t>
              </w:r>
            </w:hyperlink>
          </w:p>
          <w:p w14:paraId="3F4CB1C9" w14:textId="77777777" w:rsidR="00A461BF" w:rsidRDefault="008D211B" w:rsidP="00A461BF">
            <w:hyperlink r:id="rId37" w:history="1">
              <w:r w:rsidR="00A461BF" w:rsidRPr="007901D1">
                <w:t>Singh RR</w:t>
              </w:r>
            </w:hyperlink>
            <w:r w:rsidR="00A461BF" w:rsidRPr="007901D1">
              <w:t>, </w:t>
            </w:r>
            <w:hyperlink r:id="rId38" w:history="1">
              <w:r w:rsidR="00A461BF" w:rsidRPr="007901D1">
                <w:t>Goldberg J</w:t>
              </w:r>
            </w:hyperlink>
            <w:r w:rsidR="00A461BF" w:rsidRPr="007901D1">
              <w:t>, </w:t>
            </w:r>
            <w:hyperlink r:id="rId39" w:history="1">
              <w:r w:rsidR="00A461BF" w:rsidRPr="007901D1">
                <w:t>Varghese AM</w:t>
              </w:r>
            </w:hyperlink>
            <w:r w:rsidR="00A461BF" w:rsidRPr="007901D1">
              <w:t>, </w:t>
            </w:r>
            <w:hyperlink r:id="rId40" w:history="1">
              <w:r w:rsidR="00A461BF" w:rsidRPr="007901D1">
                <w:t>Yu KH</w:t>
              </w:r>
            </w:hyperlink>
            <w:r w:rsidR="00A461BF" w:rsidRPr="007901D1">
              <w:t>, </w:t>
            </w:r>
            <w:hyperlink r:id="rId41" w:history="1">
              <w:r w:rsidR="00A461BF" w:rsidRPr="007901D1">
                <w:t>Park W</w:t>
              </w:r>
            </w:hyperlink>
            <w:r w:rsidR="00A461BF" w:rsidRPr="007901D1">
              <w:t>, </w:t>
            </w:r>
            <w:hyperlink r:id="rId42" w:history="1">
              <w:r w:rsidR="00A461BF" w:rsidRPr="007901D1">
                <w:t>O'Reilly EM</w:t>
              </w:r>
            </w:hyperlink>
          </w:p>
          <w:p w14:paraId="7C4D415C" w14:textId="77777777" w:rsidR="00A461BF" w:rsidRDefault="008D211B" w:rsidP="00A461BF">
            <w:hyperlink r:id="rId43" w:tooltip="Cancer treatment reviews." w:history="1">
              <w:r w:rsidR="00A461BF" w:rsidRPr="007901D1">
                <w:t>Cancer Treat Rev.</w:t>
              </w:r>
            </w:hyperlink>
            <w:r w:rsidR="00A461BF" w:rsidRPr="007901D1">
              <w:t> 2019 May</w:t>
            </w:r>
            <w:proofErr w:type="gramStart"/>
            <w:r w:rsidR="00A461BF" w:rsidRPr="007901D1">
              <w:t>;75:27</w:t>
            </w:r>
            <w:proofErr w:type="gramEnd"/>
            <w:r w:rsidR="00A461BF" w:rsidRPr="007901D1">
              <w:t xml:space="preserve">-38. </w:t>
            </w:r>
          </w:p>
          <w:p w14:paraId="167B453B" w14:textId="0D31ADD8" w:rsidR="00A461BF" w:rsidRDefault="00A461BF" w:rsidP="00A461BF">
            <w:proofErr w:type="spellStart"/>
            <w:r w:rsidRPr="007901D1">
              <w:t>doi</w:t>
            </w:r>
            <w:proofErr w:type="spellEnd"/>
            <w:r w:rsidRPr="007901D1">
              <w:t>: 10.1016/j.ctrv.2019.03.003.</w:t>
            </w:r>
          </w:p>
        </w:tc>
        <w:tc>
          <w:tcPr>
            <w:tcW w:w="550" w:type="pct"/>
          </w:tcPr>
          <w:p w14:paraId="121BAC66" w14:textId="0DB70152" w:rsidR="00A461BF" w:rsidRDefault="00A461BF" w:rsidP="00A461BF">
            <w:r w:rsidRPr="00DC3337">
              <w:t>May 2019</w:t>
            </w:r>
          </w:p>
        </w:tc>
      </w:tr>
      <w:tr w:rsidR="00A461BF" w14:paraId="79273D3D" w14:textId="77777777" w:rsidTr="004D62CE">
        <w:trPr>
          <w:cantSplit/>
        </w:trPr>
        <w:tc>
          <w:tcPr>
            <w:tcW w:w="150" w:type="pct"/>
          </w:tcPr>
          <w:p w14:paraId="574B5886" w14:textId="57E2936D" w:rsidR="00A461BF" w:rsidRDefault="00A461BF" w:rsidP="00A461BF">
            <w:pPr>
              <w:rPr>
                <w:szCs w:val="20"/>
              </w:rPr>
            </w:pPr>
            <w:r>
              <w:rPr>
                <w:szCs w:val="20"/>
              </w:rPr>
              <w:t>7</w:t>
            </w:r>
          </w:p>
        </w:tc>
        <w:tc>
          <w:tcPr>
            <w:tcW w:w="479" w:type="pct"/>
          </w:tcPr>
          <w:p w14:paraId="008FFB47" w14:textId="78186F1B" w:rsidR="00A461BF" w:rsidRDefault="00A461BF" w:rsidP="00A461BF">
            <w:r>
              <w:t>Biomarker study</w:t>
            </w:r>
          </w:p>
        </w:tc>
        <w:tc>
          <w:tcPr>
            <w:tcW w:w="741" w:type="pct"/>
          </w:tcPr>
          <w:p w14:paraId="2EA78A2B" w14:textId="0F951145" w:rsidR="00A461BF" w:rsidRPr="00CF719F" w:rsidRDefault="00A461BF" w:rsidP="004D62CE">
            <w:pPr>
              <w:spacing w:before="0" w:after="0"/>
            </w:pPr>
            <w:r>
              <w:rPr>
                <w:rFonts w:ascii="Calibri" w:hAnsi="Calibri" w:cs="Arial"/>
                <w:szCs w:val="20"/>
              </w:rPr>
              <w:t>Geographic and ethnic heterogeneity in the BRCA1/2 pre-screening population for the randomized phase III POLO study of olaparib maintenance in metastatic pancreatic cancer (</w:t>
            </w:r>
            <w:proofErr w:type="spellStart"/>
            <w:r>
              <w:rPr>
                <w:rFonts w:ascii="Calibri" w:hAnsi="Calibri" w:cs="Arial"/>
                <w:szCs w:val="20"/>
              </w:rPr>
              <w:t>mPC</w:t>
            </w:r>
            <w:proofErr w:type="spellEnd"/>
            <w:r>
              <w:rPr>
                <w:rFonts w:ascii="Calibri" w:hAnsi="Calibri" w:cs="Arial"/>
                <w:szCs w:val="20"/>
              </w:rPr>
              <w:t>)</w:t>
            </w:r>
          </w:p>
        </w:tc>
        <w:tc>
          <w:tcPr>
            <w:tcW w:w="823" w:type="pct"/>
          </w:tcPr>
          <w:p w14:paraId="6C6C5003" w14:textId="1F1D1CC5" w:rsidR="00A461BF" w:rsidRDefault="00A461BF" w:rsidP="00A461BF">
            <w:r>
              <w:t xml:space="preserve">Analysis of germline BRCA 1 /2 mutation status at randomisation pre-screening in POLO trial </w:t>
            </w:r>
          </w:p>
        </w:tc>
        <w:tc>
          <w:tcPr>
            <w:tcW w:w="2257" w:type="pct"/>
          </w:tcPr>
          <w:p w14:paraId="3AE585F0" w14:textId="77777777" w:rsidR="00A461BF" w:rsidRDefault="008D211B" w:rsidP="00A461BF">
            <w:hyperlink r:id="rId44" w:history="1">
              <w:r w:rsidR="00A461BF">
                <w:rPr>
                  <w:rStyle w:val="Hyperlink"/>
                </w:rPr>
                <w:t>https://ascopubs.org/doi/abs/10.1200/JCO.2018.36.15_suppl.4115</w:t>
              </w:r>
            </w:hyperlink>
          </w:p>
          <w:p w14:paraId="12500FE6" w14:textId="77777777" w:rsidR="00A461BF" w:rsidRDefault="00A461BF" w:rsidP="00A461BF"/>
          <w:p w14:paraId="247E9784" w14:textId="77777777" w:rsidR="00A461BF" w:rsidRDefault="00A461BF" w:rsidP="00A461BF">
            <w:r>
              <w:t xml:space="preserve">Golan T, Kindler HL, Park JO, Reni M, </w:t>
            </w:r>
            <w:proofErr w:type="spellStart"/>
            <w:r>
              <w:t>Macarulla</w:t>
            </w:r>
            <w:proofErr w:type="spellEnd"/>
            <w:r>
              <w:t xml:space="preserve"> T, </w:t>
            </w:r>
            <w:proofErr w:type="spellStart"/>
            <w:r>
              <w:t>Hammel</w:t>
            </w:r>
            <w:proofErr w:type="spellEnd"/>
            <w:r>
              <w:t xml:space="preserve"> P et al.</w:t>
            </w:r>
          </w:p>
          <w:p w14:paraId="278755D5" w14:textId="77777777" w:rsidR="00A461BF" w:rsidRDefault="00A461BF" w:rsidP="00A461BF">
            <w:r>
              <w:t>J Clin Oncol 2018; 36(15) Suppl 1</w:t>
            </w:r>
          </w:p>
          <w:p w14:paraId="124677DE" w14:textId="5A3F96E1" w:rsidR="00A461BF" w:rsidRDefault="00A461BF" w:rsidP="004D62CE">
            <w:r>
              <w:t xml:space="preserve">Abstract 4115 </w:t>
            </w:r>
          </w:p>
        </w:tc>
        <w:tc>
          <w:tcPr>
            <w:tcW w:w="550" w:type="pct"/>
          </w:tcPr>
          <w:p w14:paraId="347149C1" w14:textId="219F5A21" w:rsidR="00A461BF" w:rsidRDefault="00A461BF" w:rsidP="00A461BF">
            <w:r>
              <w:t>2018</w:t>
            </w:r>
          </w:p>
        </w:tc>
      </w:tr>
      <w:tr w:rsidR="00A461BF" w14:paraId="7CB5FB9C" w14:textId="77777777" w:rsidTr="004D62CE">
        <w:trPr>
          <w:cantSplit/>
        </w:trPr>
        <w:tc>
          <w:tcPr>
            <w:tcW w:w="150" w:type="pct"/>
          </w:tcPr>
          <w:p w14:paraId="29A91500" w14:textId="2A3EA8F2" w:rsidR="00A461BF" w:rsidRDefault="00A461BF" w:rsidP="00A461BF">
            <w:pPr>
              <w:rPr>
                <w:szCs w:val="20"/>
              </w:rPr>
            </w:pPr>
            <w:r>
              <w:rPr>
                <w:szCs w:val="20"/>
              </w:rPr>
              <w:t>8</w:t>
            </w:r>
          </w:p>
        </w:tc>
        <w:tc>
          <w:tcPr>
            <w:tcW w:w="479" w:type="pct"/>
          </w:tcPr>
          <w:p w14:paraId="56976329" w14:textId="55B01838" w:rsidR="00A461BF" w:rsidRDefault="00A461BF" w:rsidP="00A461BF">
            <w:r>
              <w:t>Molecular profiling</w:t>
            </w:r>
          </w:p>
        </w:tc>
        <w:tc>
          <w:tcPr>
            <w:tcW w:w="741" w:type="pct"/>
          </w:tcPr>
          <w:p w14:paraId="08C404A6" w14:textId="03D4E308" w:rsidR="00A461BF" w:rsidRDefault="00A461BF" w:rsidP="00A461BF">
            <w:r w:rsidRPr="00CF719F">
              <w:t>Comprehensive molecular profiling of patients with pancreatic adenocarcinoma: A single institution’s experience.</w:t>
            </w:r>
          </w:p>
        </w:tc>
        <w:tc>
          <w:tcPr>
            <w:tcW w:w="823" w:type="pct"/>
          </w:tcPr>
          <w:p w14:paraId="62F3053B" w14:textId="52446FDD" w:rsidR="00A461BF" w:rsidRDefault="00A461BF" w:rsidP="00A461BF">
            <w:r>
              <w:t>Examination of t</w:t>
            </w:r>
            <w:r w:rsidRPr="00CF719F">
              <w:t>umours</w:t>
            </w:r>
            <w:r>
              <w:t xml:space="preserve"> from 114 PDAC patients</w:t>
            </w:r>
            <w:r w:rsidRPr="00CF719F">
              <w:t xml:space="preserve"> using NextGen sequencing, immunohistochemistry, and in-</w:t>
            </w:r>
            <w:r w:rsidRPr="00CF719F">
              <w:lastRenderedPageBreak/>
              <w:t>situ hybridization</w:t>
            </w:r>
            <w:r>
              <w:t xml:space="preserve"> for DNA repair gene mutations</w:t>
            </w:r>
          </w:p>
        </w:tc>
        <w:tc>
          <w:tcPr>
            <w:tcW w:w="2257" w:type="pct"/>
          </w:tcPr>
          <w:p w14:paraId="59400374" w14:textId="2A4C3AC2" w:rsidR="00A461BF" w:rsidRDefault="008D211B" w:rsidP="00A461BF">
            <w:hyperlink r:id="rId45" w:history="1">
              <w:r w:rsidR="00A461BF">
                <w:rPr>
                  <w:rStyle w:val="Hyperlink"/>
                </w:rPr>
                <w:t>https://ascopubs.org/doi/abs/10.1200/JCO.2018.36.15_suppl.e16236</w:t>
              </w:r>
            </w:hyperlink>
            <w:r w:rsidR="00A461BF">
              <w:t xml:space="preserve"> </w:t>
            </w:r>
          </w:p>
          <w:p w14:paraId="4976E211" w14:textId="48BE183B" w:rsidR="00A461BF" w:rsidRDefault="008D211B" w:rsidP="00A461BF">
            <w:hyperlink r:id="rId46" w:history="1">
              <w:proofErr w:type="spellStart"/>
              <w:r w:rsidR="00A461BF" w:rsidRPr="00F343A3">
                <w:t>Kamgar</w:t>
              </w:r>
              <w:proofErr w:type="spellEnd"/>
            </w:hyperlink>
            <w:r w:rsidR="00A461BF">
              <w:t xml:space="preserve"> M</w:t>
            </w:r>
            <w:r w:rsidR="00A461BF" w:rsidRPr="00F343A3">
              <w:t>, </w:t>
            </w:r>
            <w:hyperlink r:id="rId47" w:history="1">
              <w:r w:rsidR="00A461BF" w:rsidRPr="00F343A3">
                <w:t>Dyson</w:t>
              </w:r>
            </w:hyperlink>
            <w:r w:rsidR="00A461BF">
              <w:t xml:space="preserve"> G</w:t>
            </w:r>
            <w:r w:rsidR="00A461BF" w:rsidRPr="00F343A3">
              <w:t>, </w:t>
            </w:r>
            <w:proofErr w:type="spellStart"/>
            <w:r>
              <w:fldChar w:fldCharType="begin"/>
            </w:r>
            <w:r>
              <w:instrText xml:space="preserve"> HYPERLINK "https://ascopubs.org/author/Diab%2C+Maria" </w:instrText>
            </w:r>
            <w:r>
              <w:fldChar w:fldCharType="separate"/>
            </w:r>
            <w:r w:rsidR="00A461BF" w:rsidRPr="00F343A3">
              <w:t>Diab</w:t>
            </w:r>
            <w:proofErr w:type="spellEnd"/>
            <w:r>
              <w:fldChar w:fldCharType="end"/>
            </w:r>
            <w:r w:rsidR="00A461BF">
              <w:t xml:space="preserve"> M</w:t>
            </w:r>
            <w:r w:rsidR="00A461BF" w:rsidRPr="00F343A3">
              <w:t>, </w:t>
            </w:r>
            <w:proofErr w:type="spellStart"/>
            <w:r>
              <w:fldChar w:fldCharType="begin"/>
            </w:r>
            <w:r>
              <w:instrText xml:space="preserve"> HYPERLINK "https://ascopubs.org/author/Te</w:instrText>
            </w:r>
            <w:r>
              <w:instrText xml:space="preserve">sfaye%2C+Anteneh+A" </w:instrText>
            </w:r>
            <w:r>
              <w:fldChar w:fldCharType="separate"/>
            </w:r>
            <w:r w:rsidR="00A461BF" w:rsidRPr="00F343A3">
              <w:t>Tesfaye</w:t>
            </w:r>
            <w:proofErr w:type="spellEnd"/>
            <w:r>
              <w:fldChar w:fldCharType="end"/>
            </w:r>
            <w:r w:rsidR="00A461BF">
              <w:t xml:space="preserve"> AA</w:t>
            </w:r>
            <w:r w:rsidR="00A461BF" w:rsidRPr="00F343A3">
              <w:t>, </w:t>
            </w:r>
            <w:hyperlink r:id="rId48" w:history="1">
              <w:r w:rsidR="00A461BF" w:rsidRPr="00F343A3">
                <w:t>Korn</w:t>
              </w:r>
            </w:hyperlink>
            <w:r w:rsidR="00A461BF">
              <w:t xml:space="preserve"> WM</w:t>
            </w:r>
            <w:r w:rsidR="00A461BF" w:rsidRPr="00F343A3">
              <w:t>, </w:t>
            </w:r>
            <w:hyperlink r:id="rId49" w:history="1">
              <w:r w:rsidR="00A461BF" w:rsidRPr="00F343A3">
                <w:t>Shields</w:t>
              </w:r>
            </w:hyperlink>
            <w:r w:rsidR="00A461BF">
              <w:t xml:space="preserve"> AF et al.</w:t>
            </w:r>
          </w:p>
          <w:p w14:paraId="07D155E8" w14:textId="465DBF9B" w:rsidR="00A461BF" w:rsidRDefault="00A461BF" w:rsidP="00A461BF">
            <w:r>
              <w:t>J Clin Oncol 2018; 36(15) Suppl 1</w:t>
            </w:r>
          </w:p>
          <w:p w14:paraId="201C99BA" w14:textId="548C0A42" w:rsidR="00A461BF" w:rsidRDefault="00A461BF" w:rsidP="004D62CE">
            <w:r>
              <w:t xml:space="preserve">Abstract e16236 </w:t>
            </w:r>
          </w:p>
        </w:tc>
        <w:tc>
          <w:tcPr>
            <w:tcW w:w="550" w:type="pct"/>
          </w:tcPr>
          <w:p w14:paraId="044240A0" w14:textId="5E17921D" w:rsidR="00A461BF" w:rsidRDefault="00A461BF" w:rsidP="00A461BF">
            <w:r>
              <w:t>2018</w:t>
            </w:r>
          </w:p>
        </w:tc>
      </w:tr>
      <w:tr w:rsidR="00A461BF" w14:paraId="22BC6091" w14:textId="77777777" w:rsidTr="004D62CE">
        <w:trPr>
          <w:cantSplit/>
        </w:trPr>
        <w:tc>
          <w:tcPr>
            <w:tcW w:w="150" w:type="pct"/>
          </w:tcPr>
          <w:p w14:paraId="53A99BEF" w14:textId="40E4186B" w:rsidR="00A461BF" w:rsidRDefault="00A461BF" w:rsidP="00A461BF">
            <w:pPr>
              <w:rPr>
                <w:szCs w:val="20"/>
              </w:rPr>
            </w:pPr>
            <w:r>
              <w:rPr>
                <w:szCs w:val="20"/>
              </w:rPr>
              <w:t>9</w:t>
            </w:r>
          </w:p>
        </w:tc>
        <w:tc>
          <w:tcPr>
            <w:tcW w:w="479" w:type="pct"/>
          </w:tcPr>
          <w:p w14:paraId="193F5AEA" w14:textId="51E0B7C9" w:rsidR="00A461BF" w:rsidRDefault="00A461BF" w:rsidP="00A461BF">
            <w:r>
              <w:t>Review</w:t>
            </w:r>
          </w:p>
          <w:p w14:paraId="2CD00188" w14:textId="5BD1C354" w:rsidR="00A461BF" w:rsidRDefault="00A461BF" w:rsidP="00A461BF"/>
        </w:tc>
        <w:tc>
          <w:tcPr>
            <w:tcW w:w="741" w:type="pct"/>
          </w:tcPr>
          <w:p w14:paraId="42D792DA" w14:textId="683524EA" w:rsidR="00A461BF" w:rsidRDefault="00A461BF" w:rsidP="00A461BF">
            <w:r w:rsidRPr="00850481">
              <w:t>DNA repair dysfunction in pancreatic cancer: A clinically relevant subtype for drug development.</w:t>
            </w:r>
          </w:p>
        </w:tc>
        <w:tc>
          <w:tcPr>
            <w:tcW w:w="823" w:type="pct"/>
          </w:tcPr>
          <w:p w14:paraId="632983DE" w14:textId="00EAF7B3" w:rsidR="00A461BF" w:rsidRDefault="00A461BF" w:rsidP="00A461BF">
            <w:r>
              <w:t xml:space="preserve">Review </w:t>
            </w:r>
            <w:r w:rsidRPr="00850481">
              <w:t>describes the subgroup of patients with Pancreatic ductal adenocarcinoma</w:t>
            </w:r>
            <w:r>
              <w:t xml:space="preserve"> </w:t>
            </w:r>
            <w:r w:rsidRPr="00850481">
              <w:t>with aberrant DNA repair and discusses diagnostic and therapeutic options</w:t>
            </w:r>
          </w:p>
        </w:tc>
        <w:tc>
          <w:tcPr>
            <w:tcW w:w="2257" w:type="pct"/>
          </w:tcPr>
          <w:p w14:paraId="1EFEC96A" w14:textId="77777777" w:rsidR="00A461BF" w:rsidRDefault="008D211B" w:rsidP="00A461BF">
            <w:hyperlink r:id="rId50" w:history="1">
              <w:r w:rsidR="00A461BF">
                <w:rPr>
                  <w:rStyle w:val="Hyperlink"/>
                </w:rPr>
                <w:t>https://jnccn.org/view/journals/jnccn/15/8/article-p1063.xml</w:t>
              </w:r>
            </w:hyperlink>
          </w:p>
          <w:p w14:paraId="00BE26B7" w14:textId="06EF62D4" w:rsidR="00A461BF" w:rsidRDefault="00A461BF" w:rsidP="00A461BF">
            <w:r>
              <w:t xml:space="preserve">Golan T, </w:t>
            </w:r>
            <w:proofErr w:type="spellStart"/>
            <w:r>
              <w:t>Javle</w:t>
            </w:r>
            <w:proofErr w:type="spellEnd"/>
            <w:r>
              <w:t xml:space="preserve"> M.</w:t>
            </w:r>
          </w:p>
          <w:p w14:paraId="19DFD947" w14:textId="6102E1F8" w:rsidR="00A461BF" w:rsidRDefault="00A461BF" w:rsidP="00A461BF">
            <w:r w:rsidRPr="00850481">
              <w:t>JNCCN</w:t>
            </w:r>
            <w:r>
              <w:t xml:space="preserve"> 2017; </w:t>
            </w:r>
            <w:r w:rsidRPr="00850481">
              <w:t>15(8)</w:t>
            </w:r>
            <w:r>
              <w:t>:</w:t>
            </w:r>
            <w:r w:rsidRPr="00850481">
              <w:t>1063-1069</w:t>
            </w:r>
            <w:r>
              <w:t xml:space="preserve">. </w:t>
            </w:r>
          </w:p>
          <w:p w14:paraId="4AB4D136" w14:textId="7A796AB0" w:rsidR="00A461BF" w:rsidRDefault="00A461BF" w:rsidP="00A461BF"/>
        </w:tc>
        <w:tc>
          <w:tcPr>
            <w:tcW w:w="550" w:type="pct"/>
          </w:tcPr>
          <w:p w14:paraId="15CADE3C" w14:textId="18B5C0D2" w:rsidR="00A461BF" w:rsidRDefault="00A461BF" w:rsidP="00A461BF">
            <w:r w:rsidRPr="00850481">
              <w:t>2017</w:t>
            </w:r>
          </w:p>
        </w:tc>
      </w:tr>
      <w:tr w:rsidR="00A461BF" w14:paraId="18B0ECD7" w14:textId="77777777" w:rsidTr="004D62CE">
        <w:trPr>
          <w:cantSplit/>
        </w:trPr>
        <w:tc>
          <w:tcPr>
            <w:tcW w:w="150" w:type="pct"/>
          </w:tcPr>
          <w:p w14:paraId="75301CA7" w14:textId="7BDF0DDE" w:rsidR="00A461BF" w:rsidRDefault="00A461BF" w:rsidP="00A461BF">
            <w:pPr>
              <w:rPr>
                <w:szCs w:val="20"/>
              </w:rPr>
            </w:pPr>
            <w:r>
              <w:rPr>
                <w:szCs w:val="20"/>
              </w:rPr>
              <w:t>10</w:t>
            </w:r>
          </w:p>
        </w:tc>
        <w:tc>
          <w:tcPr>
            <w:tcW w:w="479" w:type="pct"/>
          </w:tcPr>
          <w:p w14:paraId="51C81652" w14:textId="076F00D0" w:rsidR="00A461BF" w:rsidRDefault="00A461BF" w:rsidP="00A461BF">
            <w:r>
              <w:t xml:space="preserve">Retrospective analysis </w:t>
            </w:r>
          </w:p>
        </w:tc>
        <w:tc>
          <w:tcPr>
            <w:tcW w:w="741" w:type="pct"/>
          </w:tcPr>
          <w:p w14:paraId="59BB23DB" w14:textId="173C93A9" w:rsidR="00A461BF" w:rsidRDefault="00A461BF" w:rsidP="00A461BF">
            <w:r w:rsidRPr="00850481">
              <w:t>Homologous recombination deficiency (HRD) in patients with pancreatic cancer (PC) and response to chemotherapy.</w:t>
            </w:r>
          </w:p>
          <w:p w14:paraId="040D381C" w14:textId="2C87889E" w:rsidR="00A461BF" w:rsidRDefault="00A461BF" w:rsidP="00A461BF"/>
        </w:tc>
        <w:tc>
          <w:tcPr>
            <w:tcW w:w="823" w:type="pct"/>
          </w:tcPr>
          <w:p w14:paraId="0A2E485E" w14:textId="54111494" w:rsidR="00A461BF" w:rsidRPr="003835CC" w:rsidRDefault="00A461BF" w:rsidP="00A461BF">
            <w:pPr>
              <w:rPr>
                <w:rFonts w:cs="Arial"/>
                <w:szCs w:val="20"/>
              </w:rPr>
            </w:pPr>
            <w:r w:rsidRPr="003835CC">
              <w:rPr>
                <w:rFonts w:cs="Arial"/>
                <w:szCs w:val="20"/>
              </w:rPr>
              <w:t>Retrospective analysis of 91 tumour samples from patients treated for locally advanced or metastatic pancreatic cancer in order to describe the mutation and homologous recombination deficiency status and association with treatment response/outcome.</w:t>
            </w:r>
          </w:p>
        </w:tc>
        <w:tc>
          <w:tcPr>
            <w:tcW w:w="2257" w:type="pct"/>
          </w:tcPr>
          <w:p w14:paraId="6690D097" w14:textId="75EFBECE" w:rsidR="00A461BF" w:rsidRDefault="008D211B" w:rsidP="00A461BF">
            <w:hyperlink r:id="rId51" w:history="1">
              <w:r w:rsidR="00A461BF">
                <w:rPr>
                  <w:rStyle w:val="Hyperlink"/>
                </w:rPr>
                <w:t>https://ascopubs.org/doi/abs/10.1200/JCO.2017.35.4_suppl.317</w:t>
              </w:r>
            </w:hyperlink>
            <w:r w:rsidR="00A461BF">
              <w:t xml:space="preserve"> </w:t>
            </w:r>
          </w:p>
          <w:p w14:paraId="0977E63E" w14:textId="622EA2E1" w:rsidR="00A461BF" w:rsidRDefault="008D211B" w:rsidP="00A461BF">
            <w:hyperlink r:id="rId52" w:history="1">
              <w:proofErr w:type="spellStart"/>
              <w:r w:rsidR="00A461BF" w:rsidRPr="00F343A3">
                <w:t>Shahda</w:t>
              </w:r>
              <w:proofErr w:type="spellEnd"/>
            </w:hyperlink>
            <w:r w:rsidR="00A461BF">
              <w:t xml:space="preserve"> S</w:t>
            </w:r>
            <w:r w:rsidR="00A461BF" w:rsidRPr="00F343A3">
              <w:t>,</w:t>
            </w:r>
            <w:r w:rsidR="00A461BF">
              <w:t xml:space="preserve"> </w:t>
            </w:r>
            <w:hyperlink r:id="rId53" w:history="1">
              <w:proofErr w:type="spellStart"/>
              <w:r w:rsidR="00A461BF" w:rsidRPr="00F343A3">
                <w:t>Timms</w:t>
              </w:r>
              <w:proofErr w:type="spellEnd"/>
            </w:hyperlink>
            <w:r w:rsidR="00A461BF">
              <w:t xml:space="preserve"> K</w:t>
            </w:r>
            <w:r w:rsidR="00A461BF" w:rsidRPr="00F343A3">
              <w:t>, </w:t>
            </w:r>
            <w:hyperlink r:id="rId54" w:history="1">
              <w:r w:rsidR="00A461BF" w:rsidRPr="00F343A3">
                <w:t>Ibrahim</w:t>
              </w:r>
            </w:hyperlink>
            <w:r w:rsidR="00A461BF">
              <w:t xml:space="preserve"> A</w:t>
            </w:r>
            <w:r w:rsidR="00A461BF" w:rsidRPr="00F343A3">
              <w:t>, </w:t>
            </w:r>
            <w:hyperlink r:id="rId55" w:history="1">
              <w:r w:rsidR="00A461BF" w:rsidRPr="00F343A3">
                <w:t>Reid</w:t>
              </w:r>
            </w:hyperlink>
            <w:r w:rsidR="00A461BF">
              <w:t xml:space="preserve"> JE</w:t>
            </w:r>
            <w:r w:rsidR="00A461BF" w:rsidRPr="00F343A3">
              <w:t>, </w:t>
            </w:r>
            <w:hyperlink r:id="rId56" w:history="1">
              <w:r w:rsidR="00A461BF" w:rsidRPr="00F343A3">
                <w:t xml:space="preserve"> Cramer</w:t>
              </w:r>
            </w:hyperlink>
            <w:r w:rsidR="00A461BF">
              <w:t xml:space="preserve"> HM</w:t>
            </w:r>
            <w:r w:rsidR="00A461BF" w:rsidRPr="00F343A3">
              <w:t>, </w:t>
            </w:r>
            <w:hyperlink r:id="rId57" w:history="1">
              <w:r w:rsidR="00A461BF" w:rsidRPr="00F343A3">
                <w:t xml:space="preserve"> </w:t>
              </w:r>
              <w:proofErr w:type="spellStart"/>
              <w:r w:rsidR="00A461BF" w:rsidRPr="00F343A3">
                <w:t>Radovich</w:t>
              </w:r>
              <w:proofErr w:type="spellEnd"/>
            </w:hyperlink>
            <w:r w:rsidR="00A461BF">
              <w:t xml:space="preserve"> M et al.</w:t>
            </w:r>
          </w:p>
          <w:p w14:paraId="5C9F1DBA" w14:textId="64A86BF1" w:rsidR="00A461BF" w:rsidRDefault="00A461BF" w:rsidP="00A461BF">
            <w:r w:rsidRPr="00E81162">
              <w:t>J Clin Onc</w:t>
            </w:r>
            <w:r>
              <w:t>ol 2017</w:t>
            </w:r>
            <w:r w:rsidRPr="00E81162">
              <w:t>; 35(4) Suppl</w:t>
            </w:r>
            <w:r>
              <w:t xml:space="preserve"> 1</w:t>
            </w:r>
          </w:p>
          <w:p w14:paraId="2C9AE87C" w14:textId="5F443F7C" w:rsidR="00A461BF" w:rsidRDefault="00A461BF" w:rsidP="00A461BF">
            <w:r>
              <w:t>Abstract 317</w:t>
            </w:r>
          </w:p>
        </w:tc>
        <w:tc>
          <w:tcPr>
            <w:tcW w:w="550" w:type="pct"/>
          </w:tcPr>
          <w:p w14:paraId="4DD5A893" w14:textId="262FA017" w:rsidR="00A461BF" w:rsidRDefault="00A461BF" w:rsidP="00A461BF">
            <w:r>
              <w:t>2017</w:t>
            </w:r>
          </w:p>
        </w:tc>
      </w:tr>
      <w:tr w:rsidR="00A461BF" w14:paraId="3C88A9F4" w14:textId="77777777" w:rsidTr="004D62CE">
        <w:trPr>
          <w:cantSplit/>
        </w:trPr>
        <w:tc>
          <w:tcPr>
            <w:tcW w:w="150" w:type="pct"/>
          </w:tcPr>
          <w:p w14:paraId="185DDDE1" w14:textId="7A9208BB" w:rsidR="00A461BF" w:rsidRDefault="00A461BF" w:rsidP="00A461BF">
            <w:pPr>
              <w:rPr>
                <w:szCs w:val="20"/>
              </w:rPr>
            </w:pPr>
            <w:r>
              <w:rPr>
                <w:szCs w:val="20"/>
              </w:rPr>
              <w:t>11</w:t>
            </w:r>
          </w:p>
        </w:tc>
        <w:tc>
          <w:tcPr>
            <w:tcW w:w="479" w:type="pct"/>
          </w:tcPr>
          <w:p w14:paraId="6415BAA8" w14:textId="60F055A0" w:rsidR="00A461BF" w:rsidRDefault="00A461BF" w:rsidP="00A461BF">
            <w:r>
              <w:t>Diagnostic marker study</w:t>
            </w:r>
          </w:p>
        </w:tc>
        <w:tc>
          <w:tcPr>
            <w:tcW w:w="741" w:type="pct"/>
          </w:tcPr>
          <w:p w14:paraId="58ABCA89" w14:textId="3F63F669" w:rsidR="00A461BF" w:rsidRPr="003835CC" w:rsidRDefault="00A461BF" w:rsidP="00A461BF">
            <w:r w:rsidRPr="003835CC">
              <w:t>Germline mutations in seemingly sporadic pancreatic cancer.</w:t>
            </w:r>
          </w:p>
          <w:p w14:paraId="30A6A888" w14:textId="5BCBC1EC" w:rsidR="00A461BF" w:rsidRPr="003835CC" w:rsidRDefault="00A461BF" w:rsidP="00A461BF">
            <w:pPr>
              <w:rPr>
                <w:rFonts w:cs="Arial"/>
                <w:szCs w:val="20"/>
              </w:rPr>
            </w:pPr>
          </w:p>
        </w:tc>
        <w:tc>
          <w:tcPr>
            <w:tcW w:w="823" w:type="pct"/>
          </w:tcPr>
          <w:p w14:paraId="049C39A9" w14:textId="3919EC54" w:rsidR="00A461BF" w:rsidRPr="003835CC" w:rsidRDefault="00A461BF" w:rsidP="00A461BF">
            <w:pPr>
              <w:rPr>
                <w:rFonts w:cs="Arial"/>
                <w:szCs w:val="20"/>
              </w:rPr>
            </w:pPr>
            <w:r w:rsidRPr="003835CC">
              <w:rPr>
                <w:rFonts w:cs="Arial"/>
                <w:szCs w:val="20"/>
              </w:rPr>
              <w:t xml:space="preserve">Prevalence of germline mutations in 15 genes (including BRCA) among sporadic pancreatic cancer cases via analysis of lymphocyte DNA next generation sequencing data from 296 </w:t>
            </w:r>
            <w:r>
              <w:rPr>
                <w:rFonts w:cs="Arial"/>
                <w:szCs w:val="20"/>
              </w:rPr>
              <w:t>cases of pancreatic cancer</w:t>
            </w:r>
          </w:p>
        </w:tc>
        <w:tc>
          <w:tcPr>
            <w:tcW w:w="2257" w:type="pct"/>
          </w:tcPr>
          <w:p w14:paraId="5570DD16" w14:textId="77777777" w:rsidR="00A461BF" w:rsidRDefault="008D211B" w:rsidP="00A461BF">
            <w:hyperlink r:id="rId58" w:history="1">
              <w:r w:rsidR="00A461BF">
                <w:rPr>
                  <w:rStyle w:val="Hyperlink"/>
                </w:rPr>
                <w:t>https://ascopubs.org/doi/abs/10.1200/JCO.2017.35.4_suppl.312</w:t>
              </w:r>
            </w:hyperlink>
            <w:r w:rsidR="00A461BF" w:rsidRPr="003835CC">
              <w:t xml:space="preserve"> </w:t>
            </w:r>
          </w:p>
          <w:p w14:paraId="32DB5313" w14:textId="6DB60734" w:rsidR="00A461BF" w:rsidRPr="003835CC" w:rsidRDefault="00A461BF" w:rsidP="00A461BF">
            <w:r w:rsidRPr="003835CC">
              <w:t>Wong</w:t>
            </w:r>
            <w:r>
              <w:t xml:space="preserve"> C, </w:t>
            </w:r>
            <w:proofErr w:type="spellStart"/>
            <w:r>
              <w:t>Cuggia</w:t>
            </w:r>
            <w:proofErr w:type="spellEnd"/>
            <w:r>
              <w:t xml:space="preserve"> A, </w:t>
            </w:r>
            <w:proofErr w:type="spellStart"/>
            <w:r>
              <w:t>Borgida</w:t>
            </w:r>
            <w:proofErr w:type="spellEnd"/>
            <w:r>
              <w:t xml:space="preserve"> A, Holter S, Hall A, Connor A et al.</w:t>
            </w:r>
            <w:r w:rsidRPr="003835CC">
              <w:t xml:space="preserve"> </w:t>
            </w:r>
          </w:p>
          <w:p w14:paraId="230EDFAA" w14:textId="77777777" w:rsidR="00A461BF" w:rsidRPr="003835CC" w:rsidRDefault="00A461BF" w:rsidP="00A461BF">
            <w:r w:rsidRPr="003835CC">
              <w:t>J Clin Oncol 2017; 35(4) Suppl 1</w:t>
            </w:r>
          </w:p>
          <w:p w14:paraId="785CAA1C" w14:textId="0CA7357B" w:rsidR="00A461BF" w:rsidRDefault="00A461BF" w:rsidP="00A461BF">
            <w:r w:rsidRPr="003835CC">
              <w:t>Abstract 312</w:t>
            </w:r>
          </w:p>
        </w:tc>
        <w:tc>
          <w:tcPr>
            <w:tcW w:w="550" w:type="pct"/>
          </w:tcPr>
          <w:p w14:paraId="15F6EA56" w14:textId="0C1D5BDD" w:rsidR="00A461BF" w:rsidRDefault="00A461BF" w:rsidP="00A461BF">
            <w:r>
              <w:t>2017</w:t>
            </w:r>
          </w:p>
        </w:tc>
      </w:tr>
      <w:tr w:rsidR="00A461BF" w14:paraId="34667112" w14:textId="77777777" w:rsidTr="004D62CE">
        <w:trPr>
          <w:cantSplit/>
        </w:trPr>
        <w:tc>
          <w:tcPr>
            <w:tcW w:w="150" w:type="pct"/>
          </w:tcPr>
          <w:p w14:paraId="3C5AD8D0" w14:textId="122BC089" w:rsidR="00A461BF" w:rsidRDefault="00A461BF" w:rsidP="00A461BF">
            <w:pPr>
              <w:rPr>
                <w:szCs w:val="20"/>
              </w:rPr>
            </w:pPr>
            <w:r>
              <w:rPr>
                <w:szCs w:val="20"/>
              </w:rPr>
              <w:t>12</w:t>
            </w:r>
          </w:p>
        </w:tc>
        <w:tc>
          <w:tcPr>
            <w:tcW w:w="479" w:type="pct"/>
          </w:tcPr>
          <w:p w14:paraId="043C85A6" w14:textId="5CFA87A8" w:rsidR="00A461BF" w:rsidRDefault="00A461BF" w:rsidP="00A461BF">
            <w:r>
              <w:t>Review</w:t>
            </w:r>
          </w:p>
        </w:tc>
        <w:tc>
          <w:tcPr>
            <w:tcW w:w="741" w:type="pct"/>
          </w:tcPr>
          <w:p w14:paraId="20DFDBDE" w14:textId="45296EB6" w:rsidR="00A461BF" w:rsidRDefault="00A461BF" w:rsidP="00A461BF">
            <w:r w:rsidRPr="002E144F">
              <w:t>Genomic instability in pancreatic adenocarcinoma: a new step towards precision medicine and novel therapeutic approaches.</w:t>
            </w:r>
          </w:p>
        </w:tc>
        <w:tc>
          <w:tcPr>
            <w:tcW w:w="823" w:type="pct"/>
          </w:tcPr>
          <w:p w14:paraId="47028DB8" w14:textId="607D842A" w:rsidR="00A461BF" w:rsidRDefault="00A461BF" w:rsidP="00A461BF">
            <w:r>
              <w:t xml:space="preserve">Evaluation of </w:t>
            </w:r>
            <w:r w:rsidRPr="002E144F">
              <w:t>characteristics of genomic instability in pancreatic cancer along with clinical implications and the utility of DNA targeting agents particularly PARP inhibitor</w:t>
            </w:r>
            <w:r>
              <w:t>s</w:t>
            </w:r>
          </w:p>
        </w:tc>
        <w:tc>
          <w:tcPr>
            <w:tcW w:w="2257" w:type="pct"/>
          </w:tcPr>
          <w:p w14:paraId="0D8BB4D3" w14:textId="1F5693E6" w:rsidR="00A461BF" w:rsidRDefault="008D211B" w:rsidP="00A461BF">
            <w:pPr>
              <w:tabs>
                <w:tab w:val="left" w:pos="2250"/>
                <w:tab w:val="left" w:pos="4500"/>
              </w:tabs>
            </w:pPr>
            <w:hyperlink r:id="rId59" w:history="1">
              <w:r w:rsidR="00A461BF">
                <w:rPr>
                  <w:rStyle w:val="Hyperlink"/>
                </w:rPr>
                <w:t>https://www.ncbi.nlm.nih.gov/pubmed/26881472</w:t>
              </w:r>
            </w:hyperlink>
            <w:r w:rsidR="00A461BF">
              <w:tab/>
            </w:r>
          </w:p>
          <w:p w14:paraId="6F67A7F8" w14:textId="7FF3C069" w:rsidR="00A461BF" w:rsidRDefault="008D211B" w:rsidP="00A461BF">
            <w:pPr>
              <w:tabs>
                <w:tab w:val="left" w:pos="2250"/>
                <w:tab w:val="left" w:pos="4500"/>
              </w:tabs>
            </w:pPr>
            <w:hyperlink r:id="rId60" w:history="1">
              <w:proofErr w:type="spellStart"/>
              <w:r w:rsidR="00A461BF" w:rsidRPr="00C31905">
                <w:t>Sahin</w:t>
              </w:r>
              <w:proofErr w:type="spellEnd"/>
              <w:r w:rsidR="00A461BF" w:rsidRPr="00C31905">
                <w:t xml:space="preserve"> IH</w:t>
              </w:r>
            </w:hyperlink>
            <w:r w:rsidR="00A461BF" w:rsidRPr="00C31905">
              <w:t>, </w:t>
            </w:r>
            <w:proofErr w:type="spellStart"/>
            <w:r w:rsidR="00474288">
              <w:fldChar w:fldCharType="begin"/>
            </w:r>
            <w:r w:rsidR="00474288">
              <w:instrText xml:space="preserve"> HYPERLINK "https://www.ncbi.nlm.nih.gov/pubmed/?term=Lowery%20MA%5BAuthor%5D&amp;cauthor=true&amp;cauthor_uid=26881472" </w:instrText>
            </w:r>
            <w:r w:rsidR="00474288">
              <w:fldChar w:fldCharType="separate"/>
            </w:r>
            <w:r w:rsidR="00A461BF" w:rsidRPr="00C31905">
              <w:t>Lowery</w:t>
            </w:r>
            <w:proofErr w:type="spellEnd"/>
            <w:r w:rsidR="00A461BF" w:rsidRPr="00C31905">
              <w:t xml:space="preserve"> MA</w:t>
            </w:r>
            <w:r w:rsidR="00474288">
              <w:fldChar w:fldCharType="end"/>
            </w:r>
            <w:r w:rsidR="00A461BF" w:rsidRPr="00C31905">
              <w:t>, </w:t>
            </w:r>
            <w:proofErr w:type="spellStart"/>
            <w:r>
              <w:fldChar w:fldCharType="begin"/>
            </w:r>
            <w:r>
              <w:instrText xml:space="preserve"> HYPERLINK "https://www.ncbi.nlm.nih.gov/pubmed/?term=Stadler%20ZK%5BAuthor%5D&amp;cauthor=true&amp;cauthor_ui</w:instrText>
            </w:r>
            <w:r>
              <w:instrText xml:space="preserve">d=26881472" </w:instrText>
            </w:r>
            <w:r>
              <w:fldChar w:fldCharType="separate"/>
            </w:r>
            <w:r w:rsidR="00A461BF" w:rsidRPr="00C31905">
              <w:t>Stadler</w:t>
            </w:r>
            <w:proofErr w:type="spellEnd"/>
            <w:r w:rsidR="00A461BF" w:rsidRPr="00C31905">
              <w:t xml:space="preserve"> ZK</w:t>
            </w:r>
            <w:r>
              <w:fldChar w:fldCharType="end"/>
            </w:r>
            <w:r w:rsidR="00A461BF" w:rsidRPr="00C31905">
              <w:t>, </w:t>
            </w:r>
            <w:proofErr w:type="spellStart"/>
            <w:r w:rsidR="00474288">
              <w:fldChar w:fldCharType="begin"/>
            </w:r>
            <w:r w:rsidR="00474288">
              <w:instrText xml:space="preserve"> HYPERLINK "https://www.ncbi.nlm.nih.gov/pubmed/?term=Salo-Mullen%20E%5BAuthor%5D&amp;cauthor=true&amp;cauthor_uid=26881472" </w:instrText>
            </w:r>
            <w:r w:rsidR="00474288">
              <w:fldChar w:fldCharType="separate"/>
            </w:r>
            <w:r w:rsidR="00A461BF" w:rsidRPr="00C31905">
              <w:t>Salo</w:t>
            </w:r>
            <w:proofErr w:type="spellEnd"/>
            <w:r w:rsidR="00A461BF" w:rsidRPr="00C31905">
              <w:t>-Mullen E</w:t>
            </w:r>
            <w:r w:rsidR="00474288">
              <w:fldChar w:fldCharType="end"/>
            </w:r>
            <w:r w:rsidR="00A461BF" w:rsidRPr="00C31905">
              <w:t>, </w:t>
            </w:r>
            <w:proofErr w:type="spellStart"/>
            <w:r w:rsidR="00474288">
              <w:fldChar w:fldCharType="begin"/>
            </w:r>
            <w:r w:rsidR="00474288">
              <w:instrText xml:space="preserve"> HYPERLINK "https://www.ncbi.nlm.nih.gov/pubmed/?term=Iacobuzio-Donahue%20CA%5BAuthor%5D&amp;cauthor=true&amp;cauthor_uid=26881472" </w:instrText>
            </w:r>
            <w:r w:rsidR="00474288">
              <w:fldChar w:fldCharType="separate"/>
            </w:r>
            <w:r w:rsidR="00A461BF" w:rsidRPr="00C31905">
              <w:t>Iacobuzio</w:t>
            </w:r>
            <w:proofErr w:type="spellEnd"/>
            <w:r w:rsidR="00A461BF" w:rsidRPr="00C31905">
              <w:t xml:space="preserve">-Donahue </w:t>
            </w:r>
            <w:r w:rsidR="00A461BF">
              <w:t>C</w:t>
            </w:r>
            <w:r w:rsidR="00A461BF" w:rsidRPr="00C31905">
              <w:t>A</w:t>
            </w:r>
            <w:r w:rsidR="00474288">
              <w:fldChar w:fldCharType="end"/>
            </w:r>
            <w:r w:rsidR="00A461BF" w:rsidRPr="00C31905">
              <w:t>, </w:t>
            </w:r>
            <w:proofErr w:type="spellStart"/>
            <w:r w:rsidR="00474288">
              <w:fldChar w:fldCharType="begin"/>
            </w:r>
            <w:r w:rsidR="00474288">
              <w:instrText xml:space="preserve"> HYPERLINK "https://www.ncbi.nlm.nih.gov/pubmed/?term=Kelsen%20DP%5BAuthor%5D&amp;cauthor=true&amp;cauthor_uid=26881472" </w:instrText>
            </w:r>
            <w:r w:rsidR="00474288">
              <w:fldChar w:fldCharType="separate"/>
            </w:r>
            <w:r w:rsidR="00A461BF" w:rsidRPr="00C31905">
              <w:t>Kelsen</w:t>
            </w:r>
            <w:proofErr w:type="spellEnd"/>
            <w:r w:rsidR="00A461BF" w:rsidRPr="00C31905">
              <w:t xml:space="preserve"> DP</w:t>
            </w:r>
            <w:r w:rsidR="00474288">
              <w:fldChar w:fldCharType="end"/>
            </w:r>
            <w:r w:rsidR="00A461BF">
              <w:t xml:space="preserve"> et al.</w:t>
            </w:r>
          </w:p>
          <w:p w14:paraId="3B8B11C5" w14:textId="34CE74E8" w:rsidR="00A461BF" w:rsidRDefault="008D211B" w:rsidP="00A461BF">
            <w:pPr>
              <w:tabs>
                <w:tab w:val="left" w:pos="2250"/>
                <w:tab w:val="left" w:pos="4500"/>
              </w:tabs>
            </w:pPr>
            <w:hyperlink r:id="rId61" w:tooltip="Expert review of gastroenterology &amp; hepatology." w:history="1">
              <w:r w:rsidR="00A461BF" w:rsidRPr="002E144F">
                <w:t xml:space="preserve">Expert Rev </w:t>
              </w:r>
              <w:proofErr w:type="spellStart"/>
              <w:r w:rsidR="00A461BF" w:rsidRPr="002E144F">
                <w:t>Gastroenterol</w:t>
              </w:r>
              <w:proofErr w:type="spellEnd"/>
              <w:r w:rsidR="00A461BF" w:rsidRPr="002E144F">
                <w:t xml:space="preserve"> </w:t>
              </w:r>
              <w:proofErr w:type="spellStart"/>
              <w:r w:rsidR="00A461BF" w:rsidRPr="002E144F">
                <w:t>Hepatol</w:t>
              </w:r>
              <w:proofErr w:type="spellEnd"/>
              <w:r w:rsidR="00A461BF" w:rsidRPr="002E144F">
                <w:t>.</w:t>
              </w:r>
            </w:hyperlink>
            <w:r w:rsidR="00A461BF" w:rsidRPr="002E144F">
              <w:t xml:space="preserve"> 2016 Aug;10(8):893-905. </w:t>
            </w:r>
          </w:p>
          <w:p w14:paraId="48039CEA" w14:textId="08CF2359" w:rsidR="00A461BF" w:rsidRPr="006F2B12" w:rsidRDefault="00A461BF" w:rsidP="00A461BF">
            <w:pPr>
              <w:tabs>
                <w:tab w:val="left" w:pos="2250"/>
                <w:tab w:val="left" w:pos="4500"/>
              </w:tabs>
            </w:pPr>
          </w:p>
        </w:tc>
        <w:tc>
          <w:tcPr>
            <w:tcW w:w="550" w:type="pct"/>
          </w:tcPr>
          <w:p w14:paraId="4DA7AB60" w14:textId="493E0A0E" w:rsidR="00A461BF" w:rsidRDefault="00A461BF" w:rsidP="00A461BF">
            <w:r>
              <w:t>2016</w:t>
            </w:r>
          </w:p>
        </w:tc>
      </w:tr>
      <w:tr w:rsidR="00A461BF" w14:paraId="2E9A667C" w14:textId="77777777" w:rsidTr="004D62CE">
        <w:trPr>
          <w:cantSplit/>
        </w:trPr>
        <w:tc>
          <w:tcPr>
            <w:tcW w:w="150" w:type="pct"/>
          </w:tcPr>
          <w:p w14:paraId="77998F72" w14:textId="35B1154F" w:rsidR="00A461BF" w:rsidRDefault="00A461BF" w:rsidP="00A461BF">
            <w:pPr>
              <w:rPr>
                <w:szCs w:val="20"/>
              </w:rPr>
            </w:pPr>
            <w:r>
              <w:rPr>
                <w:szCs w:val="20"/>
              </w:rPr>
              <w:t>13</w:t>
            </w:r>
          </w:p>
        </w:tc>
        <w:tc>
          <w:tcPr>
            <w:tcW w:w="479" w:type="pct"/>
          </w:tcPr>
          <w:p w14:paraId="5E942671" w14:textId="60FBAD5D" w:rsidR="00A461BF" w:rsidRDefault="00A461BF" w:rsidP="00A461BF">
            <w:r>
              <w:t>Review</w:t>
            </w:r>
          </w:p>
          <w:p w14:paraId="5920F8BB" w14:textId="18004CEF" w:rsidR="00A461BF" w:rsidRDefault="00A461BF" w:rsidP="00A461BF"/>
        </w:tc>
        <w:tc>
          <w:tcPr>
            <w:tcW w:w="741" w:type="pct"/>
          </w:tcPr>
          <w:p w14:paraId="60F30290" w14:textId="1D4F6D18" w:rsidR="00A461BF" w:rsidRDefault="00A461BF" w:rsidP="00A461BF">
            <w:r w:rsidRPr="00CA670A">
              <w:t>Changing the course of pancreatic cancer – Focus on recent translational</w:t>
            </w:r>
            <w:r>
              <w:t xml:space="preserve"> </w:t>
            </w:r>
            <w:r w:rsidRPr="00CA670A">
              <w:t>advances</w:t>
            </w:r>
          </w:p>
        </w:tc>
        <w:tc>
          <w:tcPr>
            <w:tcW w:w="823" w:type="pct"/>
          </w:tcPr>
          <w:p w14:paraId="65B625FA" w14:textId="0F519E99" w:rsidR="00A461BF" w:rsidRDefault="00A461BF" w:rsidP="00A461BF">
            <w:r>
              <w:t xml:space="preserve">Review of </w:t>
            </w:r>
            <w:r w:rsidRPr="00CA670A">
              <w:t xml:space="preserve">Immune </w:t>
            </w:r>
            <w:r>
              <w:t xml:space="preserve">strategies </w:t>
            </w:r>
            <w:r w:rsidRPr="00CA670A">
              <w:t>in pancreatic cancer</w:t>
            </w:r>
          </w:p>
        </w:tc>
        <w:tc>
          <w:tcPr>
            <w:tcW w:w="2257" w:type="pct"/>
          </w:tcPr>
          <w:p w14:paraId="4707DE4A" w14:textId="1EE5572A" w:rsidR="00A461BF" w:rsidRDefault="008D211B" w:rsidP="00A461BF">
            <w:hyperlink r:id="rId62" w:history="1">
              <w:r w:rsidR="00A461BF">
                <w:rPr>
                  <w:rStyle w:val="Hyperlink"/>
                </w:rPr>
                <w:t>https://linkinghub.elsevier.com/retrieve/pii/S0305-7372(16)00012-8</w:t>
              </w:r>
            </w:hyperlink>
          </w:p>
          <w:p w14:paraId="33AF0515" w14:textId="474D4C23" w:rsidR="00A461BF" w:rsidRDefault="00A461BF" w:rsidP="00A461BF">
            <w:proofErr w:type="spellStart"/>
            <w:r>
              <w:t>Javle</w:t>
            </w:r>
            <w:proofErr w:type="spellEnd"/>
            <w:r>
              <w:t xml:space="preserve"> M, Golan T, Maitra A.</w:t>
            </w:r>
          </w:p>
          <w:p w14:paraId="17DBD598" w14:textId="5CE2FF3A" w:rsidR="00A461BF" w:rsidRDefault="00A461BF" w:rsidP="00A461BF">
            <w:r>
              <w:t>Cancer Treat Rev 2016; 44:17-25.</w:t>
            </w:r>
          </w:p>
        </w:tc>
        <w:tc>
          <w:tcPr>
            <w:tcW w:w="550" w:type="pct"/>
          </w:tcPr>
          <w:p w14:paraId="679DDFAA" w14:textId="3B53A1A6" w:rsidR="00A461BF" w:rsidRDefault="00A461BF" w:rsidP="00A461BF">
            <w:r>
              <w:t>2016</w:t>
            </w:r>
          </w:p>
        </w:tc>
      </w:tr>
      <w:tr w:rsidR="00A461BF" w14:paraId="20D33449" w14:textId="77777777" w:rsidTr="004D62CE">
        <w:trPr>
          <w:cantSplit/>
        </w:trPr>
        <w:tc>
          <w:tcPr>
            <w:tcW w:w="150" w:type="pct"/>
          </w:tcPr>
          <w:p w14:paraId="0C77619E" w14:textId="2D5C45F4" w:rsidR="00A461BF" w:rsidRDefault="00A461BF" w:rsidP="00A461BF">
            <w:pPr>
              <w:rPr>
                <w:szCs w:val="20"/>
              </w:rPr>
            </w:pPr>
            <w:r>
              <w:rPr>
                <w:szCs w:val="20"/>
              </w:rPr>
              <w:t>14</w:t>
            </w:r>
          </w:p>
        </w:tc>
        <w:tc>
          <w:tcPr>
            <w:tcW w:w="479" w:type="pct"/>
          </w:tcPr>
          <w:p w14:paraId="5AE8A85D" w14:textId="546F08B7" w:rsidR="00A461BF" w:rsidRDefault="00A461BF" w:rsidP="00A461BF">
            <w:r>
              <w:t>Review</w:t>
            </w:r>
          </w:p>
        </w:tc>
        <w:tc>
          <w:tcPr>
            <w:tcW w:w="741" w:type="pct"/>
          </w:tcPr>
          <w:p w14:paraId="6E0630EB" w14:textId="77777777" w:rsidR="00A461BF" w:rsidRPr="006E427B" w:rsidRDefault="00A461BF" w:rsidP="00A461BF">
            <w:r w:rsidRPr="006E427B">
              <w:t>Familial pancreatic cancer: genetic advances.</w:t>
            </w:r>
          </w:p>
          <w:p w14:paraId="2A8FD9F1" w14:textId="77777777" w:rsidR="00A461BF" w:rsidRPr="00CA670A" w:rsidRDefault="00A461BF" w:rsidP="00A461BF"/>
        </w:tc>
        <w:tc>
          <w:tcPr>
            <w:tcW w:w="823" w:type="pct"/>
          </w:tcPr>
          <w:p w14:paraId="6BA8CA70" w14:textId="1F623662" w:rsidR="00A461BF" w:rsidRDefault="00A461BF" w:rsidP="00A461BF">
            <w:r>
              <w:t>R</w:t>
            </w:r>
            <w:r w:rsidRPr="006E427B">
              <w:t xml:space="preserve">eview </w:t>
            </w:r>
            <w:r>
              <w:t>of</w:t>
            </w:r>
            <w:r w:rsidRPr="006E427B">
              <w:t xml:space="preserve"> known genetic syndromes that underlie familial pancreatic cancer</w:t>
            </w:r>
            <w:r>
              <w:t xml:space="preserve"> (including BRCA mutations)</w:t>
            </w:r>
            <w:r w:rsidRPr="006E427B">
              <w:t>, where there are opportunities for genetic counselling and testing as well as clinical monitoring of at-risk patients. </w:t>
            </w:r>
          </w:p>
        </w:tc>
        <w:tc>
          <w:tcPr>
            <w:tcW w:w="2257" w:type="pct"/>
          </w:tcPr>
          <w:p w14:paraId="2C6944AB" w14:textId="77777777" w:rsidR="00A461BF" w:rsidRDefault="008D211B" w:rsidP="00A461BF">
            <w:hyperlink r:id="rId63" w:history="1">
              <w:r w:rsidR="00A461BF">
                <w:rPr>
                  <w:rStyle w:val="Hyperlink"/>
                </w:rPr>
                <w:t>http://www.genesdev.org/cgi/pmidlookup?view=long&amp;pmid=24395243</w:t>
              </w:r>
            </w:hyperlink>
          </w:p>
          <w:p w14:paraId="6E59B534" w14:textId="765E0C38" w:rsidR="00A461BF" w:rsidRDefault="00A461BF" w:rsidP="00A461BF">
            <w:proofErr w:type="spellStart"/>
            <w:r>
              <w:t>Rustgi</w:t>
            </w:r>
            <w:proofErr w:type="spellEnd"/>
            <w:r>
              <w:t xml:space="preserve"> AK</w:t>
            </w:r>
          </w:p>
          <w:p w14:paraId="249D9C74" w14:textId="20114E23" w:rsidR="00A461BF" w:rsidRDefault="00A461BF" w:rsidP="00A461BF">
            <w:r w:rsidRPr="006E427B">
              <w:t>Genes &amp; Dev</w:t>
            </w:r>
            <w:r>
              <w:t xml:space="preserve"> 2014;</w:t>
            </w:r>
            <w:r w:rsidRPr="006E427B">
              <w:t>28: 1-7</w:t>
            </w:r>
          </w:p>
          <w:p w14:paraId="456B2D5D" w14:textId="6679EBD8" w:rsidR="00A461BF" w:rsidRDefault="00A461BF" w:rsidP="00A461BF"/>
        </w:tc>
        <w:tc>
          <w:tcPr>
            <w:tcW w:w="550" w:type="pct"/>
          </w:tcPr>
          <w:p w14:paraId="3BB81A3C" w14:textId="644DBDBA" w:rsidR="00A461BF" w:rsidRDefault="00A461BF" w:rsidP="00A461BF">
            <w:r>
              <w:t>2014</w:t>
            </w:r>
          </w:p>
        </w:tc>
      </w:tr>
      <w:tr w:rsidR="00A461BF" w14:paraId="75279FCD" w14:textId="77777777" w:rsidTr="004D62CE">
        <w:trPr>
          <w:cantSplit/>
        </w:trPr>
        <w:tc>
          <w:tcPr>
            <w:tcW w:w="150" w:type="pct"/>
          </w:tcPr>
          <w:p w14:paraId="1E5751E6" w14:textId="05243E0C" w:rsidR="00A461BF" w:rsidRDefault="00A461BF" w:rsidP="00A461BF">
            <w:pPr>
              <w:rPr>
                <w:szCs w:val="20"/>
              </w:rPr>
            </w:pPr>
            <w:r>
              <w:rPr>
                <w:szCs w:val="20"/>
              </w:rPr>
              <w:t>15</w:t>
            </w:r>
          </w:p>
        </w:tc>
        <w:tc>
          <w:tcPr>
            <w:tcW w:w="479" w:type="pct"/>
          </w:tcPr>
          <w:p w14:paraId="16ED9EED" w14:textId="2BB38A3C" w:rsidR="00A461BF" w:rsidRDefault="00A461BF" w:rsidP="00A461BF">
            <w:r>
              <w:t>Review</w:t>
            </w:r>
          </w:p>
        </w:tc>
        <w:tc>
          <w:tcPr>
            <w:tcW w:w="741" w:type="pct"/>
          </w:tcPr>
          <w:p w14:paraId="2698C660" w14:textId="77777777" w:rsidR="00A461BF" w:rsidRPr="006E427B" w:rsidRDefault="00A461BF" w:rsidP="00A461BF">
            <w:r w:rsidRPr="006E427B">
              <w:t>Parp-inhibitors in BRCA-associated pancreatic cancer.</w:t>
            </w:r>
          </w:p>
          <w:p w14:paraId="34F6B0AE" w14:textId="77777777" w:rsidR="00A461BF" w:rsidRPr="00CA670A" w:rsidRDefault="00A461BF" w:rsidP="00A461BF"/>
        </w:tc>
        <w:tc>
          <w:tcPr>
            <w:tcW w:w="823" w:type="pct"/>
          </w:tcPr>
          <w:p w14:paraId="76E4E118" w14:textId="4C12E279" w:rsidR="00A461BF" w:rsidRDefault="00A461BF" w:rsidP="00A461BF">
            <w:r w:rsidRPr="006E427B">
              <w:t>Authors summari</w:t>
            </w:r>
            <w:r>
              <w:t>s</w:t>
            </w:r>
            <w:r w:rsidRPr="006E427B">
              <w:t>e the data related to PARPi in BRCA-associated pancreatic cancer that was presented at the annual meeting of ASCO 2014.</w:t>
            </w:r>
          </w:p>
        </w:tc>
        <w:tc>
          <w:tcPr>
            <w:tcW w:w="2257" w:type="pct"/>
          </w:tcPr>
          <w:p w14:paraId="309F793A" w14:textId="40A941B1" w:rsidR="00A461BF" w:rsidRDefault="008D211B" w:rsidP="00A461BF">
            <w:hyperlink r:id="rId64" w:history="1">
              <w:r w:rsidR="00A461BF">
                <w:rPr>
                  <w:rStyle w:val="Hyperlink"/>
                </w:rPr>
                <w:t>http://www.serena.unina.it/index.php/jop/article/view/2690/2735</w:t>
              </w:r>
            </w:hyperlink>
          </w:p>
          <w:p w14:paraId="146A65A2" w14:textId="057D3D25" w:rsidR="00A461BF" w:rsidRPr="006E427B" w:rsidRDefault="00A461BF" w:rsidP="00A461BF">
            <w:r w:rsidRPr="006E427B">
              <w:t>PARP-inhibitors in BRCA-associated pancreatic cancer.</w:t>
            </w:r>
          </w:p>
          <w:p w14:paraId="5C5C8018" w14:textId="4CCCDDA2" w:rsidR="00A461BF" w:rsidRDefault="00A461BF" w:rsidP="00A461BF">
            <w:proofErr w:type="spellStart"/>
            <w:r>
              <w:t>Bhalla</w:t>
            </w:r>
            <w:proofErr w:type="spellEnd"/>
            <w:r>
              <w:t xml:space="preserve"> A, </w:t>
            </w:r>
            <w:proofErr w:type="spellStart"/>
            <w:r>
              <w:t>Saif</w:t>
            </w:r>
            <w:proofErr w:type="spellEnd"/>
            <w:r>
              <w:t xml:space="preserve"> MW.</w:t>
            </w:r>
          </w:p>
          <w:p w14:paraId="459C4669" w14:textId="6F151DFB" w:rsidR="00A461BF" w:rsidRDefault="00A461BF" w:rsidP="00A461BF">
            <w:r>
              <w:t>J Pancreas 2014; 15(4):340-343.</w:t>
            </w:r>
          </w:p>
        </w:tc>
        <w:tc>
          <w:tcPr>
            <w:tcW w:w="550" w:type="pct"/>
          </w:tcPr>
          <w:p w14:paraId="17460B2E" w14:textId="71E159C8" w:rsidR="00A461BF" w:rsidRDefault="00A461BF" w:rsidP="00A461BF">
            <w:r>
              <w:t>2014</w:t>
            </w:r>
          </w:p>
        </w:tc>
      </w:tr>
      <w:tr w:rsidR="00A461BF" w14:paraId="4C40CAB5" w14:textId="77777777" w:rsidTr="004D62CE">
        <w:trPr>
          <w:cantSplit/>
        </w:trPr>
        <w:tc>
          <w:tcPr>
            <w:tcW w:w="150" w:type="pct"/>
          </w:tcPr>
          <w:p w14:paraId="76485567" w14:textId="222FA3CE" w:rsidR="00A461BF" w:rsidRDefault="00A461BF" w:rsidP="00A461BF">
            <w:pPr>
              <w:rPr>
                <w:szCs w:val="20"/>
              </w:rPr>
            </w:pPr>
            <w:r>
              <w:rPr>
                <w:szCs w:val="20"/>
              </w:rPr>
              <w:t>16</w:t>
            </w:r>
          </w:p>
        </w:tc>
        <w:tc>
          <w:tcPr>
            <w:tcW w:w="479" w:type="pct"/>
          </w:tcPr>
          <w:p w14:paraId="50015484" w14:textId="537B2552" w:rsidR="00A461BF" w:rsidRDefault="00A461BF" w:rsidP="00A461BF">
            <w:r>
              <w:t>Diagnostic marker study</w:t>
            </w:r>
          </w:p>
        </w:tc>
        <w:tc>
          <w:tcPr>
            <w:tcW w:w="741" w:type="pct"/>
          </w:tcPr>
          <w:p w14:paraId="5E142EC8" w14:textId="543CCFDC" w:rsidR="00A461BF" w:rsidRPr="00CA670A" w:rsidRDefault="00A461BF" w:rsidP="00A461BF">
            <w:r w:rsidRPr="006E427B">
              <w:t>Contribution of known and novel BRCA-mediated DNA repair pathway genes to pancreatic cancer susceptibility.</w:t>
            </w:r>
          </w:p>
        </w:tc>
        <w:tc>
          <w:tcPr>
            <w:tcW w:w="823" w:type="pct"/>
          </w:tcPr>
          <w:p w14:paraId="47539EE6" w14:textId="7E1DB1D9" w:rsidR="00A461BF" w:rsidRDefault="00A461BF" w:rsidP="00A461BF">
            <w:r>
              <w:t xml:space="preserve">Evaluation of </w:t>
            </w:r>
            <w:r w:rsidRPr="006E427B">
              <w:t>BRCA-pathway mutation</w:t>
            </w:r>
            <w:r>
              <w:t xml:space="preserve"> </w:t>
            </w:r>
            <w:r w:rsidRPr="006E427B">
              <w:t>contribut</w:t>
            </w:r>
            <w:r>
              <w:t xml:space="preserve">ion </w:t>
            </w:r>
            <w:r w:rsidRPr="006E427B">
              <w:t>to PC susceptibility in French-Canadians</w:t>
            </w:r>
          </w:p>
        </w:tc>
        <w:tc>
          <w:tcPr>
            <w:tcW w:w="2257" w:type="pct"/>
          </w:tcPr>
          <w:p w14:paraId="2340EBBA" w14:textId="6527010F" w:rsidR="00A461BF" w:rsidRDefault="00A461BF" w:rsidP="00A461BF">
            <w:r>
              <w:t xml:space="preserve">Smith A, Grant R, Hall A, </w:t>
            </w:r>
            <w:proofErr w:type="spellStart"/>
            <w:r>
              <w:t>Alirezaie</w:t>
            </w:r>
            <w:proofErr w:type="spellEnd"/>
            <w:r>
              <w:t xml:space="preserve"> N, </w:t>
            </w:r>
            <w:proofErr w:type="spellStart"/>
            <w:r>
              <w:t>Holter</w:t>
            </w:r>
            <w:proofErr w:type="spellEnd"/>
            <w:r>
              <w:t xml:space="preserve"> S, Whelan T.</w:t>
            </w:r>
          </w:p>
          <w:p w14:paraId="6E03BB23" w14:textId="476D6C30" w:rsidR="00A461BF" w:rsidRDefault="00A461BF" w:rsidP="00A461BF">
            <w:r w:rsidRPr="006E427B">
              <w:t>Cancer Research.</w:t>
            </w:r>
            <w:r>
              <w:t xml:space="preserve"> </w:t>
            </w:r>
            <w:r w:rsidRPr="006E427B">
              <w:t>Conference: AACR Special Conference: Cancer Susceptibility and Cancer Susceptibility Syndromes 2014. United States. 74 (Supplement 23)</w:t>
            </w:r>
            <w:r>
              <w:t>.</w:t>
            </w:r>
          </w:p>
        </w:tc>
        <w:tc>
          <w:tcPr>
            <w:tcW w:w="550" w:type="pct"/>
          </w:tcPr>
          <w:p w14:paraId="202F28E6" w14:textId="61EEED8F" w:rsidR="00A461BF" w:rsidRDefault="00A461BF" w:rsidP="00A461BF">
            <w:r>
              <w:t>2014</w:t>
            </w:r>
          </w:p>
        </w:tc>
      </w:tr>
      <w:tr w:rsidR="00A461BF" w14:paraId="07F4E90F" w14:textId="77777777" w:rsidTr="004D62CE">
        <w:trPr>
          <w:cantSplit/>
        </w:trPr>
        <w:tc>
          <w:tcPr>
            <w:tcW w:w="150" w:type="pct"/>
          </w:tcPr>
          <w:p w14:paraId="0C78A049" w14:textId="15C640A7" w:rsidR="00A461BF" w:rsidRDefault="00A461BF" w:rsidP="00A461BF">
            <w:pPr>
              <w:rPr>
                <w:szCs w:val="20"/>
              </w:rPr>
            </w:pPr>
            <w:r>
              <w:rPr>
                <w:szCs w:val="20"/>
              </w:rPr>
              <w:t>17</w:t>
            </w:r>
          </w:p>
        </w:tc>
        <w:tc>
          <w:tcPr>
            <w:tcW w:w="479" w:type="pct"/>
          </w:tcPr>
          <w:p w14:paraId="0AA9C739" w14:textId="2397BC15" w:rsidR="00A461BF" w:rsidRDefault="00A461BF" w:rsidP="00A461BF">
            <w:r>
              <w:t>Diagnostic marker study</w:t>
            </w:r>
          </w:p>
        </w:tc>
        <w:tc>
          <w:tcPr>
            <w:tcW w:w="741" w:type="pct"/>
          </w:tcPr>
          <w:p w14:paraId="49420084" w14:textId="77777777" w:rsidR="00A461BF" w:rsidRPr="00C37F16" w:rsidRDefault="00A461BF" w:rsidP="00A461BF">
            <w:r w:rsidRPr="00C37F16">
              <w:t>Clinical outcomes in pancreatic adenocarcinoma (PAC) in breast cancer (BC) survivors.</w:t>
            </w:r>
          </w:p>
          <w:p w14:paraId="2E4C79C0" w14:textId="77777777" w:rsidR="00A461BF" w:rsidRPr="00CA670A" w:rsidRDefault="00A461BF" w:rsidP="00A461BF"/>
        </w:tc>
        <w:tc>
          <w:tcPr>
            <w:tcW w:w="823" w:type="pct"/>
          </w:tcPr>
          <w:p w14:paraId="46E77C63" w14:textId="7F6837DD" w:rsidR="00A461BF" w:rsidRDefault="00A461BF" w:rsidP="00A461BF">
            <w:r>
              <w:t>Evaluation of outcomes in 30 patients with breast cancer and PAC</w:t>
            </w:r>
          </w:p>
        </w:tc>
        <w:tc>
          <w:tcPr>
            <w:tcW w:w="2257" w:type="pct"/>
          </w:tcPr>
          <w:p w14:paraId="6424FCBD" w14:textId="1BB9700D" w:rsidR="00A461BF" w:rsidRDefault="008D211B" w:rsidP="00A461BF">
            <w:hyperlink r:id="rId65" w:history="1">
              <w:r w:rsidR="00A461BF">
                <w:rPr>
                  <w:rStyle w:val="Hyperlink"/>
                </w:rPr>
                <w:t>https://ascopubs.org/doi/abs/10.1200/jco.2010.28.15_suppl.4152</w:t>
              </w:r>
            </w:hyperlink>
          </w:p>
          <w:p w14:paraId="5FAA2DF6" w14:textId="117A3146" w:rsidR="00A461BF" w:rsidRDefault="00A461BF" w:rsidP="00A461BF">
            <w:proofErr w:type="spellStart"/>
            <w:r>
              <w:t>Lowery</w:t>
            </w:r>
            <w:proofErr w:type="spellEnd"/>
            <w:r>
              <w:t xml:space="preserve"> MA. Stadler ZK, Ludwig Miller E, </w:t>
            </w:r>
            <w:proofErr w:type="spellStart"/>
            <w:r>
              <w:t>DÁdamo</w:t>
            </w:r>
            <w:proofErr w:type="spellEnd"/>
            <w:r>
              <w:t xml:space="preserve"> DR, </w:t>
            </w:r>
            <w:proofErr w:type="spellStart"/>
            <w:r>
              <w:t>Salo-Mullem</w:t>
            </w:r>
            <w:proofErr w:type="spellEnd"/>
            <w:r>
              <w:t xml:space="preserve"> E, Allen P et al..</w:t>
            </w:r>
          </w:p>
          <w:p w14:paraId="7A00C875" w14:textId="320407C0" w:rsidR="00A461BF" w:rsidRPr="003835CC" w:rsidRDefault="00A461BF" w:rsidP="00A461BF">
            <w:r w:rsidRPr="003835CC">
              <w:t>J Clin Oncol 201</w:t>
            </w:r>
            <w:r>
              <w:t>0</w:t>
            </w:r>
            <w:r w:rsidRPr="003835CC">
              <w:t xml:space="preserve">; </w:t>
            </w:r>
            <w:r>
              <w:t>28</w:t>
            </w:r>
            <w:r w:rsidRPr="003835CC">
              <w:t>(</w:t>
            </w:r>
            <w:r>
              <w:t>15</w:t>
            </w:r>
            <w:r w:rsidRPr="003835CC">
              <w:t>) Suppl 1</w:t>
            </w:r>
          </w:p>
          <w:p w14:paraId="399BC04D" w14:textId="62FAC223" w:rsidR="00A461BF" w:rsidRDefault="00A461BF" w:rsidP="00A461BF">
            <w:r w:rsidRPr="003835CC">
              <w:t xml:space="preserve">Abstract </w:t>
            </w:r>
            <w:r>
              <w:t>4152</w:t>
            </w:r>
          </w:p>
        </w:tc>
        <w:tc>
          <w:tcPr>
            <w:tcW w:w="550" w:type="pct"/>
          </w:tcPr>
          <w:p w14:paraId="272D17C0" w14:textId="5E011DF0" w:rsidR="00A461BF" w:rsidRDefault="00A461BF" w:rsidP="00A461BF">
            <w:r>
              <w:t>2010</w:t>
            </w:r>
          </w:p>
        </w:tc>
      </w:tr>
      <w:tr w:rsidR="00A461BF" w14:paraId="6F7203F9" w14:textId="77777777" w:rsidTr="004D62CE">
        <w:trPr>
          <w:cantSplit/>
        </w:trPr>
        <w:tc>
          <w:tcPr>
            <w:tcW w:w="150" w:type="pct"/>
          </w:tcPr>
          <w:p w14:paraId="66CFAEAD" w14:textId="4A7E6A41" w:rsidR="00A461BF" w:rsidRDefault="00A461BF" w:rsidP="00A461BF">
            <w:pPr>
              <w:rPr>
                <w:szCs w:val="20"/>
              </w:rPr>
            </w:pPr>
            <w:r>
              <w:rPr>
                <w:szCs w:val="20"/>
              </w:rPr>
              <w:t>18</w:t>
            </w:r>
          </w:p>
        </w:tc>
        <w:tc>
          <w:tcPr>
            <w:tcW w:w="479" w:type="pct"/>
          </w:tcPr>
          <w:p w14:paraId="486D08E7" w14:textId="701F57A4" w:rsidR="00A461BF" w:rsidRDefault="00A461BF" w:rsidP="00A461BF">
            <w:r>
              <w:t>Diagnostic marker study</w:t>
            </w:r>
          </w:p>
        </w:tc>
        <w:tc>
          <w:tcPr>
            <w:tcW w:w="741" w:type="pct"/>
          </w:tcPr>
          <w:p w14:paraId="0D1BC807" w14:textId="77777777" w:rsidR="00A461BF" w:rsidRPr="00C37F16" w:rsidRDefault="00A461BF" w:rsidP="00A461BF">
            <w:r w:rsidRPr="00C37F16">
              <w:t>BRCA2 mutations as a universal risk factor for pancreatic cancer has a limited role in Korean ethnic group.</w:t>
            </w:r>
          </w:p>
          <w:p w14:paraId="19FB5F89" w14:textId="77777777" w:rsidR="00A461BF" w:rsidRPr="00CA670A" w:rsidRDefault="00A461BF" w:rsidP="00A461BF"/>
        </w:tc>
        <w:tc>
          <w:tcPr>
            <w:tcW w:w="823" w:type="pct"/>
          </w:tcPr>
          <w:p w14:paraId="5B8CC789" w14:textId="75982004" w:rsidR="00A461BF" w:rsidRDefault="00A461BF" w:rsidP="00A461BF">
            <w:r>
              <w:t>Evaluation of link between BRCA2 mutation as risk factor in Korean population</w:t>
            </w:r>
          </w:p>
        </w:tc>
        <w:tc>
          <w:tcPr>
            <w:tcW w:w="2257" w:type="pct"/>
          </w:tcPr>
          <w:p w14:paraId="3027F902" w14:textId="77777777" w:rsidR="00A461BF" w:rsidRDefault="008D211B" w:rsidP="00A461BF">
            <w:hyperlink r:id="rId66" w:history="1">
              <w:r w:rsidR="00A461BF">
                <w:rPr>
                  <w:rStyle w:val="Hyperlink"/>
                </w:rPr>
                <w:t>https://www.ncbi.nlm.nih.gov/pubmed/18437078</w:t>
              </w:r>
            </w:hyperlink>
          </w:p>
          <w:p w14:paraId="78696203" w14:textId="12BDFE03" w:rsidR="00A461BF" w:rsidRDefault="008D211B" w:rsidP="00A461BF">
            <w:hyperlink r:id="rId67" w:history="1">
              <w:r w:rsidR="00A461BF" w:rsidRPr="00C37F16">
                <w:t>Cho JH</w:t>
              </w:r>
            </w:hyperlink>
            <w:r w:rsidR="00A461BF" w:rsidRPr="00C37F16">
              <w:t>, </w:t>
            </w:r>
            <w:hyperlink r:id="rId68" w:history="1">
              <w:r w:rsidR="00A461BF" w:rsidRPr="00C37F16">
                <w:t>Bang S</w:t>
              </w:r>
            </w:hyperlink>
            <w:r w:rsidR="00A461BF" w:rsidRPr="00C37F16">
              <w:t>, </w:t>
            </w:r>
            <w:hyperlink r:id="rId69" w:history="1">
              <w:r w:rsidR="00A461BF" w:rsidRPr="00C37F16">
                <w:t>Park SW</w:t>
              </w:r>
            </w:hyperlink>
            <w:r w:rsidR="00A461BF" w:rsidRPr="00C37F16">
              <w:t>, </w:t>
            </w:r>
            <w:hyperlink r:id="rId70" w:history="1">
              <w:r w:rsidR="00A461BF" w:rsidRPr="00C37F16">
                <w:t>Chung JB</w:t>
              </w:r>
            </w:hyperlink>
            <w:r w:rsidR="00A461BF" w:rsidRPr="00C37F16">
              <w:t>, </w:t>
            </w:r>
            <w:hyperlink r:id="rId71" w:history="1">
              <w:r w:rsidR="00A461BF" w:rsidRPr="00C37F16">
                <w:t>Song SY</w:t>
              </w:r>
            </w:hyperlink>
            <w:r w:rsidR="00A461BF">
              <w:rPr>
                <w:rFonts w:ascii="Arial" w:hAnsi="Arial" w:cs="Arial"/>
                <w:color w:val="000000"/>
                <w:sz w:val="18"/>
                <w:szCs w:val="18"/>
                <w:shd w:val="clear" w:color="auto" w:fill="FFFFFF"/>
              </w:rPr>
              <w:t>.</w:t>
            </w:r>
          </w:p>
          <w:p w14:paraId="42CFB886" w14:textId="0E48777F" w:rsidR="00A461BF" w:rsidRDefault="00A461BF" w:rsidP="00A461BF">
            <w:r w:rsidRPr="00C37F16">
              <w:t>Pancreas</w:t>
            </w:r>
            <w:r>
              <w:t xml:space="preserve"> 2008;</w:t>
            </w:r>
            <w:r w:rsidRPr="00C37F16">
              <w:t xml:space="preserve"> 36 (4) (pp 337-340)</w:t>
            </w:r>
            <w:r>
              <w:t>.</w:t>
            </w:r>
          </w:p>
        </w:tc>
        <w:tc>
          <w:tcPr>
            <w:tcW w:w="550" w:type="pct"/>
          </w:tcPr>
          <w:p w14:paraId="4C2E2D44" w14:textId="77777777" w:rsidR="00A461BF" w:rsidRDefault="00A461BF" w:rsidP="00A461BF">
            <w:r>
              <w:t>2008</w:t>
            </w:r>
          </w:p>
          <w:p w14:paraId="35E6B9C8" w14:textId="0E78D273" w:rsidR="00A461BF" w:rsidRDefault="00A461BF" w:rsidP="00A461BF"/>
        </w:tc>
      </w:tr>
    </w:tbl>
    <w:p w14:paraId="5742501D"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608442D"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262C2B72"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53EE3389" w14:textId="77777777" w:rsidR="0067266E" w:rsidRDefault="004C49EF" w:rsidP="002F1F52">
      <w:pPr>
        <w:pStyle w:val="Heading2"/>
        <w:rPr>
          <w:i/>
        </w:rPr>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48C48276" w14:textId="77777777" w:rsidR="0067266E" w:rsidRDefault="0067266E" w:rsidP="0067266E">
      <w:pPr>
        <w:pStyle w:val="Heading2"/>
        <w:numPr>
          <w:ilvl w:val="0"/>
          <w:numId w:val="0"/>
        </w:numPr>
        <w:ind w:left="360"/>
      </w:pPr>
    </w:p>
    <w:p w14:paraId="230F1566" w14:textId="59BD286B" w:rsidR="002F1F52" w:rsidRPr="0067266E" w:rsidRDefault="002F1F52" w:rsidP="0067266E">
      <w:pPr>
        <w:pStyle w:val="Heading2"/>
        <w:numPr>
          <w:ilvl w:val="0"/>
          <w:numId w:val="0"/>
        </w:numPr>
        <w:ind w:left="360"/>
        <w:rPr>
          <w:b w:val="0"/>
          <w:i/>
        </w:rPr>
      </w:pPr>
      <w:r w:rsidRPr="0067266E">
        <w:rPr>
          <w:b w:val="0"/>
        </w:rPr>
        <w:t>There are no relevant studies</w:t>
      </w:r>
      <w:r w:rsidR="00FB111F" w:rsidRPr="0067266E">
        <w:rPr>
          <w:b w:val="0"/>
        </w:rPr>
        <w:t xml:space="preserve"> to be published in near future.</w:t>
      </w:r>
    </w:p>
    <w:p w14:paraId="742B2C9D" w14:textId="77777777" w:rsidR="002F1F52" w:rsidRPr="002F1F52" w:rsidRDefault="002F1F52" w:rsidP="002F1F52"/>
    <w:p w14:paraId="72D225E0"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030403A1"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4C0BF7B4"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022A816C" w14:textId="519A7B97" w:rsidR="00A727B6" w:rsidRPr="00A727B6" w:rsidRDefault="0067266E" w:rsidP="00A727B6">
      <w:pPr>
        <w:ind w:left="426"/>
      </w:pPr>
      <w:r w:rsidRPr="0067266E">
        <w:rPr>
          <w:b/>
        </w:rPr>
        <w:t>REDACTED</w:t>
      </w:r>
      <w:r w:rsidRPr="00D82FAC">
        <w:t xml:space="preserve"> </w:t>
      </w:r>
    </w:p>
    <w:p w14:paraId="33B3CC39"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13AE8532" w14:textId="264DA925" w:rsidR="00EA173C" w:rsidRDefault="00B35D8C" w:rsidP="00A727B6">
      <w:pPr>
        <w:ind w:left="426"/>
      </w:pPr>
      <w:r>
        <w:t>N</w:t>
      </w:r>
      <w:r w:rsidR="002C5ADF">
        <w:t>ot Applicable</w:t>
      </w:r>
    </w:p>
    <w:p w14:paraId="29389B85"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7BB2F44F" w14:textId="754A16F0" w:rsidR="00E82F54" w:rsidRDefault="0067266E" w:rsidP="0067266E">
      <w:pPr>
        <w:ind w:left="426"/>
        <w:rPr>
          <w:szCs w:val="20"/>
        </w:rPr>
      </w:pPr>
      <w:r w:rsidRPr="0067266E">
        <w:rPr>
          <w:b/>
        </w:rPr>
        <w:t>REDACTED</w:t>
      </w:r>
      <w:r w:rsidR="00B35D8C">
        <w:t>.</w:t>
      </w:r>
    </w:p>
    <w:p w14:paraId="1B538758"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E7BEC32" w14:textId="3186053F" w:rsidR="00EE6450" w:rsidRDefault="00EA63EE" w:rsidP="00EF0913">
      <w:pPr>
        <w:ind w:left="360"/>
      </w:pPr>
      <w:r>
        <w:t xml:space="preserve">As discussed in </w:t>
      </w:r>
      <w:r w:rsidR="004267CB">
        <w:t>Question</w:t>
      </w:r>
      <w:r>
        <w:t xml:space="preserve"> 13 (a) t</w:t>
      </w:r>
      <w:r w:rsidR="00B35D8C">
        <w:t>here is no single sponsor for germline BRCA mutation testing in Australia.</w:t>
      </w:r>
      <w:r w:rsidR="00EF0913">
        <w:t xml:space="preserve"> </w:t>
      </w:r>
      <w:r w:rsidR="00EF0913" w:rsidRPr="00A77332">
        <w:t>At present, there are several different Australian molecular pathology service providers that offer BRCA mutation testing on a commercial basis</w:t>
      </w:r>
      <w:r w:rsidR="00EF0913">
        <w:t xml:space="preserve">; please refer to </w:t>
      </w:r>
      <w:r w:rsidR="00EF0913">
        <w:fldChar w:fldCharType="begin"/>
      </w:r>
      <w:r w:rsidR="00EF0913">
        <w:instrText xml:space="preserve"> REF _Ref17924221 \h </w:instrText>
      </w:r>
      <w:r w:rsidR="00EF0913">
        <w:fldChar w:fldCharType="separate"/>
      </w:r>
      <w:r w:rsidR="008D211B" w:rsidRPr="007D02F3">
        <w:rPr>
          <w:rFonts w:cstheme="minorHAnsi"/>
        </w:rPr>
        <w:t xml:space="preserve">Table </w:t>
      </w:r>
      <w:r w:rsidR="008D211B">
        <w:rPr>
          <w:rFonts w:cstheme="minorHAnsi"/>
          <w:noProof/>
        </w:rPr>
        <w:t>1</w:t>
      </w:r>
      <w:r w:rsidR="00EF0913">
        <w:fldChar w:fldCharType="end"/>
      </w:r>
      <w:r w:rsidR="00EF0913">
        <w:t>.</w:t>
      </w:r>
    </w:p>
    <w:p w14:paraId="232120F8" w14:textId="77777777" w:rsidR="00E82F54" w:rsidRDefault="00E82F54" w:rsidP="00530204">
      <w:pPr>
        <w:pStyle w:val="Heading2"/>
      </w:pPr>
      <w:r w:rsidRPr="00154B00">
        <w:t>Nominate two experts who could be approached about the proposed medical service and the current clinical management of the service(s):</w:t>
      </w:r>
    </w:p>
    <w:p w14:paraId="48FA85A9" w14:textId="77777777" w:rsidR="00A96329" w:rsidRPr="00A96329" w:rsidRDefault="00A96329" w:rsidP="00A96329"/>
    <w:p w14:paraId="69C87610" w14:textId="335ADE6D" w:rsidR="00992E6A" w:rsidRPr="00987ABE" w:rsidRDefault="00992E6A" w:rsidP="00992E6A">
      <w:pPr>
        <w:ind w:left="426"/>
        <w:rPr>
          <w:szCs w:val="20"/>
        </w:rPr>
      </w:pPr>
      <w:r>
        <w:rPr>
          <w:szCs w:val="20"/>
        </w:rPr>
        <w:t xml:space="preserve">Name of expert 1: </w:t>
      </w:r>
      <w:r w:rsidR="0067266E" w:rsidRPr="0067266E">
        <w:rPr>
          <w:b/>
        </w:rPr>
        <w:t>REDACTED</w:t>
      </w:r>
    </w:p>
    <w:p w14:paraId="6A36A527" w14:textId="77777777" w:rsidR="0067266E" w:rsidRDefault="00992E6A" w:rsidP="00992E6A">
      <w:pPr>
        <w:ind w:left="426"/>
        <w:rPr>
          <w:szCs w:val="20"/>
        </w:rPr>
      </w:pPr>
      <w:r>
        <w:rPr>
          <w:szCs w:val="20"/>
        </w:rPr>
        <w:t xml:space="preserve">Telephone number(s): </w:t>
      </w:r>
      <w:r w:rsidR="0067266E" w:rsidRPr="0067266E">
        <w:rPr>
          <w:b/>
        </w:rPr>
        <w:t>REDACTED</w:t>
      </w:r>
      <w:r w:rsidR="0067266E">
        <w:rPr>
          <w:szCs w:val="20"/>
        </w:rPr>
        <w:t xml:space="preserve"> </w:t>
      </w:r>
    </w:p>
    <w:p w14:paraId="7E2F387F" w14:textId="77777777" w:rsidR="0067266E" w:rsidRDefault="00992E6A" w:rsidP="00992E6A">
      <w:pPr>
        <w:ind w:left="426"/>
        <w:rPr>
          <w:szCs w:val="20"/>
        </w:rPr>
      </w:pPr>
      <w:r>
        <w:rPr>
          <w:szCs w:val="20"/>
        </w:rPr>
        <w:t xml:space="preserve">Email address: </w:t>
      </w:r>
      <w:r w:rsidR="0067266E" w:rsidRPr="0067266E">
        <w:rPr>
          <w:b/>
        </w:rPr>
        <w:t>REDACTED</w:t>
      </w:r>
      <w:r w:rsidR="0067266E">
        <w:rPr>
          <w:szCs w:val="20"/>
        </w:rPr>
        <w:t xml:space="preserve"> </w:t>
      </w:r>
    </w:p>
    <w:p w14:paraId="57D9A710" w14:textId="0D95401C" w:rsidR="00987ABE" w:rsidRDefault="00992E6A" w:rsidP="00987ABE">
      <w:pPr>
        <w:ind w:left="426"/>
        <w:rPr>
          <w:b/>
        </w:rPr>
      </w:pPr>
      <w:r>
        <w:rPr>
          <w:szCs w:val="20"/>
        </w:rPr>
        <w:t xml:space="preserve">Justification of expertise: </w:t>
      </w:r>
      <w:r w:rsidR="0067266E" w:rsidRPr="0067266E">
        <w:rPr>
          <w:b/>
        </w:rPr>
        <w:t>REDACTED</w:t>
      </w:r>
    </w:p>
    <w:p w14:paraId="31C91D8E" w14:textId="77777777" w:rsidR="0067266E" w:rsidRPr="00987ABE" w:rsidRDefault="0067266E" w:rsidP="00987ABE">
      <w:pPr>
        <w:ind w:left="426"/>
        <w:rPr>
          <w:szCs w:val="20"/>
        </w:rPr>
      </w:pPr>
    </w:p>
    <w:p w14:paraId="53EAFC55" w14:textId="77777777" w:rsidR="00987ABE" w:rsidRPr="00D82FAC" w:rsidRDefault="00987ABE" w:rsidP="00987ABE">
      <w:pPr>
        <w:ind w:left="426"/>
        <w:rPr>
          <w:szCs w:val="20"/>
        </w:rPr>
      </w:pPr>
      <w:r w:rsidRPr="00D82FAC">
        <w:rPr>
          <w:szCs w:val="20"/>
        </w:rPr>
        <w:t xml:space="preserve">Name of expert 2: </w:t>
      </w:r>
      <w:r w:rsidRPr="00D82FAC">
        <w:fldChar w:fldCharType="begin">
          <w:ffData>
            <w:name w:val=""/>
            <w:enabled/>
            <w:calcOnExit w:val="0"/>
            <w:textInput>
              <w:default w:val="Insert name here"/>
            </w:textInput>
          </w:ffData>
        </w:fldChar>
      </w:r>
      <w:r w:rsidRPr="00D82FAC">
        <w:instrText xml:space="preserve"> FORMTEXT </w:instrText>
      </w:r>
      <w:r w:rsidRPr="00D82FAC">
        <w:fldChar w:fldCharType="separate"/>
      </w:r>
      <w:r w:rsidRPr="00D82FAC">
        <w:rPr>
          <w:noProof/>
        </w:rPr>
        <w:t>Insert name here</w:t>
      </w:r>
      <w:r w:rsidRPr="00D82FAC">
        <w:fldChar w:fldCharType="end"/>
      </w:r>
    </w:p>
    <w:p w14:paraId="78DF3BD1" w14:textId="77777777" w:rsidR="00987ABE" w:rsidRPr="00D82FAC" w:rsidRDefault="00987ABE" w:rsidP="00987ABE">
      <w:pPr>
        <w:ind w:left="426"/>
        <w:rPr>
          <w:szCs w:val="20"/>
        </w:rPr>
      </w:pPr>
      <w:r w:rsidRPr="00D82FAC">
        <w:rPr>
          <w:szCs w:val="20"/>
        </w:rPr>
        <w:t xml:space="preserve">Telephone number(s): </w:t>
      </w:r>
      <w:r w:rsidRPr="00D82FAC">
        <w:fldChar w:fldCharType="begin">
          <w:ffData>
            <w:name w:val=""/>
            <w:enabled/>
            <w:calcOnExit w:val="0"/>
            <w:textInput>
              <w:default w:val="Insert phone number/s here"/>
            </w:textInput>
          </w:ffData>
        </w:fldChar>
      </w:r>
      <w:r w:rsidRPr="00D82FAC">
        <w:instrText xml:space="preserve"> FORMTEXT </w:instrText>
      </w:r>
      <w:r w:rsidRPr="00D82FAC">
        <w:fldChar w:fldCharType="separate"/>
      </w:r>
      <w:r w:rsidRPr="00D82FAC">
        <w:rPr>
          <w:noProof/>
        </w:rPr>
        <w:t>Insert phone number/s here</w:t>
      </w:r>
      <w:r w:rsidRPr="00D82FAC">
        <w:fldChar w:fldCharType="end"/>
      </w:r>
    </w:p>
    <w:p w14:paraId="2706B331" w14:textId="77777777" w:rsidR="00987ABE" w:rsidRPr="00D82FAC" w:rsidRDefault="00987ABE" w:rsidP="00987ABE">
      <w:pPr>
        <w:ind w:left="426"/>
        <w:rPr>
          <w:szCs w:val="20"/>
        </w:rPr>
      </w:pPr>
      <w:r w:rsidRPr="00D82FAC">
        <w:rPr>
          <w:szCs w:val="20"/>
        </w:rPr>
        <w:t xml:space="preserve">Email address: </w:t>
      </w:r>
      <w:r w:rsidRPr="00D82FAC">
        <w:fldChar w:fldCharType="begin">
          <w:ffData>
            <w:name w:val=""/>
            <w:enabled/>
            <w:calcOnExit w:val="0"/>
            <w:textInput>
              <w:default w:val="Insert email address here"/>
            </w:textInput>
          </w:ffData>
        </w:fldChar>
      </w:r>
      <w:r w:rsidRPr="00D82FAC">
        <w:instrText xml:space="preserve"> FORMTEXT </w:instrText>
      </w:r>
      <w:r w:rsidRPr="00D82FAC">
        <w:fldChar w:fldCharType="separate"/>
      </w:r>
      <w:r w:rsidRPr="00D82FAC">
        <w:rPr>
          <w:noProof/>
        </w:rPr>
        <w:t>Insert email address here</w:t>
      </w:r>
      <w:r w:rsidRPr="00D82FAC">
        <w:fldChar w:fldCharType="end"/>
      </w:r>
    </w:p>
    <w:p w14:paraId="471538CA" w14:textId="77777777" w:rsidR="00E82F54" w:rsidRPr="00154B00" w:rsidRDefault="00987ABE" w:rsidP="00987ABE">
      <w:pPr>
        <w:ind w:left="426"/>
        <w:rPr>
          <w:szCs w:val="20"/>
        </w:rPr>
      </w:pPr>
      <w:r w:rsidRPr="00D82FAC">
        <w:rPr>
          <w:szCs w:val="20"/>
        </w:rPr>
        <w:t xml:space="preserve">Justification of expertise: </w:t>
      </w:r>
      <w:r w:rsidRPr="00D82FAC">
        <w:fldChar w:fldCharType="begin">
          <w:ffData>
            <w:name w:val=""/>
            <w:enabled/>
            <w:calcOnExit w:val="0"/>
            <w:textInput>
              <w:default w:val="Insert a justification of expertise here"/>
            </w:textInput>
          </w:ffData>
        </w:fldChar>
      </w:r>
      <w:r w:rsidRPr="00D82FAC">
        <w:instrText xml:space="preserve"> FORMTEXT </w:instrText>
      </w:r>
      <w:r w:rsidRPr="00D82FAC">
        <w:fldChar w:fldCharType="separate"/>
      </w:r>
      <w:r w:rsidRPr="00D82FAC">
        <w:rPr>
          <w:noProof/>
        </w:rPr>
        <w:t>Insert a justification of expertise here</w:t>
      </w:r>
      <w:r w:rsidRPr="00D82FAC">
        <w:fldChar w:fldCharType="end"/>
      </w:r>
    </w:p>
    <w:p w14:paraId="14307CFF" w14:textId="77777777" w:rsidR="00987ABE" w:rsidRDefault="00987ABE" w:rsidP="00E82F54">
      <w:pPr>
        <w:ind w:left="426"/>
        <w:rPr>
          <w:i/>
          <w:szCs w:val="20"/>
        </w:rPr>
      </w:pPr>
    </w:p>
    <w:p w14:paraId="2337ED6C" w14:textId="77777777" w:rsidR="00E82F54" w:rsidRPr="00154B00" w:rsidRDefault="00E82F54" w:rsidP="00E82F54">
      <w:pPr>
        <w:ind w:left="426"/>
        <w:rPr>
          <w:i/>
          <w:szCs w:val="20"/>
        </w:rPr>
      </w:pPr>
      <w:r w:rsidRPr="00154B00">
        <w:rPr>
          <w:i/>
          <w:szCs w:val="20"/>
        </w:rPr>
        <w:lastRenderedPageBreak/>
        <w:t>Please note that the Department may also consult with other referrers, proceduralists and disease specialists to obtain their insight.</w:t>
      </w:r>
    </w:p>
    <w:p w14:paraId="339C1736" w14:textId="77777777" w:rsidR="003433D1" w:rsidRDefault="003433D1">
      <w:pPr>
        <w:rPr>
          <w:b/>
          <w:sz w:val="32"/>
          <w:szCs w:val="32"/>
        </w:rPr>
      </w:pPr>
      <w:r>
        <w:rPr>
          <w:b/>
          <w:sz w:val="32"/>
          <w:szCs w:val="32"/>
        </w:rPr>
        <w:br w:type="page"/>
      </w:r>
    </w:p>
    <w:p w14:paraId="06333755"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75DE5AA5" w14:textId="77777777" w:rsidR="0021185D" w:rsidRPr="005C3AE7" w:rsidRDefault="005C3AE7" w:rsidP="005C3AE7">
      <w:pPr>
        <w:pStyle w:val="Subtitle"/>
      </w:pPr>
      <w:r w:rsidRPr="005C3AE7">
        <w:t xml:space="preserve">PART 6a – </w:t>
      </w:r>
      <w:r w:rsidR="0021185D" w:rsidRPr="005C3AE7">
        <w:t>INFORMATION ABOUT THE PROPOSED POPULATION</w:t>
      </w:r>
    </w:p>
    <w:p w14:paraId="147BDAA6" w14:textId="77777777" w:rsidR="000D3197" w:rsidRPr="00A96329" w:rsidRDefault="000D3197" w:rsidP="000D3197">
      <w:pPr>
        <w:pStyle w:val="Heading2"/>
      </w:pPr>
      <w:r w:rsidRPr="00A96329">
        <w:t>Define the medical condition, including providing information on the natural history of the condition and a high level summary of associated burden of disease in terms of both morbidity and mortality</w:t>
      </w:r>
      <w:r>
        <w:t>:</w:t>
      </w:r>
    </w:p>
    <w:p w14:paraId="39F9A70E" w14:textId="5E96D98A" w:rsidR="000D3197" w:rsidRDefault="000D3197" w:rsidP="00082AD8">
      <w:pPr>
        <w:ind w:left="284"/>
        <w:jc w:val="both"/>
      </w:pPr>
      <w:r>
        <w:t xml:space="preserve">In Australia in 2015, there were a total of 3307 cases </w:t>
      </w:r>
      <w:r w:rsidRPr="001E15A7">
        <w:rPr>
          <w:lang w:val="en"/>
        </w:rPr>
        <w:t>(1,742 males and 1,565 females)</w:t>
      </w:r>
      <w:r>
        <w:rPr>
          <w:lang w:val="en"/>
        </w:rPr>
        <w:t xml:space="preserve"> </w:t>
      </w:r>
      <w:r>
        <w:t>of pancreatic cancer with 2911 deaths due to pancreatic cancer reported in 2016</w:t>
      </w:r>
      <w:r w:rsidR="00EF0913">
        <w:t xml:space="preserve"> </w:t>
      </w:r>
      <w:sdt>
        <w:sdtPr>
          <w:id w:val="1180173369"/>
          <w:citation/>
        </w:sdtPr>
        <w:sdtEndPr/>
        <w:sdtContent>
          <w:r w:rsidR="00EF0913">
            <w:fldChar w:fldCharType="begin"/>
          </w:r>
          <w:r w:rsidR="00EF0913">
            <w:instrText xml:space="preserve"> CITATION AIH19 \l 3081 </w:instrText>
          </w:r>
          <w:r w:rsidR="00EF0913">
            <w:fldChar w:fldCharType="separate"/>
          </w:r>
          <w:r w:rsidR="00EF0913">
            <w:rPr>
              <w:noProof/>
            </w:rPr>
            <w:t>(AIHW, 2019)</w:t>
          </w:r>
          <w:r w:rsidR="00EF0913">
            <w:fldChar w:fldCharType="end"/>
          </w:r>
        </w:sdtContent>
      </w:sdt>
      <w:r>
        <w:t>. It is estimated that p</w:t>
      </w:r>
      <w:r w:rsidRPr="00BA4457">
        <w:t xml:space="preserve">ancreatic cancer </w:t>
      </w:r>
      <w:r>
        <w:t xml:space="preserve">will be </w:t>
      </w:r>
      <w:r w:rsidRPr="00BA4457">
        <w:t xml:space="preserve">the </w:t>
      </w:r>
      <w:r>
        <w:t>fifth</w:t>
      </w:r>
      <w:r w:rsidRPr="00BA4457">
        <w:t xml:space="preserve"> most </w:t>
      </w:r>
      <w:r>
        <w:t>common cause of death due to cancer in 2019</w:t>
      </w:r>
      <w:r w:rsidR="00EF0913">
        <w:t>.</w:t>
      </w:r>
      <w:r>
        <w:t xml:space="preserve"> </w:t>
      </w:r>
    </w:p>
    <w:p w14:paraId="398A8559" w14:textId="78905F5A" w:rsidR="000D3197" w:rsidRDefault="000D3197" w:rsidP="00082AD8">
      <w:pPr>
        <w:ind w:left="284"/>
        <w:jc w:val="both"/>
      </w:pPr>
      <w:r w:rsidRPr="00CA05CD">
        <w:t xml:space="preserve">The incidence and mortality rate </w:t>
      </w:r>
      <w:r>
        <w:t xml:space="preserve">of </w:t>
      </w:r>
      <w:r w:rsidRPr="00CA05CD">
        <w:t>pancreatic cancer increase</w:t>
      </w:r>
      <w:r>
        <w:t>s</w:t>
      </w:r>
      <w:r w:rsidRPr="00CA05CD">
        <w:t xml:space="preserve"> with age</w:t>
      </w:r>
      <w:r>
        <w:t xml:space="preserve"> and while the incidence has remained steady over the last few decades the actual number of cases has increased due to a growing and ageing population</w:t>
      </w:r>
      <w:r w:rsidR="00EF0913">
        <w:t xml:space="preserve"> </w:t>
      </w:r>
      <w:sdt>
        <w:sdtPr>
          <w:id w:val="-1175417937"/>
          <w:citation/>
        </w:sdtPr>
        <w:sdtEndPr/>
        <w:sdtContent>
          <w:r w:rsidR="00EF0913">
            <w:fldChar w:fldCharType="begin"/>
          </w:r>
          <w:r w:rsidR="00EF0913">
            <w:instrText xml:space="preserve">CITATION AIH18 \l 3081 </w:instrText>
          </w:r>
          <w:r w:rsidR="00EF0913">
            <w:fldChar w:fldCharType="separate"/>
          </w:r>
          <w:r w:rsidR="00EF0913">
            <w:rPr>
              <w:noProof/>
            </w:rPr>
            <w:t>(AIHW, 2018)</w:t>
          </w:r>
          <w:r w:rsidR="00EF0913">
            <w:fldChar w:fldCharType="end"/>
          </w:r>
        </w:sdtContent>
      </w:sdt>
      <w:r w:rsidR="00C345ED">
        <w:t xml:space="preserve"> </w:t>
      </w:r>
      <w:r w:rsidR="006A7439">
        <w:t xml:space="preserve">The </w:t>
      </w:r>
      <w:r w:rsidR="00FB6D19">
        <w:t xml:space="preserve">median age of diagnosis is 72.8 years </w:t>
      </w:r>
      <w:sdt>
        <w:sdtPr>
          <w:id w:val="-1222911323"/>
          <w:citation/>
        </w:sdtPr>
        <w:sdtEndPr/>
        <w:sdtContent>
          <w:r w:rsidR="00FB6D19">
            <w:fldChar w:fldCharType="begin"/>
          </w:r>
          <w:r w:rsidR="00FB6D19">
            <w:instrText xml:space="preserve"> CITATION AIH12 \l 3081 </w:instrText>
          </w:r>
          <w:r w:rsidR="00FB6D19">
            <w:fldChar w:fldCharType="separate"/>
          </w:r>
          <w:r w:rsidR="00FB6D19">
            <w:rPr>
              <w:noProof/>
            </w:rPr>
            <w:t>(AIHW, 2012)</w:t>
          </w:r>
          <w:r w:rsidR="00FB6D19">
            <w:fldChar w:fldCharType="end"/>
          </w:r>
        </w:sdtContent>
      </w:sdt>
      <w:r w:rsidR="00FB6D19">
        <w:t xml:space="preserve">. </w:t>
      </w:r>
      <w:r w:rsidR="00C345ED" w:rsidRPr="00C345ED">
        <w:t>In 2019, it is estimated that the risk of an individual being diagnosed with pancreatic cancer by their 85th birthday will be 1 in 62 (1 in 55 males and 1 in 71 females)</w:t>
      </w:r>
      <w:r w:rsidR="00FB6D19">
        <w:t xml:space="preserve"> </w:t>
      </w:r>
      <w:sdt>
        <w:sdtPr>
          <w:id w:val="-1461563672"/>
          <w:citation/>
        </w:sdtPr>
        <w:sdtEndPr/>
        <w:sdtContent>
          <w:r w:rsidR="00FB6D19">
            <w:fldChar w:fldCharType="begin"/>
          </w:r>
          <w:r w:rsidR="00FB6D19">
            <w:instrText xml:space="preserve"> CITATION AIH19 \l 3081 </w:instrText>
          </w:r>
          <w:r w:rsidR="00FB6D19">
            <w:fldChar w:fldCharType="separate"/>
          </w:r>
          <w:r w:rsidR="00FB6D19">
            <w:rPr>
              <w:noProof/>
            </w:rPr>
            <w:t>(AIHW, 2019)</w:t>
          </w:r>
          <w:r w:rsidR="00FB6D19">
            <w:fldChar w:fldCharType="end"/>
          </w:r>
        </w:sdtContent>
      </w:sdt>
      <w:r w:rsidR="00FB6D19">
        <w:t>.</w:t>
      </w:r>
    </w:p>
    <w:p w14:paraId="122A8931" w14:textId="57D2C9C9" w:rsidR="000D3197" w:rsidRDefault="000D3197" w:rsidP="00082AD8">
      <w:pPr>
        <w:ind w:left="284"/>
        <w:jc w:val="both"/>
      </w:pPr>
      <w:r>
        <w:t>Pancreatic cancer has one of the lowest 5 year</w:t>
      </w:r>
      <w:r w:rsidR="00FB6D19">
        <w:t xml:space="preserve"> cancer</w:t>
      </w:r>
      <w:r>
        <w:t xml:space="preserve"> survival rates; in 2011-2015, the 5 year relative survival rate was 9.8% for those diagnosed with pancreatic cancer. </w:t>
      </w:r>
      <w:r w:rsidR="006A7439">
        <w:t>T</w:t>
      </w:r>
      <w:r w:rsidRPr="00BA4457">
        <w:t>he</w:t>
      </w:r>
      <w:r>
        <w:t xml:space="preserve"> </w:t>
      </w:r>
      <w:r w:rsidRPr="00BA4457">
        <w:t>prognosis of this</w:t>
      </w:r>
      <w:r>
        <w:t xml:space="preserve"> </w:t>
      </w:r>
      <w:r w:rsidRPr="00BA4457">
        <w:t xml:space="preserve">cancer has not improved </w:t>
      </w:r>
      <w:r>
        <w:t xml:space="preserve">significantly </w:t>
      </w:r>
      <w:r w:rsidRPr="00BA4457">
        <w:t xml:space="preserve">over the past 20 years, and </w:t>
      </w:r>
      <w:r>
        <w:t xml:space="preserve">the </w:t>
      </w:r>
      <w:r w:rsidRPr="00BA4457">
        <w:t>incidence</w:t>
      </w:r>
      <w:r>
        <w:t xml:space="preserve"> </w:t>
      </w:r>
      <w:r w:rsidRPr="00BA4457">
        <w:t>and mortality rates are very similar</w:t>
      </w:r>
      <w:r>
        <w:t xml:space="preserve"> (Cancer in Australia 2019)</w:t>
      </w:r>
      <w:r w:rsidRPr="00BA4457">
        <w:t xml:space="preserve">. </w:t>
      </w:r>
    </w:p>
    <w:p w14:paraId="04DDD8D3" w14:textId="79E551DA" w:rsidR="000D3197" w:rsidRDefault="000D3197" w:rsidP="00082AD8">
      <w:pPr>
        <w:ind w:left="284"/>
        <w:jc w:val="both"/>
      </w:pPr>
      <w:r w:rsidRPr="009D413A">
        <w:t>In 2011, Australians lost 44,428 D</w:t>
      </w:r>
      <w:r>
        <w:t xml:space="preserve">isability </w:t>
      </w:r>
      <w:r w:rsidRPr="009D413A">
        <w:t>A</w:t>
      </w:r>
      <w:r>
        <w:t xml:space="preserve">djusted </w:t>
      </w:r>
      <w:r w:rsidRPr="009D413A">
        <w:t>L</w:t>
      </w:r>
      <w:r>
        <w:t>ife Years</w:t>
      </w:r>
      <w:r w:rsidRPr="009D413A">
        <w:t xml:space="preserve"> </w:t>
      </w:r>
      <w:r>
        <w:t xml:space="preserve">(DALYs) </w:t>
      </w:r>
      <w:r w:rsidRPr="009D413A">
        <w:t>due to premature death or living with disability due to</w:t>
      </w:r>
      <w:r>
        <w:t xml:space="preserve"> </w:t>
      </w:r>
      <w:r w:rsidRPr="009D413A">
        <w:t>pancreatic cancer. This accounted for 5.3% of the total cancer burden, ranking pancreatic</w:t>
      </w:r>
      <w:r>
        <w:t xml:space="preserve"> </w:t>
      </w:r>
      <w:r w:rsidRPr="009D413A">
        <w:t>cancer the 5th greatest cause of cancer burden</w:t>
      </w:r>
      <w:r>
        <w:t xml:space="preserve">. This burden reflects the poor prognosis of survival for pancreatic cancer </w:t>
      </w:r>
      <w:sdt>
        <w:sdtPr>
          <w:id w:val="-423653855"/>
          <w:citation/>
        </w:sdtPr>
        <w:sdtEndPr/>
        <w:sdtContent>
          <w:r w:rsidR="00FB6D19">
            <w:fldChar w:fldCharType="begin"/>
          </w:r>
          <w:r w:rsidR="00FB6D19">
            <w:instrText xml:space="preserve"> CITATION AIH18 \l 3081 </w:instrText>
          </w:r>
          <w:r w:rsidR="00FB6D19">
            <w:fldChar w:fldCharType="separate"/>
          </w:r>
          <w:r w:rsidR="00FB6D19">
            <w:rPr>
              <w:noProof/>
            </w:rPr>
            <w:t>(AIHW, 2018)</w:t>
          </w:r>
          <w:r w:rsidR="00FB6D19">
            <w:fldChar w:fldCharType="end"/>
          </w:r>
        </w:sdtContent>
      </w:sdt>
      <w:r>
        <w:t>.</w:t>
      </w:r>
    </w:p>
    <w:p w14:paraId="03F59D30" w14:textId="40609009" w:rsidR="00E80185" w:rsidRDefault="00E80185" w:rsidP="00082AD8">
      <w:pPr>
        <w:ind w:left="284"/>
        <w:jc w:val="both"/>
      </w:pPr>
      <w:r>
        <w:t xml:space="preserve">The early stages of pancreatic cancer are asymptomatic, and this contributes to difficulties in diagnosis and late presentation. When symptoms occur, they generally result from a mass effect; symptoms may include </w:t>
      </w:r>
      <w:r w:rsidRPr="00622427">
        <w:t xml:space="preserve">back </w:t>
      </w:r>
      <w:r>
        <w:t>or abdominal p</w:t>
      </w:r>
      <w:r w:rsidRPr="00622427">
        <w:t>ain</w:t>
      </w:r>
      <w:r>
        <w:t xml:space="preserve">, </w:t>
      </w:r>
      <w:r w:rsidRPr="00622427">
        <w:t>weight loss</w:t>
      </w:r>
      <w:r>
        <w:t xml:space="preserve">, </w:t>
      </w:r>
      <w:proofErr w:type="spellStart"/>
      <w:r>
        <w:t>steatorrhoea</w:t>
      </w:r>
      <w:proofErr w:type="spellEnd"/>
      <w:r w:rsidRPr="00622427">
        <w:t xml:space="preserve"> or jaundice</w:t>
      </w:r>
      <w:r w:rsidR="00FB6D19">
        <w:t xml:space="preserve"> </w:t>
      </w:r>
      <w:sdt>
        <w:sdtPr>
          <w:id w:val="-243032202"/>
          <w:citation/>
        </w:sdtPr>
        <w:sdtEndPr/>
        <w:sdtContent>
          <w:r w:rsidR="00FB6D19">
            <w:fldChar w:fldCharType="begin"/>
          </w:r>
          <w:r w:rsidR="00FB6D19">
            <w:instrText xml:space="preserve"> CITATION Duc15 \l 3081 </w:instrText>
          </w:r>
          <w:r w:rsidR="00FB6D19">
            <w:fldChar w:fldCharType="separate"/>
          </w:r>
          <w:r w:rsidR="00FB6D19">
            <w:rPr>
              <w:noProof/>
            </w:rPr>
            <w:t>(Ducreux M, 2015)</w:t>
          </w:r>
          <w:r w:rsidR="00FB6D19">
            <w:fldChar w:fldCharType="end"/>
          </w:r>
        </w:sdtContent>
      </w:sdt>
      <w:r>
        <w:t>.</w:t>
      </w:r>
    </w:p>
    <w:p w14:paraId="0F840E72" w14:textId="29AAC767" w:rsidR="00E80185" w:rsidRDefault="00E80185" w:rsidP="00082AD8">
      <w:pPr>
        <w:ind w:left="284"/>
        <w:jc w:val="both"/>
      </w:pPr>
      <w:r w:rsidRPr="00E80185">
        <w:t>Tumours</w:t>
      </w:r>
      <w:r>
        <w:t xml:space="preserve"> </w:t>
      </w:r>
      <w:r w:rsidRPr="00E80185">
        <w:t xml:space="preserve">located in the body and the tail </w:t>
      </w:r>
      <w:r>
        <w:t xml:space="preserve">(20 to 25% of cases)of the pancreas </w:t>
      </w:r>
      <w:r w:rsidRPr="00E80185">
        <w:t xml:space="preserve">are </w:t>
      </w:r>
      <w:r>
        <w:t xml:space="preserve">generally </w:t>
      </w:r>
      <w:r w:rsidRPr="00E80185">
        <w:t>diagnosed at a</w:t>
      </w:r>
      <w:r>
        <w:t xml:space="preserve"> </w:t>
      </w:r>
      <w:r w:rsidRPr="00E80185">
        <w:t>more advanced stage than tumours located in the head</w:t>
      </w:r>
      <w:r>
        <w:t xml:space="preserve"> (60 to 70% of cases)</w:t>
      </w:r>
      <w:r w:rsidRPr="00E80185">
        <w:t xml:space="preserve">, </w:t>
      </w:r>
      <w:r>
        <w:t xml:space="preserve">as these result in </w:t>
      </w:r>
      <w:r w:rsidRPr="00E80185">
        <w:t xml:space="preserve">symptoms </w:t>
      </w:r>
      <w:r w:rsidRPr="00554F18">
        <w:t xml:space="preserve">related to obstruction of the common bile and/or pancreatic duct </w:t>
      </w:r>
      <w:sdt>
        <w:sdtPr>
          <w:id w:val="322554095"/>
          <w:citation/>
        </w:sdtPr>
        <w:sdtEndPr/>
        <w:sdtContent>
          <w:r w:rsidR="00554F18">
            <w:fldChar w:fldCharType="begin"/>
          </w:r>
          <w:r w:rsidR="00554F18">
            <w:instrText xml:space="preserve"> CITATION Duc15 \l 3081 </w:instrText>
          </w:r>
          <w:r w:rsidR="00554F18">
            <w:fldChar w:fldCharType="separate"/>
          </w:r>
          <w:r w:rsidR="00554F18">
            <w:rPr>
              <w:noProof/>
            </w:rPr>
            <w:t>(Ducreux M, 2015)</w:t>
          </w:r>
          <w:r w:rsidR="00554F18">
            <w:fldChar w:fldCharType="end"/>
          </w:r>
        </w:sdtContent>
      </w:sdt>
      <w:r w:rsidR="00554F18">
        <w:t>.</w:t>
      </w:r>
    </w:p>
    <w:p w14:paraId="4DD3B6B9" w14:textId="61566708" w:rsidR="000D3197" w:rsidRDefault="00414C2E" w:rsidP="00082AD8">
      <w:pPr>
        <w:ind w:left="284"/>
        <w:jc w:val="both"/>
      </w:pPr>
      <w:r>
        <w:t xml:space="preserve">In terms of pathology, </w:t>
      </w:r>
      <w:r w:rsidR="001F61EC">
        <w:t>d</w:t>
      </w:r>
      <w:r w:rsidR="001F61EC" w:rsidRPr="001F61EC">
        <w:t xml:space="preserve">uctal adenocarcinoma and its variants account for </w:t>
      </w:r>
      <w:r w:rsidR="001F61EC">
        <w:t xml:space="preserve">over </w:t>
      </w:r>
      <w:r w:rsidR="001F61EC" w:rsidRPr="001F61EC">
        <w:t>90% of all pancreatic malignancies</w:t>
      </w:r>
      <w:r w:rsidR="001F61EC">
        <w:t xml:space="preserve"> </w:t>
      </w:r>
      <w:sdt>
        <w:sdtPr>
          <w:id w:val="-733623340"/>
          <w:citation/>
        </w:sdtPr>
        <w:sdtEndPr/>
        <w:sdtContent>
          <w:r w:rsidR="001F61EC">
            <w:fldChar w:fldCharType="begin"/>
          </w:r>
          <w:r w:rsidR="00B531F1">
            <w:instrText xml:space="preserve">CITATION Pan17 \l 3081 </w:instrText>
          </w:r>
          <w:r w:rsidR="001F61EC">
            <w:fldChar w:fldCharType="separate"/>
          </w:r>
          <w:r w:rsidR="00B531F1">
            <w:rPr>
              <w:noProof/>
            </w:rPr>
            <w:t>(Tempero MA, 2019)</w:t>
          </w:r>
          <w:r w:rsidR="001F61EC">
            <w:fldChar w:fldCharType="end"/>
          </w:r>
        </w:sdtContent>
      </w:sdt>
      <w:r>
        <w:t xml:space="preserve">. </w:t>
      </w:r>
      <w:r w:rsidR="00E80185">
        <w:t>Histologically, a</w:t>
      </w:r>
      <w:r w:rsidR="000D3197" w:rsidRPr="005236BD">
        <w:t>denocarcinoma was the most common pancreatic cancer type</w:t>
      </w:r>
      <w:r w:rsidR="003C6F0C">
        <w:t xml:space="preserve"> in 2013</w:t>
      </w:r>
      <w:r w:rsidR="000D3197" w:rsidRPr="005236BD">
        <w:t>,</w:t>
      </w:r>
      <w:r w:rsidR="000D3197">
        <w:t xml:space="preserve"> </w:t>
      </w:r>
      <w:r w:rsidR="000D3197" w:rsidRPr="005236BD">
        <w:t>representing 58% of all pancreatic cancer cases diagnosed</w:t>
      </w:r>
      <w:r w:rsidR="000D3197">
        <w:t xml:space="preserve">. </w:t>
      </w:r>
      <w:r w:rsidR="000D3197" w:rsidRPr="005236BD">
        <w:t>Australians</w:t>
      </w:r>
      <w:r w:rsidR="000D3197">
        <w:t xml:space="preserve"> </w:t>
      </w:r>
      <w:r w:rsidR="000D3197" w:rsidRPr="005236BD">
        <w:t>diagnosed with this histological type had a 6.0% chance of surviving 5 years compared with</w:t>
      </w:r>
      <w:r w:rsidR="000D3197">
        <w:t xml:space="preserve"> </w:t>
      </w:r>
      <w:r w:rsidR="000D3197" w:rsidRPr="005236BD">
        <w:t xml:space="preserve">their </w:t>
      </w:r>
      <w:r w:rsidR="000D3197" w:rsidRPr="005236BD">
        <w:lastRenderedPageBreak/>
        <w:t xml:space="preserve">counterparts in the general population. </w:t>
      </w:r>
      <w:r w:rsidR="000D3197">
        <w:t xml:space="preserve">Unspecified carcinomas and neoplasms, neuroendocrine neoplasms and other carcinomas account for the remaining histological cancer types </w:t>
      </w:r>
      <w:sdt>
        <w:sdtPr>
          <w:id w:val="-1406606159"/>
          <w:citation/>
        </w:sdtPr>
        <w:sdtEndPr/>
        <w:sdtContent>
          <w:r w:rsidR="00554F18">
            <w:fldChar w:fldCharType="begin"/>
          </w:r>
          <w:r w:rsidR="00554F18">
            <w:instrText xml:space="preserve"> CITATION AIH18 \l 3081 </w:instrText>
          </w:r>
          <w:r w:rsidR="00554F18">
            <w:fldChar w:fldCharType="separate"/>
          </w:r>
          <w:r w:rsidR="00554F18">
            <w:rPr>
              <w:noProof/>
            </w:rPr>
            <w:t xml:space="preserve"> (AIHW, 2018)</w:t>
          </w:r>
          <w:r w:rsidR="00554F18">
            <w:fldChar w:fldCharType="end"/>
          </w:r>
        </w:sdtContent>
      </w:sdt>
      <w:r w:rsidR="000D3197">
        <w:t>.</w:t>
      </w:r>
    </w:p>
    <w:p w14:paraId="1203984B" w14:textId="1E24BE25" w:rsidR="00666B9B" w:rsidRPr="00666B9B" w:rsidRDefault="000D3197" w:rsidP="00666B9B">
      <w:pPr>
        <w:autoSpaceDE w:val="0"/>
        <w:autoSpaceDN w:val="0"/>
        <w:adjustRightInd w:val="0"/>
        <w:spacing w:after="0"/>
        <w:ind w:left="284"/>
        <w:rPr>
          <w:noProof/>
        </w:rPr>
      </w:pPr>
      <w:r>
        <w:t xml:space="preserve">Risk factors for pancreatic cancer include </w:t>
      </w:r>
      <w:r w:rsidR="00FD0652">
        <w:t>tobacco</w:t>
      </w:r>
      <w:r>
        <w:t xml:space="preserve"> use and high body mass</w:t>
      </w:r>
      <w:r w:rsidR="00554F18">
        <w:t xml:space="preserve"> with g</w:t>
      </w:r>
      <w:r w:rsidR="00FD0652" w:rsidRPr="00FD0652">
        <w:t xml:space="preserve">enetics and family history </w:t>
      </w:r>
      <w:r w:rsidR="00FD0652">
        <w:t xml:space="preserve">also </w:t>
      </w:r>
      <w:r w:rsidR="00FD0652" w:rsidRPr="00FD0652">
        <w:t>associated with</w:t>
      </w:r>
      <w:r w:rsidR="003F5852">
        <w:t xml:space="preserve"> </w:t>
      </w:r>
      <w:r w:rsidR="00FD0652" w:rsidRPr="00FD0652">
        <w:t>increased</w:t>
      </w:r>
      <w:r w:rsidR="00FD0652">
        <w:t xml:space="preserve"> </w:t>
      </w:r>
      <w:r w:rsidR="00FD0652" w:rsidRPr="00FD0652">
        <w:t xml:space="preserve">risk </w:t>
      </w:r>
      <w:sdt>
        <w:sdtPr>
          <w:id w:val="617495948"/>
          <w:citation/>
        </w:sdtPr>
        <w:sdtEndPr/>
        <w:sdtContent>
          <w:r w:rsidR="00554F18">
            <w:fldChar w:fldCharType="begin"/>
          </w:r>
          <w:r w:rsidR="00554F18">
            <w:instrText xml:space="preserve"> CITATION Duc15 \l 3081 </w:instrText>
          </w:r>
          <w:r w:rsidR="00554F18">
            <w:fldChar w:fldCharType="separate"/>
          </w:r>
          <w:r w:rsidR="00554F18">
            <w:rPr>
              <w:noProof/>
            </w:rPr>
            <w:t xml:space="preserve"> (Ducreux M, 2015)</w:t>
          </w:r>
          <w:r w:rsidR="00554F18">
            <w:fldChar w:fldCharType="end"/>
          </w:r>
        </w:sdtContent>
      </w:sdt>
      <w:r w:rsidR="00FD0652" w:rsidRPr="00FD0652">
        <w:t>.</w:t>
      </w:r>
      <w:r w:rsidR="003F5852">
        <w:t xml:space="preserve"> </w:t>
      </w:r>
      <w:r>
        <w:t>Germline m</w:t>
      </w:r>
      <w:r w:rsidRPr="00111087">
        <w:t xml:space="preserve">utations in </w:t>
      </w:r>
      <w:r w:rsidRPr="00554F18">
        <w:t>BRCA1 or BRCA2,</w:t>
      </w:r>
      <w:r>
        <w:t xml:space="preserve"> genes associated with increased risk of ovarian and breast cancers</w:t>
      </w:r>
      <w:r w:rsidR="003F5852">
        <w:t xml:space="preserve">, </w:t>
      </w:r>
      <w:r>
        <w:t>are also known to increase the risk of pancreatic cancer</w:t>
      </w:r>
      <w:r w:rsidR="003F5852">
        <w:t xml:space="preserve">. </w:t>
      </w:r>
      <w:r>
        <w:t xml:space="preserve"> </w:t>
      </w:r>
      <w:r w:rsidR="003F5852">
        <w:t>U</w:t>
      </w:r>
      <w:r>
        <w:t>p to 7%  of unselected pancreatic cancer cases hav</w:t>
      </w:r>
      <w:r w:rsidR="003F5852">
        <w:t>e</w:t>
      </w:r>
      <w:r>
        <w:t xml:space="preserve"> a germline BRCA 1/2 mutation</w:t>
      </w:r>
      <w:r w:rsidR="00554F18">
        <w:t xml:space="preserve"> </w:t>
      </w:r>
      <w:sdt>
        <w:sdtPr>
          <w:id w:val="-1406687550"/>
          <w:citation/>
        </w:sdtPr>
        <w:sdtEndPr/>
        <w:sdtContent>
          <w:r w:rsidR="00554F18">
            <w:fldChar w:fldCharType="begin"/>
          </w:r>
          <w:r w:rsidR="000E7676">
            <w:instrText xml:space="preserve">CITATION Gol19 \l 3081 </w:instrText>
          </w:r>
          <w:r w:rsidR="00554F18">
            <w:fldChar w:fldCharType="separate"/>
          </w:r>
          <w:r w:rsidR="000E7676">
            <w:rPr>
              <w:noProof/>
            </w:rPr>
            <w:t>(Golan T, 2019)</w:t>
          </w:r>
          <w:r w:rsidR="00554F18">
            <w:fldChar w:fldCharType="end"/>
          </w:r>
        </w:sdtContent>
      </w:sdt>
      <w:r w:rsidR="003F5852">
        <w:t>; i</w:t>
      </w:r>
      <w:r>
        <w:t xml:space="preserve">n </w:t>
      </w:r>
      <w:r w:rsidR="00554F18">
        <w:t>some populations</w:t>
      </w:r>
      <w:r w:rsidR="00666B9B">
        <w:t xml:space="preserve"> </w:t>
      </w:r>
      <w:r w:rsidR="000E7676">
        <w:t>(</w:t>
      </w:r>
      <w:r w:rsidR="00554F18">
        <w:t xml:space="preserve"> e.g. As</w:t>
      </w:r>
      <w:r w:rsidR="00025FFA">
        <w:t>h</w:t>
      </w:r>
      <w:r w:rsidR="00554F18">
        <w:t>kenazi Jews</w:t>
      </w:r>
      <w:r w:rsidR="000E7676">
        <w:t>)</w:t>
      </w:r>
      <w:r>
        <w:t xml:space="preserve">, the prevalence </w:t>
      </w:r>
      <w:r w:rsidR="003F5852">
        <w:t xml:space="preserve">of germline mutations in these genes </w:t>
      </w:r>
      <w:r>
        <w:t>is higher</w:t>
      </w:r>
      <w:r w:rsidR="00554F18">
        <w:t xml:space="preserve"> </w:t>
      </w:r>
      <w:sdt>
        <w:sdtPr>
          <w:id w:val="-1783254921"/>
          <w:citation/>
        </w:sdtPr>
        <w:sdtEndPr/>
        <w:sdtContent>
          <w:r w:rsidR="00554F18">
            <w:fldChar w:fldCharType="begin"/>
          </w:r>
          <w:r w:rsidR="00554F18">
            <w:instrText xml:space="preserve">CITATION RPi19 \l 3081 </w:instrText>
          </w:r>
          <w:r w:rsidR="00554F18">
            <w:fldChar w:fldCharType="separate"/>
          </w:r>
          <w:r w:rsidR="00554F18">
            <w:rPr>
              <w:noProof/>
            </w:rPr>
            <w:t>(Pilarski R, 2019)</w:t>
          </w:r>
          <w:r w:rsidR="00554F18">
            <w:fldChar w:fldCharType="end"/>
          </w:r>
        </w:sdtContent>
      </w:sdt>
      <w:r w:rsidR="00D82FAC">
        <w:t>.</w:t>
      </w:r>
      <w:r w:rsidR="00666B9B">
        <w:t xml:space="preserve"> </w:t>
      </w:r>
      <w:r w:rsidR="00666B9B" w:rsidRPr="00666B9B">
        <w:rPr>
          <w:noProof/>
        </w:rPr>
        <w:t>In Ashkenazi Jewish patients with pancreatic cancer, the prevalence of gBRCA mutations is 6% to 10% in unselected patients (Ferrone et al 2009; Ozcelik et al 1997) and 15% in patients with a family history of the disease (Kim et al 2012). In pancreatic cancer patients with a family history of the</w:t>
      </w:r>
      <w:r w:rsidR="00666B9B">
        <w:rPr>
          <w:noProof/>
        </w:rPr>
        <w:t xml:space="preserve"> </w:t>
      </w:r>
      <w:r w:rsidR="00666B9B" w:rsidRPr="00666B9B">
        <w:rPr>
          <w:noProof/>
        </w:rPr>
        <w:t>disease, a prevalence of carrying a gBRCA2 mutation as high as 17% to 19% has been reported (Hahn et al 2003; Murphy et al 2002).</w:t>
      </w:r>
    </w:p>
    <w:p w14:paraId="44464501" w14:textId="56BDB9B3" w:rsidR="000D3197" w:rsidRPr="009056C5" w:rsidRDefault="000D3197" w:rsidP="00082AD8">
      <w:pPr>
        <w:ind w:left="284"/>
        <w:jc w:val="both"/>
      </w:pPr>
    </w:p>
    <w:p w14:paraId="1B511CB5" w14:textId="75FBEF57" w:rsidR="00417374" w:rsidRDefault="00417374" w:rsidP="00082AD8">
      <w:pPr>
        <w:ind w:left="284"/>
        <w:jc w:val="both"/>
      </w:pPr>
      <w:r w:rsidRPr="00EE6333">
        <w:t>Th</w:t>
      </w:r>
      <w:r>
        <w:t>e</w:t>
      </w:r>
      <w:r w:rsidRPr="00EE6333">
        <w:t xml:space="preserve"> poor prognosis for pancreatic cancer is directly related to late diagnosis</w:t>
      </w:r>
      <w:r>
        <w:t xml:space="preserve"> upon presentation</w:t>
      </w:r>
      <w:r w:rsidRPr="00EE6333">
        <w:t>, when the disease is often locally advanced or metastatic</w:t>
      </w:r>
      <w:r>
        <w:t>, and surgery is not an option</w:t>
      </w:r>
      <w:r w:rsidRPr="00EE6333">
        <w:t>.</w:t>
      </w:r>
      <w:r>
        <w:t xml:space="preserve"> Chemotherapy, in the case of metastatic cancer is limited to patients with good performance status</w:t>
      </w:r>
      <w:r w:rsidR="000E7676">
        <w:rPr>
          <w:rStyle w:val="FootnoteReference"/>
        </w:rPr>
        <w:t xml:space="preserve"> </w:t>
      </w:r>
      <w:sdt>
        <w:sdtPr>
          <w:rPr>
            <w:rStyle w:val="FootnoteReference"/>
          </w:rPr>
          <w:id w:val="-289056646"/>
          <w:citation/>
        </w:sdtPr>
        <w:sdtEndPr>
          <w:rPr>
            <w:rStyle w:val="FootnoteReference"/>
          </w:rPr>
        </w:sdtEndPr>
        <w:sdtContent>
          <w:r w:rsidR="000E7676">
            <w:rPr>
              <w:rStyle w:val="FootnoteReference"/>
            </w:rPr>
            <w:fldChar w:fldCharType="begin"/>
          </w:r>
          <w:r w:rsidR="000E7676">
            <w:instrText xml:space="preserve"> CITATION Duc15 \l 3081 </w:instrText>
          </w:r>
          <w:r w:rsidR="000E7676">
            <w:rPr>
              <w:rStyle w:val="FootnoteReference"/>
            </w:rPr>
            <w:fldChar w:fldCharType="separate"/>
          </w:r>
          <w:r w:rsidR="000E7676">
            <w:rPr>
              <w:noProof/>
            </w:rPr>
            <w:t>(Ducreux M, 2015)</w:t>
          </w:r>
          <w:r w:rsidR="000E7676">
            <w:rPr>
              <w:rStyle w:val="FootnoteReference"/>
            </w:rPr>
            <w:fldChar w:fldCharType="end"/>
          </w:r>
        </w:sdtContent>
      </w:sdt>
      <w:r>
        <w:t xml:space="preserve">. </w:t>
      </w:r>
    </w:p>
    <w:p w14:paraId="47EE6F1B"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5ED70CC" w14:textId="59171532" w:rsidR="00C11B3B" w:rsidRDefault="003246AE" w:rsidP="00082AD8">
      <w:pPr>
        <w:ind w:left="360"/>
        <w:jc w:val="both"/>
      </w:pPr>
      <w:r>
        <w:rPr>
          <w:szCs w:val="20"/>
        </w:rPr>
        <w:t>The population for the proposed medical service, germline BRCA</w:t>
      </w:r>
      <w:r w:rsidR="00C13642">
        <w:rPr>
          <w:szCs w:val="20"/>
        </w:rPr>
        <w:t xml:space="preserve"> </w:t>
      </w:r>
      <w:r>
        <w:rPr>
          <w:szCs w:val="20"/>
        </w:rPr>
        <w:t>1/2 mutation testing</w:t>
      </w:r>
      <w:r w:rsidR="00C11B3B">
        <w:rPr>
          <w:szCs w:val="20"/>
        </w:rPr>
        <w:t xml:space="preserve">, are </w:t>
      </w:r>
      <w:r w:rsidR="00C11B3B">
        <w:t>patients with metastatic pancreatic cancer</w:t>
      </w:r>
      <w:r w:rsidR="00562558">
        <w:t xml:space="preserve">, who are fit for first-line treatment with platinum-based chemotherapy. </w:t>
      </w:r>
      <w:r w:rsidR="00C11B3B" w:rsidRPr="00A471B3">
        <w:rPr>
          <w:szCs w:val="20"/>
        </w:rPr>
        <w:t xml:space="preserve"> </w:t>
      </w:r>
      <w:r w:rsidR="00C11B3B">
        <w:rPr>
          <w:szCs w:val="20"/>
        </w:rPr>
        <w:t xml:space="preserve"> The purpose of the test is to</w:t>
      </w:r>
      <w:r w:rsidR="00C11B3B">
        <w:t xml:space="preserve"> determine eligibility for PBS</w:t>
      </w:r>
      <w:r w:rsidR="006A7439">
        <w:t>-funded treatment with</w:t>
      </w:r>
      <w:r w:rsidR="00C11B3B">
        <w:t xml:space="preserve"> olaparib.</w:t>
      </w:r>
    </w:p>
    <w:p w14:paraId="6E4872AB" w14:textId="651C642D" w:rsidR="00A157AA" w:rsidRDefault="00A157AA" w:rsidP="00082AD8">
      <w:pPr>
        <w:ind w:left="360"/>
        <w:jc w:val="both"/>
      </w:pPr>
      <w:r>
        <w:t>An outline of investigations, management and referral of patients within the Australian healthcare system prior to being eligible for the proposed service is provided below.</w:t>
      </w:r>
    </w:p>
    <w:p w14:paraId="46316251" w14:textId="26F97B55" w:rsidR="00206C1F" w:rsidRDefault="008661AD" w:rsidP="00082AD8">
      <w:pPr>
        <w:ind w:left="360"/>
        <w:jc w:val="both"/>
      </w:pPr>
      <w:r>
        <w:t>Adults with suspected pancreatic cancer wo</w:t>
      </w:r>
      <w:r w:rsidR="00C670EB">
        <w:t>u</w:t>
      </w:r>
      <w:r>
        <w:t>ld be referred from primary to secondary care</w:t>
      </w:r>
      <w:r w:rsidR="00C670EB">
        <w:t>, with a specialist</w:t>
      </w:r>
      <w:r>
        <w:t xml:space="preserve"> team</w:t>
      </w:r>
      <w:r w:rsidR="00C670EB">
        <w:t xml:space="preserve"> that</w:t>
      </w:r>
      <w:r>
        <w:t xml:space="preserve"> could </w:t>
      </w:r>
      <w:r w:rsidR="00C670EB">
        <w:t xml:space="preserve">potentially </w:t>
      </w:r>
      <w:r>
        <w:t>include gastroenterologists, specialist surgeons, and oncologists</w:t>
      </w:r>
      <w:r w:rsidR="00C13642">
        <w:t xml:space="preserve"> </w:t>
      </w:r>
      <w:sdt>
        <w:sdtPr>
          <w:id w:val="-465973972"/>
          <w:citation/>
        </w:sdtPr>
        <w:sdtEndPr/>
        <w:sdtContent>
          <w:r w:rsidR="00C13642">
            <w:fldChar w:fldCharType="begin"/>
          </w:r>
          <w:r w:rsidR="00C13642">
            <w:instrText xml:space="preserve"> CITATION Gan16 \l 3081 </w:instrText>
          </w:r>
          <w:r w:rsidR="00C13642">
            <w:fldChar w:fldCharType="separate"/>
          </w:r>
          <w:r w:rsidR="00C13642">
            <w:rPr>
              <w:noProof/>
            </w:rPr>
            <w:t>(Gandy RC, 2016)</w:t>
          </w:r>
          <w:r w:rsidR="00C13642">
            <w:fldChar w:fldCharType="end"/>
          </w:r>
        </w:sdtContent>
      </w:sdt>
      <w:r>
        <w:t xml:space="preserve">.  </w:t>
      </w:r>
    </w:p>
    <w:p w14:paraId="6D05D53A" w14:textId="77777777" w:rsidR="00C13642" w:rsidRDefault="00A157AA" w:rsidP="00082AD8">
      <w:pPr>
        <w:ind w:left="360"/>
        <w:jc w:val="both"/>
      </w:pPr>
      <w:r>
        <w:t xml:space="preserve">Diagnostic work up for </w:t>
      </w:r>
      <w:r w:rsidR="00206C1F">
        <w:t xml:space="preserve">cancer </w:t>
      </w:r>
      <w:r>
        <w:t>staging and risk assessment would include i</w:t>
      </w:r>
      <w:r w:rsidR="008661AD">
        <w:t>maging of the tumour</w:t>
      </w:r>
      <w:r>
        <w:t xml:space="preserve"> with </w:t>
      </w:r>
      <w:r w:rsidR="008661AD" w:rsidRPr="008661AD">
        <w:t xml:space="preserve">computed tomography (CT) </w:t>
      </w:r>
      <w:r w:rsidR="008661AD">
        <w:t>for imagin</w:t>
      </w:r>
      <w:r w:rsidR="00C670EB">
        <w:t xml:space="preserve">g of the </w:t>
      </w:r>
      <w:r w:rsidR="008661AD" w:rsidRPr="008661AD">
        <w:t xml:space="preserve">primary lesion </w:t>
      </w:r>
      <w:r w:rsidR="00C670EB">
        <w:t xml:space="preserve">as well as evaluation of </w:t>
      </w:r>
      <w:r w:rsidR="008661AD" w:rsidRPr="008661AD">
        <w:t>lymph nodes and</w:t>
      </w:r>
      <w:r w:rsidR="00C670EB">
        <w:t xml:space="preserve"> </w:t>
      </w:r>
      <w:r w:rsidR="008661AD" w:rsidRPr="008661AD">
        <w:t>potential sites of metastases</w:t>
      </w:r>
      <w:r w:rsidR="00C670EB">
        <w:t>. M</w:t>
      </w:r>
      <w:r w:rsidR="00C670EB" w:rsidRPr="00C670EB">
        <w:t>agnetic resonance imaging</w:t>
      </w:r>
      <w:r w:rsidR="00C670EB">
        <w:t xml:space="preserve"> </w:t>
      </w:r>
      <w:r w:rsidR="00C670EB" w:rsidRPr="00C670EB">
        <w:t>(MRI)</w:t>
      </w:r>
      <w:r w:rsidR="00C670EB">
        <w:t xml:space="preserve"> and endoscopic ultrasound may also be undertaken, with the latter being the preferred mode for obtaining tissue and fluid for biopsy purposes. Blood tests, which include investigations for tumour markers, such as </w:t>
      </w:r>
      <w:r w:rsidR="00C670EB" w:rsidRPr="00C670EB">
        <w:t>serum tumour marker carbohydrate antigen (CA)</w:t>
      </w:r>
      <w:r w:rsidR="00C670EB">
        <w:t xml:space="preserve"> </w:t>
      </w:r>
      <w:r w:rsidR="00C670EB" w:rsidRPr="00C670EB">
        <w:t>19-9,</w:t>
      </w:r>
      <w:r w:rsidR="00C670EB">
        <w:t xml:space="preserve"> would also be conducted </w:t>
      </w:r>
      <w:sdt>
        <w:sdtPr>
          <w:id w:val="1268658933"/>
          <w:citation/>
        </w:sdtPr>
        <w:sdtEndPr/>
        <w:sdtContent>
          <w:r w:rsidR="00C13642">
            <w:fldChar w:fldCharType="begin"/>
          </w:r>
          <w:r w:rsidR="00C13642">
            <w:instrText xml:space="preserve"> CITATION Gan16 \l 3081 </w:instrText>
          </w:r>
          <w:r w:rsidR="00C13642">
            <w:fldChar w:fldCharType="separate"/>
          </w:r>
          <w:r w:rsidR="00C13642">
            <w:rPr>
              <w:noProof/>
            </w:rPr>
            <w:t>(Gandy RC, 2016)</w:t>
          </w:r>
          <w:r w:rsidR="00C13642">
            <w:fldChar w:fldCharType="end"/>
          </w:r>
        </w:sdtContent>
      </w:sdt>
      <w:r w:rsidR="00C13642">
        <w:t xml:space="preserve">. </w:t>
      </w:r>
    </w:p>
    <w:p w14:paraId="79708313" w14:textId="77777777" w:rsidR="00C13642" w:rsidRDefault="00A24C27" w:rsidP="00082AD8">
      <w:pPr>
        <w:ind w:left="360"/>
        <w:jc w:val="both"/>
      </w:pPr>
      <w:r>
        <w:t>P</w:t>
      </w:r>
      <w:r w:rsidR="00A157AA">
        <w:t xml:space="preserve">atients </w:t>
      </w:r>
      <w:r w:rsidR="006F7FFA">
        <w:t xml:space="preserve">diagnosed </w:t>
      </w:r>
      <w:r w:rsidR="00A157AA">
        <w:t xml:space="preserve">with </w:t>
      </w:r>
      <w:r w:rsidR="00C670EB">
        <w:t xml:space="preserve">metastatic pancreatic </w:t>
      </w:r>
      <w:r w:rsidR="006F7FFA">
        <w:t>cance</w:t>
      </w:r>
      <w:r>
        <w:t>r may require</w:t>
      </w:r>
      <w:r w:rsidRPr="00A24C27">
        <w:t xml:space="preserve"> interventions to provide relief</w:t>
      </w:r>
      <w:r>
        <w:t xml:space="preserve"> </w:t>
      </w:r>
      <w:r w:rsidRPr="00A24C27">
        <w:t>of biliary and/or duodenal obstruction,</w:t>
      </w:r>
      <w:r>
        <w:t xml:space="preserve"> </w:t>
      </w:r>
      <w:r w:rsidRPr="00A24C27">
        <w:t>malnutrition and pain</w:t>
      </w:r>
      <w:r>
        <w:t>.</w:t>
      </w:r>
      <w:r w:rsidR="00C13642">
        <w:t xml:space="preserve"> </w:t>
      </w:r>
    </w:p>
    <w:p w14:paraId="70B574BF" w14:textId="13D1FA00" w:rsidR="00C13642" w:rsidRDefault="00C13642" w:rsidP="00082AD8">
      <w:pPr>
        <w:ind w:left="360"/>
        <w:jc w:val="both"/>
      </w:pPr>
      <w:r w:rsidRPr="00353BE5">
        <w:lastRenderedPageBreak/>
        <w:t>Treatment options for patients with metastatic pancreatic cancer</w:t>
      </w:r>
      <w:r>
        <w:t xml:space="preserve"> are limited and dependent on the patient’s status; the</w:t>
      </w:r>
      <w:r w:rsidRPr="00C13642">
        <w:t xml:space="preserve"> risks of treatment need to be balanced against the potential benefits.</w:t>
      </w:r>
      <w:r>
        <w:t xml:space="preserve"> </w:t>
      </w:r>
    </w:p>
    <w:p w14:paraId="547733F0" w14:textId="77777777" w:rsidR="00C66C2D" w:rsidRDefault="00C66C2D" w:rsidP="00A24C27">
      <w:pPr>
        <w:autoSpaceDE w:val="0"/>
        <w:autoSpaceDN w:val="0"/>
        <w:adjustRightInd w:val="0"/>
        <w:spacing w:before="0" w:after="0"/>
        <w:ind w:left="360"/>
      </w:pPr>
    </w:p>
    <w:p w14:paraId="46749E35"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w:t>
      </w:r>
      <w:r w:rsidR="00DF0C51" w:rsidRPr="00074C53">
        <w:t>as an attachment to the Application Form</w:t>
      </w:r>
      <w:r w:rsidR="00DF0C51">
        <w:t xml:space="preserve">] </w:t>
      </w:r>
      <w:r w:rsidR="00F33F1A" w:rsidRPr="00154B00">
        <w:t>dep</w:t>
      </w:r>
      <w:r w:rsidRPr="00154B00">
        <w:t>icting the current clinical manag</w:t>
      </w:r>
      <w:r w:rsidR="00197D29">
        <w:t>ement pathway up to this point):</w:t>
      </w:r>
    </w:p>
    <w:p w14:paraId="1C04C103" w14:textId="24A45D7C" w:rsidR="00A26A03" w:rsidRDefault="00A26A03" w:rsidP="00DD32E5">
      <w:pPr>
        <w:ind w:left="360"/>
        <w:jc w:val="both"/>
      </w:pPr>
      <w:r>
        <w:t xml:space="preserve">In the absence of Australian specific guidelines for the treatment of metastatic pancreatic cancer, </w:t>
      </w:r>
      <w:r w:rsidR="00ED2E3E">
        <w:t>Clinical Practi</w:t>
      </w:r>
      <w:r w:rsidR="00D56274">
        <w:t>c</w:t>
      </w:r>
      <w:r w:rsidR="00ED2E3E">
        <w:t xml:space="preserve">e Guidelines from </w:t>
      </w:r>
      <w:r w:rsidR="00D56274">
        <w:t>the</w:t>
      </w:r>
      <w:r w:rsidRPr="00F00CC1">
        <w:t xml:space="preserve"> European S</w:t>
      </w:r>
      <w:r w:rsidR="00ED2E3E">
        <w:t xml:space="preserve">ociety of </w:t>
      </w:r>
      <w:r w:rsidRPr="00F00CC1">
        <w:t>M</w:t>
      </w:r>
      <w:r w:rsidR="00ED2E3E">
        <w:t xml:space="preserve">edical </w:t>
      </w:r>
      <w:r w:rsidRPr="00F00CC1">
        <w:t>O</w:t>
      </w:r>
      <w:r w:rsidR="00ED2E3E">
        <w:t>ncology</w:t>
      </w:r>
      <w:sdt>
        <w:sdtPr>
          <w:id w:val="-1839449798"/>
          <w:citation/>
        </w:sdtPr>
        <w:sdtEndPr/>
        <w:sdtContent>
          <w:r w:rsidR="000D40DC">
            <w:fldChar w:fldCharType="begin"/>
          </w:r>
          <w:r w:rsidR="000D40DC">
            <w:instrText xml:space="preserve"> CITATION Duc15 \l 3081 </w:instrText>
          </w:r>
          <w:r w:rsidR="000D40DC">
            <w:fldChar w:fldCharType="separate"/>
          </w:r>
          <w:r w:rsidR="000D40DC">
            <w:rPr>
              <w:noProof/>
            </w:rPr>
            <w:t xml:space="preserve"> (Ducreux M, 2015)</w:t>
          </w:r>
          <w:r w:rsidR="000D40DC">
            <w:fldChar w:fldCharType="end"/>
          </w:r>
        </w:sdtContent>
      </w:sdt>
      <w:r w:rsidR="00CC0A8E">
        <w:t xml:space="preserve"> </w:t>
      </w:r>
      <w:r>
        <w:t>and the U</w:t>
      </w:r>
      <w:r w:rsidR="00D56274">
        <w:t xml:space="preserve">nited States (US) </w:t>
      </w:r>
      <w:r>
        <w:t>N</w:t>
      </w:r>
      <w:r w:rsidR="00ED2E3E">
        <w:t xml:space="preserve">ational Compressive </w:t>
      </w:r>
      <w:r>
        <w:t>C</w:t>
      </w:r>
      <w:r w:rsidR="00ED2E3E">
        <w:t xml:space="preserve">ancer </w:t>
      </w:r>
      <w:r>
        <w:t>N</w:t>
      </w:r>
      <w:r w:rsidR="00ED2E3E">
        <w:t xml:space="preserve">etwork </w:t>
      </w:r>
      <w:sdt>
        <w:sdtPr>
          <w:id w:val="-498581429"/>
          <w:citation/>
        </w:sdtPr>
        <w:sdtEndPr/>
        <w:sdtContent>
          <w:r w:rsidR="000D40DC">
            <w:fldChar w:fldCharType="begin"/>
          </w:r>
          <w:r w:rsidR="00B531F1">
            <w:instrText xml:space="preserve">CITATION Pan17 \l 3081 </w:instrText>
          </w:r>
          <w:r w:rsidR="000D40DC">
            <w:fldChar w:fldCharType="separate"/>
          </w:r>
          <w:r w:rsidR="00B531F1">
            <w:rPr>
              <w:noProof/>
            </w:rPr>
            <w:t>(Tempero MA, 2019)</w:t>
          </w:r>
          <w:r w:rsidR="000D40DC">
            <w:fldChar w:fldCharType="end"/>
          </w:r>
        </w:sdtContent>
      </w:sdt>
      <w:r w:rsidR="000D40DC">
        <w:t xml:space="preserve"> </w:t>
      </w:r>
      <w:r>
        <w:t>were used to develop the treatment algorithm</w:t>
      </w:r>
      <w:r w:rsidR="00D56274">
        <w:t xml:space="preserve">; the US National Cancer Institute treatment options for Stage IV pancreatic cancer were also </w:t>
      </w:r>
      <w:r w:rsidR="008B5D05">
        <w:t>consulted(</w:t>
      </w:r>
      <w:sdt>
        <w:sdtPr>
          <w:id w:val="-783336555"/>
          <w:citation/>
        </w:sdtPr>
        <w:sdtEndPr/>
        <w:sdtContent>
          <w:r w:rsidR="00875EE9">
            <w:fldChar w:fldCharType="begin"/>
          </w:r>
          <w:r w:rsidR="00875EE9">
            <w:instrText xml:space="preserve"> CITATION Nat19 \l 3081 </w:instrText>
          </w:r>
          <w:r w:rsidR="00875EE9">
            <w:fldChar w:fldCharType="separate"/>
          </w:r>
          <w:r w:rsidR="00875EE9">
            <w:rPr>
              <w:noProof/>
            </w:rPr>
            <w:t xml:space="preserve"> (National Cancer Institute, 2019)</w:t>
          </w:r>
          <w:r w:rsidR="00875EE9">
            <w:fldChar w:fldCharType="end"/>
          </w:r>
        </w:sdtContent>
      </w:sdt>
      <w:r w:rsidR="00D56274">
        <w:t>.</w:t>
      </w:r>
      <w:r>
        <w:t xml:space="preserve"> For the Australian perspective,</w:t>
      </w:r>
      <w:r w:rsidRPr="00F00CC1">
        <w:t xml:space="preserve"> the </w:t>
      </w:r>
      <w:proofErr w:type="spellStart"/>
      <w:r w:rsidRPr="00F00CC1">
        <w:t>eviQ</w:t>
      </w:r>
      <w:proofErr w:type="spellEnd"/>
      <w:r>
        <w:t xml:space="preserve"> </w:t>
      </w:r>
      <w:r w:rsidRPr="00F00CC1">
        <w:t>treatment protocols</w:t>
      </w:r>
      <w:r w:rsidR="008B5D05">
        <w:t xml:space="preserve"> </w:t>
      </w:r>
      <w:r>
        <w:t xml:space="preserve">for metastatic pancreatic cancer </w:t>
      </w:r>
      <w:sdt>
        <w:sdtPr>
          <w:id w:val="-1467198046"/>
          <w:citation/>
        </w:sdtPr>
        <w:sdtEndPr/>
        <w:sdtContent>
          <w:r w:rsidR="00875EE9">
            <w:fldChar w:fldCharType="begin"/>
          </w:r>
          <w:r w:rsidR="00875EE9">
            <w:instrText xml:space="preserve"> CITATION Can18 \l 3081 </w:instrText>
          </w:r>
          <w:r w:rsidR="00875EE9">
            <w:fldChar w:fldCharType="separate"/>
          </w:r>
          <w:r w:rsidR="00875EE9">
            <w:rPr>
              <w:noProof/>
            </w:rPr>
            <w:t xml:space="preserve"> (Cancer Institute NSW, 2018)</w:t>
          </w:r>
          <w:r w:rsidR="00875EE9">
            <w:fldChar w:fldCharType="end"/>
          </w:r>
        </w:sdtContent>
      </w:sdt>
      <w:r w:rsidR="008B5D05">
        <w:t xml:space="preserve"> </w:t>
      </w:r>
      <w:r>
        <w:t xml:space="preserve">were reviewed and </w:t>
      </w:r>
      <w:r w:rsidR="00D56274">
        <w:t xml:space="preserve">found to be generally </w:t>
      </w:r>
      <w:r>
        <w:t xml:space="preserve">consistent with the abovementioned international guidelines. </w:t>
      </w:r>
    </w:p>
    <w:p w14:paraId="120997F0" w14:textId="77777777" w:rsidR="00E678D0" w:rsidRDefault="00E678D0" w:rsidP="00DD32E5">
      <w:pPr>
        <w:ind w:left="360"/>
        <w:jc w:val="both"/>
      </w:pPr>
      <w:r>
        <w:t xml:space="preserve">Establishing BRCA mutation status at the time of diagnosis is recommended in the NCCN clinical guidelines for the treatment of pancreatic cancer </w:t>
      </w:r>
      <w:sdt>
        <w:sdtPr>
          <w:id w:val="596842210"/>
          <w:citation/>
        </w:sdtPr>
        <w:sdtEndPr/>
        <w:sdtContent>
          <w:r>
            <w:fldChar w:fldCharType="begin"/>
          </w:r>
          <w:r>
            <w:instrText xml:space="preserve"> CITATION Pan17 \l 3081 </w:instrText>
          </w:r>
          <w:r>
            <w:fldChar w:fldCharType="separate"/>
          </w:r>
          <w:r>
            <w:rPr>
              <w:noProof/>
            </w:rPr>
            <w:t>(Tempero MA, 2019)</w:t>
          </w:r>
          <w:r>
            <w:fldChar w:fldCharType="end"/>
          </w:r>
        </w:sdtContent>
      </w:sdt>
      <w:r>
        <w:t>.</w:t>
      </w:r>
    </w:p>
    <w:p w14:paraId="7D6D5180" w14:textId="32F5801A" w:rsidR="00A26A03" w:rsidRDefault="00A26A03" w:rsidP="00DD32E5">
      <w:pPr>
        <w:ind w:left="360"/>
        <w:jc w:val="both"/>
        <w:rPr>
          <w:i/>
          <w:iCs/>
        </w:rPr>
      </w:pPr>
      <w:r>
        <w:t xml:space="preserve">The algorithm is based on patient ECOG status and hepatic function as these are important criteria when deciding treatment approach. Additionally, Australian specific PBS restrictions and Product Information prescribing criteria were taken into account in terms of treatment options. The PBS Authority criteria for nab-paclitaxel specify that it must be given in combination with gemcitabine and patients must have an ECOG performance status of 2 or less. Hepatic function is also included as a criteria for deciding treatment options as the Abraxane (nab-paclitaxel) Product Information (July 2019) states the following: </w:t>
      </w:r>
      <w:r w:rsidRPr="002540EB">
        <w:rPr>
          <w:i/>
          <w:iCs/>
        </w:rPr>
        <w:t>There are insufficient data to permit dosage recommendations for patients with metastatic adenocarcinoma of the pancreas that have moderate to severe hepatic impairment. (</w:t>
      </w:r>
      <w:r w:rsidR="004D62CE" w:rsidRPr="002540EB">
        <w:rPr>
          <w:i/>
          <w:iCs/>
        </w:rPr>
        <w:t>i.e.</w:t>
      </w:r>
      <w:r w:rsidRPr="002540EB">
        <w:rPr>
          <w:i/>
          <w:iCs/>
        </w:rPr>
        <w:t xml:space="preserve"> bilirubin &gt; 1.5 ULN).</w:t>
      </w:r>
    </w:p>
    <w:p w14:paraId="65DC8B4B" w14:textId="148754AF" w:rsidR="00A26A03" w:rsidRDefault="00A26A03" w:rsidP="00DD32E5">
      <w:pPr>
        <w:ind w:left="360"/>
        <w:jc w:val="both"/>
      </w:pPr>
      <w:r>
        <w:t>A summary of the treatment pathway</w:t>
      </w:r>
      <w:r w:rsidR="0095493C">
        <w:t xml:space="preserve"> for metastatic pancreatic cancer</w:t>
      </w:r>
      <w:r>
        <w:t xml:space="preserve"> is provided below and provided in flowchart format </w:t>
      </w:r>
      <w:r w:rsidR="00C9070C">
        <w:t xml:space="preserve">in </w:t>
      </w:r>
      <w:r w:rsidR="00A16D1B">
        <w:fldChar w:fldCharType="begin"/>
      </w:r>
      <w:r w:rsidR="00A16D1B">
        <w:instrText xml:space="preserve"> REF _Ref21614847 \h </w:instrText>
      </w:r>
      <w:r w:rsidR="00867B3F">
        <w:instrText xml:space="preserve"> \* MERGEFORMAT </w:instrText>
      </w:r>
      <w:r w:rsidR="00A16D1B">
        <w:fldChar w:fldCharType="separate"/>
      </w:r>
      <w:r w:rsidR="008D211B">
        <w:t xml:space="preserve">Figure </w:t>
      </w:r>
      <w:r w:rsidR="008D211B">
        <w:rPr>
          <w:noProof/>
        </w:rPr>
        <w:t>1</w:t>
      </w:r>
      <w:r w:rsidR="00A16D1B">
        <w:fldChar w:fldCharType="end"/>
      </w:r>
      <w:r w:rsidR="0045113A">
        <w:t xml:space="preserve"> </w:t>
      </w:r>
      <w:r w:rsidR="00C9070C">
        <w:t xml:space="preserve">in the </w:t>
      </w:r>
      <w:r w:rsidR="008B5D05" w:rsidRPr="00D82FAC">
        <w:t>Attachment</w:t>
      </w:r>
      <w:r w:rsidR="008B5D05">
        <w:t xml:space="preserve"> to this Form.</w:t>
      </w:r>
    </w:p>
    <w:p w14:paraId="58D89662" w14:textId="74FE94A2" w:rsidR="00A26A03" w:rsidRDefault="00A26A03" w:rsidP="00867B3F">
      <w:pPr>
        <w:pStyle w:val="ListParagraph"/>
        <w:numPr>
          <w:ilvl w:val="0"/>
          <w:numId w:val="46"/>
        </w:numPr>
        <w:spacing w:before="0" w:after="160" w:line="259" w:lineRule="auto"/>
        <w:jc w:val="both"/>
      </w:pPr>
      <w:r w:rsidRPr="009426E9">
        <w:t>For patients with performance status of 3/4, with significant</w:t>
      </w:r>
      <w:r>
        <w:t xml:space="preserve"> </w:t>
      </w:r>
      <w:r w:rsidRPr="009426E9">
        <w:t>morbidities and a very short life</w:t>
      </w:r>
      <w:r>
        <w:t xml:space="preserve"> e</w:t>
      </w:r>
      <w:r w:rsidRPr="009426E9">
        <w:t>xpectancy</w:t>
      </w:r>
      <w:r w:rsidR="00A16D1B">
        <w:t>,</w:t>
      </w:r>
      <w:r w:rsidRPr="009426E9">
        <w:t xml:space="preserve"> only</w:t>
      </w:r>
      <w:r>
        <w:t xml:space="preserve"> </w:t>
      </w:r>
      <w:r w:rsidRPr="009426E9">
        <w:t xml:space="preserve">symptomatic treatment can be considered. </w:t>
      </w:r>
    </w:p>
    <w:p w14:paraId="080E1B27" w14:textId="381F4E4E" w:rsidR="00A26A03" w:rsidRPr="009426E9" w:rsidRDefault="00A26A03" w:rsidP="00867B3F">
      <w:pPr>
        <w:pStyle w:val="ListParagraph"/>
        <w:numPr>
          <w:ilvl w:val="0"/>
          <w:numId w:val="46"/>
        </w:numPr>
        <w:spacing w:before="0" w:after="160" w:line="259" w:lineRule="auto"/>
        <w:jc w:val="both"/>
      </w:pPr>
      <w:r>
        <w:t xml:space="preserve">For patients with </w:t>
      </w:r>
      <w:r w:rsidRPr="009426E9">
        <w:t xml:space="preserve">performance status of 0 </w:t>
      </w:r>
      <w:r>
        <w:t>to 2</w:t>
      </w:r>
      <w:r w:rsidRPr="009426E9">
        <w:t xml:space="preserve"> and bilirubin</w:t>
      </w:r>
      <w:r>
        <w:t xml:space="preserve"> </w:t>
      </w:r>
      <w:r w:rsidRPr="009426E9">
        <w:t>level below 1.5× ULN gemcitabine and nab-paclitaxel</w:t>
      </w:r>
      <w:r>
        <w:t xml:space="preserve"> can be considered; for patents with </w:t>
      </w:r>
      <w:r w:rsidRPr="009426E9">
        <w:t>bilirubin</w:t>
      </w:r>
      <w:r>
        <w:t xml:space="preserve"> </w:t>
      </w:r>
      <w:r w:rsidRPr="009426E9">
        <w:t>level higher than 1.5× ULN</w:t>
      </w:r>
      <w:r w:rsidR="00A16D1B">
        <w:t>,</w:t>
      </w:r>
      <w:r w:rsidRPr="009426E9">
        <w:t xml:space="preserve"> monotherapy with gemcitabine</w:t>
      </w:r>
      <w:r>
        <w:t xml:space="preserve"> </w:t>
      </w:r>
      <w:r w:rsidRPr="009426E9">
        <w:t xml:space="preserve">could be considered </w:t>
      </w:r>
    </w:p>
    <w:p w14:paraId="203449B6" w14:textId="361A527F" w:rsidR="00A26A03" w:rsidRDefault="00A26A03" w:rsidP="00867B3F">
      <w:pPr>
        <w:pStyle w:val="ListParagraph"/>
        <w:numPr>
          <w:ilvl w:val="0"/>
          <w:numId w:val="46"/>
        </w:numPr>
        <w:spacing w:before="0" w:after="160" w:line="259" w:lineRule="auto"/>
        <w:jc w:val="both"/>
      </w:pPr>
      <w:r>
        <w:t xml:space="preserve">For patients with ECOG status of 0 or 1 </w:t>
      </w:r>
      <w:r w:rsidRPr="009426E9">
        <w:t>and bilirubin</w:t>
      </w:r>
      <w:r>
        <w:t xml:space="preserve"> </w:t>
      </w:r>
      <w:r w:rsidRPr="009426E9">
        <w:t>level below 1.5× ULN</w:t>
      </w:r>
      <w:r>
        <w:t xml:space="preserve">, </w:t>
      </w:r>
      <w:r w:rsidRPr="009426E9">
        <w:t xml:space="preserve">FOLFIRINOX </w:t>
      </w:r>
      <w:r w:rsidR="007615D8">
        <w:t>or other platinum containing r</w:t>
      </w:r>
      <w:r w:rsidRPr="009426E9">
        <w:t xml:space="preserve">egimen </w:t>
      </w:r>
      <w:r>
        <w:t>may be considered</w:t>
      </w:r>
    </w:p>
    <w:p w14:paraId="552F894B" w14:textId="77777777" w:rsidR="002A50FD" w:rsidRPr="00881F93" w:rsidRDefault="005C3AE7" w:rsidP="005C3AE7">
      <w:pPr>
        <w:pStyle w:val="Subtitle"/>
      </w:pPr>
      <w:r>
        <w:t xml:space="preserve">PART 6b – </w:t>
      </w:r>
      <w:r w:rsidR="002A50FD" w:rsidRPr="00881F93">
        <w:t>INFORMATION ABOUT THE INTERVENTION</w:t>
      </w:r>
    </w:p>
    <w:p w14:paraId="1BB2E6CE" w14:textId="77777777" w:rsidR="002A50FD" w:rsidRPr="00154B00" w:rsidRDefault="002A6753" w:rsidP="00530204">
      <w:pPr>
        <w:pStyle w:val="Heading2"/>
      </w:pPr>
      <w:r w:rsidRPr="00154B00">
        <w:lastRenderedPageBreak/>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9459E38" w14:textId="77777777" w:rsidR="00224274" w:rsidRPr="00EA2A71" w:rsidRDefault="00224274" w:rsidP="00224274">
      <w:pPr>
        <w:ind w:left="360"/>
      </w:pPr>
      <w:r w:rsidRPr="00EA2A71">
        <w:t>The current key components and clinical steps involved in delivering a germline BRCA mutation test are as follows:</w:t>
      </w:r>
    </w:p>
    <w:p w14:paraId="6ED38024" w14:textId="13C3E114" w:rsidR="00224274" w:rsidRPr="00EA2A71" w:rsidRDefault="00224274" w:rsidP="00224274">
      <w:pPr>
        <w:pStyle w:val="ListParagraph"/>
        <w:numPr>
          <w:ilvl w:val="0"/>
          <w:numId w:val="41"/>
        </w:numPr>
        <w:spacing w:before="0" w:after="0"/>
        <w:contextualSpacing w:val="0"/>
        <w:jc w:val="both"/>
      </w:pPr>
      <w:r w:rsidRPr="00EA2A71">
        <w:t>Patient</w:t>
      </w:r>
      <w:r w:rsidR="009D4C9A">
        <w:t xml:space="preserve"> with metastatic pancreatic cancer who meets the criteria for BRCA testing</w:t>
      </w:r>
      <w:r w:rsidRPr="00EA2A71">
        <w:t xml:space="preserve"> is referred to Genetic Services/Familial Cancer Centre by a medical practitioner </w:t>
      </w:r>
      <w:r w:rsidR="009D4C9A">
        <w:t xml:space="preserve">(e.g. Oncologist) </w:t>
      </w:r>
      <w:r w:rsidRPr="00EA2A71">
        <w:t>for a pre-test consultation.</w:t>
      </w:r>
    </w:p>
    <w:p w14:paraId="42E7CEF4" w14:textId="4C470265" w:rsidR="00224274" w:rsidRPr="00EA2A71" w:rsidRDefault="00224274" w:rsidP="00224274">
      <w:pPr>
        <w:pStyle w:val="ListParagraph"/>
        <w:numPr>
          <w:ilvl w:val="0"/>
          <w:numId w:val="41"/>
        </w:numPr>
        <w:spacing w:before="0" w:after="0"/>
        <w:contextualSpacing w:val="0"/>
        <w:jc w:val="both"/>
      </w:pPr>
      <w:r w:rsidRPr="00EA2A71">
        <w:t>Genetic counselling with Genetic Services/Familial Cancer Centre team and patient. Genetic Services/Familial Cancer Centre team provides information about genetics, inheritance (family risk) and genetic testing. The patient decides to take a genetic test i.e. the germline BRCA mutation test.  The patient will provide a signed consent form to Genetic Services who will order the BRCA test and order the collection of a blood sample to be taken. Oncology teams are currently being trained in genetic mainstreaming</w:t>
      </w:r>
      <w:r w:rsidR="00C808D6" w:rsidRPr="00EA2A71">
        <w:t>; t</w:t>
      </w:r>
      <w:r w:rsidRPr="00EA2A71">
        <w:t>he oncologist or “treating specialist” can also sign the pathology request form and arrange for the blood collection.</w:t>
      </w:r>
    </w:p>
    <w:p w14:paraId="51FB3371" w14:textId="2475AA42" w:rsidR="00224274" w:rsidRPr="00EA2A71" w:rsidRDefault="00224274" w:rsidP="00224274">
      <w:pPr>
        <w:pStyle w:val="ListParagraph"/>
        <w:numPr>
          <w:ilvl w:val="0"/>
          <w:numId w:val="41"/>
        </w:numPr>
        <w:spacing w:before="0" w:after="0"/>
        <w:contextualSpacing w:val="0"/>
        <w:jc w:val="both"/>
      </w:pPr>
      <w:r w:rsidRPr="00EA2A71">
        <w:t xml:space="preserve">Patient’s blood sample is taken and send to a pathology laboratory where BRCA testing is performed. The turnaround for test results is around </w:t>
      </w:r>
      <w:r w:rsidR="00134DDE">
        <w:t>2 to 4</w:t>
      </w:r>
      <w:r w:rsidRPr="00EA2A71">
        <w:t xml:space="preserve"> weeks. </w:t>
      </w:r>
    </w:p>
    <w:p w14:paraId="2CF156DC" w14:textId="463E2CB6" w:rsidR="00224274" w:rsidRPr="00EA2A71" w:rsidRDefault="00224274" w:rsidP="00224274">
      <w:pPr>
        <w:pStyle w:val="ListParagraph"/>
        <w:numPr>
          <w:ilvl w:val="0"/>
          <w:numId w:val="41"/>
        </w:numPr>
        <w:spacing w:before="0" w:after="0"/>
        <w:contextualSpacing w:val="0"/>
        <w:jc w:val="both"/>
      </w:pPr>
      <w:r w:rsidRPr="00867B3F">
        <w:t>The results are sen</w:t>
      </w:r>
      <w:r w:rsidR="00AB7504" w:rsidRPr="00867B3F">
        <w:t>t</w:t>
      </w:r>
      <w:r w:rsidRPr="00867B3F">
        <w:t xml:space="preserve"> to the </w:t>
      </w:r>
      <w:r w:rsidR="009D4C9A" w:rsidRPr="00867B3F">
        <w:t>requesting clinician</w:t>
      </w:r>
      <w:r w:rsidRPr="00867B3F">
        <w:t>.  </w:t>
      </w:r>
      <w:r w:rsidR="009D4C9A" w:rsidRPr="009D4C9A">
        <w:t xml:space="preserve">Individuals identified as harbouring a pathogenic mutation (Class 4 or 5) </w:t>
      </w:r>
      <w:r w:rsidR="009D4C9A">
        <w:t xml:space="preserve">are </w:t>
      </w:r>
      <w:r w:rsidR="009D4C9A" w:rsidRPr="009D4C9A">
        <w:t xml:space="preserve">referred to </w:t>
      </w:r>
      <w:r w:rsidR="009D4C9A">
        <w:t>G</w:t>
      </w:r>
      <w:r w:rsidR="009D4C9A" w:rsidRPr="009D4C9A">
        <w:t xml:space="preserve">enetics </w:t>
      </w:r>
      <w:r w:rsidR="009D4C9A">
        <w:t>S</w:t>
      </w:r>
      <w:r w:rsidR="009D4C9A" w:rsidRPr="009D4C9A">
        <w:t>ervices/Familial Cancer Centres for post</w:t>
      </w:r>
      <w:r w:rsidR="009D4C9A">
        <w:t>-</w:t>
      </w:r>
      <w:r w:rsidR="009D4C9A" w:rsidRPr="009D4C9A">
        <w:t>test counselling. Patients with a VUS or strong family history should also be referred for post</w:t>
      </w:r>
      <w:r w:rsidR="009D4C9A">
        <w:t>-</w:t>
      </w:r>
      <w:r w:rsidR="009D4C9A" w:rsidRPr="009D4C9A">
        <w:t>test counselling</w:t>
      </w:r>
      <w:r w:rsidRPr="00EA2A71">
        <w:t xml:space="preserve">. </w:t>
      </w:r>
    </w:p>
    <w:p w14:paraId="419E0379" w14:textId="232FAE9F" w:rsidR="00224274" w:rsidRPr="00EA2A71" w:rsidRDefault="00224274" w:rsidP="00224274">
      <w:pPr>
        <w:pStyle w:val="ListParagraph"/>
        <w:numPr>
          <w:ilvl w:val="0"/>
          <w:numId w:val="41"/>
        </w:numPr>
        <w:spacing w:before="0" w:after="0"/>
        <w:contextualSpacing w:val="0"/>
        <w:jc w:val="both"/>
      </w:pPr>
      <w:r w:rsidRPr="00EA2A71">
        <w:t>Based on a positive BRCA</w:t>
      </w:r>
      <w:r w:rsidR="00AB7504" w:rsidRPr="00EA2A71">
        <w:t xml:space="preserve"> mutation </w:t>
      </w:r>
      <w:r w:rsidRPr="00EA2A71">
        <w:t xml:space="preserve">result the medical practitioner will consider prescribing </w:t>
      </w:r>
      <w:r w:rsidR="00C808D6" w:rsidRPr="00EA2A71">
        <w:t>o</w:t>
      </w:r>
      <w:r w:rsidRPr="00EA2A71">
        <w:t>laparib to patient</w:t>
      </w:r>
      <w:r w:rsidR="00B77128">
        <w:t>s</w:t>
      </w:r>
      <w:r w:rsidRPr="00EA2A71">
        <w:t xml:space="preserve"> with metastatic </w:t>
      </w:r>
      <w:r w:rsidR="00AB7504" w:rsidRPr="00EA2A71">
        <w:t>pancreati</w:t>
      </w:r>
      <w:r w:rsidRPr="00EA2A71">
        <w:t>c</w:t>
      </w:r>
      <w:r w:rsidR="00AB7504" w:rsidRPr="00EA2A71">
        <w:t xml:space="preserve"> c</w:t>
      </w:r>
      <w:r w:rsidRPr="00EA2A71">
        <w:t>ancer if they meet the PBS criteria to access treatment</w:t>
      </w:r>
      <w:r w:rsidR="00B77128">
        <w:t>.</w:t>
      </w:r>
    </w:p>
    <w:p w14:paraId="6DFC04DB" w14:textId="70F237A3" w:rsidR="008161E6" w:rsidRPr="00154B00" w:rsidRDefault="008161E6" w:rsidP="00082AD8">
      <w:pPr>
        <w:ind w:left="360"/>
        <w:jc w:val="both"/>
        <w:rPr>
          <w:szCs w:val="20"/>
        </w:rPr>
      </w:pPr>
    </w:p>
    <w:p w14:paraId="60F136CF"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DA0658C" w14:textId="77777777" w:rsidR="008161E6" w:rsidRDefault="00E74125" w:rsidP="00E74125">
      <w:pPr>
        <w:ind w:left="360"/>
      </w:pPr>
      <w:r>
        <w:rPr>
          <w:iCs/>
          <w:szCs w:val="20"/>
        </w:rPr>
        <w:t xml:space="preserve">Registered trademarks may be held by </w:t>
      </w:r>
      <w:r w:rsidR="008161E6">
        <w:rPr>
          <w:iCs/>
          <w:szCs w:val="20"/>
        </w:rPr>
        <w:t xml:space="preserve">the </w:t>
      </w:r>
      <w:r>
        <w:rPr>
          <w:iCs/>
          <w:szCs w:val="20"/>
        </w:rPr>
        <w:t xml:space="preserve">various commercial kits </w:t>
      </w:r>
      <w:r>
        <w:t>used at the different stages of the testing process outlined in Q2</w:t>
      </w:r>
      <w:r w:rsidR="008161E6">
        <w:t>7</w:t>
      </w:r>
      <w:r>
        <w:t xml:space="preserve"> above, for example for DNA extraction, quality assurance, quantification, PCR amplification, as well as the NGS platform itself.  </w:t>
      </w:r>
    </w:p>
    <w:p w14:paraId="11D5B142" w14:textId="15BCA498" w:rsidR="00E74125" w:rsidRDefault="00E74125" w:rsidP="00211721">
      <w:pPr>
        <w:ind w:left="360"/>
        <w:rPr>
          <w:iCs/>
          <w:szCs w:val="20"/>
        </w:rPr>
      </w:pPr>
      <w:r>
        <w:t xml:space="preserve">The drug </w:t>
      </w:r>
      <w:r w:rsidR="008161E6">
        <w:t xml:space="preserve">name </w:t>
      </w:r>
      <w:r>
        <w:t xml:space="preserve">LYNPARZA </w:t>
      </w:r>
      <w:r w:rsidR="008161E6">
        <w:t>is</w:t>
      </w:r>
      <w:r>
        <w:t xml:space="preserve"> a registered trademark.</w:t>
      </w:r>
    </w:p>
    <w:p w14:paraId="7A0352AC"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8EE9B30" w14:textId="1343F9BB" w:rsidR="00280D66" w:rsidRDefault="00280D66" w:rsidP="00E357B9">
      <w:pPr>
        <w:ind w:left="426"/>
        <w:rPr>
          <w:b/>
          <w:szCs w:val="20"/>
        </w:rPr>
      </w:pPr>
      <w:r>
        <w:t>N</w:t>
      </w:r>
      <w:r w:rsidR="00C9070C">
        <w:t>ot Applicable</w:t>
      </w:r>
    </w:p>
    <w:p w14:paraId="25C3F8C3"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ABEF936" w14:textId="205707B9" w:rsidR="0075535D" w:rsidRDefault="00B77128" w:rsidP="0075535D">
      <w:pPr>
        <w:ind w:left="426"/>
      </w:pPr>
      <w:r>
        <w:t>As discussed in Question 13 (a) BRCA testing is well established in Australia; there</w:t>
      </w:r>
      <w:r w:rsidRPr="00A77332">
        <w:t xml:space="preserve"> are several Australian molecular pathology service providers that offer BRCA mutation testing on a commercial basis</w:t>
      </w:r>
      <w:r w:rsidR="0062283E">
        <w:t xml:space="preserve">, with centres in South Australia, </w:t>
      </w:r>
      <w:r w:rsidR="0062283E">
        <w:lastRenderedPageBreak/>
        <w:t>Western Australia, Queensland, NSW and Victoria</w:t>
      </w:r>
      <w:r>
        <w:t xml:space="preserve">; please refer to </w:t>
      </w:r>
      <w:r>
        <w:fldChar w:fldCharType="begin"/>
      </w:r>
      <w:r>
        <w:instrText xml:space="preserve"> REF _Ref17924221 \h </w:instrText>
      </w:r>
      <w:r>
        <w:fldChar w:fldCharType="separate"/>
      </w:r>
      <w:r w:rsidR="008D211B" w:rsidRPr="007D02F3">
        <w:rPr>
          <w:rFonts w:cstheme="minorHAnsi"/>
        </w:rPr>
        <w:t xml:space="preserve">Table </w:t>
      </w:r>
      <w:r w:rsidR="008D211B">
        <w:rPr>
          <w:rFonts w:cstheme="minorHAnsi"/>
          <w:noProof/>
        </w:rPr>
        <w:t>1</w:t>
      </w:r>
      <w:r>
        <w:fldChar w:fldCharType="end"/>
      </w:r>
      <w:r>
        <w:t>.</w:t>
      </w:r>
      <w:r w:rsidR="0075535D" w:rsidRPr="0075535D">
        <w:t xml:space="preserve"> </w:t>
      </w:r>
      <w:r w:rsidR="0075535D">
        <w:t>Only one germline BRCA test is required for a patient in their lifetime.</w:t>
      </w:r>
    </w:p>
    <w:p w14:paraId="10935A9E"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9AEB513" w14:textId="0D79C72D" w:rsidR="0075535D" w:rsidRPr="0075535D" w:rsidRDefault="0075535D" w:rsidP="0075535D">
      <w:pPr>
        <w:ind w:left="360"/>
        <w:jc w:val="both"/>
      </w:pPr>
      <w:r w:rsidRPr="0075535D">
        <w:t>Because BRCA</w:t>
      </w:r>
      <w:r>
        <w:t xml:space="preserve"> </w:t>
      </w:r>
      <w:r w:rsidRPr="0075535D">
        <w:t>m</w:t>
      </w:r>
      <w:r>
        <w:t>utation</w:t>
      </w:r>
      <w:r w:rsidRPr="0075535D">
        <w:t xml:space="preserve"> testing provides prognostic information that can have an impact on family members, testing is ordinarily preceded and followed by genetic counselling. Pre-test genetic counselling is important to ensure that individuals understand the likelihood of a BRCA</w:t>
      </w:r>
      <w:r>
        <w:t xml:space="preserve"> </w:t>
      </w:r>
      <w:r w:rsidRPr="0075535D">
        <w:t>m</w:t>
      </w:r>
      <w:r>
        <w:t>utation</w:t>
      </w:r>
      <w:r w:rsidRPr="0075535D">
        <w:t xml:space="preserve"> being identified and the risks and benefits of being tested. Post-test genetic counselling helps patients understand the practical meaning of the results including implications for family members, including risk-reducing strategies that are available if a BRCA</w:t>
      </w:r>
      <w:r>
        <w:t xml:space="preserve"> </w:t>
      </w:r>
      <w:r w:rsidRPr="0075535D">
        <w:t>m</w:t>
      </w:r>
      <w:r>
        <w:t>utation</w:t>
      </w:r>
      <w:r w:rsidRPr="0075535D">
        <w:t xml:space="preserve"> is identified</w:t>
      </w:r>
      <w:r>
        <w:t xml:space="preserve"> </w:t>
      </w:r>
      <w:sdt>
        <w:sdtPr>
          <w:id w:val="1181172622"/>
          <w:citation/>
        </w:sdtPr>
        <w:sdtEndPr/>
        <w:sdtContent>
          <w:r>
            <w:fldChar w:fldCharType="begin"/>
          </w:r>
          <w:r>
            <w:instrText xml:space="preserve"> CITATION Lau11 \l 3081 </w:instrText>
          </w:r>
          <w:r>
            <w:fldChar w:fldCharType="separate"/>
          </w:r>
          <w:r>
            <w:rPr>
              <w:noProof/>
            </w:rPr>
            <w:t>(Lau C, 2011)</w:t>
          </w:r>
          <w:r>
            <w:fldChar w:fldCharType="end"/>
          </w:r>
        </w:sdtContent>
      </w:sdt>
      <w:r w:rsidRPr="0075535D">
        <w:t xml:space="preserve">. All states/territories in Australia have at least one </w:t>
      </w:r>
      <w:r w:rsidR="00747656" w:rsidRPr="0075535D">
        <w:t>publicly</w:t>
      </w:r>
      <w:r w:rsidRPr="0075535D">
        <w:t xml:space="preserve"> funded Genetic Service centre available to patients and their families.  </w:t>
      </w:r>
      <w:r w:rsidR="00FC6E1F" w:rsidRPr="00FC6E1F">
        <w:t xml:space="preserve">With MBS </w:t>
      </w:r>
      <w:r w:rsidR="00FC6E1F">
        <w:t xml:space="preserve">funding for germline testing in patients with metastatic pancreatic cancer, coupled with </w:t>
      </w:r>
      <w:r w:rsidR="00FC6E1F" w:rsidRPr="00FC6E1F">
        <w:t xml:space="preserve">increased </w:t>
      </w:r>
      <w:r w:rsidR="00FC6E1F">
        <w:t xml:space="preserve">uptake of </w:t>
      </w:r>
      <w:r w:rsidR="00FC6E1F" w:rsidRPr="00FC6E1F">
        <w:t xml:space="preserve">genetic mainstreaming, the </w:t>
      </w:r>
      <w:r w:rsidR="00FC6E1F">
        <w:t xml:space="preserve">likely future </w:t>
      </w:r>
      <w:r w:rsidR="00FC6E1F" w:rsidRPr="00FC6E1F">
        <w:t xml:space="preserve">scenario would be pre-test </w:t>
      </w:r>
      <w:r w:rsidR="00FC6E1F">
        <w:t>counselling and consent</w:t>
      </w:r>
      <w:r w:rsidR="00FC6E1F" w:rsidRPr="00FC6E1F">
        <w:t xml:space="preserve"> being </w:t>
      </w:r>
      <w:r w:rsidR="00FC6E1F">
        <w:t>obtained</w:t>
      </w:r>
      <w:r w:rsidR="00FC6E1F" w:rsidRPr="00FC6E1F">
        <w:t xml:space="preserve"> by the oncology team and post-test counselling for Class 3-5 being performed by </w:t>
      </w:r>
      <w:r w:rsidR="00FC6E1F">
        <w:t>G</w:t>
      </w:r>
      <w:r w:rsidR="00FC6E1F" w:rsidRPr="00FC6E1F">
        <w:t>enetics/FCC</w:t>
      </w:r>
      <w:r w:rsidR="00FC6E1F">
        <w:t>.</w:t>
      </w:r>
    </w:p>
    <w:p w14:paraId="5089AFE4"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29B232D" w14:textId="77777777" w:rsidR="00783E16" w:rsidRPr="00154B00" w:rsidRDefault="00783E16" w:rsidP="00783E16">
      <w:pPr>
        <w:ind w:left="426"/>
        <w:rPr>
          <w:szCs w:val="20"/>
        </w:rPr>
      </w:pPr>
      <w:bookmarkStart w:id="12" w:name="_Hlk506986714"/>
      <w:bookmarkStart w:id="13" w:name="_Hlk506986884"/>
      <w:r>
        <w:t xml:space="preserve">Testing to identify BRCA1/2 gene mutations </w:t>
      </w:r>
      <w:bookmarkEnd w:id="12"/>
      <w:r>
        <w:t>should be conducted and the results interpreted and reported by suitably qualified and trained molecular pathologists.  Testing should be conducted in specialist laboratories holding the appropriate accreditation and registration for this diagnostic testing procedure.</w:t>
      </w:r>
    </w:p>
    <w:bookmarkEnd w:id="13"/>
    <w:p w14:paraId="6B25C326"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F184DF4" w14:textId="517D056D" w:rsidR="00783E16" w:rsidRPr="00154B00" w:rsidRDefault="00783E16" w:rsidP="00884E69">
      <w:pPr>
        <w:ind w:left="426"/>
        <w:rPr>
          <w:szCs w:val="20"/>
        </w:rPr>
      </w:pPr>
      <w:r>
        <w:t>N</w:t>
      </w:r>
      <w:r w:rsidR="00C9070C">
        <w:t>ot Applicable</w:t>
      </w:r>
    </w:p>
    <w:p w14:paraId="3437769D"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845CDAD" w14:textId="2EE5B600" w:rsidR="00783E16" w:rsidRPr="00154B00" w:rsidRDefault="00783E16" w:rsidP="00195FE1">
      <w:pPr>
        <w:ind w:left="360"/>
        <w:rPr>
          <w:szCs w:val="20"/>
        </w:rPr>
      </w:pPr>
      <w:r w:rsidRPr="0041209A">
        <w:t>T</w:t>
      </w:r>
      <w:r>
        <w:t>esting to identify BRCA1/2 gene mutations in patients with metastatic pancreatic cancer should be based on a referral request from a specialist or consultant physician and should not be pathologist determinable.</w:t>
      </w:r>
    </w:p>
    <w:p w14:paraId="59B38485"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3A1EFA5" w14:textId="551F87FA" w:rsidR="00783E16" w:rsidRPr="00144869" w:rsidRDefault="00783E16" w:rsidP="00783E16">
      <w:pPr>
        <w:ind w:left="360"/>
        <w:rPr>
          <w:b/>
        </w:rPr>
      </w:pPr>
      <w:r w:rsidRPr="004C70DF">
        <w:t>Te</w:t>
      </w:r>
      <w:r>
        <w:t xml:space="preserve">sting to identify BRCA1/2 gene mutations should be conducted and the results interpreted and reported by suitably qualified and trained pathologists.  Testing should be conducted in specialist laboratories holding the appropriate accreditation and registration for this diagnostic testing procedure. </w:t>
      </w:r>
    </w:p>
    <w:p w14:paraId="22A0F349" w14:textId="77777777" w:rsidR="00783E16" w:rsidRPr="00154B00" w:rsidRDefault="00783E16" w:rsidP="0073597B">
      <w:pPr>
        <w:ind w:left="426"/>
        <w:rPr>
          <w:szCs w:val="20"/>
        </w:rPr>
      </w:pPr>
    </w:p>
    <w:p w14:paraId="47626D12" w14:textId="0A4BAEC1" w:rsidR="005F3F07" w:rsidRDefault="005C3AE7" w:rsidP="00F71CA6">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25FF357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4AB3D01B" w14:textId="77777777" w:rsidR="000A478F" w:rsidRDefault="000A478F" w:rsidP="000A478F">
      <w:pPr>
        <w:spacing w:before="0" w:after="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6F43718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09671A18"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Public outpatient clinic</w:t>
      </w:r>
    </w:p>
    <w:p w14:paraId="5360BA4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t>Emergency Department</w:t>
      </w:r>
    </w:p>
    <w:p w14:paraId="40D7DC9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343549D1"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Private consulting rooms – specialist</w:t>
      </w:r>
    </w:p>
    <w:p w14:paraId="7B5DB80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Private consulting rooms – other health practitioner (nurse or allied health)</w:t>
      </w:r>
    </w:p>
    <w:p w14:paraId="5569F45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5CCF2A3B"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Private day surgery clinic (non-admitted patient)</w:t>
      </w:r>
    </w:p>
    <w:p w14:paraId="129412F8"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Public day surgery clinic (admitted patient)</w:t>
      </w:r>
    </w:p>
    <w:p w14:paraId="55A87F65"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Public day surgery clinic (non-admitted patient)</w:t>
      </w:r>
    </w:p>
    <w:p w14:paraId="3C2C349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t>Residential aged care facility</w:t>
      </w:r>
    </w:p>
    <w:p w14:paraId="06EA31B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t>Patient’s home</w:t>
      </w:r>
    </w:p>
    <w:p w14:paraId="6182F1EE" w14:textId="083647AE" w:rsidR="000A478F" w:rsidRDefault="00783E16"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Pr>
          <w:szCs w:val="20"/>
        </w:rPr>
        <w:t xml:space="preserve"> </w:t>
      </w:r>
      <w:r w:rsidR="000A478F">
        <w:rPr>
          <w:szCs w:val="20"/>
        </w:rPr>
        <w:t xml:space="preserve"> </w:t>
      </w:r>
      <w:r w:rsidR="000A478F">
        <w:t>Laboratory</w:t>
      </w:r>
    </w:p>
    <w:p w14:paraId="7788223B"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D211B">
        <w:rPr>
          <w:szCs w:val="20"/>
        </w:rPr>
      </w:r>
      <w:r w:rsidR="008D211B">
        <w:rPr>
          <w:szCs w:val="20"/>
        </w:rPr>
        <w:fldChar w:fldCharType="separate"/>
      </w:r>
      <w:r w:rsidRPr="000A5B32">
        <w:rPr>
          <w:szCs w:val="20"/>
        </w:rPr>
        <w:fldChar w:fldCharType="end"/>
      </w:r>
      <w:r>
        <w:rPr>
          <w:szCs w:val="20"/>
        </w:rPr>
        <w:t xml:space="preserve"> </w:t>
      </w:r>
      <w:r>
        <w:t>Other – please specify below</w:t>
      </w:r>
    </w:p>
    <w:p w14:paraId="3C962B6B" w14:textId="7D26F707" w:rsidR="005F3F07" w:rsidRDefault="001B29A1" w:rsidP="0073597B">
      <w:pPr>
        <w:ind w:left="426"/>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5ADFBF6D" w14:textId="7DC53AFB" w:rsidR="00747656" w:rsidRDefault="00747656" w:rsidP="00195FE1">
      <w:pPr>
        <w:ind w:left="360"/>
        <w:rPr>
          <w:b/>
          <w:szCs w:val="20"/>
        </w:rPr>
      </w:pPr>
      <w:r>
        <w:t xml:space="preserve">The medical service will be conducted in pathology laboratories which may be private companies or may be domiciled within private or public research institutes or hospitals. </w:t>
      </w:r>
      <w:r w:rsidRPr="00362040">
        <w:t>All laboratories are accredited to the Royal College of Pathologist of Australasia (RCPA) Quality Assurance Programs. For further information please refer to the website</w:t>
      </w:r>
      <w:r w:rsidR="00195FE1" w:rsidRPr="004D1096">
        <w:rPr>
          <w:szCs w:val="20"/>
        </w:rPr>
        <w:t xml:space="preserve">: </w:t>
      </w:r>
      <w:hyperlink r:id="rId72" w:history="1">
        <w:r w:rsidR="00195FE1" w:rsidRPr="004D1096">
          <w:rPr>
            <w:rStyle w:val="Hyperlink"/>
            <w:szCs w:val="20"/>
          </w:rPr>
          <w:t>https://www.rcpaqap.com.au/home-page</w:t>
        </w:r>
      </w:hyperlink>
      <w:r w:rsidR="00195FE1">
        <w:t xml:space="preserve"> </w:t>
      </w:r>
    </w:p>
    <w:p w14:paraId="680C769E"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F5148CF" w14:textId="3A1B16F8" w:rsidR="00783E16" w:rsidRDefault="00783E16" w:rsidP="0073597B">
      <w:pPr>
        <w:ind w:left="426"/>
        <w:rPr>
          <w:b/>
          <w:szCs w:val="20"/>
        </w:rPr>
      </w:pPr>
      <w:r>
        <w:t>N</w:t>
      </w:r>
      <w:r w:rsidR="00C9070C">
        <w:t>ot Applicable</w:t>
      </w:r>
    </w:p>
    <w:p w14:paraId="577E8AF4" w14:textId="77777777" w:rsidR="003E30FB" w:rsidRDefault="003E30FB" w:rsidP="00530204">
      <w:pPr>
        <w:pStyle w:val="Heading2"/>
      </w:pPr>
      <w:r>
        <w:t xml:space="preserve">Is the </w:t>
      </w:r>
      <w:r w:rsidRPr="001B29A1">
        <w:t>proposed</w:t>
      </w:r>
      <w:r>
        <w:t xml:space="preserve"> medical service intended to be entirely rendered in Australia?</w:t>
      </w:r>
    </w:p>
    <w:p w14:paraId="2CA59626" w14:textId="41489184" w:rsidR="000A478F" w:rsidRDefault="00783E16"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0A478F">
        <w:rPr>
          <w:szCs w:val="20"/>
        </w:rPr>
        <w:t xml:space="preserve"> Yes</w:t>
      </w:r>
    </w:p>
    <w:p w14:paraId="677DEBAC"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D211B">
        <w:rPr>
          <w:szCs w:val="20"/>
        </w:rPr>
      </w:r>
      <w:r w:rsidR="008D211B">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64C70457"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14" w:name="Text1"/>
      <w:r>
        <w:instrText xml:space="preserve"> FORMTEXT </w:instrText>
      </w:r>
      <w:r>
        <w:fldChar w:fldCharType="separate"/>
      </w:r>
      <w:r>
        <w:rPr>
          <w:noProof/>
        </w:rPr>
        <w:t>Specify further details here</w:t>
      </w:r>
      <w:r>
        <w:fldChar w:fldCharType="end"/>
      </w:r>
      <w:bookmarkEnd w:id="14"/>
    </w:p>
    <w:p w14:paraId="41FE7C29" w14:textId="77777777" w:rsidR="000A478F" w:rsidRDefault="000A478F" w:rsidP="00881F93">
      <w:pPr>
        <w:rPr>
          <w:b/>
          <w:i/>
          <w:szCs w:val="20"/>
          <w:u w:val="single"/>
        </w:rPr>
      </w:pPr>
      <w:r>
        <w:rPr>
          <w:b/>
          <w:i/>
          <w:szCs w:val="20"/>
          <w:u w:val="single"/>
        </w:rPr>
        <w:br w:type="page"/>
      </w:r>
    </w:p>
    <w:p w14:paraId="5AEE02B7"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77EB0DCE"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76C5893" w14:textId="70D1A880" w:rsidR="00783E16" w:rsidRPr="00CD15B8" w:rsidRDefault="00783E16" w:rsidP="00867B3F">
      <w:pPr>
        <w:ind w:left="360"/>
        <w:jc w:val="both"/>
      </w:pPr>
      <w:r w:rsidRPr="00CD15B8">
        <w:t xml:space="preserve">Currently germline BRCA mutation testing is </w:t>
      </w:r>
      <w:r w:rsidRPr="00CD15B8">
        <w:rPr>
          <w:u w:val="single"/>
        </w:rPr>
        <w:t>not</w:t>
      </w:r>
      <w:r w:rsidRPr="00CD15B8">
        <w:t xml:space="preserve"> funded by the Commonwealth for patients with metastatic pancreatic cancer to determine their status of the BRCA 1 and 2 gene, for olaparib eligibility. </w:t>
      </w:r>
    </w:p>
    <w:p w14:paraId="2B8783EA" w14:textId="23BAFC43" w:rsidR="00783E16" w:rsidRPr="00A630D7" w:rsidRDefault="00783E16" w:rsidP="00867B3F">
      <w:pPr>
        <w:ind w:left="360"/>
        <w:jc w:val="both"/>
      </w:pPr>
      <w:r>
        <w:t>Therefore ‘no testing’ is the comparator.</w:t>
      </w:r>
    </w:p>
    <w:p w14:paraId="7C322A23" w14:textId="3484D0EB" w:rsidR="00783E16" w:rsidRDefault="00F76F6F" w:rsidP="00867B3F">
      <w:pPr>
        <w:ind w:left="360"/>
        <w:jc w:val="both"/>
        <w:rPr>
          <w:szCs w:val="20"/>
        </w:rPr>
      </w:pPr>
      <w:r>
        <w:rPr>
          <w:szCs w:val="20"/>
        </w:rPr>
        <w:t>Currently there are no options for maintenance therapy</w:t>
      </w:r>
      <w:r w:rsidR="00747656">
        <w:rPr>
          <w:szCs w:val="20"/>
        </w:rPr>
        <w:t xml:space="preserve"> in patients who have achieved disease control following first line treatment with platinum-based chemotherapy.  The nominated comparator for olaparib monotherapy maintenance treatment following first line platinum based chemotherapy is “watchful waiting” or no active anti-cancer treatment</w:t>
      </w:r>
      <w:r>
        <w:rPr>
          <w:szCs w:val="20"/>
        </w:rPr>
        <w:t xml:space="preserve">. </w:t>
      </w:r>
    </w:p>
    <w:p w14:paraId="5D44CBB9" w14:textId="77777777" w:rsidR="00757232" w:rsidRDefault="00AF5D1E" w:rsidP="00867B3F">
      <w:pPr>
        <w:pStyle w:val="Heading2"/>
        <w:jc w:val="both"/>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33487171" w14:textId="77777777" w:rsidR="006A1038" w:rsidRDefault="006A1038" w:rsidP="00867B3F">
      <w:pPr>
        <w:spacing w:before="0" w:after="0"/>
        <w:ind w:left="426"/>
        <w:jc w:val="both"/>
        <w:rPr>
          <w:szCs w:val="20"/>
        </w:rPr>
      </w:pPr>
      <w:r w:rsidRPr="00753C44">
        <w:rPr>
          <w:szCs w:val="20"/>
        </w:rPr>
        <w:fldChar w:fldCharType="begin">
          <w:ffData>
            <w:name w:val="Check1"/>
            <w:enabled/>
            <w:calcOnExit w:val="0"/>
            <w:checkBox>
              <w:sizeAuto/>
              <w:default w:val="0"/>
            </w:checkBox>
          </w:ffData>
        </w:fldChar>
      </w:r>
      <w:r w:rsidRPr="00867B3F">
        <w:rPr>
          <w:szCs w:val="20"/>
        </w:rPr>
        <w:instrText xml:space="preserve"> FORMCHECKBOX </w:instrText>
      </w:r>
      <w:r w:rsidR="008D211B">
        <w:rPr>
          <w:szCs w:val="20"/>
        </w:rPr>
      </w:r>
      <w:r w:rsidR="008D211B">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7D34D1D7" w14:textId="664F97EB" w:rsidR="000159B9" w:rsidRDefault="00747656" w:rsidP="00867B3F">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6A1038">
        <w:rPr>
          <w:szCs w:val="20"/>
        </w:rPr>
        <w:t xml:space="preserve"> No  </w:t>
      </w:r>
    </w:p>
    <w:p w14:paraId="068850BD" w14:textId="03F3A0FC" w:rsidR="005254C8" w:rsidRDefault="00F76F6F" w:rsidP="00867B3F">
      <w:pPr>
        <w:ind w:left="426"/>
        <w:jc w:val="both"/>
      </w:pPr>
      <w:r>
        <w:t>N</w:t>
      </w:r>
      <w:r w:rsidR="00C9070C">
        <w:t>ot Applicable</w:t>
      </w:r>
      <w:r w:rsidR="00CD15B8">
        <w:t xml:space="preserve"> as the comparator is no test</w:t>
      </w:r>
    </w:p>
    <w:p w14:paraId="039532A9" w14:textId="77777777" w:rsidR="005254C8" w:rsidRPr="00154B00" w:rsidRDefault="005254C8" w:rsidP="00867B3F">
      <w:pPr>
        <w:ind w:left="426"/>
        <w:jc w:val="both"/>
        <w:rPr>
          <w:szCs w:val="20"/>
        </w:rPr>
      </w:pPr>
    </w:p>
    <w:p w14:paraId="6C7B7ACB" w14:textId="77777777" w:rsidR="00AF5D1E" w:rsidRPr="00154B00" w:rsidRDefault="00AF5D1E" w:rsidP="00867B3F">
      <w:pPr>
        <w:pStyle w:val="Heading2"/>
        <w:jc w:val="both"/>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25BDFD69" w14:textId="301FD38F" w:rsidR="005254C8" w:rsidRPr="004B0D71" w:rsidRDefault="00FC6E1F" w:rsidP="00867B3F">
      <w:pPr>
        <w:ind w:left="360"/>
        <w:jc w:val="both"/>
        <w:rPr>
          <w:bCs/>
          <w:szCs w:val="20"/>
        </w:rPr>
      </w:pPr>
      <w:r w:rsidRPr="004B0D71">
        <w:rPr>
          <w:bCs/>
          <w:szCs w:val="20"/>
        </w:rPr>
        <w:t>“No germline testing” and “watchful waiting” are the nominated comparators for the germline BRCA test and olaparib respectively</w:t>
      </w:r>
      <w:r w:rsidR="00C40303">
        <w:rPr>
          <w:bCs/>
          <w:szCs w:val="20"/>
        </w:rPr>
        <w:t>, in patients with no evidence of disease progression after first-line platinum based chemotherapy</w:t>
      </w:r>
      <w:r w:rsidRPr="004B0D71">
        <w:rPr>
          <w:bCs/>
          <w:szCs w:val="20"/>
        </w:rPr>
        <w:t xml:space="preserve">. As shown in </w:t>
      </w:r>
      <w:r w:rsidR="0045113A">
        <w:rPr>
          <w:bCs/>
          <w:szCs w:val="20"/>
        </w:rPr>
        <w:fldChar w:fldCharType="begin"/>
      </w:r>
      <w:r w:rsidR="0045113A">
        <w:rPr>
          <w:bCs/>
          <w:szCs w:val="20"/>
        </w:rPr>
        <w:instrText xml:space="preserve"> REF _Ref21614847 \h </w:instrText>
      </w:r>
      <w:r w:rsidR="00867B3F">
        <w:rPr>
          <w:bCs/>
          <w:szCs w:val="20"/>
        </w:rPr>
        <w:instrText xml:space="preserve"> \* MERGEFORMAT </w:instrText>
      </w:r>
      <w:r w:rsidR="0045113A">
        <w:rPr>
          <w:bCs/>
          <w:szCs w:val="20"/>
        </w:rPr>
      </w:r>
      <w:r w:rsidR="0045113A">
        <w:rPr>
          <w:bCs/>
          <w:szCs w:val="20"/>
        </w:rPr>
        <w:fldChar w:fldCharType="separate"/>
      </w:r>
      <w:r w:rsidR="008D211B">
        <w:t xml:space="preserve">Figure </w:t>
      </w:r>
      <w:r w:rsidR="008D211B">
        <w:rPr>
          <w:noProof/>
        </w:rPr>
        <w:t>1</w:t>
      </w:r>
      <w:r w:rsidR="0045113A">
        <w:rPr>
          <w:bCs/>
          <w:szCs w:val="20"/>
        </w:rPr>
        <w:fldChar w:fldCharType="end"/>
      </w:r>
      <w:r w:rsidR="0045113A">
        <w:rPr>
          <w:bCs/>
          <w:szCs w:val="20"/>
        </w:rPr>
        <w:t xml:space="preserve"> </w:t>
      </w:r>
      <w:r w:rsidR="00867B3F" w:rsidRPr="00D82FAC">
        <w:rPr>
          <w:bCs/>
          <w:szCs w:val="20"/>
        </w:rPr>
        <w:t>(</w:t>
      </w:r>
      <w:r w:rsidR="00C9070C" w:rsidRPr="00D82FAC">
        <w:rPr>
          <w:bCs/>
          <w:szCs w:val="20"/>
        </w:rPr>
        <w:t>Attachment</w:t>
      </w:r>
      <w:r w:rsidR="00A16D1B" w:rsidRPr="00D82FAC">
        <w:rPr>
          <w:bCs/>
          <w:szCs w:val="20"/>
        </w:rPr>
        <w:t>)</w:t>
      </w:r>
      <w:r w:rsidRPr="00D82FAC">
        <w:rPr>
          <w:bCs/>
          <w:szCs w:val="20"/>
        </w:rPr>
        <w:t>,</w:t>
      </w:r>
      <w:r w:rsidRPr="004B0D71">
        <w:rPr>
          <w:bCs/>
          <w:szCs w:val="20"/>
        </w:rPr>
        <w:t xml:space="preserve"> patients who progress after an initial response to first-line platinum based chemotherapy, </w:t>
      </w:r>
      <w:r w:rsidR="004B0D71" w:rsidRPr="004B0D71">
        <w:rPr>
          <w:bCs/>
          <w:szCs w:val="20"/>
        </w:rPr>
        <w:t>would</w:t>
      </w:r>
      <w:r w:rsidRPr="004B0D71">
        <w:rPr>
          <w:bCs/>
          <w:szCs w:val="20"/>
        </w:rPr>
        <w:t xml:space="preserve"> be treated with second-line chemotherapy</w:t>
      </w:r>
      <w:r w:rsidR="004B0D71" w:rsidRPr="004B0D71">
        <w:rPr>
          <w:bCs/>
          <w:szCs w:val="20"/>
        </w:rPr>
        <w:t>, including</w:t>
      </w:r>
      <w:r w:rsidR="001435AF">
        <w:rPr>
          <w:bCs/>
          <w:szCs w:val="20"/>
        </w:rPr>
        <w:t xml:space="preserve"> </w:t>
      </w:r>
      <w:proofErr w:type="spellStart"/>
      <w:r w:rsidR="001435AF">
        <w:rPr>
          <w:bCs/>
          <w:szCs w:val="20"/>
        </w:rPr>
        <w:t>nanoliposomal</w:t>
      </w:r>
      <w:proofErr w:type="spellEnd"/>
      <w:r w:rsidR="001435AF">
        <w:rPr>
          <w:bCs/>
          <w:szCs w:val="20"/>
        </w:rPr>
        <w:t xml:space="preserve"> </w:t>
      </w:r>
      <w:proofErr w:type="spellStart"/>
      <w:r w:rsidR="001435AF">
        <w:rPr>
          <w:bCs/>
          <w:szCs w:val="20"/>
        </w:rPr>
        <w:t>irinotecan</w:t>
      </w:r>
      <w:proofErr w:type="spellEnd"/>
      <w:r w:rsidR="001435AF">
        <w:rPr>
          <w:bCs/>
          <w:szCs w:val="20"/>
        </w:rPr>
        <w:t xml:space="preserve"> or </w:t>
      </w:r>
      <w:proofErr w:type="spellStart"/>
      <w:r w:rsidR="001435AF" w:rsidRPr="001435AF">
        <w:rPr>
          <w:bCs/>
          <w:szCs w:val="20"/>
        </w:rPr>
        <w:t>fluoropyrimidine</w:t>
      </w:r>
      <w:proofErr w:type="spellEnd"/>
      <w:r w:rsidR="001435AF" w:rsidRPr="001435AF">
        <w:rPr>
          <w:bCs/>
          <w:szCs w:val="20"/>
        </w:rPr>
        <w:t>-based therapy containing either irinotecan (e.g. FOLFIRI, FOLFIRINOX) or oxaliplatin (e.g. XELOX, mFOLFOX6 or OFF)</w:t>
      </w:r>
      <w:r w:rsidR="001435AF">
        <w:rPr>
          <w:bCs/>
          <w:szCs w:val="20"/>
        </w:rPr>
        <w:t>.</w:t>
      </w:r>
    </w:p>
    <w:p w14:paraId="431B1BDC" w14:textId="3DBFB924"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020895E7"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D211B">
        <w:rPr>
          <w:szCs w:val="20"/>
        </w:rPr>
      </w:r>
      <w:r w:rsidR="008D211B">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1E6B5D44" w14:textId="208E2BA7" w:rsidR="001B29A1" w:rsidRDefault="00877937"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7B021452" w14:textId="77777777" w:rsidR="00877937" w:rsidRDefault="00877937" w:rsidP="00877937">
      <w:pPr>
        <w:spacing w:before="0" w:after="0"/>
        <w:ind w:left="426"/>
        <w:rPr>
          <w:szCs w:val="20"/>
        </w:rPr>
      </w:pPr>
    </w:p>
    <w:p w14:paraId="734F9051" w14:textId="7E060B5A" w:rsidR="00877937" w:rsidRDefault="00877937" w:rsidP="00877937">
      <w:pPr>
        <w:spacing w:before="0" w:after="0"/>
        <w:ind w:left="426"/>
        <w:rPr>
          <w:szCs w:val="20"/>
        </w:rPr>
      </w:pPr>
      <w:r w:rsidRPr="008B3D48">
        <w:rPr>
          <w:szCs w:val="20"/>
        </w:rPr>
        <w:t>The proposed medical service (</w:t>
      </w:r>
      <w:r>
        <w:rPr>
          <w:szCs w:val="20"/>
        </w:rPr>
        <w:t>i</w:t>
      </w:r>
      <w:r w:rsidR="00082AD8">
        <w:rPr>
          <w:szCs w:val="20"/>
        </w:rPr>
        <w:t>.</w:t>
      </w:r>
      <w:r>
        <w:rPr>
          <w:szCs w:val="20"/>
        </w:rPr>
        <w:t>e</w:t>
      </w:r>
      <w:r w:rsidR="00082AD8">
        <w:rPr>
          <w:szCs w:val="20"/>
        </w:rPr>
        <w:t>.</w:t>
      </w:r>
      <w:r>
        <w:rPr>
          <w:szCs w:val="20"/>
        </w:rPr>
        <w:t xml:space="preserve"> </w:t>
      </w:r>
      <w:r w:rsidRPr="008B3D48">
        <w:rPr>
          <w:szCs w:val="20"/>
        </w:rPr>
        <w:t>g</w:t>
      </w:r>
      <w:r>
        <w:rPr>
          <w:szCs w:val="20"/>
        </w:rPr>
        <w:t xml:space="preserve">ermline </w:t>
      </w:r>
      <w:r w:rsidRPr="00C45B05">
        <w:rPr>
          <w:i/>
          <w:szCs w:val="20"/>
        </w:rPr>
        <w:t>BRCA</w:t>
      </w:r>
      <w:r>
        <w:rPr>
          <w:szCs w:val="20"/>
        </w:rPr>
        <w:t xml:space="preserve"> </w:t>
      </w:r>
      <w:r w:rsidRPr="008B3D48">
        <w:rPr>
          <w:szCs w:val="20"/>
        </w:rPr>
        <w:t>m</w:t>
      </w:r>
      <w:r>
        <w:rPr>
          <w:szCs w:val="20"/>
        </w:rPr>
        <w:t>utation</w:t>
      </w:r>
      <w:r w:rsidRPr="008B3D48">
        <w:rPr>
          <w:szCs w:val="20"/>
        </w:rPr>
        <w:t xml:space="preserve"> testing) will be used instead of the comparator (no g</w:t>
      </w:r>
      <w:r>
        <w:rPr>
          <w:szCs w:val="20"/>
        </w:rPr>
        <w:t xml:space="preserve">ermline </w:t>
      </w:r>
      <w:r w:rsidRPr="008B3D48">
        <w:rPr>
          <w:szCs w:val="20"/>
        </w:rPr>
        <w:t>BRCA</w:t>
      </w:r>
      <w:r>
        <w:rPr>
          <w:szCs w:val="20"/>
        </w:rPr>
        <w:t xml:space="preserve"> </w:t>
      </w:r>
      <w:r w:rsidRPr="008B3D48">
        <w:rPr>
          <w:szCs w:val="20"/>
        </w:rPr>
        <w:t>m</w:t>
      </w:r>
      <w:r>
        <w:rPr>
          <w:szCs w:val="20"/>
        </w:rPr>
        <w:t>utation</w:t>
      </w:r>
      <w:r w:rsidRPr="008B3D48">
        <w:rPr>
          <w:szCs w:val="20"/>
        </w:rPr>
        <w:t xml:space="preserve"> testing). </w:t>
      </w:r>
    </w:p>
    <w:p w14:paraId="5531D1EF" w14:textId="77777777" w:rsidR="00877937" w:rsidRDefault="00877937" w:rsidP="001B29A1">
      <w:pPr>
        <w:spacing w:before="0" w:after="0"/>
        <w:ind w:left="426"/>
        <w:rPr>
          <w:szCs w:val="20"/>
        </w:rPr>
      </w:pPr>
    </w:p>
    <w:p w14:paraId="17E5C2D7"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271114A0" w14:textId="1AB96CCD" w:rsidR="00877937" w:rsidRDefault="00877937" w:rsidP="00877937">
      <w:pPr>
        <w:ind w:left="360"/>
        <w:jc w:val="both"/>
      </w:pPr>
      <w:r>
        <w:lastRenderedPageBreak/>
        <w:t xml:space="preserve">The comparator (no germline </w:t>
      </w:r>
      <w:r w:rsidRPr="00C45B05">
        <w:rPr>
          <w:i/>
        </w:rPr>
        <w:t>BRCA</w:t>
      </w:r>
      <w:r>
        <w:t xml:space="preserve"> mutation test) will be substituted with a germline </w:t>
      </w:r>
      <w:r w:rsidRPr="00AA4899">
        <w:rPr>
          <w:i/>
        </w:rPr>
        <w:t>BRCA</w:t>
      </w:r>
      <w:r>
        <w:t xml:space="preserve"> mutation test to determine patient eligibility </w:t>
      </w:r>
      <w:r w:rsidR="00C3239A">
        <w:t xml:space="preserve">for </w:t>
      </w:r>
      <w:r>
        <w:t xml:space="preserve">treatment with olaparib. The availability of a new treatment option </w:t>
      </w:r>
      <w:r w:rsidR="00C3239A">
        <w:t xml:space="preserve">for metastatic pancreatic cancer could be expected to </w:t>
      </w:r>
      <w:r>
        <w:t xml:space="preserve">increase uptake of germline </w:t>
      </w:r>
      <w:r w:rsidRPr="00AA4899">
        <w:rPr>
          <w:i/>
        </w:rPr>
        <w:t>BRCA</w:t>
      </w:r>
      <w:r>
        <w:t xml:space="preserve"> mutation testing.  A patient can only access olaparib based on a positive </w:t>
      </w:r>
      <w:r w:rsidRPr="00AA4899">
        <w:rPr>
          <w:i/>
        </w:rPr>
        <w:t>BRCA</w:t>
      </w:r>
      <w:r>
        <w:t>m status</w:t>
      </w:r>
      <w:r w:rsidR="004E3760">
        <w:t xml:space="preserve"> and response to first line platinum based chem</w:t>
      </w:r>
      <w:r w:rsidR="00D82FAC">
        <w:t>o</w:t>
      </w:r>
      <w:r w:rsidR="004E3760">
        <w:t>therapy</w:t>
      </w:r>
      <w:r>
        <w:t xml:space="preserve">. </w:t>
      </w:r>
      <w:r w:rsidRPr="00DE56A0">
        <w:t xml:space="preserve">Up to 100% substitution of </w:t>
      </w:r>
      <w:r>
        <w:t>‘</w:t>
      </w:r>
      <w:r w:rsidRPr="00DE56A0">
        <w:t>no testing</w:t>
      </w:r>
      <w:r>
        <w:t>’ with</w:t>
      </w:r>
      <w:r w:rsidRPr="00DE56A0">
        <w:t xml:space="preserve"> BRCA mutation testing could be assumed</w:t>
      </w:r>
      <w:r w:rsidR="004E3760">
        <w:t xml:space="preserve"> in the specified patient group</w:t>
      </w:r>
      <w:r w:rsidRPr="00DE56A0">
        <w:t xml:space="preserve">. However, not all patients </w:t>
      </w:r>
      <w:r>
        <w:t>may take up testing. R</w:t>
      </w:r>
      <w:r w:rsidRPr="00DE56A0">
        <w:t xml:space="preserve">easons </w:t>
      </w:r>
      <w:r>
        <w:t>for patients not taking</w:t>
      </w:r>
      <w:r w:rsidRPr="00DE56A0">
        <w:t xml:space="preserve"> up </w:t>
      </w:r>
      <w:r>
        <w:t>the test</w:t>
      </w:r>
      <w:r w:rsidRPr="00DE56A0">
        <w:t xml:space="preserve"> could be cultural</w:t>
      </w:r>
      <w:r>
        <w:t xml:space="preserve"> or religious beliefs</w:t>
      </w:r>
      <w:r w:rsidR="00700792">
        <w:t xml:space="preserve"> </w:t>
      </w:r>
      <w:r w:rsidR="00700792">
        <w:fldChar w:fldCharType="begin" w:fldLock="1"/>
      </w:r>
      <w:r w:rsidR="00700792">
        <w:instrText>ADDIN CSL_CITATION {"citationItems":[{"id":"ITEM-1","itemData":{"DOI":"10.1097/IGC.0000000000000689","ISSN":"15251438","abstract":"Copyright ? 2016 by IGCS and ESGO.Objectives The objectives of this work were to determine the proportion of eligible patients with ovarian cancer discussed at a gynecologic oncology tumor board who were referred for counseling and BRCA mutation testing; to compare referral rates before genetics attendance at the tumor board to referral rates after genetics attendance; and to ascertain the proportions of women with germline BRCA mutations. Materials and Methods Eligible cases were identified from the minutes of the weekly Western Australian gynecologic oncology tumor board from July 1, 2013 to June 30, 2015. Patients with ovarian cancer who met eligibility criteria for genetics referral were identified and checked against the records of the genetic services database to ascertain whether a referral was received. Outcomes including attendance for counseling and results of mutation testing were analyzed. Results Two hundred sixty-one patients were eligible for referral during the 24-month study period. One hundred six patients (40.6%) were referred for counseling and germline mutation testing. Of the eligible patients, 26.7% were referred in the 12 months before genetics attendance at the tumor board compared to 51.7% of the eligible patients in the 12 months after genetics attendance (P ? 0.0001). Ninety-seven patients were offered BRCA mutation testing, and 73 underwent testing with 65 results reported to date. Twenty-two patients (33.8 %) tested positive for a germline BRCA mutation. Conclusions Patients with ovarian cancer had a high rate of BRCA mutations. Attendance of a genetics service at a tumor board was associated with an improved rate of referral of patients for genetic counseling and BRCA mutation testing.","author":[{"dropping-particle":"","family":"Cohen","given":"Paul A.","non-dropping-particle":"","parse-names":false,"suffix":""},{"dropping-particle":"","family":"Nichols","given":"Cassandra B.","non-dropping-particle":"","parse-names":false,"suffix":""},{"dropping-particle":"","family":"Schofield","given":"Lyn","non-dropping-particle":"","parse-names":false,"suffix":""},{"dropping-particle":"","family":"Werf","given":"Steven","non-dropping-particle":"Van Der","parse-names":false,"suffix":""},{"dropping-particle":"","family":"Pachter","given":"Nicholas","non-dropping-particle":"","parse-names":false,"suffix":""}],"container-title":"International Journal of Gynecological Cancer","id":"ITEM-1","issue":"5","issued":{"date-parts":[["2016","6","1"]]},"page":"892-897","publisher":"Lippincott Williams and Wilkins","title":"Impact of Clinical Genetics Attendance at a Gynecologic Oncology Tumor Board on Referrals for Genetic Counseling and BRCA Mutation Testing","type":"article-journal","volume":"26"},"uris":["http://www.mendeley.com/documents/?uuid=86a0b767-3b55-3326-8e70-446f9a89db1b"]}],"mendeley":{"formattedCitation":"(Cohen et al. 2016)","plainTextFormattedCitation":"(Cohen et al. 2016)","previouslyFormattedCitation":"(Cohen et al. 2016)"},"properties":{"noteIndex":0},"schema":"https://github.com/citation-style-language/schema/raw/master/csl-citation.json"}</w:instrText>
      </w:r>
      <w:r w:rsidR="00700792">
        <w:fldChar w:fldCharType="separate"/>
      </w:r>
      <w:r w:rsidR="00700792" w:rsidRPr="00700792">
        <w:rPr>
          <w:noProof/>
        </w:rPr>
        <w:t>(Cohen et al. 2016)</w:t>
      </w:r>
      <w:r w:rsidR="00700792">
        <w:fldChar w:fldCharType="end"/>
      </w:r>
      <w:r w:rsidRPr="00DE56A0">
        <w:t>. Current uptake of germline BRCA mutation testing in patients with ovari</w:t>
      </w:r>
      <w:r>
        <w:t>an cancer is approximately 70%</w:t>
      </w:r>
      <w:r w:rsidRPr="00DE56A0">
        <w:t>.</w:t>
      </w:r>
    </w:p>
    <w:p w14:paraId="7D366181" w14:textId="65D9ECC5" w:rsidR="00877937" w:rsidRDefault="00877937" w:rsidP="00877937">
      <w:pPr>
        <w:ind w:left="360"/>
        <w:jc w:val="both"/>
      </w:pPr>
      <w:r>
        <w:t xml:space="preserve">Patients without the BRCA mutation will not be eligible for maintenance therapy and will follow current standard of care. </w:t>
      </w:r>
    </w:p>
    <w:p w14:paraId="2B02D779" w14:textId="77777777" w:rsidR="00877937" w:rsidRPr="001B29A1" w:rsidRDefault="00877937" w:rsidP="001B29A1">
      <w:pPr>
        <w:ind w:left="426"/>
        <w:rPr>
          <w:szCs w:val="20"/>
        </w:rPr>
      </w:pPr>
    </w:p>
    <w:p w14:paraId="46467EB1" w14:textId="72ED7FFA" w:rsidR="0054594B"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7751F7FF" w14:textId="77777777" w:rsidR="008D211B" w:rsidRDefault="00C3239A" w:rsidP="008D211B">
      <w:pPr>
        <w:pStyle w:val="ListParagraph"/>
        <w:ind w:left="360"/>
      </w:pPr>
      <w:r>
        <w:t xml:space="preserve">Changes to the current clinical management pathway following introduction of </w:t>
      </w:r>
      <w:r w:rsidR="009615AF">
        <w:t>germline BRCA mutation testing and maintenance treatment with olapa</w:t>
      </w:r>
      <w:r w:rsidR="00847945">
        <w:t>r</w:t>
      </w:r>
      <w:r w:rsidR="009615AF">
        <w:t xml:space="preserve">ib in patients with an </w:t>
      </w:r>
      <w:r w:rsidR="00847945">
        <w:t>eligible</w:t>
      </w:r>
      <w:r w:rsidR="009615AF">
        <w:t xml:space="preserve"> BRCA1/2 mutation</w:t>
      </w:r>
      <w:r>
        <w:t xml:space="preserve"> are outlined in</w:t>
      </w:r>
      <w:r w:rsidR="00C9070C">
        <w:t xml:space="preserve"> </w:t>
      </w:r>
      <w:r w:rsidR="00A16D1B">
        <w:fldChar w:fldCharType="begin"/>
      </w:r>
      <w:r w:rsidR="00A16D1B">
        <w:instrText xml:space="preserve"> REF _Ref21615021 \h </w:instrText>
      </w:r>
      <w:r w:rsidR="00867B3F">
        <w:instrText xml:space="preserve"> \* MERGEFORMAT </w:instrText>
      </w:r>
      <w:r w:rsidR="00A16D1B">
        <w:fldChar w:fldCharType="separate"/>
      </w:r>
      <w:r w:rsidR="008D211B">
        <w:br w:type="page"/>
      </w:r>
    </w:p>
    <w:p w14:paraId="29C9DE61" w14:textId="1333CED6" w:rsidR="00C3239A" w:rsidRDefault="008D211B" w:rsidP="00867B3F">
      <w:pPr>
        <w:pStyle w:val="ListParagraph"/>
        <w:ind w:left="360"/>
        <w:jc w:val="both"/>
      </w:pPr>
      <w:r>
        <w:rPr>
          <w:noProof/>
        </w:rPr>
        <w:lastRenderedPageBreak/>
        <w:t>Figure</w:t>
      </w:r>
      <w:r>
        <w:t xml:space="preserve"> </w:t>
      </w:r>
      <w:r>
        <w:rPr>
          <w:noProof/>
        </w:rPr>
        <w:t>2</w:t>
      </w:r>
      <w:r w:rsidR="00A16D1B">
        <w:fldChar w:fldCharType="end"/>
      </w:r>
      <w:r w:rsidR="00C9070C">
        <w:t xml:space="preserve"> in the </w:t>
      </w:r>
      <w:r w:rsidR="00C9070C" w:rsidRPr="00D82FAC">
        <w:t>Attachment</w:t>
      </w:r>
      <w:r w:rsidR="00C9070C">
        <w:t xml:space="preserve"> to this form</w:t>
      </w:r>
      <w:r w:rsidR="00C3239A">
        <w:t xml:space="preserve">. </w:t>
      </w:r>
    </w:p>
    <w:p w14:paraId="0677017C" w14:textId="77777777" w:rsidR="00C9070C" w:rsidRDefault="00C9070C" w:rsidP="00867B3F">
      <w:pPr>
        <w:pStyle w:val="ListParagraph"/>
        <w:ind w:left="360"/>
        <w:jc w:val="both"/>
      </w:pPr>
    </w:p>
    <w:p w14:paraId="2E6E4964" w14:textId="53ECED83" w:rsidR="000B28B6" w:rsidRDefault="00C9070C" w:rsidP="00867B3F">
      <w:pPr>
        <w:pStyle w:val="ListParagraph"/>
        <w:ind w:left="360"/>
        <w:jc w:val="both"/>
      </w:pPr>
      <w:r>
        <w:t>Following diagnosis of metastatic pancreatic cancer, patients</w:t>
      </w:r>
      <w:r w:rsidR="002C5ADF">
        <w:t xml:space="preserve"> who are eligible candidates for platinum based chemotherapy, i.e. ECOG status of 0 or 1 and bilirubin &lt; 1.5 x ULN, </w:t>
      </w:r>
      <w:r>
        <w:t>w</w:t>
      </w:r>
      <w:r w:rsidR="00E87D4E">
        <w:t>ould</w:t>
      </w:r>
      <w:r>
        <w:t xml:space="preserve"> be offered genetic testing for germline </w:t>
      </w:r>
      <w:r w:rsidR="002C6506">
        <w:t>B</w:t>
      </w:r>
      <w:r>
        <w:t>RCA mutation</w:t>
      </w:r>
      <w:r w:rsidR="002C6506">
        <w:t>. Given the advanced cancer stage, t</w:t>
      </w:r>
      <w:r>
        <w:t>esting at the time of diagnosis is important</w:t>
      </w:r>
      <w:r w:rsidR="002C6506">
        <w:t xml:space="preserve"> for decision planning and for earlier access to treatment options.</w:t>
      </w:r>
      <w:r w:rsidR="00E64162">
        <w:t xml:space="preserve"> </w:t>
      </w:r>
      <w:r w:rsidR="000B28B6">
        <w:t>Establishing BRCA mutation status at the time of diagnosis is recommended in the NCCN clinical guidelines for the treatment of pancreatic cancer</w:t>
      </w:r>
      <w:r w:rsidR="002C5ADF">
        <w:t xml:space="preserve"> </w:t>
      </w:r>
      <w:sdt>
        <w:sdtPr>
          <w:id w:val="-1155593196"/>
          <w:citation/>
        </w:sdtPr>
        <w:sdtEndPr/>
        <w:sdtContent>
          <w:r w:rsidR="009733BC">
            <w:fldChar w:fldCharType="begin"/>
          </w:r>
          <w:r w:rsidR="009733BC">
            <w:instrText xml:space="preserve"> CITATION Pan17 \l 3081 </w:instrText>
          </w:r>
          <w:r w:rsidR="009733BC">
            <w:fldChar w:fldCharType="separate"/>
          </w:r>
          <w:r w:rsidR="009733BC">
            <w:rPr>
              <w:noProof/>
            </w:rPr>
            <w:t>(Tempero MA, 2019)</w:t>
          </w:r>
          <w:r w:rsidR="009733BC">
            <w:fldChar w:fldCharType="end"/>
          </w:r>
        </w:sdtContent>
      </w:sdt>
      <w:r w:rsidR="009733BC">
        <w:t>.</w:t>
      </w:r>
    </w:p>
    <w:p w14:paraId="6BE68402" w14:textId="77777777" w:rsidR="000B28B6" w:rsidRDefault="000B28B6" w:rsidP="00867B3F">
      <w:pPr>
        <w:pStyle w:val="ListParagraph"/>
        <w:ind w:left="360"/>
        <w:jc w:val="both"/>
      </w:pPr>
    </w:p>
    <w:p w14:paraId="693B34BF" w14:textId="11DD0041" w:rsidR="000B28B6" w:rsidRDefault="002C6506" w:rsidP="00867B3F">
      <w:pPr>
        <w:pStyle w:val="ListParagraph"/>
        <w:ind w:left="360"/>
        <w:jc w:val="both"/>
      </w:pPr>
      <w:r>
        <w:t>There is evidence that p</w:t>
      </w:r>
      <w:r w:rsidRPr="002C6506">
        <w:t>a</w:t>
      </w:r>
      <w:r>
        <w:t xml:space="preserve">tients </w:t>
      </w:r>
      <w:r w:rsidRPr="002C6506">
        <w:t>with </w:t>
      </w:r>
      <w:r w:rsidRPr="008F1DA9">
        <w:rPr>
          <w:iCs/>
        </w:rPr>
        <w:t>BRCA1/BRCA2</w:t>
      </w:r>
      <w:r w:rsidRPr="002C6506">
        <w:t> mutations demonstrate improved responses to platinum-based therapie</w:t>
      </w:r>
      <w:r>
        <w:t>s for pancreatic cancer</w:t>
      </w:r>
      <w:r w:rsidR="009733BC">
        <w:t xml:space="preserve"> </w:t>
      </w:r>
      <w:sdt>
        <w:sdtPr>
          <w:id w:val="519135944"/>
          <w:citation/>
        </w:sdtPr>
        <w:sdtEndPr/>
        <w:sdtContent>
          <w:r w:rsidR="009733BC">
            <w:fldChar w:fldCharType="begin"/>
          </w:r>
          <w:r w:rsidR="009733BC">
            <w:instrText xml:space="preserve"> CITATION Duc15 \l 3081 </w:instrText>
          </w:r>
          <w:r w:rsidR="009733BC">
            <w:fldChar w:fldCharType="separate"/>
          </w:r>
          <w:r w:rsidR="009733BC">
            <w:rPr>
              <w:noProof/>
            </w:rPr>
            <w:t>(Ducreux M, 2015)</w:t>
          </w:r>
          <w:r w:rsidR="009733BC">
            <w:fldChar w:fldCharType="end"/>
          </w:r>
        </w:sdtContent>
      </w:sdt>
      <w:r w:rsidR="00E64162">
        <w:t xml:space="preserve"> </w:t>
      </w:r>
      <w:r w:rsidR="000B28B6">
        <w:t xml:space="preserve"> and so there may be an additional benefit to the patient in establishing </w:t>
      </w:r>
      <w:r w:rsidR="00A16D1B">
        <w:t xml:space="preserve">germline </w:t>
      </w:r>
      <w:r w:rsidR="000B28B6">
        <w:t>BRCA</w:t>
      </w:r>
      <w:r w:rsidR="00A16D1B">
        <w:t xml:space="preserve"> </w:t>
      </w:r>
      <w:r w:rsidR="000B28B6">
        <w:t>m</w:t>
      </w:r>
      <w:r w:rsidR="00A16D1B">
        <w:t xml:space="preserve">utation </w:t>
      </w:r>
      <w:r w:rsidR="000B28B6">
        <w:t xml:space="preserve">status prior to deciding first line therapy for metastatic pancreatic cancer. ESMO guidelines recommend either FOLFIRINOX or gem-nab-paclitaxel in patients with good performance status. Although there are no direct head to head data to determine the relative efficacy of these two regimens, an indirect comparison suggests that FOLFORINOX may be slightly more efficacious, but also more toxic </w:t>
      </w:r>
      <w:sdt>
        <w:sdtPr>
          <w:id w:val="1062753415"/>
          <w:citation/>
        </w:sdtPr>
        <w:sdtEndPr/>
        <w:sdtContent>
          <w:r w:rsidR="000B28B6">
            <w:fldChar w:fldCharType="begin"/>
          </w:r>
          <w:r w:rsidR="000B28B6">
            <w:instrText xml:space="preserve"> CITATION Duc15 \l 3081 </w:instrText>
          </w:r>
          <w:r w:rsidR="000B28B6">
            <w:fldChar w:fldCharType="separate"/>
          </w:r>
          <w:r w:rsidR="000B28B6">
            <w:rPr>
              <w:noProof/>
            </w:rPr>
            <w:t>(Ducreux M, 2015)</w:t>
          </w:r>
          <w:r w:rsidR="000B28B6">
            <w:fldChar w:fldCharType="end"/>
          </w:r>
        </w:sdtContent>
      </w:sdt>
      <w:r w:rsidR="000B28B6">
        <w:t xml:space="preserve">.  However, patients with BRCA1/2 mutations have longer survival when treated with platinum based chemotherapy </w:t>
      </w:r>
      <w:sdt>
        <w:sdtPr>
          <w:id w:val="444509787"/>
          <w:citation/>
        </w:sdtPr>
        <w:sdtEndPr/>
        <w:sdtContent>
          <w:r w:rsidR="000B28B6">
            <w:fldChar w:fldCharType="begin"/>
          </w:r>
          <w:r w:rsidR="000B28B6">
            <w:instrText xml:space="preserve">CITATION Gol14 \l 3081 </w:instrText>
          </w:r>
          <w:r w:rsidR="000B28B6">
            <w:fldChar w:fldCharType="separate"/>
          </w:r>
          <w:r w:rsidR="000B28B6">
            <w:rPr>
              <w:noProof/>
            </w:rPr>
            <w:t>(Golan T K. Z., 2014)</w:t>
          </w:r>
          <w:r w:rsidR="000B28B6">
            <w:fldChar w:fldCharType="end"/>
          </w:r>
        </w:sdtContent>
      </w:sdt>
      <w:r w:rsidR="000B28B6">
        <w:t xml:space="preserve">, </w:t>
      </w:r>
      <w:sdt>
        <w:sdtPr>
          <w:id w:val="1118727431"/>
          <w:citation/>
        </w:sdtPr>
        <w:sdtEndPr/>
        <w:sdtContent>
          <w:r w:rsidR="000B28B6">
            <w:fldChar w:fldCharType="begin"/>
          </w:r>
          <w:r w:rsidR="000B28B6">
            <w:instrText xml:space="preserve"> CITATION Son11 \l 3081 </w:instrText>
          </w:r>
          <w:r w:rsidR="000B28B6">
            <w:fldChar w:fldCharType="separate"/>
          </w:r>
          <w:r w:rsidR="000B28B6">
            <w:rPr>
              <w:noProof/>
            </w:rPr>
            <w:t>(Sonnenblick A, 2011)</w:t>
          </w:r>
          <w:r w:rsidR="000B28B6">
            <w:fldChar w:fldCharType="end"/>
          </w:r>
        </w:sdtContent>
      </w:sdt>
      <w:r w:rsidR="000B28B6">
        <w:t xml:space="preserve"> thus testing for </w:t>
      </w:r>
      <w:r w:rsidR="00A16D1B">
        <w:t>germline BRCA mutation status</w:t>
      </w:r>
      <w:r w:rsidR="000B28B6">
        <w:t xml:space="preserve"> at the time of diagnosis </w:t>
      </w:r>
      <w:r w:rsidR="008F1DA9">
        <w:t xml:space="preserve">is a </w:t>
      </w:r>
      <w:proofErr w:type="spellStart"/>
      <w:r w:rsidR="008F1DA9">
        <w:t>benefical</w:t>
      </w:r>
      <w:proofErr w:type="spellEnd"/>
      <w:r w:rsidR="000B28B6">
        <w:t xml:space="preserve"> approach to determine the optimal choice of first line treatment</w:t>
      </w:r>
    </w:p>
    <w:p w14:paraId="66B790AF" w14:textId="46D45DC7" w:rsidR="002C6506" w:rsidRDefault="002C6506" w:rsidP="00867B3F">
      <w:pPr>
        <w:pStyle w:val="ListParagraph"/>
        <w:ind w:left="360"/>
        <w:jc w:val="both"/>
      </w:pPr>
    </w:p>
    <w:p w14:paraId="0E9318EF" w14:textId="7B493491" w:rsidR="00E64162" w:rsidRDefault="000B28B6" w:rsidP="00867B3F">
      <w:pPr>
        <w:pStyle w:val="ListParagraph"/>
        <w:ind w:left="360"/>
        <w:jc w:val="both"/>
      </w:pPr>
      <w:r>
        <w:t>T</w:t>
      </w:r>
      <w:r w:rsidR="002C6506">
        <w:t xml:space="preserve">esting at diagnosis </w:t>
      </w:r>
      <w:r>
        <w:t xml:space="preserve">also </w:t>
      </w:r>
      <w:r w:rsidR="002C6506">
        <w:t xml:space="preserve">ensures that the 2 to 4 week turnaround time for genetic testing does not delay treatment commencement.  </w:t>
      </w:r>
      <w:r w:rsidR="00E64162">
        <w:t>Whilst second line treatment options following germline BRCA mutation testing remain unchanged, time to second line chemotherapy may be</w:t>
      </w:r>
      <w:r w:rsidR="00A16D1B">
        <w:t xml:space="preserve"> potentially </w:t>
      </w:r>
      <w:r w:rsidR="00E64162">
        <w:t>delayed for patients with germline BRCA mutations treated with olaparib.</w:t>
      </w:r>
    </w:p>
    <w:p w14:paraId="4383BDD0" w14:textId="621DEA68" w:rsidR="00FE28DC" w:rsidRDefault="00FE28DC" w:rsidP="00C3239A">
      <w:pPr>
        <w:pStyle w:val="ListParagraph"/>
        <w:ind w:left="360"/>
      </w:pPr>
    </w:p>
    <w:p w14:paraId="03EB7AA8" w14:textId="46B94C3B" w:rsidR="00DF0D47" w:rsidRPr="00881F93" w:rsidRDefault="005C3AE7" w:rsidP="00751DAF">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7BCD3A5F"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B82608C" w14:textId="3E100194" w:rsidR="001C61A4" w:rsidRDefault="001C61A4" w:rsidP="001C61A4">
      <w:pPr>
        <w:ind w:left="360"/>
        <w:jc w:val="both"/>
      </w:pPr>
      <w:r>
        <w:t xml:space="preserve">The overall clinical claim is that the proposed co-dependent technologies (BRCA mutation testing and olaparib as maintenance therapy) are </w:t>
      </w:r>
      <w:r>
        <w:rPr>
          <w:b/>
        </w:rPr>
        <w:t>superior</w:t>
      </w:r>
      <w:r>
        <w:t xml:space="preserve"> in terms of comparative effectiveness versus the main comparator (i.e. no testing </w:t>
      </w:r>
      <w:r w:rsidR="005D5989">
        <w:t>and</w:t>
      </w:r>
      <w:r>
        <w:t xml:space="preserve"> no active </w:t>
      </w:r>
      <w:r w:rsidR="005D5989">
        <w:t xml:space="preserve">maintenance </w:t>
      </w:r>
      <w:r>
        <w:t xml:space="preserve">treatment </w:t>
      </w:r>
      <w:r w:rsidR="005D5989">
        <w:t>i.e.</w:t>
      </w:r>
      <w:r>
        <w:t xml:space="preserve"> ‘watch and wait</w:t>
      </w:r>
      <w:r w:rsidR="005D5989">
        <w:t>’</w:t>
      </w:r>
      <w:r>
        <w:t xml:space="preserve">) in patients with metastatic </w:t>
      </w:r>
      <w:r w:rsidR="00D33FFA">
        <w:t>pancreatic</w:t>
      </w:r>
      <w:r>
        <w:t xml:space="preserve"> cancer </w:t>
      </w:r>
      <w:r w:rsidR="00751DAF">
        <w:t xml:space="preserve">who have achieved disease control (absence of objective disease progression) </w:t>
      </w:r>
      <w:r>
        <w:t xml:space="preserve"> following first-line platinum-based chemotherapy.</w:t>
      </w:r>
    </w:p>
    <w:p w14:paraId="52069926" w14:textId="55A58D3D" w:rsidR="00AC452C" w:rsidRDefault="005D5989" w:rsidP="00AC452C">
      <w:pPr>
        <w:ind w:left="360"/>
        <w:jc w:val="both"/>
      </w:pPr>
      <w:r w:rsidRPr="005D5989">
        <w:t xml:space="preserve">In the pivotal randomised, placebo-controlled, double-blind, </w:t>
      </w:r>
      <w:r w:rsidR="003F5424">
        <w:t>p</w:t>
      </w:r>
      <w:r w:rsidRPr="005D5989">
        <w:t>hase 3 study</w:t>
      </w:r>
      <w:r w:rsidR="003F5424">
        <w:t xml:space="preserve">, </w:t>
      </w:r>
      <w:r>
        <w:t xml:space="preserve">POLO, </w:t>
      </w:r>
      <w:r w:rsidR="00AC452C" w:rsidRPr="00AC452C">
        <w:t xml:space="preserve">the efficacy of olaparib as maintenance therapy in patients who had a germline </w:t>
      </w:r>
      <w:r w:rsidR="00AC452C" w:rsidRPr="00AC452C">
        <w:rPr>
          <w:i/>
          <w:iCs/>
        </w:rPr>
        <w:t>BRCA1</w:t>
      </w:r>
      <w:r w:rsidR="00AC452C">
        <w:rPr>
          <w:i/>
          <w:iCs/>
        </w:rPr>
        <w:t xml:space="preserve"> </w:t>
      </w:r>
      <w:r w:rsidR="00AC452C" w:rsidRPr="00AC452C">
        <w:t xml:space="preserve">or </w:t>
      </w:r>
      <w:r w:rsidR="00AC452C" w:rsidRPr="00AC452C">
        <w:rPr>
          <w:i/>
          <w:iCs/>
        </w:rPr>
        <w:t xml:space="preserve">BRCA2 </w:t>
      </w:r>
      <w:r w:rsidR="00AC452C" w:rsidRPr="00AC452C">
        <w:t xml:space="preserve">mutation and metastatic pancreatic </w:t>
      </w:r>
      <w:r w:rsidR="009E2E15" w:rsidRPr="00AC452C">
        <w:t xml:space="preserve">cancer </w:t>
      </w:r>
      <w:r w:rsidR="009E2E15">
        <w:t xml:space="preserve">was evaluated. Trial entry required patients to have had a minimum of 16 weeks </w:t>
      </w:r>
      <w:r w:rsidR="009E2E15" w:rsidRPr="009E2E15">
        <w:t>first-line platinum-based chemotherapy</w:t>
      </w:r>
      <w:r w:rsidR="00AC452C">
        <w:t xml:space="preserve"> </w:t>
      </w:r>
      <w:r w:rsidR="009E2E15">
        <w:t xml:space="preserve">with no evidence of disease progression. </w:t>
      </w:r>
      <w:r w:rsidR="00AC452C" w:rsidRPr="00AC452C">
        <w:t xml:space="preserve">Patients were </w:t>
      </w:r>
      <w:r w:rsidR="00AC452C">
        <w:t xml:space="preserve">randomised </w:t>
      </w:r>
      <w:r w:rsidR="003F5424">
        <w:t xml:space="preserve">in a </w:t>
      </w:r>
      <w:r w:rsidR="003F5424" w:rsidRPr="00AC452C">
        <w:t>3:2</w:t>
      </w:r>
      <w:r w:rsidR="00AC452C" w:rsidRPr="00AC452C">
        <w:t xml:space="preserve"> ratio, to receive maintenance olaparib tablets (300 mg twice daily)</w:t>
      </w:r>
      <w:r w:rsidR="00AC452C">
        <w:t xml:space="preserve"> </w:t>
      </w:r>
      <w:r w:rsidR="00AC452C" w:rsidRPr="00AC452C">
        <w:t>or placebo</w:t>
      </w:r>
      <w:r w:rsidR="0054239E">
        <w:t xml:space="preserve"> </w:t>
      </w:r>
      <w:sdt>
        <w:sdtPr>
          <w:id w:val="1086345268"/>
          <w:citation/>
        </w:sdtPr>
        <w:sdtEndPr/>
        <w:sdtContent>
          <w:r w:rsidR="0054239E">
            <w:fldChar w:fldCharType="begin"/>
          </w:r>
          <w:r w:rsidR="0054239E">
            <w:instrText xml:space="preserve"> CITATION Gol19 \l 3081 </w:instrText>
          </w:r>
          <w:r w:rsidR="0054239E">
            <w:fldChar w:fldCharType="separate"/>
          </w:r>
          <w:r w:rsidR="0054239E">
            <w:rPr>
              <w:noProof/>
            </w:rPr>
            <w:t>(Golan T, 2019)</w:t>
          </w:r>
          <w:r w:rsidR="0054239E">
            <w:fldChar w:fldCharType="end"/>
          </w:r>
        </w:sdtContent>
      </w:sdt>
      <w:r w:rsidR="00AC452C" w:rsidRPr="00AC452C">
        <w:t>.</w:t>
      </w:r>
      <w:r w:rsidR="00AC452C">
        <w:t xml:space="preserve">  </w:t>
      </w:r>
    </w:p>
    <w:p w14:paraId="1F6E68EE" w14:textId="1482520F" w:rsidR="007023D7" w:rsidRDefault="00AC452C" w:rsidP="00AC452C">
      <w:pPr>
        <w:ind w:left="360"/>
        <w:jc w:val="both"/>
      </w:pPr>
      <w:r>
        <w:lastRenderedPageBreak/>
        <w:t xml:space="preserve">Of the 3315 patients screened for trial entry, 247 (7.5%) had a germline BRCA mutation and a total of 154 </w:t>
      </w:r>
      <w:r w:rsidR="003F5424">
        <w:t xml:space="preserve">patients were </w:t>
      </w:r>
      <w:r>
        <w:t xml:space="preserve">assigned to either intervention (92 olaparib; 62 placebo). </w:t>
      </w:r>
      <w:r w:rsidR="005D5989">
        <w:t xml:space="preserve"> </w:t>
      </w:r>
    </w:p>
    <w:p w14:paraId="6692B402" w14:textId="7E0E9689" w:rsidR="009443E6" w:rsidRDefault="009443E6" w:rsidP="009443E6">
      <w:pPr>
        <w:ind w:left="360"/>
        <w:jc w:val="both"/>
      </w:pPr>
      <w:r w:rsidRPr="009443E6">
        <w:t>The median progression-free survival was significantly</w:t>
      </w:r>
      <w:r>
        <w:t xml:space="preserve"> </w:t>
      </w:r>
      <w:r w:rsidRPr="009443E6">
        <w:t>longer in the olaparib group than in</w:t>
      </w:r>
      <w:r>
        <w:t xml:space="preserve"> </w:t>
      </w:r>
      <w:r w:rsidRPr="009443E6">
        <w:t>the placebo group (7.4 months vs. 3.8 months;</w:t>
      </w:r>
      <w:r>
        <w:t xml:space="preserve"> </w:t>
      </w:r>
      <w:r w:rsidRPr="009443E6">
        <w:t>hazard ratio for disease progression or death,</w:t>
      </w:r>
      <w:r>
        <w:t xml:space="preserve"> </w:t>
      </w:r>
      <w:r w:rsidRPr="009443E6">
        <w:t>0.53; 95% confidence interval [CI], 0.35 to 0.82;</w:t>
      </w:r>
      <w:r>
        <w:t xml:space="preserve"> </w:t>
      </w:r>
      <w:r w:rsidRPr="009443E6">
        <w:t>P = 0.004), and from 6 months onward, the percentage</w:t>
      </w:r>
      <w:r>
        <w:t xml:space="preserve"> </w:t>
      </w:r>
      <w:r w:rsidRPr="009443E6">
        <w:t>of patients who were alive and free from</w:t>
      </w:r>
      <w:r>
        <w:t xml:space="preserve"> </w:t>
      </w:r>
      <w:r w:rsidRPr="009443E6">
        <w:t xml:space="preserve">disease progression </w:t>
      </w:r>
      <w:r>
        <w:t>in</w:t>
      </w:r>
      <w:r w:rsidRPr="009443E6">
        <w:t xml:space="preserve"> the olaparib </w:t>
      </w:r>
      <w:r w:rsidR="00B37AC5">
        <w:t xml:space="preserve">arm </w:t>
      </w:r>
      <w:r w:rsidRPr="009443E6">
        <w:t xml:space="preserve">was </w:t>
      </w:r>
      <w:r>
        <w:t>twice that of</w:t>
      </w:r>
      <w:r w:rsidRPr="009443E6">
        <w:t xml:space="preserve"> </w:t>
      </w:r>
      <w:r w:rsidR="00B37AC5">
        <w:t xml:space="preserve">the </w:t>
      </w:r>
      <w:r w:rsidRPr="009443E6">
        <w:t>placebo group</w:t>
      </w:r>
      <w:r>
        <w:t xml:space="preserve">. </w:t>
      </w:r>
      <w:r w:rsidRPr="009443E6">
        <w:t>A planned interim analysis</w:t>
      </w:r>
      <w:r>
        <w:t xml:space="preserve"> </w:t>
      </w:r>
      <w:r w:rsidRPr="009443E6">
        <w:t>of overall survival that took place at a data maturity</w:t>
      </w:r>
      <w:r>
        <w:t xml:space="preserve"> </w:t>
      </w:r>
      <w:r w:rsidRPr="009443E6">
        <w:t>of 46% showed no evidence of a difference</w:t>
      </w:r>
      <w:r>
        <w:t xml:space="preserve"> </w:t>
      </w:r>
      <w:r w:rsidRPr="009443E6">
        <w:t>in overall survival between the groups (median,</w:t>
      </w:r>
      <w:r>
        <w:t xml:space="preserve"> </w:t>
      </w:r>
      <w:r w:rsidRPr="009443E6">
        <w:t>18.9 months in the olaparib group and 18.1 months</w:t>
      </w:r>
      <w:r>
        <w:t xml:space="preserve"> </w:t>
      </w:r>
      <w:r w:rsidRPr="009443E6">
        <w:t>in the placebo group; hazard ratio for death,</w:t>
      </w:r>
      <w:r>
        <w:t xml:space="preserve"> </w:t>
      </w:r>
      <w:r w:rsidRPr="009443E6">
        <w:t>0.91; 95% CI, 0.56 to 1.46; P = 0.68)</w:t>
      </w:r>
      <w:r>
        <w:t>.</w:t>
      </w:r>
    </w:p>
    <w:p w14:paraId="10B1FCD5" w14:textId="6B019233" w:rsidR="00B37AC5" w:rsidRDefault="00B37AC5" w:rsidP="00B37AC5">
      <w:pPr>
        <w:ind w:left="360"/>
        <w:jc w:val="both"/>
      </w:pPr>
      <w:r w:rsidRPr="00B37AC5">
        <w:t>There was no clinically meaningful change from baseline</w:t>
      </w:r>
      <w:r>
        <w:t xml:space="preserve"> in the</w:t>
      </w:r>
      <w:r w:rsidRPr="00B37AC5">
        <w:t xml:space="preserve"> European Organization for Research and Treatment of</w:t>
      </w:r>
      <w:r>
        <w:t xml:space="preserve"> </w:t>
      </w:r>
      <w:r w:rsidRPr="00B37AC5">
        <w:t>Cancer Quality of Life Questionnaire</w:t>
      </w:r>
      <w:r>
        <w:t xml:space="preserve"> </w:t>
      </w:r>
      <w:r w:rsidRPr="00B37AC5">
        <w:t>global health</w:t>
      </w:r>
      <w:r>
        <w:t xml:space="preserve"> </w:t>
      </w:r>
      <w:r w:rsidRPr="00B37AC5">
        <w:t>related</w:t>
      </w:r>
      <w:r>
        <w:t xml:space="preserve"> </w:t>
      </w:r>
      <w:r w:rsidRPr="00B37AC5">
        <w:t xml:space="preserve">quality-of-life score in either </w:t>
      </w:r>
      <w:r>
        <w:t xml:space="preserve">trial group and </w:t>
      </w:r>
      <w:r w:rsidRPr="00B37AC5">
        <w:t>no significant difference in the overall</w:t>
      </w:r>
      <w:r>
        <w:t xml:space="preserve"> </w:t>
      </w:r>
      <w:r w:rsidRPr="00B37AC5">
        <w:t>change from baseline between the groups</w:t>
      </w:r>
      <w:r>
        <w:t xml:space="preserve"> </w:t>
      </w:r>
      <w:r w:rsidRPr="00B37AC5">
        <w:t xml:space="preserve"> (between-group difference, </w:t>
      </w:r>
      <w:r w:rsidRPr="00B37AC5">
        <w:rPr>
          <w:rFonts w:hint="eastAsia"/>
        </w:rPr>
        <w:t>−</w:t>
      </w:r>
      <w:r w:rsidRPr="00B37AC5">
        <w:t>2.47 points; 95% CI,</w:t>
      </w:r>
      <w:r>
        <w:t xml:space="preserve"> </w:t>
      </w:r>
      <w:r w:rsidRPr="00B37AC5">
        <w:rPr>
          <w:rFonts w:hint="eastAsia"/>
        </w:rPr>
        <w:t>−</w:t>
      </w:r>
      <w:r w:rsidRPr="00B37AC5">
        <w:t xml:space="preserve">7.27 to 2.33). </w:t>
      </w:r>
    </w:p>
    <w:p w14:paraId="30D9A7E4" w14:textId="70303A91" w:rsidR="009443E6" w:rsidRDefault="00211FB2" w:rsidP="00211FB2">
      <w:pPr>
        <w:ind w:left="360"/>
        <w:jc w:val="both"/>
      </w:pPr>
      <w:r w:rsidRPr="00211FB2">
        <w:t>Adverse events le</w:t>
      </w:r>
      <w:r>
        <w:t>a</w:t>
      </w:r>
      <w:r w:rsidRPr="00211FB2">
        <w:t>d</w:t>
      </w:r>
      <w:r>
        <w:t>ing</w:t>
      </w:r>
      <w:r w:rsidRPr="00211FB2">
        <w:t xml:space="preserve"> to discontinuation</w:t>
      </w:r>
      <w:r>
        <w:t xml:space="preserve"> of trial agent occurred </w:t>
      </w:r>
      <w:r w:rsidRPr="00211FB2">
        <w:t>in 5% of the patients who received</w:t>
      </w:r>
      <w:r>
        <w:t xml:space="preserve"> </w:t>
      </w:r>
      <w:r w:rsidRPr="00211FB2">
        <w:t>olaparib and in 2% of the patients who received</w:t>
      </w:r>
      <w:r>
        <w:t xml:space="preserve"> </w:t>
      </w:r>
      <w:r w:rsidRPr="00211FB2">
        <w:t>placeb</w:t>
      </w:r>
      <w:r>
        <w:t xml:space="preserve">o; </w:t>
      </w:r>
      <w:r w:rsidRPr="00211FB2">
        <w:t>adverse events were usually managed by</w:t>
      </w:r>
      <w:r>
        <w:t xml:space="preserve"> </w:t>
      </w:r>
      <w:r w:rsidRPr="00211FB2">
        <w:t xml:space="preserve">dose interruption or reduction. </w:t>
      </w:r>
    </w:p>
    <w:p w14:paraId="0B454953" w14:textId="0962B020" w:rsidR="004E3CC7" w:rsidRDefault="0054239E" w:rsidP="00D82FAC">
      <w:pPr>
        <w:pStyle w:val="ListParagraph"/>
        <w:ind w:left="360"/>
        <w:jc w:val="both"/>
      </w:pPr>
      <w:r>
        <w:rPr>
          <w:szCs w:val="20"/>
        </w:rPr>
        <w:t>Olaparib represents a significantly improved treatment option for patients with metastatic pancreatic cancer, a</w:t>
      </w:r>
      <w:r>
        <w:t xml:space="preserve"> cancer with one of the lowest </w:t>
      </w:r>
      <w:r w:rsidR="00082AD8">
        <w:t>5-year</w:t>
      </w:r>
      <w:r>
        <w:t xml:space="preserve"> survival rates. For eligible patients, olaparib is an alternative option to the watch and wait scenario following first round platinum</w:t>
      </w:r>
      <w:r w:rsidR="002C632E">
        <w:t>-</w:t>
      </w:r>
      <w:r>
        <w:t xml:space="preserve">based chemotherapy; olaparib offers patients and medical specialists a targeted treatment for biomarker defined metastatic pancreatic cancer and offers clinically meaningful efficacy outcomes, </w:t>
      </w:r>
      <w:r w:rsidR="005615EA">
        <w:t>acceptable safety</w:t>
      </w:r>
      <w:r>
        <w:t xml:space="preserve"> and toxicity profile and with the ease of oral administration.</w:t>
      </w:r>
    </w:p>
    <w:p w14:paraId="2533B529" w14:textId="77777777" w:rsidR="00D82FAC" w:rsidRPr="00D82FAC" w:rsidRDefault="00D82FAC" w:rsidP="00D82FAC">
      <w:pPr>
        <w:pStyle w:val="ListParagraph"/>
        <w:ind w:left="360"/>
        <w:jc w:val="both"/>
      </w:pPr>
    </w:p>
    <w:p w14:paraId="7C1A9D89"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241A8D4D" w14:textId="247F290F" w:rsidR="001B29A1" w:rsidRPr="001B29A1" w:rsidRDefault="001C61A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D211B">
        <w:rPr>
          <w:szCs w:val="20"/>
        </w:rPr>
      </w:r>
      <w:r w:rsidR="008D211B">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29AB989E"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D211B">
        <w:rPr>
          <w:szCs w:val="20"/>
        </w:rPr>
      </w:r>
      <w:r w:rsidR="008D211B">
        <w:rPr>
          <w:szCs w:val="20"/>
        </w:rPr>
        <w:fldChar w:fldCharType="separate"/>
      </w:r>
      <w:r w:rsidRPr="001B29A1">
        <w:rPr>
          <w:szCs w:val="20"/>
        </w:rPr>
        <w:fldChar w:fldCharType="end"/>
      </w:r>
      <w:r w:rsidRPr="001B29A1">
        <w:rPr>
          <w:szCs w:val="20"/>
        </w:rPr>
        <w:t xml:space="preserve"> Non-inferiority</w:t>
      </w:r>
      <w:r w:rsidRPr="001B29A1">
        <w:rPr>
          <w:szCs w:val="20"/>
        </w:rPr>
        <w:tab/>
      </w:r>
    </w:p>
    <w:p w14:paraId="370AB07A" w14:textId="601C6C8E"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D7D7CAC" w14:textId="12249A58" w:rsidR="001C61A4" w:rsidRDefault="001C61A4" w:rsidP="001C61A4"/>
    <w:p w14:paraId="0247192E" w14:textId="77777777" w:rsidR="001C61A4" w:rsidRDefault="001C61A4" w:rsidP="001C61A4">
      <w:pPr>
        <w:pBdr>
          <w:top w:val="single" w:sz="4" w:space="1" w:color="auto"/>
          <w:left w:val="single" w:sz="4" w:space="4" w:color="auto"/>
          <w:bottom w:val="single" w:sz="4" w:space="1" w:color="auto"/>
          <w:right w:val="single" w:sz="4" w:space="4" w:color="auto"/>
        </w:pBdr>
        <w:rPr>
          <w:i/>
          <w:szCs w:val="20"/>
        </w:rPr>
      </w:pPr>
      <w:r>
        <w:rPr>
          <w:i/>
          <w:szCs w:val="20"/>
        </w:rPr>
        <w:t>Trial based (evidentiary standard) analytical performance:</w:t>
      </w:r>
    </w:p>
    <w:p w14:paraId="49E564E0" w14:textId="62E3D254" w:rsidR="00BA44F7" w:rsidRDefault="00BA44F7" w:rsidP="00FE28DC">
      <w:pPr>
        <w:pBdr>
          <w:top w:val="single" w:sz="4" w:space="1" w:color="auto"/>
          <w:left w:val="single" w:sz="4" w:space="4" w:color="auto"/>
          <w:bottom w:val="single" w:sz="4" w:space="1" w:color="auto"/>
          <w:right w:val="single" w:sz="4" w:space="4" w:color="auto"/>
        </w:pBdr>
        <w:rPr>
          <w:i/>
          <w:szCs w:val="20"/>
        </w:rPr>
      </w:pPr>
    </w:p>
    <w:p w14:paraId="5CFB043F" w14:textId="4B0996A7" w:rsidR="001C61A4" w:rsidRDefault="001C61A4" w:rsidP="001C61A4">
      <w:pPr>
        <w:pBdr>
          <w:top w:val="single" w:sz="4" w:space="1" w:color="auto"/>
          <w:left w:val="single" w:sz="4" w:space="4" w:color="auto"/>
          <w:bottom w:val="single" w:sz="4" w:space="1" w:color="auto"/>
          <w:right w:val="single" w:sz="4" w:space="4" w:color="auto"/>
        </w:pBdr>
        <w:rPr>
          <w:i/>
          <w:szCs w:val="20"/>
        </w:rPr>
      </w:pPr>
      <w:r>
        <w:rPr>
          <w:i/>
          <w:szCs w:val="20"/>
        </w:rPr>
        <w:t>Clinical utility of test:</w:t>
      </w:r>
    </w:p>
    <w:p w14:paraId="24DED9ED" w14:textId="74E80383" w:rsidR="001C61A4" w:rsidRDefault="001C61A4" w:rsidP="001C61A4">
      <w:pPr>
        <w:pBdr>
          <w:top w:val="single" w:sz="4" w:space="1" w:color="auto"/>
          <w:left w:val="single" w:sz="4" w:space="4" w:color="auto"/>
          <w:bottom w:val="single" w:sz="4" w:space="1" w:color="auto"/>
          <w:right w:val="single" w:sz="4" w:space="4" w:color="auto"/>
        </w:pBdr>
        <w:rPr>
          <w:szCs w:val="20"/>
          <w:highlight w:val="cyan"/>
        </w:rPr>
      </w:pPr>
      <w:r>
        <w:rPr>
          <w:szCs w:val="20"/>
        </w:rPr>
        <w:t>Prognostic effect of BRCA1/2 mutation</w:t>
      </w:r>
      <w:r w:rsidR="00031360">
        <w:rPr>
          <w:szCs w:val="20"/>
        </w:rPr>
        <w:t xml:space="preserve"> in patients with </w:t>
      </w:r>
      <w:r w:rsidR="00B06D47">
        <w:rPr>
          <w:szCs w:val="20"/>
        </w:rPr>
        <w:t xml:space="preserve">platinum-sensitive </w:t>
      </w:r>
      <w:r w:rsidR="00031360">
        <w:rPr>
          <w:szCs w:val="20"/>
        </w:rPr>
        <w:t>metastatic pancreatic cancer</w:t>
      </w:r>
      <w:r>
        <w:t xml:space="preserve">. </w:t>
      </w:r>
    </w:p>
    <w:p w14:paraId="77E41209" w14:textId="03DBB1FA" w:rsidR="00031360" w:rsidRDefault="001C61A4" w:rsidP="00031360">
      <w:pPr>
        <w:pBdr>
          <w:top w:val="single" w:sz="4" w:space="1" w:color="auto"/>
          <w:left w:val="single" w:sz="4" w:space="4" w:color="auto"/>
          <w:bottom w:val="single" w:sz="4" w:space="1" w:color="auto"/>
          <w:right w:val="single" w:sz="4" w:space="4" w:color="auto"/>
        </w:pBdr>
        <w:rPr>
          <w:szCs w:val="20"/>
          <w:highlight w:val="cyan"/>
        </w:rPr>
      </w:pPr>
      <w:r>
        <w:rPr>
          <w:szCs w:val="20"/>
        </w:rPr>
        <w:t xml:space="preserve">Treatment effect modification of olaparib in patients </w:t>
      </w:r>
      <w:r w:rsidR="00031360">
        <w:rPr>
          <w:szCs w:val="20"/>
        </w:rPr>
        <w:t xml:space="preserve">with </w:t>
      </w:r>
      <w:r w:rsidR="00B06D47">
        <w:rPr>
          <w:szCs w:val="20"/>
        </w:rPr>
        <w:t xml:space="preserve">platinum-sensitive </w:t>
      </w:r>
      <w:r w:rsidR="00031360">
        <w:rPr>
          <w:szCs w:val="20"/>
        </w:rPr>
        <w:t>metastatic pancreatic cancer</w:t>
      </w:r>
      <w:r w:rsidR="00031360">
        <w:t xml:space="preserve">. </w:t>
      </w:r>
    </w:p>
    <w:p w14:paraId="334B6BC0" w14:textId="1A563EB6" w:rsidR="001C61A4" w:rsidRDefault="001C61A4" w:rsidP="001C61A4">
      <w:pPr>
        <w:pBdr>
          <w:top w:val="single" w:sz="4" w:space="1" w:color="auto"/>
          <w:left w:val="single" w:sz="4" w:space="4" w:color="auto"/>
          <w:bottom w:val="single" w:sz="4" w:space="1" w:color="auto"/>
          <w:right w:val="single" w:sz="4" w:space="4" w:color="auto"/>
        </w:pBdr>
        <w:rPr>
          <w:b/>
          <w:szCs w:val="20"/>
        </w:rPr>
      </w:pPr>
      <w:r>
        <w:rPr>
          <w:b/>
          <w:szCs w:val="20"/>
        </w:rPr>
        <w:lastRenderedPageBreak/>
        <w:t xml:space="preserve">Drug </w:t>
      </w:r>
      <w:r w:rsidR="00B06D47">
        <w:rPr>
          <w:b/>
          <w:szCs w:val="20"/>
        </w:rPr>
        <w:t xml:space="preserve">related </w:t>
      </w:r>
      <w:r>
        <w:rPr>
          <w:b/>
          <w:szCs w:val="20"/>
        </w:rPr>
        <w:t>outcomes</w:t>
      </w:r>
    </w:p>
    <w:p w14:paraId="4EBE631A" w14:textId="77777777" w:rsidR="00411103" w:rsidRDefault="00411103" w:rsidP="00031360">
      <w:pPr>
        <w:pBdr>
          <w:top w:val="single" w:sz="4" w:space="1" w:color="auto"/>
          <w:left w:val="single" w:sz="4" w:space="4" w:color="auto"/>
          <w:bottom w:val="single" w:sz="4" w:space="1" w:color="auto"/>
          <w:right w:val="single" w:sz="4" w:space="4" w:color="auto"/>
        </w:pBdr>
        <w:rPr>
          <w:szCs w:val="20"/>
        </w:rPr>
      </w:pPr>
      <w:r>
        <w:rPr>
          <w:szCs w:val="20"/>
        </w:rPr>
        <w:t xml:space="preserve">Primary Endpoint: </w:t>
      </w:r>
    </w:p>
    <w:p w14:paraId="31CEFA6F" w14:textId="2F3C1D17" w:rsidR="00031360" w:rsidRDefault="00411103" w:rsidP="00031360">
      <w:pPr>
        <w:pBdr>
          <w:top w:val="single" w:sz="4" w:space="1" w:color="auto"/>
          <w:left w:val="single" w:sz="4" w:space="4" w:color="auto"/>
          <w:bottom w:val="single" w:sz="4" w:space="1" w:color="auto"/>
          <w:right w:val="single" w:sz="4" w:space="4" w:color="auto"/>
        </w:pBdr>
        <w:rPr>
          <w:szCs w:val="20"/>
        </w:rPr>
      </w:pPr>
      <w:r>
        <w:rPr>
          <w:szCs w:val="20"/>
        </w:rPr>
        <w:tab/>
      </w:r>
      <w:r w:rsidR="00031360">
        <w:rPr>
          <w:szCs w:val="20"/>
        </w:rPr>
        <w:t>Progression-free survival (PFS)</w:t>
      </w:r>
    </w:p>
    <w:p w14:paraId="1B172458" w14:textId="38147941" w:rsidR="00411103" w:rsidRDefault="00411103" w:rsidP="001C61A4">
      <w:pPr>
        <w:pBdr>
          <w:top w:val="single" w:sz="4" w:space="1" w:color="auto"/>
          <w:left w:val="single" w:sz="4" w:space="4" w:color="auto"/>
          <w:bottom w:val="single" w:sz="4" w:space="1" w:color="auto"/>
          <w:right w:val="single" w:sz="4" w:space="4" w:color="auto"/>
        </w:pBdr>
        <w:rPr>
          <w:szCs w:val="20"/>
        </w:rPr>
      </w:pPr>
      <w:r>
        <w:rPr>
          <w:szCs w:val="20"/>
        </w:rPr>
        <w:t>Secondary Endpoints:</w:t>
      </w:r>
    </w:p>
    <w:p w14:paraId="6F718003" w14:textId="6563CB92" w:rsidR="001C61A4" w:rsidRDefault="00411103" w:rsidP="001C61A4">
      <w:pPr>
        <w:pBdr>
          <w:top w:val="single" w:sz="4" w:space="1" w:color="auto"/>
          <w:left w:val="single" w:sz="4" w:space="4" w:color="auto"/>
          <w:bottom w:val="single" w:sz="4" w:space="1" w:color="auto"/>
          <w:right w:val="single" w:sz="4" w:space="4" w:color="auto"/>
        </w:pBdr>
        <w:rPr>
          <w:szCs w:val="20"/>
        </w:rPr>
      </w:pPr>
      <w:r>
        <w:rPr>
          <w:szCs w:val="20"/>
        </w:rPr>
        <w:tab/>
      </w:r>
      <w:r w:rsidR="001C61A4">
        <w:rPr>
          <w:szCs w:val="20"/>
        </w:rPr>
        <w:t>Overall survival (OS)</w:t>
      </w:r>
    </w:p>
    <w:p w14:paraId="4364CB14" w14:textId="77777777" w:rsidR="00411103" w:rsidRDefault="00411103" w:rsidP="00031360">
      <w:pPr>
        <w:pBdr>
          <w:top w:val="single" w:sz="4" w:space="1" w:color="auto"/>
          <w:left w:val="single" w:sz="4" w:space="4" w:color="auto"/>
          <w:bottom w:val="single" w:sz="4" w:space="1" w:color="auto"/>
          <w:right w:val="single" w:sz="4" w:space="4" w:color="auto"/>
        </w:pBdr>
        <w:rPr>
          <w:szCs w:val="20"/>
        </w:rPr>
      </w:pPr>
      <w:r>
        <w:rPr>
          <w:szCs w:val="20"/>
        </w:rPr>
        <w:tab/>
      </w:r>
      <w:r w:rsidR="00031360" w:rsidRPr="00031360">
        <w:rPr>
          <w:szCs w:val="20"/>
        </w:rPr>
        <w:t>Time from randomisation to second progression</w:t>
      </w:r>
      <w:r>
        <w:rPr>
          <w:szCs w:val="20"/>
        </w:rPr>
        <w:t xml:space="preserve"> </w:t>
      </w:r>
      <w:r w:rsidR="00031360" w:rsidRPr="00031360">
        <w:rPr>
          <w:szCs w:val="20"/>
        </w:rPr>
        <w:t>(PFS2)</w:t>
      </w:r>
    </w:p>
    <w:p w14:paraId="3A74AD82" w14:textId="0CCF9376" w:rsidR="00031360" w:rsidRPr="00031360" w:rsidRDefault="00411103" w:rsidP="00031360">
      <w:pPr>
        <w:pBdr>
          <w:top w:val="single" w:sz="4" w:space="1" w:color="auto"/>
          <w:left w:val="single" w:sz="4" w:space="4" w:color="auto"/>
          <w:bottom w:val="single" w:sz="4" w:space="1" w:color="auto"/>
          <w:right w:val="single" w:sz="4" w:space="4" w:color="auto"/>
        </w:pBdr>
        <w:rPr>
          <w:szCs w:val="20"/>
        </w:rPr>
      </w:pPr>
      <w:r>
        <w:rPr>
          <w:szCs w:val="20"/>
        </w:rPr>
        <w:tab/>
      </w:r>
      <w:r w:rsidR="00031360" w:rsidRPr="00031360">
        <w:rPr>
          <w:szCs w:val="20"/>
        </w:rPr>
        <w:t>Time from randomisation to first subsequent</w:t>
      </w:r>
      <w:r>
        <w:rPr>
          <w:szCs w:val="20"/>
        </w:rPr>
        <w:t xml:space="preserve"> </w:t>
      </w:r>
      <w:r w:rsidR="00031360" w:rsidRPr="00031360">
        <w:rPr>
          <w:szCs w:val="20"/>
        </w:rPr>
        <w:t>therapy or death (TFST)</w:t>
      </w:r>
    </w:p>
    <w:p w14:paraId="5C8ACD53" w14:textId="1AD5DF8F" w:rsidR="00031360" w:rsidRPr="00031360" w:rsidRDefault="00411103" w:rsidP="00031360">
      <w:pPr>
        <w:pBdr>
          <w:top w:val="single" w:sz="4" w:space="1" w:color="auto"/>
          <w:left w:val="single" w:sz="4" w:space="4" w:color="auto"/>
          <w:bottom w:val="single" w:sz="4" w:space="1" w:color="auto"/>
          <w:right w:val="single" w:sz="4" w:space="4" w:color="auto"/>
        </w:pBdr>
        <w:rPr>
          <w:szCs w:val="20"/>
        </w:rPr>
      </w:pPr>
      <w:r>
        <w:rPr>
          <w:szCs w:val="20"/>
        </w:rPr>
        <w:tab/>
      </w:r>
      <w:r w:rsidR="00031360" w:rsidRPr="00031360">
        <w:rPr>
          <w:szCs w:val="20"/>
        </w:rPr>
        <w:t>Time from randomisation to second subsequent</w:t>
      </w:r>
      <w:r>
        <w:rPr>
          <w:szCs w:val="20"/>
        </w:rPr>
        <w:t xml:space="preserve"> </w:t>
      </w:r>
      <w:r w:rsidR="00031360" w:rsidRPr="00031360">
        <w:rPr>
          <w:szCs w:val="20"/>
        </w:rPr>
        <w:t>therapy or death (TSST)</w:t>
      </w:r>
    </w:p>
    <w:p w14:paraId="6D3BFF29" w14:textId="19EE3104" w:rsidR="00031360" w:rsidRDefault="00411103" w:rsidP="00031360">
      <w:pPr>
        <w:pBdr>
          <w:top w:val="single" w:sz="4" w:space="1" w:color="auto"/>
          <w:left w:val="single" w:sz="4" w:space="4" w:color="auto"/>
          <w:bottom w:val="single" w:sz="4" w:space="1" w:color="auto"/>
          <w:right w:val="single" w:sz="4" w:space="4" w:color="auto"/>
        </w:pBdr>
        <w:rPr>
          <w:szCs w:val="20"/>
        </w:rPr>
      </w:pPr>
      <w:r>
        <w:rPr>
          <w:szCs w:val="20"/>
        </w:rPr>
        <w:tab/>
      </w:r>
      <w:r w:rsidR="00031360" w:rsidRPr="00031360">
        <w:rPr>
          <w:szCs w:val="20"/>
        </w:rPr>
        <w:t>Time from randomisation to study treatment</w:t>
      </w:r>
      <w:r>
        <w:rPr>
          <w:szCs w:val="20"/>
        </w:rPr>
        <w:t xml:space="preserve"> </w:t>
      </w:r>
      <w:r w:rsidR="00031360" w:rsidRPr="00031360">
        <w:rPr>
          <w:szCs w:val="20"/>
        </w:rPr>
        <w:t>discontinuation or death (TDT)</w:t>
      </w:r>
    </w:p>
    <w:p w14:paraId="0D2AD94E" w14:textId="61DB258A" w:rsidR="00411103" w:rsidRDefault="00411103" w:rsidP="001C61A4">
      <w:pPr>
        <w:pBdr>
          <w:top w:val="single" w:sz="4" w:space="1" w:color="auto"/>
          <w:left w:val="single" w:sz="4" w:space="4" w:color="auto"/>
          <w:bottom w:val="single" w:sz="4" w:space="1" w:color="auto"/>
          <w:right w:val="single" w:sz="4" w:space="4" w:color="auto"/>
        </w:pBdr>
        <w:rPr>
          <w:szCs w:val="20"/>
        </w:rPr>
      </w:pPr>
      <w:r>
        <w:rPr>
          <w:szCs w:val="20"/>
        </w:rPr>
        <w:tab/>
      </w:r>
      <w:r w:rsidR="00031360">
        <w:rPr>
          <w:szCs w:val="20"/>
        </w:rPr>
        <w:t>Objective Response Rate (ORR)</w:t>
      </w:r>
    </w:p>
    <w:p w14:paraId="3549486E" w14:textId="06D5BD2D" w:rsidR="001C61A4" w:rsidRDefault="00411103" w:rsidP="001C61A4">
      <w:pPr>
        <w:pBdr>
          <w:top w:val="single" w:sz="4" w:space="1" w:color="auto"/>
          <w:left w:val="single" w:sz="4" w:space="4" w:color="auto"/>
          <w:bottom w:val="single" w:sz="4" w:space="1" w:color="auto"/>
          <w:right w:val="single" w:sz="4" w:space="4" w:color="auto"/>
        </w:pBdr>
        <w:rPr>
          <w:szCs w:val="20"/>
        </w:rPr>
      </w:pPr>
      <w:r>
        <w:rPr>
          <w:szCs w:val="20"/>
        </w:rPr>
        <w:tab/>
      </w:r>
      <w:r w:rsidR="001C61A4">
        <w:rPr>
          <w:szCs w:val="20"/>
        </w:rPr>
        <w:t xml:space="preserve">Health-related quality of life </w:t>
      </w:r>
      <w:r>
        <w:rPr>
          <w:szCs w:val="20"/>
        </w:rPr>
        <w:t>(HRQoL)</w:t>
      </w:r>
    </w:p>
    <w:p w14:paraId="07663EE3" w14:textId="78420DF9" w:rsidR="001B29A1" w:rsidRDefault="00B06D47" w:rsidP="001B29A1">
      <w:pPr>
        <w:pBdr>
          <w:top w:val="single" w:sz="4" w:space="1" w:color="auto"/>
          <w:left w:val="single" w:sz="4" w:space="4" w:color="auto"/>
          <w:bottom w:val="single" w:sz="4" w:space="1" w:color="auto"/>
          <w:right w:val="single" w:sz="4" w:space="4" w:color="auto"/>
        </w:pBdr>
        <w:rPr>
          <w:b/>
          <w:szCs w:val="20"/>
        </w:rPr>
      </w:pPr>
      <w:r>
        <w:rPr>
          <w:b/>
          <w:szCs w:val="20"/>
        </w:rPr>
        <w:t>Safety</w:t>
      </w:r>
    </w:p>
    <w:p w14:paraId="5701A74C" w14:textId="77777777" w:rsidR="00B06D47" w:rsidRPr="00154B00" w:rsidRDefault="00B06D47" w:rsidP="00B06D47">
      <w:pPr>
        <w:pBdr>
          <w:top w:val="single" w:sz="4" w:space="1" w:color="auto"/>
          <w:left w:val="single" w:sz="4" w:space="4" w:color="auto"/>
          <w:bottom w:val="single" w:sz="4" w:space="1" w:color="auto"/>
          <w:right w:val="single" w:sz="4" w:space="4" w:color="auto"/>
        </w:pBdr>
        <w:rPr>
          <w:b/>
          <w:szCs w:val="20"/>
        </w:rPr>
      </w:pPr>
      <w:r>
        <w:rPr>
          <w:szCs w:val="20"/>
        </w:rPr>
        <w:t xml:space="preserve">Safety and tolerability of olaparib maintenance </w:t>
      </w:r>
      <w:r>
        <w:t xml:space="preserve">treatment as </w:t>
      </w:r>
      <w:r>
        <w:rPr>
          <w:szCs w:val="20"/>
        </w:rPr>
        <w:t>assessed by adverse events (AEs), physical examinations, laboratory findings, and vital signs</w:t>
      </w:r>
    </w:p>
    <w:p w14:paraId="191F0B4F" w14:textId="77777777" w:rsidR="00B06D47" w:rsidRPr="00154B00" w:rsidRDefault="00B06D47" w:rsidP="001B29A1">
      <w:pPr>
        <w:pBdr>
          <w:top w:val="single" w:sz="4" w:space="1" w:color="auto"/>
          <w:left w:val="single" w:sz="4" w:space="4" w:color="auto"/>
          <w:bottom w:val="single" w:sz="4" w:space="1" w:color="auto"/>
          <w:right w:val="single" w:sz="4" w:space="4" w:color="auto"/>
        </w:pBdr>
        <w:rPr>
          <w:b/>
          <w:szCs w:val="20"/>
        </w:rPr>
      </w:pPr>
    </w:p>
    <w:p w14:paraId="78872FC7" w14:textId="48E33A39"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540D0AA"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D13A9D4" w14:textId="77777777" w:rsidR="0056471E" w:rsidRDefault="0056471E" w:rsidP="00082AD8">
      <w:pPr>
        <w:ind w:left="426"/>
        <w:jc w:val="both"/>
      </w:pPr>
      <w:r>
        <w:t>Since gBRCAm testing will happened once per lifetime for patients, an incident approach to estimating the proposed population has been used.</w:t>
      </w:r>
    </w:p>
    <w:p w14:paraId="1666F40C" w14:textId="43AA707A" w:rsidR="0056471E" w:rsidRDefault="0056471E" w:rsidP="00082AD8">
      <w:pPr>
        <w:ind w:left="426"/>
        <w:jc w:val="both"/>
      </w:pPr>
      <w:r>
        <w:t xml:space="preserve">The incidence of pancreatic cancer is estimated from the AIHW Cancer incidence projections, Australia 2011-2020 </w:t>
      </w:r>
      <w:sdt>
        <w:sdtPr>
          <w:id w:val="1173677768"/>
          <w:citation/>
        </w:sdtPr>
        <w:sdtEndPr/>
        <w:sdtContent>
          <w:r>
            <w:fldChar w:fldCharType="begin"/>
          </w:r>
          <w:r>
            <w:instrText xml:space="preserve"> CITATION AIH12 \l 3081 </w:instrText>
          </w:r>
          <w:r>
            <w:fldChar w:fldCharType="separate"/>
          </w:r>
          <w:r>
            <w:rPr>
              <w:noProof/>
            </w:rPr>
            <w:t>(AIHW, 2012)</w:t>
          </w:r>
          <w:r>
            <w:fldChar w:fldCharType="end"/>
          </w:r>
        </w:sdtContent>
      </w:sdt>
      <w:r>
        <w:t>.  This approach has previously been used and was accepted by PBAC and DUSC in their evaluation of nab-paclitaxel for the treatment of metastatic pancreatic cancer</w:t>
      </w:r>
      <w:sdt>
        <w:sdtPr>
          <w:id w:val="-1333909974"/>
          <w:citation/>
        </w:sdtPr>
        <w:sdtEndPr/>
        <w:sdtContent>
          <w:r w:rsidR="00CF1BF8">
            <w:fldChar w:fldCharType="begin"/>
          </w:r>
          <w:r w:rsidR="00CF1BF8">
            <w:instrText xml:space="preserve"> CITATION PBA14 \l 3081 </w:instrText>
          </w:r>
          <w:r w:rsidR="00CF1BF8">
            <w:fldChar w:fldCharType="separate"/>
          </w:r>
          <w:r w:rsidR="00CF1BF8">
            <w:rPr>
              <w:noProof/>
            </w:rPr>
            <w:t xml:space="preserve"> (PBAC, 2014)</w:t>
          </w:r>
          <w:r w:rsidR="00CF1BF8">
            <w:fldChar w:fldCharType="end"/>
          </w:r>
        </w:sdtContent>
      </w:sdt>
      <w:r w:rsidR="00CF1BF8">
        <w:t xml:space="preserve"> </w:t>
      </w:r>
      <w:sdt>
        <w:sdtPr>
          <w:id w:val="-315573177"/>
          <w:citation/>
        </w:sdtPr>
        <w:sdtEndPr/>
        <w:sdtContent>
          <w:r w:rsidR="00CF1BF8">
            <w:fldChar w:fldCharType="begin"/>
          </w:r>
          <w:r w:rsidR="00CF1BF8">
            <w:instrText xml:space="preserve"> CITATION DUS17 \l 3081 </w:instrText>
          </w:r>
          <w:r w:rsidR="00CF1BF8">
            <w:fldChar w:fldCharType="separate"/>
          </w:r>
          <w:r w:rsidR="00CF1BF8">
            <w:rPr>
              <w:noProof/>
            </w:rPr>
            <w:t>(DUSC, 2017)</w:t>
          </w:r>
          <w:r w:rsidR="00CF1BF8">
            <w:fldChar w:fldCharType="end"/>
          </w:r>
        </w:sdtContent>
      </w:sdt>
      <w:r w:rsidR="00CF1BF8">
        <w:t>.</w:t>
      </w:r>
    </w:p>
    <w:p w14:paraId="06AD3586" w14:textId="77777777" w:rsidR="0056471E" w:rsidRDefault="0056471E" w:rsidP="00082AD8">
      <w:pPr>
        <w:ind w:left="426"/>
        <w:jc w:val="both"/>
      </w:pPr>
      <w:r>
        <w:t>AIHW modelled projections for pancreatic cancer in males on all data from 1982 to 2007. Age standardised rate of pancreatic cancer was estimated to be 11.3 cases diagnosed per 100,000 males in 2020. Equating to 1,710 cases.</w:t>
      </w:r>
    </w:p>
    <w:p w14:paraId="3DEAFBE5" w14:textId="77777777" w:rsidR="0056471E" w:rsidRDefault="0056471E" w:rsidP="00082AD8">
      <w:pPr>
        <w:ind w:left="426"/>
        <w:jc w:val="both"/>
      </w:pPr>
      <w:r>
        <w:t>Unlike males, rates of pancreatic cancer in females had increased steadily from 1982 to 2007 at about 0.5 cases per 100,000 females per year. Extrapolation of age-specific trends from 1982 onwards suggested that age-standardised rates would continue to increase slowly to about 9.8 new cases diagnosed per 100,000 females in 2020, equating to approximately 1,750 new cases.</w:t>
      </w:r>
    </w:p>
    <w:p w14:paraId="7ACE4C17" w14:textId="77777777" w:rsidR="0056471E" w:rsidRDefault="0056471E" w:rsidP="00082AD8">
      <w:pPr>
        <w:ind w:left="426"/>
        <w:jc w:val="both"/>
      </w:pPr>
      <w:r>
        <w:t xml:space="preserve">Based in the AIHW predictions, it is estimated that </w:t>
      </w:r>
      <w:r w:rsidRPr="00066FC1">
        <w:rPr>
          <w:b/>
          <w:bCs/>
        </w:rPr>
        <w:t>3,460 new cases of metastatic pancreatic cancer would be diagnosed in 2020</w:t>
      </w:r>
      <w:r>
        <w:t xml:space="preserve"> (95% PI; 3,210 to 3,710).</w:t>
      </w:r>
    </w:p>
    <w:p w14:paraId="574A0EA2" w14:textId="1783B604" w:rsidR="0056471E" w:rsidRDefault="0056471E" w:rsidP="00082AD8">
      <w:pPr>
        <w:ind w:left="426"/>
        <w:jc w:val="both"/>
      </w:pPr>
      <w:r>
        <w:t>It is assumed that approximately 50% of new incident cases will be metastatic (stage IV). The PBAC submission for nab-paclitaxel presented a range of sources to estimate the staging of pancreatic data. Most of the sources estimated the proportion of patients with stage four disease to be approximately 50%.</w:t>
      </w:r>
    </w:p>
    <w:p w14:paraId="4F20357E" w14:textId="77777777" w:rsidR="0056471E" w:rsidRPr="00F04830" w:rsidRDefault="0056471E" w:rsidP="00082AD8">
      <w:pPr>
        <w:ind w:left="426"/>
        <w:jc w:val="both"/>
        <w:rPr>
          <w:b/>
          <w:bCs/>
        </w:rPr>
      </w:pPr>
      <w:r w:rsidRPr="00F04830">
        <w:rPr>
          <w:b/>
          <w:bCs/>
        </w:rPr>
        <w:t>Estimated number of patients diagnosed with metastatic pancreatic cancer is 1,730 in 2020.</w:t>
      </w:r>
    </w:p>
    <w:p w14:paraId="438462EE"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8D42079" w14:textId="32EA830F" w:rsidR="00382407" w:rsidRPr="00154B00" w:rsidRDefault="001D0945" w:rsidP="00AE1188">
      <w:pPr>
        <w:ind w:left="426"/>
        <w:rPr>
          <w:szCs w:val="20"/>
        </w:rPr>
      </w:pPr>
      <w:r>
        <w:t>Testing to determine germline BRCA1/2 gene mutation status would be conducted only once per patient per lifetime</w:t>
      </w:r>
      <w:r w:rsidR="00B06D47">
        <w:t xml:space="preserve">. </w:t>
      </w:r>
      <w:bookmarkStart w:id="15" w:name="_Hlk24722607"/>
      <w:r w:rsidR="00B06D47">
        <w:t>Some patients with metastatic pancreatic cancer may al</w:t>
      </w:r>
      <w:r w:rsidR="002A4E76">
        <w:t>ready know their gBRCAm status via testing under existing MBS item codes for breast/ovarian cancer or cascade testing due to an established familial risk.</w:t>
      </w:r>
    </w:p>
    <w:bookmarkEnd w:id="15"/>
    <w:p w14:paraId="0CEE9DE6"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07B3E42" w14:textId="03102B2B" w:rsidR="001D0945" w:rsidRPr="00154B00" w:rsidRDefault="001D0945" w:rsidP="001D0945">
      <w:pPr>
        <w:ind w:left="426"/>
        <w:rPr>
          <w:szCs w:val="20"/>
        </w:rPr>
      </w:pPr>
      <w:r>
        <w:t xml:space="preserve">Testing to determine germline BRCA1/2 gene mutation status would be conducted only once per patient per lifetime </w:t>
      </w:r>
    </w:p>
    <w:p w14:paraId="6F1A10FB"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3620A4D" w14:textId="0E3EBA8D" w:rsidR="00A8479C" w:rsidRPr="00AD1348" w:rsidRDefault="00A8479C">
      <w:pPr>
        <w:ind w:left="426"/>
        <w:jc w:val="both"/>
        <w:rPr>
          <w:b/>
          <w:bCs/>
        </w:rPr>
      </w:pPr>
      <w:r>
        <w:lastRenderedPageBreak/>
        <w:t>The number of patients utilising the proposed medical service is dependent on the number of patients diagnosed with metastatic pancreatic cancer (which is estimated in Question 46 to be 1,730 in 2020)</w:t>
      </w:r>
      <w:r w:rsidR="0031514E">
        <w:t xml:space="preserve">. </w:t>
      </w:r>
      <w:r>
        <w:t xml:space="preserve"> </w:t>
      </w:r>
    </w:p>
    <w:p w14:paraId="2332122D" w14:textId="20975DB7" w:rsidR="00A8479C" w:rsidRDefault="00A8479C" w:rsidP="00082AD8">
      <w:pPr>
        <w:ind w:left="426"/>
        <w:jc w:val="both"/>
      </w:pPr>
      <w:bookmarkStart w:id="16" w:name="_Hlk21604340"/>
      <w:r>
        <w:t xml:space="preserve">Establishing BRCAm status at the time of diagnosis is recommended in the NCCN clinical guidelines for the treatment of pancreatic cancer </w:t>
      </w:r>
      <w:sdt>
        <w:sdtPr>
          <w:id w:val="-1586607179"/>
          <w:citation/>
        </w:sdtPr>
        <w:sdtEndPr/>
        <w:sdtContent>
          <w:r w:rsidR="00E10F81">
            <w:fldChar w:fldCharType="begin"/>
          </w:r>
          <w:r w:rsidR="00B531F1">
            <w:instrText xml:space="preserve">CITATION Pan17 \l 3081 </w:instrText>
          </w:r>
          <w:r w:rsidR="00E10F81">
            <w:fldChar w:fldCharType="separate"/>
          </w:r>
          <w:r w:rsidR="00B531F1">
            <w:rPr>
              <w:noProof/>
            </w:rPr>
            <w:t>(Tempero MA, 2019)</w:t>
          </w:r>
          <w:r w:rsidR="00E10F81">
            <w:fldChar w:fldCharType="end"/>
          </w:r>
        </w:sdtContent>
      </w:sdt>
      <w:r>
        <w:t>.</w:t>
      </w:r>
    </w:p>
    <w:bookmarkEnd w:id="16"/>
    <w:p w14:paraId="52F018E5" w14:textId="6F460183" w:rsidR="00A8479C" w:rsidRDefault="00A8479C" w:rsidP="00082AD8">
      <w:pPr>
        <w:ind w:left="426"/>
        <w:jc w:val="both"/>
      </w:pPr>
      <w:r>
        <w:t xml:space="preserve">Since the co-dependent therapeutic drug, olaparib, is intended for use in patients with good performance status (ECOG 0 or 1), it is assumed that </w:t>
      </w:r>
      <w:proofErr w:type="spellStart"/>
      <w:r>
        <w:t>gBRCA</w:t>
      </w:r>
      <w:proofErr w:type="spellEnd"/>
      <w:r>
        <w:t xml:space="preserve"> testing could be offered </w:t>
      </w:r>
      <w:r w:rsidR="0031514E">
        <w:t xml:space="preserve">at the time of diagnosis, </w:t>
      </w:r>
      <w:r>
        <w:t>to patients with good performance status.  The application to list nab-paclitaxel on the PBS included an estimate of performance status in patients with metastatic pancreatic cancer, based on a clinician survey.  They estimated that 23.5% of patients present with an ECOG score of 0, and 47.2% with ECOG score of 1</w:t>
      </w:r>
      <w:r w:rsidR="00E10F81">
        <w:t xml:space="preserve"> </w:t>
      </w:r>
      <w:sdt>
        <w:sdtPr>
          <w:id w:val="-265155051"/>
          <w:citation/>
        </w:sdtPr>
        <w:sdtEndPr/>
        <w:sdtContent>
          <w:r w:rsidR="00E10F81">
            <w:fldChar w:fldCharType="begin"/>
          </w:r>
          <w:r w:rsidR="00E10F81">
            <w:instrText xml:space="preserve"> CITATION PBA14 \l 3081 </w:instrText>
          </w:r>
          <w:r w:rsidR="00E10F81">
            <w:fldChar w:fldCharType="separate"/>
          </w:r>
          <w:r w:rsidR="00E10F81">
            <w:rPr>
              <w:noProof/>
            </w:rPr>
            <w:t>(PBAC, 2014)</w:t>
          </w:r>
          <w:r w:rsidR="00E10F81">
            <w:fldChar w:fldCharType="end"/>
          </w:r>
        </w:sdtContent>
      </w:sdt>
      <w:r>
        <w:t>.</w:t>
      </w:r>
    </w:p>
    <w:p w14:paraId="41F02BC3" w14:textId="77777777" w:rsidR="00DD32E5" w:rsidRDefault="00A8479C" w:rsidP="0010685B">
      <w:pPr>
        <w:ind w:left="426"/>
        <w:jc w:val="both"/>
      </w:pPr>
      <w:r>
        <w:t xml:space="preserve">Therefore, we estimate that 71% of incident patients would qualify for </w:t>
      </w:r>
      <w:proofErr w:type="spellStart"/>
      <w:r>
        <w:t>gBRCA</w:t>
      </w:r>
      <w:proofErr w:type="spellEnd"/>
      <w:r>
        <w:t xml:space="preserve"> testing if it was offered after performance status was established. This equates to 1,223 patients in 2020.</w:t>
      </w:r>
      <w:r w:rsidR="00D82FAC">
        <w:t xml:space="preserve">  </w:t>
      </w:r>
    </w:p>
    <w:p w14:paraId="0E90FE03" w14:textId="5515D744" w:rsidR="0010685B" w:rsidRDefault="00D82FAC" w:rsidP="0010685B">
      <w:pPr>
        <w:ind w:left="426"/>
        <w:jc w:val="both"/>
      </w:pPr>
      <w:r>
        <w:t>However, it is unlikely that all eligible patients will take up testing due to cultural or religious beliefs.</w:t>
      </w:r>
    </w:p>
    <w:p w14:paraId="40A3558D" w14:textId="77777777" w:rsidR="00DD32E5" w:rsidRDefault="00DD32E5" w:rsidP="0010685B">
      <w:pPr>
        <w:ind w:left="426"/>
        <w:jc w:val="both"/>
      </w:pPr>
    </w:p>
    <w:p w14:paraId="45518A1E" w14:textId="133C2C6D" w:rsidR="00A8479C" w:rsidRDefault="00A8479C" w:rsidP="00082AD8">
      <w:pPr>
        <w:ind w:left="426"/>
        <w:jc w:val="both"/>
      </w:pPr>
      <w:r>
        <w:t>There may be an additional benefit to the patient in establishing gBRCAm status prior to deciding first line therapy for m</w:t>
      </w:r>
      <w:r w:rsidR="008B0CD0">
        <w:t xml:space="preserve">etastatic </w:t>
      </w:r>
      <w:r w:rsidR="00D55C87">
        <w:t>pancreatic</w:t>
      </w:r>
      <w:r w:rsidR="008B0CD0">
        <w:t xml:space="preserve"> cancer</w:t>
      </w:r>
      <w:r>
        <w:t xml:space="preserve">. ESMO guidelines recommend either FOLFIRINOX or gem-nab-paclitaxel in patients with good performance status. Although there are no direct head to head data to determine the relative efficacy of these two regimens, an indirect comparison suggests that FOLFORINOX may be slightly more efficacious, but also more toxic </w:t>
      </w:r>
      <w:sdt>
        <w:sdtPr>
          <w:id w:val="260952635"/>
          <w:citation/>
        </w:sdtPr>
        <w:sdtEndPr/>
        <w:sdtContent>
          <w:r w:rsidR="00E10F81">
            <w:fldChar w:fldCharType="begin"/>
          </w:r>
          <w:r w:rsidR="00E10F81">
            <w:instrText xml:space="preserve"> CITATION Duc15 \l 3081 </w:instrText>
          </w:r>
          <w:r w:rsidR="00E10F81">
            <w:fldChar w:fldCharType="separate"/>
          </w:r>
          <w:r w:rsidR="00E10F81">
            <w:rPr>
              <w:noProof/>
            </w:rPr>
            <w:t>(Ducreux M, 2015)</w:t>
          </w:r>
          <w:r w:rsidR="00E10F81">
            <w:fldChar w:fldCharType="end"/>
          </w:r>
        </w:sdtContent>
      </w:sdt>
      <w:r>
        <w:t>.  However, patients with BRCA1/2 mutations have longer survival when treated with platinum based chemotherapy</w:t>
      </w:r>
      <w:r w:rsidR="00E10F81">
        <w:t xml:space="preserve"> </w:t>
      </w:r>
      <w:sdt>
        <w:sdtPr>
          <w:id w:val="1042717898"/>
          <w:citation/>
        </w:sdtPr>
        <w:sdtEndPr/>
        <w:sdtContent>
          <w:r w:rsidR="00E10F81">
            <w:fldChar w:fldCharType="begin"/>
          </w:r>
          <w:r w:rsidR="00E10F81">
            <w:instrText xml:space="preserve">CITATION Gol14 \l 3081 </w:instrText>
          </w:r>
          <w:r w:rsidR="00E10F81">
            <w:fldChar w:fldCharType="separate"/>
          </w:r>
          <w:r w:rsidR="00E10F81">
            <w:rPr>
              <w:noProof/>
            </w:rPr>
            <w:t>(Golan T K. Z., 2014)</w:t>
          </w:r>
          <w:r w:rsidR="00E10F81">
            <w:fldChar w:fldCharType="end"/>
          </w:r>
        </w:sdtContent>
      </w:sdt>
      <w:r>
        <w:t xml:space="preserve">, </w:t>
      </w:r>
      <w:sdt>
        <w:sdtPr>
          <w:id w:val="-187995423"/>
          <w:citation/>
        </w:sdtPr>
        <w:sdtEndPr/>
        <w:sdtContent>
          <w:r w:rsidR="00E10F81">
            <w:fldChar w:fldCharType="begin"/>
          </w:r>
          <w:r w:rsidR="00E10F81">
            <w:instrText xml:space="preserve"> CITATION Son11 \l 3081 </w:instrText>
          </w:r>
          <w:r w:rsidR="00E10F81">
            <w:fldChar w:fldCharType="separate"/>
          </w:r>
          <w:r w:rsidR="00E10F81">
            <w:rPr>
              <w:noProof/>
            </w:rPr>
            <w:t>(Sonnenblick A, 2011)</w:t>
          </w:r>
          <w:r w:rsidR="00E10F81">
            <w:fldChar w:fldCharType="end"/>
          </w:r>
        </w:sdtContent>
      </w:sdt>
      <w:r w:rsidR="00750896">
        <w:t xml:space="preserve"> </w:t>
      </w:r>
      <w:r w:rsidR="008B0CD0">
        <w:t>thus</w:t>
      </w:r>
      <w:r>
        <w:t xml:space="preserve"> testing for </w:t>
      </w:r>
      <w:r w:rsidR="008B0CD0">
        <w:t>g</w:t>
      </w:r>
      <w:r>
        <w:t>BRCAm at the time of diagnosis may be</w:t>
      </w:r>
      <w:r w:rsidR="008B0CD0">
        <w:t xml:space="preserve"> a</w:t>
      </w:r>
      <w:r>
        <w:t xml:space="preserve"> useful</w:t>
      </w:r>
      <w:r w:rsidR="008B0CD0">
        <w:t xml:space="preserve"> approach</w:t>
      </w:r>
      <w:r>
        <w:t xml:space="preserve"> to determine the </w:t>
      </w:r>
      <w:r w:rsidR="008B0CD0">
        <w:t xml:space="preserve">optimal </w:t>
      </w:r>
      <w:r>
        <w:t>choice of first line treatment.</w:t>
      </w:r>
    </w:p>
    <w:p w14:paraId="3AE1B442" w14:textId="77777777" w:rsidR="008A21EB" w:rsidRPr="00154B00" w:rsidRDefault="008A21EB" w:rsidP="00AE1188">
      <w:pPr>
        <w:ind w:left="426"/>
        <w:rPr>
          <w:szCs w:val="20"/>
        </w:rPr>
      </w:pPr>
    </w:p>
    <w:p w14:paraId="68E82293"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F5FA65A" w14:textId="77777777" w:rsidR="007F6C38" w:rsidRDefault="007F6C38" w:rsidP="00082AD8">
      <w:pPr>
        <w:ind w:left="360"/>
        <w:jc w:val="both"/>
      </w:pPr>
      <w:r>
        <w:t xml:space="preserve">It is not anticipated that there would be any supply or demand issues as the overall number of patients requiring testing to detect BRCA1/2 gene mutations is manageable even if the number of laboratories conducting testing does not increase.  Risk of leakage is expected to be low given the specific details of the proposed item descriptor. </w:t>
      </w:r>
    </w:p>
    <w:p w14:paraId="5E2EAEDE" w14:textId="3FF75AB5" w:rsidR="007F6C38" w:rsidRDefault="007F6C38" w:rsidP="00082AD8">
      <w:pPr>
        <w:ind w:left="360"/>
        <w:jc w:val="both"/>
      </w:pPr>
      <w:r w:rsidRPr="008821AE">
        <w:t xml:space="preserve">A detailed </w:t>
      </w:r>
      <w:r>
        <w:t xml:space="preserve">utilisation </w:t>
      </w:r>
      <w:r w:rsidRPr="008821AE">
        <w:t>a</w:t>
      </w:r>
      <w:r>
        <w:t>nalysis</w:t>
      </w:r>
      <w:r w:rsidRPr="008821AE">
        <w:t xml:space="preserve"> will be </w:t>
      </w:r>
      <w:r>
        <w:t xml:space="preserve">presented </w:t>
      </w:r>
      <w:r w:rsidRPr="008821AE">
        <w:t>in the co-dependent MSAC/PBAC submission.</w:t>
      </w:r>
    </w:p>
    <w:p w14:paraId="7911D98B" w14:textId="77777777" w:rsidR="001E1375" w:rsidRDefault="001E1375" w:rsidP="00082AD8">
      <w:pPr>
        <w:ind w:left="360"/>
        <w:jc w:val="both"/>
      </w:pPr>
      <w:r>
        <w:t>Some patients diagnosed with metastatic pancreatic cancer may already know their BRCA1/2 mutational status due to prior testing under the existing MBS items codes 73296 or 73297.</w:t>
      </w:r>
    </w:p>
    <w:p w14:paraId="28F16F2C" w14:textId="53E39DEF" w:rsidR="007F6C38" w:rsidRDefault="007F6C38" w:rsidP="00082AD8">
      <w:pPr>
        <w:ind w:left="360"/>
        <w:jc w:val="both"/>
      </w:pPr>
    </w:p>
    <w:p w14:paraId="1119E1A0" w14:textId="77777777" w:rsidR="007F6C38" w:rsidRPr="00154B00" w:rsidRDefault="007F6C38" w:rsidP="006A3DD5">
      <w:pPr>
        <w:ind w:left="360"/>
        <w:jc w:val="both"/>
        <w:rPr>
          <w:szCs w:val="20"/>
        </w:rPr>
      </w:pPr>
    </w:p>
    <w:p w14:paraId="44F7037E" w14:textId="77777777" w:rsidR="003433D1" w:rsidRDefault="003433D1">
      <w:pPr>
        <w:rPr>
          <w:b/>
          <w:sz w:val="32"/>
          <w:szCs w:val="32"/>
        </w:rPr>
      </w:pPr>
      <w:r>
        <w:rPr>
          <w:b/>
          <w:sz w:val="32"/>
          <w:szCs w:val="32"/>
        </w:rPr>
        <w:br w:type="page"/>
      </w:r>
    </w:p>
    <w:p w14:paraId="534DD2FC"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6BA4020F"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0DEFE49A" w14:textId="53208EE8" w:rsidR="00951933" w:rsidRDefault="004A35AF" w:rsidP="00082AD8">
      <w:pPr>
        <w:ind w:left="360"/>
        <w:jc w:val="both"/>
      </w:pPr>
      <w:r>
        <w:t xml:space="preserve">The current MBS fee for detection of germline BRCA1 or BRCA2 mutations according to Item 73295 or Item 73296 is $1,200.00.  </w:t>
      </w:r>
    </w:p>
    <w:p w14:paraId="231739D1" w14:textId="7A69834E" w:rsidR="004A35AF" w:rsidRPr="00154B00" w:rsidRDefault="004A35AF" w:rsidP="00082AD8">
      <w:pPr>
        <w:ind w:left="360"/>
        <w:jc w:val="both"/>
        <w:rPr>
          <w:szCs w:val="20"/>
        </w:rPr>
      </w:pPr>
      <w:r>
        <w:t>It is anticipated that the cost will be the same for metastatic pancreatic cancer patients. Only one test is required per lifetime.</w:t>
      </w:r>
      <w:r w:rsidRPr="00154B00">
        <w:rPr>
          <w:szCs w:val="20"/>
        </w:rPr>
        <w:t xml:space="preserve"> </w:t>
      </w:r>
    </w:p>
    <w:p w14:paraId="472191D5"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6DE46075" w14:textId="34BE88E6" w:rsidR="00951933" w:rsidRDefault="004A35AF" w:rsidP="00AE1188">
      <w:pPr>
        <w:ind w:left="426"/>
        <w:rPr>
          <w:b/>
          <w:szCs w:val="20"/>
        </w:rPr>
      </w:pPr>
      <w:r>
        <w:t xml:space="preserve">Testing turnaround time from when the blood sample is collected to test result is between </w:t>
      </w:r>
      <w:r w:rsidR="00134DDE">
        <w:t>2 to 4</w:t>
      </w:r>
      <w:r>
        <w:t xml:space="preserve"> weeks.</w:t>
      </w:r>
    </w:p>
    <w:p w14:paraId="6D555EAA"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F1D8AD4" w14:textId="603B4A1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4A35AF">
        <w:rPr>
          <w:szCs w:val="20"/>
        </w:rPr>
        <w:t xml:space="preserve">6 - </w:t>
      </w:r>
      <w:r w:rsidR="004A35AF" w:rsidRPr="00467E0B">
        <w:rPr>
          <w:caps/>
          <w:szCs w:val="20"/>
        </w:rPr>
        <w:t>Pathology Services</w:t>
      </w:r>
    </w:p>
    <w:p w14:paraId="7399DA3D" w14:textId="77777777" w:rsidR="004A35AF"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p>
    <w:p w14:paraId="0A2A3D56" w14:textId="770B7AE2" w:rsidR="004A35AF" w:rsidRDefault="004A35AF" w:rsidP="004A35AF">
      <w:pPr>
        <w:pBdr>
          <w:top w:val="single" w:sz="4" w:space="1" w:color="auto"/>
          <w:left w:val="single" w:sz="4" w:space="4" w:color="auto"/>
          <w:bottom w:val="single" w:sz="4" w:space="1" w:color="auto"/>
          <w:right w:val="single" w:sz="4" w:space="4" w:color="auto"/>
        </w:pBdr>
      </w:pPr>
      <w:r>
        <w:rPr>
          <w:szCs w:val="20"/>
        </w:rPr>
        <w:t xml:space="preserve">Detection of germline BRCA1 or BRCA2 gene mutation, in </w:t>
      </w:r>
      <w:r w:rsidR="006A3DD5">
        <w:rPr>
          <w:szCs w:val="20"/>
        </w:rPr>
        <w:t xml:space="preserve">a </w:t>
      </w:r>
      <w:r>
        <w:rPr>
          <w:szCs w:val="20"/>
        </w:rPr>
        <w:t>patient</w:t>
      </w:r>
      <w:r>
        <w:t xml:space="preserve"> with metastatic </w:t>
      </w:r>
      <w:r w:rsidR="00D33FFA">
        <w:t>pancreatic</w:t>
      </w:r>
      <w:r w:rsidR="00547588">
        <w:t xml:space="preserve"> </w:t>
      </w:r>
      <w:r>
        <w:t xml:space="preserve">cancer </w:t>
      </w:r>
      <w:r w:rsidR="006A3DD5">
        <w:t>r</w:t>
      </w:r>
      <w:r>
        <w:t>equest</w:t>
      </w:r>
      <w:r w:rsidR="006A3DD5">
        <w:t>ed</w:t>
      </w:r>
      <w:r>
        <w:t xml:space="preserve"> by a specialist or consultant physician to determine whether the eligibility criteria for olaparib under the Pharmaceutical Benefits Scheme (PBS) are fulfilled.</w:t>
      </w:r>
    </w:p>
    <w:p w14:paraId="20C97BB6" w14:textId="77777777" w:rsidR="006A3DD5" w:rsidRDefault="006A3DD5" w:rsidP="006A3DD5">
      <w:pPr>
        <w:pBdr>
          <w:top w:val="single" w:sz="4" w:space="1" w:color="auto"/>
          <w:left w:val="single" w:sz="4" w:space="4" w:color="auto"/>
          <w:bottom w:val="single" w:sz="4" w:space="1" w:color="auto"/>
          <w:right w:val="single" w:sz="4" w:space="4" w:color="auto"/>
        </w:pBdr>
        <w:rPr>
          <w:szCs w:val="20"/>
        </w:rPr>
      </w:pPr>
      <w:r>
        <w:rPr>
          <w:szCs w:val="20"/>
        </w:rPr>
        <w:t xml:space="preserve">Maximum one test per lifetime </w:t>
      </w:r>
    </w:p>
    <w:p w14:paraId="6C9BC3B7" w14:textId="5F45D26D" w:rsidR="006A3DD5" w:rsidRPr="00AE1188" w:rsidRDefault="006A3DD5" w:rsidP="006A3DD5">
      <w:pPr>
        <w:pBdr>
          <w:top w:val="single" w:sz="4" w:space="1" w:color="auto"/>
          <w:left w:val="single" w:sz="4" w:space="4" w:color="auto"/>
          <w:bottom w:val="single" w:sz="4" w:space="1" w:color="auto"/>
          <w:right w:val="single" w:sz="4" w:space="4" w:color="auto"/>
        </w:pBdr>
        <w:rPr>
          <w:szCs w:val="20"/>
        </w:rPr>
      </w:pPr>
      <w:r>
        <w:rPr>
          <w:szCs w:val="20"/>
        </w:rPr>
        <w:t>Fee: $1200.</w:t>
      </w:r>
      <w:r w:rsidR="008B0CD0">
        <w:rPr>
          <w:szCs w:val="20"/>
        </w:rPr>
        <w:t xml:space="preserve">00 </w:t>
      </w:r>
      <w:r w:rsidR="008B0CD0">
        <w:t>Benefit</w:t>
      </w:r>
      <w:r>
        <w:t>: 75% = $900.00</w:t>
      </w:r>
      <w:r>
        <w:tab/>
        <w:t>85% = $1020.00</w:t>
      </w:r>
    </w:p>
    <w:p w14:paraId="01055C93" w14:textId="77777777" w:rsidR="00AE1188" w:rsidRDefault="00AE1188" w:rsidP="004A0BF4">
      <w:pPr>
        <w:pStyle w:val="Heading2"/>
        <w:numPr>
          <w:ilvl w:val="0"/>
          <w:numId w:val="0"/>
        </w:numPr>
        <w:ind w:left="360"/>
      </w:pPr>
      <w:r>
        <w:br w:type="page"/>
      </w:r>
    </w:p>
    <w:p w14:paraId="70CFF254" w14:textId="6C5D1C3A" w:rsidR="00EF353C" w:rsidRPr="00EF353C" w:rsidRDefault="00EF353C" w:rsidP="0067266E">
      <w:pPr>
        <w:pStyle w:val="Heading1"/>
        <w:ind w:left="0" w:firstLine="0"/>
      </w:pPr>
      <w:r w:rsidRPr="00EF353C">
        <w:t>References</w:t>
      </w:r>
    </w:p>
    <w:p w14:paraId="10946D98" w14:textId="77777777" w:rsidR="0045113A" w:rsidRDefault="00EF353C" w:rsidP="0045113A">
      <w:pPr>
        <w:pStyle w:val="Bibliography"/>
        <w:ind w:left="720" w:hanging="720"/>
        <w:rPr>
          <w:noProof/>
          <w:sz w:val="24"/>
          <w:szCs w:val="24"/>
        </w:rPr>
      </w:pPr>
      <w:r>
        <w:rPr>
          <w:szCs w:val="20"/>
        </w:rPr>
        <w:fldChar w:fldCharType="begin"/>
      </w:r>
      <w:r>
        <w:rPr>
          <w:szCs w:val="20"/>
        </w:rPr>
        <w:instrText xml:space="preserve"> BIBLIOGRAPHY  \l 3081 </w:instrText>
      </w:r>
      <w:r>
        <w:rPr>
          <w:szCs w:val="20"/>
        </w:rPr>
        <w:fldChar w:fldCharType="separate"/>
      </w:r>
      <w:r w:rsidR="0045113A">
        <w:rPr>
          <w:noProof/>
        </w:rPr>
        <w:t>AIHW. (2012). Cancer incidence projections: Australia, 2011 to 2020.</w:t>
      </w:r>
    </w:p>
    <w:p w14:paraId="293D0A08" w14:textId="77777777" w:rsidR="0045113A" w:rsidRDefault="0045113A" w:rsidP="0045113A">
      <w:pPr>
        <w:pStyle w:val="Bibliography"/>
        <w:ind w:left="720" w:hanging="720"/>
        <w:rPr>
          <w:noProof/>
        </w:rPr>
      </w:pPr>
      <w:r>
        <w:rPr>
          <w:noProof/>
        </w:rPr>
        <w:t xml:space="preserve">AIHW. (2018). </w:t>
      </w:r>
      <w:r>
        <w:rPr>
          <w:i/>
          <w:iCs/>
          <w:noProof/>
        </w:rPr>
        <w:t>Colorectal and other digestive-tract cancers.</w:t>
      </w:r>
      <w:r>
        <w:rPr>
          <w:noProof/>
        </w:rPr>
        <w:t xml:space="preserve"> </w:t>
      </w:r>
    </w:p>
    <w:p w14:paraId="25B69605" w14:textId="77777777" w:rsidR="0045113A" w:rsidRDefault="0045113A" w:rsidP="0045113A">
      <w:pPr>
        <w:pStyle w:val="Bibliography"/>
        <w:ind w:left="720" w:hanging="720"/>
        <w:rPr>
          <w:noProof/>
        </w:rPr>
      </w:pPr>
      <w:r>
        <w:rPr>
          <w:noProof/>
        </w:rPr>
        <w:t xml:space="preserve">AIHW. (2019). </w:t>
      </w:r>
      <w:r>
        <w:rPr>
          <w:i/>
          <w:iCs/>
          <w:noProof/>
        </w:rPr>
        <w:t>Pancreatric cancer in Australia statistics</w:t>
      </w:r>
      <w:r>
        <w:rPr>
          <w:noProof/>
        </w:rPr>
        <w:t>. (A. Govrnment, Producer) Retrieved September 9, 2019, from Cancer Australia: https://pancreatic-cancer.canceraustralia.gov.au/statistics</w:t>
      </w:r>
    </w:p>
    <w:p w14:paraId="68A611BC" w14:textId="77777777" w:rsidR="0045113A" w:rsidRDefault="0045113A" w:rsidP="0045113A">
      <w:pPr>
        <w:pStyle w:val="Bibliography"/>
        <w:ind w:left="720" w:hanging="720"/>
        <w:rPr>
          <w:noProof/>
        </w:rPr>
      </w:pPr>
      <w:r>
        <w:rPr>
          <w:noProof/>
        </w:rPr>
        <w:t xml:space="preserve">AZ Data on File. (2014). </w:t>
      </w:r>
      <w:r>
        <w:rPr>
          <w:i/>
          <w:iCs/>
          <w:noProof/>
        </w:rPr>
        <w:t>2.5 Clinical Overview Olaparib monotherapy as maintenance treatment of patients with platinum-sensitive relapsed BRCA mutated ovarian cancer. .</w:t>
      </w:r>
      <w:r>
        <w:rPr>
          <w:noProof/>
        </w:rPr>
        <w:t xml:space="preserve"> </w:t>
      </w:r>
    </w:p>
    <w:p w14:paraId="460343EB" w14:textId="77777777" w:rsidR="0045113A" w:rsidRDefault="0045113A" w:rsidP="0045113A">
      <w:pPr>
        <w:pStyle w:val="Bibliography"/>
        <w:ind w:left="720" w:hanging="720"/>
        <w:rPr>
          <w:noProof/>
        </w:rPr>
      </w:pPr>
      <w:r>
        <w:rPr>
          <w:noProof/>
        </w:rPr>
        <w:t xml:space="preserve">AZ Product Information. (2019, June). </w:t>
      </w:r>
      <w:r>
        <w:rPr>
          <w:i/>
          <w:iCs/>
          <w:noProof/>
        </w:rPr>
        <w:t>Lynparza Product Information.</w:t>
      </w:r>
      <w:r>
        <w:rPr>
          <w:noProof/>
        </w:rPr>
        <w:t xml:space="preserve"> </w:t>
      </w:r>
    </w:p>
    <w:p w14:paraId="06517A6C" w14:textId="77777777" w:rsidR="0045113A" w:rsidRDefault="0045113A" w:rsidP="0045113A">
      <w:pPr>
        <w:pStyle w:val="Bibliography"/>
        <w:ind w:left="720" w:hanging="720"/>
        <w:rPr>
          <w:noProof/>
        </w:rPr>
      </w:pPr>
      <w:r>
        <w:rPr>
          <w:noProof/>
        </w:rPr>
        <w:t xml:space="preserve">Cancer Institute NSW. (2018, February). </w:t>
      </w:r>
      <w:r>
        <w:rPr>
          <w:i/>
          <w:iCs/>
          <w:noProof/>
        </w:rPr>
        <w:t>eviQ Pancreas and Biliary Treatment Protocols</w:t>
      </w:r>
      <w:r>
        <w:rPr>
          <w:noProof/>
        </w:rPr>
        <w:t>. Retrieved September 2019, from https://www.eviq.org.au/medical-oncology/upper-gastrointestinal/pancreas-and-biliary</w:t>
      </w:r>
    </w:p>
    <w:p w14:paraId="7ED231DC" w14:textId="77777777" w:rsidR="0045113A" w:rsidRDefault="0045113A" w:rsidP="0045113A">
      <w:pPr>
        <w:pStyle w:val="Bibliography"/>
        <w:ind w:left="720" w:hanging="720"/>
        <w:rPr>
          <w:noProof/>
        </w:rPr>
      </w:pPr>
      <w:r>
        <w:rPr>
          <w:noProof/>
        </w:rPr>
        <w:t xml:space="preserve">Cohen, P. A. (2016). Impact of Clinical Genetics Attendance at a Gynecologic Oncology Tumor Board on Referrals for Genetic Counseling and BRCA Mutation Testing. </w:t>
      </w:r>
      <w:r>
        <w:rPr>
          <w:i/>
          <w:iCs/>
          <w:noProof/>
        </w:rPr>
        <w:t>Int J Gynecol Cancer, 26</w:t>
      </w:r>
      <w:r>
        <w:rPr>
          <w:noProof/>
        </w:rPr>
        <w:t>(5), 892-897.</w:t>
      </w:r>
    </w:p>
    <w:p w14:paraId="60CFC0B4" w14:textId="77777777" w:rsidR="0045113A" w:rsidRDefault="0045113A" w:rsidP="0045113A">
      <w:pPr>
        <w:pStyle w:val="Bibliography"/>
        <w:ind w:left="720" w:hanging="720"/>
        <w:rPr>
          <w:noProof/>
        </w:rPr>
      </w:pPr>
      <w:r>
        <w:rPr>
          <w:noProof/>
        </w:rPr>
        <w:t xml:space="preserve">Conroy T, D. F. (2011). FOLFIRINOX versus gemcitabine for metastatic pancreatic cancer. </w:t>
      </w:r>
      <w:r>
        <w:rPr>
          <w:i/>
          <w:iCs/>
          <w:noProof/>
        </w:rPr>
        <w:t>N Engl J Med, 364</w:t>
      </w:r>
      <w:r>
        <w:rPr>
          <w:noProof/>
        </w:rPr>
        <w:t>, 1817-1825.</w:t>
      </w:r>
    </w:p>
    <w:p w14:paraId="1D2095EE" w14:textId="77777777" w:rsidR="0045113A" w:rsidRDefault="0045113A" w:rsidP="0045113A">
      <w:pPr>
        <w:pStyle w:val="Bibliography"/>
        <w:ind w:left="720" w:hanging="720"/>
        <w:rPr>
          <w:noProof/>
        </w:rPr>
      </w:pPr>
      <w:r>
        <w:rPr>
          <w:noProof/>
        </w:rPr>
        <w:t xml:space="preserve">Ducreux M, C. A. (2015). Cancer of the pancreas: ESMO Clinical Practice Guidelines for diagnosis, treatment and follow-up. </w:t>
      </w:r>
      <w:r>
        <w:rPr>
          <w:i/>
          <w:iCs/>
          <w:noProof/>
        </w:rPr>
        <w:t>Annals of Oncology, 26</w:t>
      </w:r>
      <w:r>
        <w:rPr>
          <w:noProof/>
        </w:rPr>
        <w:t>(Suppl 5), v56-v58.</w:t>
      </w:r>
    </w:p>
    <w:p w14:paraId="06248B74" w14:textId="77777777" w:rsidR="0045113A" w:rsidRDefault="0045113A" w:rsidP="0045113A">
      <w:pPr>
        <w:pStyle w:val="Bibliography"/>
        <w:ind w:left="720" w:hanging="720"/>
        <w:rPr>
          <w:noProof/>
        </w:rPr>
      </w:pPr>
      <w:r>
        <w:rPr>
          <w:noProof/>
        </w:rPr>
        <w:t>DUSC. (2017). Nanoparticle albumin-bound paclitaxel for pancreatic cancer: 24 month predicted versus actual analysis.</w:t>
      </w:r>
    </w:p>
    <w:p w14:paraId="43069943" w14:textId="77777777" w:rsidR="0045113A" w:rsidRDefault="0045113A" w:rsidP="0045113A">
      <w:pPr>
        <w:pStyle w:val="Bibliography"/>
        <w:ind w:left="720" w:hanging="720"/>
        <w:rPr>
          <w:noProof/>
        </w:rPr>
      </w:pPr>
      <w:r>
        <w:rPr>
          <w:noProof/>
        </w:rPr>
        <w:t xml:space="preserve">Gandy RC, B. A. (2016). Refining the care of patients with pancreatic cancer: the AGITG Pancreatic Cancer Workshop consensus. </w:t>
      </w:r>
      <w:r>
        <w:rPr>
          <w:i/>
          <w:iCs/>
          <w:noProof/>
        </w:rPr>
        <w:t>Med J Aust, 204</w:t>
      </w:r>
      <w:r>
        <w:rPr>
          <w:noProof/>
        </w:rPr>
        <w:t>(11), 419-422.</w:t>
      </w:r>
    </w:p>
    <w:p w14:paraId="6F327B0D" w14:textId="77777777" w:rsidR="0045113A" w:rsidRDefault="0045113A" w:rsidP="0045113A">
      <w:pPr>
        <w:pStyle w:val="Bibliography"/>
        <w:ind w:left="720" w:hanging="720"/>
        <w:rPr>
          <w:noProof/>
        </w:rPr>
      </w:pPr>
      <w:r>
        <w:rPr>
          <w:noProof/>
        </w:rPr>
        <w:t xml:space="preserve">Golan T, H. P. (2019). Maintenance Olaparib for Germline BRCA-Mutated Metastatic Pancreatic Cancer. </w:t>
      </w:r>
      <w:r>
        <w:rPr>
          <w:i/>
          <w:iCs/>
          <w:noProof/>
        </w:rPr>
        <w:t>N Engl J Med , 381</w:t>
      </w:r>
      <w:r>
        <w:rPr>
          <w:noProof/>
        </w:rPr>
        <w:t>, 317-327.</w:t>
      </w:r>
    </w:p>
    <w:p w14:paraId="7EA78825" w14:textId="77777777" w:rsidR="0045113A" w:rsidRDefault="0045113A" w:rsidP="0045113A">
      <w:pPr>
        <w:pStyle w:val="Bibliography"/>
        <w:ind w:left="720" w:hanging="720"/>
        <w:rPr>
          <w:noProof/>
        </w:rPr>
      </w:pPr>
      <w:r>
        <w:rPr>
          <w:noProof/>
        </w:rPr>
        <w:t xml:space="preserve">Golan T, K. Z. (2014). Overall survival and clinical characteristics of pancreatic cancer in BRCA mutation carriers. </w:t>
      </w:r>
      <w:r>
        <w:rPr>
          <w:i/>
          <w:iCs/>
          <w:noProof/>
        </w:rPr>
        <w:t>Br J cancer, 111</w:t>
      </w:r>
      <w:r>
        <w:rPr>
          <w:noProof/>
        </w:rPr>
        <w:t>(6), 1132-1138.</w:t>
      </w:r>
    </w:p>
    <w:p w14:paraId="7C1EFF54" w14:textId="77777777" w:rsidR="0045113A" w:rsidRDefault="0045113A" w:rsidP="0045113A">
      <w:pPr>
        <w:pStyle w:val="Bibliography"/>
        <w:ind w:left="720" w:hanging="720"/>
        <w:rPr>
          <w:noProof/>
        </w:rPr>
      </w:pPr>
      <w:r>
        <w:rPr>
          <w:noProof/>
        </w:rPr>
        <w:t xml:space="preserve">Jalali A. (2018). Use of FOLFIRINOX chemotherapy in an Australasian population of pancreatic cancer. </w:t>
      </w:r>
      <w:r>
        <w:rPr>
          <w:i/>
          <w:iCs/>
          <w:noProof/>
        </w:rPr>
        <w:t>ESMO Asia Congress.</w:t>
      </w:r>
      <w:r>
        <w:rPr>
          <w:noProof/>
        </w:rPr>
        <w:t xml:space="preserve"> </w:t>
      </w:r>
    </w:p>
    <w:p w14:paraId="4C363E83" w14:textId="77777777" w:rsidR="0045113A" w:rsidRDefault="0045113A" w:rsidP="0045113A">
      <w:pPr>
        <w:pStyle w:val="Bibliography"/>
        <w:ind w:left="720" w:hanging="720"/>
        <w:rPr>
          <w:noProof/>
        </w:rPr>
      </w:pPr>
      <w:r>
        <w:rPr>
          <w:noProof/>
        </w:rPr>
        <w:t xml:space="preserve">Lau C, S. G. (2011). BRCA testing for familial breast cancer. </w:t>
      </w:r>
      <w:r>
        <w:rPr>
          <w:i/>
          <w:iCs/>
          <w:noProof/>
        </w:rPr>
        <w:t>Aust Prescr, 34</w:t>
      </w:r>
      <w:r>
        <w:rPr>
          <w:noProof/>
        </w:rPr>
        <w:t>(2), 49-51.</w:t>
      </w:r>
    </w:p>
    <w:p w14:paraId="58091150" w14:textId="77777777" w:rsidR="0045113A" w:rsidRDefault="0045113A" w:rsidP="0045113A">
      <w:pPr>
        <w:pStyle w:val="Bibliography"/>
        <w:ind w:left="720" w:hanging="720"/>
        <w:rPr>
          <w:noProof/>
        </w:rPr>
      </w:pPr>
      <w:r>
        <w:rPr>
          <w:noProof/>
        </w:rPr>
        <w:t xml:space="preserve">National Cancer Institute. (2019, July). </w:t>
      </w:r>
      <w:r>
        <w:rPr>
          <w:i/>
          <w:iCs/>
          <w:noProof/>
        </w:rPr>
        <w:t>Pancreatic Cancer Treatment (PDQ®)–Health Professional Version</w:t>
      </w:r>
      <w:r>
        <w:rPr>
          <w:noProof/>
        </w:rPr>
        <w:t>. Retrieved September 2019, from https://www.cancer.gov/types/pancreatic/hp/pancreatic-treatment-pdq</w:t>
      </w:r>
    </w:p>
    <w:p w14:paraId="6EEA0F37" w14:textId="77777777" w:rsidR="0045113A" w:rsidRDefault="0045113A" w:rsidP="0045113A">
      <w:pPr>
        <w:pStyle w:val="Bibliography"/>
        <w:ind w:left="720" w:hanging="720"/>
        <w:rPr>
          <w:noProof/>
        </w:rPr>
      </w:pPr>
      <w:r>
        <w:rPr>
          <w:noProof/>
        </w:rPr>
        <w:t>PBAC. (2014). Public Summary Document: Paclitaxel-Nanoparticle Albumin Bound.</w:t>
      </w:r>
    </w:p>
    <w:p w14:paraId="24569310" w14:textId="77777777" w:rsidR="0045113A" w:rsidRDefault="0045113A" w:rsidP="0045113A">
      <w:pPr>
        <w:pStyle w:val="Bibliography"/>
        <w:ind w:left="720" w:hanging="720"/>
        <w:rPr>
          <w:noProof/>
        </w:rPr>
      </w:pPr>
      <w:r>
        <w:rPr>
          <w:noProof/>
        </w:rPr>
        <w:lastRenderedPageBreak/>
        <w:t xml:space="preserve">Pilarski R. (2019). The Role of BRCATesting in Hereditary Pancreatic and Prostate Cancer Families. </w:t>
      </w:r>
      <w:r>
        <w:rPr>
          <w:i/>
          <w:iCs/>
          <w:noProof/>
        </w:rPr>
        <w:t>Am soc Clin Oncol Educ Book, 39</w:t>
      </w:r>
      <w:r>
        <w:rPr>
          <w:noProof/>
        </w:rPr>
        <w:t>, 79-86.</w:t>
      </w:r>
    </w:p>
    <w:p w14:paraId="28549DD0" w14:textId="77777777" w:rsidR="0045113A" w:rsidRDefault="0045113A" w:rsidP="0045113A">
      <w:pPr>
        <w:pStyle w:val="Bibliography"/>
        <w:ind w:left="720" w:hanging="720"/>
        <w:rPr>
          <w:noProof/>
        </w:rPr>
      </w:pPr>
      <w:r>
        <w:rPr>
          <w:noProof/>
        </w:rPr>
        <w:t xml:space="preserve">Rahma OE, D. A. (2013). Second-line treatment in. </w:t>
      </w:r>
      <w:r>
        <w:rPr>
          <w:i/>
          <w:iCs/>
          <w:noProof/>
        </w:rPr>
        <w:t>Ann Oncol, 24</w:t>
      </w:r>
      <w:r>
        <w:rPr>
          <w:noProof/>
        </w:rPr>
        <w:t>(8), 1972-1979.</w:t>
      </w:r>
    </w:p>
    <w:p w14:paraId="5136F599" w14:textId="77777777" w:rsidR="0045113A" w:rsidRDefault="0045113A" w:rsidP="0045113A">
      <w:pPr>
        <w:pStyle w:val="Bibliography"/>
        <w:ind w:left="720" w:hanging="720"/>
        <w:rPr>
          <w:noProof/>
        </w:rPr>
      </w:pPr>
      <w:r>
        <w:rPr>
          <w:noProof/>
        </w:rPr>
        <w:t xml:space="preserve">Sonnenblick A, K. L. (2011). Complete remission, in BRCA2 mutation carrier with metastatic pancreatic adenocarcinoma, treated with cisplatin based therapy. </w:t>
      </w:r>
      <w:r>
        <w:rPr>
          <w:i/>
          <w:iCs/>
          <w:noProof/>
        </w:rPr>
        <w:t>Cancer Biol Ther, 12</w:t>
      </w:r>
      <w:r>
        <w:rPr>
          <w:noProof/>
        </w:rPr>
        <w:t>(3), 165-168.</w:t>
      </w:r>
    </w:p>
    <w:p w14:paraId="4478E1E6" w14:textId="77777777" w:rsidR="0045113A" w:rsidRDefault="0045113A" w:rsidP="0045113A">
      <w:pPr>
        <w:pStyle w:val="Bibliography"/>
        <w:ind w:left="720" w:hanging="720"/>
        <w:rPr>
          <w:noProof/>
        </w:rPr>
      </w:pPr>
      <w:r>
        <w:rPr>
          <w:noProof/>
        </w:rPr>
        <w:t xml:space="preserve">Tempero MA, M. M.-H. (2019). </w:t>
      </w:r>
      <w:r>
        <w:rPr>
          <w:i/>
          <w:iCs/>
          <w:noProof/>
        </w:rPr>
        <w:t>Pancreatic Adenocarcinoma, Version 3.2019, NCCN Clinical Practice Guidelines in Oncology</w:t>
      </w:r>
      <w:r>
        <w:rPr>
          <w:noProof/>
        </w:rPr>
        <w:t>. Retrieved October 2019, from https://www.nccn.org/store/login/login.aspx?ReturnURL=https://www.nccn.org/professionals/physician_gls/pdf/pancreatic.pdf</w:t>
      </w:r>
    </w:p>
    <w:p w14:paraId="6C7EFCEF" w14:textId="77777777" w:rsidR="0045113A" w:rsidRDefault="0045113A" w:rsidP="0045113A">
      <w:pPr>
        <w:pStyle w:val="Bibliography"/>
        <w:ind w:left="720" w:hanging="720"/>
        <w:rPr>
          <w:noProof/>
        </w:rPr>
      </w:pPr>
      <w:r>
        <w:rPr>
          <w:noProof/>
        </w:rPr>
        <w:t xml:space="preserve">Von Hoff DD, E. T. (2013). Increased survival. </w:t>
      </w:r>
      <w:r>
        <w:rPr>
          <w:i/>
          <w:iCs/>
          <w:noProof/>
        </w:rPr>
        <w:t>N Engl J Med</w:t>
      </w:r>
      <w:r>
        <w:rPr>
          <w:noProof/>
        </w:rPr>
        <w:t>, 1691-1703.</w:t>
      </w:r>
    </w:p>
    <w:p w14:paraId="657BF20A" w14:textId="5CF2567A" w:rsidR="00EF353C" w:rsidRDefault="00EF353C" w:rsidP="0045113A">
      <w:pPr>
        <w:ind w:left="426"/>
        <w:jc w:val="both"/>
        <w:rPr>
          <w:szCs w:val="20"/>
        </w:rPr>
      </w:pPr>
      <w:r>
        <w:rPr>
          <w:szCs w:val="20"/>
        </w:rPr>
        <w:fldChar w:fldCharType="end"/>
      </w:r>
    </w:p>
    <w:p w14:paraId="57EC780F" w14:textId="25C6CD50" w:rsidR="002C5ADF" w:rsidRDefault="002C5ADF" w:rsidP="00082AD8">
      <w:pPr>
        <w:ind w:left="426"/>
        <w:jc w:val="both"/>
        <w:rPr>
          <w:szCs w:val="20"/>
        </w:rPr>
      </w:pPr>
    </w:p>
    <w:p w14:paraId="025B18A3" w14:textId="77777777" w:rsidR="002C5ADF" w:rsidRDefault="002C5ADF" w:rsidP="00082AD8">
      <w:pPr>
        <w:ind w:left="426"/>
        <w:jc w:val="both"/>
        <w:rPr>
          <w:szCs w:val="20"/>
        </w:rPr>
        <w:sectPr w:rsidR="002C5ADF" w:rsidSect="00DD308E">
          <w:pgSz w:w="11906" w:h="16838"/>
          <w:pgMar w:top="1440" w:right="1440" w:bottom="1440" w:left="1440" w:header="708" w:footer="708" w:gutter="0"/>
          <w:cols w:space="708"/>
          <w:docGrid w:linePitch="360"/>
        </w:sectPr>
      </w:pPr>
    </w:p>
    <w:p w14:paraId="370BADE2" w14:textId="26B9FC0C" w:rsidR="002C5ADF" w:rsidRDefault="002C5ADF" w:rsidP="002C5ADF">
      <w:pPr>
        <w:pStyle w:val="Heading1"/>
      </w:pPr>
      <w:r>
        <w:lastRenderedPageBreak/>
        <w:t xml:space="preserve">Attachment </w:t>
      </w:r>
    </w:p>
    <w:p w14:paraId="22E7E688" w14:textId="06C1CE59" w:rsidR="002C5ADF" w:rsidRDefault="002C5ADF" w:rsidP="002C5ADF">
      <w:pPr>
        <w:pStyle w:val="Caption"/>
      </w:pPr>
      <w:bookmarkStart w:id="17" w:name="_Ref21614847"/>
      <w:r>
        <w:t xml:space="preserve">Figure </w:t>
      </w:r>
      <w:r w:rsidR="008D211B">
        <w:fldChar w:fldCharType="begin"/>
      </w:r>
      <w:r w:rsidR="008D211B">
        <w:instrText xml:space="preserve"> SEQ Figure \* ARABIC </w:instrText>
      </w:r>
      <w:r w:rsidR="008D211B">
        <w:fldChar w:fldCharType="separate"/>
      </w:r>
      <w:r w:rsidR="008D211B">
        <w:rPr>
          <w:noProof/>
        </w:rPr>
        <w:t>1</w:t>
      </w:r>
      <w:r w:rsidR="008D211B">
        <w:rPr>
          <w:noProof/>
        </w:rPr>
        <w:fldChar w:fldCharType="end"/>
      </w:r>
      <w:bookmarkEnd w:id="17"/>
      <w:r>
        <w:t xml:space="preserve"> Current clinical algorithm for metastatic pancreatic cancer</w:t>
      </w:r>
    </w:p>
    <w:p w14:paraId="1323548E" w14:textId="4D6F8248" w:rsidR="002C5ADF" w:rsidRDefault="002C5ADF" w:rsidP="002C5ADF"/>
    <w:p w14:paraId="49E5F4EC" w14:textId="47698C25" w:rsidR="002C5ADF" w:rsidRDefault="009733BC" w:rsidP="002C5ADF">
      <w:r w:rsidRPr="009733BC">
        <w:rPr>
          <w:noProof/>
          <w:lang w:eastAsia="en-AU"/>
        </w:rPr>
        <w:drawing>
          <wp:inline distT="0" distB="0" distL="0" distR="0" wp14:anchorId="4DA161DD" wp14:editId="33784467">
            <wp:extent cx="5731510" cy="5316220"/>
            <wp:effectExtent l="0" t="0" r="2540" b="0"/>
            <wp:docPr id="4" name="Picture 4"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31510" cy="5316220"/>
                    </a:xfrm>
                    <a:prstGeom prst="rect">
                      <a:avLst/>
                    </a:prstGeom>
                    <a:noFill/>
                    <a:ln>
                      <a:noFill/>
                    </a:ln>
                  </pic:spPr>
                </pic:pic>
              </a:graphicData>
            </a:graphic>
          </wp:inline>
        </w:drawing>
      </w:r>
    </w:p>
    <w:p w14:paraId="4205102E" w14:textId="66430CBD" w:rsidR="002C5ADF" w:rsidRDefault="002C5ADF" w:rsidP="002C5ADF"/>
    <w:p w14:paraId="354CA366" w14:textId="582559BE" w:rsidR="002C5ADF" w:rsidRDefault="002C5ADF" w:rsidP="002C5ADF"/>
    <w:p w14:paraId="188FCCE3" w14:textId="77777777" w:rsidR="009733BC" w:rsidRDefault="009733BC" w:rsidP="002C5ADF">
      <w:pPr>
        <w:pStyle w:val="Caption"/>
      </w:pPr>
      <w:bookmarkStart w:id="18" w:name="_Ref21615021"/>
      <w:r>
        <w:br w:type="page"/>
      </w:r>
    </w:p>
    <w:p w14:paraId="2BF0B820" w14:textId="0108B181" w:rsidR="002C5ADF" w:rsidRPr="002C5ADF" w:rsidRDefault="002C5ADF" w:rsidP="002C5ADF">
      <w:pPr>
        <w:pStyle w:val="Caption"/>
      </w:pPr>
      <w:r>
        <w:lastRenderedPageBreak/>
        <w:t xml:space="preserve">Figure </w:t>
      </w:r>
      <w:r w:rsidR="008D211B">
        <w:fldChar w:fldCharType="begin"/>
      </w:r>
      <w:r w:rsidR="008D211B">
        <w:instrText xml:space="preserve"> SEQ Figure \* ARABIC </w:instrText>
      </w:r>
      <w:r w:rsidR="008D211B">
        <w:fldChar w:fldCharType="separate"/>
      </w:r>
      <w:r w:rsidR="008D211B">
        <w:rPr>
          <w:noProof/>
        </w:rPr>
        <w:t>2</w:t>
      </w:r>
      <w:r w:rsidR="008D211B">
        <w:rPr>
          <w:noProof/>
        </w:rPr>
        <w:fldChar w:fldCharType="end"/>
      </w:r>
      <w:bookmarkEnd w:id="18"/>
      <w:r>
        <w:t xml:space="preserve"> Clinical algorithm following introduction of germline BRCA mutation testing </w:t>
      </w:r>
    </w:p>
    <w:p w14:paraId="50324486" w14:textId="337BAA8A" w:rsidR="002C5ADF" w:rsidRDefault="002C5ADF" w:rsidP="00082AD8">
      <w:pPr>
        <w:ind w:left="426"/>
        <w:jc w:val="both"/>
        <w:rPr>
          <w:szCs w:val="20"/>
        </w:rPr>
      </w:pPr>
    </w:p>
    <w:p w14:paraId="1ADB8E2F" w14:textId="5D3DE5C9" w:rsidR="002C5ADF" w:rsidRDefault="002C5ADF" w:rsidP="002C5ADF">
      <w:pPr>
        <w:jc w:val="both"/>
        <w:rPr>
          <w:szCs w:val="20"/>
        </w:rPr>
      </w:pPr>
      <w:bookmarkStart w:id="19" w:name="_GoBack"/>
      <w:r w:rsidRPr="002C5ADF">
        <w:rPr>
          <w:noProof/>
          <w:szCs w:val="20"/>
          <w:lang w:eastAsia="en-AU"/>
        </w:rPr>
        <w:drawing>
          <wp:inline distT="0" distB="0" distL="0" distR="0" wp14:anchorId="6FB5B936" wp14:editId="1E76A449">
            <wp:extent cx="5731510" cy="7125335"/>
            <wp:effectExtent l="0" t="0" r="2540" b="0"/>
            <wp:docPr id="3" name="Picture 3"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1510" cy="7125335"/>
                    </a:xfrm>
                    <a:prstGeom prst="rect">
                      <a:avLst/>
                    </a:prstGeom>
                    <a:noFill/>
                    <a:ln>
                      <a:noFill/>
                    </a:ln>
                  </pic:spPr>
                </pic:pic>
              </a:graphicData>
            </a:graphic>
          </wp:inline>
        </w:drawing>
      </w:r>
      <w:bookmarkEnd w:id="19"/>
    </w:p>
    <w:sectPr w:rsidR="002C5ADF"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3852" w14:textId="77777777" w:rsidR="00471B66" w:rsidRDefault="00471B66" w:rsidP="00CF2DFA">
      <w:pPr>
        <w:spacing w:after="0"/>
      </w:pPr>
      <w:r>
        <w:separator/>
      </w:r>
    </w:p>
  </w:endnote>
  <w:endnote w:type="continuationSeparator" w:id="0">
    <w:p w14:paraId="6EEE1469" w14:textId="77777777" w:rsidR="00471B66" w:rsidRDefault="00471B66"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00000001" w:usb1="02000001" w:usb2="00000000" w:usb3="00000000" w:csb0="0000019F" w:csb1="00000000"/>
  </w:font>
  <w:font w:name="Univers-Light">
    <w:altName w:val="Univers"/>
    <w:panose1 w:val="00000000000000000000"/>
    <w:charset w:val="00"/>
    <w:family w:val="swiss"/>
    <w:notTrueType/>
    <w:pitch w:val="default"/>
    <w:sig w:usb0="00000003" w:usb1="00000000" w:usb2="00000000" w:usb3="00000000" w:csb0="00000001" w:csb1="00000000"/>
  </w:font>
  <w:font w:name="Univers-LightOblique">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16B3" w14:textId="77777777" w:rsidR="008D211B" w:rsidRDefault="008D2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708C02E" w14:textId="02194FFC" w:rsidR="001142EE" w:rsidRDefault="001142E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8D211B" w:rsidRPr="008D211B">
          <w:rPr>
            <w:b/>
            <w:bCs/>
            <w:noProof/>
            <w:sz w:val="18"/>
            <w:szCs w:val="18"/>
          </w:rPr>
          <w:t>31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45C159FC" w14:textId="77777777" w:rsidR="001142EE" w:rsidRPr="003F7CB9" w:rsidRDefault="001142EE"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8889" w14:textId="77777777" w:rsidR="008D211B" w:rsidRDefault="008D2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A695E" w14:textId="77777777" w:rsidR="00471B66" w:rsidRDefault="00471B66" w:rsidP="00CF2DFA">
      <w:pPr>
        <w:spacing w:after="0"/>
      </w:pPr>
      <w:r>
        <w:separator/>
      </w:r>
    </w:p>
  </w:footnote>
  <w:footnote w:type="continuationSeparator" w:id="0">
    <w:p w14:paraId="4A10CDDD" w14:textId="77777777" w:rsidR="00471B66" w:rsidRDefault="00471B66"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335F8" w14:textId="77777777" w:rsidR="008D211B" w:rsidRDefault="008D2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4D13" w14:textId="77777777" w:rsidR="008D211B" w:rsidRDefault="008D2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FFBF" w14:textId="77777777" w:rsidR="008D211B" w:rsidRDefault="008D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5F416"/>
    <w:multiLevelType w:val="hybridMultilevel"/>
    <w:tmpl w:val="EB301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465C14"/>
    <w:multiLevelType w:val="hybridMultilevel"/>
    <w:tmpl w:val="76867D00"/>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74A09D7"/>
    <w:multiLevelType w:val="hybridMultilevel"/>
    <w:tmpl w:val="571C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E4553"/>
    <w:multiLevelType w:val="hybridMultilevel"/>
    <w:tmpl w:val="7E308D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24D15A2"/>
    <w:multiLevelType w:val="hybridMultilevel"/>
    <w:tmpl w:val="4FF8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BD498C"/>
    <w:multiLevelType w:val="multilevel"/>
    <w:tmpl w:val="620E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6C1A8A"/>
    <w:multiLevelType w:val="hybridMultilevel"/>
    <w:tmpl w:val="A156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8C6DC8"/>
    <w:multiLevelType w:val="hybridMultilevel"/>
    <w:tmpl w:val="B4C470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9F041C6"/>
    <w:multiLevelType w:val="hybridMultilevel"/>
    <w:tmpl w:val="5B9E36B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A265092"/>
    <w:multiLevelType w:val="hybridMultilevel"/>
    <w:tmpl w:val="7DFE0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2"/>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23"/>
  </w:num>
  <w:num w:numId="26">
    <w:abstractNumId w:val="5"/>
  </w:num>
  <w:num w:numId="27">
    <w:abstractNumId w:val="18"/>
  </w:num>
  <w:num w:numId="28">
    <w:abstractNumId w:val="13"/>
  </w:num>
  <w:num w:numId="29">
    <w:abstractNumId w:val="24"/>
  </w:num>
  <w:num w:numId="30">
    <w:abstractNumId w:val="3"/>
  </w:num>
  <w:num w:numId="31">
    <w:abstractNumId w:val="21"/>
  </w:num>
  <w:num w:numId="32">
    <w:abstractNumId w:val="8"/>
  </w:num>
  <w:num w:numId="33">
    <w:abstractNumId w:val="19"/>
  </w:num>
  <w:num w:numId="34">
    <w:abstractNumId w:val="7"/>
  </w:num>
  <w:num w:numId="35">
    <w:abstractNumId w:val="14"/>
  </w:num>
  <w:num w:numId="36">
    <w:abstractNumId w:val="1"/>
  </w:num>
  <w:num w:numId="37">
    <w:abstractNumId w:val="26"/>
  </w:num>
  <w:num w:numId="38">
    <w:abstractNumId w:val="11"/>
  </w:num>
  <w:num w:numId="39">
    <w:abstractNumId w:val="27"/>
  </w:num>
  <w:num w:numId="40">
    <w:abstractNumId w:val="2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2"/>
  </w:num>
  <w:num w:numId="44">
    <w:abstractNumId w:val="28"/>
  </w:num>
  <w:num w:numId="45">
    <w:abstractNumId w:val="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1FE6"/>
    <w:rsid w:val="00003CF5"/>
    <w:rsid w:val="000110DC"/>
    <w:rsid w:val="00015452"/>
    <w:rsid w:val="000158AA"/>
    <w:rsid w:val="000159B9"/>
    <w:rsid w:val="00016B6E"/>
    <w:rsid w:val="00023E21"/>
    <w:rsid w:val="00025ABC"/>
    <w:rsid w:val="00025FFA"/>
    <w:rsid w:val="00026412"/>
    <w:rsid w:val="00031360"/>
    <w:rsid w:val="00031F6F"/>
    <w:rsid w:val="00034D6E"/>
    <w:rsid w:val="00045338"/>
    <w:rsid w:val="0005089D"/>
    <w:rsid w:val="00051145"/>
    <w:rsid w:val="000525BC"/>
    <w:rsid w:val="00066FC1"/>
    <w:rsid w:val="00073222"/>
    <w:rsid w:val="00074C53"/>
    <w:rsid w:val="000770BA"/>
    <w:rsid w:val="00082AD8"/>
    <w:rsid w:val="00092580"/>
    <w:rsid w:val="000940A4"/>
    <w:rsid w:val="00094A26"/>
    <w:rsid w:val="000955E7"/>
    <w:rsid w:val="000A110D"/>
    <w:rsid w:val="000A3024"/>
    <w:rsid w:val="000A478F"/>
    <w:rsid w:val="000A5B32"/>
    <w:rsid w:val="000A73B2"/>
    <w:rsid w:val="000B28B6"/>
    <w:rsid w:val="000B3CD0"/>
    <w:rsid w:val="000B4C3C"/>
    <w:rsid w:val="000C1593"/>
    <w:rsid w:val="000D066E"/>
    <w:rsid w:val="000D0831"/>
    <w:rsid w:val="000D112E"/>
    <w:rsid w:val="000D1573"/>
    <w:rsid w:val="000D3197"/>
    <w:rsid w:val="000D40DC"/>
    <w:rsid w:val="000D5CA3"/>
    <w:rsid w:val="000E47E7"/>
    <w:rsid w:val="000E5439"/>
    <w:rsid w:val="000E7676"/>
    <w:rsid w:val="000F050C"/>
    <w:rsid w:val="000F1BE2"/>
    <w:rsid w:val="00102686"/>
    <w:rsid w:val="0010685B"/>
    <w:rsid w:val="0011036E"/>
    <w:rsid w:val="00111087"/>
    <w:rsid w:val="001130B0"/>
    <w:rsid w:val="0011369B"/>
    <w:rsid w:val="001142EE"/>
    <w:rsid w:val="0011742E"/>
    <w:rsid w:val="00123D10"/>
    <w:rsid w:val="00126B33"/>
    <w:rsid w:val="00134DDE"/>
    <w:rsid w:val="00136F75"/>
    <w:rsid w:val="001413A4"/>
    <w:rsid w:val="001435AF"/>
    <w:rsid w:val="00146973"/>
    <w:rsid w:val="00146F0E"/>
    <w:rsid w:val="00154B00"/>
    <w:rsid w:val="00157701"/>
    <w:rsid w:val="001644E9"/>
    <w:rsid w:val="00167754"/>
    <w:rsid w:val="00173DF1"/>
    <w:rsid w:val="00174C91"/>
    <w:rsid w:val="001845D9"/>
    <w:rsid w:val="0018630F"/>
    <w:rsid w:val="00186DB7"/>
    <w:rsid w:val="001906CD"/>
    <w:rsid w:val="00190F5D"/>
    <w:rsid w:val="00191B99"/>
    <w:rsid w:val="00193D86"/>
    <w:rsid w:val="00194740"/>
    <w:rsid w:val="00195FE1"/>
    <w:rsid w:val="00196793"/>
    <w:rsid w:val="0019694B"/>
    <w:rsid w:val="00197D29"/>
    <w:rsid w:val="001A02E3"/>
    <w:rsid w:val="001A11D6"/>
    <w:rsid w:val="001A1ADF"/>
    <w:rsid w:val="001A365C"/>
    <w:rsid w:val="001B171D"/>
    <w:rsid w:val="001B29A1"/>
    <w:rsid w:val="001B5169"/>
    <w:rsid w:val="001B60E7"/>
    <w:rsid w:val="001B6164"/>
    <w:rsid w:val="001C12A0"/>
    <w:rsid w:val="001C1B84"/>
    <w:rsid w:val="001C61A4"/>
    <w:rsid w:val="001D0945"/>
    <w:rsid w:val="001D0D8B"/>
    <w:rsid w:val="001D77ED"/>
    <w:rsid w:val="001E1180"/>
    <w:rsid w:val="001E1375"/>
    <w:rsid w:val="001E15A7"/>
    <w:rsid w:val="001E23EA"/>
    <w:rsid w:val="001E3028"/>
    <w:rsid w:val="001E6919"/>
    <w:rsid w:val="001E6958"/>
    <w:rsid w:val="001F51FC"/>
    <w:rsid w:val="001F61EC"/>
    <w:rsid w:val="00201924"/>
    <w:rsid w:val="00202473"/>
    <w:rsid w:val="002053F2"/>
    <w:rsid w:val="00206BF5"/>
    <w:rsid w:val="00206C1F"/>
    <w:rsid w:val="00206D63"/>
    <w:rsid w:val="00210C43"/>
    <w:rsid w:val="00211721"/>
    <w:rsid w:val="0021185D"/>
    <w:rsid w:val="00211FB2"/>
    <w:rsid w:val="00224274"/>
    <w:rsid w:val="00226777"/>
    <w:rsid w:val="00233D70"/>
    <w:rsid w:val="00235BD1"/>
    <w:rsid w:val="00237380"/>
    <w:rsid w:val="00242B0E"/>
    <w:rsid w:val="00247DF0"/>
    <w:rsid w:val="00254352"/>
    <w:rsid w:val="00254813"/>
    <w:rsid w:val="00257FF2"/>
    <w:rsid w:val="002647AC"/>
    <w:rsid w:val="00265822"/>
    <w:rsid w:val="0027105F"/>
    <w:rsid w:val="002711FB"/>
    <w:rsid w:val="00272A50"/>
    <w:rsid w:val="00280D66"/>
    <w:rsid w:val="00282BE8"/>
    <w:rsid w:val="00283318"/>
    <w:rsid w:val="00285525"/>
    <w:rsid w:val="00287004"/>
    <w:rsid w:val="00294CD8"/>
    <w:rsid w:val="002A270B"/>
    <w:rsid w:val="002A407E"/>
    <w:rsid w:val="002A4E76"/>
    <w:rsid w:val="002A50FD"/>
    <w:rsid w:val="002A6753"/>
    <w:rsid w:val="002B28D7"/>
    <w:rsid w:val="002B3FFE"/>
    <w:rsid w:val="002B7EB6"/>
    <w:rsid w:val="002C0B61"/>
    <w:rsid w:val="002C15E6"/>
    <w:rsid w:val="002C247D"/>
    <w:rsid w:val="002C3345"/>
    <w:rsid w:val="002C3BD1"/>
    <w:rsid w:val="002C5ADF"/>
    <w:rsid w:val="002C632E"/>
    <w:rsid w:val="002C6506"/>
    <w:rsid w:val="002D409A"/>
    <w:rsid w:val="002D529D"/>
    <w:rsid w:val="002E144F"/>
    <w:rsid w:val="002F1F52"/>
    <w:rsid w:val="002F30E7"/>
    <w:rsid w:val="00300EEB"/>
    <w:rsid w:val="003013A9"/>
    <w:rsid w:val="00301958"/>
    <w:rsid w:val="003020B5"/>
    <w:rsid w:val="003027BB"/>
    <w:rsid w:val="00310A10"/>
    <w:rsid w:val="0031138B"/>
    <w:rsid w:val="0031514E"/>
    <w:rsid w:val="003246AE"/>
    <w:rsid w:val="00327D25"/>
    <w:rsid w:val="003319A7"/>
    <w:rsid w:val="00334FE3"/>
    <w:rsid w:val="003363DD"/>
    <w:rsid w:val="00340CD3"/>
    <w:rsid w:val="003421AE"/>
    <w:rsid w:val="003433D1"/>
    <w:rsid w:val="00344B24"/>
    <w:rsid w:val="003456B9"/>
    <w:rsid w:val="00345C08"/>
    <w:rsid w:val="00350020"/>
    <w:rsid w:val="0035067D"/>
    <w:rsid w:val="00353A16"/>
    <w:rsid w:val="00353BE5"/>
    <w:rsid w:val="00355D5A"/>
    <w:rsid w:val="0035776D"/>
    <w:rsid w:val="00364FD9"/>
    <w:rsid w:val="00367288"/>
    <w:rsid w:val="00367C1B"/>
    <w:rsid w:val="00367D85"/>
    <w:rsid w:val="00376B61"/>
    <w:rsid w:val="00382407"/>
    <w:rsid w:val="00382D71"/>
    <w:rsid w:val="003835CC"/>
    <w:rsid w:val="00386A64"/>
    <w:rsid w:val="00386FA1"/>
    <w:rsid w:val="00390142"/>
    <w:rsid w:val="003904AC"/>
    <w:rsid w:val="00392F00"/>
    <w:rsid w:val="003945D9"/>
    <w:rsid w:val="00397377"/>
    <w:rsid w:val="003973B9"/>
    <w:rsid w:val="003A22DE"/>
    <w:rsid w:val="003A2860"/>
    <w:rsid w:val="003A3368"/>
    <w:rsid w:val="003A3C35"/>
    <w:rsid w:val="003A7D30"/>
    <w:rsid w:val="003B3C5C"/>
    <w:rsid w:val="003C47CA"/>
    <w:rsid w:val="003C6F0C"/>
    <w:rsid w:val="003D2CCE"/>
    <w:rsid w:val="003D4D53"/>
    <w:rsid w:val="003D6DE1"/>
    <w:rsid w:val="003D795C"/>
    <w:rsid w:val="003E30FB"/>
    <w:rsid w:val="003E5120"/>
    <w:rsid w:val="003E69B9"/>
    <w:rsid w:val="003F2711"/>
    <w:rsid w:val="003F4354"/>
    <w:rsid w:val="003F5424"/>
    <w:rsid w:val="003F5852"/>
    <w:rsid w:val="003F5BC7"/>
    <w:rsid w:val="003F6C70"/>
    <w:rsid w:val="003F7CB9"/>
    <w:rsid w:val="00403333"/>
    <w:rsid w:val="004039BD"/>
    <w:rsid w:val="00404CAF"/>
    <w:rsid w:val="00405DC6"/>
    <w:rsid w:val="00407EAB"/>
    <w:rsid w:val="00411103"/>
    <w:rsid w:val="00411735"/>
    <w:rsid w:val="00414C2E"/>
    <w:rsid w:val="00415C74"/>
    <w:rsid w:val="00417374"/>
    <w:rsid w:val="0042397D"/>
    <w:rsid w:val="0042678C"/>
    <w:rsid w:val="004267CB"/>
    <w:rsid w:val="004335AA"/>
    <w:rsid w:val="0043654D"/>
    <w:rsid w:val="00437F60"/>
    <w:rsid w:val="0045113A"/>
    <w:rsid w:val="00451840"/>
    <w:rsid w:val="00460C9A"/>
    <w:rsid w:val="00460E97"/>
    <w:rsid w:val="00464924"/>
    <w:rsid w:val="00471B66"/>
    <w:rsid w:val="00472832"/>
    <w:rsid w:val="00474288"/>
    <w:rsid w:val="0047581D"/>
    <w:rsid w:val="004770FE"/>
    <w:rsid w:val="00480289"/>
    <w:rsid w:val="00481279"/>
    <w:rsid w:val="00483368"/>
    <w:rsid w:val="00485C45"/>
    <w:rsid w:val="00493A57"/>
    <w:rsid w:val="00494011"/>
    <w:rsid w:val="004A0BF4"/>
    <w:rsid w:val="004A263B"/>
    <w:rsid w:val="004A35AF"/>
    <w:rsid w:val="004B0D71"/>
    <w:rsid w:val="004B2DBD"/>
    <w:rsid w:val="004B59BE"/>
    <w:rsid w:val="004B68AE"/>
    <w:rsid w:val="004C35B0"/>
    <w:rsid w:val="004C49EF"/>
    <w:rsid w:val="004C4A19"/>
    <w:rsid w:val="004C52BB"/>
    <w:rsid w:val="004C5570"/>
    <w:rsid w:val="004C5CDC"/>
    <w:rsid w:val="004D00C9"/>
    <w:rsid w:val="004D13A5"/>
    <w:rsid w:val="004D62CE"/>
    <w:rsid w:val="004E16F5"/>
    <w:rsid w:val="004E3760"/>
    <w:rsid w:val="004E3CC7"/>
    <w:rsid w:val="004E5B69"/>
    <w:rsid w:val="004E5F4C"/>
    <w:rsid w:val="004F1154"/>
    <w:rsid w:val="004F2A87"/>
    <w:rsid w:val="004F5FE4"/>
    <w:rsid w:val="00502CED"/>
    <w:rsid w:val="00507C56"/>
    <w:rsid w:val="00513ED4"/>
    <w:rsid w:val="005157ED"/>
    <w:rsid w:val="00515D75"/>
    <w:rsid w:val="00516F01"/>
    <w:rsid w:val="0052344E"/>
    <w:rsid w:val="005236BD"/>
    <w:rsid w:val="005254C8"/>
    <w:rsid w:val="00526478"/>
    <w:rsid w:val="00527FDB"/>
    <w:rsid w:val="00530204"/>
    <w:rsid w:val="00530F4A"/>
    <w:rsid w:val="00534C5F"/>
    <w:rsid w:val="005375F5"/>
    <w:rsid w:val="005376CD"/>
    <w:rsid w:val="00540257"/>
    <w:rsid w:val="00540E2C"/>
    <w:rsid w:val="0054192F"/>
    <w:rsid w:val="0054239E"/>
    <w:rsid w:val="00544EB3"/>
    <w:rsid w:val="0054594B"/>
    <w:rsid w:val="0054749B"/>
    <w:rsid w:val="00547588"/>
    <w:rsid w:val="00551CC6"/>
    <w:rsid w:val="00554E7A"/>
    <w:rsid w:val="00554F18"/>
    <w:rsid w:val="00557283"/>
    <w:rsid w:val="0056015F"/>
    <w:rsid w:val="00560541"/>
    <w:rsid w:val="005615EA"/>
    <w:rsid w:val="00562558"/>
    <w:rsid w:val="00562C9F"/>
    <w:rsid w:val="0056471E"/>
    <w:rsid w:val="005672D0"/>
    <w:rsid w:val="00572CEB"/>
    <w:rsid w:val="00576BE5"/>
    <w:rsid w:val="00581F36"/>
    <w:rsid w:val="005834C9"/>
    <w:rsid w:val="00584DFC"/>
    <w:rsid w:val="005911D7"/>
    <w:rsid w:val="0059257E"/>
    <w:rsid w:val="00594297"/>
    <w:rsid w:val="00595D9F"/>
    <w:rsid w:val="00596B2E"/>
    <w:rsid w:val="00597C1E"/>
    <w:rsid w:val="005A58BA"/>
    <w:rsid w:val="005A5D30"/>
    <w:rsid w:val="005A6AB9"/>
    <w:rsid w:val="005C333E"/>
    <w:rsid w:val="005C3AE7"/>
    <w:rsid w:val="005D0677"/>
    <w:rsid w:val="005D5989"/>
    <w:rsid w:val="005E294C"/>
    <w:rsid w:val="005E2CE3"/>
    <w:rsid w:val="005F3F07"/>
    <w:rsid w:val="005F3F8A"/>
    <w:rsid w:val="005F7C99"/>
    <w:rsid w:val="0060390E"/>
    <w:rsid w:val="00603D04"/>
    <w:rsid w:val="00606857"/>
    <w:rsid w:val="00615F42"/>
    <w:rsid w:val="00622427"/>
    <w:rsid w:val="006227EC"/>
    <w:rsid w:val="0062283E"/>
    <w:rsid w:val="006258C2"/>
    <w:rsid w:val="00626365"/>
    <w:rsid w:val="00626D86"/>
    <w:rsid w:val="00630E22"/>
    <w:rsid w:val="00631E89"/>
    <w:rsid w:val="0064168C"/>
    <w:rsid w:val="00641B0C"/>
    <w:rsid w:val="0065405F"/>
    <w:rsid w:val="00657B46"/>
    <w:rsid w:val="00666B9B"/>
    <w:rsid w:val="0067266E"/>
    <w:rsid w:val="00675294"/>
    <w:rsid w:val="006764EC"/>
    <w:rsid w:val="00680409"/>
    <w:rsid w:val="006835FE"/>
    <w:rsid w:val="00683C5B"/>
    <w:rsid w:val="00684C3E"/>
    <w:rsid w:val="00693BFD"/>
    <w:rsid w:val="00695065"/>
    <w:rsid w:val="006A1038"/>
    <w:rsid w:val="006A3116"/>
    <w:rsid w:val="006A3DD5"/>
    <w:rsid w:val="006A649A"/>
    <w:rsid w:val="006A7439"/>
    <w:rsid w:val="006B1B49"/>
    <w:rsid w:val="006B1B66"/>
    <w:rsid w:val="006B2150"/>
    <w:rsid w:val="006B6390"/>
    <w:rsid w:val="006C0084"/>
    <w:rsid w:val="006C0356"/>
    <w:rsid w:val="006C0843"/>
    <w:rsid w:val="006C3293"/>
    <w:rsid w:val="006C74B1"/>
    <w:rsid w:val="006D2169"/>
    <w:rsid w:val="006D7723"/>
    <w:rsid w:val="006E427B"/>
    <w:rsid w:val="006E57AA"/>
    <w:rsid w:val="006F20CF"/>
    <w:rsid w:val="006F2B12"/>
    <w:rsid w:val="006F38ED"/>
    <w:rsid w:val="006F7FFA"/>
    <w:rsid w:val="00700792"/>
    <w:rsid w:val="007023D7"/>
    <w:rsid w:val="00707C69"/>
    <w:rsid w:val="00707D4D"/>
    <w:rsid w:val="00710F62"/>
    <w:rsid w:val="00723446"/>
    <w:rsid w:val="00723503"/>
    <w:rsid w:val="00730C04"/>
    <w:rsid w:val="0073597B"/>
    <w:rsid w:val="007378F6"/>
    <w:rsid w:val="0074545D"/>
    <w:rsid w:val="00746E31"/>
    <w:rsid w:val="00747656"/>
    <w:rsid w:val="00750896"/>
    <w:rsid w:val="00751DAF"/>
    <w:rsid w:val="007522E3"/>
    <w:rsid w:val="0075335B"/>
    <w:rsid w:val="00753C44"/>
    <w:rsid w:val="00754383"/>
    <w:rsid w:val="0075535D"/>
    <w:rsid w:val="00755BBF"/>
    <w:rsid w:val="00756251"/>
    <w:rsid w:val="007564D1"/>
    <w:rsid w:val="00757232"/>
    <w:rsid w:val="00760679"/>
    <w:rsid w:val="007615D8"/>
    <w:rsid w:val="00763628"/>
    <w:rsid w:val="00767E99"/>
    <w:rsid w:val="00770BDF"/>
    <w:rsid w:val="007726AD"/>
    <w:rsid w:val="00772E62"/>
    <w:rsid w:val="00775651"/>
    <w:rsid w:val="00775A6A"/>
    <w:rsid w:val="0077789B"/>
    <w:rsid w:val="00780D29"/>
    <w:rsid w:val="00783E16"/>
    <w:rsid w:val="00786CE8"/>
    <w:rsid w:val="007901D1"/>
    <w:rsid w:val="00791C8D"/>
    <w:rsid w:val="0079354C"/>
    <w:rsid w:val="00794181"/>
    <w:rsid w:val="00797434"/>
    <w:rsid w:val="007A7F6F"/>
    <w:rsid w:val="007B4C76"/>
    <w:rsid w:val="007B5403"/>
    <w:rsid w:val="007B7E97"/>
    <w:rsid w:val="007C2260"/>
    <w:rsid w:val="007D1E52"/>
    <w:rsid w:val="007D2358"/>
    <w:rsid w:val="007E39E4"/>
    <w:rsid w:val="007E5701"/>
    <w:rsid w:val="007E681D"/>
    <w:rsid w:val="007E6FB3"/>
    <w:rsid w:val="007E7D10"/>
    <w:rsid w:val="007F21B4"/>
    <w:rsid w:val="007F6C38"/>
    <w:rsid w:val="00802553"/>
    <w:rsid w:val="00803EAB"/>
    <w:rsid w:val="008046B5"/>
    <w:rsid w:val="0080555F"/>
    <w:rsid w:val="00810224"/>
    <w:rsid w:val="008127C0"/>
    <w:rsid w:val="00812EDD"/>
    <w:rsid w:val="008139C5"/>
    <w:rsid w:val="008161E6"/>
    <w:rsid w:val="0081633A"/>
    <w:rsid w:val="0081650F"/>
    <w:rsid w:val="00832B31"/>
    <w:rsid w:val="008403E0"/>
    <w:rsid w:val="00841EDD"/>
    <w:rsid w:val="0084657B"/>
    <w:rsid w:val="00847945"/>
    <w:rsid w:val="00850481"/>
    <w:rsid w:val="00855944"/>
    <w:rsid w:val="00862175"/>
    <w:rsid w:val="00864A18"/>
    <w:rsid w:val="008661AD"/>
    <w:rsid w:val="00867B3F"/>
    <w:rsid w:val="00870833"/>
    <w:rsid w:val="0087394C"/>
    <w:rsid w:val="00874571"/>
    <w:rsid w:val="00875EE9"/>
    <w:rsid w:val="00877937"/>
    <w:rsid w:val="00881F93"/>
    <w:rsid w:val="00882CB5"/>
    <w:rsid w:val="00883641"/>
    <w:rsid w:val="00884E69"/>
    <w:rsid w:val="00890082"/>
    <w:rsid w:val="008904C2"/>
    <w:rsid w:val="008A21EB"/>
    <w:rsid w:val="008A48D2"/>
    <w:rsid w:val="008A5445"/>
    <w:rsid w:val="008A7423"/>
    <w:rsid w:val="008B0CD0"/>
    <w:rsid w:val="008B2610"/>
    <w:rsid w:val="008B2FAC"/>
    <w:rsid w:val="008B471D"/>
    <w:rsid w:val="008B49E4"/>
    <w:rsid w:val="008B5D05"/>
    <w:rsid w:val="008B729C"/>
    <w:rsid w:val="008C4A93"/>
    <w:rsid w:val="008D0958"/>
    <w:rsid w:val="008D211B"/>
    <w:rsid w:val="008E0958"/>
    <w:rsid w:val="008E0E49"/>
    <w:rsid w:val="008E35FD"/>
    <w:rsid w:val="008E46F3"/>
    <w:rsid w:val="008E567E"/>
    <w:rsid w:val="008E5DE4"/>
    <w:rsid w:val="008E6227"/>
    <w:rsid w:val="008E78B9"/>
    <w:rsid w:val="008F1DA9"/>
    <w:rsid w:val="008F616E"/>
    <w:rsid w:val="00901F1C"/>
    <w:rsid w:val="0090543D"/>
    <w:rsid w:val="009056C5"/>
    <w:rsid w:val="0092262C"/>
    <w:rsid w:val="00926053"/>
    <w:rsid w:val="009262F2"/>
    <w:rsid w:val="00937791"/>
    <w:rsid w:val="009443E6"/>
    <w:rsid w:val="00945386"/>
    <w:rsid w:val="00951933"/>
    <w:rsid w:val="00954343"/>
    <w:rsid w:val="0095493C"/>
    <w:rsid w:val="00955271"/>
    <w:rsid w:val="009608AC"/>
    <w:rsid w:val="009615AF"/>
    <w:rsid w:val="00963C9C"/>
    <w:rsid w:val="00965B6B"/>
    <w:rsid w:val="00965DB5"/>
    <w:rsid w:val="00971EDB"/>
    <w:rsid w:val="009733BC"/>
    <w:rsid w:val="00974D50"/>
    <w:rsid w:val="00987ABE"/>
    <w:rsid w:val="00991EE4"/>
    <w:rsid w:val="00992E6A"/>
    <w:rsid w:val="009939DC"/>
    <w:rsid w:val="00993B9C"/>
    <w:rsid w:val="009A7C5E"/>
    <w:rsid w:val="009B0BE5"/>
    <w:rsid w:val="009B0FB0"/>
    <w:rsid w:val="009B4E1E"/>
    <w:rsid w:val="009C007F"/>
    <w:rsid w:val="009C03FB"/>
    <w:rsid w:val="009C183F"/>
    <w:rsid w:val="009C1FD2"/>
    <w:rsid w:val="009C4B4F"/>
    <w:rsid w:val="009C5728"/>
    <w:rsid w:val="009D0205"/>
    <w:rsid w:val="009D413A"/>
    <w:rsid w:val="009D4C9A"/>
    <w:rsid w:val="009D67A7"/>
    <w:rsid w:val="009E2E15"/>
    <w:rsid w:val="009E3455"/>
    <w:rsid w:val="009E5ADA"/>
    <w:rsid w:val="009F0C02"/>
    <w:rsid w:val="009F1DE3"/>
    <w:rsid w:val="009F5758"/>
    <w:rsid w:val="00A0283F"/>
    <w:rsid w:val="00A028FE"/>
    <w:rsid w:val="00A04F4A"/>
    <w:rsid w:val="00A066D4"/>
    <w:rsid w:val="00A157AA"/>
    <w:rsid w:val="00A16D1B"/>
    <w:rsid w:val="00A24C27"/>
    <w:rsid w:val="00A26343"/>
    <w:rsid w:val="00A26A03"/>
    <w:rsid w:val="00A2761B"/>
    <w:rsid w:val="00A408B5"/>
    <w:rsid w:val="00A44E63"/>
    <w:rsid w:val="00A461BF"/>
    <w:rsid w:val="00A529E2"/>
    <w:rsid w:val="00A539F8"/>
    <w:rsid w:val="00A6491A"/>
    <w:rsid w:val="00A6594E"/>
    <w:rsid w:val="00A727B6"/>
    <w:rsid w:val="00A77332"/>
    <w:rsid w:val="00A81CC6"/>
    <w:rsid w:val="00A83EC6"/>
    <w:rsid w:val="00A8479C"/>
    <w:rsid w:val="00A8732C"/>
    <w:rsid w:val="00A9062D"/>
    <w:rsid w:val="00A93F58"/>
    <w:rsid w:val="00A96165"/>
    <w:rsid w:val="00A96329"/>
    <w:rsid w:val="00AA0705"/>
    <w:rsid w:val="00AA134B"/>
    <w:rsid w:val="00AA2CFE"/>
    <w:rsid w:val="00AA3DA8"/>
    <w:rsid w:val="00AA44EF"/>
    <w:rsid w:val="00AA5FDA"/>
    <w:rsid w:val="00AA6291"/>
    <w:rsid w:val="00AA69A2"/>
    <w:rsid w:val="00AA7DEA"/>
    <w:rsid w:val="00AB7504"/>
    <w:rsid w:val="00AC0C91"/>
    <w:rsid w:val="00AC20F3"/>
    <w:rsid w:val="00AC452C"/>
    <w:rsid w:val="00AC539A"/>
    <w:rsid w:val="00AD37D4"/>
    <w:rsid w:val="00AD7986"/>
    <w:rsid w:val="00AE1188"/>
    <w:rsid w:val="00AE1E6A"/>
    <w:rsid w:val="00AE738C"/>
    <w:rsid w:val="00AF1046"/>
    <w:rsid w:val="00AF4466"/>
    <w:rsid w:val="00AF5D1E"/>
    <w:rsid w:val="00B040A9"/>
    <w:rsid w:val="00B06D47"/>
    <w:rsid w:val="00B1711E"/>
    <w:rsid w:val="00B17CBE"/>
    <w:rsid w:val="00B17E26"/>
    <w:rsid w:val="00B231A4"/>
    <w:rsid w:val="00B25D20"/>
    <w:rsid w:val="00B31C99"/>
    <w:rsid w:val="00B35D8C"/>
    <w:rsid w:val="00B37AC5"/>
    <w:rsid w:val="00B4062C"/>
    <w:rsid w:val="00B50596"/>
    <w:rsid w:val="00B531F1"/>
    <w:rsid w:val="00B53BA6"/>
    <w:rsid w:val="00B553B9"/>
    <w:rsid w:val="00B5731D"/>
    <w:rsid w:val="00B61B37"/>
    <w:rsid w:val="00B6378B"/>
    <w:rsid w:val="00B63E3A"/>
    <w:rsid w:val="00B75965"/>
    <w:rsid w:val="00B77128"/>
    <w:rsid w:val="00B771AD"/>
    <w:rsid w:val="00B814CB"/>
    <w:rsid w:val="00B820AA"/>
    <w:rsid w:val="00B97AC8"/>
    <w:rsid w:val="00BA0CF8"/>
    <w:rsid w:val="00BA1ADF"/>
    <w:rsid w:val="00BA4457"/>
    <w:rsid w:val="00BA44F7"/>
    <w:rsid w:val="00BA51FC"/>
    <w:rsid w:val="00BB003A"/>
    <w:rsid w:val="00BB3358"/>
    <w:rsid w:val="00BB3382"/>
    <w:rsid w:val="00BB3643"/>
    <w:rsid w:val="00BC3DA0"/>
    <w:rsid w:val="00BC424B"/>
    <w:rsid w:val="00BC51C5"/>
    <w:rsid w:val="00BE0FDE"/>
    <w:rsid w:val="00BE2E82"/>
    <w:rsid w:val="00BE6E3B"/>
    <w:rsid w:val="00BF6AC5"/>
    <w:rsid w:val="00C01121"/>
    <w:rsid w:val="00C030A5"/>
    <w:rsid w:val="00C04B3D"/>
    <w:rsid w:val="00C05A45"/>
    <w:rsid w:val="00C0796F"/>
    <w:rsid w:val="00C11B34"/>
    <w:rsid w:val="00C11B3B"/>
    <w:rsid w:val="00C12C5C"/>
    <w:rsid w:val="00C13642"/>
    <w:rsid w:val="00C13A32"/>
    <w:rsid w:val="00C171FB"/>
    <w:rsid w:val="00C209C2"/>
    <w:rsid w:val="00C2267F"/>
    <w:rsid w:val="00C22AD8"/>
    <w:rsid w:val="00C25E09"/>
    <w:rsid w:val="00C27394"/>
    <w:rsid w:val="00C31905"/>
    <w:rsid w:val="00C31ACF"/>
    <w:rsid w:val="00C3239A"/>
    <w:rsid w:val="00C332AA"/>
    <w:rsid w:val="00C345ED"/>
    <w:rsid w:val="00C3557E"/>
    <w:rsid w:val="00C3594B"/>
    <w:rsid w:val="00C37F16"/>
    <w:rsid w:val="00C40303"/>
    <w:rsid w:val="00C41657"/>
    <w:rsid w:val="00C43102"/>
    <w:rsid w:val="00C4696B"/>
    <w:rsid w:val="00C50513"/>
    <w:rsid w:val="00C5198A"/>
    <w:rsid w:val="00C537F3"/>
    <w:rsid w:val="00C5385C"/>
    <w:rsid w:val="00C54503"/>
    <w:rsid w:val="00C548C2"/>
    <w:rsid w:val="00C563B0"/>
    <w:rsid w:val="00C60338"/>
    <w:rsid w:val="00C63055"/>
    <w:rsid w:val="00C63462"/>
    <w:rsid w:val="00C66C2D"/>
    <w:rsid w:val="00C670EB"/>
    <w:rsid w:val="00C70DCC"/>
    <w:rsid w:val="00C73B62"/>
    <w:rsid w:val="00C7742E"/>
    <w:rsid w:val="00C776B1"/>
    <w:rsid w:val="00C808D6"/>
    <w:rsid w:val="00C815FE"/>
    <w:rsid w:val="00C81FA0"/>
    <w:rsid w:val="00C847AE"/>
    <w:rsid w:val="00C87E34"/>
    <w:rsid w:val="00C9070C"/>
    <w:rsid w:val="00C950E0"/>
    <w:rsid w:val="00CA04C6"/>
    <w:rsid w:val="00CA05CD"/>
    <w:rsid w:val="00CA26DD"/>
    <w:rsid w:val="00CA670A"/>
    <w:rsid w:val="00CB12EC"/>
    <w:rsid w:val="00CC09D7"/>
    <w:rsid w:val="00CC0A8E"/>
    <w:rsid w:val="00CC12B8"/>
    <w:rsid w:val="00CC4515"/>
    <w:rsid w:val="00CC5AB1"/>
    <w:rsid w:val="00CD15B8"/>
    <w:rsid w:val="00CD22E3"/>
    <w:rsid w:val="00CD4E44"/>
    <w:rsid w:val="00CD5AE4"/>
    <w:rsid w:val="00CD6B4C"/>
    <w:rsid w:val="00CD7A7D"/>
    <w:rsid w:val="00CF0DA5"/>
    <w:rsid w:val="00CF1BF8"/>
    <w:rsid w:val="00CF1C5C"/>
    <w:rsid w:val="00CF2D8E"/>
    <w:rsid w:val="00CF2DFA"/>
    <w:rsid w:val="00CF5AD8"/>
    <w:rsid w:val="00CF719F"/>
    <w:rsid w:val="00D00122"/>
    <w:rsid w:val="00D01D2A"/>
    <w:rsid w:val="00D04181"/>
    <w:rsid w:val="00D10B47"/>
    <w:rsid w:val="00D11EB1"/>
    <w:rsid w:val="00D12794"/>
    <w:rsid w:val="00D17F17"/>
    <w:rsid w:val="00D23597"/>
    <w:rsid w:val="00D251E6"/>
    <w:rsid w:val="00D308A4"/>
    <w:rsid w:val="00D30BDC"/>
    <w:rsid w:val="00D30F4A"/>
    <w:rsid w:val="00D33184"/>
    <w:rsid w:val="00D33FFA"/>
    <w:rsid w:val="00D36009"/>
    <w:rsid w:val="00D4052A"/>
    <w:rsid w:val="00D416FD"/>
    <w:rsid w:val="00D50597"/>
    <w:rsid w:val="00D55C87"/>
    <w:rsid w:val="00D56274"/>
    <w:rsid w:val="00D57F88"/>
    <w:rsid w:val="00D60EEB"/>
    <w:rsid w:val="00D629CC"/>
    <w:rsid w:val="00D63DF8"/>
    <w:rsid w:val="00D7105C"/>
    <w:rsid w:val="00D73646"/>
    <w:rsid w:val="00D777B4"/>
    <w:rsid w:val="00D77A90"/>
    <w:rsid w:val="00D825FB"/>
    <w:rsid w:val="00D82FAC"/>
    <w:rsid w:val="00D8360B"/>
    <w:rsid w:val="00D85676"/>
    <w:rsid w:val="00D90E86"/>
    <w:rsid w:val="00D96ADA"/>
    <w:rsid w:val="00DA2886"/>
    <w:rsid w:val="00DA5E50"/>
    <w:rsid w:val="00DA7D0C"/>
    <w:rsid w:val="00DB311C"/>
    <w:rsid w:val="00DB432D"/>
    <w:rsid w:val="00DB519B"/>
    <w:rsid w:val="00DC3337"/>
    <w:rsid w:val="00DC3CE4"/>
    <w:rsid w:val="00DC4587"/>
    <w:rsid w:val="00DC5FF7"/>
    <w:rsid w:val="00DC7694"/>
    <w:rsid w:val="00DC7FBE"/>
    <w:rsid w:val="00DD130E"/>
    <w:rsid w:val="00DD269E"/>
    <w:rsid w:val="00DD308E"/>
    <w:rsid w:val="00DD32E5"/>
    <w:rsid w:val="00DE22D2"/>
    <w:rsid w:val="00DE3F08"/>
    <w:rsid w:val="00DE62E5"/>
    <w:rsid w:val="00DF0C51"/>
    <w:rsid w:val="00DF0D47"/>
    <w:rsid w:val="00DF1652"/>
    <w:rsid w:val="00DF3183"/>
    <w:rsid w:val="00DF4F8F"/>
    <w:rsid w:val="00DF6D37"/>
    <w:rsid w:val="00E048ED"/>
    <w:rsid w:val="00E04FB3"/>
    <w:rsid w:val="00E058F2"/>
    <w:rsid w:val="00E05D9C"/>
    <w:rsid w:val="00E06102"/>
    <w:rsid w:val="00E10F81"/>
    <w:rsid w:val="00E11A35"/>
    <w:rsid w:val="00E168FC"/>
    <w:rsid w:val="00E23E71"/>
    <w:rsid w:val="00E261FD"/>
    <w:rsid w:val="00E30B7A"/>
    <w:rsid w:val="00E30F19"/>
    <w:rsid w:val="00E33C4A"/>
    <w:rsid w:val="00E357B9"/>
    <w:rsid w:val="00E4138E"/>
    <w:rsid w:val="00E4321E"/>
    <w:rsid w:val="00E44B80"/>
    <w:rsid w:val="00E4547E"/>
    <w:rsid w:val="00E4758A"/>
    <w:rsid w:val="00E47623"/>
    <w:rsid w:val="00E60529"/>
    <w:rsid w:val="00E611CB"/>
    <w:rsid w:val="00E64162"/>
    <w:rsid w:val="00E641EF"/>
    <w:rsid w:val="00E678D0"/>
    <w:rsid w:val="00E70D86"/>
    <w:rsid w:val="00E74125"/>
    <w:rsid w:val="00E74589"/>
    <w:rsid w:val="00E7628E"/>
    <w:rsid w:val="00E80185"/>
    <w:rsid w:val="00E81162"/>
    <w:rsid w:val="00E81257"/>
    <w:rsid w:val="00E82F54"/>
    <w:rsid w:val="00E8649B"/>
    <w:rsid w:val="00E871CD"/>
    <w:rsid w:val="00E8732E"/>
    <w:rsid w:val="00E87D4E"/>
    <w:rsid w:val="00E90990"/>
    <w:rsid w:val="00E95D3D"/>
    <w:rsid w:val="00EA0E25"/>
    <w:rsid w:val="00EA173C"/>
    <w:rsid w:val="00EA2A71"/>
    <w:rsid w:val="00EA30C4"/>
    <w:rsid w:val="00EA63EE"/>
    <w:rsid w:val="00EB02CA"/>
    <w:rsid w:val="00EB167F"/>
    <w:rsid w:val="00EB47DB"/>
    <w:rsid w:val="00EB4E71"/>
    <w:rsid w:val="00EC127A"/>
    <w:rsid w:val="00EC1FF9"/>
    <w:rsid w:val="00EC2737"/>
    <w:rsid w:val="00ED2E3E"/>
    <w:rsid w:val="00ED6A4D"/>
    <w:rsid w:val="00EE2716"/>
    <w:rsid w:val="00EE2900"/>
    <w:rsid w:val="00EE6333"/>
    <w:rsid w:val="00EE6450"/>
    <w:rsid w:val="00EF0913"/>
    <w:rsid w:val="00EF353C"/>
    <w:rsid w:val="00EF6B4D"/>
    <w:rsid w:val="00F01C2C"/>
    <w:rsid w:val="00F10ED8"/>
    <w:rsid w:val="00F11064"/>
    <w:rsid w:val="00F222BE"/>
    <w:rsid w:val="00F24179"/>
    <w:rsid w:val="00F301F1"/>
    <w:rsid w:val="00F30C22"/>
    <w:rsid w:val="00F33F1A"/>
    <w:rsid w:val="00F343A3"/>
    <w:rsid w:val="00F37EC4"/>
    <w:rsid w:val="00F4117F"/>
    <w:rsid w:val="00F513F7"/>
    <w:rsid w:val="00F51452"/>
    <w:rsid w:val="00F52E79"/>
    <w:rsid w:val="00F547F7"/>
    <w:rsid w:val="00F54CCF"/>
    <w:rsid w:val="00F61D7A"/>
    <w:rsid w:val="00F637B3"/>
    <w:rsid w:val="00F66A81"/>
    <w:rsid w:val="00F66CF7"/>
    <w:rsid w:val="00F67BCB"/>
    <w:rsid w:val="00F71596"/>
    <w:rsid w:val="00F71CA6"/>
    <w:rsid w:val="00F71CFD"/>
    <w:rsid w:val="00F760F2"/>
    <w:rsid w:val="00F76F6F"/>
    <w:rsid w:val="00F77C57"/>
    <w:rsid w:val="00F8117C"/>
    <w:rsid w:val="00F813C7"/>
    <w:rsid w:val="00F83566"/>
    <w:rsid w:val="00F83A9D"/>
    <w:rsid w:val="00F906B5"/>
    <w:rsid w:val="00F93784"/>
    <w:rsid w:val="00F94E13"/>
    <w:rsid w:val="00F971CC"/>
    <w:rsid w:val="00FA0933"/>
    <w:rsid w:val="00FA2CAA"/>
    <w:rsid w:val="00FA3DA1"/>
    <w:rsid w:val="00FA6554"/>
    <w:rsid w:val="00FB111F"/>
    <w:rsid w:val="00FB233E"/>
    <w:rsid w:val="00FB2798"/>
    <w:rsid w:val="00FB49CD"/>
    <w:rsid w:val="00FB6019"/>
    <w:rsid w:val="00FB6D19"/>
    <w:rsid w:val="00FC1815"/>
    <w:rsid w:val="00FC5CF3"/>
    <w:rsid w:val="00FC6E1F"/>
    <w:rsid w:val="00FD0652"/>
    <w:rsid w:val="00FE16C1"/>
    <w:rsid w:val="00FE19FF"/>
    <w:rsid w:val="00FE28DC"/>
    <w:rsid w:val="00FE33A6"/>
    <w:rsid w:val="00FE5452"/>
    <w:rsid w:val="00FF1E69"/>
    <w:rsid w:val="00FF30B5"/>
    <w:rsid w:val="00FF5563"/>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C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
    <w:name w:val="Unresolved Mention"/>
    <w:basedOn w:val="DefaultParagraphFont"/>
    <w:uiPriority w:val="99"/>
    <w:semiHidden/>
    <w:unhideWhenUsed/>
    <w:rsid w:val="00EE6333"/>
    <w:rPr>
      <w:color w:val="605E5C"/>
      <w:shd w:val="clear" w:color="auto" w:fill="E1DFDD"/>
    </w:rPr>
  </w:style>
  <w:style w:type="paragraph" w:styleId="FootnoteText">
    <w:name w:val="footnote text"/>
    <w:basedOn w:val="Normal"/>
    <w:link w:val="FootnoteTextChar"/>
    <w:uiPriority w:val="99"/>
    <w:semiHidden/>
    <w:unhideWhenUsed/>
    <w:rsid w:val="00DD269E"/>
    <w:pPr>
      <w:spacing w:before="0" w:after="0"/>
    </w:pPr>
    <w:rPr>
      <w:szCs w:val="20"/>
    </w:rPr>
  </w:style>
  <w:style w:type="character" w:customStyle="1" w:styleId="FootnoteTextChar">
    <w:name w:val="Footnote Text Char"/>
    <w:basedOn w:val="DefaultParagraphFont"/>
    <w:link w:val="FootnoteText"/>
    <w:uiPriority w:val="99"/>
    <w:semiHidden/>
    <w:rsid w:val="00DD269E"/>
    <w:rPr>
      <w:sz w:val="20"/>
      <w:szCs w:val="20"/>
    </w:rPr>
  </w:style>
  <w:style w:type="character" w:styleId="FootnoteReference">
    <w:name w:val="footnote reference"/>
    <w:basedOn w:val="DefaultParagraphFont"/>
    <w:uiPriority w:val="99"/>
    <w:semiHidden/>
    <w:unhideWhenUsed/>
    <w:rsid w:val="00DD269E"/>
    <w:rPr>
      <w:vertAlign w:val="superscript"/>
    </w:rPr>
  </w:style>
  <w:style w:type="character" w:styleId="FollowedHyperlink">
    <w:name w:val="FollowedHyperlink"/>
    <w:basedOn w:val="DefaultParagraphFont"/>
    <w:uiPriority w:val="99"/>
    <w:semiHidden/>
    <w:unhideWhenUsed/>
    <w:rsid w:val="001E15A7"/>
    <w:rPr>
      <w:color w:val="800080" w:themeColor="followedHyperlink"/>
      <w:u w:val="single"/>
    </w:rPr>
  </w:style>
  <w:style w:type="paragraph" w:styleId="EndnoteText">
    <w:name w:val="endnote text"/>
    <w:basedOn w:val="Normal"/>
    <w:link w:val="EndnoteTextChar"/>
    <w:uiPriority w:val="99"/>
    <w:semiHidden/>
    <w:unhideWhenUsed/>
    <w:rsid w:val="001E15A7"/>
    <w:pPr>
      <w:spacing w:before="0" w:after="0"/>
    </w:pPr>
    <w:rPr>
      <w:szCs w:val="20"/>
    </w:rPr>
  </w:style>
  <w:style w:type="character" w:customStyle="1" w:styleId="EndnoteTextChar">
    <w:name w:val="Endnote Text Char"/>
    <w:basedOn w:val="DefaultParagraphFont"/>
    <w:link w:val="EndnoteText"/>
    <w:uiPriority w:val="99"/>
    <w:semiHidden/>
    <w:rsid w:val="001E15A7"/>
    <w:rPr>
      <w:sz w:val="20"/>
      <w:szCs w:val="20"/>
    </w:rPr>
  </w:style>
  <w:style w:type="character" w:styleId="EndnoteReference">
    <w:name w:val="endnote reference"/>
    <w:basedOn w:val="DefaultParagraphFont"/>
    <w:uiPriority w:val="99"/>
    <w:semiHidden/>
    <w:unhideWhenUsed/>
    <w:rsid w:val="001E15A7"/>
    <w:rPr>
      <w:vertAlign w:val="superscript"/>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unhideWhenUsed/>
    <w:qFormat/>
    <w:rsid w:val="00A77332"/>
    <w:pPr>
      <w:keepNext/>
      <w:keepLines/>
      <w:spacing w:before="0" w:after="200"/>
      <w:jc w:val="both"/>
    </w:pPr>
    <w:rPr>
      <w:rFonts w:ascii="Arial" w:hAnsi="Arial"/>
      <w:b/>
      <w:iCs/>
      <w:color w:val="000000" w:themeColor="text1"/>
      <w:sz w:val="22"/>
      <w:szCs w:val="18"/>
    </w:rPr>
  </w:style>
  <w:style w:type="paragraph" w:customStyle="1" w:styleId="Sources">
    <w:name w:val="Sources"/>
    <w:basedOn w:val="Normal"/>
    <w:qFormat/>
    <w:rsid w:val="00A77332"/>
    <w:pPr>
      <w:jc w:val="both"/>
    </w:pPr>
    <w:rPr>
      <w:rFonts w:ascii="Arial" w:hAnsi="Arial"/>
      <w:sz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rsid w:val="00A77332"/>
    <w:rPr>
      <w:rFonts w:ascii="Arial" w:hAnsi="Arial"/>
      <w:b/>
      <w:iCs/>
      <w:color w:val="000000" w:themeColor="text1"/>
      <w:szCs w:val="18"/>
    </w:rPr>
  </w:style>
  <w:style w:type="paragraph" w:styleId="Bibliography">
    <w:name w:val="Bibliography"/>
    <w:basedOn w:val="Normal"/>
    <w:next w:val="Normal"/>
    <w:uiPriority w:val="37"/>
    <w:unhideWhenUsed/>
    <w:rsid w:val="00EF353C"/>
  </w:style>
  <w:style w:type="paragraph" w:customStyle="1" w:styleId="Default">
    <w:name w:val="Default"/>
    <w:rsid w:val="00562C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F1F52"/>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546">
      <w:bodyDiv w:val="1"/>
      <w:marLeft w:val="0"/>
      <w:marRight w:val="0"/>
      <w:marTop w:val="0"/>
      <w:marBottom w:val="0"/>
      <w:divBdr>
        <w:top w:val="none" w:sz="0" w:space="0" w:color="auto"/>
        <w:left w:val="none" w:sz="0" w:space="0" w:color="auto"/>
        <w:bottom w:val="none" w:sz="0" w:space="0" w:color="auto"/>
        <w:right w:val="none" w:sz="0" w:space="0" w:color="auto"/>
      </w:divBdr>
    </w:div>
    <w:div w:id="24139018">
      <w:bodyDiv w:val="1"/>
      <w:marLeft w:val="0"/>
      <w:marRight w:val="0"/>
      <w:marTop w:val="0"/>
      <w:marBottom w:val="0"/>
      <w:divBdr>
        <w:top w:val="none" w:sz="0" w:space="0" w:color="auto"/>
        <w:left w:val="none" w:sz="0" w:space="0" w:color="auto"/>
        <w:bottom w:val="none" w:sz="0" w:space="0" w:color="auto"/>
        <w:right w:val="none" w:sz="0" w:space="0" w:color="auto"/>
      </w:divBdr>
    </w:div>
    <w:div w:id="47607433">
      <w:bodyDiv w:val="1"/>
      <w:marLeft w:val="0"/>
      <w:marRight w:val="0"/>
      <w:marTop w:val="0"/>
      <w:marBottom w:val="0"/>
      <w:divBdr>
        <w:top w:val="none" w:sz="0" w:space="0" w:color="auto"/>
        <w:left w:val="none" w:sz="0" w:space="0" w:color="auto"/>
        <w:bottom w:val="none" w:sz="0" w:space="0" w:color="auto"/>
        <w:right w:val="none" w:sz="0" w:space="0" w:color="auto"/>
      </w:divBdr>
    </w:div>
    <w:div w:id="50541346">
      <w:bodyDiv w:val="1"/>
      <w:marLeft w:val="0"/>
      <w:marRight w:val="0"/>
      <w:marTop w:val="0"/>
      <w:marBottom w:val="0"/>
      <w:divBdr>
        <w:top w:val="none" w:sz="0" w:space="0" w:color="auto"/>
        <w:left w:val="none" w:sz="0" w:space="0" w:color="auto"/>
        <w:bottom w:val="none" w:sz="0" w:space="0" w:color="auto"/>
        <w:right w:val="none" w:sz="0" w:space="0" w:color="auto"/>
      </w:divBdr>
    </w:div>
    <w:div w:id="59669469">
      <w:bodyDiv w:val="1"/>
      <w:marLeft w:val="0"/>
      <w:marRight w:val="0"/>
      <w:marTop w:val="0"/>
      <w:marBottom w:val="0"/>
      <w:divBdr>
        <w:top w:val="none" w:sz="0" w:space="0" w:color="auto"/>
        <w:left w:val="none" w:sz="0" w:space="0" w:color="auto"/>
        <w:bottom w:val="none" w:sz="0" w:space="0" w:color="auto"/>
        <w:right w:val="none" w:sz="0" w:space="0" w:color="auto"/>
      </w:divBdr>
    </w:div>
    <w:div w:id="61875588">
      <w:bodyDiv w:val="1"/>
      <w:marLeft w:val="0"/>
      <w:marRight w:val="0"/>
      <w:marTop w:val="0"/>
      <w:marBottom w:val="0"/>
      <w:divBdr>
        <w:top w:val="none" w:sz="0" w:space="0" w:color="auto"/>
        <w:left w:val="none" w:sz="0" w:space="0" w:color="auto"/>
        <w:bottom w:val="none" w:sz="0" w:space="0" w:color="auto"/>
        <w:right w:val="none" w:sz="0" w:space="0" w:color="auto"/>
      </w:divBdr>
    </w:div>
    <w:div w:id="74592723">
      <w:bodyDiv w:val="1"/>
      <w:marLeft w:val="0"/>
      <w:marRight w:val="0"/>
      <w:marTop w:val="0"/>
      <w:marBottom w:val="0"/>
      <w:divBdr>
        <w:top w:val="none" w:sz="0" w:space="0" w:color="auto"/>
        <w:left w:val="none" w:sz="0" w:space="0" w:color="auto"/>
        <w:bottom w:val="none" w:sz="0" w:space="0" w:color="auto"/>
        <w:right w:val="none" w:sz="0" w:space="0" w:color="auto"/>
      </w:divBdr>
    </w:div>
    <w:div w:id="86123140">
      <w:bodyDiv w:val="1"/>
      <w:marLeft w:val="0"/>
      <w:marRight w:val="0"/>
      <w:marTop w:val="0"/>
      <w:marBottom w:val="0"/>
      <w:divBdr>
        <w:top w:val="none" w:sz="0" w:space="0" w:color="auto"/>
        <w:left w:val="none" w:sz="0" w:space="0" w:color="auto"/>
        <w:bottom w:val="none" w:sz="0" w:space="0" w:color="auto"/>
        <w:right w:val="none" w:sz="0" w:space="0" w:color="auto"/>
      </w:divBdr>
    </w:div>
    <w:div w:id="135146109">
      <w:bodyDiv w:val="1"/>
      <w:marLeft w:val="0"/>
      <w:marRight w:val="0"/>
      <w:marTop w:val="0"/>
      <w:marBottom w:val="0"/>
      <w:divBdr>
        <w:top w:val="none" w:sz="0" w:space="0" w:color="auto"/>
        <w:left w:val="none" w:sz="0" w:space="0" w:color="auto"/>
        <w:bottom w:val="none" w:sz="0" w:space="0" w:color="auto"/>
        <w:right w:val="none" w:sz="0" w:space="0" w:color="auto"/>
      </w:divBdr>
    </w:div>
    <w:div w:id="159740590">
      <w:bodyDiv w:val="1"/>
      <w:marLeft w:val="0"/>
      <w:marRight w:val="0"/>
      <w:marTop w:val="0"/>
      <w:marBottom w:val="0"/>
      <w:divBdr>
        <w:top w:val="none" w:sz="0" w:space="0" w:color="auto"/>
        <w:left w:val="none" w:sz="0" w:space="0" w:color="auto"/>
        <w:bottom w:val="none" w:sz="0" w:space="0" w:color="auto"/>
        <w:right w:val="none" w:sz="0" w:space="0" w:color="auto"/>
      </w:divBdr>
    </w:div>
    <w:div w:id="175078895">
      <w:bodyDiv w:val="1"/>
      <w:marLeft w:val="0"/>
      <w:marRight w:val="0"/>
      <w:marTop w:val="0"/>
      <w:marBottom w:val="0"/>
      <w:divBdr>
        <w:top w:val="none" w:sz="0" w:space="0" w:color="auto"/>
        <w:left w:val="none" w:sz="0" w:space="0" w:color="auto"/>
        <w:bottom w:val="none" w:sz="0" w:space="0" w:color="auto"/>
        <w:right w:val="none" w:sz="0" w:space="0" w:color="auto"/>
      </w:divBdr>
    </w:div>
    <w:div w:id="189493351">
      <w:bodyDiv w:val="1"/>
      <w:marLeft w:val="0"/>
      <w:marRight w:val="0"/>
      <w:marTop w:val="0"/>
      <w:marBottom w:val="0"/>
      <w:divBdr>
        <w:top w:val="none" w:sz="0" w:space="0" w:color="auto"/>
        <w:left w:val="none" w:sz="0" w:space="0" w:color="auto"/>
        <w:bottom w:val="none" w:sz="0" w:space="0" w:color="auto"/>
        <w:right w:val="none" w:sz="0" w:space="0" w:color="auto"/>
      </w:divBdr>
    </w:div>
    <w:div w:id="192816157">
      <w:bodyDiv w:val="1"/>
      <w:marLeft w:val="0"/>
      <w:marRight w:val="0"/>
      <w:marTop w:val="0"/>
      <w:marBottom w:val="0"/>
      <w:divBdr>
        <w:top w:val="none" w:sz="0" w:space="0" w:color="auto"/>
        <w:left w:val="none" w:sz="0" w:space="0" w:color="auto"/>
        <w:bottom w:val="none" w:sz="0" w:space="0" w:color="auto"/>
        <w:right w:val="none" w:sz="0" w:space="0" w:color="auto"/>
      </w:divBdr>
    </w:div>
    <w:div w:id="194004820">
      <w:bodyDiv w:val="1"/>
      <w:marLeft w:val="0"/>
      <w:marRight w:val="0"/>
      <w:marTop w:val="0"/>
      <w:marBottom w:val="0"/>
      <w:divBdr>
        <w:top w:val="none" w:sz="0" w:space="0" w:color="auto"/>
        <w:left w:val="none" w:sz="0" w:space="0" w:color="auto"/>
        <w:bottom w:val="none" w:sz="0" w:space="0" w:color="auto"/>
        <w:right w:val="none" w:sz="0" w:space="0" w:color="auto"/>
      </w:divBdr>
    </w:div>
    <w:div w:id="218714534">
      <w:bodyDiv w:val="1"/>
      <w:marLeft w:val="0"/>
      <w:marRight w:val="0"/>
      <w:marTop w:val="0"/>
      <w:marBottom w:val="0"/>
      <w:divBdr>
        <w:top w:val="none" w:sz="0" w:space="0" w:color="auto"/>
        <w:left w:val="none" w:sz="0" w:space="0" w:color="auto"/>
        <w:bottom w:val="none" w:sz="0" w:space="0" w:color="auto"/>
        <w:right w:val="none" w:sz="0" w:space="0" w:color="auto"/>
      </w:divBdr>
    </w:div>
    <w:div w:id="219561417">
      <w:bodyDiv w:val="1"/>
      <w:marLeft w:val="0"/>
      <w:marRight w:val="0"/>
      <w:marTop w:val="0"/>
      <w:marBottom w:val="0"/>
      <w:divBdr>
        <w:top w:val="none" w:sz="0" w:space="0" w:color="auto"/>
        <w:left w:val="none" w:sz="0" w:space="0" w:color="auto"/>
        <w:bottom w:val="none" w:sz="0" w:space="0" w:color="auto"/>
        <w:right w:val="none" w:sz="0" w:space="0" w:color="auto"/>
      </w:divBdr>
    </w:div>
    <w:div w:id="276524097">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4705061">
      <w:bodyDiv w:val="1"/>
      <w:marLeft w:val="0"/>
      <w:marRight w:val="0"/>
      <w:marTop w:val="0"/>
      <w:marBottom w:val="0"/>
      <w:divBdr>
        <w:top w:val="none" w:sz="0" w:space="0" w:color="auto"/>
        <w:left w:val="none" w:sz="0" w:space="0" w:color="auto"/>
        <w:bottom w:val="none" w:sz="0" w:space="0" w:color="auto"/>
        <w:right w:val="none" w:sz="0" w:space="0" w:color="auto"/>
      </w:divBdr>
    </w:div>
    <w:div w:id="330569648">
      <w:bodyDiv w:val="1"/>
      <w:marLeft w:val="0"/>
      <w:marRight w:val="0"/>
      <w:marTop w:val="0"/>
      <w:marBottom w:val="0"/>
      <w:divBdr>
        <w:top w:val="none" w:sz="0" w:space="0" w:color="auto"/>
        <w:left w:val="none" w:sz="0" w:space="0" w:color="auto"/>
        <w:bottom w:val="none" w:sz="0" w:space="0" w:color="auto"/>
        <w:right w:val="none" w:sz="0" w:space="0" w:color="auto"/>
      </w:divBdr>
    </w:div>
    <w:div w:id="361169387">
      <w:bodyDiv w:val="1"/>
      <w:marLeft w:val="0"/>
      <w:marRight w:val="0"/>
      <w:marTop w:val="0"/>
      <w:marBottom w:val="0"/>
      <w:divBdr>
        <w:top w:val="none" w:sz="0" w:space="0" w:color="auto"/>
        <w:left w:val="none" w:sz="0" w:space="0" w:color="auto"/>
        <w:bottom w:val="none" w:sz="0" w:space="0" w:color="auto"/>
        <w:right w:val="none" w:sz="0" w:space="0" w:color="auto"/>
      </w:divBdr>
    </w:div>
    <w:div w:id="375815948">
      <w:bodyDiv w:val="1"/>
      <w:marLeft w:val="0"/>
      <w:marRight w:val="0"/>
      <w:marTop w:val="0"/>
      <w:marBottom w:val="0"/>
      <w:divBdr>
        <w:top w:val="none" w:sz="0" w:space="0" w:color="auto"/>
        <w:left w:val="none" w:sz="0" w:space="0" w:color="auto"/>
        <w:bottom w:val="none" w:sz="0" w:space="0" w:color="auto"/>
        <w:right w:val="none" w:sz="0" w:space="0" w:color="auto"/>
      </w:divBdr>
    </w:div>
    <w:div w:id="389350062">
      <w:bodyDiv w:val="1"/>
      <w:marLeft w:val="0"/>
      <w:marRight w:val="0"/>
      <w:marTop w:val="0"/>
      <w:marBottom w:val="0"/>
      <w:divBdr>
        <w:top w:val="none" w:sz="0" w:space="0" w:color="auto"/>
        <w:left w:val="none" w:sz="0" w:space="0" w:color="auto"/>
        <w:bottom w:val="none" w:sz="0" w:space="0" w:color="auto"/>
        <w:right w:val="none" w:sz="0" w:space="0" w:color="auto"/>
      </w:divBdr>
    </w:div>
    <w:div w:id="406077277">
      <w:bodyDiv w:val="1"/>
      <w:marLeft w:val="0"/>
      <w:marRight w:val="0"/>
      <w:marTop w:val="0"/>
      <w:marBottom w:val="0"/>
      <w:divBdr>
        <w:top w:val="none" w:sz="0" w:space="0" w:color="auto"/>
        <w:left w:val="none" w:sz="0" w:space="0" w:color="auto"/>
        <w:bottom w:val="none" w:sz="0" w:space="0" w:color="auto"/>
        <w:right w:val="none" w:sz="0" w:space="0" w:color="auto"/>
      </w:divBdr>
    </w:div>
    <w:div w:id="412970764">
      <w:bodyDiv w:val="1"/>
      <w:marLeft w:val="0"/>
      <w:marRight w:val="0"/>
      <w:marTop w:val="0"/>
      <w:marBottom w:val="0"/>
      <w:divBdr>
        <w:top w:val="none" w:sz="0" w:space="0" w:color="auto"/>
        <w:left w:val="none" w:sz="0" w:space="0" w:color="auto"/>
        <w:bottom w:val="none" w:sz="0" w:space="0" w:color="auto"/>
        <w:right w:val="none" w:sz="0" w:space="0" w:color="auto"/>
      </w:divBdr>
    </w:div>
    <w:div w:id="462429618">
      <w:bodyDiv w:val="1"/>
      <w:marLeft w:val="0"/>
      <w:marRight w:val="0"/>
      <w:marTop w:val="0"/>
      <w:marBottom w:val="0"/>
      <w:divBdr>
        <w:top w:val="none" w:sz="0" w:space="0" w:color="auto"/>
        <w:left w:val="none" w:sz="0" w:space="0" w:color="auto"/>
        <w:bottom w:val="none" w:sz="0" w:space="0" w:color="auto"/>
        <w:right w:val="none" w:sz="0" w:space="0" w:color="auto"/>
      </w:divBdr>
    </w:div>
    <w:div w:id="463816065">
      <w:bodyDiv w:val="1"/>
      <w:marLeft w:val="0"/>
      <w:marRight w:val="0"/>
      <w:marTop w:val="0"/>
      <w:marBottom w:val="0"/>
      <w:divBdr>
        <w:top w:val="none" w:sz="0" w:space="0" w:color="auto"/>
        <w:left w:val="none" w:sz="0" w:space="0" w:color="auto"/>
        <w:bottom w:val="none" w:sz="0" w:space="0" w:color="auto"/>
        <w:right w:val="none" w:sz="0" w:space="0" w:color="auto"/>
      </w:divBdr>
    </w:div>
    <w:div w:id="481434439">
      <w:bodyDiv w:val="1"/>
      <w:marLeft w:val="0"/>
      <w:marRight w:val="0"/>
      <w:marTop w:val="0"/>
      <w:marBottom w:val="0"/>
      <w:divBdr>
        <w:top w:val="none" w:sz="0" w:space="0" w:color="auto"/>
        <w:left w:val="none" w:sz="0" w:space="0" w:color="auto"/>
        <w:bottom w:val="none" w:sz="0" w:space="0" w:color="auto"/>
        <w:right w:val="none" w:sz="0" w:space="0" w:color="auto"/>
      </w:divBdr>
    </w:div>
    <w:div w:id="522019833">
      <w:bodyDiv w:val="1"/>
      <w:marLeft w:val="0"/>
      <w:marRight w:val="0"/>
      <w:marTop w:val="0"/>
      <w:marBottom w:val="0"/>
      <w:divBdr>
        <w:top w:val="none" w:sz="0" w:space="0" w:color="auto"/>
        <w:left w:val="none" w:sz="0" w:space="0" w:color="auto"/>
        <w:bottom w:val="none" w:sz="0" w:space="0" w:color="auto"/>
        <w:right w:val="none" w:sz="0" w:space="0" w:color="auto"/>
      </w:divBdr>
    </w:div>
    <w:div w:id="524054541">
      <w:bodyDiv w:val="1"/>
      <w:marLeft w:val="0"/>
      <w:marRight w:val="0"/>
      <w:marTop w:val="0"/>
      <w:marBottom w:val="0"/>
      <w:divBdr>
        <w:top w:val="none" w:sz="0" w:space="0" w:color="auto"/>
        <w:left w:val="none" w:sz="0" w:space="0" w:color="auto"/>
        <w:bottom w:val="none" w:sz="0" w:space="0" w:color="auto"/>
        <w:right w:val="none" w:sz="0" w:space="0" w:color="auto"/>
      </w:divBdr>
    </w:div>
    <w:div w:id="531308342">
      <w:bodyDiv w:val="1"/>
      <w:marLeft w:val="0"/>
      <w:marRight w:val="0"/>
      <w:marTop w:val="0"/>
      <w:marBottom w:val="0"/>
      <w:divBdr>
        <w:top w:val="none" w:sz="0" w:space="0" w:color="auto"/>
        <w:left w:val="none" w:sz="0" w:space="0" w:color="auto"/>
        <w:bottom w:val="none" w:sz="0" w:space="0" w:color="auto"/>
        <w:right w:val="none" w:sz="0" w:space="0" w:color="auto"/>
      </w:divBdr>
    </w:div>
    <w:div w:id="555047574">
      <w:bodyDiv w:val="1"/>
      <w:marLeft w:val="0"/>
      <w:marRight w:val="0"/>
      <w:marTop w:val="0"/>
      <w:marBottom w:val="0"/>
      <w:divBdr>
        <w:top w:val="none" w:sz="0" w:space="0" w:color="auto"/>
        <w:left w:val="none" w:sz="0" w:space="0" w:color="auto"/>
        <w:bottom w:val="none" w:sz="0" w:space="0" w:color="auto"/>
        <w:right w:val="none" w:sz="0" w:space="0" w:color="auto"/>
      </w:divBdr>
    </w:div>
    <w:div w:id="562251315">
      <w:bodyDiv w:val="1"/>
      <w:marLeft w:val="0"/>
      <w:marRight w:val="0"/>
      <w:marTop w:val="0"/>
      <w:marBottom w:val="0"/>
      <w:divBdr>
        <w:top w:val="none" w:sz="0" w:space="0" w:color="auto"/>
        <w:left w:val="none" w:sz="0" w:space="0" w:color="auto"/>
        <w:bottom w:val="none" w:sz="0" w:space="0" w:color="auto"/>
        <w:right w:val="none" w:sz="0" w:space="0" w:color="auto"/>
      </w:divBdr>
    </w:div>
    <w:div w:id="578558954">
      <w:bodyDiv w:val="1"/>
      <w:marLeft w:val="0"/>
      <w:marRight w:val="0"/>
      <w:marTop w:val="0"/>
      <w:marBottom w:val="0"/>
      <w:divBdr>
        <w:top w:val="none" w:sz="0" w:space="0" w:color="auto"/>
        <w:left w:val="none" w:sz="0" w:space="0" w:color="auto"/>
        <w:bottom w:val="none" w:sz="0" w:space="0" w:color="auto"/>
        <w:right w:val="none" w:sz="0" w:space="0" w:color="auto"/>
      </w:divBdr>
    </w:div>
    <w:div w:id="580066732">
      <w:bodyDiv w:val="1"/>
      <w:marLeft w:val="0"/>
      <w:marRight w:val="0"/>
      <w:marTop w:val="0"/>
      <w:marBottom w:val="0"/>
      <w:divBdr>
        <w:top w:val="none" w:sz="0" w:space="0" w:color="auto"/>
        <w:left w:val="none" w:sz="0" w:space="0" w:color="auto"/>
        <w:bottom w:val="none" w:sz="0" w:space="0" w:color="auto"/>
        <w:right w:val="none" w:sz="0" w:space="0" w:color="auto"/>
      </w:divBdr>
    </w:div>
    <w:div w:id="587810772">
      <w:bodyDiv w:val="1"/>
      <w:marLeft w:val="0"/>
      <w:marRight w:val="0"/>
      <w:marTop w:val="0"/>
      <w:marBottom w:val="0"/>
      <w:divBdr>
        <w:top w:val="none" w:sz="0" w:space="0" w:color="auto"/>
        <w:left w:val="none" w:sz="0" w:space="0" w:color="auto"/>
        <w:bottom w:val="none" w:sz="0" w:space="0" w:color="auto"/>
        <w:right w:val="none" w:sz="0" w:space="0" w:color="auto"/>
      </w:divBdr>
    </w:div>
    <w:div w:id="597368293">
      <w:bodyDiv w:val="1"/>
      <w:marLeft w:val="0"/>
      <w:marRight w:val="0"/>
      <w:marTop w:val="0"/>
      <w:marBottom w:val="0"/>
      <w:divBdr>
        <w:top w:val="none" w:sz="0" w:space="0" w:color="auto"/>
        <w:left w:val="none" w:sz="0" w:space="0" w:color="auto"/>
        <w:bottom w:val="none" w:sz="0" w:space="0" w:color="auto"/>
        <w:right w:val="none" w:sz="0" w:space="0" w:color="auto"/>
      </w:divBdr>
    </w:div>
    <w:div w:id="645399116">
      <w:bodyDiv w:val="1"/>
      <w:marLeft w:val="0"/>
      <w:marRight w:val="0"/>
      <w:marTop w:val="0"/>
      <w:marBottom w:val="0"/>
      <w:divBdr>
        <w:top w:val="none" w:sz="0" w:space="0" w:color="auto"/>
        <w:left w:val="none" w:sz="0" w:space="0" w:color="auto"/>
        <w:bottom w:val="none" w:sz="0" w:space="0" w:color="auto"/>
        <w:right w:val="none" w:sz="0" w:space="0" w:color="auto"/>
      </w:divBdr>
    </w:div>
    <w:div w:id="672531966">
      <w:bodyDiv w:val="1"/>
      <w:marLeft w:val="0"/>
      <w:marRight w:val="0"/>
      <w:marTop w:val="0"/>
      <w:marBottom w:val="0"/>
      <w:divBdr>
        <w:top w:val="none" w:sz="0" w:space="0" w:color="auto"/>
        <w:left w:val="none" w:sz="0" w:space="0" w:color="auto"/>
        <w:bottom w:val="none" w:sz="0" w:space="0" w:color="auto"/>
        <w:right w:val="none" w:sz="0" w:space="0" w:color="auto"/>
      </w:divBdr>
    </w:div>
    <w:div w:id="696203988">
      <w:bodyDiv w:val="1"/>
      <w:marLeft w:val="0"/>
      <w:marRight w:val="0"/>
      <w:marTop w:val="0"/>
      <w:marBottom w:val="0"/>
      <w:divBdr>
        <w:top w:val="none" w:sz="0" w:space="0" w:color="auto"/>
        <w:left w:val="none" w:sz="0" w:space="0" w:color="auto"/>
        <w:bottom w:val="none" w:sz="0" w:space="0" w:color="auto"/>
        <w:right w:val="none" w:sz="0" w:space="0" w:color="auto"/>
      </w:divBdr>
    </w:div>
    <w:div w:id="734552206">
      <w:bodyDiv w:val="1"/>
      <w:marLeft w:val="0"/>
      <w:marRight w:val="0"/>
      <w:marTop w:val="0"/>
      <w:marBottom w:val="0"/>
      <w:divBdr>
        <w:top w:val="none" w:sz="0" w:space="0" w:color="auto"/>
        <w:left w:val="none" w:sz="0" w:space="0" w:color="auto"/>
        <w:bottom w:val="none" w:sz="0" w:space="0" w:color="auto"/>
        <w:right w:val="none" w:sz="0" w:space="0" w:color="auto"/>
      </w:divBdr>
    </w:div>
    <w:div w:id="758403587">
      <w:bodyDiv w:val="1"/>
      <w:marLeft w:val="0"/>
      <w:marRight w:val="0"/>
      <w:marTop w:val="0"/>
      <w:marBottom w:val="0"/>
      <w:divBdr>
        <w:top w:val="none" w:sz="0" w:space="0" w:color="auto"/>
        <w:left w:val="none" w:sz="0" w:space="0" w:color="auto"/>
        <w:bottom w:val="none" w:sz="0" w:space="0" w:color="auto"/>
        <w:right w:val="none" w:sz="0" w:space="0" w:color="auto"/>
      </w:divBdr>
    </w:div>
    <w:div w:id="759719962">
      <w:bodyDiv w:val="1"/>
      <w:marLeft w:val="0"/>
      <w:marRight w:val="0"/>
      <w:marTop w:val="0"/>
      <w:marBottom w:val="0"/>
      <w:divBdr>
        <w:top w:val="none" w:sz="0" w:space="0" w:color="auto"/>
        <w:left w:val="none" w:sz="0" w:space="0" w:color="auto"/>
        <w:bottom w:val="none" w:sz="0" w:space="0" w:color="auto"/>
        <w:right w:val="none" w:sz="0" w:space="0" w:color="auto"/>
      </w:divBdr>
    </w:div>
    <w:div w:id="760445387">
      <w:bodyDiv w:val="1"/>
      <w:marLeft w:val="0"/>
      <w:marRight w:val="0"/>
      <w:marTop w:val="0"/>
      <w:marBottom w:val="0"/>
      <w:divBdr>
        <w:top w:val="none" w:sz="0" w:space="0" w:color="auto"/>
        <w:left w:val="none" w:sz="0" w:space="0" w:color="auto"/>
        <w:bottom w:val="none" w:sz="0" w:space="0" w:color="auto"/>
        <w:right w:val="none" w:sz="0" w:space="0" w:color="auto"/>
      </w:divBdr>
    </w:div>
    <w:div w:id="762458584">
      <w:bodyDiv w:val="1"/>
      <w:marLeft w:val="0"/>
      <w:marRight w:val="0"/>
      <w:marTop w:val="0"/>
      <w:marBottom w:val="0"/>
      <w:divBdr>
        <w:top w:val="none" w:sz="0" w:space="0" w:color="auto"/>
        <w:left w:val="none" w:sz="0" w:space="0" w:color="auto"/>
        <w:bottom w:val="none" w:sz="0" w:space="0" w:color="auto"/>
        <w:right w:val="none" w:sz="0" w:space="0" w:color="auto"/>
      </w:divBdr>
    </w:div>
    <w:div w:id="774443314">
      <w:bodyDiv w:val="1"/>
      <w:marLeft w:val="0"/>
      <w:marRight w:val="0"/>
      <w:marTop w:val="0"/>
      <w:marBottom w:val="0"/>
      <w:divBdr>
        <w:top w:val="none" w:sz="0" w:space="0" w:color="auto"/>
        <w:left w:val="none" w:sz="0" w:space="0" w:color="auto"/>
        <w:bottom w:val="none" w:sz="0" w:space="0" w:color="auto"/>
        <w:right w:val="none" w:sz="0" w:space="0" w:color="auto"/>
      </w:divBdr>
    </w:div>
    <w:div w:id="775711499">
      <w:bodyDiv w:val="1"/>
      <w:marLeft w:val="0"/>
      <w:marRight w:val="0"/>
      <w:marTop w:val="0"/>
      <w:marBottom w:val="0"/>
      <w:divBdr>
        <w:top w:val="none" w:sz="0" w:space="0" w:color="auto"/>
        <w:left w:val="none" w:sz="0" w:space="0" w:color="auto"/>
        <w:bottom w:val="none" w:sz="0" w:space="0" w:color="auto"/>
        <w:right w:val="none" w:sz="0" w:space="0" w:color="auto"/>
      </w:divBdr>
    </w:div>
    <w:div w:id="783353431">
      <w:bodyDiv w:val="1"/>
      <w:marLeft w:val="0"/>
      <w:marRight w:val="0"/>
      <w:marTop w:val="0"/>
      <w:marBottom w:val="0"/>
      <w:divBdr>
        <w:top w:val="none" w:sz="0" w:space="0" w:color="auto"/>
        <w:left w:val="none" w:sz="0" w:space="0" w:color="auto"/>
        <w:bottom w:val="none" w:sz="0" w:space="0" w:color="auto"/>
        <w:right w:val="none" w:sz="0" w:space="0" w:color="auto"/>
      </w:divBdr>
    </w:div>
    <w:div w:id="787550891">
      <w:bodyDiv w:val="1"/>
      <w:marLeft w:val="0"/>
      <w:marRight w:val="0"/>
      <w:marTop w:val="0"/>
      <w:marBottom w:val="0"/>
      <w:divBdr>
        <w:top w:val="none" w:sz="0" w:space="0" w:color="auto"/>
        <w:left w:val="none" w:sz="0" w:space="0" w:color="auto"/>
        <w:bottom w:val="none" w:sz="0" w:space="0" w:color="auto"/>
        <w:right w:val="none" w:sz="0" w:space="0" w:color="auto"/>
      </w:divBdr>
    </w:div>
    <w:div w:id="822165350">
      <w:bodyDiv w:val="1"/>
      <w:marLeft w:val="0"/>
      <w:marRight w:val="0"/>
      <w:marTop w:val="0"/>
      <w:marBottom w:val="0"/>
      <w:divBdr>
        <w:top w:val="none" w:sz="0" w:space="0" w:color="auto"/>
        <w:left w:val="none" w:sz="0" w:space="0" w:color="auto"/>
        <w:bottom w:val="none" w:sz="0" w:space="0" w:color="auto"/>
        <w:right w:val="none" w:sz="0" w:space="0" w:color="auto"/>
      </w:divBdr>
    </w:div>
    <w:div w:id="842162232">
      <w:bodyDiv w:val="1"/>
      <w:marLeft w:val="0"/>
      <w:marRight w:val="0"/>
      <w:marTop w:val="0"/>
      <w:marBottom w:val="0"/>
      <w:divBdr>
        <w:top w:val="none" w:sz="0" w:space="0" w:color="auto"/>
        <w:left w:val="none" w:sz="0" w:space="0" w:color="auto"/>
        <w:bottom w:val="none" w:sz="0" w:space="0" w:color="auto"/>
        <w:right w:val="none" w:sz="0" w:space="0" w:color="auto"/>
      </w:divBdr>
    </w:div>
    <w:div w:id="845360810">
      <w:bodyDiv w:val="1"/>
      <w:marLeft w:val="0"/>
      <w:marRight w:val="0"/>
      <w:marTop w:val="0"/>
      <w:marBottom w:val="0"/>
      <w:divBdr>
        <w:top w:val="none" w:sz="0" w:space="0" w:color="auto"/>
        <w:left w:val="none" w:sz="0" w:space="0" w:color="auto"/>
        <w:bottom w:val="none" w:sz="0" w:space="0" w:color="auto"/>
        <w:right w:val="none" w:sz="0" w:space="0" w:color="auto"/>
      </w:divBdr>
    </w:div>
    <w:div w:id="854074280">
      <w:bodyDiv w:val="1"/>
      <w:marLeft w:val="0"/>
      <w:marRight w:val="0"/>
      <w:marTop w:val="0"/>
      <w:marBottom w:val="0"/>
      <w:divBdr>
        <w:top w:val="none" w:sz="0" w:space="0" w:color="auto"/>
        <w:left w:val="none" w:sz="0" w:space="0" w:color="auto"/>
        <w:bottom w:val="none" w:sz="0" w:space="0" w:color="auto"/>
        <w:right w:val="none" w:sz="0" w:space="0" w:color="auto"/>
      </w:divBdr>
    </w:div>
    <w:div w:id="855925494">
      <w:bodyDiv w:val="1"/>
      <w:marLeft w:val="0"/>
      <w:marRight w:val="0"/>
      <w:marTop w:val="0"/>
      <w:marBottom w:val="0"/>
      <w:divBdr>
        <w:top w:val="none" w:sz="0" w:space="0" w:color="auto"/>
        <w:left w:val="none" w:sz="0" w:space="0" w:color="auto"/>
        <w:bottom w:val="none" w:sz="0" w:space="0" w:color="auto"/>
        <w:right w:val="none" w:sz="0" w:space="0" w:color="auto"/>
      </w:divBdr>
    </w:div>
    <w:div w:id="863979626">
      <w:bodyDiv w:val="1"/>
      <w:marLeft w:val="0"/>
      <w:marRight w:val="0"/>
      <w:marTop w:val="0"/>
      <w:marBottom w:val="0"/>
      <w:divBdr>
        <w:top w:val="none" w:sz="0" w:space="0" w:color="auto"/>
        <w:left w:val="none" w:sz="0" w:space="0" w:color="auto"/>
        <w:bottom w:val="none" w:sz="0" w:space="0" w:color="auto"/>
        <w:right w:val="none" w:sz="0" w:space="0" w:color="auto"/>
      </w:divBdr>
    </w:div>
    <w:div w:id="934436213">
      <w:bodyDiv w:val="1"/>
      <w:marLeft w:val="0"/>
      <w:marRight w:val="0"/>
      <w:marTop w:val="0"/>
      <w:marBottom w:val="0"/>
      <w:divBdr>
        <w:top w:val="none" w:sz="0" w:space="0" w:color="auto"/>
        <w:left w:val="none" w:sz="0" w:space="0" w:color="auto"/>
        <w:bottom w:val="none" w:sz="0" w:space="0" w:color="auto"/>
        <w:right w:val="none" w:sz="0" w:space="0" w:color="auto"/>
      </w:divBdr>
    </w:div>
    <w:div w:id="950478324">
      <w:bodyDiv w:val="1"/>
      <w:marLeft w:val="0"/>
      <w:marRight w:val="0"/>
      <w:marTop w:val="0"/>
      <w:marBottom w:val="0"/>
      <w:divBdr>
        <w:top w:val="none" w:sz="0" w:space="0" w:color="auto"/>
        <w:left w:val="none" w:sz="0" w:space="0" w:color="auto"/>
        <w:bottom w:val="none" w:sz="0" w:space="0" w:color="auto"/>
        <w:right w:val="none" w:sz="0" w:space="0" w:color="auto"/>
      </w:divBdr>
    </w:div>
    <w:div w:id="961613802">
      <w:bodyDiv w:val="1"/>
      <w:marLeft w:val="0"/>
      <w:marRight w:val="0"/>
      <w:marTop w:val="0"/>
      <w:marBottom w:val="0"/>
      <w:divBdr>
        <w:top w:val="none" w:sz="0" w:space="0" w:color="auto"/>
        <w:left w:val="none" w:sz="0" w:space="0" w:color="auto"/>
        <w:bottom w:val="none" w:sz="0" w:space="0" w:color="auto"/>
        <w:right w:val="none" w:sz="0" w:space="0" w:color="auto"/>
      </w:divBdr>
    </w:div>
    <w:div w:id="975377442">
      <w:bodyDiv w:val="1"/>
      <w:marLeft w:val="0"/>
      <w:marRight w:val="0"/>
      <w:marTop w:val="0"/>
      <w:marBottom w:val="0"/>
      <w:divBdr>
        <w:top w:val="none" w:sz="0" w:space="0" w:color="auto"/>
        <w:left w:val="none" w:sz="0" w:space="0" w:color="auto"/>
        <w:bottom w:val="none" w:sz="0" w:space="0" w:color="auto"/>
        <w:right w:val="none" w:sz="0" w:space="0" w:color="auto"/>
      </w:divBdr>
    </w:div>
    <w:div w:id="1026368509">
      <w:bodyDiv w:val="1"/>
      <w:marLeft w:val="0"/>
      <w:marRight w:val="0"/>
      <w:marTop w:val="0"/>
      <w:marBottom w:val="0"/>
      <w:divBdr>
        <w:top w:val="none" w:sz="0" w:space="0" w:color="auto"/>
        <w:left w:val="none" w:sz="0" w:space="0" w:color="auto"/>
        <w:bottom w:val="none" w:sz="0" w:space="0" w:color="auto"/>
        <w:right w:val="none" w:sz="0" w:space="0" w:color="auto"/>
      </w:divBdr>
    </w:div>
    <w:div w:id="1031222235">
      <w:bodyDiv w:val="1"/>
      <w:marLeft w:val="0"/>
      <w:marRight w:val="0"/>
      <w:marTop w:val="0"/>
      <w:marBottom w:val="0"/>
      <w:divBdr>
        <w:top w:val="none" w:sz="0" w:space="0" w:color="auto"/>
        <w:left w:val="none" w:sz="0" w:space="0" w:color="auto"/>
        <w:bottom w:val="none" w:sz="0" w:space="0" w:color="auto"/>
        <w:right w:val="none" w:sz="0" w:space="0" w:color="auto"/>
      </w:divBdr>
    </w:div>
    <w:div w:id="1075930145">
      <w:bodyDiv w:val="1"/>
      <w:marLeft w:val="0"/>
      <w:marRight w:val="0"/>
      <w:marTop w:val="0"/>
      <w:marBottom w:val="0"/>
      <w:divBdr>
        <w:top w:val="none" w:sz="0" w:space="0" w:color="auto"/>
        <w:left w:val="none" w:sz="0" w:space="0" w:color="auto"/>
        <w:bottom w:val="none" w:sz="0" w:space="0" w:color="auto"/>
        <w:right w:val="none" w:sz="0" w:space="0" w:color="auto"/>
      </w:divBdr>
    </w:div>
    <w:div w:id="1076978582">
      <w:bodyDiv w:val="1"/>
      <w:marLeft w:val="0"/>
      <w:marRight w:val="0"/>
      <w:marTop w:val="0"/>
      <w:marBottom w:val="0"/>
      <w:divBdr>
        <w:top w:val="none" w:sz="0" w:space="0" w:color="auto"/>
        <w:left w:val="none" w:sz="0" w:space="0" w:color="auto"/>
        <w:bottom w:val="none" w:sz="0" w:space="0" w:color="auto"/>
        <w:right w:val="none" w:sz="0" w:space="0" w:color="auto"/>
      </w:divBdr>
    </w:div>
    <w:div w:id="1153983335">
      <w:bodyDiv w:val="1"/>
      <w:marLeft w:val="0"/>
      <w:marRight w:val="0"/>
      <w:marTop w:val="0"/>
      <w:marBottom w:val="0"/>
      <w:divBdr>
        <w:top w:val="none" w:sz="0" w:space="0" w:color="auto"/>
        <w:left w:val="none" w:sz="0" w:space="0" w:color="auto"/>
        <w:bottom w:val="none" w:sz="0" w:space="0" w:color="auto"/>
        <w:right w:val="none" w:sz="0" w:space="0" w:color="auto"/>
      </w:divBdr>
    </w:div>
    <w:div w:id="1169953456">
      <w:bodyDiv w:val="1"/>
      <w:marLeft w:val="0"/>
      <w:marRight w:val="0"/>
      <w:marTop w:val="0"/>
      <w:marBottom w:val="0"/>
      <w:divBdr>
        <w:top w:val="none" w:sz="0" w:space="0" w:color="auto"/>
        <w:left w:val="none" w:sz="0" w:space="0" w:color="auto"/>
        <w:bottom w:val="none" w:sz="0" w:space="0" w:color="auto"/>
        <w:right w:val="none" w:sz="0" w:space="0" w:color="auto"/>
      </w:divBdr>
    </w:div>
    <w:div w:id="1178228958">
      <w:bodyDiv w:val="1"/>
      <w:marLeft w:val="0"/>
      <w:marRight w:val="0"/>
      <w:marTop w:val="0"/>
      <w:marBottom w:val="0"/>
      <w:divBdr>
        <w:top w:val="none" w:sz="0" w:space="0" w:color="auto"/>
        <w:left w:val="none" w:sz="0" w:space="0" w:color="auto"/>
        <w:bottom w:val="none" w:sz="0" w:space="0" w:color="auto"/>
        <w:right w:val="none" w:sz="0" w:space="0" w:color="auto"/>
      </w:divBdr>
    </w:div>
    <w:div w:id="1191606884">
      <w:bodyDiv w:val="1"/>
      <w:marLeft w:val="0"/>
      <w:marRight w:val="0"/>
      <w:marTop w:val="0"/>
      <w:marBottom w:val="0"/>
      <w:divBdr>
        <w:top w:val="none" w:sz="0" w:space="0" w:color="auto"/>
        <w:left w:val="none" w:sz="0" w:space="0" w:color="auto"/>
        <w:bottom w:val="none" w:sz="0" w:space="0" w:color="auto"/>
        <w:right w:val="none" w:sz="0" w:space="0" w:color="auto"/>
      </w:divBdr>
    </w:div>
    <w:div w:id="1211185866">
      <w:bodyDiv w:val="1"/>
      <w:marLeft w:val="0"/>
      <w:marRight w:val="0"/>
      <w:marTop w:val="0"/>
      <w:marBottom w:val="0"/>
      <w:divBdr>
        <w:top w:val="none" w:sz="0" w:space="0" w:color="auto"/>
        <w:left w:val="none" w:sz="0" w:space="0" w:color="auto"/>
        <w:bottom w:val="none" w:sz="0" w:space="0" w:color="auto"/>
        <w:right w:val="none" w:sz="0" w:space="0" w:color="auto"/>
      </w:divBdr>
    </w:div>
    <w:div w:id="1234465165">
      <w:bodyDiv w:val="1"/>
      <w:marLeft w:val="0"/>
      <w:marRight w:val="0"/>
      <w:marTop w:val="0"/>
      <w:marBottom w:val="0"/>
      <w:divBdr>
        <w:top w:val="none" w:sz="0" w:space="0" w:color="auto"/>
        <w:left w:val="none" w:sz="0" w:space="0" w:color="auto"/>
        <w:bottom w:val="none" w:sz="0" w:space="0" w:color="auto"/>
        <w:right w:val="none" w:sz="0" w:space="0" w:color="auto"/>
      </w:divBdr>
    </w:div>
    <w:div w:id="1246571377">
      <w:bodyDiv w:val="1"/>
      <w:marLeft w:val="0"/>
      <w:marRight w:val="0"/>
      <w:marTop w:val="0"/>
      <w:marBottom w:val="0"/>
      <w:divBdr>
        <w:top w:val="none" w:sz="0" w:space="0" w:color="auto"/>
        <w:left w:val="none" w:sz="0" w:space="0" w:color="auto"/>
        <w:bottom w:val="none" w:sz="0" w:space="0" w:color="auto"/>
        <w:right w:val="none" w:sz="0" w:space="0" w:color="auto"/>
      </w:divBdr>
    </w:div>
    <w:div w:id="1250387527">
      <w:bodyDiv w:val="1"/>
      <w:marLeft w:val="0"/>
      <w:marRight w:val="0"/>
      <w:marTop w:val="0"/>
      <w:marBottom w:val="0"/>
      <w:divBdr>
        <w:top w:val="none" w:sz="0" w:space="0" w:color="auto"/>
        <w:left w:val="none" w:sz="0" w:space="0" w:color="auto"/>
        <w:bottom w:val="none" w:sz="0" w:space="0" w:color="auto"/>
        <w:right w:val="none" w:sz="0" w:space="0" w:color="auto"/>
      </w:divBdr>
    </w:div>
    <w:div w:id="1259364516">
      <w:bodyDiv w:val="1"/>
      <w:marLeft w:val="0"/>
      <w:marRight w:val="0"/>
      <w:marTop w:val="0"/>
      <w:marBottom w:val="0"/>
      <w:divBdr>
        <w:top w:val="none" w:sz="0" w:space="0" w:color="auto"/>
        <w:left w:val="none" w:sz="0" w:space="0" w:color="auto"/>
        <w:bottom w:val="none" w:sz="0" w:space="0" w:color="auto"/>
        <w:right w:val="none" w:sz="0" w:space="0" w:color="auto"/>
      </w:divBdr>
    </w:div>
    <w:div w:id="1263608323">
      <w:bodyDiv w:val="1"/>
      <w:marLeft w:val="0"/>
      <w:marRight w:val="0"/>
      <w:marTop w:val="0"/>
      <w:marBottom w:val="0"/>
      <w:divBdr>
        <w:top w:val="none" w:sz="0" w:space="0" w:color="auto"/>
        <w:left w:val="none" w:sz="0" w:space="0" w:color="auto"/>
        <w:bottom w:val="none" w:sz="0" w:space="0" w:color="auto"/>
        <w:right w:val="none" w:sz="0" w:space="0" w:color="auto"/>
      </w:divBdr>
    </w:div>
    <w:div w:id="1264606595">
      <w:bodyDiv w:val="1"/>
      <w:marLeft w:val="0"/>
      <w:marRight w:val="0"/>
      <w:marTop w:val="0"/>
      <w:marBottom w:val="0"/>
      <w:divBdr>
        <w:top w:val="none" w:sz="0" w:space="0" w:color="auto"/>
        <w:left w:val="none" w:sz="0" w:space="0" w:color="auto"/>
        <w:bottom w:val="none" w:sz="0" w:space="0" w:color="auto"/>
        <w:right w:val="none" w:sz="0" w:space="0" w:color="auto"/>
      </w:divBdr>
    </w:div>
    <w:div w:id="1279338133">
      <w:bodyDiv w:val="1"/>
      <w:marLeft w:val="0"/>
      <w:marRight w:val="0"/>
      <w:marTop w:val="0"/>
      <w:marBottom w:val="0"/>
      <w:divBdr>
        <w:top w:val="none" w:sz="0" w:space="0" w:color="auto"/>
        <w:left w:val="none" w:sz="0" w:space="0" w:color="auto"/>
        <w:bottom w:val="none" w:sz="0" w:space="0" w:color="auto"/>
        <w:right w:val="none" w:sz="0" w:space="0" w:color="auto"/>
      </w:divBdr>
    </w:div>
    <w:div w:id="1314067793">
      <w:bodyDiv w:val="1"/>
      <w:marLeft w:val="0"/>
      <w:marRight w:val="0"/>
      <w:marTop w:val="0"/>
      <w:marBottom w:val="0"/>
      <w:divBdr>
        <w:top w:val="none" w:sz="0" w:space="0" w:color="auto"/>
        <w:left w:val="none" w:sz="0" w:space="0" w:color="auto"/>
        <w:bottom w:val="none" w:sz="0" w:space="0" w:color="auto"/>
        <w:right w:val="none" w:sz="0" w:space="0" w:color="auto"/>
      </w:divBdr>
    </w:div>
    <w:div w:id="1326519508">
      <w:bodyDiv w:val="1"/>
      <w:marLeft w:val="0"/>
      <w:marRight w:val="0"/>
      <w:marTop w:val="0"/>
      <w:marBottom w:val="0"/>
      <w:divBdr>
        <w:top w:val="none" w:sz="0" w:space="0" w:color="auto"/>
        <w:left w:val="none" w:sz="0" w:space="0" w:color="auto"/>
        <w:bottom w:val="none" w:sz="0" w:space="0" w:color="auto"/>
        <w:right w:val="none" w:sz="0" w:space="0" w:color="auto"/>
      </w:divBdr>
    </w:div>
    <w:div w:id="1339775864">
      <w:bodyDiv w:val="1"/>
      <w:marLeft w:val="0"/>
      <w:marRight w:val="0"/>
      <w:marTop w:val="0"/>
      <w:marBottom w:val="0"/>
      <w:divBdr>
        <w:top w:val="none" w:sz="0" w:space="0" w:color="auto"/>
        <w:left w:val="none" w:sz="0" w:space="0" w:color="auto"/>
        <w:bottom w:val="none" w:sz="0" w:space="0" w:color="auto"/>
        <w:right w:val="none" w:sz="0" w:space="0" w:color="auto"/>
      </w:divBdr>
    </w:div>
    <w:div w:id="1356955378">
      <w:bodyDiv w:val="1"/>
      <w:marLeft w:val="0"/>
      <w:marRight w:val="0"/>
      <w:marTop w:val="0"/>
      <w:marBottom w:val="0"/>
      <w:divBdr>
        <w:top w:val="none" w:sz="0" w:space="0" w:color="auto"/>
        <w:left w:val="none" w:sz="0" w:space="0" w:color="auto"/>
        <w:bottom w:val="none" w:sz="0" w:space="0" w:color="auto"/>
        <w:right w:val="none" w:sz="0" w:space="0" w:color="auto"/>
      </w:divBdr>
    </w:div>
    <w:div w:id="1363819744">
      <w:bodyDiv w:val="1"/>
      <w:marLeft w:val="0"/>
      <w:marRight w:val="0"/>
      <w:marTop w:val="0"/>
      <w:marBottom w:val="0"/>
      <w:divBdr>
        <w:top w:val="none" w:sz="0" w:space="0" w:color="auto"/>
        <w:left w:val="none" w:sz="0" w:space="0" w:color="auto"/>
        <w:bottom w:val="none" w:sz="0" w:space="0" w:color="auto"/>
        <w:right w:val="none" w:sz="0" w:space="0" w:color="auto"/>
      </w:divBdr>
    </w:div>
    <w:div w:id="1405178692">
      <w:bodyDiv w:val="1"/>
      <w:marLeft w:val="0"/>
      <w:marRight w:val="0"/>
      <w:marTop w:val="0"/>
      <w:marBottom w:val="0"/>
      <w:divBdr>
        <w:top w:val="none" w:sz="0" w:space="0" w:color="auto"/>
        <w:left w:val="none" w:sz="0" w:space="0" w:color="auto"/>
        <w:bottom w:val="none" w:sz="0" w:space="0" w:color="auto"/>
        <w:right w:val="none" w:sz="0" w:space="0" w:color="auto"/>
      </w:divBdr>
    </w:div>
    <w:div w:id="1412236079">
      <w:bodyDiv w:val="1"/>
      <w:marLeft w:val="0"/>
      <w:marRight w:val="0"/>
      <w:marTop w:val="0"/>
      <w:marBottom w:val="0"/>
      <w:divBdr>
        <w:top w:val="none" w:sz="0" w:space="0" w:color="auto"/>
        <w:left w:val="none" w:sz="0" w:space="0" w:color="auto"/>
        <w:bottom w:val="none" w:sz="0" w:space="0" w:color="auto"/>
        <w:right w:val="none" w:sz="0" w:space="0" w:color="auto"/>
      </w:divBdr>
    </w:div>
    <w:div w:id="1427338424">
      <w:bodyDiv w:val="1"/>
      <w:marLeft w:val="0"/>
      <w:marRight w:val="0"/>
      <w:marTop w:val="0"/>
      <w:marBottom w:val="0"/>
      <w:divBdr>
        <w:top w:val="none" w:sz="0" w:space="0" w:color="auto"/>
        <w:left w:val="none" w:sz="0" w:space="0" w:color="auto"/>
        <w:bottom w:val="none" w:sz="0" w:space="0" w:color="auto"/>
        <w:right w:val="none" w:sz="0" w:space="0" w:color="auto"/>
      </w:divBdr>
    </w:div>
    <w:div w:id="1459911897">
      <w:bodyDiv w:val="1"/>
      <w:marLeft w:val="0"/>
      <w:marRight w:val="0"/>
      <w:marTop w:val="0"/>
      <w:marBottom w:val="0"/>
      <w:divBdr>
        <w:top w:val="none" w:sz="0" w:space="0" w:color="auto"/>
        <w:left w:val="none" w:sz="0" w:space="0" w:color="auto"/>
        <w:bottom w:val="none" w:sz="0" w:space="0" w:color="auto"/>
        <w:right w:val="none" w:sz="0" w:space="0" w:color="auto"/>
      </w:divBdr>
    </w:div>
    <w:div w:id="1468354563">
      <w:bodyDiv w:val="1"/>
      <w:marLeft w:val="0"/>
      <w:marRight w:val="0"/>
      <w:marTop w:val="0"/>
      <w:marBottom w:val="0"/>
      <w:divBdr>
        <w:top w:val="none" w:sz="0" w:space="0" w:color="auto"/>
        <w:left w:val="none" w:sz="0" w:space="0" w:color="auto"/>
        <w:bottom w:val="none" w:sz="0" w:space="0" w:color="auto"/>
        <w:right w:val="none" w:sz="0" w:space="0" w:color="auto"/>
      </w:divBdr>
    </w:div>
    <w:div w:id="1486165715">
      <w:bodyDiv w:val="1"/>
      <w:marLeft w:val="0"/>
      <w:marRight w:val="0"/>
      <w:marTop w:val="0"/>
      <w:marBottom w:val="0"/>
      <w:divBdr>
        <w:top w:val="none" w:sz="0" w:space="0" w:color="auto"/>
        <w:left w:val="none" w:sz="0" w:space="0" w:color="auto"/>
        <w:bottom w:val="none" w:sz="0" w:space="0" w:color="auto"/>
        <w:right w:val="none" w:sz="0" w:space="0" w:color="auto"/>
      </w:divBdr>
    </w:div>
    <w:div w:id="1490365584">
      <w:bodyDiv w:val="1"/>
      <w:marLeft w:val="0"/>
      <w:marRight w:val="0"/>
      <w:marTop w:val="0"/>
      <w:marBottom w:val="0"/>
      <w:divBdr>
        <w:top w:val="none" w:sz="0" w:space="0" w:color="auto"/>
        <w:left w:val="none" w:sz="0" w:space="0" w:color="auto"/>
        <w:bottom w:val="none" w:sz="0" w:space="0" w:color="auto"/>
        <w:right w:val="none" w:sz="0" w:space="0" w:color="auto"/>
      </w:divBdr>
    </w:div>
    <w:div w:id="1511797915">
      <w:bodyDiv w:val="1"/>
      <w:marLeft w:val="0"/>
      <w:marRight w:val="0"/>
      <w:marTop w:val="0"/>
      <w:marBottom w:val="0"/>
      <w:divBdr>
        <w:top w:val="none" w:sz="0" w:space="0" w:color="auto"/>
        <w:left w:val="none" w:sz="0" w:space="0" w:color="auto"/>
        <w:bottom w:val="none" w:sz="0" w:space="0" w:color="auto"/>
        <w:right w:val="none" w:sz="0" w:space="0" w:color="auto"/>
      </w:divBdr>
    </w:div>
    <w:div w:id="1567374478">
      <w:bodyDiv w:val="1"/>
      <w:marLeft w:val="0"/>
      <w:marRight w:val="0"/>
      <w:marTop w:val="0"/>
      <w:marBottom w:val="0"/>
      <w:divBdr>
        <w:top w:val="none" w:sz="0" w:space="0" w:color="auto"/>
        <w:left w:val="none" w:sz="0" w:space="0" w:color="auto"/>
        <w:bottom w:val="none" w:sz="0" w:space="0" w:color="auto"/>
        <w:right w:val="none" w:sz="0" w:space="0" w:color="auto"/>
      </w:divBdr>
    </w:div>
    <w:div w:id="1568954473">
      <w:bodyDiv w:val="1"/>
      <w:marLeft w:val="0"/>
      <w:marRight w:val="0"/>
      <w:marTop w:val="0"/>
      <w:marBottom w:val="0"/>
      <w:divBdr>
        <w:top w:val="none" w:sz="0" w:space="0" w:color="auto"/>
        <w:left w:val="none" w:sz="0" w:space="0" w:color="auto"/>
        <w:bottom w:val="none" w:sz="0" w:space="0" w:color="auto"/>
        <w:right w:val="none" w:sz="0" w:space="0" w:color="auto"/>
      </w:divBdr>
    </w:div>
    <w:div w:id="1610548239">
      <w:bodyDiv w:val="1"/>
      <w:marLeft w:val="0"/>
      <w:marRight w:val="0"/>
      <w:marTop w:val="0"/>
      <w:marBottom w:val="0"/>
      <w:divBdr>
        <w:top w:val="none" w:sz="0" w:space="0" w:color="auto"/>
        <w:left w:val="none" w:sz="0" w:space="0" w:color="auto"/>
        <w:bottom w:val="none" w:sz="0" w:space="0" w:color="auto"/>
        <w:right w:val="none" w:sz="0" w:space="0" w:color="auto"/>
      </w:divBdr>
    </w:div>
    <w:div w:id="1612513851">
      <w:bodyDiv w:val="1"/>
      <w:marLeft w:val="0"/>
      <w:marRight w:val="0"/>
      <w:marTop w:val="0"/>
      <w:marBottom w:val="0"/>
      <w:divBdr>
        <w:top w:val="none" w:sz="0" w:space="0" w:color="auto"/>
        <w:left w:val="none" w:sz="0" w:space="0" w:color="auto"/>
        <w:bottom w:val="none" w:sz="0" w:space="0" w:color="auto"/>
        <w:right w:val="none" w:sz="0" w:space="0" w:color="auto"/>
      </w:divBdr>
    </w:div>
    <w:div w:id="1620991223">
      <w:bodyDiv w:val="1"/>
      <w:marLeft w:val="0"/>
      <w:marRight w:val="0"/>
      <w:marTop w:val="0"/>
      <w:marBottom w:val="0"/>
      <w:divBdr>
        <w:top w:val="none" w:sz="0" w:space="0" w:color="auto"/>
        <w:left w:val="none" w:sz="0" w:space="0" w:color="auto"/>
        <w:bottom w:val="none" w:sz="0" w:space="0" w:color="auto"/>
        <w:right w:val="none" w:sz="0" w:space="0" w:color="auto"/>
      </w:divBdr>
    </w:div>
    <w:div w:id="1621720658">
      <w:bodyDiv w:val="1"/>
      <w:marLeft w:val="0"/>
      <w:marRight w:val="0"/>
      <w:marTop w:val="0"/>
      <w:marBottom w:val="0"/>
      <w:divBdr>
        <w:top w:val="none" w:sz="0" w:space="0" w:color="auto"/>
        <w:left w:val="none" w:sz="0" w:space="0" w:color="auto"/>
        <w:bottom w:val="none" w:sz="0" w:space="0" w:color="auto"/>
        <w:right w:val="none" w:sz="0" w:space="0" w:color="auto"/>
      </w:divBdr>
    </w:div>
    <w:div w:id="1626741477">
      <w:bodyDiv w:val="1"/>
      <w:marLeft w:val="0"/>
      <w:marRight w:val="0"/>
      <w:marTop w:val="0"/>
      <w:marBottom w:val="0"/>
      <w:divBdr>
        <w:top w:val="none" w:sz="0" w:space="0" w:color="auto"/>
        <w:left w:val="none" w:sz="0" w:space="0" w:color="auto"/>
        <w:bottom w:val="none" w:sz="0" w:space="0" w:color="auto"/>
        <w:right w:val="none" w:sz="0" w:space="0" w:color="auto"/>
      </w:divBdr>
    </w:div>
    <w:div w:id="1627540110">
      <w:bodyDiv w:val="1"/>
      <w:marLeft w:val="0"/>
      <w:marRight w:val="0"/>
      <w:marTop w:val="0"/>
      <w:marBottom w:val="0"/>
      <w:divBdr>
        <w:top w:val="none" w:sz="0" w:space="0" w:color="auto"/>
        <w:left w:val="none" w:sz="0" w:space="0" w:color="auto"/>
        <w:bottom w:val="none" w:sz="0" w:space="0" w:color="auto"/>
        <w:right w:val="none" w:sz="0" w:space="0" w:color="auto"/>
      </w:divBdr>
    </w:div>
    <w:div w:id="1637173943">
      <w:bodyDiv w:val="1"/>
      <w:marLeft w:val="0"/>
      <w:marRight w:val="0"/>
      <w:marTop w:val="0"/>
      <w:marBottom w:val="0"/>
      <w:divBdr>
        <w:top w:val="none" w:sz="0" w:space="0" w:color="auto"/>
        <w:left w:val="none" w:sz="0" w:space="0" w:color="auto"/>
        <w:bottom w:val="none" w:sz="0" w:space="0" w:color="auto"/>
        <w:right w:val="none" w:sz="0" w:space="0" w:color="auto"/>
      </w:divBdr>
    </w:div>
    <w:div w:id="1638950807">
      <w:bodyDiv w:val="1"/>
      <w:marLeft w:val="0"/>
      <w:marRight w:val="0"/>
      <w:marTop w:val="0"/>
      <w:marBottom w:val="0"/>
      <w:divBdr>
        <w:top w:val="none" w:sz="0" w:space="0" w:color="auto"/>
        <w:left w:val="none" w:sz="0" w:space="0" w:color="auto"/>
        <w:bottom w:val="none" w:sz="0" w:space="0" w:color="auto"/>
        <w:right w:val="none" w:sz="0" w:space="0" w:color="auto"/>
      </w:divBdr>
    </w:div>
    <w:div w:id="1658458269">
      <w:bodyDiv w:val="1"/>
      <w:marLeft w:val="0"/>
      <w:marRight w:val="0"/>
      <w:marTop w:val="0"/>
      <w:marBottom w:val="0"/>
      <w:divBdr>
        <w:top w:val="none" w:sz="0" w:space="0" w:color="auto"/>
        <w:left w:val="none" w:sz="0" w:space="0" w:color="auto"/>
        <w:bottom w:val="none" w:sz="0" w:space="0" w:color="auto"/>
        <w:right w:val="none" w:sz="0" w:space="0" w:color="auto"/>
      </w:divBdr>
    </w:div>
    <w:div w:id="1665085053">
      <w:bodyDiv w:val="1"/>
      <w:marLeft w:val="0"/>
      <w:marRight w:val="0"/>
      <w:marTop w:val="0"/>
      <w:marBottom w:val="0"/>
      <w:divBdr>
        <w:top w:val="none" w:sz="0" w:space="0" w:color="auto"/>
        <w:left w:val="none" w:sz="0" w:space="0" w:color="auto"/>
        <w:bottom w:val="none" w:sz="0" w:space="0" w:color="auto"/>
        <w:right w:val="none" w:sz="0" w:space="0" w:color="auto"/>
      </w:divBdr>
    </w:div>
    <w:div w:id="1686904358">
      <w:bodyDiv w:val="1"/>
      <w:marLeft w:val="0"/>
      <w:marRight w:val="0"/>
      <w:marTop w:val="0"/>
      <w:marBottom w:val="0"/>
      <w:divBdr>
        <w:top w:val="none" w:sz="0" w:space="0" w:color="auto"/>
        <w:left w:val="none" w:sz="0" w:space="0" w:color="auto"/>
        <w:bottom w:val="none" w:sz="0" w:space="0" w:color="auto"/>
        <w:right w:val="none" w:sz="0" w:space="0" w:color="auto"/>
      </w:divBdr>
    </w:div>
    <w:div w:id="1699160813">
      <w:bodyDiv w:val="1"/>
      <w:marLeft w:val="0"/>
      <w:marRight w:val="0"/>
      <w:marTop w:val="0"/>
      <w:marBottom w:val="0"/>
      <w:divBdr>
        <w:top w:val="none" w:sz="0" w:space="0" w:color="auto"/>
        <w:left w:val="none" w:sz="0" w:space="0" w:color="auto"/>
        <w:bottom w:val="none" w:sz="0" w:space="0" w:color="auto"/>
        <w:right w:val="none" w:sz="0" w:space="0" w:color="auto"/>
      </w:divBdr>
    </w:div>
    <w:div w:id="1708720225">
      <w:bodyDiv w:val="1"/>
      <w:marLeft w:val="0"/>
      <w:marRight w:val="0"/>
      <w:marTop w:val="0"/>
      <w:marBottom w:val="0"/>
      <w:divBdr>
        <w:top w:val="none" w:sz="0" w:space="0" w:color="auto"/>
        <w:left w:val="none" w:sz="0" w:space="0" w:color="auto"/>
        <w:bottom w:val="none" w:sz="0" w:space="0" w:color="auto"/>
        <w:right w:val="none" w:sz="0" w:space="0" w:color="auto"/>
      </w:divBdr>
    </w:div>
    <w:div w:id="1739329096">
      <w:bodyDiv w:val="1"/>
      <w:marLeft w:val="0"/>
      <w:marRight w:val="0"/>
      <w:marTop w:val="0"/>
      <w:marBottom w:val="0"/>
      <w:divBdr>
        <w:top w:val="none" w:sz="0" w:space="0" w:color="auto"/>
        <w:left w:val="none" w:sz="0" w:space="0" w:color="auto"/>
        <w:bottom w:val="none" w:sz="0" w:space="0" w:color="auto"/>
        <w:right w:val="none" w:sz="0" w:space="0" w:color="auto"/>
      </w:divBdr>
    </w:div>
    <w:div w:id="1745954298">
      <w:bodyDiv w:val="1"/>
      <w:marLeft w:val="0"/>
      <w:marRight w:val="0"/>
      <w:marTop w:val="0"/>
      <w:marBottom w:val="0"/>
      <w:divBdr>
        <w:top w:val="none" w:sz="0" w:space="0" w:color="auto"/>
        <w:left w:val="none" w:sz="0" w:space="0" w:color="auto"/>
        <w:bottom w:val="none" w:sz="0" w:space="0" w:color="auto"/>
        <w:right w:val="none" w:sz="0" w:space="0" w:color="auto"/>
      </w:divBdr>
    </w:div>
    <w:div w:id="1747871567">
      <w:bodyDiv w:val="1"/>
      <w:marLeft w:val="0"/>
      <w:marRight w:val="0"/>
      <w:marTop w:val="0"/>
      <w:marBottom w:val="0"/>
      <w:divBdr>
        <w:top w:val="none" w:sz="0" w:space="0" w:color="auto"/>
        <w:left w:val="none" w:sz="0" w:space="0" w:color="auto"/>
        <w:bottom w:val="none" w:sz="0" w:space="0" w:color="auto"/>
        <w:right w:val="none" w:sz="0" w:space="0" w:color="auto"/>
      </w:divBdr>
    </w:div>
    <w:div w:id="1763331796">
      <w:bodyDiv w:val="1"/>
      <w:marLeft w:val="0"/>
      <w:marRight w:val="0"/>
      <w:marTop w:val="0"/>
      <w:marBottom w:val="0"/>
      <w:divBdr>
        <w:top w:val="none" w:sz="0" w:space="0" w:color="auto"/>
        <w:left w:val="none" w:sz="0" w:space="0" w:color="auto"/>
        <w:bottom w:val="none" w:sz="0" w:space="0" w:color="auto"/>
        <w:right w:val="none" w:sz="0" w:space="0" w:color="auto"/>
      </w:divBdr>
    </w:div>
    <w:div w:id="1764036688">
      <w:bodyDiv w:val="1"/>
      <w:marLeft w:val="0"/>
      <w:marRight w:val="0"/>
      <w:marTop w:val="0"/>
      <w:marBottom w:val="0"/>
      <w:divBdr>
        <w:top w:val="none" w:sz="0" w:space="0" w:color="auto"/>
        <w:left w:val="none" w:sz="0" w:space="0" w:color="auto"/>
        <w:bottom w:val="none" w:sz="0" w:space="0" w:color="auto"/>
        <w:right w:val="none" w:sz="0" w:space="0" w:color="auto"/>
      </w:divBdr>
    </w:div>
    <w:div w:id="1791774822">
      <w:bodyDiv w:val="1"/>
      <w:marLeft w:val="0"/>
      <w:marRight w:val="0"/>
      <w:marTop w:val="0"/>
      <w:marBottom w:val="0"/>
      <w:divBdr>
        <w:top w:val="none" w:sz="0" w:space="0" w:color="auto"/>
        <w:left w:val="none" w:sz="0" w:space="0" w:color="auto"/>
        <w:bottom w:val="none" w:sz="0" w:space="0" w:color="auto"/>
        <w:right w:val="none" w:sz="0" w:space="0" w:color="auto"/>
      </w:divBdr>
    </w:div>
    <w:div w:id="1795444192">
      <w:bodyDiv w:val="1"/>
      <w:marLeft w:val="0"/>
      <w:marRight w:val="0"/>
      <w:marTop w:val="0"/>
      <w:marBottom w:val="0"/>
      <w:divBdr>
        <w:top w:val="none" w:sz="0" w:space="0" w:color="auto"/>
        <w:left w:val="none" w:sz="0" w:space="0" w:color="auto"/>
        <w:bottom w:val="none" w:sz="0" w:space="0" w:color="auto"/>
        <w:right w:val="none" w:sz="0" w:space="0" w:color="auto"/>
      </w:divBdr>
    </w:div>
    <w:div w:id="1815217923">
      <w:bodyDiv w:val="1"/>
      <w:marLeft w:val="0"/>
      <w:marRight w:val="0"/>
      <w:marTop w:val="0"/>
      <w:marBottom w:val="0"/>
      <w:divBdr>
        <w:top w:val="none" w:sz="0" w:space="0" w:color="auto"/>
        <w:left w:val="none" w:sz="0" w:space="0" w:color="auto"/>
        <w:bottom w:val="none" w:sz="0" w:space="0" w:color="auto"/>
        <w:right w:val="none" w:sz="0" w:space="0" w:color="auto"/>
      </w:divBdr>
    </w:div>
    <w:div w:id="1821001074">
      <w:bodyDiv w:val="1"/>
      <w:marLeft w:val="0"/>
      <w:marRight w:val="0"/>
      <w:marTop w:val="0"/>
      <w:marBottom w:val="0"/>
      <w:divBdr>
        <w:top w:val="none" w:sz="0" w:space="0" w:color="auto"/>
        <w:left w:val="none" w:sz="0" w:space="0" w:color="auto"/>
        <w:bottom w:val="none" w:sz="0" w:space="0" w:color="auto"/>
        <w:right w:val="none" w:sz="0" w:space="0" w:color="auto"/>
      </w:divBdr>
    </w:div>
    <w:div w:id="1850564797">
      <w:bodyDiv w:val="1"/>
      <w:marLeft w:val="0"/>
      <w:marRight w:val="0"/>
      <w:marTop w:val="0"/>
      <w:marBottom w:val="0"/>
      <w:divBdr>
        <w:top w:val="none" w:sz="0" w:space="0" w:color="auto"/>
        <w:left w:val="none" w:sz="0" w:space="0" w:color="auto"/>
        <w:bottom w:val="none" w:sz="0" w:space="0" w:color="auto"/>
        <w:right w:val="none" w:sz="0" w:space="0" w:color="auto"/>
      </w:divBdr>
    </w:div>
    <w:div w:id="1865900486">
      <w:bodyDiv w:val="1"/>
      <w:marLeft w:val="0"/>
      <w:marRight w:val="0"/>
      <w:marTop w:val="0"/>
      <w:marBottom w:val="0"/>
      <w:divBdr>
        <w:top w:val="none" w:sz="0" w:space="0" w:color="auto"/>
        <w:left w:val="none" w:sz="0" w:space="0" w:color="auto"/>
        <w:bottom w:val="none" w:sz="0" w:space="0" w:color="auto"/>
        <w:right w:val="none" w:sz="0" w:space="0" w:color="auto"/>
      </w:divBdr>
    </w:div>
    <w:div w:id="1869874792">
      <w:bodyDiv w:val="1"/>
      <w:marLeft w:val="0"/>
      <w:marRight w:val="0"/>
      <w:marTop w:val="0"/>
      <w:marBottom w:val="0"/>
      <w:divBdr>
        <w:top w:val="none" w:sz="0" w:space="0" w:color="auto"/>
        <w:left w:val="none" w:sz="0" w:space="0" w:color="auto"/>
        <w:bottom w:val="none" w:sz="0" w:space="0" w:color="auto"/>
        <w:right w:val="none" w:sz="0" w:space="0" w:color="auto"/>
      </w:divBdr>
    </w:div>
    <w:div w:id="1873762554">
      <w:bodyDiv w:val="1"/>
      <w:marLeft w:val="0"/>
      <w:marRight w:val="0"/>
      <w:marTop w:val="0"/>
      <w:marBottom w:val="0"/>
      <w:divBdr>
        <w:top w:val="none" w:sz="0" w:space="0" w:color="auto"/>
        <w:left w:val="none" w:sz="0" w:space="0" w:color="auto"/>
        <w:bottom w:val="none" w:sz="0" w:space="0" w:color="auto"/>
        <w:right w:val="none" w:sz="0" w:space="0" w:color="auto"/>
      </w:divBdr>
    </w:div>
    <w:div w:id="1874534002">
      <w:bodyDiv w:val="1"/>
      <w:marLeft w:val="0"/>
      <w:marRight w:val="0"/>
      <w:marTop w:val="0"/>
      <w:marBottom w:val="0"/>
      <w:divBdr>
        <w:top w:val="none" w:sz="0" w:space="0" w:color="auto"/>
        <w:left w:val="none" w:sz="0" w:space="0" w:color="auto"/>
        <w:bottom w:val="none" w:sz="0" w:space="0" w:color="auto"/>
        <w:right w:val="none" w:sz="0" w:space="0" w:color="auto"/>
      </w:divBdr>
    </w:div>
    <w:div w:id="1900284730">
      <w:bodyDiv w:val="1"/>
      <w:marLeft w:val="0"/>
      <w:marRight w:val="0"/>
      <w:marTop w:val="0"/>
      <w:marBottom w:val="0"/>
      <w:divBdr>
        <w:top w:val="none" w:sz="0" w:space="0" w:color="auto"/>
        <w:left w:val="none" w:sz="0" w:space="0" w:color="auto"/>
        <w:bottom w:val="none" w:sz="0" w:space="0" w:color="auto"/>
        <w:right w:val="none" w:sz="0" w:space="0" w:color="auto"/>
      </w:divBdr>
    </w:div>
    <w:div w:id="1906380596">
      <w:bodyDiv w:val="1"/>
      <w:marLeft w:val="0"/>
      <w:marRight w:val="0"/>
      <w:marTop w:val="0"/>
      <w:marBottom w:val="0"/>
      <w:divBdr>
        <w:top w:val="none" w:sz="0" w:space="0" w:color="auto"/>
        <w:left w:val="none" w:sz="0" w:space="0" w:color="auto"/>
        <w:bottom w:val="none" w:sz="0" w:space="0" w:color="auto"/>
        <w:right w:val="none" w:sz="0" w:space="0" w:color="auto"/>
      </w:divBdr>
    </w:div>
    <w:div w:id="1908569641">
      <w:bodyDiv w:val="1"/>
      <w:marLeft w:val="0"/>
      <w:marRight w:val="0"/>
      <w:marTop w:val="0"/>
      <w:marBottom w:val="0"/>
      <w:divBdr>
        <w:top w:val="none" w:sz="0" w:space="0" w:color="auto"/>
        <w:left w:val="none" w:sz="0" w:space="0" w:color="auto"/>
        <w:bottom w:val="none" w:sz="0" w:space="0" w:color="auto"/>
        <w:right w:val="none" w:sz="0" w:space="0" w:color="auto"/>
      </w:divBdr>
    </w:div>
    <w:div w:id="1918975830">
      <w:bodyDiv w:val="1"/>
      <w:marLeft w:val="0"/>
      <w:marRight w:val="0"/>
      <w:marTop w:val="0"/>
      <w:marBottom w:val="0"/>
      <w:divBdr>
        <w:top w:val="none" w:sz="0" w:space="0" w:color="auto"/>
        <w:left w:val="none" w:sz="0" w:space="0" w:color="auto"/>
        <w:bottom w:val="none" w:sz="0" w:space="0" w:color="auto"/>
        <w:right w:val="none" w:sz="0" w:space="0" w:color="auto"/>
      </w:divBdr>
    </w:div>
    <w:div w:id="1927617361">
      <w:bodyDiv w:val="1"/>
      <w:marLeft w:val="0"/>
      <w:marRight w:val="0"/>
      <w:marTop w:val="0"/>
      <w:marBottom w:val="0"/>
      <w:divBdr>
        <w:top w:val="none" w:sz="0" w:space="0" w:color="auto"/>
        <w:left w:val="none" w:sz="0" w:space="0" w:color="auto"/>
        <w:bottom w:val="none" w:sz="0" w:space="0" w:color="auto"/>
        <w:right w:val="none" w:sz="0" w:space="0" w:color="auto"/>
      </w:divBdr>
    </w:div>
    <w:div w:id="1932159172">
      <w:bodyDiv w:val="1"/>
      <w:marLeft w:val="0"/>
      <w:marRight w:val="0"/>
      <w:marTop w:val="0"/>
      <w:marBottom w:val="0"/>
      <w:divBdr>
        <w:top w:val="none" w:sz="0" w:space="0" w:color="auto"/>
        <w:left w:val="none" w:sz="0" w:space="0" w:color="auto"/>
        <w:bottom w:val="none" w:sz="0" w:space="0" w:color="auto"/>
        <w:right w:val="none" w:sz="0" w:space="0" w:color="auto"/>
      </w:divBdr>
    </w:div>
    <w:div w:id="1946035877">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57366585">
      <w:bodyDiv w:val="1"/>
      <w:marLeft w:val="0"/>
      <w:marRight w:val="0"/>
      <w:marTop w:val="0"/>
      <w:marBottom w:val="0"/>
      <w:divBdr>
        <w:top w:val="none" w:sz="0" w:space="0" w:color="auto"/>
        <w:left w:val="none" w:sz="0" w:space="0" w:color="auto"/>
        <w:bottom w:val="none" w:sz="0" w:space="0" w:color="auto"/>
        <w:right w:val="none" w:sz="0" w:space="0" w:color="auto"/>
      </w:divBdr>
    </w:div>
    <w:div w:id="1958294986">
      <w:bodyDiv w:val="1"/>
      <w:marLeft w:val="0"/>
      <w:marRight w:val="0"/>
      <w:marTop w:val="0"/>
      <w:marBottom w:val="0"/>
      <w:divBdr>
        <w:top w:val="none" w:sz="0" w:space="0" w:color="auto"/>
        <w:left w:val="none" w:sz="0" w:space="0" w:color="auto"/>
        <w:bottom w:val="none" w:sz="0" w:space="0" w:color="auto"/>
        <w:right w:val="none" w:sz="0" w:space="0" w:color="auto"/>
      </w:divBdr>
    </w:div>
    <w:div w:id="1959338322">
      <w:bodyDiv w:val="1"/>
      <w:marLeft w:val="0"/>
      <w:marRight w:val="0"/>
      <w:marTop w:val="0"/>
      <w:marBottom w:val="0"/>
      <w:divBdr>
        <w:top w:val="none" w:sz="0" w:space="0" w:color="auto"/>
        <w:left w:val="none" w:sz="0" w:space="0" w:color="auto"/>
        <w:bottom w:val="none" w:sz="0" w:space="0" w:color="auto"/>
        <w:right w:val="none" w:sz="0" w:space="0" w:color="auto"/>
      </w:divBdr>
    </w:div>
    <w:div w:id="1964195104">
      <w:bodyDiv w:val="1"/>
      <w:marLeft w:val="0"/>
      <w:marRight w:val="0"/>
      <w:marTop w:val="0"/>
      <w:marBottom w:val="0"/>
      <w:divBdr>
        <w:top w:val="none" w:sz="0" w:space="0" w:color="auto"/>
        <w:left w:val="none" w:sz="0" w:space="0" w:color="auto"/>
        <w:bottom w:val="none" w:sz="0" w:space="0" w:color="auto"/>
        <w:right w:val="none" w:sz="0" w:space="0" w:color="auto"/>
      </w:divBdr>
    </w:div>
    <w:div w:id="1970233993">
      <w:bodyDiv w:val="1"/>
      <w:marLeft w:val="0"/>
      <w:marRight w:val="0"/>
      <w:marTop w:val="0"/>
      <w:marBottom w:val="0"/>
      <w:divBdr>
        <w:top w:val="none" w:sz="0" w:space="0" w:color="auto"/>
        <w:left w:val="none" w:sz="0" w:space="0" w:color="auto"/>
        <w:bottom w:val="none" w:sz="0" w:space="0" w:color="auto"/>
        <w:right w:val="none" w:sz="0" w:space="0" w:color="auto"/>
      </w:divBdr>
    </w:div>
    <w:div w:id="1987006165">
      <w:bodyDiv w:val="1"/>
      <w:marLeft w:val="0"/>
      <w:marRight w:val="0"/>
      <w:marTop w:val="0"/>
      <w:marBottom w:val="0"/>
      <w:divBdr>
        <w:top w:val="none" w:sz="0" w:space="0" w:color="auto"/>
        <w:left w:val="none" w:sz="0" w:space="0" w:color="auto"/>
        <w:bottom w:val="none" w:sz="0" w:space="0" w:color="auto"/>
        <w:right w:val="none" w:sz="0" w:space="0" w:color="auto"/>
      </w:divBdr>
    </w:div>
    <w:div w:id="1997568415">
      <w:bodyDiv w:val="1"/>
      <w:marLeft w:val="0"/>
      <w:marRight w:val="0"/>
      <w:marTop w:val="0"/>
      <w:marBottom w:val="0"/>
      <w:divBdr>
        <w:top w:val="none" w:sz="0" w:space="0" w:color="auto"/>
        <w:left w:val="none" w:sz="0" w:space="0" w:color="auto"/>
        <w:bottom w:val="none" w:sz="0" w:space="0" w:color="auto"/>
        <w:right w:val="none" w:sz="0" w:space="0" w:color="auto"/>
      </w:divBdr>
    </w:div>
    <w:div w:id="2012680789">
      <w:bodyDiv w:val="1"/>
      <w:marLeft w:val="0"/>
      <w:marRight w:val="0"/>
      <w:marTop w:val="0"/>
      <w:marBottom w:val="0"/>
      <w:divBdr>
        <w:top w:val="none" w:sz="0" w:space="0" w:color="auto"/>
        <w:left w:val="none" w:sz="0" w:space="0" w:color="auto"/>
        <w:bottom w:val="none" w:sz="0" w:space="0" w:color="auto"/>
        <w:right w:val="none" w:sz="0" w:space="0" w:color="auto"/>
      </w:divBdr>
    </w:div>
    <w:div w:id="2016809218">
      <w:bodyDiv w:val="1"/>
      <w:marLeft w:val="0"/>
      <w:marRight w:val="0"/>
      <w:marTop w:val="0"/>
      <w:marBottom w:val="0"/>
      <w:divBdr>
        <w:top w:val="none" w:sz="0" w:space="0" w:color="auto"/>
        <w:left w:val="none" w:sz="0" w:space="0" w:color="auto"/>
        <w:bottom w:val="none" w:sz="0" w:space="0" w:color="auto"/>
        <w:right w:val="none" w:sz="0" w:space="0" w:color="auto"/>
      </w:divBdr>
    </w:div>
    <w:div w:id="2037928107">
      <w:bodyDiv w:val="1"/>
      <w:marLeft w:val="0"/>
      <w:marRight w:val="0"/>
      <w:marTop w:val="0"/>
      <w:marBottom w:val="0"/>
      <w:divBdr>
        <w:top w:val="none" w:sz="0" w:space="0" w:color="auto"/>
        <w:left w:val="none" w:sz="0" w:space="0" w:color="auto"/>
        <w:bottom w:val="none" w:sz="0" w:space="0" w:color="auto"/>
        <w:right w:val="none" w:sz="0" w:space="0" w:color="auto"/>
      </w:divBdr>
    </w:div>
    <w:div w:id="2039888838">
      <w:bodyDiv w:val="1"/>
      <w:marLeft w:val="0"/>
      <w:marRight w:val="0"/>
      <w:marTop w:val="0"/>
      <w:marBottom w:val="0"/>
      <w:divBdr>
        <w:top w:val="none" w:sz="0" w:space="0" w:color="auto"/>
        <w:left w:val="none" w:sz="0" w:space="0" w:color="auto"/>
        <w:bottom w:val="none" w:sz="0" w:space="0" w:color="auto"/>
        <w:right w:val="none" w:sz="0" w:space="0" w:color="auto"/>
      </w:divBdr>
    </w:div>
    <w:div w:id="206229005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20906698">
      <w:bodyDiv w:val="1"/>
      <w:marLeft w:val="0"/>
      <w:marRight w:val="0"/>
      <w:marTop w:val="0"/>
      <w:marBottom w:val="0"/>
      <w:divBdr>
        <w:top w:val="none" w:sz="0" w:space="0" w:color="auto"/>
        <w:left w:val="none" w:sz="0" w:space="0" w:color="auto"/>
        <w:bottom w:val="none" w:sz="0" w:space="0" w:color="auto"/>
        <w:right w:val="none" w:sz="0" w:space="0" w:color="auto"/>
      </w:divBdr>
    </w:div>
    <w:div w:id="21231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cbi.nlm.nih.gov/pubmed/?term=Golan%20T%5BAuthor%5D&amp;cauthor=true&amp;cauthor_uid=31157963" TargetMode="External"/><Relationship Id="rId26" Type="http://schemas.openxmlformats.org/officeDocument/2006/relationships/hyperlink" Target="https://www.gastrojournal.org/article/S0016-5085(19)32505-3/fulltext?referrer=https%3A%2F%2Fwww.ncbi.nlm.nih.gov%2F" TargetMode="External"/><Relationship Id="rId39" Type="http://schemas.openxmlformats.org/officeDocument/2006/relationships/hyperlink" Target="https://www.ncbi.nlm.nih.gov/pubmed/?term=Varghese%20AM%5BAuthor%5D&amp;cauthor=true&amp;cauthor_uid=30927677" TargetMode="External"/><Relationship Id="rId21" Type="http://schemas.openxmlformats.org/officeDocument/2006/relationships/hyperlink" Target="https://www.ncbi.nlm.nih.gov/pubmed/?term=Van%20Cutsem%20E%5BAuthor%5D&amp;cauthor=true&amp;cauthor_uid=31157963" TargetMode="External"/><Relationship Id="rId34" Type="http://schemas.openxmlformats.org/officeDocument/2006/relationships/hyperlink" Target="https://www.ncbi.nlm.nih.gov/pubmed/?term=Serra%20V%5BAuthor%5D&amp;cauthor=true&amp;cauthor_uid=31218365" TargetMode="External"/><Relationship Id="rId42" Type="http://schemas.openxmlformats.org/officeDocument/2006/relationships/hyperlink" Target="https://www.ncbi.nlm.nih.gov/pubmed/?term=O%27Reilly%20EM%5BAuthor%5D&amp;cauthor=true&amp;cauthor_uid=30927677" TargetMode="External"/><Relationship Id="rId47" Type="http://schemas.openxmlformats.org/officeDocument/2006/relationships/hyperlink" Target="https://ascopubs.org/author/Dyson%2C+Gregory" TargetMode="External"/><Relationship Id="rId50" Type="http://schemas.openxmlformats.org/officeDocument/2006/relationships/hyperlink" Target="https://jnccn.org/view/journals/jnccn/15/8/article-p1063.xml" TargetMode="External"/><Relationship Id="rId55" Type="http://schemas.openxmlformats.org/officeDocument/2006/relationships/hyperlink" Target="https://ascopubs.org/author/Reid%2C+Julia+E" TargetMode="External"/><Relationship Id="rId63" Type="http://schemas.openxmlformats.org/officeDocument/2006/relationships/hyperlink" Target="http://www.genesdev.org/cgi/pmidlookup?view=long&amp;pmid=24395243" TargetMode="External"/><Relationship Id="rId68" Type="http://schemas.openxmlformats.org/officeDocument/2006/relationships/hyperlink" Target="https://www.ncbi.nlm.nih.gov/pubmed/?term=Bang%20S%5BAuthor%5D&amp;cauthor=true&amp;cauthor_uid=18437078"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ncbi.nlm.nih.gov/pubmed/?term=Song%20SY%5BAuthor%5D&amp;cauthor=true&amp;cauthor_uid=18437078"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ncbi.nlm.nih.gov/pubmed/?term=Chung%20J%5BAuthor%5D&amp;cauthor=true&amp;cauthor_uid=30836094" TargetMode="External"/><Relationship Id="rId11" Type="http://schemas.openxmlformats.org/officeDocument/2006/relationships/header" Target="header1.xml"/><Relationship Id="rId24" Type="http://schemas.openxmlformats.org/officeDocument/2006/relationships/hyperlink" Target="https://www.cochranelibrary.com/central/doi/10.1002/central/CN-01765753/full" TargetMode="External"/><Relationship Id="rId32" Type="http://schemas.openxmlformats.org/officeDocument/2006/relationships/hyperlink" Target="https://www.ncbi.nlm.nih.gov/pubmed/?term=Mateo%20J%5BAuthor%5D&amp;cauthor=true&amp;cauthor_uid=31218365" TargetMode="External"/><Relationship Id="rId37" Type="http://schemas.openxmlformats.org/officeDocument/2006/relationships/hyperlink" Target="https://www.ncbi.nlm.nih.gov/pubmed/?term=Singh%20RR%5BAuthor%5D&amp;cauthor=true&amp;cauthor_uid=30927677" TargetMode="External"/><Relationship Id="rId40" Type="http://schemas.openxmlformats.org/officeDocument/2006/relationships/hyperlink" Target="https://www.ncbi.nlm.nih.gov/pubmed/?term=Yu%20KH%5BAuthor%5D&amp;cauthor=true&amp;cauthor_uid=30927677" TargetMode="External"/><Relationship Id="rId45" Type="http://schemas.openxmlformats.org/officeDocument/2006/relationships/hyperlink" Target="https://ascopubs.org/doi/abs/10.1200/JCO.2018.36.15_suppl.e16236" TargetMode="External"/><Relationship Id="rId53" Type="http://schemas.openxmlformats.org/officeDocument/2006/relationships/hyperlink" Target="https://ascopubs.org/author/Timms%2C+Kirsten" TargetMode="External"/><Relationship Id="rId58" Type="http://schemas.openxmlformats.org/officeDocument/2006/relationships/hyperlink" Target="https://ascopubs.org/doi/abs/10.1200/JCO.2017.35.4_suppl.312" TargetMode="External"/><Relationship Id="rId66" Type="http://schemas.openxmlformats.org/officeDocument/2006/relationships/hyperlink" Target="https://www.ncbi.nlm.nih.gov/pubmed/18437078" TargetMode="External"/><Relationship Id="rId7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cochranelibrary.com/central/doi/10.1002/central/CN-01787550/full" TargetMode="External"/><Relationship Id="rId28" Type="http://schemas.openxmlformats.org/officeDocument/2006/relationships/hyperlink" Target="https://www.ncbi.nlm.nih.gov/pubmed/?term=George%20B%5BAuthor%5D&amp;cauthor=true&amp;cauthor_uid=30836094" TargetMode="External"/><Relationship Id="rId36" Type="http://schemas.openxmlformats.org/officeDocument/2006/relationships/hyperlink" Target="https://linkinghub.elsevier.com/retrieve/pii/S0305-7372(19)30051-9" TargetMode="External"/><Relationship Id="rId49" Type="http://schemas.openxmlformats.org/officeDocument/2006/relationships/hyperlink" Target="https://ascopubs.org/author/Shields%2C+Anthony+Frank" TargetMode="External"/><Relationship Id="rId57" Type="http://schemas.openxmlformats.org/officeDocument/2006/relationships/hyperlink" Target="https://ascopubs.org/author/Radovich%2C+Milan" TargetMode="External"/><Relationship Id="rId61" Type="http://schemas.openxmlformats.org/officeDocument/2006/relationships/hyperlink" Target="https://www.ncbi.nlm.nih.gov/pubmed/26881472" TargetMode="External"/><Relationship Id="rId10" Type="http://schemas.openxmlformats.org/officeDocument/2006/relationships/hyperlink" Target="http://www.msac.gov.au/" TargetMode="External"/><Relationship Id="rId19" Type="http://schemas.openxmlformats.org/officeDocument/2006/relationships/hyperlink" Target="https://www.ncbi.nlm.nih.gov/pubmed/?term=Hammel%20P%5BAuthor%5D&amp;cauthor=true&amp;cauthor_uid=31157963" TargetMode="External"/><Relationship Id="rId31" Type="http://schemas.openxmlformats.org/officeDocument/2006/relationships/hyperlink" Target="https://academic.oup.com/annonc/advance-article/doi/10.1093/annonc/mdz192/5520938" TargetMode="External"/><Relationship Id="rId44" Type="http://schemas.openxmlformats.org/officeDocument/2006/relationships/hyperlink" Target="https://ascopubs.org/doi/abs/10.1200/JCO.2018.36.15_suppl.4115" TargetMode="External"/><Relationship Id="rId52" Type="http://schemas.openxmlformats.org/officeDocument/2006/relationships/hyperlink" Target="https://ascopubs.org/author/Shahda%2C+Safi" TargetMode="External"/><Relationship Id="rId60" Type="http://schemas.openxmlformats.org/officeDocument/2006/relationships/hyperlink" Target="https://www.ncbi.nlm.nih.gov/pubmed/?term=Sahin%20IH%5BAuthor%5D&amp;cauthor=true&amp;cauthor_uid=26881472" TargetMode="External"/><Relationship Id="rId65" Type="http://schemas.openxmlformats.org/officeDocument/2006/relationships/hyperlink" Target="https://ascopubs.org/doi/abs/10.1200/jco.2010.28.15_suppl.4152" TargetMode="External"/><Relationship Id="rId73"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pubmed/?term=Hall%20MJ%5BAuthor%5D&amp;cauthor=true&amp;cauthor_uid=31157963" TargetMode="External"/><Relationship Id="rId27" Type="http://schemas.openxmlformats.org/officeDocument/2006/relationships/hyperlink" Target="https://www.ncbi.nlm.nih.gov/pubmed/?term=Singhi%20AD%5BAuthor%5D&amp;cauthor=true&amp;cauthor_uid=30836094" TargetMode="External"/><Relationship Id="rId30" Type="http://schemas.openxmlformats.org/officeDocument/2006/relationships/hyperlink" Target="https://www.ncbi.nlm.nih.gov/pubmed/?term=Suh%20J%5BAuthor%5D&amp;cauthor=true&amp;cauthor_uid=30836094" TargetMode="External"/><Relationship Id="rId35" Type="http://schemas.openxmlformats.org/officeDocument/2006/relationships/hyperlink" Target="https://www.ncbi.nlm.nih.gov/pubmed/?term=Castroviejo-Bermejo%20M%5BAuthor%5D&amp;cauthor=true&amp;cauthor_uid=31218365" TargetMode="External"/><Relationship Id="rId43" Type="http://schemas.openxmlformats.org/officeDocument/2006/relationships/hyperlink" Target="https://www.ncbi.nlm.nih.gov/pubmed/?term=Genomic+profiling+in+pancreatic+ductal+adenocarcinoma+and+a+pathway+towards+therapy+individualization%3A+A+scoping+review" TargetMode="External"/><Relationship Id="rId48" Type="http://schemas.openxmlformats.org/officeDocument/2006/relationships/hyperlink" Target="https://ascopubs.org/author/Korn%2C+W+Michael" TargetMode="External"/><Relationship Id="rId56" Type="http://schemas.openxmlformats.org/officeDocument/2006/relationships/hyperlink" Target="https://ascopubs.org/author/Cramer%2C+Harvey+M" TargetMode="External"/><Relationship Id="rId64" Type="http://schemas.openxmlformats.org/officeDocument/2006/relationships/hyperlink" Target="http://www.serena.unina.it/index.php/jop/article/view/2690/2735" TargetMode="External"/><Relationship Id="rId69" Type="http://schemas.openxmlformats.org/officeDocument/2006/relationships/hyperlink" Target="https://www.ncbi.nlm.nih.gov/pubmed/?term=Park%20SW%5BAuthor%5D&amp;cauthor=true&amp;cauthor_uid=18437078" TargetMode="External"/><Relationship Id="rId8" Type="http://schemas.openxmlformats.org/officeDocument/2006/relationships/image" Target="media/image1.jpeg"/><Relationship Id="rId51" Type="http://schemas.openxmlformats.org/officeDocument/2006/relationships/hyperlink" Target="https://ascopubs.org/doi/abs/10.1200/JCO.2017.35.4_suppl.317" TargetMode="External"/><Relationship Id="rId72" Type="http://schemas.openxmlformats.org/officeDocument/2006/relationships/hyperlink" Target="https://www.rcpaqap.com.au/home-page"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nejm.org/doi/full/10.1056/NEJMoa1903387?url_ver=Z39.88-2003&amp;rfr_id=ori:rid:crossref.org&amp;rfr_dat=cr_pub%3dpubmed" TargetMode="External"/><Relationship Id="rId25" Type="http://schemas.openxmlformats.org/officeDocument/2006/relationships/hyperlink" Target="https://ascopubs.org/doi/full/10.1200/JCO.2014.56.2728?url_ver=Z39.88-2003&amp;rfr_id=ori%3Arid%3Acrossref.org&amp;rfr_dat=cr_pub%3Dpubmed" TargetMode="External"/><Relationship Id="rId33" Type="http://schemas.openxmlformats.org/officeDocument/2006/relationships/hyperlink" Target="https://www.ncbi.nlm.nih.gov/pubmed/?term=Lord%20CJ%5BAuthor%5D&amp;cauthor=true&amp;cauthor_uid=31218365" TargetMode="External"/><Relationship Id="rId38" Type="http://schemas.openxmlformats.org/officeDocument/2006/relationships/hyperlink" Target="https://www.ncbi.nlm.nih.gov/pubmed/?term=Goldberg%20J%5BAuthor%5D&amp;cauthor=true&amp;cauthor_uid=30927677" TargetMode="External"/><Relationship Id="rId46" Type="http://schemas.openxmlformats.org/officeDocument/2006/relationships/hyperlink" Target="https://ascopubs.org/author/Kamgar%2C+Mandana" TargetMode="External"/><Relationship Id="rId59" Type="http://schemas.openxmlformats.org/officeDocument/2006/relationships/hyperlink" Target="https://www.ncbi.nlm.nih.gov/pubmed/26881472" TargetMode="External"/><Relationship Id="rId67" Type="http://schemas.openxmlformats.org/officeDocument/2006/relationships/hyperlink" Target="https://www.ncbi.nlm.nih.gov/pubmed/?term=Cho%20JH%5BAuthor%5D&amp;cauthor=true&amp;cauthor_uid=18437078" TargetMode="External"/><Relationship Id="rId20" Type="http://schemas.openxmlformats.org/officeDocument/2006/relationships/hyperlink" Target="https://www.ncbi.nlm.nih.gov/pubmed/?term=Reni%20M%5BAuthor%5D&amp;cauthor=true&amp;cauthor_uid=31157963" TargetMode="External"/><Relationship Id="rId41" Type="http://schemas.openxmlformats.org/officeDocument/2006/relationships/hyperlink" Target="https://www.ncbi.nlm.nih.gov/pubmed/?term=Park%20W%5BAuthor%5D&amp;cauthor=true&amp;cauthor_uid=30927677" TargetMode="External"/><Relationship Id="rId54" Type="http://schemas.openxmlformats.org/officeDocument/2006/relationships/hyperlink" Target="https://ascopubs.org/author/Ibrahim%2C+Ashley" TargetMode="External"/><Relationship Id="rId62" Type="http://schemas.openxmlformats.org/officeDocument/2006/relationships/hyperlink" Target="https://linkinghub.elsevier.com/retrieve/pii/S0305-7372(16)00012-8" TargetMode="External"/><Relationship Id="rId70" Type="http://schemas.openxmlformats.org/officeDocument/2006/relationships/hyperlink" Target="https://www.ncbi.nlm.nih.gov/pubmed/?term=Chung%20JB%5BAuthor%5D&amp;cauthor=true&amp;cauthor_uid=1843707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AIH19</b:Tag>
    <b:SourceType>InternetSite</b:SourceType>
    <b:Guid>{D18AA8CF-3E1C-42AE-A80E-DC48AE7DF571}</b:Guid>
    <b:Author>
      <b:Author>
        <b:NameList>
          <b:Person>
            <b:Last>AIHW</b:Last>
          </b:Person>
        </b:NameList>
      </b:Author>
      <b:ProducerName>
        <b:NameList>
          <b:Person>
            <b:Last>Govrnment</b:Last>
            <b:First>Australian</b:First>
          </b:Person>
        </b:NameList>
      </b:ProducerName>
    </b:Author>
    <b:Title>Pancreatric cancer in Australia statistics</b:Title>
    <b:Year>2019</b:Year>
    <b:InternetSiteTitle>Cancer Australia</b:InternetSiteTitle>
    <b:YearAccessed>2019</b:YearAccessed>
    <b:URL>https://pancreatic-cancer.canceraustralia.gov.au/statistics</b:URL>
    <b:MonthAccessed>September</b:MonthAccessed>
    <b:DayAccessed>9</b:DayAccessed>
    <b:RefOrder>1</b:RefOrder>
  </b:Source>
  <b:Source>
    <b:Tag>AIH12</b:Tag>
    <b:SourceType>JournalArticle</b:SourceType>
    <b:Guid>{DCBA7FFC-59AD-4427-AE63-7EBDE8032215}</b:Guid>
    <b:Author>
      <b:Author>
        <b:Corporate>AIHW</b:Corporate>
      </b:Author>
    </b:Author>
    <b:Title>Cancer incidence projections: Australia, 2011 to 2020</b:Title>
    <b:Year>2012</b:Year>
    <b:RefOrder>4</b:RefOrder>
  </b:Source>
  <b:Source>
    <b:Tag>AIH18</b:Tag>
    <b:SourceType>Report</b:SourceType>
    <b:Guid>{587F1757-00A6-46C1-A4DC-708CD59B1703}</b:Guid>
    <b:Author>
      <b:Author>
        <b:Corporate>AIHW</b:Corporate>
      </b:Author>
    </b:Author>
    <b:Year>2018</b:Year>
    <b:ShortTitle>Colorectal and other digestive-tract cancers.</b:ShortTitle>
    <b:Title>Colorectal and other digestive-tract cancers</b:Title>
    <b:RefOrder>3</b:RefOrder>
  </b:Source>
  <b:Source>
    <b:Tag>Duc15</b:Tag>
    <b:SourceType>JournalArticle</b:SourceType>
    <b:Guid>{54876880-9CEC-4D13-AFEA-FE7DA23EFE94}</b:Guid>
    <b:Author>
      <b:Author>
        <b:NameList>
          <b:Person>
            <b:Last>Ducreux M</b:Last>
            <b:First>Cuhna</b:First>
            <b:Middle>AS, Caramella C, Hollebecque A, Burtin P, Goere D et al.</b:Middle>
          </b:Person>
        </b:NameList>
      </b:Author>
    </b:Author>
    <b:Title>Cancer of the pancreas: ESMO Clinical Practice Guidelines for diagnosis, treatment and follow-up</b:Title>
    <b:Year>2015</b:Year>
    <b:JournalName>Annals of Oncology</b:JournalName>
    <b:Pages>v56-v58.</b:Pages>
    <b:Volume>26</b:Volume>
    <b:Issue>Suppl 5</b:Issue>
    <b:RefOrder>5</b:RefOrder>
  </b:Source>
  <b:Source>
    <b:Tag>RPi19</b:Tag>
    <b:SourceType>JournalArticle</b:SourceType>
    <b:Guid>{B2701C4E-1EDA-4FA8-ACFE-E24565BDBD83}</b:Guid>
    <b:Author>
      <b:Author>
        <b:Corporate>Pilarski R</b:Corporate>
      </b:Author>
    </b:Author>
    <b:Title>The Role of BRCATesting in Hereditary Pancreatic and Prostate Cancer Families</b:Title>
    <b:JournalName>Am soc Clin Oncol Educ Book</b:JournalName>
    <b:Year>2019</b:Year>
    <b:Pages>79-86</b:Pages>
    <b:Volume>39</b:Volume>
    <b:RefOrder>7</b:RefOrder>
  </b:Source>
  <b:Source>
    <b:Tag>Con11</b:Tag>
    <b:SourceType>JournalArticle</b:SourceType>
    <b:Guid>{DAB1F367-B09A-432D-BEE4-F49619B42B4F}</b:Guid>
    <b:Author>
      <b:Author>
        <b:NameList>
          <b:Person>
            <b:Last>Conroy T</b:Last>
            <b:First>Desseigne</b:First>
            <b:Middle>F, Ychou M, Bouché O, Guimbaud R, Bécouarn Y, et al.</b:Middle>
          </b:Person>
        </b:NameList>
      </b:Author>
    </b:Author>
    <b:Title>FOLFIRINOX versus gemcitabine for metastatic pancreatic cancer</b:Title>
    <b:JournalName>N Engl J Med</b:JournalName>
    <b:Year>2011</b:Year>
    <b:Pages>1817-1825</b:Pages>
    <b:Volume>364</b:Volume>
    <b:RefOrder>18</b:RefOrder>
  </b:Source>
  <b:Source>
    <b:Tag>Gol19</b:Tag>
    <b:SourceType>JournalArticle</b:SourceType>
    <b:Guid>{03088EB3-CBCE-4025-B320-79DE8738488E}</b:Guid>
    <b:Author>
      <b:Author>
        <b:NameList>
          <b:Person>
            <b:Last>Golan T</b:Last>
            <b:First>Hammel</b:First>
            <b:Middle>P, Reni M, Van Cutsem E, Macarulla T, Hall M et al.</b:Middle>
          </b:Person>
        </b:NameList>
      </b:Author>
    </b:Author>
    <b:Title>Maintenance Olaparib for Germline BRCA-Mutated Metastatic Pancreatic Cancer</b:Title>
    <b:JournalName>N Engl J Med </b:JournalName>
    <b:Year>2019</b:Year>
    <b:Pages>317-327</b:Pages>
    <b:Volume>381</b:Volume>
    <b:RefOrder>2</b:RefOrder>
  </b:Source>
  <b:Source>
    <b:Tag>Von13</b:Tag>
    <b:SourceType>JournalArticle</b:SourceType>
    <b:Guid>{5A71BEFA-823B-4723-8976-0720675374F2}</b:Guid>
    <b:Author>
      <b:Author>
        <b:NameList>
          <b:Person>
            <b:Last>Von Hoff DD</b:Last>
            <b:First>Ervin</b:First>
            <b:Middle>T, Arena FP, Chiorean EG, Infante J, Moore M, et al.</b:Middle>
          </b:Person>
        </b:NameList>
      </b:Author>
    </b:Author>
    <b:Title>Increased survival.</b:Title>
    <b:JournalName>N Engl J Med</b:JournalName>
    <b:Year>2013</b:Year>
    <b:Pages>1691-1703</b:Pages>
    <b:RefOrder>19</b:RefOrder>
  </b:Source>
  <b:Source>
    <b:Tag>Rah13</b:Tag>
    <b:SourceType>JournalArticle</b:SourceType>
    <b:Guid>{E528D72E-9F84-4FC9-906A-7B76054193D6}</b:Guid>
    <b:Author>
      <b:Author>
        <b:NameList>
          <b:Person>
            <b:Last>Rahma OE</b:Last>
            <b:First>Duffy</b:First>
            <b:Middle>A, Liewehr DJ, Steinberg SM, Greten TF.</b:Middle>
          </b:Person>
        </b:NameList>
      </b:Author>
    </b:Author>
    <b:Title>Second-line treatment in</b:Title>
    <b:JournalName>Ann Oncol</b:JournalName>
    <b:Year>2013</b:Year>
    <b:Pages>1972-1979</b:Pages>
    <b:Volume>24</b:Volume>
    <b:Issue>8</b:Issue>
    <b:RefOrder>20</b:RefOrder>
  </b:Source>
  <b:Source>
    <b:Tag>Gan16</b:Tag>
    <b:SourceType>JournalArticle</b:SourceType>
    <b:Guid>{8ABFB9FE-9DF6-4113-BCCC-AA453CBF1B3E}</b:Guid>
    <b:Author>
      <b:Author>
        <b:NameList>
          <b:Person>
            <b:Last>Gandy RC</b:Last>
            <b:First>Barbour</b:First>
            <b:Middle>AP, Samra J, Nikfarjam M, Haghighi K, Kench JG et al.</b:Middle>
          </b:Person>
        </b:NameList>
      </b:Author>
    </b:Author>
    <b:Title>Refining the care of patients with pancreatic cancer: the AGITG Pancreatic Cancer Workshop consensus.</b:Title>
    <b:JournalName>Med J Aust</b:JournalName>
    <b:Year>2016</b:Year>
    <b:Pages>419-422</b:Pages>
    <b:Volume>204</b:Volume>
    <b:Issue>11</b:Issue>
    <b:RefOrder>8</b:RefOrder>
  </b:Source>
  <b:Source>
    <b:Tag>AZP19</b:Tag>
    <b:SourceType>Report</b:SourceType>
    <b:Guid>{537A58A1-D7D3-47D1-874A-1C9346D25848}</b:Guid>
    <b:Title>Lynparza Product Information</b:Title>
    <b:Year>2019</b:Year>
    <b:Month>June</b:Month>
    <b:Author>
      <b:Author>
        <b:Corporate>AZ Product Information</b:Corporate>
      </b:Author>
    </b:Author>
    <b:RefOrder>11</b:RefOrder>
  </b:Source>
  <b:Source>
    <b:Tag>Lau11</b:Tag>
    <b:SourceType>JournalArticle</b:SourceType>
    <b:Guid>{E4F566F3-25C4-45BD-BBF7-0F55CA51172B}</b:Guid>
    <b:Author>
      <b:Author>
        <b:NameList>
          <b:Person>
            <b:Last>Lau C</b:Last>
            <b:First>Suthers</b:First>
            <b:Middle>G.</b:Middle>
          </b:Person>
        </b:NameList>
      </b:Author>
    </b:Author>
    <b:Title>BRCA testing for familial breast cancer.</b:Title>
    <b:Year>2011</b:Year>
    <b:JournalName>Aust Prescr</b:JournalName>
    <b:Pages>49-51</b:Pages>
    <b:Volume>34</b:Volume>
    <b:Issue>2</b:Issue>
    <b:RefOrder>12</b:RefOrder>
  </b:Source>
  <b:Source>
    <b:Tag>PAC16</b:Tag>
    <b:SourceType>JournalArticle</b:SourceType>
    <b:Guid>{E7E3511A-CFBB-44FF-83D6-C01ACE5E3736}</b:Guid>
    <b:Author>
      <b:Author>
        <b:NameList>
          <b:Person>
            <b:Last>Cohen</b:Last>
            <b:Middle>A</b:Middle>
            <b:First>P</b:First>
          </b:Person>
        </b:NameList>
      </b:Author>
    </b:Author>
    <b:Title>Impact of Clinical Genetics Attendance at a Gynecologic Oncology Tumor Board on Referrals for Genetic Counseling and BRCA Mutation Testing.</b:Title>
    <b:JournalName>Int J Gynecol Cancer</b:JournalName>
    <b:Year>2016</b:Year>
    <b:Pages>892-897</b:Pages>
    <b:Volume>26</b:Volume>
    <b:Issue>5</b:Issue>
    <b:RefOrder>21</b:RefOrder>
  </b:Source>
  <b:Source>
    <b:Tag>Fil14</b:Tag>
    <b:SourceType>Report</b:SourceType>
    <b:Guid>{58B2C256-39AC-412D-AA09-00DB3715A5FC}</b:Guid>
    <b:Author>
      <b:Author>
        <b:Corporate>AZ Data on File</b:Corporate>
      </b:Author>
    </b:Author>
    <b:Title>2.5 Clinical Overview Olaparib monotherapy as maintenance treatment of patients with platinum-sensitive relapsed BRCA mutated ovarian cancer. </b:Title>
    <b:Year>2014</b:Year>
    <b:RefOrder>22</b:RefOrder>
  </b:Source>
  <b:Source>
    <b:Tag>Jal18</b:Tag>
    <b:SourceType>ConferenceProceedings</b:SourceType>
    <b:Guid>{881EFA2E-5F61-485F-A35D-B1BDF10859ED}</b:Guid>
    <b:Title>Use of FOLFIRINOX chemotherapy in an Australasian population of pancreatic cancer</b:Title>
    <b:Year>2018</b:Year>
    <b:Author>
      <b:Author>
        <b:Corporate>Jalali A.</b:Corporate>
      </b:Author>
    </b:Author>
    <b:ConferenceName>ESMO Asia Congress</b:ConferenceName>
    <b:RefOrder>17</b:RefOrder>
  </b:Source>
  <b:Source>
    <b:Tag>PBA14</b:Tag>
    <b:SourceType>ConferenceProceedings</b:SourceType>
    <b:Guid>{882805C8-26B8-4FE0-BC13-A1EB70BAC019}</b:Guid>
    <b:Author>
      <b:Author>
        <b:NameList>
          <b:Person>
            <b:Last>PBAC</b:Last>
          </b:Person>
        </b:NameList>
      </b:Author>
    </b:Author>
    <b:Title>Public Summary Document: Paclitaxel-Nanoparticle Albumin Bound</b:Title>
    <b:Year>2014</b:Year>
    <b:RefOrder>15</b:RefOrder>
  </b:Source>
  <b:Source>
    <b:Tag>DUS17</b:Tag>
    <b:SourceType>ConferenceProceedings</b:SourceType>
    <b:Guid>{ED3BEAA7-9957-4693-AA7A-D78049289F6C}</b:Guid>
    <b:Author>
      <b:Author>
        <b:Corporate>DUSC</b:Corporate>
      </b:Author>
    </b:Author>
    <b:Title>Nanoparticle albumin-bound paclitaxel for pancreatic cancer: 24 month predicted versus actual analysis</b:Title>
    <b:Year>2017</b:Year>
    <b:RefOrder>16</b:RefOrder>
  </b:Source>
  <b:Source>
    <b:Tag>Gol14</b:Tag>
    <b:SourceType>JournalArticle</b:SourceType>
    <b:Guid>{D81D9B3B-14F8-412A-8312-E2D362FFEAE3}</b:Guid>
    <b:Author>
      <b:Author>
        <b:NameList>
          <b:Person>
            <b:Last>Golan T</b:Last>
            <b:First>Kanji</b:First>
            <b:Middle>ZS, Epelbaum R, Devaud N, Dagan E, Holter S, et al.</b:Middle>
          </b:Person>
        </b:NameList>
      </b:Author>
    </b:Author>
    <b:Title>Overall survival and clinical characteristics of pancreatic cancer in BRCA mutation carriers.</b:Title>
    <b:Pages>1132-1138</b:Pages>
    <b:Year>2014</b:Year>
    <b:JournalName>Br J cancer</b:JournalName>
    <b:Volume>111</b:Volume>
    <b:Issue>6</b:Issue>
    <b:RefOrder>13</b:RefOrder>
  </b:Source>
  <b:Source>
    <b:Tag>Son11</b:Tag>
    <b:SourceType>JournalArticle</b:SourceType>
    <b:Guid>{EA8134F9-804C-4D1D-A1F5-0A7CA51B1E60}</b:Guid>
    <b:Author>
      <b:Author>
        <b:NameList>
          <b:Person>
            <b:Last>Sonnenblick A</b:Last>
            <b:First>Kadouri</b:First>
            <b:Middle>L, Appelbaum L, Peretz T, Sagi M, Goldberg Y, et al.</b:Middle>
          </b:Person>
        </b:NameList>
      </b:Author>
    </b:Author>
    <b:Title>Complete remission, in BRCA2 mutation carrier with metastatic pancreatic adenocarcinoma, treated with cisplatin based therapy.</b:Title>
    <b:JournalName>Cancer Biol Ther</b:JournalName>
    <b:Year>2011</b:Year>
    <b:Pages>165-168.</b:Pages>
    <b:Volume>12</b:Volume>
    <b:Issue>3</b:Issue>
    <b:RefOrder>14</b:RefOrder>
  </b:Source>
  <b:Source>
    <b:Tag>Pan17</b:Tag>
    <b:SourceType>InternetSite</b:SourceType>
    <b:Guid>{8852D944-6C9D-496F-B55B-3CEA11F34801}</b:Guid>
    <b:Title>Pancreatic Adenocarcinoma, Version 3.2019, NCCN Clinical Practice Guidelines in Oncology</b:Title>
    <b:JournalName>J Natl Compr Canc Netw</b:JournalName>
    <b:Year>2019</b:Year>
    <b:Volume>15</b:Volume>
    <b:Issue>8</b:Issue>
    <b:Author>
      <b:Author>
        <b:NameList>
          <b:Person>
            <b:Last>Tempero MA</b:Last>
            <b:First>Malafa</b:First>
            <b:Middle>MP, Al-Hawary M, Asbun H, Bain A, Behrman SW et al.</b:Middle>
          </b:Person>
        </b:NameList>
      </b:Author>
    </b:Author>
    <b:URL>https://www.nccn.org/store/login/login.aspx?ReturnURL=https://www.nccn.org/professionals/physician_gls/pdf/pancreatic.pdf</b:URL>
    <b:YearAccessed>2019</b:YearAccessed>
    <b:MonthAccessed>October</b:MonthAccessed>
    <b:RefOrder>6</b:RefOrder>
  </b:Source>
  <b:Source>
    <b:Tag>Can18</b:Tag>
    <b:SourceType>InternetSite</b:SourceType>
    <b:Guid>{DC74B128-94BB-4DF9-BCBA-32D7E0BBA275}</b:Guid>
    <b:Author>
      <b:Author>
        <b:Corporate>Cancer Institute NSW</b:Corporate>
      </b:Author>
    </b:Author>
    <b:Title>eviQ Pancreas and Biliary Treatment Protocols</b:Title>
    <b:Year>2018</b:Year>
    <b:Month>February</b:Month>
    <b:URL>https://www.eviq.org.au/medical-oncology/upper-gastrointestinal/pancreas-and-biliary</b:URL>
    <b:YearAccessed>2019</b:YearAccessed>
    <b:MonthAccessed>September</b:MonthAccessed>
    <b:RefOrder>10</b:RefOrder>
  </b:Source>
  <b:Source>
    <b:Tag>Nat19</b:Tag>
    <b:SourceType>InternetSite</b:SourceType>
    <b:Guid>{A7118005-F030-471C-ACF3-A9BBDFEA96BD}</b:Guid>
    <b:Author>
      <b:Author>
        <b:Corporate>National Cancer Institute</b:Corporate>
      </b:Author>
    </b:Author>
    <b:Title>Pancreatic Cancer Treatment (PDQ®)–Health Professional Version</b:Title>
    <b:Year>2019</b:Year>
    <b:Month>July</b:Month>
    <b:URL>https://www.cancer.gov/types/pancreatic/hp/pancreatic-treatment-pdq</b:URL>
    <b:YearAccessed>2019</b:YearAccessed>
    <b:MonthAccessed>September</b:MonthAccessed>
    <b:RefOrder>9</b:RefOrder>
  </b:Source>
</b:Sources>
</file>

<file path=customXml/itemProps1.xml><?xml version="1.0" encoding="utf-8"?>
<ds:datastoreItem xmlns:ds="http://schemas.openxmlformats.org/officeDocument/2006/customXml" ds:itemID="{4763D61A-11A4-484F-9913-5E1C2AFD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12318</Words>
  <Characters>70213</Characters>
  <Application>Microsoft Office Word</Application>
  <DocSecurity>0</DocSecurity>
  <Lines>585</Lines>
  <Paragraphs>164</Paragraphs>
  <ScaleCrop>false</ScaleCrop>
  <Company/>
  <LinksUpToDate>false</LinksUpToDate>
  <CharactersWithSpaces>82367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2020-04-02T04:51:00Z</dcterms:created>
  <dcterms:modified xsi:type="dcterms:W3CDTF">2020-04-02T04:51:00Z</dcterms:modified>
</cp:coreProperties>
</file>